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noborders"/>
        <w:tblpPr w:leftFromText="180" w:rightFromText="180" w:vertAnchor="text" w:horzAnchor="margin" w:tblpY="189"/>
        <w:tblW w:w="9299" w:type="dxa"/>
        <w:tblInd w:w="0" w:type="dxa"/>
        <w:tblBorders>
          <w:bottom w:val="single" w:sz="2" w:space="0" w:color="4D4D4D"/>
        </w:tblBorders>
        <w:tblCellMar>
          <w:left w:w="0" w:type="dxa"/>
          <w:right w:w="0" w:type="dxa"/>
        </w:tblCellMar>
        <w:tblLook w:val="04A0" w:firstRow="1" w:lastRow="0" w:firstColumn="1" w:lastColumn="0" w:noHBand="0" w:noVBand="1"/>
        <w:tblCaption w:val="Table for formatting purposes"/>
      </w:tblPr>
      <w:tblGrid>
        <w:gridCol w:w="9299"/>
      </w:tblGrid>
      <w:tr w:rsidR="00177685" w14:paraId="1966777B" w14:textId="77777777" w:rsidTr="00FF4E1D">
        <w:trPr>
          <w:trHeight w:hRule="exact" w:val="2552"/>
          <w:tblHeader/>
        </w:trPr>
        <w:tc>
          <w:tcPr>
            <w:tcW w:w="9299" w:type="dxa"/>
            <w:tcBorders>
              <w:top w:val="nil"/>
              <w:left w:val="nil"/>
              <w:bottom w:val="nil"/>
              <w:right w:val="nil"/>
            </w:tcBorders>
            <w:vAlign w:val="bottom"/>
          </w:tcPr>
          <w:p w14:paraId="615B7450" w14:textId="5FC82ED4" w:rsidR="00C70D9F" w:rsidRPr="00C70D9F" w:rsidRDefault="00C70D9F" w:rsidP="00C70D9F">
            <w:pPr>
              <w:pStyle w:val="Title"/>
              <w:rPr>
                <w:b/>
                <w:bCs/>
                <w:color w:val="017E5D"/>
              </w:rPr>
            </w:pPr>
            <w:bookmarkStart w:id="0" w:name="_Hlk242795587"/>
            <w:proofErr w:type="spellStart"/>
            <w:r w:rsidRPr="00C70D9F">
              <w:rPr>
                <w:b/>
                <w:bCs/>
                <w:color w:val="017E5D"/>
              </w:rPr>
              <w:t>Pūrongo</w:t>
            </w:r>
            <w:proofErr w:type="spellEnd"/>
            <w:r w:rsidRPr="00C70D9F">
              <w:rPr>
                <w:b/>
                <w:bCs/>
                <w:color w:val="017E5D"/>
              </w:rPr>
              <w:t>-ā-tau</w:t>
            </w:r>
          </w:p>
          <w:p w14:paraId="6D68CA30" w14:textId="77777777" w:rsidR="00FF4E1D" w:rsidRDefault="00C70D9F" w:rsidP="00C70D9F">
            <w:pPr>
              <w:pStyle w:val="Title"/>
              <w:rPr>
                <w:b/>
                <w:bCs/>
                <w:color w:val="017E5D"/>
              </w:rPr>
            </w:pPr>
            <w:r w:rsidRPr="00C70D9F">
              <w:rPr>
                <w:b/>
                <w:bCs/>
                <w:color w:val="017E5D"/>
              </w:rPr>
              <w:t>Annual Report</w:t>
            </w:r>
            <w:r>
              <w:rPr>
                <w:b/>
                <w:bCs/>
                <w:color w:val="017E5D"/>
              </w:rPr>
              <w:t xml:space="preserve"> </w:t>
            </w:r>
          </w:p>
          <w:p w14:paraId="1F6F2230" w14:textId="40ED5F2B" w:rsidR="00177685" w:rsidRDefault="00C70D9F" w:rsidP="00C70D9F">
            <w:pPr>
              <w:pStyle w:val="Title"/>
              <w:rPr>
                <w:b/>
                <w:bCs/>
                <w:color w:val="017E5D"/>
              </w:rPr>
            </w:pPr>
            <w:r>
              <w:rPr>
                <w:b/>
                <w:bCs/>
                <w:color w:val="017E5D"/>
              </w:rPr>
              <w:t>2025</w:t>
            </w:r>
            <w:r w:rsidR="00FF4E1D">
              <w:rPr>
                <w:b/>
                <w:bCs/>
                <w:color w:val="017E5D"/>
              </w:rPr>
              <w:t>/2026</w:t>
            </w:r>
          </w:p>
          <w:p w14:paraId="744EE4CB" w14:textId="7F70B5D5" w:rsidR="00C65261" w:rsidRPr="00F635AA" w:rsidRDefault="00C65261" w:rsidP="00C65261">
            <w:pPr>
              <w:pStyle w:val="BodyText"/>
              <w:rPr>
                <w:b/>
                <w:bCs/>
                <w:sz w:val="32"/>
                <w:szCs w:val="32"/>
              </w:rPr>
            </w:pPr>
            <w:r w:rsidRPr="00F635AA">
              <w:rPr>
                <w:b/>
                <w:bCs/>
                <w:sz w:val="32"/>
                <w:szCs w:val="32"/>
              </w:rPr>
              <w:t>for the year ended 30 June 202</w:t>
            </w:r>
            <w:r w:rsidR="004C0611">
              <w:rPr>
                <w:b/>
                <w:bCs/>
                <w:sz w:val="32"/>
                <w:szCs w:val="32"/>
              </w:rPr>
              <w:t>6</w:t>
            </w:r>
          </w:p>
          <w:bookmarkEnd w:id="0"/>
          <w:p w14:paraId="74E0EF72" w14:textId="3D159137" w:rsidR="00C65261" w:rsidRPr="00C65261" w:rsidRDefault="004C0611" w:rsidP="00C65261">
            <w:pPr>
              <w:pStyle w:val="BodyText"/>
            </w:pPr>
            <w:r>
              <w:t>6</w:t>
            </w:r>
          </w:p>
          <w:p w14:paraId="2F48DD81" w14:textId="0C8A0026" w:rsidR="00C70D9F" w:rsidRPr="00C70D9F" w:rsidRDefault="00C70D9F" w:rsidP="00C70D9F">
            <w:pPr>
              <w:pStyle w:val="BodyText"/>
            </w:pPr>
          </w:p>
        </w:tc>
      </w:tr>
    </w:tbl>
    <w:p w14:paraId="72294181" w14:textId="2394F65A" w:rsidR="000D33D6" w:rsidRDefault="00F635AA" w:rsidP="000D33D6">
      <w:r>
        <w:rPr>
          <w:noProof/>
        </w:rPr>
        <mc:AlternateContent>
          <mc:Choice Requires="wps">
            <w:drawing>
              <wp:anchor distT="0" distB="0" distL="114300" distR="114300" simplePos="0" relativeHeight="251659264" behindDoc="0" locked="0" layoutInCell="1" allowOverlap="1" wp14:anchorId="24BB94FE" wp14:editId="5DADDB86">
                <wp:simplePos x="0" y="0"/>
                <wp:positionH relativeFrom="column">
                  <wp:posOffset>5325110</wp:posOffset>
                </wp:positionH>
                <wp:positionV relativeFrom="paragraph">
                  <wp:posOffset>-1319530</wp:posOffset>
                </wp:positionV>
                <wp:extent cx="561975" cy="400050"/>
                <wp:effectExtent l="0" t="0" r="0" b="0"/>
                <wp:wrapNone/>
                <wp:docPr id="1622244191" name="Text Box 1"/>
                <wp:cNvGraphicFramePr/>
                <a:graphic xmlns:a="http://schemas.openxmlformats.org/drawingml/2006/main">
                  <a:graphicData uri="http://schemas.microsoft.com/office/word/2010/wordprocessingShape">
                    <wps:wsp>
                      <wps:cNvSpPr txBox="1"/>
                      <wps:spPr>
                        <a:xfrm>
                          <a:off x="0" y="0"/>
                          <a:ext cx="561975" cy="400050"/>
                        </a:xfrm>
                        <a:prstGeom prst="rect">
                          <a:avLst/>
                        </a:prstGeom>
                        <a:noFill/>
                        <a:ln w="6350">
                          <a:noFill/>
                        </a:ln>
                      </wps:spPr>
                      <wps:txbx>
                        <w:txbxContent>
                          <w:p w14:paraId="5F57F7D8" w14:textId="77777777" w:rsidR="00F635AA" w:rsidRPr="00097107" w:rsidRDefault="00F635AA" w:rsidP="00F635AA">
                            <w:pPr>
                              <w:jc w:val="right"/>
                            </w:pPr>
                            <w:r w:rsidRPr="00097107">
                              <w:t>A.3</w:t>
                            </w:r>
                          </w:p>
                          <w:p w14:paraId="6A53A332" w14:textId="77777777" w:rsidR="00F635AA" w:rsidRDefault="00F635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4BB94FE" id="_x0000_t202" coordsize="21600,21600" o:spt="202" path="m,l,21600r21600,l21600,xe">
                <v:stroke joinstyle="miter"/>
                <v:path gradientshapeok="t" o:connecttype="rect"/>
              </v:shapetype>
              <v:shape id="Text Box 1" o:spid="_x0000_s1026" type="#_x0000_t202" style="position:absolute;margin-left:419.3pt;margin-top:-103.9pt;width:44.25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" filled="f" stroked="f" strokeweight=".5pt">
                <v:textbox>
                  <w:txbxContent>
                    <w:p w14:paraId="5F57F7D8" w14:textId="77777777" w:rsidR="00F635AA" w:rsidRPr="00097107" w:rsidRDefault="00F635AA" w:rsidP="00F635AA">
                      <w:pPr>
                        <w:jc w:val="right"/>
                      </w:pPr>
                      <w:r w:rsidRPr="00097107">
                        <w:t>A.3</w:t>
                      </w:r>
                    </w:p>
                    <w:p w14:paraId="6A53A332" w14:textId="77777777" w:rsidR="00F635AA" w:rsidRDefault="00F635AA"/>
                  </w:txbxContent>
                </v:textbox>
              </v:shape>
            </w:pict>
          </mc:Fallback>
        </mc:AlternateContent>
      </w:r>
    </w:p>
    <w:p w14:paraId="53CA386E" w14:textId="77777777" w:rsidR="00C65261" w:rsidRPr="00CE3A5B" w:rsidRDefault="00C65261" w:rsidP="004C0611">
      <w:pPr>
        <w:pStyle w:val="BodyText"/>
        <w:ind w:right="2381"/>
        <w:rPr>
          <w:rStyle w:val="Italics"/>
        </w:rPr>
      </w:pPr>
      <w:r w:rsidRPr="00097107">
        <w:t xml:space="preserve">Presented to the House of Representatives pursuant to section </w:t>
      </w:r>
      <w:r>
        <w:t>44</w:t>
      </w:r>
      <w:r w:rsidRPr="00097107">
        <w:t xml:space="preserve"> of the Public Finance Act 1989</w:t>
      </w:r>
    </w:p>
    <w:p w14:paraId="4D490716" w14:textId="635B3999" w:rsidR="00993BD6" w:rsidRDefault="00F635AA" w:rsidP="00F635AA">
      <w:pPr>
        <w:pStyle w:val="BodyText"/>
        <w:rPr>
          <w:rStyle w:val="A2"/>
          <w:sz w:val="22"/>
          <w:szCs w:val="22"/>
        </w:rPr>
      </w:pPr>
      <w:r w:rsidRPr="004C0611">
        <w:rPr>
          <w:rStyle w:val="A2"/>
          <w:sz w:val="22"/>
          <w:szCs w:val="22"/>
        </w:rPr>
        <w:t>ISSN 2382-0047</w:t>
      </w:r>
    </w:p>
    <w:p w14:paraId="3DBD8869" w14:textId="77777777" w:rsidR="00993BD6" w:rsidRDefault="00993BD6">
      <w:pPr>
        <w:spacing w:line="276" w:lineRule="auto"/>
        <w:rPr>
          <w:rStyle w:val="A2"/>
          <w:sz w:val="22"/>
          <w:szCs w:val="22"/>
        </w:rPr>
      </w:pPr>
      <w:r>
        <w:rPr>
          <w:rStyle w:val="A2"/>
          <w:sz w:val="22"/>
          <w:szCs w:val="22"/>
        </w:rPr>
        <w:br w:type="page"/>
      </w:r>
    </w:p>
    <w:p w14:paraId="5E4049C7" w14:textId="1C373395" w:rsidR="00F635AA" w:rsidRPr="004C0611" w:rsidRDefault="00F635AA" w:rsidP="00F635AA">
      <w:pPr>
        <w:pStyle w:val="BodyText"/>
        <w:rPr>
          <w:sz w:val="22"/>
        </w:rPr>
      </w:pPr>
    </w:p>
    <w:p w14:paraId="61DF4438" w14:textId="16DF80A7" w:rsidR="00F635AA" w:rsidRPr="00097107" w:rsidRDefault="00F635AA" w:rsidP="00C65261">
      <w:pPr>
        <w:pStyle w:val="BodyText"/>
      </w:pPr>
    </w:p>
    <w:p w14:paraId="4F695C6A" w14:textId="46D8A5C1" w:rsidR="009003B5" w:rsidRDefault="0029059D" w:rsidP="009003B5">
      <w:pPr>
        <w:pStyle w:val="BodyText"/>
        <w:rPr>
          <w:rFonts w:eastAsiaTheme="majorEastAsia" w:cstheme="majorBidi"/>
          <w:sz w:val="26"/>
        </w:rPr>
      </w:pPr>
      <w:r>
        <w:rPr>
          <w:noProof/>
          <w:lang w:eastAsia="en-NZ"/>
        </w:rPr>
        <w:drawing>
          <wp:anchor distT="0" distB="0" distL="114300" distR="114300" simplePos="0" relativeHeight="251676672" behindDoc="1" locked="0" layoutInCell="1" allowOverlap="1" wp14:anchorId="39E5E5CC" wp14:editId="5FD5D08F">
            <wp:simplePos x="0" y="0"/>
            <wp:positionH relativeFrom="column">
              <wp:posOffset>-237490</wp:posOffset>
            </wp:positionH>
            <wp:positionV relativeFrom="page">
              <wp:posOffset>8343900</wp:posOffset>
            </wp:positionV>
            <wp:extent cx="952500" cy="935990"/>
            <wp:effectExtent l="0" t="0" r="0" b="0"/>
            <wp:wrapTight wrapText="bothSides">
              <wp:wrapPolygon edited="0">
                <wp:start x="0" y="0"/>
                <wp:lineTo x="0" y="21102"/>
                <wp:lineTo x="21168" y="21102"/>
                <wp:lineTo x="21168" y="0"/>
                <wp:lineTo x="0" y="0"/>
              </wp:wrapPolygon>
            </wp:wrapTight>
            <wp:docPr id="551048304" name="Picture 1" descr="Ombudsman symbol in black. A stylised fern forms part of the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048304" name="Picture 1" descr="Ombudsman symbol in black. A stylised fern forms part of the ‘O’."/>
                    <pic:cNvPicPr/>
                  </pic:nvPicPr>
                  <pic:blipFill>
                    <a:blip r:embed="rId8">
                      <a:extLst>
                        <a:ext uri="{28A0092B-C50C-407E-A947-70E740481C1C}">
                          <a14:useLocalDpi xmlns:a14="http://schemas.microsoft.com/office/drawing/2010/main" val="0"/>
                        </a:ext>
                      </a:extLst>
                    </a:blip>
                    <a:stretch>
                      <a:fillRect/>
                    </a:stretch>
                  </pic:blipFill>
                  <pic:spPr>
                    <a:xfrm>
                      <a:off x="0" y="0"/>
                      <a:ext cx="952500" cy="935990"/>
                    </a:xfrm>
                    <a:prstGeom prst="rect">
                      <a:avLst/>
                    </a:prstGeom>
                  </pic:spPr>
                </pic:pic>
              </a:graphicData>
            </a:graphic>
            <wp14:sizeRelH relativeFrom="page">
              <wp14:pctWidth>0</wp14:pctWidth>
            </wp14:sizeRelH>
            <wp14:sizeRelV relativeFrom="page">
              <wp14:pctHeight>0</wp14:pctHeight>
            </wp14:sizeRelV>
          </wp:anchor>
        </w:drawing>
      </w:r>
      <w:r>
        <w:rPr>
          <w:noProof/>
          <w:lang w:eastAsia="en-NZ"/>
        </w:rPr>
        <mc:AlternateContent>
          <mc:Choice Requires="wps">
            <w:drawing>
              <wp:anchor distT="0" distB="0" distL="114300" distR="114300" simplePos="0" relativeHeight="251675648" behindDoc="1" locked="0" layoutInCell="1" allowOverlap="1" wp14:anchorId="74880179" wp14:editId="4A7BC4DA">
                <wp:simplePos x="0" y="0"/>
                <wp:positionH relativeFrom="column">
                  <wp:posOffset>867410</wp:posOffset>
                </wp:positionH>
                <wp:positionV relativeFrom="margin">
                  <wp:posOffset>6757670</wp:posOffset>
                </wp:positionV>
                <wp:extent cx="5553075" cy="2085975"/>
                <wp:effectExtent l="0" t="0" r="9525" b="9525"/>
                <wp:wrapSquare wrapText="bothSides"/>
                <wp:docPr id="571352189" name="Text Box 1"/>
                <wp:cNvGraphicFramePr/>
                <a:graphic xmlns:a="http://schemas.openxmlformats.org/drawingml/2006/main">
                  <a:graphicData uri="http://schemas.microsoft.com/office/word/2010/wordprocessingShape">
                    <wps:wsp>
                      <wps:cNvSpPr txBox="1"/>
                      <wps:spPr>
                        <a:xfrm>
                          <a:off x="0" y="0"/>
                          <a:ext cx="5553075" cy="2085975"/>
                        </a:xfrm>
                        <a:prstGeom prst="rect">
                          <a:avLst/>
                        </a:prstGeom>
                        <a:noFill/>
                        <a:ln w="6350">
                          <a:noFill/>
                        </a:ln>
                      </wps:spPr>
                      <wps:txbx>
                        <w:txbxContent>
                          <w:p w14:paraId="0592B2A6" w14:textId="032A205D" w:rsidR="00993BD6" w:rsidRDefault="00993BD6" w:rsidP="00993BD6">
                            <w:pPr>
                              <w:spacing w:before="20" w:after="40" w:line="240" w:lineRule="auto"/>
                              <w:rPr>
                                <w:b/>
                                <w:color w:val="000000" w:themeColor="text1"/>
                                <w:sz w:val="20"/>
                                <w:szCs w:val="20"/>
                              </w:rPr>
                            </w:pPr>
                            <w:bookmarkStart w:id="1" w:name="_Hlk238810257"/>
                            <w:bookmarkStart w:id="2" w:name="_Hlk238810258"/>
                            <w:r w:rsidRPr="00993BD6">
                              <w:rPr>
                                <w:b/>
                                <w:color w:val="000000" w:themeColor="text1"/>
                                <w:sz w:val="20"/>
                                <w:szCs w:val="20"/>
                              </w:rPr>
                              <w:t>Pūrongo-ā-tau</w:t>
                            </w:r>
                            <w:r>
                              <w:rPr>
                                <w:b/>
                                <w:color w:val="000000" w:themeColor="text1"/>
                                <w:sz w:val="20"/>
                                <w:szCs w:val="20"/>
                              </w:rPr>
                              <w:t xml:space="preserve">. </w:t>
                            </w:r>
                            <w:r w:rsidRPr="00993BD6">
                              <w:rPr>
                                <w:b/>
                                <w:color w:val="000000" w:themeColor="text1"/>
                                <w:sz w:val="20"/>
                                <w:szCs w:val="20"/>
                              </w:rPr>
                              <w:t>Annual Report 2025/2026</w:t>
                            </w:r>
                            <w:r w:rsidR="0029059D">
                              <w:rPr>
                                <w:b/>
                                <w:color w:val="000000" w:themeColor="text1"/>
                                <w:sz w:val="20"/>
                                <w:szCs w:val="20"/>
                              </w:rPr>
                              <w:t xml:space="preserve"> </w:t>
                            </w:r>
                            <w:r w:rsidRPr="00993BD6">
                              <w:rPr>
                                <w:b/>
                                <w:color w:val="000000" w:themeColor="text1"/>
                                <w:sz w:val="20"/>
                                <w:szCs w:val="20"/>
                              </w:rPr>
                              <w:t>for the year ended 30 June 2026</w:t>
                            </w:r>
                          </w:p>
                          <w:p w14:paraId="05D60BC1" w14:textId="77777777" w:rsidR="00993BD6" w:rsidRPr="00993BD6" w:rsidRDefault="00993BD6" w:rsidP="00993BD6">
                            <w:pPr>
                              <w:spacing w:before="20" w:after="40" w:line="240" w:lineRule="auto"/>
                              <w:rPr>
                                <w:b/>
                                <w:bCs/>
                                <w:color w:val="000000" w:themeColor="text1"/>
                                <w:sz w:val="20"/>
                                <w:szCs w:val="20"/>
                                <w:lang w:val="en-US"/>
                              </w:rPr>
                            </w:pPr>
                            <w:r w:rsidRPr="00993BD6">
                              <w:rPr>
                                <w:b/>
                                <w:bCs/>
                                <w:color w:val="000000" w:themeColor="text1"/>
                                <w:sz w:val="20"/>
                                <w:szCs w:val="20"/>
                                <w:lang w:val="en-US"/>
                              </w:rPr>
                              <w:t>Chief Ombudsman’s Annual Report 2025/2026</w:t>
                            </w:r>
                          </w:p>
                          <w:p w14:paraId="7F8DA0FC" w14:textId="0546BC9E" w:rsidR="00993BD6" w:rsidRPr="00993BD6" w:rsidRDefault="00993BD6" w:rsidP="00993BD6">
                            <w:pPr>
                              <w:spacing w:before="20" w:after="40" w:line="240" w:lineRule="auto"/>
                              <w:rPr>
                                <w:b/>
                                <w:bCs/>
                                <w:color w:val="000000" w:themeColor="text1"/>
                                <w:sz w:val="20"/>
                                <w:szCs w:val="20"/>
                                <w:lang w:val="en-US"/>
                              </w:rPr>
                            </w:pPr>
                            <w:r w:rsidRPr="00993BD6">
                              <w:rPr>
                                <w:b/>
                                <w:bCs/>
                                <w:color w:val="000000" w:themeColor="text1"/>
                                <w:sz w:val="20"/>
                                <w:szCs w:val="20"/>
                                <w:lang w:val="en-US"/>
                              </w:rPr>
                              <w:t>ISSN</w:t>
                            </w:r>
                            <w:r w:rsidR="00B11109">
                              <w:rPr>
                                <w:b/>
                                <w:bCs/>
                                <w:color w:val="000000" w:themeColor="text1"/>
                                <w:sz w:val="20"/>
                                <w:szCs w:val="20"/>
                                <w:lang w:val="en-US"/>
                              </w:rPr>
                              <w:t xml:space="preserve"> </w:t>
                            </w:r>
                            <w:r w:rsidRPr="00993BD6">
                              <w:rPr>
                                <w:b/>
                                <w:bCs/>
                                <w:color w:val="000000" w:themeColor="text1"/>
                                <w:sz w:val="20"/>
                                <w:szCs w:val="20"/>
                                <w:lang w:val="en-US"/>
                              </w:rPr>
                              <w:t>2382-0047</w:t>
                            </w:r>
                            <w:r w:rsidR="00B11109">
                              <w:rPr>
                                <w:b/>
                                <w:bCs/>
                                <w:color w:val="000000" w:themeColor="text1"/>
                                <w:sz w:val="20"/>
                                <w:szCs w:val="20"/>
                                <w:lang w:val="en-US"/>
                              </w:rPr>
                              <w:t xml:space="preserve"> (</w:t>
                            </w:r>
                            <w:r w:rsidRPr="00993BD6">
                              <w:rPr>
                                <w:b/>
                                <w:bCs/>
                                <w:color w:val="000000" w:themeColor="text1"/>
                                <w:sz w:val="20"/>
                                <w:szCs w:val="20"/>
                                <w:lang w:val="en-US"/>
                              </w:rPr>
                              <w:t>PDF</w:t>
                            </w:r>
                            <w:r w:rsidR="00B11109">
                              <w:rPr>
                                <w:b/>
                                <w:bCs/>
                                <w:color w:val="000000" w:themeColor="text1"/>
                                <w:sz w:val="20"/>
                                <w:szCs w:val="20"/>
                                <w:lang w:val="en-US"/>
                              </w:rPr>
                              <w:t>)</w:t>
                            </w:r>
                          </w:p>
                          <w:p w14:paraId="66F149AC" w14:textId="0524786D" w:rsidR="00993BD6" w:rsidRPr="00993BD6" w:rsidRDefault="00993BD6" w:rsidP="00993BD6">
                            <w:pPr>
                              <w:spacing w:before="20" w:after="40" w:line="240" w:lineRule="auto"/>
                              <w:rPr>
                                <w:b/>
                                <w:bCs/>
                                <w:color w:val="000000" w:themeColor="text1"/>
                                <w:sz w:val="20"/>
                                <w:szCs w:val="20"/>
                                <w:lang w:val="en-US"/>
                              </w:rPr>
                            </w:pPr>
                            <w:r w:rsidRPr="00993BD6">
                              <w:rPr>
                                <w:b/>
                                <w:bCs/>
                                <w:color w:val="000000" w:themeColor="text1"/>
                                <w:sz w:val="20"/>
                                <w:szCs w:val="20"/>
                                <w:lang w:val="en-US"/>
                              </w:rPr>
                              <w:t>ISSN</w:t>
                            </w:r>
                            <w:r w:rsidR="00B11109">
                              <w:rPr>
                                <w:b/>
                                <w:bCs/>
                                <w:color w:val="000000" w:themeColor="text1"/>
                                <w:sz w:val="20"/>
                                <w:szCs w:val="20"/>
                                <w:lang w:val="en-US"/>
                              </w:rPr>
                              <w:t xml:space="preserve"> </w:t>
                            </w:r>
                            <w:r w:rsidRPr="00993BD6">
                              <w:rPr>
                                <w:b/>
                                <w:bCs/>
                                <w:color w:val="000000" w:themeColor="text1"/>
                                <w:sz w:val="20"/>
                                <w:szCs w:val="20"/>
                                <w:lang w:val="en-US"/>
                              </w:rPr>
                              <w:t>2382-0039</w:t>
                            </w:r>
                            <w:r w:rsidR="00B11109">
                              <w:rPr>
                                <w:b/>
                                <w:bCs/>
                                <w:color w:val="000000" w:themeColor="text1"/>
                                <w:sz w:val="20"/>
                                <w:szCs w:val="20"/>
                                <w:lang w:val="en-US"/>
                              </w:rPr>
                              <w:t xml:space="preserve"> (</w:t>
                            </w:r>
                            <w:r w:rsidRPr="00993BD6">
                              <w:rPr>
                                <w:b/>
                                <w:bCs/>
                                <w:color w:val="000000" w:themeColor="text1"/>
                                <w:sz w:val="20"/>
                                <w:szCs w:val="20"/>
                                <w:lang w:val="en-US"/>
                              </w:rPr>
                              <w:t>Print</w:t>
                            </w:r>
                            <w:r w:rsidR="00B11109">
                              <w:rPr>
                                <w:b/>
                                <w:bCs/>
                                <w:color w:val="000000" w:themeColor="text1"/>
                                <w:sz w:val="20"/>
                                <w:szCs w:val="20"/>
                                <w:lang w:val="en-US"/>
                              </w:rPr>
                              <w:t>)</w:t>
                            </w:r>
                          </w:p>
                          <w:p w14:paraId="40CB2A27" w14:textId="51F462E5" w:rsidR="00993BD6" w:rsidRDefault="00993BD6" w:rsidP="00993BD6">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sidR="0029059D">
                              <w:rPr>
                                <w:rFonts w:cs="Calibri"/>
                                <w:color w:val="000000"/>
                                <w:sz w:val="20"/>
                                <w:szCs w:val="20"/>
                                <w:lang w:eastAsia="en-NZ"/>
                              </w:rPr>
                              <w:t>October</w:t>
                            </w:r>
                            <w:r w:rsidRPr="00117E0B">
                              <w:rPr>
                                <w:rFonts w:cs="Calibri"/>
                                <w:color w:val="000000"/>
                                <w:sz w:val="20"/>
                                <w:szCs w:val="20"/>
                                <w:lang w:eastAsia="en-NZ"/>
                              </w:rPr>
                              <w:t xml:space="preserve"> 2026</w:t>
                            </w:r>
                          </w:p>
                          <w:p w14:paraId="4D1CF1E9" w14:textId="77777777" w:rsidR="00993BD6" w:rsidRDefault="00993BD6" w:rsidP="00993BD6">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0FC7F31F" w14:textId="77777777" w:rsidR="0029059D" w:rsidRPr="0029059D" w:rsidRDefault="0029059D" w:rsidP="0029059D">
                            <w:pPr>
                              <w:spacing w:before="20" w:after="40" w:line="240" w:lineRule="auto"/>
                              <w:rPr>
                                <w:rFonts w:cs="Calibri"/>
                                <w:color w:val="000000"/>
                                <w:sz w:val="20"/>
                                <w:szCs w:val="20"/>
                                <w:lang w:val="en-US" w:eastAsia="en-NZ"/>
                              </w:rPr>
                            </w:pPr>
                            <w:r w:rsidRPr="0029059D">
                              <w:rPr>
                                <w:rFonts w:cs="Calibri"/>
                                <w:color w:val="000000"/>
                                <w:sz w:val="20"/>
                                <w:szCs w:val="20"/>
                                <w:lang w:val="en-US" w:eastAsia="en-NZ"/>
                              </w:rPr>
                              <w:t>The unique aspects of the PĪTAU-A-MANAIA and PANEL logo have been carefully carved by digital whakairo at Ariki Creative in Ōtautahi, Taane Flanagan, for the exclusive use for the Office of the Ombudsman.  All copyright and trade mark rights in the PĪTAU-A-MANAIA and PANEL Logo are owned by the Chief Ombudsman and authorised for use by the Office of the Ombudsman.</w:t>
                            </w:r>
                          </w:p>
                          <w:p w14:paraId="6A794604" w14:textId="77777777" w:rsidR="00993BD6" w:rsidRPr="00C34ED4" w:rsidRDefault="00993BD6" w:rsidP="00993BD6">
                            <w:pPr>
                              <w:spacing w:before="80" w:after="0" w:line="240" w:lineRule="auto"/>
                              <w:rPr>
                                <w:b/>
                                <w:bCs/>
                                <w:sz w:val="20"/>
                                <w:szCs w:val="20"/>
                              </w:rPr>
                            </w:pPr>
                            <w:r w:rsidRPr="00C34ED4">
                              <w:rPr>
                                <w:b/>
                                <w:bCs/>
                                <w:sz w:val="20"/>
                                <w:szCs w:val="20"/>
                              </w:rPr>
                              <w:t>Office of the Ombudsman  |  Wellington, New Zealand  |  www.ombudsman.parliament.nz</w:t>
                            </w:r>
                          </w:p>
                          <w:bookmarkEnd w:id="1"/>
                          <w:bookmarkEnd w:id="2"/>
                          <w:p w14:paraId="49800781" w14:textId="77777777" w:rsidR="00993BD6" w:rsidRPr="00117E0B" w:rsidRDefault="00993BD6" w:rsidP="00993BD6">
                            <w:pPr>
                              <w:spacing w:before="20" w:after="40" w:line="240" w:lineRule="auto"/>
                              <w:rPr>
                                <w:color w:val="000000" w:themeColor="text1"/>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80179" id="_x0000_s1027" type="#_x0000_t202" style="position:absolute;margin-left:68.3pt;margin-top:532.1pt;width:437.25pt;height:164.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" filled="f" stroked="f" strokeweight=".5pt">
                <v:textbox inset="0,0,0,0">
                  <w:txbxContent>
                    <w:p w14:paraId="0592B2A6" w14:textId="032A205D" w:rsidR="00993BD6" w:rsidRDefault="00993BD6" w:rsidP="00993BD6">
                      <w:pPr>
                        <w:spacing w:before="20" w:after="40" w:line="240" w:lineRule="auto"/>
                        <w:rPr>
                          <w:b/>
                          <w:color w:val="000000" w:themeColor="text1"/>
                          <w:sz w:val="20"/>
                          <w:szCs w:val="20"/>
                        </w:rPr>
                      </w:pPr>
                      <w:bookmarkStart w:id="3" w:name="_Hlk238810257"/>
                      <w:bookmarkStart w:id="4" w:name="_Hlk238810258"/>
                      <w:r w:rsidRPr="00993BD6">
                        <w:rPr>
                          <w:b/>
                          <w:color w:val="000000" w:themeColor="text1"/>
                          <w:sz w:val="20"/>
                          <w:szCs w:val="20"/>
                        </w:rPr>
                        <w:t>Pūrongo-ā-tau</w:t>
                      </w:r>
                      <w:r>
                        <w:rPr>
                          <w:b/>
                          <w:color w:val="000000" w:themeColor="text1"/>
                          <w:sz w:val="20"/>
                          <w:szCs w:val="20"/>
                        </w:rPr>
                        <w:t xml:space="preserve">. </w:t>
                      </w:r>
                      <w:r w:rsidRPr="00993BD6">
                        <w:rPr>
                          <w:b/>
                          <w:color w:val="000000" w:themeColor="text1"/>
                          <w:sz w:val="20"/>
                          <w:szCs w:val="20"/>
                        </w:rPr>
                        <w:t>Annual Report 2025/2026</w:t>
                      </w:r>
                      <w:r w:rsidR="0029059D">
                        <w:rPr>
                          <w:b/>
                          <w:color w:val="000000" w:themeColor="text1"/>
                          <w:sz w:val="20"/>
                          <w:szCs w:val="20"/>
                        </w:rPr>
                        <w:t xml:space="preserve"> </w:t>
                      </w:r>
                      <w:r w:rsidRPr="00993BD6">
                        <w:rPr>
                          <w:b/>
                          <w:color w:val="000000" w:themeColor="text1"/>
                          <w:sz w:val="20"/>
                          <w:szCs w:val="20"/>
                        </w:rPr>
                        <w:t>for the year ended 30 June 2026</w:t>
                      </w:r>
                    </w:p>
                    <w:p w14:paraId="05D60BC1" w14:textId="77777777" w:rsidR="00993BD6" w:rsidRPr="00993BD6" w:rsidRDefault="00993BD6" w:rsidP="00993BD6">
                      <w:pPr>
                        <w:spacing w:before="20" w:after="40" w:line="240" w:lineRule="auto"/>
                        <w:rPr>
                          <w:b/>
                          <w:bCs/>
                          <w:color w:val="000000" w:themeColor="text1"/>
                          <w:sz w:val="20"/>
                          <w:szCs w:val="20"/>
                          <w:lang w:val="en-US"/>
                        </w:rPr>
                      </w:pPr>
                      <w:r w:rsidRPr="00993BD6">
                        <w:rPr>
                          <w:b/>
                          <w:bCs/>
                          <w:color w:val="000000" w:themeColor="text1"/>
                          <w:sz w:val="20"/>
                          <w:szCs w:val="20"/>
                          <w:lang w:val="en-US"/>
                        </w:rPr>
                        <w:t>Chief Ombudsman’s Annual Report 2025/2026</w:t>
                      </w:r>
                    </w:p>
                    <w:p w14:paraId="7F8DA0FC" w14:textId="0546BC9E" w:rsidR="00993BD6" w:rsidRPr="00993BD6" w:rsidRDefault="00993BD6" w:rsidP="00993BD6">
                      <w:pPr>
                        <w:spacing w:before="20" w:after="40" w:line="240" w:lineRule="auto"/>
                        <w:rPr>
                          <w:b/>
                          <w:bCs/>
                          <w:color w:val="000000" w:themeColor="text1"/>
                          <w:sz w:val="20"/>
                          <w:szCs w:val="20"/>
                          <w:lang w:val="en-US"/>
                        </w:rPr>
                      </w:pPr>
                      <w:r w:rsidRPr="00993BD6">
                        <w:rPr>
                          <w:b/>
                          <w:bCs/>
                          <w:color w:val="000000" w:themeColor="text1"/>
                          <w:sz w:val="20"/>
                          <w:szCs w:val="20"/>
                          <w:lang w:val="en-US"/>
                        </w:rPr>
                        <w:t>ISSN</w:t>
                      </w:r>
                      <w:r w:rsidR="00B11109">
                        <w:rPr>
                          <w:b/>
                          <w:bCs/>
                          <w:color w:val="000000" w:themeColor="text1"/>
                          <w:sz w:val="20"/>
                          <w:szCs w:val="20"/>
                          <w:lang w:val="en-US"/>
                        </w:rPr>
                        <w:t xml:space="preserve"> </w:t>
                      </w:r>
                      <w:r w:rsidRPr="00993BD6">
                        <w:rPr>
                          <w:b/>
                          <w:bCs/>
                          <w:color w:val="000000" w:themeColor="text1"/>
                          <w:sz w:val="20"/>
                          <w:szCs w:val="20"/>
                          <w:lang w:val="en-US"/>
                        </w:rPr>
                        <w:t>2382-0047</w:t>
                      </w:r>
                      <w:r w:rsidR="00B11109">
                        <w:rPr>
                          <w:b/>
                          <w:bCs/>
                          <w:color w:val="000000" w:themeColor="text1"/>
                          <w:sz w:val="20"/>
                          <w:szCs w:val="20"/>
                          <w:lang w:val="en-US"/>
                        </w:rPr>
                        <w:t xml:space="preserve"> (</w:t>
                      </w:r>
                      <w:r w:rsidRPr="00993BD6">
                        <w:rPr>
                          <w:b/>
                          <w:bCs/>
                          <w:color w:val="000000" w:themeColor="text1"/>
                          <w:sz w:val="20"/>
                          <w:szCs w:val="20"/>
                          <w:lang w:val="en-US"/>
                        </w:rPr>
                        <w:t>PDF</w:t>
                      </w:r>
                      <w:r w:rsidR="00B11109">
                        <w:rPr>
                          <w:b/>
                          <w:bCs/>
                          <w:color w:val="000000" w:themeColor="text1"/>
                          <w:sz w:val="20"/>
                          <w:szCs w:val="20"/>
                          <w:lang w:val="en-US"/>
                        </w:rPr>
                        <w:t>)</w:t>
                      </w:r>
                    </w:p>
                    <w:p w14:paraId="66F149AC" w14:textId="0524786D" w:rsidR="00993BD6" w:rsidRPr="00993BD6" w:rsidRDefault="00993BD6" w:rsidP="00993BD6">
                      <w:pPr>
                        <w:spacing w:before="20" w:after="40" w:line="240" w:lineRule="auto"/>
                        <w:rPr>
                          <w:b/>
                          <w:bCs/>
                          <w:color w:val="000000" w:themeColor="text1"/>
                          <w:sz w:val="20"/>
                          <w:szCs w:val="20"/>
                          <w:lang w:val="en-US"/>
                        </w:rPr>
                      </w:pPr>
                      <w:r w:rsidRPr="00993BD6">
                        <w:rPr>
                          <w:b/>
                          <w:bCs/>
                          <w:color w:val="000000" w:themeColor="text1"/>
                          <w:sz w:val="20"/>
                          <w:szCs w:val="20"/>
                          <w:lang w:val="en-US"/>
                        </w:rPr>
                        <w:t>ISSN</w:t>
                      </w:r>
                      <w:r w:rsidR="00B11109">
                        <w:rPr>
                          <w:b/>
                          <w:bCs/>
                          <w:color w:val="000000" w:themeColor="text1"/>
                          <w:sz w:val="20"/>
                          <w:szCs w:val="20"/>
                          <w:lang w:val="en-US"/>
                        </w:rPr>
                        <w:t xml:space="preserve"> </w:t>
                      </w:r>
                      <w:r w:rsidRPr="00993BD6">
                        <w:rPr>
                          <w:b/>
                          <w:bCs/>
                          <w:color w:val="000000" w:themeColor="text1"/>
                          <w:sz w:val="20"/>
                          <w:szCs w:val="20"/>
                          <w:lang w:val="en-US"/>
                        </w:rPr>
                        <w:t>2382-0039</w:t>
                      </w:r>
                      <w:r w:rsidR="00B11109">
                        <w:rPr>
                          <w:b/>
                          <w:bCs/>
                          <w:color w:val="000000" w:themeColor="text1"/>
                          <w:sz w:val="20"/>
                          <w:szCs w:val="20"/>
                          <w:lang w:val="en-US"/>
                        </w:rPr>
                        <w:t xml:space="preserve"> (</w:t>
                      </w:r>
                      <w:r w:rsidRPr="00993BD6">
                        <w:rPr>
                          <w:b/>
                          <w:bCs/>
                          <w:color w:val="000000" w:themeColor="text1"/>
                          <w:sz w:val="20"/>
                          <w:szCs w:val="20"/>
                          <w:lang w:val="en-US"/>
                        </w:rPr>
                        <w:t>Print</w:t>
                      </w:r>
                      <w:r w:rsidR="00B11109">
                        <w:rPr>
                          <w:b/>
                          <w:bCs/>
                          <w:color w:val="000000" w:themeColor="text1"/>
                          <w:sz w:val="20"/>
                          <w:szCs w:val="20"/>
                          <w:lang w:val="en-US"/>
                        </w:rPr>
                        <w:t>)</w:t>
                      </w:r>
                    </w:p>
                    <w:p w14:paraId="40CB2A27" w14:textId="51F462E5" w:rsidR="00993BD6" w:rsidRDefault="00993BD6" w:rsidP="00993BD6">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sidR="0029059D">
                        <w:rPr>
                          <w:rFonts w:cs="Calibri"/>
                          <w:color w:val="000000"/>
                          <w:sz w:val="20"/>
                          <w:szCs w:val="20"/>
                          <w:lang w:eastAsia="en-NZ"/>
                        </w:rPr>
                        <w:t>October</w:t>
                      </w:r>
                      <w:r w:rsidRPr="00117E0B">
                        <w:rPr>
                          <w:rFonts w:cs="Calibri"/>
                          <w:color w:val="000000"/>
                          <w:sz w:val="20"/>
                          <w:szCs w:val="20"/>
                          <w:lang w:eastAsia="en-NZ"/>
                        </w:rPr>
                        <w:t xml:space="preserve"> 2026</w:t>
                      </w:r>
                    </w:p>
                    <w:p w14:paraId="4D1CF1E9" w14:textId="77777777" w:rsidR="00993BD6" w:rsidRDefault="00993BD6" w:rsidP="00993BD6">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0FC7F31F" w14:textId="77777777" w:rsidR="0029059D" w:rsidRPr="0029059D" w:rsidRDefault="0029059D" w:rsidP="0029059D">
                      <w:pPr>
                        <w:spacing w:before="20" w:after="40" w:line="240" w:lineRule="auto"/>
                        <w:rPr>
                          <w:rFonts w:cs="Calibri"/>
                          <w:color w:val="000000"/>
                          <w:sz w:val="20"/>
                          <w:szCs w:val="20"/>
                          <w:lang w:val="en-US" w:eastAsia="en-NZ"/>
                        </w:rPr>
                      </w:pPr>
                      <w:r w:rsidRPr="0029059D">
                        <w:rPr>
                          <w:rFonts w:cs="Calibri"/>
                          <w:color w:val="000000"/>
                          <w:sz w:val="20"/>
                          <w:szCs w:val="20"/>
                          <w:lang w:val="en-US" w:eastAsia="en-NZ"/>
                        </w:rPr>
                        <w:t>The unique aspects of the PĪTAU-A-MANAIA and PANEL logo have been carefully carved by digital whakairo at Ariki Creative in Ōtautahi, Taane Flanagan, for the exclusive use for the Office of the Ombudsman.  All copyright and trade mark rights in the PĪTAU-A-MANAIA and PANEL Logo are owned by the Chief Ombudsman and authorised for use by the Office of the Ombudsman.</w:t>
                      </w:r>
                    </w:p>
                    <w:p w14:paraId="6A794604" w14:textId="77777777" w:rsidR="00993BD6" w:rsidRPr="00C34ED4" w:rsidRDefault="00993BD6" w:rsidP="00993BD6">
                      <w:pPr>
                        <w:spacing w:before="80" w:after="0" w:line="240" w:lineRule="auto"/>
                        <w:rPr>
                          <w:b/>
                          <w:bCs/>
                          <w:sz w:val="20"/>
                          <w:szCs w:val="20"/>
                        </w:rPr>
                      </w:pPr>
                      <w:r w:rsidRPr="00C34ED4">
                        <w:rPr>
                          <w:b/>
                          <w:bCs/>
                          <w:sz w:val="20"/>
                          <w:szCs w:val="20"/>
                        </w:rPr>
                        <w:t>Office of the Ombudsman  |  Wellington, New Zealand  |  www.ombudsman.parliament.nz</w:t>
                      </w:r>
                    </w:p>
                    <w:bookmarkEnd w:id="3"/>
                    <w:bookmarkEnd w:id="4"/>
                    <w:p w14:paraId="49800781" w14:textId="77777777" w:rsidR="00993BD6" w:rsidRPr="00117E0B" w:rsidRDefault="00993BD6" w:rsidP="00993BD6">
                      <w:pPr>
                        <w:spacing w:before="20" w:after="40" w:line="240" w:lineRule="auto"/>
                        <w:rPr>
                          <w:color w:val="000000" w:themeColor="text1"/>
                          <w:sz w:val="20"/>
                          <w:szCs w:val="20"/>
                        </w:rPr>
                      </w:pPr>
                    </w:p>
                  </w:txbxContent>
                </v:textbox>
                <w10:wrap type="square" anchory="margin"/>
              </v:shape>
            </w:pict>
          </mc:Fallback>
        </mc:AlternateContent>
      </w:r>
      <w:r w:rsidR="009003B5">
        <w:br w:type="page"/>
      </w:r>
    </w:p>
    <w:p w14:paraId="55514809" w14:textId="77777777" w:rsidR="006C0701" w:rsidRPr="00097107" w:rsidRDefault="006C0701" w:rsidP="006C0701">
      <w:pPr>
        <w:spacing w:line="276" w:lineRule="auto"/>
      </w:pPr>
      <w:r w:rsidRPr="00097107">
        <w:lastRenderedPageBreak/>
        <w:t xml:space="preserve">Mr </w:t>
      </w:r>
      <w:r>
        <w:t>Speaker</w:t>
      </w:r>
    </w:p>
    <w:p w14:paraId="2A4562C1" w14:textId="47C97877" w:rsidR="006C0701" w:rsidRDefault="006C0701" w:rsidP="006C0701">
      <w:pPr>
        <w:spacing w:after="240"/>
      </w:pPr>
      <w:r>
        <w:t xml:space="preserve">I submit to </w:t>
      </w:r>
      <w:r w:rsidRPr="00097107">
        <w:t>you my report for the year 1 July 202</w:t>
      </w:r>
      <w:r>
        <w:t>5</w:t>
      </w:r>
      <w:r w:rsidRPr="00097107">
        <w:t xml:space="preserve"> to 30 June 202</w:t>
      </w:r>
      <w:r>
        <w:t>6</w:t>
      </w:r>
      <w:r w:rsidRPr="00097107">
        <w:t xml:space="preserve">. </w:t>
      </w:r>
    </w:p>
    <w:p w14:paraId="0261BFCD" w14:textId="77777777" w:rsidR="00347609" w:rsidRDefault="00347609" w:rsidP="006C0701">
      <w:pPr>
        <w:spacing w:after="240"/>
      </w:pPr>
    </w:p>
    <w:p w14:paraId="54E4B6B4" w14:textId="644692B0" w:rsidR="00347609" w:rsidRDefault="00FB061B" w:rsidP="006C0701">
      <w:pPr>
        <w:spacing w:after="240"/>
      </w:pPr>
      <w:r>
        <w:rPr>
          <w:noProof/>
        </w:rPr>
        <w:drawing>
          <wp:inline distT="0" distB="0" distL="0" distR="0" wp14:anchorId="027658B0" wp14:editId="5AB082C8">
            <wp:extent cx="1655064" cy="594360"/>
            <wp:effectExtent l="0" t="0" r="2540" b="0"/>
            <wp:docPr id="1761200731" name="Picture 1" descr="John Alle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00731" name="Picture 1" descr="John Allen signatur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5064" cy="594360"/>
                    </a:xfrm>
                    <a:prstGeom prst="rect">
                      <a:avLst/>
                    </a:prstGeom>
                  </pic:spPr>
                </pic:pic>
              </a:graphicData>
            </a:graphic>
          </wp:inline>
        </w:drawing>
      </w:r>
    </w:p>
    <w:p w14:paraId="42EA45A7" w14:textId="77777777" w:rsidR="006C0701" w:rsidRPr="00097107" w:rsidRDefault="006C0701" w:rsidP="006C0701">
      <w:pPr>
        <w:spacing w:after="1200"/>
        <w:rPr>
          <w:color w:val="696969"/>
        </w:rPr>
      </w:pPr>
      <w:r>
        <w:t xml:space="preserve">John Allen, </w:t>
      </w:r>
      <w:r w:rsidRPr="00097107">
        <w:t>Chief Ombudsman</w:t>
      </w:r>
    </w:p>
    <w:p w14:paraId="05011939" w14:textId="77777777" w:rsidR="00AB2FA6" w:rsidRPr="007A27D1" w:rsidRDefault="00AB2FA6" w:rsidP="00AB2FA6">
      <w:pPr>
        <w:pStyle w:val="Singlespacedparagraph"/>
      </w:pPr>
      <w:proofErr w:type="spellStart"/>
      <w:r w:rsidRPr="007A27D1">
        <w:t>Pūrongorongo</w:t>
      </w:r>
      <w:proofErr w:type="spellEnd"/>
      <w:r w:rsidRPr="007A27D1">
        <w:t xml:space="preserve"> o </w:t>
      </w:r>
      <w:proofErr w:type="spellStart"/>
      <w:r w:rsidRPr="007A27D1">
        <w:t>te</w:t>
      </w:r>
      <w:proofErr w:type="spellEnd"/>
      <w:r w:rsidRPr="007A27D1">
        <w:t xml:space="preserve"> Kaitiaki Mana </w:t>
      </w:r>
      <w:proofErr w:type="spellStart"/>
      <w:r w:rsidRPr="007A27D1">
        <w:t>Tangata</w:t>
      </w:r>
      <w:proofErr w:type="spellEnd"/>
      <w:r w:rsidRPr="007A27D1">
        <w:t xml:space="preserve"> </w:t>
      </w:r>
      <w:proofErr w:type="spellStart"/>
      <w:r w:rsidRPr="007A27D1">
        <w:t>mo</w:t>
      </w:r>
      <w:proofErr w:type="spellEnd"/>
      <w:r w:rsidRPr="007A27D1">
        <w:t xml:space="preserve"> </w:t>
      </w:r>
      <w:proofErr w:type="spellStart"/>
      <w:r w:rsidRPr="007A27D1">
        <w:t>te</w:t>
      </w:r>
      <w:proofErr w:type="spellEnd"/>
      <w:r w:rsidRPr="007A27D1">
        <w:t xml:space="preserve"> tau </w:t>
      </w:r>
      <w:proofErr w:type="spellStart"/>
      <w:r w:rsidRPr="007A27D1">
        <w:t>i</w:t>
      </w:r>
      <w:proofErr w:type="spellEnd"/>
      <w:r w:rsidRPr="007A27D1">
        <w:t xml:space="preserve"> </w:t>
      </w:r>
      <w:proofErr w:type="spellStart"/>
      <w:r w:rsidRPr="007A27D1">
        <w:t>mutu</w:t>
      </w:r>
      <w:proofErr w:type="spellEnd"/>
      <w:r w:rsidRPr="007A27D1">
        <w:t xml:space="preserve"> </w:t>
      </w:r>
      <w:proofErr w:type="spellStart"/>
      <w:r w:rsidRPr="007A27D1">
        <w:t>i</w:t>
      </w:r>
      <w:proofErr w:type="spellEnd"/>
      <w:r w:rsidRPr="007A27D1">
        <w:t xml:space="preserve"> </w:t>
      </w:r>
      <w:proofErr w:type="spellStart"/>
      <w:r w:rsidRPr="007A27D1">
        <w:t>te</w:t>
      </w:r>
      <w:proofErr w:type="spellEnd"/>
      <w:r w:rsidRPr="007A27D1">
        <w:t xml:space="preserve"> 30 </w:t>
      </w:r>
      <w:proofErr w:type="spellStart"/>
      <w:r w:rsidRPr="007A27D1">
        <w:t>Pipiri</w:t>
      </w:r>
      <w:proofErr w:type="spellEnd"/>
      <w:r w:rsidRPr="007A27D1">
        <w:t xml:space="preserve"> 2026</w:t>
      </w:r>
    </w:p>
    <w:p w14:paraId="163165EB" w14:textId="77777777" w:rsidR="00AB2FA6" w:rsidRPr="007A27D1" w:rsidRDefault="00AB2FA6" w:rsidP="00AB2FA6">
      <w:pPr>
        <w:pStyle w:val="Singlespacedparagraph"/>
      </w:pPr>
    </w:p>
    <w:p w14:paraId="001FA36B" w14:textId="77777777" w:rsidR="00AB2FA6" w:rsidRPr="007A27D1" w:rsidRDefault="00AB2FA6" w:rsidP="00AB2FA6">
      <w:pPr>
        <w:pStyle w:val="Singlespacedparagraph"/>
      </w:pPr>
      <w:r w:rsidRPr="007A27D1">
        <w:t>Report of the Ombudsman for the year ended 30 June 2026</w:t>
      </w:r>
    </w:p>
    <w:p w14:paraId="56703DBC" w14:textId="77777777" w:rsidR="006C0701" w:rsidRPr="00097107" w:rsidRDefault="006C0701" w:rsidP="006C0701">
      <w:pPr>
        <w:pStyle w:val="Singlespacedparagraph"/>
        <w:rPr>
          <w:color w:val="696969"/>
        </w:rPr>
      </w:pPr>
    </w:p>
    <w:p w14:paraId="2AFD30DC" w14:textId="77777777" w:rsidR="006C0701" w:rsidRPr="00097107" w:rsidRDefault="006C0701" w:rsidP="006C0701">
      <w:pPr>
        <w:pStyle w:val="Singlespacedparagraph"/>
        <w:rPr>
          <w:b/>
          <w:i/>
        </w:rPr>
      </w:pPr>
      <w:r w:rsidRPr="00097107">
        <w:rPr>
          <w:i/>
        </w:rPr>
        <w:t>Presented to the House of Representatives pursuant to section 29 of the Ombudsmen Act 1975</w:t>
      </w:r>
    </w:p>
    <w:p w14:paraId="4E484069" w14:textId="77777777" w:rsidR="006C0701" w:rsidRPr="00097107" w:rsidRDefault="006C0701" w:rsidP="006C0701">
      <w:pPr>
        <w:spacing w:line="276" w:lineRule="auto"/>
      </w:pPr>
    </w:p>
    <w:p w14:paraId="44DBE9D7" w14:textId="72F80C46" w:rsidR="002019B0" w:rsidRDefault="006C0701" w:rsidP="002019B0">
      <w:pPr>
        <w:spacing w:line="276" w:lineRule="auto"/>
      </w:pPr>
      <w:r w:rsidRPr="00097107">
        <w:rPr>
          <w:rStyle w:val="Emphasis"/>
        </w:rPr>
        <w:t>NB:</w:t>
      </w:r>
      <w:r w:rsidRPr="00097107">
        <w:t xml:space="preserve"> This is </w:t>
      </w:r>
      <w:r w:rsidR="002019B0">
        <w:t>the accessible word version of the annual report. Some visual elements have been presented in text form in the appendix.</w:t>
      </w:r>
    </w:p>
    <w:p w14:paraId="526C7B5E" w14:textId="4F140B43" w:rsidR="009C0710" w:rsidRPr="00BE4BB3" w:rsidRDefault="0004457C" w:rsidP="009C0710">
      <w:r>
        <w:tab/>
      </w:r>
    </w:p>
    <w:p w14:paraId="26C5A6D2" w14:textId="77777777" w:rsidR="009C0710" w:rsidRDefault="009C0710" w:rsidP="009C0710">
      <w:pPr>
        <w:pStyle w:val="Singlespacedparagraph"/>
        <w:rPr>
          <w:color w:val="696969"/>
        </w:rPr>
      </w:pPr>
    </w:p>
    <w:p w14:paraId="079D8409" w14:textId="77777777" w:rsidR="009C0710" w:rsidRDefault="009C0710" w:rsidP="009C0710">
      <w:pPr>
        <w:pStyle w:val="Singlespacedparagraph"/>
        <w:rPr>
          <w:color w:val="696969"/>
        </w:rPr>
      </w:pPr>
    </w:p>
    <w:p w14:paraId="40DEF428" w14:textId="77777777" w:rsidR="009C0710" w:rsidRDefault="009C0710" w:rsidP="009C0710">
      <w:pPr>
        <w:pStyle w:val="Singlespacedparagraph"/>
        <w:rPr>
          <w:color w:val="696969"/>
        </w:rPr>
      </w:pPr>
    </w:p>
    <w:p w14:paraId="444986C9" w14:textId="77777777" w:rsidR="009C0710" w:rsidRDefault="009C0710" w:rsidP="009C0710">
      <w:pPr>
        <w:pStyle w:val="Singlespacedparagraph"/>
        <w:rPr>
          <w:color w:val="696969"/>
        </w:rPr>
      </w:pPr>
    </w:p>
    <w:p w14:paraId="53C4A835" w14:textId="77777777" w:rsidR="009C0710" w:rsidRDefault="009C0710" w:rsidP="009C0710">
      <w:pPr>
        <w:pStyle w:val="Singlespacedparagraph"/>
        <w:rPr>
          <w:color w:val="696969"/>
        </w:rPr>
      </w:pPr>
    </w:p>
    <w:p w14:paraId="3A75D544" w14:textId="77777777" w:rsidR="009C0710" w:rsidRDefault="009C0710" w:rsidP="009C0710">
      <w:pPr>
        <w:pStyle w:val="Singlespacedparagraph"/>
        <w:rPr>
          <w:color w:val="696969"/>
        </w:rPr>
      </w:pPr>
    </w:p>
    <w:p w14:paraId="55836DA4" w14:textId="77777777" w:rsidR="009C0710" w:rsidRDefault="009C0710" w:rsidP="009C0710">
      <w:pPr>
        <w:pStyle w:val="Singlespacedparagraph"/>
        <w:rPr>
          <w:color w:val="696969"/>
        </w:rPr>
      </w:pPr>
    </w:p>
    <w:p w14:paraId="2E12018C" w14:textId="77777777" w:rsidR="009C0710" w:rsidRDefault="009C0710" w:rsidP="009C0710">
      <w:pPr>
        <w:pStyle w:val="Singlespacedparagraph"/>
        <w:rPr>
          <w:color w:val="696969"/>
        </w:rPr>
      </w:pPr>
    </w:p>
    <w:p w14:paraId="03D230F4" w14:textId="77777777" w:rsidR="009C0710" w:rsidRDefault="009C0710" w:rsidP="009C0710">
      <w:pPr>
        <w:pStyle w:val="Singlespacedparagraph"/>
        <w:rPr>
          <w:color w:val="696969"/>
        </w:rPr>
      </w:pPr>
    </w:p>
    <w:p w14:paraId="31ACB2FE" w14:textId="77777777" w:rsidR="009C0710" w:rsidRDefault="009C0710" w:rsidP="009C0710">
      <w:pPr>
        <w:pStyle w:val="Singlespacedparagraph"/>
        <w:rPr>
          <w:color w:val="696969"/>
        </w:rPr>
      </w:pPr>
    </w:p>
    <w:p w14:paraId="495B9683" w14:textId="77777777" w:rsidR="009C0710" w:rsidRDefault="009C0710" w:rsidP="009C0710">
      <w:pPr>
        <w:pStyle w:val="Singlespacedparagraph"/>
        <w:rPr>
          <w:color w:val="696969"/>
        </w:rPr>
      </w:pPr>
    </w:p>
    <w:p w14:paraId="59A9EA11" w14:textId="77777777" w:rsidR="009C0710" w:rsidRDefault="009C0710" w:rsidP="009C0710">
      <w:pPr>
        <w:pStyle w:val="Singlespacedparagraph"/>
        <w:rPr>
          <w:color w:val="696969"/>
        </w:rPr>
      </w:pPr>
    </w:p>
    <w:p w14:paraId="66857D24" w14:textId="77777777" w:rsidR="009C0710" w:rsidRDefault="009C0710" w:rsidP="009C0710">
      <w:pPr>
        <w:pStyle w:val="Singlespacedparagraph"/>
        <w:rPr>
          <w:color w:val="696969"/>
        </w:rPr>
      </w:pPr>
    </w:p>
    <w:p w14:paraId="2A1ECEA8" w14:textId="77777777" w:rsidR="009C0710" w:rsidRDefault="009C0710" w:rsidP="009C0710">
      <w:pPr>
        <w:pStyle w:val="Singlespacedparagraph"/>
        <w:rPr>
          <w:color w:val="696969"/>
        </w:rPr>
      </w:pPr>
    </w:p>
    <w:p w14:paraId="7AEAD12E" w14:textId="77777777" w:rsidR="009C0710" w:rsidRDefault="009C0710" w:rsidP="009C0710">
      <w:pPr>
        <w:pStyle w:val="Singlespacedparagraph"/>
        <w:rPr>
          <w:color w:val="696969"/>
        </w:rPr>
      </w:pPr>
    </w:p>
    <w:p w14:paraId="1D67BCDC" w14:textId="77777777" w:rsidR="009C0710" w:rsidRDefault="009C0710" w:rsidP="009C0710">
      <w:pPr>
        <w:pStyle w:val="Singlespacedparagraph"/>
        <w:rPr>
          <w:color w:val="696969"/>
        </w:rPr>
      </w:pPr>
    </w:p>
    <w:p w14:paraId="2FC5142C" w14:textId="77777777" w:rsidR="009C0710" w:rsidRDefault="009C0710" w:rsidP="009C0710">
      <w:pPr>
        <w:pStyle w:val="Singlespacedparagraph"/>
        <w:rPr>
          <w:color w:val="696969"/>
        </w:rPr>
      </w:pPr>
    </w:p>
    <w:p w14:paraId="36A3A411" w14:textId="77777777" w:rsidR="009C0710" w:rsidRDefault="009C0710" w:rsidP="009C0710">
      <w:pPr>
        <w:pStyle w:val="Singlespacedparagraph"/>
        <w:rPr>
          <w:color w:val="696969"/>
        </w:rPr>
      </w:pPr>
    </w:p>
    <w:p w14:paraId="3ED9EFFA" w14:textId="77777777" w:rsidR="009C0710" w:rsidRDefault="009C0710" w:rsidP="009C0710">
      <w:pPr>
        <w:pStyle w:val="Singlespacedparagraph"/>
        <w:rPr>
          <w:color w:val="696969"/>
        </w:rPr>
      </w:pPr>
    </w:p>
    <w:p w14:paraId="49D80E74" w14:textId="77777777" w:rsidR="009C0710" w:rsidRDefault="009C0710" w:rsidP="009C0710">
      <w:pPr>
        <w:pStyle w:val="Singlespacedparagraph"/>
        <w:rPr>
          <w:color w:val="696969"/>
        </w:rPr>
      </w:pPr>
    </w:p>
    <w:p w14:paraId="00AF60AB" w14:textId="77777777" w:rsidR="009C0710" w:rsidRDefault="009C0710" w:rsidP="009C0710">
      <w:pPr>
        <w:pStyle w:val="Singlespacedparagraph"/>
        <w:rPr>
          <w:color w:val="696969"/>
        </w:rPr>
      </w:pPr>
    </w:p>
    <w:p w14:paraId="631C4281" w14:textId="77777777" w:rsidR="001A4DCB" w:rsidRDefault="001A4DCB" w:rsidP="009C0710">
      <w:pPr>
        <w:pStyle w:val="Singlespacedparagraph"/>
        <w:rPr>
          <w:color w:val="696969"/>
        </w:rPr>
      </w:pPr>
    </w:p>
    <w:p w14:paraId="22C515DC" w14:textId="77777777" w:rsidR="00BB1451" w:rsidRPr="00AB2FA6" w:rsidRDefault="00BA644C" w:rsidP="00BA644C">
      <w:pPr>
        <w:pStyle w:val="TOCHeading"/>
        <w:rPr>
          <w:color w:val="017E5D"/>
        </w:rPr>
      </w:pPr>
      <w:r w:rsidRPr="00A12408">
        <w:rPr>
          <w:color w:val="017E5D"/>
        </w:rPr>
        <w:t>Contents</w:t>
      </w:r>
    </w:p>
    <w:p w14:paraId="7DE45B9B" w14:textId="53AC6EA8" w:rsidR="00BA644C" w:rsidRPr="002813D8" w:rsidRDefault="00CC7A9E" w:rsidP="00BA644C">
      <w:pPr>
        <w:pStyle w:val="TOCContents"/>
        <w:rPr>
          <w:color w:val="017E5D"/>
        </w:rPr>
      </w:pPr>
      <w:r w:rsidRPr="00AB2FA6">
        <w:rPr>
          <w:color w:val="017E5D"/>
        </w:rPr>
        <w:t>1:</w:t>
      </w:r>
      <w:r w:rsidR="00BA644C" w:rsidRPr="00AB2FA6">
        <w:rPr>
          <w:color w:val="017E5D"/>
        </w:rPr>
        <w:t xml:space="preserve"> </w:t>
      </w:r>
      <w:r>
        <w:rPr>
          <w:color w:val="017E5D"/>
        </w:rPr>
        <w:t xml:space="preserve">Introduction </w:t>
      </w:r>
      <w:r w:rsidR="00BA644C" w:rsidRPr="00AB2FA6">
        <w:rPr>
          <w:color w:val="017E5D"/>
        </w:rPr>
        <w:tab/>
      </w:r>
      <w:hyperlink w:anchor="_Introduction" w:history="1">
        <w:r w:rsidR="008C22E3">
          <w:rPr>
            <w:rStyle w:val="Hyperlink"/>
            <w:color w:val="017E5D"/>
            <w:u w:val="none"/>
          </w:rPr>
          <w:t>5</w:t>
        </w:r>
      </w:hyperlink>
    </w:p>
    <w:p w14:paraId="3C9B3C79" w14:textId="77777777" w:rsidR="00BA644C" w:rsidRPr="002813D8" w:rsidRDefault="00BA644C" w:rsidP="00BA644C">
      <w:pPr>
        <w:pStyle w:val="Whitespace"/>
        <w:rPr>
          <w:color w:val="017E5D"/>
        </w:rPr>
      </w:pPr>
    </w:p>
    <w:p w14:paraId="2A6BCED7" w14:textId="4A55A4E2" w:rsidR="00BA644C" w:rsidRPr="002813D8" w:rsidRDefault="00CC7A9E" w:rsidP="00BA644C">
      <w:pPr>
        <w:pStyle w:val="TOCContents"/>
        <w:rPr>
          <w:color w:val="017E5D"/>
        </w:rPr>
      </w:pPr>
      <w:r w:rsidRPr="002813D8">
        <w:rPr>
          <w:color w:val="017E5D"/>
        </w:rPr>
        <w:t>2:</w:t>
      </w:r>
      <w:r w:rsidR="00BA644C" w:rsidRPr="002813D8">
        <w:rPr>
          <w:color w:val="017E5D"/>
        </w:rPr>
        <w:t xml:space="preserve"> </w:t>
      </w:r>
      <w:r w:rsidR="00843E0B">
        <w:rPr>
          <w:color w:val="017E5D"/>
        </w:rPr>
        <w:t>A</w:t>
      </w:r>
      <w:r w:rsidR="00843E0B" w:rsidRPr="002813D8">
        <w:rPr>
          <w:color w:val="017E5D"/>
        </w:rPr>
        <w:t xml:space="preserve">t </w:t>
      </w:r>
      <w:r w:rsidRPr="002813D8">
        <w:rPr>
          <w:color w:val="017E5D"/>
        </w:rPr>
        <w:t xml:space="preserve">a glance </w:t>
      </w:r>
      <w:r w:rsidR="00BA644C" w:rsidRPr="002813D8">
        <w:rPr>
          <w:color w:val="017E5D"/>
        </w:rPr>
        <w:tab/>
      </w:r>
      <w:hyperlink w:anchor="_At_a_glance" w:history="1">
        <w:r w:rsidR="008C22E3">
          <w:rPr>
            <w:rStyle w:val="Hyperlink"/>
            <w:color w:val="017E5D"/>
            <w:u w:val="none"/>
          </w:rPr>
          <w:t>7</w:t>
        </w:r>
      </w:hyperlink>
    </w:p>
    <w:p w14:paraId="04EAE2A1" w14:textId="77777777" w:rsidR="00BA644C" w:rsidRPr="002813D8" w:rsidRDefault="00BA644C" w:rsidP="00BA644C">
      <w:pPr>
        <w:pStyle w:val="Whitespace"/>
        <w:rPr>
          <w:color w:val="017E5D"/>
        </w:rPr>
      </w:pPr>
    </w:p>
    <w:p w14:paraId="4204E9C5" w14:textId="4291AD72" w:rsidR="00BA644C" w:rsidRPr="002813D8" w:rsidRDefault="00CC7A9E" w:rsidP="00BA644C">
      <w:pPr>
        <w:pStyle w:val="TOCContents"/>
        <w:rPr>
          <w:color w:val="017E5D"/>
        </w:rPr>
      </w:pPr>
      <w:r w:rsidRPr="002813D8">
        <w:rPr>
          <w:color w:val="017E5D"/>
        </w:rPr>
        <w:t>3:</w:t>
      </w:r>
      <w:r w:rsidR="00BA644C" w:rsidRPr="002813D8">
        <w:rPr>
          <w:color w:val="017E5D"/>
        </w:rPr>
        <w:t xml:space="preserve"> Background</w:t>
      </w:r>
      <w:r w:rsidR="00BA644C" w:rsidRPr="002813D8">
        <w:rPr>
          <w:color w:val="017E5D"/>
        </w:rPr>
        <w:tab/>
      </w:r>
      <w:hyperlink w:anchor="_Background" w:history="1">
        <w:r w:rsidR="00E2716D">
          <w:rPr>
            <w:rStyle w:val="Hyperlink"/>
            <w:color w:val="017E5D"/>
            <w:u w:val="none"/>
          </w:rPr>
          <w:t>10</w:t>
        </w:r>
      </w:hyperlink>
    </w:p>
    <w:p w14:paraId="5188F5A5" w14:textId="77777777" w:rsidR="00BA644C" w:rsidRPr="002813D8" w:rsidRDefault="00BA644C" w:rsidP="00BA644C">
      <w:pPr>
        <w:pStyle w:val="Whitespace"/>
        <w:rPr>
          <w:color w:val="017E5D"/>
        </w:rPr>
      </w:pPr>
    </w:p>
    <w:p w14:paraId="0E4494EF" w14:textId="235CABDC" w:rsidR="00BA644C" w:rsidRPr="002813D8" w:rsidRDefault="00CC7A9E" w:rsidP="00BA644C">
      <w:pPr>
        <w:pStyle w:val="TOCContents"/>
        <w:rPr>
          <w:color w:val="017E5D"/>
        </w:rPr>
      </w:pPr>
      <w:r w:rsidRPr="002813D8">
        <w:rPr>
          <w:color w:val="017E5D"/>
        </w:rPr>
        <w:t>4:</w:t>
      </w:r>
      <w:r w:rsidR="00BA644C" w:rsidRPr="002813D8">
        <w:rPr>
          <w:color w:val="017E5D"/>
        </w:rPr>
        <w:t xml:space="preserve"> </w:t>
      </w:r>
      <w:r w:rsidR="00273806" w:rsidRPr="002813D8">
        <w:rPr>
          <w:color w:val="017E5D"/>
        </w:rPr>
        <w:t>Outcomes, impacts and o</w:t>
      </w:r>
      <w:r w:rsidRPr="002813D8">
        <w:rPr>
          <w:color w:val="017E5D"/>
        </w:rPr>
        <w:t>utputs</w:t>
      </w:r>
      <w:r w:rsidR="00BA644C" w:rsidRPr="002813D8">
        <w:rPr>
          <w:color w:val="017E5D"/>
        </w:rPr>
        <w:tab/>
      </w:r>
      <w:hyperlink w:anchor="_Impacts_and_our" w:history="1">
        <w:r w:rsidR="00E2716D">
          <w:rPr>
            <w:rStyle w:val="Hyperlink"/>
            <w:color w:val="017E5D"/>
            <w:u w:val="none"/>
          </w:rPr>
          <w:t>14</w:t>
        </w:r>
      </w:hyperlink>
    </w:p>
    <w:p w14:paraId="78124E11" w14:textId="77777777" w:rsidR="00BA644C" w:rsidRPr="002813D8" w:rsidRDefault="00BA644C" w:rsidP="00BA644C">
      <w:pPr>
        <w:pStyle w:val="Whitespace"/>
        <w:rPr>
          <w:color w:val="017E5D"/>
        </w:rPr>
      </w:pPr>
    </w:p>
    <w:p w14:paraId="7149D9AF" w14:textId="4F7736ED" w:rsidR="00BA644C" w:rsidRPr="002813D8" w:rsidRDefault="00CC7A9E" w:rsidP="00BA644C">
      <w:pPr>
        <w:pStyle w:val="TOCContents"/>
        <w:rPr>
          <w:color w:val="017E5D"/>
        </w:rPr>
      </w:pPr>
      <w:r w:rsidRPr="002813D8">
        <w:rPr>
          <w:color w:val="017E5D"/>
        </w:rPr>
        <w:t>5:</w:t>
      </w:r>
      <w:r w:rsidR="00BA644C" w:rsidRPr="002813D8">
        <w:rPr>
          <w:color w:val="017E5D"/>
        </w:rPr>
        <w:t xml:space="preserve"> </w:t>
      </w:r>
      <w:r w:rsidRPr="002813D8">
        <w:rPr>
          <w:color w:val="017E5D"/>
        </w:rPr>
        <w:t xml:space="preserve">Well-run office </w:t>
      </w:r>
      <w:r w:rsidR="00BA644C" w:rsidRPr="002813D8">
        <w:rPr>
          <w:color w:val="017E5D"/>
        </w:rPr>
        <w:tab/>
      </w:r>
      <w:hyperlink w:anchor="_Well-run_office" w:history="1">
        <w:r w:rsidR="00E2716D">
          <w:rPr>
            <w:rStyle w:val="Hyperlink"/>
            <w:color w:val="017E5D"/>
            <w:u w:val="none"/>
          </w:rPr>
          <w:t>48</w:t>
        </w:r>
      </w:hyperlink>
    </w:p>
    <w:p w14:paraId="393103FD" w14:textId="77777777" w:rsidR="00BA644C" w:rsidRPr="002813D8" w:rsidRDefault="00BA644C" w:rsidP="00BA644C">
      <w:pPr>
        <w:pStyle w:val="Whitespace"/>
        <w:rPr>
          <w:color w:val="017E5D"/>
        </w:rPr>
      </w:pPr>
    </w:p>
    <w:p w14:paraId="2872CCAA" w14:textId="04B40AE1" w:rsidR="00BA644C" w:rsidRPr="002813D8" w:rsidRDefault="00CC7A9E" w:rsidP="00BA644C">
      <w:pPr>
        <w:pStyle w:val="TOCContents"/>
        <w:rPr>
          <w:color w:val="017E5D"/>
        </w:rPr>
      </w:pPr>
      <w:r w:rsidRPr="002813D8">
        <w:rPr>
          <w:color w:val="017E5D"/>
        </w:rPr>
        <w:t>6:</w:t>
      </w:r>
      <w:r w:rsidR="00BA644C" w:rsidRPr="002813D8">
        <w:rPr>
          <w:color w:val="017E5D"/>
        </w:rPr>
        <w:t xml:space="preserve"> Financial and performance</w:t>
      </w:r>
      <w:r w:rsidR="00BA644C" w:rsidRPr="002813D8">
        <w:rPr>
          <w:color w:val="017E5D"/>
        </w:rPr>
        <w:tab/>
      </w:r>
      <w:hyperlink w:anchor="_Financial_and_performance" w:history="1">
        <w:r w:rsidR="00E2716D">
          <w:rPr>
            <w:rStyle w:val="Hyperlink"/>
            <w:color w:val="017E5D"/>
            <w:u w:val="none"/>
          </w:rPr>
          <w:t>55</w:t>
        </w:r>
      </w:hyperlink>
    </w:p>
    <w:p w14:paraId="75F0B31F" w14:textId="77777777" w:rsidR="00665359" w:rsidRPr="002813D8" w:rsidRDefault="00665359" w:rsidP="00CC7A9E">
      <w:pPr>
        <w:pStyle w:val="BodyText"/>
        <w:rPr>
          <w:color w:val="017E5D"/>
        </w:rPr>
      </w:pPr>
    </w:p>
    <w:p w14:paraId="1A72C203" w14:textId="35CF92DD" w:rsidR="00CC7A9E" w:rsidRPr="002813D8" w:rsidRDefault="00CC7A9E" w:rsidP="00665359">
      <w:pPr>
        <w:pStyle w:val="TOCContents"/>
        <w:rPr>
          <w:color w:val="017E5D"/>
        </w:rPr>
      </w:pPr>
      <w:r w:rsidRPr="002813D8">
        <w:rPr>
          <w:color w:val="017E5D"/>
        </w:rPr>
        <w:t>Appendix: Text alternative versions of diagrams and graphs</w:t>
      </w:r>
      <w:r w:rsidR="00665359" w:rsidRPr="002813D8">
        <w:rPr>
          <w:color w:val="017E5D"/>
        </w:rPr>
        <w:t xml:space="preserve"> </w:t>
      </w:r>
      <w:hyperlink w:anchor="_Appendix:_Text_alternative" w:history="1">
        <w:r w:rsidR="00E2716D">
          <w:rPr>
            <w:rStyle w:val="Hyperlink"/>
            <w:color w:val="017E5D"/>
            <w:u w:val="none"/>
          </w:rPr>
          <w:t>100</w:t>
        </w:r>
      </w:hyperlink>
    </w:p>
    <w:p w14:paraId="1ED5770B" w14:textId="77777777" w:rsidR="00CC7A9E" w:rsidRPr="00CC7A9E" w:rsidRDefault="00CC7A9E" w:rsidP="00CC7A9E">
      <w:pPr>
        <w:pStyle w:val="BodyText"/>
      </w:pPr>
    </w:p>
    <w:p w14:paraId="572261BC" w14:textId="77777777" w:rsidR="00BA644C" w:rsidRDefault="00BA644C" w:rsidP="00BA644C">
      <w:pPr>
        <w:pStyle w:val="Whitespace"/>
        <w:rPr>
          <w:color w:val="017E5D"/>
        </w:rPr>
      </w:pPr>
    </w:p>
    <w:p w14:paraId="6B0D4CC4" w14:textId="77777777" w:rsidR="00CC7A9E" w:rsidRDefault="00CC7A9E" w:rsidP="00BA644C">
      <w:pPr>
        <w:pStyle w:val="Whitespace"/>
        <w:rPr>
          <w:color w:val="017E5D"/>
        </w:rPr>
      </w:pPr>
    </w:p>
    <w:p w14:paraId="5547609D" w14:textId="77777777" w:rsidR="00CC7A9E" w:rsidRDefault="00CC7A9E" w:rsidP="00BA644C">
      <w:pPr>
        <w:pStyle w:val="Whitespace"/>
        <w:rPr>
          <w:color w:val="017E5D"/>
        </w:rPr>
      </w:pPr>
    </w:p>
    <w:p w14:paraId="27BA3E94" w14:textId="77777777" w:rsidR="00CC7A9E" w:rsidRDefault="00CC7A9E" w:rsidP="00BA644C">
      <w:pPr>
        <w:pStyle w:val="Whitespace"/>
        <w:rPr>
          <w:color w:val="017E5D"/>
        </w:rPr>
      </w:pPr>
    </w:p>
    <w:p w14:paraId="1B27D928" w14:textId="77777777" w:rsidR="00CC7A9E" w:rsidRDefault="00CC7A9E" w:rsidP="00BA644C">
      <w:pPr>
        <w:pStyle w:val="Whitespace"/>
        <w:rPr>
          <w:color w:val="017E5D"/>
        </w:rPr>
      </w:pPr>
    </w:p>
    <w:p w14:paraId="600C37FF" w14:textId="77777777" w:rsidR="00CC7A9E" w:rsidRDefault="00CC7A9E" w:rsidP="00BA644C">
      <w:pPr>
        <w:pStyle w:val="Whitespace"/>
        <w:rPr>
          <w:color w:val="017E5D"/>
        </w:rPr>
      </w:pPr>
    </w:p>
    <w:p w14:paraId="4FF2E745" w14:textId="77777777" w:rsidR="00CC7A9E" w:rsidRDefault="00CC7A9E" w:rsidP="00BA644C">
      <w:pPr>
        <w:pStyle w:val="Whitespace"/>
        <w:rPr>
          <w:color w:val="017E5D"/>
        </w:rPr>
      </w:pPr>
    </w:p>
    <w:p w14:paraId="7DD362F9" w14:textId="7767BF5D" w:rsidR="00CC7A9E" w:rsidRPr="00A12408" w:rsidRDefault="00503880" w:rsidP="00CC7A9E">
      <w:pPr>
        <w:pStyle w:val="Heading1"/>
      </w:pPr>
      <w:bookmarkStart w:id="5" w:name="_Introduction"/>
      <w:bookmarkEnd w:id="5"/>
      <w:r w:rsidRPr="00097107">
        <w:rPr>
          <w:noProof/>
          <w:lang w:eastAsia="en-NZ"/>
        </w:rPr>
        <mc:AlternateContent>
          <mc:Choice Requires="wps">
            <w:drawing>
              <wp:anchor distT="0" distB="0" distL="114300" distR="114300" simplePos="0" relativeHeight="251669504" behindDoc="0" locked="0" layoutInCell="1" allowOverlap="1" wp14:anchorId="62255815" wp14:editId="395B0E70">
                <wp:simplePos x="0" y="0"/>
                <wp:positionH relativeFrom="margin">
                  <wp:align>right</wp:align>
                </wp:positionH>
                <wp:positionV relativeFrom="page">
                  <wp:posOffset>861695</wp:posOffset>
                </wp:positionV>
                <wp:extent cx="1189990" cy="3059430"/>
                <wp:effectExtent l="0" t="0" r="0" b="7620"/>
                <wp:wrapNone/>
                <wp:docPr id="18" name="Text Box 5" title="Illustrative element - numbe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3059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33F8C" w14:textId="77777777" w:rsidR="00503880" w:rsidRPr="00503880" w:rsidRDefault="00503880" w:rsidP="00503880">
                            <w:pPr>
                              <w:spacing w:after="0"/>
                              <w:jc w:val="right"/>
                              <w:rPr>
                                <w:rFonts w:ascii="Lucida Sans" w:hAnsi="Lucida Sans" w:cs="Lucida Sans"/>
                                <w:color w:val="017E5D"/>
                                <w:sz w:val="280"/>
                                <w:szCs w:val="280"/>
                              </w:rPr>
                            </w:pPr>
                            <w:r w:rsidRPr="00503880">
                              <w:rPr>
                                <w:rFonts w:ascii="Lucida Sans" w:hAnsi="Lucida Sans" w:cs="Lucida Sans"/>
                                <w:color w:val="017E5D"/>
                                <w:sz w:val="280"/>
                                <w:szCs w:val="280"/>
                              </w:rPr>
                              <w:t>1</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62255815" id="Text Box 5" o:spid="_x0000_s1028" type="#_x0000_t202" alt="Title: Illustrative element - number '1'" style="position:absolute;margin-left:42.5pt;margin-top:67.85pt;width:93.7pt;height:240.9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" filled="f" stroked="f">
                <v:textbox>
                  <w:txbxContent>
                    <w:p w14:paraId="62A33F8C" w14:textId="77777777" w:rsidR="00503880" w:rsidRPr="00503880" w:rsidRDefault="00503880" w:rsidP="00503880">
                      <w:pPr>
                        <w:spacing w:after="0"/>
                        <w:jc w:val="right"/>
                        <w:rPr>
                          <w:rFonts w:ascii="Lucida Sans" w:hAnsi="Lucida Sans" w:cs="Lucida Sans"/>
                          <w:color w:val="017E5D"/>
                          <w:sz w:val="280"/>
                          <w:szCs w:val="280"/>
                        </w:rPr>
                      </w:pPr>
                      <w:r w:rsidRPr="00503880">
                        <w:rPr>
                          <w:rFonts w:ascii="Lucida Sans" w:hAnsi="Lucida Sans" w:cs="Lucida Sans"/>
                          <w:color w:val="017E5D"/>
                          <w:sz w:val="280"/>
                          <w:szCs w:val="280"/>
                        </w:rPr>
                        <w:t>1</w:t>
                      </w:r>
                    </w:p>
                  </w:txbxContent>
                </v:textbox>
                <w10:wrap anchorx="margin" anchory="page"/>
              </v:shape>
            </w:pict>
          </mc:Fallback>
        </mc:AlternateContent>
      </w:r>
      <w:r w:rsidR="00CC7A9E" w:rsidRPr="00A12408">
        <w:t xml:space="preserve">Introduction </w:t>
      </w:r>
    </w:p>
    <w:p w14:paraId="187D234D" w14:textId="77777777" w:rsidR="00CC7A9E" w:rsidRDefault="00CC7A9E" w:rsidP="00BA644C">
      <w:pPr>
        <w:pStyle w:val="Whitespace"/>
        <w:rPr>
          <w:color w:val="017E5D"/>
        </w:rPr>
      </w:pPr>
    </w:p>
    <w:p w14:paraId="6556BEFE" w14:textId="77777777" w:rsidR="003826AF" w:rsidRDefault="003826AF" w:rsidP="003826AF">
      <w:pPr>
        <w:pStyle w:val="BodyText"/>
      </w:pPr>
    </w:p>
    <w:p w14:paraId="222E03B3" w14:textId="77777777" w:rsidR="003826AF" w:rsidRDefault="003826AF" w:rsidP="003826AF">
      <w:pPr>
        <w:pStyle w:val="BodyText"/>
      </w:pPr>
    </w:p>
    <w:p w14:paraId="3BFEC43C" w14:textId="75BF90C5" w:rsidR="003826AF" w:rsidRDefault="003826AF" w:rsidP="003826AF">
      <w:pPr>
        <w:pStyle w:val="BodyText"/>
      </w:pPr>
      <w:r>
        <w:t xml:space="preserve">I am proud of what this Office has achieved this year. When I began my term in March 2025 we were dealing with increasing volumes of work, decreasing trust and confidence in institutions, and a challenge from Parliament to adopt a sustainable funding model that manages increasing volumes within current resourcing, without compromising quality and timeliness. </w:t>
      </w:r>
    </w:p>
    <w:p w14:paraId="37BB0CD6" w14:textId="77777777" w:rsidR="003826AF" w:rsidRDefault="003826AF" w:rsidP="003826AF">
      <w:pPr>
        <w:pStyle w:val="BodyText"/>
      </w:pPr>
      <w:r>
        <w:t xml:space="preserve">This year, we rose to the challenge – we trialled and adopted different approaches, we </w:t>
      </w:r>
      <w:r w:rsidRPr="009F272D">
        <w:t>improved our timeliness</w:t>
      </w:r>
      <w:r>
        <w:t xml:space="preserve"> and managed greater volumes</w:t>
      </w:r>
      <w:r w:rsidRPr="009F272D">
        <w:t>, and we continued to invest in understanding the communities we serve.</w:t>
      </w:r>
      <w:r>
        <w:t xml:space="preserve"> We have more to do, but I am confident we are on the right track to deliver better outcomes for the New Zealand public and Parliament.</w:t>
      </w:r>
    </w:p>
    <w:p w14:paraId="1DE83BD2" w14:textId="77777777" w:rsidR="003826AF" w:rsidRDefault="003826AF" w:rsidP="003826AF">
      <w:pPr>
        <w:pStyle w:val="BodyText"/>
        <w:keepLines/>
      </w:pPr>
      <w:r>
        <w:t xml:space="preserve">To deliver more effectively and efficiently we prioritised a pragmatic and proportionate approach, and trialled different ways of working. This included </w:t>
      </w:r>
      <w:r w:rsidRPr="00EE04E9">
        <w:t>changing how we handled official information delay complaints</w:t>
      </w:r>
      <w:r>
        <w:t>, and trialling a dedicated official information team,</w:t>
      </w:r>
      <w:r w:rsidRPr="00EE04E9">
        <w:t xml:space="preserve"> which saw the New Zealand public get more timely access to the information they are entitled to</w:t>
      </w:r>
      <w:r>
        <w:t>. We also invested in our technology to create a platform to help drive efficiencies, more effectively identify systemic issues, and make it easier for the public to get in touch with us.</w:t>
      </w:r>
    </w:p>
    <w:p w14:paraId="714BA51A" w14:textId="77777777" w:rsidR="003826AF" w:rsidRPr="00590AE2" w:rsidRDefault="003826AF" w:rsidP="003826AF">
      <w:pPr>
        <w:pStyle w:val="BodyText"/>
        <w:keepLines/>
      </w:pPr>
      <w:r>
        <w:t xml:space="preserve">We received and </w:t>
      </w:r>
      <w:r w:rsidRPr="00590AE2">
        <w:t>completed a record number of complaints, and turned the tide and improved our timeliness, without sacrificing quality. We completed 11,</w:t>
      </w:r>
      <w:r>
        <w:t>700</w:t>
      </w:r>
      <w:r w:rsidRPr="00590AE2">
        <w:t xml:space="preserve"> complaints, 43 percent more than last year and achieved a clearance rate of 109 percent – meaning we completed more complaints than we received. We resolved 48 percent of complaints before final opinion, compared to 34 percent last year, meaning individuals have more timely access to remedies and wider public administration benefits are realised more readily. At the same time, we delivered more remedies for people and public administration benefit. We also completed five proactive investigations into central government official information practices, providing suggestions for improvement to help agencies get it right the first time. </w:t>
      </w:r>
    </w:p>
    <w:p w14:paraId="7E09D106" w14:textId="77777777" w:rsidR="003826AF" w:rsidRPr="00590AE2" w:rsidRDefault="003826AF" w:rsidP="003826AF">
      <w:pPr>
        <w:pStyle w:val="BodyText"/>
        <w:keepLines/>
      </w:pPr>
      <w:r w:rsidRPr="00590AE2">
        <w:t xml:space="preserve">We continued our work to monitor implementation of the Disability Convention and work with government and detention facilities to identify and address long-term challenges that are common across many of the places of detention we examine.  We managed a continued increase in the volume of protected disclosures and advice requests </w:t>
      </w:r>
      <w:proofErr w:type="gramStart"/>
      <w:r w:rsidRPr="00590AE2">
        <w:t>received, and</w:t>
      </w:r>
      <w:proofErr w:type="gramEnd"/>
      <w:r w:rsidRPr="00590AE2">
        <w:t xml:space="preserve"> completed some significant interventions to address serious wrongdoing. </w:t>
      </w:r>
    </w:p>
    <w:p w14:paraId="59A4D9AD" w14:textId="6B940C79" w:rsidR="003826AF" w:rsidRPr="00590AE2" w:rsidRDefault="003826AF" w:rsidP="003826AF">
      <w:pPr>
        <w:pStyle w:val="BodyText"/>
        <w:keepLines/>
      </w:pPr>
      <w:r w:rsidRPr="00590AE2">
        <w:t xml:space="preserve">We also looked at where we could have a greater impact. We are in a unique position to see and understand some of New Zealand’s most challenging systemic issues, including the disproportionate presence of </w:t>
      </w:r>
      <w:proofErr w:type="spellStart"/>
      <w:r w:rsidRPr="00590AE2">
        <w:t>wāhine</w:t>
      </w:r>
      <w:proofErr w:type="spellEnd"/>
      <w:r w:rsidRPr="00590AE2">
        <w:t xml:space="preserve"> Māori in prisons and the inappropriate placement of those with forensic mental health needs in prisons. These issues are long standing and difficult to address. We can’t affect change alone, but we can influence it, so this year we presented two insights briefings to select committees to highlight these systemic issues and draw more in-depth scrutiny and accountability to these areas. </w:t>
      </w:r>
    </w:p>
    <w:p w14:paraId="243F9D7D" w14:textId="4F16A180" w:rsidR="003826AF" w:rsidRDefault="003826AF" w:rsidP="003826AF">
      <w:pPr>
        <w:pStyle w:val="BodyText"/>
      </w:pPr>
      <w:r w:rsidRPr="00590AE2">
        <w:t>We continued our efforts to build relationships with communities. While we receive positive feedback from the communities we visit, and 87 percent are</w:t>
      </w:r>
      <w:r>
        <w:t xml:space="preserve"> confident accessing our services following our engagement, we know we need to do more to improve awareness amongst Māori, Pasifika, ethnic and disability and Deaf communities, in particular. This is a focus </w:t>
      </w:r>
      <w:r w:rsidR="00170EC7">
        <w:t>for us</w:t>
      </w:r>
      <w:r>
        <w:t xml:space="preserve"> moving forward.  </w:t>
      </w:r>
    </w:p>
    <w:p w14:paraId="37897D82" w14:textId="0D1D0ECA" w:rsidR="003826AF" w:rsidRDefault="003826AF" w:rsidP="003826AF">
      <w:pPr>
        <w:pStyle w:val="BodyText"/>
      </w:pPr>
      <w:r>
        <w:t xml:space="preserve">This year we reset our performance framework and strategic intentions, which </w:t>
      </w:r>
      <w:r w:rsidR="00170EC7">
        <w:t xml:space="preserve">establishes </w:t>
      </w:r>
      <w:r>
        <w:t xml:space="preserve">a clear direction for the Office for the next five years, and ensures we can better assess and demonstrate the impact of our work. While this annual report focuses on the past year, I am looking forward to our renewed focus to: </w:t>
      </w:r>
    </w:p>
    <w:p w14:paraId="30A0A770" w14:textId="3E65C310" w:rsidR="003826AF" w:rsidRPr="00756BFF" w:rsidRDefault="003826AF" w:rsidP="003826AF">
      <w:pPr>
        <w:pStyle w:val="Number1"/>
      </w:pPr>
      <w:r w:rsidRPr="00756BFF">
        <w:t xml:space="preserve">Drive lasting improvements </w:t>
      </w:r>
      <w:r w:rsidR="00170EC7">
        <w:t>in</w:t>
      </w:r>
      <w:r w:rsidR="00170EC7" w:rsidRPr="00756BFF">
        <w:t xml:space="preserve"> </w:t>
      </w:r>
      <w:r w:rsidRPr="00756BFF">
        <w:t xml:space="preserve">people’s experience of government. </w:t>
      </w:r>
    </w:p>
    <w:p w14:paraId="1E444AE8" w14:textId="77777777" w:rsidR="003826AF" w:rsidRPr="00756BFF" w:rsidRDefault="003826AF" w:rsidP="003826AF">
      <w:pPr>
        <w:pStyle w:val="Number1"/>
      </w:pPr>
      <w:r w:rsidRPr="00756BFF">
        <w:t xml:space="preserve">Protect and strengthen the conditions for open and accountable government. </w:t>
      </w:r>
    </w:p>
    <w:p w14:paraId="3CFA6A3E" w14:textId="77777777" w:rsidR="003826AF" w:rsidRDefault="003826AF" w:rsidP="003826AF">
      <w:pPr>
        <w:pStyle w:val="Number1"/>
      </w:pPr>
      <w:r w:rsidRPr="00756BFF">
        <w:t xml:space="preserve">Provide a more accessible and responsive service. </w:t>
      </w:r>
    </w:p>
    <w:p w14:paraId="6DCA9CB2" w14:textId="77777777" w:rsidR="003826AF" w:rsidRPr="007F3C0E" w:rsidRDefault="003826AF" w:rsidP="003826AF">
      <w:pPr>
        <w:pStyle w:val="BodyText"/>
      </w:pPr>
      <w:r>
        <w:t>Thank you to our people for your hard work and dedication this year. Our work matters more than ever, and I am confident we are focused on being an Ombudsman that people know, can reach, and can count on to help put things right.</w:t>
      </w:r>
    </w:p>
    <w:p w14:paraId="44E99EC5" w14:textId="0CD70392" w:rsidR="00CC7A9E" w:rsidRDefault="00CC7A9E" w:rsidP="002B520C">
      <w:pPr>
        <w:pStyle w:val="BodyText"/>
      </w:pPr>
    </w:p>
    <w:p w14:paraId="0D482096" w14:textId="73B3966C" w:rsidR="00D92639" w:rsidRDefault="00DE2DCD">
      <w:pPr>
        <w:pStyle w:val="BodyText"/>
      </w:pPr>
      <w:r>
        <w:rPr>
          <w:noProof/>
        </w:rPr>
        <w:drawing>
          <wp:inline distT="0" distB="0" distL="0" distR="0" wp14:anchorId="4B9EA9FD" wp14:editId="3FE72C5C">
            <wp:extent cx="2218944" cy="845820"/>
            <wp:effectExtent l="0" t="0" r="0" b="0"/>
            <wp:docPr id="1426305498" name="Picture 8" descr="John Alle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05498" name="Picture 8" descr="John Allen signatur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8944" cy="845820"/>
                    </a:xfrm>
                    <a:prstGeom prst="rect">
                      <a:avLst/>
                    </a:prstGeom>
                  </pic:spPr>
                </pic:pic>
              </a:graphicData>
            </a:graphic>
          </wp:inline>
        </w:drawing>
      </w:r>
    </w:p>
    <w:p w14:paraId="5D5043E4" w14:textId="31FE8BDB" w:rsidR="002B520C" w:rsidRPr="004B6818" w:rsidRDefault="002B520C">
      <w:pPr>
        <w:pStyle w:val="BodyText"/>
        <w:rPr>
          <w:b/>
          <w:bCs/>
        </w:rPr>
      </w:pPr>
      <w:r w:rsidRPr="004B6818">
        <w:rPr>
          <w:b/>
          <w:bCs/>
        </w:rPr>
        <w:t xml:space="preserve">John Allen </w:t>
      </w:r>
    </w:p>
    <w:p w14:paraId="7944E868" w14:textId="3883E764" w:rsidR="002B520C" w:rsidRDefault="002B520C" w:rsidP="0082518F">
      <w:pPr>
        <w:pStyle w:val="BodyText"/>
      </w:pPr>
      <w:r>
        <w:t>Chief Ombudsman</w:t>
      </w:r>
    </w:p>
    <w:p w14:paraId="52553699" w14:textId="77777777" w:rsidR="00CC7A9E" w:rsidRDefault="00CC7A9E" w:rsidP="00BA644C">
      <w:pPr>
        <w:pStyle w:val="Whitespace"/>
        <w:rPr>
          <w:color w:val="017E5D"/>
        </w:rPr>
      </w:pPr>
    </w:p>
    <w:p w14:paraId="2242C5AE" w14:textId="77777777" w:rsidR="00CC7A9E" w:rsidRDefault="00CC7A9E" w:rsidP="00BA644C">
      <w:pPr>
        <w:pStyle w:val="Whitespace"/>
        <w:rPr>
          <w:color w:val="017E5D"/>
        </w:rPr>
      </w:pPr>
    </w:p>
    <w:p w14:paraId="67EEBC0E" w14:textId="77777777" w:rsidR="00CC7A9E" w:rsidRDefault="00CC7A9E" w:rsidP="00BA644C">
      <w:pPr>
        <w:pStyle w:val="Whitespace"/>
        <w:rPr>
          <w:color w:val="017E5D"/>
        </w:rPr>
      </w:pPr>
    </w:p>
    <w:p w14:paraId="482C4BBC" w14:textId="77777777" w:rsidR="00CC7A9E" w:rsidRDefault="00CC7A9E" w:rsidP="00BA644C">
      <w:pPr>
        <w:pStyle w:val="Whitespace"/>
        <w:rPr>
          <w:color w:val="017E5D"/>
        </w:rPr>
      </w:pPr>
    </w:p>
    <w:p w14:paraId="611A775F" w14:textId="77777777" w:rsidR="00CC7A9E" w:rsidRDefault="00CC7A9E" w:rsidP="00BA644C">
      <w:pPr>
        <w:pStyle w:val="Whitespace"/>
        <w:rPr>
          <w:color w:val="017E5D"/>
        </w:rPr>
      </w:pPr>
    </w:p>
    <w:p w14:paraId="0B47AAD1" w14:textId="77777777" w:rsidR="00CC7A9E" w:rsidRDefault="00CC7A9E" w:rsidP="00BA644C">
      <w:pPr>
        <w:pStyle w:val="Whitespace"/>
        <w:rPr>
          <w:color w:val="017E5D"/>
        </w:rPr>
      </w:pPr>
    </w:p>
    <w:p w14:paraId="1DFD3C51" w14:textId="77777777" w:rsidR="00CC7A9E" w:rsidRDefault="00CC7A9E" w:rsidP="00BA644C">
      <w:pPr>
        <w:pStyle w:val="Whitespace"/>
        <w:rPr>
          <w:color w:val="017E5D"/>
        </w:rPr>
      </w:pPr>
    </w:p>
    <w:p w14:paraId="676CD159" w14:textId="77777777" w:rsidR="00CC7A9E" w:rsidRDefault="00CC7A9E" w:rsidP="00BA644C">
      <w:pPr>
        <w:pStyle w:val="Whitespace"/>
        <w:rPr>
          <w:color w:val="017E5D"/>
        </w:rPr>
      </w:pPr>
    </w:p>
    <w:p w14:paraId="16C7BAB8" w14:textId="77777777" w:rsidR="00CC7A9E" w:rsidRDefault="00CC7A9E" w:rsidP="00BA644C">
      <w:pPr>
        <w:pStyle w:val="Whitespace"/>
        <w:rPr>
          <w:color w:val="017E5D"/>
        </w:rPr>
      </w:pPr>
    </w:p>
    <w:p w14:paraId="473684D1" w14:textId="30E5DB48" w:rsidR="00CC7A9E" w:rsidRPr="00A12408" w:rsidRDefault="00503880" w:rsidP="00657923">
      <w:pPr>
        <w:pStyle w:val="Heading1"/>
      </w:pPr>
      <w:bookmarkStart w:id="6" w:name="_2025/26_at_a"/>
      <w:bookmarkStart w:id="7" w:name="_2025/26_aAt_a"/>
      <w:bookmarkStart w:id="8" w:name="_At_a_glance"/>
      <w:bookmarkEnd w:id="6"/>
      <w:bookmarkEnd w:id="7"/>
      <w:bookmarkEnd w:id="8"/>
      <w:r w:rsidRPr="00097107">
        <w:rPr>
          <w:noProof/>
          <w:lang w:eastAsia="en-NZ"/>
        </w:rPr>
        <mc:AlternateContent>
          <mc:Choice Requires="wps">
            <w:drawing>
              <wp:anchor distT="0" distB="0" distL="114300" distR="114300" simplePos="0" relativeHeight="251671552" behindDoc="0" locked="0" layoutInCell="1" allowOverlap="1" wp14:anchorId="1387B90B" wp14:editId="1C114C29">
                <wp:simplePos x="0" y="0"/>
                <wp:positionH relativeFrom="margin">
                  <wp:align>right</wp:align>
                </wp:positionH>
                <wp:positionV relativeFrom="page">
                  <wp:posOffset>873760</wp:posOffset>
                </wp:positionV>
                <wp:extent cx="1085215" cy="2177415"/>
                <wp:effectExtent l="0" t="0" r="0" b="0"/>
                <wp:wrapNone/>
                <wp:docPr id="19" name="Text Box 2" title="Illustrative element - numbe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215" cy="2177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CC82A" w14:textId="77777777" w:rsidR="00503880" w:rsidRPr="00503880" w:rsidRDefault="00503880" w:rsidP="00503880">
                            <w:pPr>
                              <w:spacing w:after="0"/>
                              <w:jc w:val="right"/>
                              <w:rPr>
                                <w:rFonts w:ascii="Lucida Sans" w:hAnsi="Lucida Sans" w:cs="Lucida Sans"/>
                                <w:color w:val="017E5D"/>
                                <w:sz w:val="280"/>
                                <w:szCs w:val="280"/>
                              </w:rPr>
                            </w:pPr>
                            <w:r w:rsidRPr="00503880">
                              <w:rPr>
                                <w:rFonts w:ascii="Lucida Sans" w:hAnsi="Lucida Sans" w:cs="Lucida Sans"/>
                                <w:color w:val="017E5D"/>
                                <w:sz w:val="280"/>
                                <w:szCs w:val="280"/>
                              </w:rPr>
                              <w:t>2</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 w14:anchorId="1387B90B" id="Text Box 2" o:spid="_x0000_s1029" type="#_x0000_t202" alt="Title: Illustrative element - number '2'" style="position:absolute;margin-left:34.25pt;margin-top:68.8pt;width:85.45pt;height:171.4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" filled="f" stroked="f">
                <v:textbox>
                  <w:txbxContent>
                    <w:p w14:paraId="5CECC82A" w14:textId="77777777" w:rsidR="00503880" w:rsidRPr="00503880" w:rsidRDefault="00503880" w:rsidP="00503880">
                      <w:pPr>
                        <w:spacing w:after="0"/>
                        <w:jc w:val="right"/>
                        <w:rPr>
                          <w:rFonts w:ascii="Lucida Sans" w:hAnsi="Lucida Sans" w:cs="Lucida Sans"/>
                          <w:color w:val="017E5D"/>
                          <w:sz w:val="280"/>
                          <w:szCs w:val="280"/>
                        </w:rPr>
                      </w:pPr>
                      <w:r w:rsidRPr="00503880">
                        <w:rPr>
                          <w:rFonts w:ascii="Lucida Sans" w:hAnsi="Lucida Sans" w:cs="Lucida Sans"/>
                          <w:color w:val="017E5D"/>
                          <w:sz w:val="280"/>
                          <w:szCs w:val="280"/>
                        </w:rPr>
                        <w:t>2</w:t>
                      </w:r>
                    </w:p>
                  </w:txbxContent>
                </v:textbox>
                <w10:wrap anchorx="margin" anchory="page"/>
              </v:shape>
            </w:pict>
          </mc:Fallback>
        </mc:AlternateContent>
      </w:r>
      <w:r w:rsidR="0082518F">
        <w:t>A</w:t>
      </w:r>
      <w:r w:rsidR="00657923" w:rsidRPr="00A12408">
        <w:t xml:space="preserve">t a glance </w:t>
      </w:r>
      <w:r>
        <w:t xml:space="preserve"> </w:t>
      </w:r>
    </w:p>
    <w:p w14:paraId="730EE027" w14:textId="77777777" w:rsidR="00657923" w:rsidRDefault="00657923" w:rsidP="00657923">
      <w:pPr>
        <w:pStyle w:val="BodyText"/>
      </w:pPr>
    </w:p>
    <w:p w14:paraId="78EE37C8" w14:textId="77777777" w:rsidR="00764447" w:rsidRDefault="00764447" w:rsidP="00764447">
      <w:pPr>
        <w:pStyle w:val="BodyText"/>
      </w:pPr>
    </w:p>
    <w:p w14:paraId="72978ABA" w14:textId="77777777" w:rsidR="00764447" w:rsidRDefault="00764447" w:rsidP="00764447">
      <w:pPr>
        <w:pStyle w:val="BodyText"/>
      </w:pPr>
    </w:p>
    <w:p w14:paraId="6FF6159E" w14:textId="7D6DA673" w:rsidR="00764447" w:rsidRDefault="00764447" w:rsidP="00764447">
      <w:pPr>
        <w:pStyle w:val="BodyText"/>
      </w:pPr>
      <w:r w:rsidRPr="00E5556F">
        <w:t>Our purpose is to provide an independent check on how</w:t>
      </w:r>
      <w:r>
        <w:t xml:space="preserve"> </w:t>
      </w:r>
      <w:r w:rsidRPr="00E5556F">
        <w:t>government treats people, helping to address the power imbalance</w:t>
      </w:r>
      <w:r>
        <w:t xml:space="preserve"> </w:t>
      </w:r>
      <w:r w:rsidRPr="00E5556F">
        <w:t>between individuals and the state. We do this by resolving and</w:t>
      </w:r>
      <w:r>
        <w:t xml:space="preserve"> </w:t>
      </w:r>
      <w:r w:rsidRPr="00E5556F">
        <w:t>investigating complaints and disclosures, and monitoring conditions</w:t>
      </w:r>
      <w:r>
        <w:t xml:space="preserve"> </w:t>
      </w:r>
      <w:r w:rsidRPr="00E5556F">
        <w:t>to protect the rights of Deaf and disabled people and prevent</w:t>
      </w:r>
      <w:r>
        <w:t xml:space="preserve"> </w:t>
      </w:r>
      <w:r w:rsidRPr="00E5556F">
        <w:t>mistreatment of people in detention.</w:t>
      </w:r>
    </w:p>
    <w:p w14:paraId="4EA84C34" w14:textId="77777777" w:rsidR="00764447" w:rsidRPr="006D7441" w:rsidRDefault="00764447" w:rsidP="00764447">
      <w:pPr>
        <w:pStyle w:val="Quotationseparateparagraph"/>
      </w:pPr>
      <w:r>
        <w:t>“</w:t>
      </w:r>
      <w:r w:rsidRPr="006D7441">
        <w:t xml:space="preserve">Demand for our services is </w:t>
      </w:r>
      <w:proofErr w:type="gramStart"/>
      <w:r w:rsidRPr="006D7441">
        <w:t>increasing, and</w:t>
      </w:r>
      <w:proofErr w:type="gramEnd"/>
      <w:r w:rsidRPr="006D7441">
        <w:t xml:space="preserve"> meeting it is requiring us</w:t>
      </w:r>
      <w:r>
        <w:t xml:space="preserve"> </w:t>
      </w:r>
      <w:r w:rsidRPr="006D7441">
        <w:t>to explore new ways of operating. Our focus is on resolving cases</w:t>
      </w:r>
      <w:r>
        <w:t xml:space="preserve"> </w:t>
      </w:r>
      <w:r w:rsidRPr="006D7441">
        <w:t>more quickly, acting proportionately, and addressing the systemic</w:t>
      </w:r>
      <w:r>
        <w:t xml:space="preserve"> </w:t>
      </w:r>
      <w:r w:rsidRPr="006D7441">
        <w:t>issues behind them.</w:t>
      </w:r>
      <w:r>
        <w:t>”</w:t>
      </w:r>
    </w:p>
    <w:p w14:paraId="29803FD5" w14:textId="77777777" w:rsidR="00764447" w:rsidRPr="004A7897" w:rsidRDefault="00764447" w:rsidP="00764447">
      <w:pPr>
        <w:pStyle w:val="Quotationseparateparagraph"/>
        <w:rPr>
          <w:i w:val="0"/>
          <w:iCs/>
        </w:rPr>
      </w:pPr>
      <w:r w:rsidRPr="004A7897">
        <w:rPr>
          <w:i w:val="0"/>
          <w:iCs/>
        </w:rPr>
        <w:t>John Allen, Chief Ombudsman</w:t>
      </w:r>
    </w:p>
    <w:p w14:paraId="39389029" w14:textId="3640C467" w:rsidR="00764447" w:rsidRPr="004A7897" w:rsidRDefault="00764447" w:rsidP="00764447">
      <w:pPr>
        <w:pStyle w:val="Bullet1"/>
        <w:rPr>
          <w:sz w:val="36"/>
          <w:szCs w:val="32"/>
        </w:rPr>
      </w:pPr>
      <w:r w:rsidRPr="00AE17AF">
        <w:rPr>
          <w:b/>
          <w:bCs/>
          <w:sz w:val="36"/>
          <w:szCs w:val="32"/>
        </w:rPr>
        <w:t xml:space="preserve">8,027 </w:t>
      </w:r>
      <w:r w:rsidRPr="004A7897">
        <w:rPr>
          <w:b/>
          <w:bCs/>
        </w:rPr>
        <w:t>complaints about government decisions completed</w:t>
      </w:r>
      <w:r>
        <w:rPr>
          <w:b/>
          <w:bCs/>
        </w:rPr>
        <w:t xml:space="preserve">. </w:t>
      </w:r>
      <w:r>
        <w:t xml:space="preserve">Target 6,800, up 51% from last year. </w:t>
      </w:r>
    </w:p>
    <w:p w14:paraId="49FF3FE6" w14:textId="70AB923A" w:rsidR="00764447" w:rsidRPr="004A7897" w:rsidRDefault="00764447" w:rsidP="00764447">
      <w:pPr>
        <w:pStyle w:val="Bullet1"/>
        <w:rPr>
          <w:sz w:val="36"/>
          <w:szCs w:val="32"/>
        </w:rPr>
      </w:pPr>
      <w:r w:rsidRPr="00AE17AF">
        <w:rPr>
          <w:b/>
          <w:bCs/>
          <w:sz w:val="36"/>
          <w:szCs w:val="32"/>
        </w:rPr>
        <w:t>3,</w:t>
      </w:r>
      <w:r w:rsidR="005F0ECB" w:rsidRPr="00AE17AF">
        <w:rPr>
          <w:b/>
          <w:bCs/>
          <w:sz w:val="36"/>
          <w:szCs w:val="32"/>
        </w:rPr>
        <w:t>67</w:t>
      </w:r>
      <w:r w:rsidR="005F0ECB">
        <w:rPr>
          <w:b/>
          <w:bCs/>
          <w:sz w:val="36"/>
          <w:szCs w:val="32"/>
        </w:rPr>
        <w:t>1</w:t>
      </w:r>
      <w:r w:rsidR="005F0ECB" w:rsidRPr="00AE17AF">
        <w:rPr>
          <w:b/>
          <w:bCs/>
          <w:sz w:val="36"/>
          <w:szCs w:val="32"/>
        </w:rPr>
        <w:t xml:space="preserve"> </w:t>
      </w:r>
      <w:r w:rsidRPr="004A7897">
        <w:rPr>
          <w:b/>
          <w:bCs/>
        </w:rPr>
        <w:t>official information complaints completed.</w:t>
      </w:r>
      <w:r>
        <w:t xml:space="preserve"> Target 3,000, up 28% from last year. </w:t>
      </w:r>
    </w:p>
    <w:p w14:paraId="60432D93" w14:textId="046BF924" w:rsidR="00764447" w:rsidRPr="004A7897" w:rsidRDefault="00764447" w:rsidP="00764447">
      <w:pPr>
        <w:pStyle w:val="Bullet1"/>
        <w:rPr>
          <w:sz w:val="36"/>
          <w:szCs w:val="32"/>
        </w:rPr>
      </w:pPr>
      <w:r w:rsidRPr="00AE17AF">
        <w:rPr>
          <w:b/>
          <w:bCs/>
          <w:sz w:val="36"/>
          <w:szCs w:val="32"/>
        </w:rPr>
        <w:t>2,</w:t>
      </w:r>
      <w:r w:rsidR="006A7CE9">
        <w:rPr>
          <w:b/>
          <w:bCs/>
          <w:sz w:val="36"/>
          <w:szCs w:val="32"/>
        </w:rPr>
        <w:t>593</w:t>
      </w:r>
      <w:r>
        <w:rPr>
          <w:sz w:val="36"/>
          <w:szCs w:val="32"/>
        </w:rPr>
        <w:t xml:space="preserve"> </w:t>
      </w:r>
      <w:r w:rsidRPr="00270F11">
        <w:rPr>
          <w:b/>
          <w:bCs/>
        </w:rPr>
        <w:t>remedies obtained for people and/or for public administration.</w:t>
      </w:r>
      <w:r>
        <w:t xml:space="preserve"> Up 6</w:t>
      </w:r>
      <w:r w:rsidR="00C00D39">
        <w:t>4</w:t>
      </w:r>
      <w:r>
        <w:t xml:space="preserve">% from last year. </w:t>
      </w:r>
    </w:p>
    <w:p w14:paraId="77AA3C4C" w14:textId="77777777" w:rsidR="00764447" w:rsidRDefault="00764447" w:rsidP="00764447">
      <w:pPr>
        <w:pStyle w:val="Heading2"/>
      </w:pPr>
      <w:r>
        <w:t xml:space="preserve">Resolving complaints more quickly </w:t>
      </w:r>
    </w:p>
    <w:p w14:paraId="58D8167C" w14:textId="77777777" w:rsidR="00764447" w:rsidRDefault="00764447" w:rsidP="00764447">
      <w:pPr>
        <w:pStyle w:val="Bullet1"/>
      </w:pPr>
      <w:r w:rsidRPr="00987A23">
        <w:rPr>
          <w:b/>
          <w:bCs/>
          <w:sz w:val="36"/>
          <w:szCs w:val="32"/>
        </w:rPr>
        <w:t xml:space="preserve">109% </w:t>
      </w:r>
      <w:r w:rsidRPr="00270F11">
        <w:rPr>
          <w:b/>
          <w:bCs/>
        </w:rPr>
        <w:t>clearance of complaints.</w:t>
      </w:r>
      <w:r>
        <w:t xml:space="preserve"> Target 102%. </w:t>
      </w:r>
    </w:p>
    <w:p w14:paraId="74E37C05" w14:textId="77777777" w:rsidR="00764447" w:rsidRDefault="00764447" w:rsidP="00764447">
      <w:pPr>
        <w:pStyle w:val="Bullet1"/>
      </w:pPr>
      <w:r w:rsidRPr="00987A23">
        <w:rPr>
          <w:b/>
          <w:bCs/>
          <w:sz w:val="36"/>
          <w:szCs w:val="32"/>
        </w:rPr>
        <w:t xml:space="preserve">71% </w:t>
      </w:r>
      <w:r w:rsidRPr="00A61255">
        <w:rPr>
          <w:b/>
          <w:bCs/>
        </w:rPr>
        <w:t>of complaints completed within 3 months of receipt.</w:t>
      </w:r>
      <w:r>
        <w:t xml:space="preserve"> Target 70%. </w:t>
      </w:r>
    </w:p>
    <w:p w14:paraId="5619B803" w14:textId="77777777" w:rsidR="00764447" w:rsidRDefault="00764447" w:rsidP="00764447">
      <w:pPr>
        <w:pStyle w:val="Bullet1"/>
      </w:pPr>
      <w:r w:rsidRPr="004A7897">
        <w:rPr>
          <w:b/>
          <w:bCs/>
          <w:sz w:val="36"/>
          <w:szCs w:val="32"/>
        </w:rPr>
        <w:t>82%</w:t>
      </w:r>
      <w:r w:rsidRPr="004A7897">
        <w:rPr>
          <w:sz w:val="36"/>
          <w:szCs w:val="32"/>
        </w:rPr>
        <w:t xml:space="preserve"> </w:t>
      </w:r>
      <w:r w:rsidRPr="00A61255">
        <w:rPr>
          <w:b/>
          <w:bCs/>
        </w:rPr>
        <w:t>of complaints completed within 6 months of receipt.</w:t>
      </w:r>
      <w:r w:rsidRPr="00251C8B">
        <w:t xml:space="preserve"> Target 80%</w:t>
      </w:r>
    </w:p>
    <w:p w14:paraId="77A628A3" w14:textId="77777777" w:rsidR="001C2753" w:rsidRDefault="001C2753" w:rsidP="001C2753">
      <w:pPr>
        <w:pStyle w:val="Heading2"/>
      </w:pPr>
      <w:r>
        <w:rPr>
          <w:noProof/>
        </w:rPr>
        <w:drawing>
          <wp:inline distT="0" distB="0" distL="0" distR="0" wp14:anchorId="7B6DB534" wp14:editId="13416708">
            <wp:extent cx="5600700" cy="2743200"/>
            <wp:effectExtent l="0" t="0" r="0" b="0"/>
            <wp:docPr id="857931479" name="Chart 1" descr="Complaints received and completed over ten years, see figure 1 on the link below for text">
              <a:extLst xmlns:a="http://schemas.openxmlformats.org/drawingml/2006/main">
                <a:ext uri="{FF2B5EF4-FFF2-40B4-BE49-F238E27FC236}">
                  <a16:creationId xmlns:a16="http://schemas.microsoft.com/office/drawing/2014/main" id="{972FBFD7-DEA0-ECF7-B53E-7979F56B90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8A946B2" w14:textId="4D126800" w:rsidR="001C2753" w:rsidRDefault="001C2753" w:rsidP="0082518F">
      <w:pPr>
        <w:pStyle w:val="BodyText"/>
      </w:pPr>
      <w:hyperlink w:anchor="_Figure_2:_Awareness" w:history="1">
        <w:r w:rsidRPr="00351971">
          <w:rPr>
            <w:rStyle w:val="Hyperlink"/>
            <w:i/>
            <w:iCs/>
          </w:rPr>
          <w:t xml:space="preserve">Figure 1: Complaints received and completed over </w:t>
        </w:r>
        <w:r w:rsidR="00754C15">
          <w:rPr>
            <w:rStyle w:val="Hyperlink"/>
            <w:i/>
            <w:iCs/>
          </w:rPr>
          <w:t>10</w:t>
        </w:r>
        <w:r w:rsidR="00754C15" w:rsidRPr="00351971">
          <w:rPr>
            <w:rStyle w:val="Hyperlink"/>
            <w:i/>
            <w:iCs/>
          </w:rPr>
          <w:t xml:space="preserve"> </w:t>
        </w:r>
        <w:r w:rsidRPr="00351971">
          <w:rPr>
            <w:rStyle w:val="Hyperlink"/>
            <w:i/>
            <w:iCs/>
          </w:rPr>
          <w:t>years</w:t>
        </w:r>
      </w:hyperlink>
    </w:p>
    <w:p w14:paraId="36593747" w14:textId="77777777" w:rsidR="00764447" w:rsidRDefault="00764447" w:rsidP="00764447">
      <w:pPr>
        <w:pStyle w:val="Heading2"/>
      </w:pPr>
      <w:r>
        <w:t xml:space="preserve">Our impact </w:t>
      </w:r>
    </w:p>
    <w:p w14:paraId="17AA799C" w14:textId="07DE9F22" w:rsidR="00764447" w:rsidRDefault="00764447" w:rsidP="00764447">
      <w:pPr>
        <w:pStyle w:val="Bullet1"/>
      </w:pPr>
      <w:r w:rsidRPr="00987A23">
        <w:rPr>
          <w:b/>
          <w:bCs/>
          <w:sz w:val="36"/>
          <w:szCs w:val="32"/>
        </w:rPr>
        <w:t>98%</w:t>
      </w:r>
      <w:r w:rsidRPr="00987A23">
        <w:rPr>
          <w:sz w:val="36"/>
          <w:szCs w:val="32"/>
        </w:rPr>
        <w:t xml:space="preserve"> </w:t>
      </w:r>
      <w:r w:rsidRPr="00A61255">
        <w:rPr>
          <w:b/>
          <w:bCs/>
        </w:rPr>
        <w:t>of official information and administrative recommendations accepted by agencies.</w:t>
      </w:r>
      <w:r w:rsidRPr="001F3CDF">
        <w:t xml:space="preserve"> Target</w:t>
      </w:r>
      <w:r>
        <w:t xml:space="preserve"> </w:t>
      </w:r>
      <w:r w:rsidRPr="001F3CDF">
        <w:t>90%</w:t>
      </w:r>
      <w:r>
        <w:t>.</w:t>
      </w:r>
    </w:p>
    <w:p w14:paraId="02080ED9" w14:textId="77777777" w:rsidR="00764447" w:rsidRDefault="00764447" w:rsidP="0082518F">
      <w:pPr>
        <w:pStyle w:val="Bullet1"/>
      </w:pPr>
      <w:r w:rsidRPr="0082518F">
        <w:rPr>
          <w:b/>
          <w:bCs/>
          <w:sz w:val="36"/>
          <w:szCs w:val="32"/>
        </w:rPr>
        <w:t>96%</w:t>
      </w:r>
      <w:r w:rsidRPr="0082518F">
        <w:rPr>
          <w:sz w:val="36"/>
          <w:szCs w:val="32"/>
        </w:rPr>
        <w:t xml:space="preserve"> </w:t>
      </w:r>
      <w:r w:rsidRPr="00A61255">
        <w:rPr>
          <w:b/>
          <w:bCs/>
        </w:rPr>
        <w:t>of recommendations for places of detention accepted.</w:t>
      </w:r>
      <w:r w:rsidRPr="001F3CDF">
        <w:t xml:space="preserve"> Target 90%</w:t>
      </w:r>
    </w:p>
    <w:p w14:paraId="42DD35C9" w14:textId="0586DA68" w:rsidR="0038165E" w:rsidRDefault="00764447" w:rsidP="004A55A8">
      <w:pPr>
        <w:pStyle w:val="Bullet1"/>
      </w:pPr>
      <w:r w:rsidRPr="0082518F">
        <w:rPr>
          <w:b/>
          <w:bCs/>
          <w:sz w:val="36"/>
          <w:szCs w:val="32"/>
        </w:rPr>
        <w:t>82%</w:t>
      </w:r>
      <w:r w:rsidRPr="0082518F">
        <w:rPr>
          <w:sz w:val="36"/>
          <w:szCs w:val="32"/>
        </w:rPr>
        <w:t xml:space="preserve"> </w:t>
      </w:r>
      <w:r w:rsidRPr="00A61255">
        <w:rPr>
          <w:b/>
          <w:bCs/>
        </w:rPr>
        <w:t>of agencies report our information resources assist them in their work.</w:t>
      </w:r>
      <w:r>
        <w:t xml:space="preserve"> Target 80%. </w:t>
      </w:r>
    </w:p>
    <w:p w14:paraId="5AD3C9CA" w14:textId="77777777" w:rsidR="00764447" w:rsidRDefault="00764447" w:rsidP="0038165E">
      <w:pPr>
        <w:pStyle w:val="Heading2"/>
      </w:pPr>
      <w:r>
        <w:t xml:space="preserve">Our outputs </w:t>
      </w:r>
    </w:p>
    <w:p w14:paraId="09F1232D" w14:textId="77777777" w:rsidR="00764447" w:rsidRPr="00B57D71" w:rsidRDefault="00764447" w:rsidP="00764447">
      <w:pPr>
        <w:pStyle w:val="Bullet1"/>
      </w:pPr>
      <w:r w:rsidRPr="00B27450">
        <w:rPr>
          <w:b/>
          <w:bCs/>
          <w:sz w:val="36"/>
          <w:szCs w:val="32"/>
        </w:rPr>
        <w:t>614</w:t>
      </w:r>
      <w:r>
        <w:t xml:space="preserve"> </w:t>
      </w:r>
      <w:r w:rsidRPr="00A61255">
        <w:rPr>
          <w:b/>
          <w:bCs/>
        </w:rPr>
        <w:t>community engagements, presentations and new or updated resources for the public.</w:t>
      </w:r>
      <w:r w:rsidRPr="00B57D71">
        <w:t xml:space="preserve"> Target 200</w:t>
      </w:r>
      <w:r>
        <w:t>.</w:t>
      </w:r>
    </w:p>
    <w:p w14:paraId="02DF3DA8" w14:textId="77777777" w:rsidR="00764447" w:rsidRPr="00B57D71" w:rsidRDefault="00764447" w:rsidP="00764447">
      <w:pPr>
        <w:pStyle w:val="Bullet1"/>
      </w:pPr>
      <w:r w:rsidRPr="00B27450">
        <w:rPr>
          <w:b/>
          <w:bCs/>
          <w:sz w:val="36"/>
          <w:szCs w:val="32"/>
        </w:rPr>
        <w:t>79%</w:t>
      </w:r>
      <w:r w:rsidRPr="00B27450">
        <w:rPr>
          <w:sz w:val="36"/>
          <w:szCs w:val="32"/>
        </w:rPr>
        <w:t xml:space="preserve"> </w:t>
      </w:r>
      <w:r w:rsidRPr="00A61255">
        <w:rPr>
          <w:b/>
          <w:bCs/>
        </w:rPr>
        <w:t>of agencies satisfied the Ombudsman’s views are fair</w:t>
      </w:r>
      <w:r w:rsidRPr="00B57D71">
        <w:t>.</w:t>
      </w:r>
      <w:r>
        <w:t xml:space="preserve"> </w:t>
      </w:r>
      <w:r w:rsidRPr="00B57D71">
        <w:t>Target 75%</w:t>
      </w:r>
      <w:r>
        <w:t>.</w:t>
      </w:r>
    </w:p>
    <w:p w14:paraId="494D145F" w14:textId="77777777" w:rsidR="00764447" w:rsidRPr="00B57D71" w:rsidRDefault="00764447" w:rsidP="00764447">
      <w:pPr>
        <w:pStyle w:val="Bullet1"/>
      </w:pPr>
      <w:r w:rsidRPr="00987A23">
        <w:rPr>
          <w:b/>
          <w:bCs/>
          <w:sz w:val="36"/>
          <w:szCs w:val="32"/>
        </w:rPr>
        <w:t>90%</w:t>
      </w:r>
      <w:r w:rsidRPr="00987A23">
        <w:rPr>
          <w:sz w:val="36"/>
          <w:szCs w:val="32"/>
        </w:rPr>
        <w:t xml:space="preserve"> </w:t>
      </w:r>
      <w:r w:rsidRPr="00A61255">
        <w:rPr>
          <w:b/>
          <w:bCs/>
        </w:rPr>
        <w:t>of requests, enquiries and monitoring under the Protected Disclosures Act completed in 3 months.</w:t>
      </w:r>
      <w:r w:rsidRPr="00B57D71">
        <w:t xml:space="preserve"> Target 85%</w:t>
      </w:r>
      <w:r>
        <w:t>.</w:t>
      </w:r>
    </w:p>
    <w:p w14:paraId="2D135F26" w14:textId="369CC939" w:rsidR="00764447" w:rsidRPr="00B57D71" w:rsidRDefault="00764447" w:rsidP="00764447">
      <w:pPr>
        <w:pStyle w:val="Bullet1"/>
      </w:pPr>
      <w:r w:rsidRPr="00987A23">
        <w:rPr>
          <w:b/>
          <w:bCs/>
          <w:sz w:val="36"/>
          <w:szCs w:val="32"/>
        </w:rPr>
        <w:t>22</w:t>
      </w:r>
      <w:r>
        <w:t xml:space="preserve"> </w:t>
      </w:r>
      <w:r w:rsidRPr="00914330">
        <w:rPr>
          <w:b/>
          <w:bCs/>
        </w:rPr>
        <w:t>resources produced or updated that assist to break down the barriers that prevent disabled and Deaf people from participating equally in society.</w:t>
      </w:r>
      <w:r>
        <w:t xml:space="preserve"> </w:t>
      </w:r>
      <w:r w:rsidRPr="00B57D71">
        <w:t xml:space="preserve">Target </w:t>
      </w:r>
      <w:r w:rsidR="009530FB">
        <w:t>1</w:t>
      </w:r>
      <w:r w:rsidR="00BA7DF8">
        <w:t xml:space="preserve">0-15. </w:t>
      </w:r>
    </w:p>
    <w:p w14:paraId="5B360F18" w14:textId="5F343D93" w:rsidR="00764447" w:rsidRPr="00B57D71" w:rsidRDefault="00764447" w:rsidP="00764447">
      <w:pPr>
        <w:pStyle w:val="Bullet1"/>
      </w:pPr>
      <w:r w:rsidRPr="00987A23">
        <w:rPr>
          <w:b/>
          <w:bCs/>
          <w:sz w:val="36"/>
          <w:szCs w:val="32"/>
        </w:rPr>
        <w:t>100%</w:t>
      </w:r>
      <w:r w:rsidRPr="00987A23">
        <w:rPr>
          <w:sz w:val="36"/>
          <w:szCs w:val="32"/>
        </w:rPr>
        <w:t xml:space="preserve"> </w:t>
      </w:r>
      <w:r w:rsidRPr="00914330">
        <w:rPr>
          <w:b/>
          <w:bCs/>
        </w:rPr>
        <w:t>of feedback or reports sent to places of detention within 4 months of visit or inspection.</w:t>
      </w:r>
      <w:r>
        <w:t xml:space="preserve"> </w:t>
      </w:r>
      <w:r w:rsidRPr="00B57D71">
        <w:t xml:space="preserve">Target </w:t>
      </w:r>
      <w:r w:rsidR="009530FB">
        <w:t>90</w:t>
      </w:r>
      <w:r w:rsidRPr="00B57D71">
        <w:t>%</w:t>
      </w:r>
      <w:r>
        <w:t>.</w:t>
      </w:r>
    </w:p>
    <w:p w14:paraId="43EDE0D6" w14:textId="77777777" w:rsidR="00764447" w:rsidRDefault="00764447" w:rsidP="00764447">
      <w:pPr>
        <w:pStyle w:val="Bullet1"/>
      </w:pPr>
      <w:r w:rsidRPr="00987A23">
        <w:rPr>
          <w:b/>
          <w:bCs/>
          <w:sz w:val="36"/>
          <w:szCs w:val="32"/>
        </w:rPr>
        <w:t>100%</w:t>
      </w:r>
      <w:r>
        <w:t xml:space="preserve"> </w:t>
      </w:r>
      <w:r w:rsidRPr="00914330">
        <w:rPr>
          <w:b/>
          <w:bCs/>
        </w:rPr>
        <w:t>of overseas stakeholders report value in collaboration.</w:t>
      </w:r>
      <w:r>
        <w:t xml:space="preserve"> </w:t>
      </w:r>
      <w:r w:rsidRPr="00B57D71">
        <w:t>Target 95%</w:t>
      </w:r>
      <w:r>
        <w:t>.</w:t>
      </w:r>
    </w:p>
    <w:p w14:paraId="3729F45A" w14:textId="77777777" w:rsidR="00764447" w:rsidRDefault="00764447" w:rsidP="00764447">
      <w:pPr>
        <w:pStyle w:val="Heading2"/>
      </w:pPr>
      <w:r>
        <w:t xml:space="preserve">Our context </w:t>
      </w:r>
    </w:p>
    <w:p w14:paraId="5F8FE939" w14:textId="77777777" w:rsidR="00764447" w:rsidRPr="00483AB2" w:rsidRDefault="00764447" w:rsidP="00764447">
      <w:pPr>
        <w:pStyle w:val="Bullet1"/>
      </w:pPr>
      <w:r w:rsidRPr="00AE0A55">
        <w:rPr>
          <w:b/>
          <w:bCs/>
          <w:sz w:val="36"/>
          <w:szCs w:val="32"/>
        </w:rPr>
        <w:t>62%</w:t>
      </w:r>
      <w:r w:rsidRPr="00AE0A55">
        <w:rPr>
          <w:sz w:val="36"/>
          <w:szCs w:val="32"/>
        </w:rPr>
        <w:t xml:space="preserve"> </w:t>
      </w:r>
      <w:r w:rsidRPr="00914330">
        <w:rPr>
          <w:b/>
          <w:bCs/>
        </w:rPr>
        <w:t>had high trust in the public sector.</w:t>
      </w:r>
      <w:r>
        <w:t xml:space="preserve"> </w:t>
      </w:r>
      <w:r w:rsidRPr="00483AB2">
        <w:t>Target 60% or higher</w:t>
      </w:r>
      <w:r>
        <w:t>.</w:t>
      </w:r>
    </w:p>
    <w:p w14:paraId="2EF32951" w14:textId="77777777" w:rsidR="00764447" w:rsidRPr="00483AB2" w:rsidRDefault="00764447" w:rsidP="00764447">
      <w:pPr>
        <w:pStyle w:val="Bullet1"/>
      </w:pPr>
      <w:r w:rsidRPr="00AE0A55">
        <w:rPr>
          <w:b/>
          <w:bCs/>
          <w:sz w:val="36"/>
          <w:szCs w:val="32"/>
        </w:rPr>
        <w:t>7.6</w:t>
      </w:r>
      <w:r w:rsidRPr="00AE0A55">
        <w:rPr>
          <w:sz w:val="36"/>
          <w:szCs w:val="32"/>
        </w:rPr>
        <w:t xml:space="preserve"> </w:t>
      </w:r>
      <w:r w:rsidRPr="00914330">
        <w:rPr>
          <w:b/>
          <w:bCs/>
        </w:rPr>
        <w:t>score for public ability to participate in government.</w:t>
      </w:r>
      <w:r w:rsidRPr="00483AB2">
        <w:t xml:space="preserve"> Target score within fair</w:t>
      </w:r>
      <w:r>
        <w:t xml:space="preserve"> </w:t>
      </w:r>
      <w:r w:rsidRPr="00483AB2">
        <w:t>(6) to good (10) range</w:t>
      </w:r>
      <w:r>
        <w:t>.</w:t>
      </w:r>
    </w:p>
    <w:p w14:paraId="4C8DFC1C" w14:textId="4DBC47D7" w:rsidR="00E85A17" w:rsidRDefault="00764447" w:rsidP="00657923">
      <w:pPr>
        <w:pStyle w:val="Bullet1"/>
      </w:pPr>
      <w:r w:rsidRPr="00AE0A55">
        <w:rPr>
          <w:b/>
          <w:bCs/>
          <w:sz w:val="36"/>
          <w:szCs w:val="32"/>
        </w:rPr>
        <w:t>4</w:t>
      </w:r>
      <w:r w:rsidRPr="00AE0A55">
        <w:rPr>
          <w:b/>
          <w:bCs/>
          <w:sz w:val="36"/>
          <w:szCs w:val="32"/>
          <w:vertAlign w:val="superscript"/>
        </w:rPr>
        <w:t>th</w:t>
      </w:r>
      <w:r w:rsidRPr="00AE0A55">
        <w:rPr>
          <w:b/>
          <w:bCs/>
          <w:sz w:val="36"/>
          <w:szCs w:val="32"/>
        </w:rPr>
        <w:t xml:space="preserve"> </w:t>
      </w:r>
      <w:r w:rsidRPr="003E0DC4">
        <w:rPr>
          <w:b/>
          <w:bCs/>
        </w:rPr>
        <w:t>least corrupt country, scoring 81.</w:t>
      </w:r>
      <w:r w:rsidRPr="00483AB2">
        <w:t xml:space="preserve"> Target</w:t>
      </w:r>
      <w:r>
        <w:t xml:space="preserve"> </w:t>
      </w:r>
      <w:r w:rsidRPr="00483AB2">
        <w:t>to maintain or improve trend</w:t>
      </w:r>
      <w:r>
        <w:t>.</w:t>
      </w:r>
    </w:p>
    <w:p w14:paraId="6DB5386B" w14:textId="77777777" w:rsidR="00E85A17" w:rsidRDefault="00E85A17" w:rsidP="00657923">
      <w:pPr>
        <w:pStyle w:val="BodyText"/>
      </w:pPr>
    </w:p>
    <w:p w14:paraId="78737494" w14:textId="77777777" w:rsidR="00E85A17" w:rsidRDefault="00E85A17" w:rsidP="00657923">
      <w:pPr>
        <w:pStyle w:val="BodyText"/>
      </w:pPr>
    </w:p>
    <w:p w14:paraId="37F476F0" w14:textId="77777777" w:rsidR="00657923" w:rsidRDefault="00657923" w:rsidP="00657923">
      <w:pPr>
        <w:pStyle w:val="BodyText"/>
      </w:pPr>
    </w:p>
    <w:p w14:paraId="2CB969EB" w14:textId="77777777" w:rsidR="00657923" w:rsidRDefault="00657923" w:rsidP="00657923">
      <w:pPr>
        <w:pStyle w:val="BodyText"/>
      </w:pPr>
    </w:p>
    <w:p w14:paraId="72524801" w14:textId="77777777" w:rsidR="00657923" w:rsidRDefault="00657923" w:rsidP="00657923">
      <w:pPr>
        <w:pStyle w:val="BodyText"/>
      </w:pPr>
    </w:p>
    <w:p w14:paraId="141A2147" w14:textId="77777777" w:rsidR="00657923" w:rsidRDefault="00657923" w:rsidP="00657923">
      <w:pPr>
        <w:pStyle w:val="BodyText"/>
      </w:pPr>
    </w:p>
    <w:p w14:paraId="55620154" w14:textId="77777777" w:rsidR="00764447" w:rsidRDefault="00764447" w:rsidP="00657923">
      <w:pPr>
        <w:pStyle w:val="BodyText"/>
      </w:pPr>
    </w:p>
    <w:p w14:paraId="280E3A40" w14:textId="77777777" w:rsidR="00657923" w:rsidRDefault="00657923" w:rsidP="00657923">
      <w:pPr>
        <w:pStyle w:val="BodyText"/>
      </w:pPr>
    </w:p>
    <w:p w14:paraId="7E972A9D" w14:textId="66441561" w:rsidR="00E7704B" w:rsidRPr="00097107" w:rsidRDefault="00E7704B" w:rsidP="00E7704B">
      <w:pPr>
        <w:pStyle w:val="Heading1"/>
        <w:pageBreakBefore w:val="0"/>
        <w:tabs>
          <w:tab w:val="right" w:pos="9014"/>
        </w:tabs>
        <w:spacing w:after="1680"/>
      </w:pPr>
      <w:bookmarkStart w:id="9" w:name="_Background"/>
      <w:bookmarkStart w:id="10" w:name="_Ref336353922"/>
      <w:bookmarkEnd w:id="9"/>
      <w:r w:rsidRPr="00665359">
        <w:rPr>
          <w:noProof/>
          <w:color w:val="208855" w:themeColor="accent1" w:themeShade="BF"/>
          <w:lang w:eastAsia="en-NZ"/>
        </w:rPr>
        <mc:AlternateContent>
          <mc:Choice Requires="wps">
            <w:drawing>
              <wp:anchor distT="0" distB="0" distL="114300" distR="114300" simplePos="0" relativeHeight="251661312" behindDoc="0" locked="0" layoutInCell="1" allowOverlap="1" wp14:anchorId="5CF509D8" wp14:editId="431A058D">
                <wp:simplePos x="0" y="0"/>
                <wp:positionH relativeFrom="margin">
                  <wp:align>right</wp:align>
                </wp:positionH>
                <wp:positionV relativeFrom="page">
                  <wp:posOffset>918845</wp:posOffset>
                </wp:positionV>
                <wp:extent cx="1189990" cy="2066925"/>
                <wp:effectExtent l="0" t="0" r="0" b="9525"/>
                <wp:wrapNone/>
                <wp:docPr id="16" name="Text Box 6" title="Illustrative element - number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2066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0A41F" w14:textId="77777777" w:rsidR="00E7704B" w:rsidRPr="00A12408" w:rsidRDefault="00E7704B" w:rsidP="00E7704B">
                            <w:pPr>
                              <w:spacing w:after="0"/>
                              <w:jc w:val="right"/>
                              <w:rPr>
                                <w:rFonts w:ascii="Lucida Sans" w:hAnsi="Lucida Sans" w:cs="Lucida Sans"/>
                                <w:color w:val="017E5D"/>
                                <w:sz w:val="280"/>
                                <w:szCs w:val="280"/>
                              </w:rPr>
                            </w:pPr>
                            <w:r w:rsidRPr="00A12408">
                              <w:rPr>
                                <w:rFonts w:ascii="Lucida Sans" w:hAnsi="Lucida Sans" w:cs="Lucida Sans"/>
                                <w:color w:val="017E5D"/>
                                <w:sz w:val="280"/>
                                <w:szCs w:val="280"/>
                              </w:rPr>
                              <w:t>3</w:t>
                            </w: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509D8" id="Text Box 6" o:spid="_x0000_s1030" type="#_x0000_t202" alt="Title: Illustrative element - number '3'" style="position:absolute;margin-left:42.5pt;margin-top:72.35pt;width:93.7pt;height:162.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" filled="f" stroked="f">
                <v:textbox>
                  <w:txbxContent>
                    <w:p w14:paraId="54E0A41F" w14:textId="77777777" w:rsidR="00E7704B" w:rsidRPr="00A12408" w:rsidRDefault="00E7704B" w:rsidP="00E7704B">
                      <w:pPr>
                        <w:spacing w:after="0"/>
                        <w:jc w:val="right"/>
                        <w:rPr>
                          <w:rFonts w:ascii="Lucida Sans" w:hAnsi="Lucida Sans" w:cs="Lucida Sans"/>
                          <w:color w:val="017E5D"/>
                          <w:sz w:val="280"/>
                          <w:szCs w:val="280"/>
                        </w:rPr>
                      </w:pPr>
                      <w:r w:rsidRPr="00A12408">
                        <w:rPr>
                          <w:rFonts w:ascii="Lucida Sans" w:hAnsi="Lucida Sans" w:cs="Lucida Sans"/>
                          <w:color w:val="017E5D"/>
                          <w:sz w:val="280"/>
                          <w:szCs w:val="280"/>
                        </w:rPr>
                        <w:t>3</w:t>
                      </w:r>
                    </w:p>
                  </w:txbxContent>
                </v:textbox>
                <w10:wrap anchorx="margin" anchory="page"/>
              </v:shape>
            </w:pict>
          </mc:Fallback>
        </mc:AlternateContent>
      </w:r>
      <w:r w:rsidRPr="00665359">
        <w:rPr>
          <w:color w:val="208855" w:themeColor="accent1" w:themeShade="BF"/>
        </w:rPr>
        <w:t>Background</w:t>
      </w:r>
      <w:bookmarkEnd w:id="10"/>
      <w:r w:rsidRPr="00097107">
        <w:tab/>
      </w:r>
    </w:p>
    <w:tbl>
      <w:tblPr>
        <w:tblStyle w:val="TableGridAnnualReport"/>
        <w:tblW w:w="9278" w:type="dxa"/>
        <w:tblInd w:w="10" w:type="dxa"/>
        <w:tblBorders>
          <w:left w:val="single" w:sz="8" w:space="0" w:color="FFFFFF" w:themeColor="background1"/>
          <w:bottom w:val="single" w:sz="8" w:space="0" w:color="auto"/>
          <w:right w:val="single" w:sz="8" w:space="0" w:color="FFFFFF" w:themeColor="background1"/>
          <w:insideH w:val="single" w:sz="8" w:space="0" w:color="auto"/>
          <w:insideV w:val="single" w:sz="8" w:space="0" w:color="FFFFFF" w:themeColor="background1"/>
        </w:tblBorders>
        <w:shd w:val="clear" w:color="000000" w:fill="auto"/>
        <w:tblLook w:val="04A0" w:firstRow="1" w:lastRow="0" w:firstColumn="1" w:lastColumn="0" w:noHBand="0" w:noVBand="1"/>
        <w:tblCaption w:val="Contents Section 3"/>
      </w:tblPr>
      <w:tblGrid>
        <w:gridCol w:w="7875"/>
        <w:gridCol w:w="1403"/>
      </w:tblGrid>
      <w:tr w:rsidR="00665359" w:rsidRPr="00665359" w14:paraId="22D6607B" w14:textId="77777777" w:rsidTr="003E0D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5" w:type="dxa"/>
            <w:tcBorders>
              <w:top w:val="single" w:sz="4" w:space="0" w:color="auto"/>
              <w:left w:val="single" w:sz="8" w:space="0" w:color="FFFFFF"/>
              <w:bottom w:val="single" w:sz="4" w:space="0" w:color="auto"/>
              <w:right w:val="single" w:sz="8" w:space="0" w:color="FFFFFF"/>
            </w:tcBorders>
            <w:shd w:val="clear" w:color="000000" w:fill="auto"/>
          </w:tcPr>
          <w:p w14:paraId="084AD5FB" w14:textId="77777777" w:rsidR="00E7704B" w:rsidRPr="00097107" w:rsidRDefault="00E7704B" w:rsidP="007A0718">
            <w:pPr>
              <w:spacing w:before="120" w:after="120" w:line="276" w:lineRule="auto"/>
            </w:pPr>
            <w:hyperlink w:anchor="_Nature_and_scope" w:history="1">
              <w:r w:rsidRPr="00097107">
                <w:rPr>
                  <w:rStyle w:val="Hyperlink"/>
                </w:rPr>
                <w:t>Nature and scope of the Ombudsman’s functions</w:t>
              </w:r>
            </w:hyperlink>
          </w:p>
        </w:tc>
        <w:tc>
          <w:tcPr>
            <w:tcW w:w="1403" w:type="dxa"/>
            <w:tcBorders>
              <w:left w:val="single" w:sz="8" w:space="0" w:color="FFFFFF"/>
            </w:tcBorders>
            <w:shd w:val="clear" w:color="000000" w:fill="auto"/>
            <w:vAlign w:val="center"/>
          </w:tcPr>
          <w:p w14:paraId="39FFBBDA" w14:textId="483DAAB7" w:rsidR="00E7704B" w:rsidRPr="00665359" w:rsidRDefault="00FD091F" w:rsidP="007A0718">
            <w:pPr>
              <w:spacing w:before="120" w:after="120" w:line="276" w:lineRule="auto"/>
              <w:jc w:val="right"/>
              <w:cnfStyle w:val="100000000000" w:firstRow="1" w:lastRow="0" w:firstColumn="0" w:lastColumn="0" w:oddVBand="0" w:evenVBand="0" w:oddHBand="0" w:evenHBand="0" w:firstRowFirstColumn="0" w:firstRowLastColumn="0" w:lastRowFirstColumn="0" w:lastRowLastColumn="0"/>
              <w:rPr>
                <w:b/>
                <w:bCs/>
                <w:color w:val="208855" w:themeColor="accent1" w:themeShade="BF"/>
                <w:sz w:val="25"/>
                <w:szCs w:val="25"/>
              </w:rPr>
            </w:pPr>
            <w:hyperlink w:anchor="_Nature_and_scope" w:history="1">
              <w:r w:rsidRPr="009E4F6D">
                <w:rPr>
                  <w:rStyle w:val="Hyperlink"/>
                  <w:b/>
                  <w:bCs/>
                  <w:color w:val="155B39" w:themeColor="accent1" w:themeShade="80"/>
                  <w:u w:val="none"/>
                </w:rPr>
                <w:t>11</w:t>
              </w:r>
            </w:hyperlink>
          </w:p>
        </w:tc>
      </w:tr>
      <w:tr w:rsidR="00AC575F" w:rsidRPr="00AC575F" w14:paraId="41A1C2DB" w14:textId="77777777" w:rsidTr="003E0D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5" w:type="dxa"/>
            <w:tcBorders>
              <w:top w:val="single" w:sz="4" w:space="0" w:color="auto"/>
              <w:left w:val="single" w:sz="8" w:space="0" w:color="FFFFFF"/>
              <w:bottom w:val="single" w:sz="4" w:space="0" w:color="auto"/>
              <w:right w:val="single" w:sz="8" w:space="0" w:color="FFFFFF"/>
            </w:tcBorders>
            <w:shd w:val="clear" w:color="000000" w:fill="auto"/>
          </w:tcPr>
          <w:p w14:paraId="154010B3" w14:textId="27649F08" w:rsidR="00E7704B" w:rsidRPr="0055120C" w:rsidRDefault="00E7704B" w:rsidP="007A0718">
            <w:pPr>
              <w:pStyle w:val="Tablebodytext"/>
              <w:rPr>
                <w:rStyle w:val="HyperlinkSourceTextReference"/>
                <w:sz w:val="24"/>
                <w:szCs w:val="24"/>
              </w:rPr>
            </w:pPr>
            <w:hyperlink w:anchor="_Te_Tiriti_o" w:history="1">
              <w:proofErr w:type="spellStart"/>
              <w:r>
                <w:rPr>
                  <w:rStyle w:val="Hyperlink"/>
                  <w:sz w:val="24"/>
                  <w:szCs w:val="24"/>
                </w:rPr>
                <w:t>Te</w:t>
              </w:r>
              <w:proofErr w:type="spellEnd"/>
              <w:r>
                <w:rPr>
                  <w:rStyle w:val="Hyperlink"/>
                  <w:sz w:val="24"/>
                  <w:szCs w:val="24"/>
                </w:rPr>
                <w:t xml:space="preserve"> </w:t>
              </w:r>
              <w:proofErr w:type="spellStart"/>
              <w:r>
                <w:rPr>
                  <w:rStyle w:val="Hyperlink"/>
                  <w:sz w:val="24"/>
                  <w:szCs w:val="24"/>
                </w:rPr>
                <w:t>Tiriti</w:t>
              </w:r>
              <w:proofErr w:type="spellEnd"/>
              <w:r>
                <w:rPr>
                  <w:rStyle w:val="Hyperlink"/>
                  <w:sz w:val="24"/>
                  <w:szCs w:val="24"/>
                </w:rPr>
                <w:t xml:space="preserve"> o</w:t>
              </w:r>
              <w:r w:rsidRPr="00F71B01">
                <w:rPr>
                  <w:rStyle w:val="Hyperlink"/>
                  <w:sz w:val="24"/>
                  <w:szCs w:val="24"/>
                </w:rPr>
                <w:t xml:space="preserve"> Waitangi </w:t>
              </w:r>
              <w:r>
                <w:rPr>
                  <w:rStyle w:val="Hyperlink"/>
                  <w:sz w:val="24"/>
                  <w:szCs w:val="24"/>
                </w:rPr>
                <w:t xml:space="preserve">| </w:t>
              </w:r>
              <w:r w:rsidR="0004667B">
                <w:rPr>
                  <w:rStyle w:val="Hyperlink"/>
                  <w:sz w:val="24"/>
                  <w:szCs w:val="24"/>
                </w:rPr>
                <w:t>T</w:t>
              </w:r>
              <w:r w:rsidR="0004667B" w:rsidRPr="0004667B">
                <w:rPr>
                  <w:rStyle w:val="Hyperlink"/>
                  <w:sz w:val="24"/>
                  <w:szCs w:val="24"/>
                </w:rPr>
                <w:t>he</w:t>
              </w:r>
              <w:r w:rsidR="0004667B">
                <w:rPr>
                  <w:rStyle w:val="Hyperlink"/>
                  <w:szCs w:val="24"/>
                </w:rPr>
                <w:t xml:space="preserve"> </w:t>
              </w:r>
              <w:r w:rsidRPr="00F71B01">
                <w:rPr>
                  <w:rStyle w:val="Hyperlink"/>
                  <w:sz w:val="24"/>
                  <w:szCs w:val="24"/>
                </w:rPr>
                <w:t>Treaty of Waitangi</w:t>
              </w:r>
            </w:hyperlink>
            <w:r>
              <w:rPr>
                <w:rStyle w:val="HyperlinkSourceTextReference"/>
                <w:sz w:val="24"/>
                <w:szCs w:val="24"/>
              </w:rPr>
              <w:t xml:space="preserve"> </w:t>
            </w:r>
          </w:p>
        </w:tc>
        <w:tc>
          <w:tcPr>
            <w:tcW w:w="1403" w:type="dxa"/>
            <w:tcBorders>
              <w:left w:val="single" w:sz="8" w:space="0" w:color="FFFFFF"/>
              <w:bottom w:val="nil"/>
            </w:tcBorders>
            <w:shd w:val="clear" w:color="000000" w:fill="auto"/>
            <w:vAlign w:val="center"/>
          </w:tcPr>
          <w:p w14:paraId="55CD577A" w14:textId="614577BD" w:rsidR="00E7704B" w:rsidRPr="00DD78B5" w:rsidRDefault="00FD091F"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rStyle w:val="Hyperlink"/>
                <w:color w:val="208855" w:themeColor="accent1" w:themeShade="BF"/>
                <w:u w:val="none"/>
              </w:rPr>
            </w:pPr>
            <w:hyperlink w:anchor="_Outcomes_and_impacts" w:history="1">
              <w:r w:rsidRPr="009E4F6D">
                <w:rPr>
                  <w:rStyle w:val="Hyperlink"/>
                  <w:b/>
                  <w:bCs/>
                  <w:color w:val="155B39" w:themeColor="accent1" w:themeShade="80"/>
                  <w:u w:val="none"/>
                </w:rPr>
                <w:t>13</w:t>
              </w:r>
            </w:hyperlink>
          </w:p>
        </w:tc>
      </w:tr>
    </w:tbl>
    <w:p w14:paraId="7F6A4AF2" w14:textId="77777777" w:rsidR="0089595B" w:rsidRPr="0089595B" w:rsidRDefault="0089595B" w:rsidP="0089595B">
      <w:pPr>
        <w:pStyle w:val="BodyText"/>
      </w:pPr>
    </w:p>
    <w:p w14:paraId="75662B6D" w14:textId="77777777" w:rsidR="0089595B" w:rsidRPr="0089595B" w:rsidRDefault="0089595B" w:rsidP="0089595B">
      <w:pPr>
        <w:pStyle w:val="TOCHeading"/>
      </w:pPr>
    </w:p>
    <w:p w14:paraId="486397AA" w14:textId="21123E47" w:rsidR="00657923" w:rsidRDefault="00657923" w:rsidP="006319A6">
      <w:pPr>
        <w:pStyle w:val="TOC1"/>
      </w:pPr>
    </w:p>
    <w:p w14:paraId="2D567D88" w14:textId="77777777" w:rsidR="00657923" w:rsidRDefault="00657923" w:rsidP="00657923">
      <w:pPr>
        <w:pStyle w:val="BodyText"/>
      </w:pPr>
    </w:p>
    <w:p w14:paraId="1A529F9D" w14:textId="77777777" w:rsidR="00657923" w:rsidRDefault="00657923" w:rsidP="00657923">
      <w:pPr>
        <w:pStyle w:val="BodyText"/>
      </w:pPr>
    </w:p>
    <w:p w14:paraId="2612BAA4" w14:textId="77777777" w:rsidR="00657923" w:rsidRDefault="00657923" w:rsidP="00657923">
      <w:pPr>
        <w:pStyle w:val="BodyText"/>
      </w:pPr>
    </w:p>
    <w:p w14:paraId="7E85BB9E" w14:textId="77777777" w:rsidR="00657923" w:rsidRDefault="00657923" w:rsidP="00657923">
      <w:pPr>
        <w:pStyle w:val="BodyText"/>
      </w:pPr>
    </w:p>
    <w:p w14:paraId="7D9E6F6F" w14:textId="77777777" w:rsidR="00657923" w:rsidRDefault="00657923" w:rsidP="00657923">
      <w:pPr>
        <w:pStyle w:val="BodyText"/>
      </w:pPr>
    </w:p>
    <w:p w14:paraId="4496D5CF" w14:textId="77777777" w:rsidR="00657923" w:rsidRDefault="00657923" w:rsidP="00657923">
      <w:pPr>
        <w:pStyle w:val="BodyText"/>
      </w:pPr>
    </w:p>
    <w:p w14:paraId="1CCC7C8F" w14:textId="77777777" w:rsidR="00657923" w:rsidRDefault="00657923" w:rsidP="00657923">
      <w:pPr>
        <w:pStyle w:val="BodyText"/>
      </w:pPr>
    </w:p>
    <w:p w14:paraId="216E0A28" w14:textId="77777777" w:rsidR="00657923" w:rsidRDefault="00657923" w:rsidP="00657923">
      <w:pPr>
        <w:pStyle w:val="BodyText"/>
      </w:pPr>
    </w:p>
    <w:p w14:paraId="2D9DB946" w14:textId="77777777" w:rsidR="00657923" w:rsidRDefault="00657923" w:rsidP="00657923">
      <w:pPr>
        <w:pStyle w:val="BodyText"/>
      </w:pPr>
    </w:p>
    <w:p w14:paraId="31EA101F" w14:textId="77777777" w:rsidR="00657923" w:rsidRDefault="00657923" w:rsidP="00657923">
      <w:pPr>
        <w:pStyle w:val="BodyText"/>
      </w:pPr>
    </w:p>
    <w:p w14:paraId="74A64F1A" w14:textId="77777777" w:rsidR="00657923" w:rsidRDefault="00657923" w:rsidP="00657923">
      <w:pPr>
        <w:pStyle w:val="BodyText"/>
      </w:pPr>
    </w:p>
    <w:p w14:paraId="40847D31" w14:textId="77777777" w:rsidR="00657923" w:rsidRDefault="00657923" w:rsidP="00657923">
      <w:pPr>
        <w:pStyle w:val="BodyText"/>
      </w:pPr>
    </w:p>
    <w:p w14:paraId="4977E270" w14:textId="77777777" w:rsidR="00657923" w:rsidRPr="00665359" w:rsidRDefault="00657923" w:rsidP="00657923">
      <w:pPr>
        <w:pStyle w:val="Heading2"/>
        <w:rPr>
          <w:color w:val="208855" w:themeColor="accent1" w:themeShade="BF"/>
        </w:rPr>
      </w:pPr>
      <w:bookmarkStart w:id="11" w:name="_Nature_and_scope"/>
      <w:bookmarkStart w:id="12" w:name="_Ref336351720"/>
      <w:bookmarkEnd w:id="11"/>
      <w:r w:rsidRPr="00665359">
        <w:rPr>
          <w:color w:val="208855" w:themeColor="accent1" w:themeShade="BF"/>
        </w:rPr>
        <w:t>Nature and scope of the Ombudsman’s functions</w:t>
      </w:r>
      <w:bookmarkEnd w:id="12"/>
    </w:p>
    <w:p w14:paraId="1736CD77" w14:textId="77777777" w:rsidR="00657923" w:rsidRPr="002014CE" w:rsidRDefault="00657923" w:rsidP="00657923">
      <w:pPr>
        <w:pStyle w:val="BodyText"/>
      </w:pPr>
      <w:r w:rsidRPr="002014CE">
        <w:t xml:space="preserve">The Ombudsman is an Officer of </w:t>
      </w:r>
      <w:proofErr w:type="gramStart"/>
      <w:r w:rsidRPr="002014CE">
        <w:t>Parliament, and</w:t>
      </w:r>
      <w:proofErr w:type="gramEnd"/>
      <w:r w:rsidRPr="002014CE">
        <w:t xml:space="preserve"> is responsible to Parliament and independent of the Government.</w:t>
      </w:r>
    </w:p>
    <w:p w14:paraId="2C7509E0" w14:textId="77777777" w:rsidR="00657923" w:rsidRPr="00665359" w:rsidRDefault="00657923" w:rsidP="00657923">
      <w:pPr>
        <w:pStyle w:val="Heading3"/>
        <w:rPr>
          <w:color w:val="208855" w:themeColor="accent1" w:themeShade="BF"/>
        </w:rPr>
      </w:pPr>
      <w:r w:rsidRPr="00503880">
        <w:t>Purpose</w:t>
      </w:r>
    </w:p>
    <w:p w14:paraId="2108A055" w14:textId="4ADFF52D" w:rsidR="00657923" w:rsidRPr="002014CE" w:rsidRDefault="00657923" w:rsidP="00657923">
      <w:pPr>
        <w:pStyle w:val="BodyText"/>
      </w:pPr>
      <w:r w:rsidRPr="002014CE">
        <w:t>The Ombudsman’s overall purpose is to investigate, review, and inspect</w:t>
      </w:r>
      <w:r w:rsidR="00012194">
        <w:t xml:space="preserve"> the</w:t>
      </w:r>
      <w:r w:rsidRPr="002014CE">
        <w:t xml:space="preserve"> conduct and decision-making</w:t>
      </w:r>
      <w:r w:rsidR="00012194">
        <w:t xml:space="preserve"> of public sector agencies</w:t>
      </w:r>
      <w:r w:rsidRPr="002014CE">
        <w:t xml:space="preserve"> and provide advice and guidance to ensure people are treated fairly. </w:t>
      </w:r>
    </w:p>
    <w:p w14:paraId="62FB9B11" w14:textId="77777777" w:rsidR="00657923" w:rsidRPr="009E4F6D" w:rsidRDefault="00657923" w:rsidP="00657923">
      <w:pPr>
        <w:pStyle w:val="Heading3"/>
        <w:rPr>
          <w:color w:val="155B39" w:themeColor="accent1" w:themeShade="80"/>
        </w:rPr>
      </w:pPr>
      <w:r w:rsidRPr="009E4F6D">
        <w:rPr>
          <w:color w:val="155B39" w:themeColor="accent1" w:themeShade="80"/>
        </w:rPr>
        <w:t>Functions</w:t>
      </w:r>
    </w:p>
    <w:p w14:paraId="6978D23C" w14:textId="77777777" w:rsidR="00657923" w:rsidRDefault="00657923" w:rsidP="00657923">
      <w:pPr>
        <w:pStyle w:val="BodyText"/>
      </w:pPr>
      <w:r w:rsidRPr="002014CE">
        <w:t xml:space="preserve">The Ombudsman’s functions are to: </w:t>
      </w:r>
    </w:p>
    <w:p w14:paraId="24EE57E9" w14:textId="388E9EB0" w:rsidR="00180289" w:rsidRPr="00180289" w:rsidRDefault="00180289" w:rsidP="00180289">
      <w:pPr>
        <w:pStyle w:val="Bullet1"/>
      </w:pPr>
      <w:r w:rsidRPr="00180289">
        <w:t>inform the public to enable them to take constructive action when they have concerns</w:t>
      </w:r>
      <w:r w:rsidR="00C53EE8">
        <w:t xml:space="preserve"> with state organisations</w:t>
      </w:r>
      <w:r w:rsidRPr="00180289">
        <w:t>;</w:t>
      </w:r>
    </w:p>
    <w:p w14:paraId="66AF4ACD" w14:textId="77777777" w:rsidR="00180289" w:rsidRPr="00180289" w:rsidRDefault="00180289" w:rsidP="00180289">
      <w:pPr>
        <w:pStyle w:val="Bullet1"/>
      </w:pPr>
      <w:r w:rsidRPr="00180289">
        <w:t xml:space="preserve">improve public sector capability to do its work and make decisions; </w:t>
      </w:r>
    </w:p>
    <w:p w14:paraId="6DD58D69" w14:textId="77777777" w:rsidR="00180289" w:rsidRPr="00180289" w:rsidRDefault="00180289" w:rsidP="00180289">
      <w:pPr>
        <w:pStyle w:val="Bullet1"/>
      </w:pPr>
      <w:r w:rsidRPr="00180289">
        <w:t>review, investigate, and resolve complaints about decisions on requests for access to official information;</w:t>
      </w:r>
      <w:r w:rsidRPr="00180289">
        <w:rPr>
          <w:vertAlign w:val="superscript"/>
        </w:rPr>
        <w:footnoteReference w:id="2"/>
      </w:r>
    </w:p>
    <w:p w14:paraId="349EE769" w14:textId="77777777" w:rsidR="00180289" w:rsidRPr="00180289" w:rsidRDefault="00180289" w:rsidP="00180289">
      <w:pPr>
        <w:pStyle w:val="Bullet1"/>
      </w:pPr>
      <w:r w:rsidRPr="00180289">
        <w:t>monitor general compliance and good practice by public sector agencies in managing and responding to official information requests;</w:t>
      </w:r>
      <w:r w:rsidRPr="00180289">
        <w:rPr>
          <w:vertAlign w:val="superscript"/>
        </w:rPr>
        <w:footnoteReference w:id="3"/>
      </w:r>
      <w:r w:rsidRPr="00180289">
        <w:t xml:space="preserve"> </w:t>
      </w:r>
    </w:p>
    <w:p w14:paraId="4F208122" w14:textId="77777777" w:rsidR="00180289" w:rsidRPr="00180289" w:rsidRDefault="00180289" w:rsidP="00180289">
      <w:pPr>
        <w:pStyle w:val="Bullet1"/>
      </w:pPr>
      <w:r w:rsidRPr="00180289">
        <w:t>resolve and investigate complaints about decision-making and conduct in the public sector;</w:t>
      </w:r>
      <w:r w:rsidRPr="00180289">
        <w:rPr>
          <w:vertAlign w:val="superscript"/>
        </w:rPr>
        <w:footnoteReference w:id="4"/>
      </w:r>
    </w:p>
    <w:p w14:paraId="2D06D4F6" w14:textId="77777777" w:rsidR="00180289" w:rsidRPr="00180289" w:rsidRDefault="00180289" w:rsidP="00180289">
      <w:pPr>
        <w:pStyle w:val="Bullet1"/>
      </w:pPr>
      <w:r w:rsidRPr="00180289">
        <w:t>contribute to systemic improvement by identifying, resolving, and investigating concerns with public sector administration and decision-making;</w:t>
      </w:r>
      <w:r w:rsidRPr="00180289">
        <w:rPr>
          <w:vertAlign w:val="superscript"/>
        </w:rPr>
        <w:footnoteReference w:id="5"/>
      </w:r>
      <w:r w:rsidRPr="00180289">
        <w:t xml:space="preserve"> </w:t>
      </w:r>
    </w:p>
    <w:p w14:paraId="7A24B283" w14:textId="77777777" w:rsidR="00180289" w:rsidRPr="00180289" w:rsidRDefault="00180289" w:rsidP="00180289">
      <w:pPr>
        <w:pStyle w:val="Bullet1"/>
      </w:pPr>
      <w:r w:rsidRPr="00180289">
        <w:t>respond to requests for advice and guidance about alleged serious wrongdoing, and investigate if necessary;</w:t>
      </w:r>
      <w:r w:rsidRPr="00180289">
        <w:rPr>
          <w:vertAlign w:val="superscript"/>
        </w:rPr>
        <w:footnoteReference w:id="6"/>
      </w:r>
    </w:p>
    <w:p w14:paraId="6CE140ED" w14:textId="77777777" w:rsidR="00180289" w:rsidRPr="00180289" w:rsidRDefault="00180289" w:rsidP="00180289">
      <w:pPr>
        <w:pStyle w:val="Bullet1"/>
      </w:pPr>
      <w:r w:rsidRPr="00180289">
        <w:t>protect and monitor disability rights;</w:t>
      </w:r>
      <w:r w:rsidRPr="00180289">
        <w:rPr>
          <w:vertAlign w:val="superscript"/>
        </w:rPr>
        <w:footnoteReference w:id="7"/>
      </w:r>
      <w:r w:rsidRPr="00180289">
        <w:t xml:space="preserve"> </w:t>
      </w:r>
    </w:p>
    <w:p w14:paraId="1884AF53" w14:textId="77777777" w:rsidR="00180289" w:rsidRPr="00180289" w:rsidRDefault="00180289" w:rsidP="00180289">
      <w:pPr>
        <w:pStyle w:val="Bullet1"/>
      </w:pPr>
      <w:r w:rsidRPr="00180289">
        <w:t>monitor and examine places of detention to prevent torture or other cruel, inhuman, or degrading treatment or punishment;</w:t>
      </w:r>
      <w:r w:rsidRPr="00180289">
        <w:rPr>
          <w:vertAlign w:val="superscript"/>
        </w:rPr>
        <w:footnoteReference w:id="8"/>
      </w:r>
      <w:r w:rsidRPr="00180289">
        <w:t xml:space="preserve"> and </w:t>
      </w:r>
    </w:p>
    <w:p w14:paraId="287865D4" w14:textId="0F28DB4B" w:rsidR="00180289" w:rsidRPr="002014CE" w:rsidRDefault="00180289" w:rsidP="00657923">
      <w:pPr>
        <w:pStyle w:val="Bullet1"/>
      </w:pPr>
      <w:r w:rsidRPr="00180289">
        <w:t>learn from, and assist to develop</w:t>
      </w:r>
      <w:r w:rsidR="005D5D03">
        <w:t>,</w:t>
      </w:r>
      <w:r w:rsidRPr="00180289">
        <w:t xml:space="preserve"> international best practice. </w:t>
      </w:r>
    </w:p>
    <w:p w14:paraId="2DF212A9" w14:textId="77777777" w:rsidR="00657923" w:rsidRPr="00665359" w:rsidRDefault="00657923" w:rsidP="00657923">
      <w:pPr>
        <w:pStyle w:val="Heading3"/>
        <w:rPr>
          <w:color w:val="208855" w:themeColor="accent1" w:themeShade="BF"/>
        </w:rPr>
      </w:pPr>
      <w:r w:rsidRPr="00A12408">
        <w:t>Contribution</w:t>
      </w:r>
    </w:p>
    <w:p w14:paraId="3AC2AA7F" w14:textId="77777777" w:rsidR="00657923" w:rsidRPr="002014CE" w:rsidRDefault="00657923" w:rsidP="00657923">
      <w:pPr>
        <w:pStyle w:val="BodyText"/>
      </w:pPr>
      <w:r w:rsidRPr="002014CE">
        <w:t>The Ombudsman’s role is to provide Parliament and the public with an independent and impartial check on:</w:t>
      </w:r>
    </w:p>
    <w:p w14:paraId="5913A074" w14:textId="77777777" w:rsidR="00657923" w:rsidRPr="002014CE" w:rsidRDefault="00657923" w:rsidP="00657923">
      <w:pPr>
        <w:pStyle w:val="Bullet1"/>
        <w:tabs>
          <w:tab w:val="clear" w:pos="567"/>
        </w:tabs>
      </w:pPr>
      <w:r w:rsidRPr="002014CE">
        <w:t>the quality, fairness and integrity of administrative conduct and decision-making;</w:t>
      </w:r>
    </w:p>
    <w:p w14:paraId="60FF6592" w14:textId="77777777" w:rsidR="00657923" w:rsidRPr="002014CE" w:rsidRDefault="00657923" w:rsidP="00657923">
      <w:pPr>
        <w:pStyle w:val="Bullet1"/>
        <w:tabs>
          <w:tab w:val="clear" w:pos="567"/>
        </w:tabs>
      </w:pPr>
      <w:r w:rsidRPr="002014CE">
        <w:t>the conditions and treatment of people in detention, and the prevention of torture or cruel, inhuman or degrading treatment or punishment; and</w:t>
      </w:r>
    </w:p>
    <w:p w14:paraId="40E86D4D" w14:textId="77777777" w:rsidR="00657923" w:rsidRPr="002014CE" w:rsidRDefault="00657923" w:rsidP="00657923">
      <w:pPr>
        <w:pStyle w:val="Bullet1"/>
        <w:tabs>
          <w:tab w:val="clear" w:pos="567"/>
        </w:tabs>
      </w:pPr>
      <w:r w:rsidRPr="002014CE">
        <w:t>the implementation of the Disability Convention.</w:t>
      </w:r>
    </w:p>
    <w:p w14:paraId="096B247A" w14:textId="77777777" w:rsidR="00CA70B1" w:rsidRDefault="00CA70B1" w:rsidP="00CA70B1">
      <w:pPr>
        <w:pStyle w:val="Bullet1"/>
        <w:numPr>
          <w:ilvl w:val="0"/>
          <w:numId w:val="0"/>
        </w:numPr>
      </w:pPr>
      <w:r>
        <w:t xml:space="preserve">Ombudsmen consider how people have been </w:t>
      </w:r>
      <w:proofErr w:type="gramStart"/>
      <w:r>
        <w:t>treated, and</w:t>
      </w:r>
      <w:proofErr w:type="gramEnd"/>
      <w:r>
        <w:t xml:space="preserve"> can achieve remedies both for those affected and to improve administrative processes overall. </w:t>
      </w:r>
      <w:r w:rsidRPr="00317DDB">
        <w:t>Ombudsman interventions help to reduce unfairness and inefficiencies caused by deficient processes</w:t>
      </w:r>
      <w:r>
        <w:t xml:space="preserve">. </w:t>
      </w:r>
      <w:r w:rsidRPr="00317DDB">
        <w:t>They also support transparency, accountability and anti-corruption in our democratic society, helping to make New Zealand a safe and stable place to live and do business.</w:t>
      </w:r>
      <w:r>
        <w:t xml:space="preserve"> </w:t>
      </w:r>
    </w:p>
    <w:p w14:paraId="750F3974" w14:textId="77777777" w:rsidR="00657923" w:rsidRDefault="00657923" w:rsidP="00657923">
      <w:pPr>
        <w:pStyle w:val="Whitespace"/>
      </w:pPr>
    </w:p>
    <w:tbl>
      <w:tblPr>
        <w:tblStyle w:val="TableBox"/>
        <w:tblW w:w="9297" w:type="dxa"/>
        <w:shd w:val="clear" w:color="auto" w:fill="E9E9E9"/>
        <w:tblLayout w:type="fixed"/>
        <w:tblCellMar>
          <w:bottom w:w="0" w:type="dxa"/>
        </w:tblCellMar>
        <w:tblLook w:val="04A0" w:firstRow="1" w:lastRow="0" w:firstColumn="1" w:lastColumn="0" w:noHBand="0" w:noVBand="1"/>
        <w:tblCaption w:val="What is the extent of our oversight "/>
        <w:tblDescription w:val="We have oversight of approximately 4,000 agencies in the public sector, including:&#10;• government departments and ministries;&#10;• local authorities;&#10;• crown entities;&#10;• state-owned enterprises;&#10;• tertiary education institutions&#10;• school boards; and&#10;• Ministers of the Crown and the Police (in relation to decisions on requests for official information). &#10;We also have:&#10;• oversight of 87 Oranga Tamariki contracted care or custody providers.&#10;• the designation to monitor and inspect private sector facilities funded by and/or accountable to the public sector in the detention of aged care recipients and those in isolation or quarantine; and&#10;• the role to provide information and guidance to any person (including private sector organisations) on protected disclosures.&#10;"/>
      </w:tblPr>
      <w:tblGrid>
        <w:gridCol w:w="9297"/>
      </w:tblGrid>
      <w:tr w:rsidR="00657923" w14:paraId="4226EB9C" w14:textId="77777777" w:rsidTr="00F16CE1">
        <w:tc>
          <w:tcPr>
            <w:tcW w:w="9514" w:type="dxa"/>
            <w:shd w:val="clear" w:color="auto" w:fill="E9E9E9"/>
          </w:tcPr>
          <w:p w14:paraId="641C12D8" w14:textId="77777777" w:rsidR="00657923" w:rsidRPr="00665359" w:rsidRDefault="00657923" w:rsidP="0016410A">
            <w:pPr>
              <w:pStyle w:val="Headingboxtexttop"/>
              <w:tabs>
                <w:tab w:val="num" w:pos="567"/>
              </w:tabs>
              <w:rPr>
                <w:color w:val="208855" w:themeColor="accent1" w:themeShade="BF"/>
              </w:rPr>
            </w:pPr>
            <w:r w:rsidRPr="00665359">
              <w:rPr>
                <w:color w:val="208855" w:themeColor="accent1" w:themeShade="BF"/>
              </w:rPr>
              <w:t xml:space="preserve">What is the extent of our oversight? </w:t>
            </w:r>
          </w:p>
          <w:p w14:paraId="240BE47A" w14:textId="77777777" w:rsidR="00657923" w:rsidRPr="007B46A4" w:rsidRDefault="00657923" w:rsidP="0016410A">
            <w:pPr>
              <w:pStyle w:val="Tablesinglespacedparagraph"/>
            </w:pPr>
            <w:r w:rsidRPr="007B46A4">
              <w:t>We have oversight of approximately 4,000 agencies in the public sector, including:</w:t>
            </w:r>
          </w:p>
          <w:p w14:paraId="7748E765" w14:textId="77777777" w:rsidR="00657923" w:rsidRPr="007B46A4" w:rsidRDefault="00657923" w:rsidP="0016410A">
            <w:pPr>
              <w:pStyle w:val="TableBullet1"/>
            </w:pPr>
            <w:r w:rsidRPr="007B46A4">
              <w:t>government departments and ministries;</w:t>
            </w:r>
          </w:p>
          <w:p w14:paraId="42E20E0B" w14:textId="77777777" w:rsidR="00657923" w:rsidRPr="007B46A4" w:rsidRDefault="00657923" w:rsidP="0016410A">
            <w:pPr>
              <w:pStyle w:val="TableBullet1"/>
            </w:pPr>
            <w:r w:rsidRPr="007B46A4">
              <w:t>local authorities;</w:t>
            </w:r>
          </w:p>
          <w:p w14:paraId="75419BAD" w14:textId="77777777" w:rsidR="00657923" w:rsidRPr="007B46A4" w:rsidRDefault="00657923" w:rsidP="0016410A">
            <w:pPr>
              <w:pStyle w:val="TableBullet1"/>
            </w:pPr>
            <w:r w:rsidRPr="007B46A4">
              <w:t>crown entities;</w:t>
            </w:r>
          </w:p>
          <w:p w14:paraId="70FE3A53" w14:textId="77777777" w:rsidR="00657923" w:rsidRPr="007B46A4" w:rsidRDefault="00657923" w:rsidP="0016410A">
            <w:pPr>
              <w:pStyle w:val="TableBullet1"/>
            </w:pPr>
            <w:r w:rsidRPr="007B46A4">
              <w:t>state-owned enterprises;</w:t>
            </w:r>
          </w:p>
          <w:p w14:paraId="6410735E" w14:textId="4746783D" w:rsidR="00657923" w:rsidRDefault="00657923" w:rsidP="0016410A">
            <w:pPr>
              <w:pStyle w:val="TableBullet1"/>
            </w:pPr>
            <w:r w:rsidRPr="007B46A4">
              <w:t>tertiary education institutions</w:t>
            </w:r>
            <w:r w:rsidR="00CA70B1">
              <w:t>;</w:t>
            </w:r>
          </w:p>
          <w:p w14:paraId="6626C8AB" w14:textId="77777777" w:rsidR="00657923" w:rsidRPr="007B46A4" w:rsidRDefault="00657923" w:rsidP="0016410A">
            <w:pPr>
              <w:pStyle w:val="TableBullet1"/>
            </w:pPr>
            <w:r w:rsidRPr="007B46A4">
              <w:t>school boards; and</w:t>
            </w:r>
          </w:p>
          <w:p w14:paraId="78ED3B0F" w14:textId="77777777" w:rsidR="00657923" w:rsidRPr="007B46A4" w:rsidRDefault="00657923" w:rsidP="0016410A">
            <w:pPr>
              <w:pStyle w:val="TableBullet1"/>
            </w:pPr>
            <w:r w:rsidRPr="007B46A4">
              <w:t xml:space="preserve">Ministers of the Crown and the Police (in relation to decisions on requests for official information). </w:t>
            </w:r>
          </w:p>
          <w:p w14:paraId="3FFFA0B7" w14:textId="77777777" w:rsidR="00657923" w:rsidRPr="007B46A4" w:rsidRDefault="00657923" w:rsidP="0016410A">
            <w:pPr>
              <w:pStyle w:val="Tablesinglespacedparagraph"/>
              <w:keepNext/>
            </w:pPr>
            <w:r w:rsidRPr="007B46A4">
              <w:t>We also have:</w:t>
            </w:r>
          </w:p>
          <w:p w14:paraId="4CC56678" w14:textId="6DC6D2CB" w:rsidR="00657923" w:rsidRPr="00D71149" w:rsidRDefault="00657923" w:rsidP="0016410A">
            <w:pPr>
              <w:pStyle w:val="TableBullet1"/>
            </w:pPr>
            <w:r w:rsidRPr="00376F68">
              <w:t xml:space="preserve">oversight </w:t>
            </w:r>
            <w:r w:rsidR="00376F68" w:rsidRPr="00376F68">
              <w:t>of Oranga</w:t>
            </w:r>
            <w:r w:rsidRPr="00376F68">
              <w:t xml:space="preserve"> Tamariki</w:t>
            </w:r>
            <w:r w:rsidRPr="00D71149">
              <w:t xml:space="preserve"> contracted care or custody provider</w:t>
            </w:r>
            <w:r w:rsidR="005339C1">
              <w:t>s</w:t>
            </w:r>
            <w:r w:rsidR="00CA70B1">
              <w:t>;</w:t>
            </w:r>
          </w:p>
          <w:p w14:paraId="4BF8E934" w14:textId="77777777" w:rsidR="00657923" w:rsidRPr="007B46A4" w:rsidRDefault="00657923" w:rsidP="0016410A">
            <w:pPr>
              <w:pStyle w:val="TableBullet1"/>
            </w:pPr>
            <w:r w:rsidRPr="007B46A4">
              <w:t>the designation to monitor and inspect private sector facilities funded by and/or accountable to the public sector in the detention of aged care recipients and those in isolation or quarantine; and</w:t>
            </w:r>
          </w:p>
          <w:p w14:paraId="2717410A" w14:textId="77777777" w:rsidR="00657923" w:rsidRDefault="00657923" w:rsidP="0016410A">
            <w:pPr>
              <w:pStyle w:val="TableBullet1"/>
            </w:pPr>
            <w:r w:rsidRPr="007B46A4">
              <w:t>the role to provide information and guidance to any person (including private sector organisations) on protected disclosures.</w:t>
            </w:r>
          </w:p>
        </w:tc>
      </w:tr>
    </w:tbl>
    <w:p w14:paraId="6A298461" w14:textId="77777777" w:rsidR="00657923" w:rsidRPr="00D71149" w:rsidRDefault="00657923" w:rsidP="00657923">
      <w:pPr>
        <w:pStyle w:val="Heading2"/>
      </w:pPr>
      <w:bookmarkStart w:id="13" w:name="_Outcomes_and_impacts"/>
      <w:bookmarkStart w:id="14" w:name="_Te_Tiriti_o"/>
      <w:bookmarkStart w:id="15" w:name="_Toc80599915"/>
      <w:bookmarkStart w:id="16" w:name="_Ref207089396"/>
      <w:bookmarkEnd w:id="13"/>
      <w:bookmarkEnd w:id="14"/>
      <w:proofErr w:type="spellStart"/>
      <w:r w:rsidRPr="00D71149">
        <w:t>Te</w:t>
      </w:r>
      <w:proofErr w:type="spellEnd"/>
      <w:r w:rsidRPr="00D71149">
        <w:t xml:space="preserve"> </w:t>
      </w:r>
      <w:proofErr w:type="spellStart"/>
      <w:r w:rsidRPr="00D71149">
        <w:t>Tiriti</w:t>
      </w:r>
      <w:proofErr w:type="spellEnd"/>
      <w:r w:rsidRPr="00D71149">
        <w:t xml:space="preserve"> o Waitangi </w:t>
      </w:r>
      <w:bookmarkEnd w:id="15"/>
      <w:r>
        <w:t>|</w:t>
      </w:r>
      <w:r w:rsidRPr="00D71149">
        <w:t xml:space="preserve"> The Treaty of Waitangi</w:t>
      </w:r>
      <w:bookmarkEnd w:id="16"/>
    </w:p>
    <w:p w14:paraId="55C86CBB" w14:textId="526AA253" w:rsidR="00657923" w:rsidRPr="002014CE" w:rsidRDefault="00657923" w:rsidP="00657923">
      <w:pPr>
        <w:pStyle w:val="BodyText"/>
      </w:pPr>
      <w:r w:rsidRPr="002014CE">
        <w:t xml:space="preserve">We </w:t>
      </w:r>
      <w:r w:rsidRPr="005518DA">
        <w:t xml:space="preserve">acknowledge the constitutional status of </w:t>
      </w:r>
      <w:proofErr w:type="spellStart"/>
      <w:r w:rsidRPr="005518DA">
        <w:t>Te</w:t>
      </w:r>
      <w:proofErr w:type="spellEnd"/>
      <w:r w:rsidRPr="005518DA">
        <w:t xml:space="preserve"> </w:t>
      </w:r>
      <w:proofErr w:type="spellStart"/>
      <w:r w:rsidRPr="005518DA">
        <w:t>Tiriti</w:t>
      </w:r>
      <w:proofErr w:type="spellEnd"/>
      <w:r w:rsidRPr="005518DA">
        <w:t xml:space="preserve"> o Waitangi </w:t>
      </w:r>
      <w:r>
        <w:t>|</w:t>
      </w:r>
      <w:r w:rsidRPr="005518DA">
        <w:t xml:space="preserve"> The Treaty of Waitangi</w:t>
      </w:r>
      <w:r w:rsidRPr="005518DA">
        <w:rPr>
          <w:rStyle w:val="FootnoteReference"/>
        </w:rPr>
        <w:footnoteReference w:id="9"/>
      </w:r>
      <w:r w:rsidRPr="002014CE">
        <w:t xml:space="preserve"> (</w:t>
      </w:r>
      <w:proofErr w:type="spellStart"/>
      <w:r w:rsidRPr="002014CE">
        <w:t>Te</w:t>
      </w:r>
      <w:proofErr w:type="spellEnd"/>
      <w:r w:rsidRPr="002014CE">
        <w:t xml:space="preserve"> </w:t>
      </w:r>
      <w:proofErr w:type="spellStart"/>
      <w:r w:rsidRPr="002014CE">
        <w:t>Tiriti</w:t>
      </w:r>
      <w:proofErr w:type="spellEnd"/>
      <w:r w:rsidRPr="002014CE">
        <w:t xml:space="preserve">) and tikanga as a source of law in New Zealand. We aim to incorporate </w:t>
      </w:r>
      <w:proofErr w:type="spellStart"/>
      <w:r w:rsidRPr="002014CE">
        <w:t>Te</w:t>
      </w:r>
      <w:proofErr w:type="spellEnd"/>
      <w:r w:rsidRPr="002014CE">
        <w:t xml:space="preserve"> </w:t>
      </w:r>
      <w:proofErr w:type="spellStart"/>
      <w:r w:rsidRPr="002014CE">
        <w:t>Tiriti</w:t>
      </w:r>
      <w:proofErr w:type="spellEnd"/>
      <w:r w:rsidRPr="002014CE">
        <w:t xml:space="preserve"> and tikanga into our work in the following ways:</w:t>
      </w:r>
    </w:p>
    <w:p w14:paraId="05002691" w14:textId="77777777" w:rsidR="00657923" w:rsidRPr="002014CE" w:rsidRDefault="00657923" w:rsidP="00657923">
      <w:pPr>
        <w:pStyle w:val="Bullet1"/>
        <w:tabs>
          <w:tab w:val="clear" w:pos="567"/>
        </w:tabs>
      </w:pPr>
      <w:r w:rsidRPr="002014CE">
        <w:t xml:space="preserve">by ensuring the Crown is acting consistently with </w:t>
      </w:r>
      <w:proofErr w:type="spellStart"/>
      <w:r w:rsidRPr="002014CE">
        <w:t>Te</w:t>
      </w:r>
      <w:proofErr w:type="spellEnd"/>
      <w:r w:rsidRPr="002014CE">
        <w:t xml:space="preserve"> </w:t>
      </w:r>
      <w:proofErr w:type="spellStart"/>
      <w:r w:rsidRPr="002014CE">
        <w:t>Tiriti</w:t>
      </w:r>
      <w:proofErr w:type="spellEnd"/>
      <w:r w:rsidRPr="002014CE">
        <w:t xml:space="preserve"> and tikanga when undertaking</w:t>
      </w:r>
      <w:r>
        <w:t xml:space="preserve"> our</w:t>
      </w:r>
      <w:r w:rsidRPr="002014CE">
        <w:t xml:space="preserve"> oversight functions; </w:t>
      </w:r>
    </w:p>
    <w:p w14:paraId="71D439FA" w14:textId="77777777" w:rsidR="00657923" w:rsidRPr="002014CE" w:rsidRDefault="00657923" w:rsidP="00657923">
      <w:pPr>
        <w:pStyle w:val="Bullet1"/>
        <w:tabs>
          <w:tab w:val="clear" w:pos="567"/>
        </w:tabs>
      </w:pPr>
      <w:r w:rsidRPr="002014CE">
        <w:t xml:space="preserve">by ensuring our processes, practices, and </w:t>
      </w:r>
      <w:r w:rsidRPr="005518DA">
        <w:t xml:space="preserve">decisions are consistent with </w:t>
      </w:r>
      <w:proofErr w:type="spellStart"/>
      <w:r w:rsidRPr="005518DA">
        <w:t>Te</w:t>
      </w:r>
      <w:proofErr w:type="spellEnd"/>
      <w:r w:rsidRPr="005518DA">
        <w:t xml:space="preserve"> </w:t>
      </w:r>
      <w:proofErr w:type="spellStart"/>
      <w:r w:rsidRPr="005518DA">
        <w:t>Tiriti</w:t>
      </w:r>
      <w:proofErr w:type="spellEnd"/>
      <w:r w:rsidRPr="005518DA">
        <w:t xml:space="preserve"> (as appropriate for an entity outside of the Crown)</w:t>
      </w:r>
      <w:r w:rsidRPr="005518DA">
        <w:rPr>
          <w:rStyle w:val="FootnoteReference"/>
        </w:rPr>
        <w:footnoteReference w:id="10"/>
      </w:r>
      <w:r w:rsidRPr="005518DA">
        <w:t xml:space="preserve"> and</w:t>
      </w:r>
      <w:r w:rsidRPr="002014CE">
        <w:t xml:space="preserve"> tikanga;</w:t>
      </w:r>
    </w:p>
    <w:p w14:paraId="75C11996" w14:textId="77777777" w:rsidR="00657923" w:rsidRPr="002014CE" w:rsidRDefault="00657923" w:rsidP="00657923">
      <w:pPr>
        <w:pStyle w:val="Bullet1"/>
        <w:tabs>
          <w:tab w:val="clear" w:pos="567"/>
        </w:tabs>
      </w:pPr>
      <w:r w:rsidRPr="002014CE">
        <w:t>by engaging Māori to understand their views when considering matters that affect Māori; and</w:t>
      </w:r>
    </w:p>
    <w:p w14:paraId="0BFF93BE" w14:textId="77777777" w:rsidR="00657923" w:rsidRPr="002014CE" w:rsidRDefault="00657923" w:rsidP="00657923">
      <w:pPr>
        <w:pStyle w:val="Bullet1"/>
        <w:tabs>
          <w:tab w:val="clear" w:pos="567"/>
        </w:tabs>
      </w:pPr>
      <w:r w:rsidRPr="0022651B">
        <w:t xml:space="preserve">by ensuring </w:t>
      </w:r>
      <w:proofErr w:type="spellStart"/>
      <w:r w:rsidRPr="0022651B">
        <w:t>te</w:t>
      </w:r>
      <w:proofErr w:type="spellEnd"/>
      <w:r w:rsidRPr="0022651B">
        <w:t xml:space="preserve"> </w:t>
      </w:r>
      <w:proofErr w:type="spellStart"/>
      <w:r w:rsidRPr="0022651B">
        <w:t>a</w:t>
      </w:r>
      <w:r w:rsidRPr="002014CE">
        <w:t>o</w:t>
      </w:r>
      <w:proofErr w:type="spellEnd"/>
      <w:r w:rsidRPr="002014CE">
        <w:t xml:space="preserve"> Māori is authentically and appropriately applied in overseeing any Māori entities and non-governmental organisations. </w:t>
      </w:r>
    </w:p>
    <w:p w14:paraId="5FC16C37" w14:textId="77777777" w:rsidR="00F073C0" w:rsidRDefault="00F073C0" w:rsidP="00657923">
      <w:pPr>
        <w:pStyle w:val="BodyText"/>
      </w:pPr>
      <w:bookmarkStart w:id="17" w:name="_Strengthening_inclusion"/>
      <w:bookmarkStart w:id="18" w:name="_Outcomes_sought_by"/>
      <w:bookmarkEnd w:id="17"/>
      <w:bookmarkEnd w:id="18"/>
    </w:p>
    <w:p w14:paraId="26FB415F" w14:textId="77777777" w:rsidR="00F073C0" w:rsidRDefault="00F073C0" w:rsidP="00657923">
      <w:pPr>
        <w:pStyle w:val="BodyText"/>
      </w:pPr>
    </w:p>
    <w:p w14:paraId="1774407C" w14:textId="77777777" w:rsidR="00F073C0" w:rsidRDefault="00F073C0" w:rsidP="00657923">
      <w:pPr>
        <w:pStyle w:val="BodyText"/>
      </w:pPr>
    </w:p>
    <w:p w14:paraId="517FF08B" w14:textId="62CDBA9E" w:rsidR="005436BD" w:rsidRDefault="005436BD" w:rsidP="005436BD">
      <w:pPr>
        <w:pStyle w:val="Heading1"/>
        <w:spacing w:after="240"/>
      </w:pPr>
      <w:bookmarkStart w:id="19" w:name="_Outcomes,_impacts_and"/>
      <w:bookmarkEnd w:id="19"/>
      <w:r w:rsidRPr="00097107">
        <w:rPr>
          <w:noProof/>
          <w:lang w:eastAsia="en-NZ"/>
        </w:rPr>
        <mc:AlternateContent>
          <mc:Choice Requires="wps">
            <w:drawing>
              <wp:anchor distT="0" distB="0" distL="114300" distR="114300" simplePos="0" relativeHeight="251663360" behindDoc="0" locked="0" layoutInCell="1" allowOverlap="1" wp14:anchorId="097D3CE8" wp14:editId="266F7C9C">
                <wp:simplePos x="0" y="0"/>
                <wp:positionH relativeFrom="margin">
                  <wp:align>right</wp:align>
                </wp:positionH>
                <wp:positionV relativeFrom="page">
                  <wp:posOffset>818677</wp:posOffset>
                </wp:positionV>
                <wp:extent cx="1456660" cy="2073348"/>
                <wp:effectExtent l="0" t="0" r="0" b="3175"/>
                <wp:wrapNone/>
                <wp:docPr id="14" name="Text Box 7" title="Illustrative element - number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660" cy="2073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BE7C7" w14:textId="77777777" w:rsidR="005436BD" w:rsidRPr="001010F4" w:rsidRDefault="005436BD" w:rsidP="005436BD">
                            <w:pPr>
                              <w:spacing w:after="0"/>
                              <w:jc w:val="right"/>
                              <w:rPr>
                                <w:rFonts w:ascii="Lucida Sans" w:hAnsi="Lucida Sans" w:cs="Lucida Sans"/>
                                <w:color w:val="017E5D"/>
                                <w:sz w:val="280"/>
                                <w:szCs w:val="280"/>
                              </w:rPr>
                            </w:pPr>
                            <w:r w:rsidRPr="001010F4">
                              <w:rPr>
                                <w:rFonts w:ascii="Lucida Sans" w:hAnsi="Lucida Sans" w:cs="Lucida Sans"/>
                                <w:color w:val="017E5D"/>
                                <w:sz w:val="280"/>
                                <w:szCs w:val="280"/>
                              </w:rPr>
                              <w:t>4</w:t>
                            </w: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7D3CE8" id="Text Box 7" o:spid="_x0000_s1031" type="#_x0000_t202" alt="Title: Illustrative element - number '4'" style="position:absolute;margin-left:63.5pt;margin-top:64.45pt;width:114.7pt;height:163.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" filled="f" stroked="f">
                <v:textbox>
                  <w:txbxContent>
                    <w:p w14:paraId="343BE7C7" w14:textId="77777777" w:rsidR="005436BD" w:rsidRPr="001010F4" w:rsidRDefault="005436BD" w:rsidP="005436BD">
                      <w:pPr>
                        <w:spacing w:after="0"/>
                        <w:jc w:val="right"/>
                        <w:rPr>
                          <w:rFonts w:ascii="Lucida Sans" w:hAnsi="Lucida Sans" w:cs="Lucida Sans"/>
                          <w:color w:val="017E5D"/>
                          <w:sz w:val="280"/>
                          <w:szCs w:val="280"/>
                        </w:rPr>
                      </w:pPr>
                      <w:r w:rsidRPr="001010F4">
                        <w:rPr>
                          <w:rFonts w:ascii="Lucida Sans" w:hAnsi="Lucida Sans" w:cs="Lucida Sans"/>
                          <w:color w:val="017E5D"/>
                          <w:sz w:val="280"/>
                          <w:szCs w:val="280"/>
                        </w:rPr>
                        <w:t>4</w:t>
                      </w:r>
                    </w:p>
                  </w:txbxContent>
                </v:textbox>
                <w10:wrap anchorx="margin" anchory="page"/>
              </v:shape>
            </w:pict>
          </mc:Fallback>
        </mc:AlternateContent>
      </w:r>
      <w:r w:rsidR="003F759B">
        <w:t>Outcomes, impacts and ou</w:t>
      </w:r>
      <w:r w:rsidR="00F073C0">
        <w:t xml:space="preserve">tputs </w:t>
      </w:r>
    </w:p>
    <w:p w14:paraId="26BC2F11" w14:textId="77777777" w:rsidR="005436BD" w:rsidRDefault="005436BD" w:rsidP="005436BD">
      <w:pPr>
        <w:pStyle w:val="BodyText"/>
      </w:pPr>
    </w:p>
    <w:p w14:paraId="23E98D70" w14:textId="77777777" w:rsidR="00C55A20" w:rsidRDefault="00C55A20" w:rsidP="005436BD">
      <w:pPr>
        <w:pStyle w:val="BodyText"/>
      </w:pPr>
    </w:p>
    <w:p w14:paraId="1CA8C067" w14:textId="77777777" w:rsidR="005436BD" w:rsidRDefault="005436BD" w:rsidP="005436BD">
      <w:pPr>
        <w:pStyle w:val="BodyText"/>
      </w:pPr>
    </w:p>
    <w:tbl>
      <w:tblPr>
        <w:tblStyle w:val="TableGridAnnualReport"/>
        <w:tblW w:w="9278" w:type="dxa"/>
        <w:tblInd w:w="10" w:type="dxa"/>
        <w:tblBorders>
          <w:left w:val="single" w:sz="8" w:space="0" w:color="FFFFFF" w:themeColor="background1"/>
          <w:bottom w:val="single" w:sz="8" w:space="0" w:color="auto"/>
          <w:right w:val="single" w:sz="8" w:space="0" w:color="FFFFFF" w:themeColor="background1"/>
          <w:insideH w:val="single" w:sz="8" w:space="0" w:color="auto"/>
          <w:insideV w:val="single" w:sz="8" w:space="0" w:color="FFFFFF" w:themeColor="background1"/>
        </w:tblBorders>
        <w:shd w:val="clear" w:color="000000" w:fill="auto"/>
        <w:tblLook w:val="04A0" w:firstRow="1" w:lastRow="0" w:firstColumn="1" w:lastColumn="0" w:noHBand="0" w:noVBand="1"/>
        <w:tblCaption w:val="Contents Section 4"/>
      </w:tblPr>
      <w:tblGrid>
        <w:gridCol w:w="8769"/>
        <w:gridCol w:w="509"/>
      </w:tblGrid>
      <w:tr w:rsidR="007725A2" w:rsidRPr="003033FE" w14:paraId="3C2C1C6D" w14:textId="77777777" w:rsidTr="007A0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9" w:type="dxa"/>
            <w:tcBorders>
              <w:top w:val="single" w:sz="4" w:space="0" w:color="auto"/>
              <w:left w:val="single" w:sz="8" w:space="0" w:color="FFFFFF"/>
              <w:bottom w:val="single" w:sz="4" w:space="0" w:color="auto"/>
              <w:right w:val="single" w:sz="8" w:space="0" w:color="FFFFFF"/>
            </w:tcBorders>
            <w:shd w:val="clear" w:color="000000" w:fill="auto"/>
          </w:tcPr>
          <w:p w14:paraId="7B51E190" w14:textId="694787A6" w:rsidR="007725A2" w:rsidRDefault="007725A2" w:rsidP="007A0718">
            <w:pPr>
              <w:spacing w:before="120" w:after="120" w:line="276" w:lineRule="auto"/>
            </w:pPr>
            <w:hyperlink w:anchor="_Updating_our_performance" w:history="1">
              <w:r w:rsidRPr="00503880">
                <w:rPr>
                  <w:rStyle w:val="Hyperlink"/>
                </w:rPr>
                <w:t>Updating our performance framework</w:t>
              </w:r>
            </w:hyperlink>
            <w:r>
              <w:t xml:space="preserve"> </w:t>
            </w:r>
          </w:p>
        </w:tc>
        <w:tc>
          <w:tcPr>
            <w:tcW w:w="509" w:type="dxa"/>
            <w:tcBorders>
              <w:top w:val="nil"/>
              <w:left w:val="single" w:sz="8" w:space="0" w:color="FFFFFF"/>
            </w:tcBorders>
            <w:shd w:val="clear" w:color="000000" w:fill="auto"/>
            <w:vAlign w:val="center"/>
          </w:tcPr>
          <w:p w14:paraId="0F4744EE" w14:textId="0CD3A76E" w:rsidR="007725A2" w:rsidRPr="00503880" w:rsidRDefault="00021538" w:rsidP="007A0718">
            <w:pPr>
              <w:spacing w:before="120" w:after="120" w:line="276" w:lineRule="auto"/>
              <w:jc w:val="right"/>
              <w:cnfStyle w:val="100000000000" w:firstRow="1" w:lastRow="0" w:firstColumn="0" w:lastColumn="0" w:oddVBand="0" w:evenVBand="0" w:oddHBand="0" w:evenHBand="0" w:firstRowFirstColumn="0" w:firstRowLastColumn="0" w:lastRowFirstColumn="0" w:lastRowLastColumn="0"/>
              <w:rPr>
                <w:b/>
                <w:bCs/>
              </w:rPr>
            </w:pPr>
            <w:hyperlink w:anchor="_Outcomes" w:history="1">
              <w:r>
                <w:rPr>
                  <w:rStyle w:val="Hyperlink"/>
                  <w:b/>
                  <w:bCs/>
                  <w:color w:val="017E5D"/>
                  <w:sz w:val="25"/>
                  <w:szCs w:val="25"/>
                  <w:u w:val="none"/>
                </w:rPr>
                <w:t>15</w:t>
              </w:r>
            </w:hyperlink>
          </w:p>
        </w:tc>
      </w:tr>
      <w:tr w:rsidR="005436BD" w:rsidRPr="003033FE" w14:paraId="61267EC9" w14:textId="77777777" w:rsidTr="007A0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9" w:type="dxa"/>
            <w:tcBorders>
              <w:top w:val="single" w:sz="4" w:space="0" w:color="auto"/>
              <w:left w:val="single" w:sz="8" w:space="0" w:color="FFFFFF"/>
              <w:bottom w:val="single" w:sz="4" w:space="0" w:color="auto"/>
              <w:right w:val="single" w:sz="8" w:space="0" w:color="FFFFFF"/>
            </w:tcBorders>
            <w:shd w:val="clear" w:color="000000" w:fill="auto"/>
          </w:tcPr>
          <w:p w14:paraId="7084EBFF" w14:textId="63603FCB" w:rsidR="005436BD" w:rsidRPr="005436BD" w:rsidRDefault="005436BD" w:rsidP="007A0718">
            <w:pPr>
              <w:spacing w:before="120" w:after="120" w:line="276" w:lineRule="auto"/>
            </w:pPr>
            <w:hyperlink w:anchor="_Outcomes" w:history="1">
              <w:r w:rsidRPr="005436BD">
                <w:rPr>
                  <w:rStyle w:val="Hyperlink"/>
                </w:rPr>
                <w:t>Outcomes</w:t>
              </w:r>
            </w:hyperlink>
          </w:p>
        </w:tc>
        <w:tc>
          <w:tcPr>
            <w:tcW w:w="509" w:type="dxa"/>
            <w:tcBorders>
              <w:left w:val="single" w:sz="8" w:space="0" w:color="FFFFFF"/>
            </w:tcBorders>
            <w:shd w:val="clear" w:color="000000" w:fill="auto"/>
            <w:vAlign w:val="center"/>
          </w:tcPr>
          <w:p w14:paraId="365E77CB" w14:textId="4FC43DBB" w:rsidR="005436BD" w:rsidRPr="00503880" w:rsidRDefault="00021538"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color w:val="017E5D"/>
                <w:sz w:val="25"/>
                <w:szCs w:val="25"/>
              </w:rPr>
            </w:pPr>
            <w:hyperlink w:anchor="_Outcomes_1" w:history="1">
              <w:r>
                <w:rPr>
                  <w:rStyle w:val="Hyperlink"/>
                  <w:b/>
                  <w:bCs/>
                  <w:color w:val="017E5D"/>
                  <w:sz w:val="25"/>
                  <w:szCs w:val="25"/>
                  <w:u w:val="none"/>
                </w:rPr>
                <w:t>15</w:t>
              </w:r>
            </w:hyperlink>
          </w:p>
        </w:tc>
      </w:tr>
      <w:tr w:rsidR="00B70E86" w:rsidRPr="00B70E86" w14:paraId="04DD69AB" w14:textId="77777777" w:rsidTr="007A07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9" w:type="dxa"/>
            <w:tcBorders>
              <w:top w:val="single" w:sz="4" w:space="0" w:color="auto"/>
              <w:left w:val="single" w:sz="8" w:space="0" w:color="FFFFFF"/>
              <w:bottom w:val="single" w:sz="4" w:space="0" w:color="auto"/>
              <w:right w:val="single" w:sz="8" w:space="0" w:color="FFFFFF"/>
            </w:tcBorders>
            <w:shd w:val="clear" w:color="000000" w:fill="auto"/>
          </w:tcPr>
          <w:p w14:paraId="1CDACF45" w14:textId="4AB6287D" w:rsidR="005436BD" w:rsidRPr="00097107" w:rsidRDefault="005436BD" w:rsidP="007A0718">
            <w:pPr>
              <w:spacing w:before="120" w:after="120" w:line="276" w:lineRule="auto"/>
            </w:pPr>
            <w:hyperlink w:anchor="_Impacts_and_our" w:history="1">
              <w:r w:rsidRPr="005436BD">
                <w:rPr>
                  <w:rStyle w:val="Hyperlink"/>
                </w:rPr>
                <w:t>Impacts and our impact measures</w:t>
              </w:r>
            </w:hyperlink>
            <w:r>
              <w:t xml:space="preserve"> </w:t>
            </w:r>
          </w:p>
        </w:tc>
        <w:tc>
          <w:tcPr>
            <w:tcW w:w="509" w:type="dxa"/>
            <w:tcBorders>
              <w:left w:val="single" w:sz="8" w:space="0" w:color="FFFFFF"/>
            </w:tcBorders>
            <w:shd w:val="clear" w:color="000000" w:fill="auto"/>
            <w:vAlign w:val="center"/>
          </w:tcPr>
          <w:p w14:paraId="114E5346" w14:textId="2096A6BE" w:rsidR="005436BD" w:rsidRPr="00021538" w:rsidRDefault="00021538" w:rsidP="007A0718">
            <w:pPr>
              <w:spacing w:before="120" w:after="120" w:line="276" w:lineRule="auto"/>
              <w:jc w:val="right"/>
              <w:cnfStyle w:val="000000010000" w:firstRow="0" w:lastRow="0" w:firstColumn="0" w:lastColumn="0" w:oddVBand="0" w:evenVBand="0" w:oddHBand="0" w:evenHBand="1" w:firstRowFirstColumn="0" w:firstRowLastColumn="0" w:lastRowFirstColumn="0" w:lastRowLastColumn="0"/>
              <w:rPr>
                <w:b/>
                <w:bCs/>
                <w:color w:val="017E5D"/>
                <w:sz w:val="25"/>
                <w:szCs w:val="25"/>
              </w:rPr>
            </w:pPr>
            <w:hyperlink w:anchor="_Impacts_and_our" w:history="1">
              <w:r w:rsidRPr="00021538">
                <w:rPr>
                  <w:b/>
                  <w:bCs/>
                  <w:color w:val="017E5D"/>
                </w:rPr>
                <w:t>16</w:t>
              </w:r>
            </w:hyperlink>
          </w:p>
        </w:tc>
      </w:tr>
      <w:tr w:rsidR="00B70E86" w:rsidRPr="00B70E86" w14:paraId="7A9B0294" w14:textId="77777777" w:rsidTr="007A0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9" w:type="dxa"/>
            <w:tcBorders>
              <w:top w:val="single" w:sz="4" w:space="0" w:color="auto"/>
              <w:left w:val="single" w:sz="8" w:space="0" w:color="FFFFFF"/>
              <w:bottom w:val="single" w:sz="4" w:space="0" w:color="auto"/>
              <w:right w:val="single" w:sz="8" w:space="0" w:color="FFFFFF"/>
            </w:tcBorders>
            <w:shd w:val="clear" w:color="000000" w:fill="auto"/>
          </w:tcPr>
          <w:p w14:paraId="7B4ECD8E" w14:textId="0DCE02B7" w:rsidR="005436BD" w:rsidRPr="00097107" w:rsidRDefault="005436BD" w:rsidP="007A0718">
            <w:pPr>
              <w:spacing w:before="120" w:after="120" w:line="276" w:lineRule="auto"/>
              <w:rPr>
                <w:sz w:val="25"/>
                <w:szCs w:val="25"/>
              </w:rPr>
            </w:pPr>
            <w:hyperlink w:anchor="_The_outputs_we" w:history="1">
              <w:r w:rsidRPr="005436BD">
                <w:rPr>
                  <w:rStyle w:val="Hyperlink"/>
                  <w:sz w:val="25"/>
                  <w:szCs w:val="25"/>
                </w:rPr>
                <w:t>The</w:t>
              </w:r>
              <w:r w:rsidRPr="005436BD">
                <w:rPr>
                  <w:rStyle w:val="Hyperlink"/>
                </w:rPr>
                <w:t xml:space="preserve"> outputs we deliver</w:t>
              </w:r>
            </w:hyperlink>
            <w:r>
              <w:t xml:space="preserve"> </w:t>
            </w:r>
          </w:p>
        </w:tc>
        <w:tc>
          <w:tcPr>
            <w:tcW w:w="509" w:type="dxa"/>
            <w:tcBorders>
              <w:left w:val="single" w:sz="8" w:space="0" w:color="FFFFFF"/>
            </w:tcBorders>
            <w:shd w:val="clear" w:color="000000" w:fill="auto"/>
            <w:vAlign w:val="center"/>
          </w:tcPr>
          <w:p w14:paraId="1930A79D" w14:textId="29F4D0F2" w:rsidR="005436BD" w:rsidRPr="00021538" w:rsidRDefault="00021538"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color w:val="017E5D"/>
                <w:sz w:val="25"/>
                <w:szCs w:val="25"/>
              </w:rPr>
            </w:pPr>
            <w:hyperlink w:anchor="_The_outputs_we" w:history="1">
              <w:r w:rsidRPr="00021538">
                <w:rPr>
                  <w:b/>
                  <w:bCs/>
                  <w:color w:val="017E5D"/>
                </w:rPr>
                <w:t>18</w:t>
              </w:r>
            </w:hyperlink>
          </w:p>
        </w:tc>
      </w:tr>
    </w:tbl>
    <w:p w14:paraId="18C8F5A8" w14:textId="77777777" w:rsidR="005436BD" w:rsidRPr="005436BD" w:rsidRDefault="005436BD" w:rsidP="005436BD">
      <w:pPr>
        <w:pStyle w:val="BodyText"/>
      </w:pPr>
    </w:p>
    <w:p w14:paraId="57CB28E7" w14:textId="77777777" w:rsidR="003F759B" w:rsidRDefault="003F759B" w:rsidP="003F759B">
      <w:pPr>
        <w:pStyle w:val="BodyText"/>
      </w:pPr>
    </w:p>
    <w:p w14:paraId="34A4C4F1" w14:textId="77777777" w:rsidR="005436BD" w:rsidRDefault="005436BD" w:rsidP="003F759B">
      <w:pPr>
        <w:pStyle w:val="BodyText"/>
      </w:pPr>
    </w:p>
    <w:p w14:paraId="766DAF53" w14:textId="77777777" w:rsidR="005436BD" w:rsidRDefault="005436BD" w:rsidP="003F759B">
      <w:pPr>
        <w:pStyle w:val="BodyText"/>
      </w:pPr>
    </w:p>
    <w:p w14:paraId="40D690FB" w14:textId="77777777" w:rsidR="005436BD" w:rsidRDefault="005436BD" w:rsidP="003F759B">
      <w:pPr>
        <w:pStyle w:val="BodyText"/>
      </w:pPr>
    </w:p>
    <w:p w14:paraId="37C34629" w14:textId="77777777" w:rsidR="005436BD" w:rsidRDefault="005436BD" w:rsidP="003F759B">
      <w:pPr>
        <w:pStyle w:val="BodyText"/>
      </w:pPr>
    </w:p>
    <w:p w14:paraId="2EDF3831" w14:textId="77777777" w:rsidR="005436BD" w:rsidRDefault="005436BD" w:rsidP="003F759B">
      <w:pPr>
        <w:pStyle w:val="BodyText"/>
      </w:pPr>
    </w:p>
    <w:p w14:paraId="5311421A" w14:textId="77777777" w:rsidR="005436BD" w:rsidRDefault="005436BD" w:rsidP="003F759B">
      <w:pPr>
        <w:pStyle w:val="BodyText"/>
      </w:pPr>
    </w:p>
    <w:p w14:paraId="70BF41D3" w14:textId="77777777" w:rsidR="005436BD" w:rsidRDefault="005436BD" w:rsidP="003F759B">
      <w:pPr>
        <w:pStyle w:val="BodyText"/>
      </w:pPr>
    </w:p>
    <w:p w14:paraId="51F85290" w14:textId="77777777" w:rsidR="005436BD" w:rsidRDefault="005436BD" w:rsidP="003F759B">
      <w:pPr>
        <w:pStyle w:val="BodyText"/>
      </w:pPr>
    </w:p>
    <w:p w14:paraId="73A4283B" w14:textId="77777777" w:rsidR="005436BD" w:rsidRDefault="005436BD" w:rsidP="003F759B">
      <w:pPr>
        <w:pStyle w:val="BodyText"/>
      </w:pPr>
    </w:p>
    <w:p w14:paraId="03CBD497" w14:textId="77777777" w:rsidR="005436BD" w:rsidRDefault="005436BD" w:rsidP="003F759B">
      <w:pPr>
        <w:pStyle w:val="BodyText"/>
      </w:pPr>
    </w:p>
    <w:p w14:paraId="55E39E58" w14:textId="77777777" w:rsidR="005436BD" w:rsidRDefault="005436BD" w:rsidP="003F759B">
      <w:pPr>
        <w:pStyle w:val="BodyText"/>
      </w:pPr>
    </w:p>
    <w:p w14:paraId="32A9B7F4" w14:textId="77777777" w:rsidR="005436BD" w:rsidRDefault="005436BD" w:rsidP="003F759B">
      <w:pPr>
        <w:pStyle w:val="BodyText"/>
      </w:pPr>
    </w:p>
    <w:p w14:paraId="6BD25E5D" w14:textId="77777777" w:rsidR="005436BD" w:rsidRDefault="005436BD" w:rsidP="003F759B">
      <w:pPr>
        <w:pStyle w:val="BodyText"/>
      </w:pPr>
    </w:p>
    <w:p w14:paraId="4DEAFB4E" w14:textId="77777777" w:rsidR="003F759B" w:rsidRDefault="003F759B" w:rsidP="003F759B">
      <w:pPr>
        <w:pStyle w:val="BodyText"/>
      </w:pPr>
    </w:p>
    <w:p w14:paraId="16342414" w14:textId="4C62A777" w:rsidR="007725A2" w:rsidRDefault="007725A2" w:rsidP="007725A2">
      <w:pPr>
        <w:pStyle w:val="Heading2"/>
      </w:pPr>
      <w:bookmarkStart w:id="20" w:name="_Outcomes"/>
      <w:bookmarkStart w:id="21" w:name="_Updating_our_performance"/>
      <w:bookmarkEnd w:id="20"/>
      <w:bookmarkEnd w:id="21"/>
      <w:r>
        <w:t xml:space="preserve">Updating our performance framework </w:t>
      </w:r>
    </w:p>
    <w:p w14:paraId="6CB561C6" w14:textId="378FF63E" w:rsidR="007725A2" w:rsidRDefault="007725A2" w:rsidP="007725A2">
      <w:pPr>
        <w:pStyle w:val="BodyText"/>
      </w:pPr>
      <w:r>
        <w:t xml:space="preserve">This year we undertook a project </w:t>
      </w:r>
      <w:r w:rsidR="00B11CD9">
        <w:t xml:space="preserve">(“The Effectiveness Project”) </w:t>
      </w:r>
      <w:r>
        <w:t>to understand:</w:t>
      </w:r>
    </w:p>
    <w:p w14:paraId="0BD19B9D" w14:textId="6653C671" w:rsidR="007725A2" w:rsidRDefault="007725A2" w:rsidP="007725A2">
      <w:pPr>
        <w:pStyle w:val="Bullet1"/>
      </w:pPr>
      <w:r>
        <w:t xml:space="preserve">how we might better assess and demonstrate, in a tangible way, the impact of the Ombudsman’s work; and </w:t>
      </w:r>
    </w:p>
    <w:p w14:paraId="4C62D1F7" w14:textId="61006A32" w:rsidR="007725A2" w:rsidRDefault="007725A2" w:rsidP="007725A2">
      <w:pPr>
        <w:pStyle w:val="Bullet1"/>
      </w:pPr>
      <w:r>
        <w:t xml:space="preserve">the key attributes and accountabilities of an effective Ombudsman in the New Zealand context, and any gaps we might have. </w:t>
      </w:r>
    </w:p>
    <w:p w14:paraId="076CC29E" w14:textId="094CA329" w:rsidR="008409A8" w:rsidRDefault="00F13FA5" w:rsidP="00102381">
      <w:pPr>
        <w:pStyle w:val="BodyText"/>
      </w:pPr>
      <w:r>
        <w:t>The project identified the need to</w:t>
      </w:r>
      <w:r w:rsidR="00102381">
        <w:t xml:space="preserve"> </w:t>
      </w:r>
      <w:r w:rsidR="00C53EE8">
        <w:t>reset our</w:t>
      </w:r>
      <w:r w:rsidR="00102381">
        <w:t xml:space="preserve"> strategic objectives and performance framework. We are currently working on </w:t>
      </w:r>
      <w:r w:rsidR="008409A8">
        <w:t xml:space="preserve">resetting our new performance framework and our </w:t>
      </w:r>
      <w:r w:rsidR="005D5D03">
        <w:t>2026 – 2031 S</w:t>
      </w:r>
      <w:r w:rsidR="008409A8">
        <w:t xml:space="preserve">trategic </w:t>
      </w:r>
      <w:r w:rsidR="005D5D03">
        <w:t>I</w:t>
      </w:r>
      <w:r w:rsidR="008409A8">
        <w:t>ntentions</w:t>
      </w:r>
      <w:r w:rsidR="005D5D03">
        <w:t xml:space="preserve">, </w:t>
      </w:r>
      <w:r w:rsidR="008409A8">
        <w:t xml:space="preserve">to allow us to better assess and demonstrate the impact of our work. </w:t>
      </w:r>
    </w:p>
    <w:p w14:paraId="0C34830D" w14:textId="1A0EDD7F" w:rsidR="008409A8" w:rsidRPr="007725A2" w:rsidRDefault="008409A8" w:rsidP="00102381">
      <w:pPr>
        <w:pStyle w:val="BodyText"/>
      </w:pPr>
      <w:r>
        <w:t xml:space="preserve">Once we introduce our </w:t>
      </w:r>
      <w:r w:rsidR="005D5D03">
        <w:t xml:space="preserve">2026 – 2031 </w:t>
      </w:r>
      <w:r>
        <w:t xml:space="preserve">Strategic </w:t>
      </w:r>
      <w:r w:rsidR="00D90DC9">
        <w:t>Intentions,</w:t>
      </w:r>
      <w:r>
        <w:t xml:space="preserve"> we will look to advance some of the other improvements</w:t>
      </w:r>
      <w:r w:rsidR="00F13FA5">
        <w:t xml:space="preserve"> we identified in the project</w:t>
      </w:r>
      <w:r>
        <w:t xml:space="preserve"> </w:t>
      </w:r>
      <w:r w:rsidR="005D5D03">
        <w:t xml:space="preserve">that </w:t>
      </w:r>
      <w:r w:rsidR="00F13FA5">
        <w:t xml:space="preserve">will </w:t>
      </w:r>
      <w:r>
        <w:t xml:space="preserve">either facilitate better assessment and demonstration of our impact, or initiatives that </w:t>
      </w:r>
      <w:r w:rsidR="005D5D03">
        <w:t>enable</w:t>
      </w:r>
      <w:r>
        <w:t xml:space="preserve"> us to be more effective. </w:t>
      </w:r>
    </w:p>
    <w:p w14:paraId="592ED105" w14:textId="735EC839" w:rsidR="003F759B" w:rsidRDefault="003F759B" w:rsidP="003F759B">
      <w:pPr>
        <w:pStyle w:val="Heading2"/>
        <w:spacing w:before="240"/>
      </w:pPr>
      <w:bookmarkStart w:id="22" w:name="_Outcomes_1"/>
      <w:bookmarkEnd w:id="22"/>
      <w:r>
        <w:t>Outcomes</w:t>
      </w:r>
    </w:p>
    <w:p w14:paraId="1C3AA433" w14:textId="6DBD6D10" w:rsidR="00C342B2" w:rsidRDefault="00CE3A01" w:rsidP="00C342B2">
      <w:pPr>
        <w:pStyle w:val="BodyText"/>
      </w:pPr>
      <w:r>
        <w:t>T</w:t>
      </w:r>
      <w:r w:rsidR="00C342B2">
        <w:t>he high-level outcomes</w:t>
      </w:r>
      <w:r w:rsidR="00D90DC9">
        <w:t>, as outlined in</w:t>
      </w:r>
      <w:r w:rsidR="006D413E">
        <w:t xml:space="preserve"> our</w:t>
      </w:r>
      <w:r w:rsidR="00D90DC9">
        <w:t xml:space="preserve"> </w:t>
      </w:r>
      <w:hyperlink r:id="rId12" w:history="1">
        <w:r w:rsidR="006D413E">
          <w:rPr>
            <w:rStyle w:val="Hyperlink"/>
            <w:i/>
            <w:iCs/>
          </w:rPr>
          <w:t>Strategic Intentions 2025–2030</w:t>
        </w:r>
      </w:hyperlink>
      <w:r w:rsidR="00D90DC9">
        <w:t>,</w:t>
      </w:r>
      <w:r w:rsidR="00C342B2">
        <w:t xml:space="preserve"> aimed at achieving our goal of fairness for all, are:</w:t>
      </w:r>
    </w:p>
    <w:p w14:paraId="10BA0495" w14:textId="77777777" w:rsidR="00C342B2" w:rsidRDefault="00C342B2" w:rsidP="00C342B2">
      <w:pPr>
        <w:pStyle w:val="ListBullet"/>
        <w:jc w:val="both"/>
      </w:pPr>
      <w:r>
        <w:t>there is a high level of public trust in government;</w:t>
      </w:r>
    </w:p>
    <w:p w14:paraId="4B4E899E" w14:textId="77777777" w:rsidR="00C342B2" w:rsidRDefault="00C342B2" w:rsidP="00C342B2">
      <w:pPr>
        <w:pStyle w:val="ListBullet"/>
        <w:jc w:val="both"/>
      </w:pPr>
      <w:r w:rsidRPr="008D2CE1">
        <w:t xml:space="preserve">people are informed and their views </w:t>
      </w:r>
      <w:r>
        <w:t xml:space="preserve">are </w:t>
      </w:r>
      <w:r w:rsidRPr="008D2CE1">
        <w:t>genuinely considered</w:t>
      </w:r>
      <w:r>
        <w:t>; and</w:t>
      </w:r>
    </w:p>
    <w:p w14:paraId="3DC8929B" w14:textId="77777777" w:rsidR="00CE3A01" w:rsidRDefault="00C342B2" w:rsidP="00CE3A01">
      <w:pPr>
        <w:pStyle w:val="ListBullet"/>
        <w:jc w:val="both"/>
      </w:pPr>
      <w:r>
        <w:t>Parliament is assured robust, independent oversight is taking place.</w:t>
      </w:r>
    </w:p>
    <w:p w14:paraId="0DD6872E" w14:textId="63909C49" w:rsidR="00CE3A01" w:rsidRDefault="00CE3A01" w:rsidP="00CE3A01">
      <w:pPr>
        <w:pStyle w:val="ListBullet"/>
        <w:numPr>
          <w:ilvl w:val="0"/>
          <w:numId w:val="0"/>
        </w:numPr>
        <w:jc w:val="both"/>
      </w:pPr>
      <w:r>
        <w:t>T</w:t>
      </w:r>
      <w:r w:rsidRPr="002014CE">
        <w:t xml:space="preserve">he framework </w:t>
      </w:r>
      <w:r>
        <w:t xml:space="preserve">below </w:t>
      </w:r>
      <w:r w:rsidRPr="002014CE">
        <w:t>demonstrates the linkages between the services we deliver through our outputs, the impacts of these services, and the outcomes the Ombudsman aims to</w:t>
      </w:r>
      <w:r>
        <w:t xml:space="preserve"> achieve.</w:t>
      </w:r>
      <w:r w:rsidRPr="002014CE">
        <w:t xml:space="preserve"> </w:t>
      </w:r>
    </w:p>
    <w:p w14:paraId="17C53E11" w14:textId="204F15A8" w:rsidR="00CE3A01" w:rsidRPr="002014CE" w:rsidRDefault="003B2DE9" w:rsidP="00CE3A01">
      <w:pPr>
        <w:pStyle w:val="BodyText"/>
        <w:rPr>
          <w:highlight w:val="green"/>
        </w:rPr>
      </w:pPr>
      <w:r>
        <w:rPr>
          <w:noProof/>
          <w:highlight w:val="green"/>
        </w:rPr>
        <w:drawing>
          <wp:inline distT="0" distB="0" distL="0" distR="0" wp14:anchorId="0E9C472B" wp14:editId="38352F87">
            <wp:extent cx="5894705" cy="5894705"/>
            <wp:effectExtent l="0" t="0" r="0" b="0"/>
            <wp:docPr id="1085306199" name="Picture 1" descr="The Office of the Ombudsman's performance framework in a diagram. &#10;&#10;The diagram is a triangle with the top being the goal: People are treated fairly. The next level is the three outcomes, then the 6 impacts, 8 outputs and at the bottom are the foundations which include leadership, our people, technology, information management, finance, security and risk manag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306199" name="Picture 1" descr="The Office of the Ombudsman's performance framework in a diagram. &#10;&#10;The diagram is a triangle with the top being the goal: People are treated fairly. The next level is the three outcomes, then the 6 impacts, 8 outputs and at the bottom are the foundations which include leadership, our people, technology, information management, finance, security and risk management.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94705" cy="5894705"/>
                    </a:xfrm>
                    <a:prstGeom prst="rect">
                      <a:avLst/>
                    </a:prstGeom>
                    <a:noFill/>
                    <a:ln>
                      <a:noFill/>
                    </a:ln>
                  </pic:spPr>
                </pic:pic>
              </a:graphicData>
            </a:graphic>
          </wp:inline>
        </w:drawing>
      </w:r>
    </w:p>
    <w:p w14:paraId="04EADED5" w14:textId="5405126E" w:rsidR="00CE3A01" w:rsidRPr="0031591B" w:rsidRDefault="00CE3A01" w:rsidP="00CE3A01">
      <w:pPr>
        <w:pStyle w:val="FigureCaption"/>
        <w:rPr>
          <w:noProof/>
        </w:rPr>
      </w:pPr>
      <w:r w:rsidRPr="0031591B">
        <w:rPr>
          <w:noProof/>
        </w:rPr>
        <w:t xml:space="preserve">Ombudsman Outcomes Framework. </w:t>
      </w:r>
    </w:p>
    <w:p w14:paraId="41733DE3" w14:textId="47DE362D" w:rsidR="00CE3A01" w:rsidRPr="0031591B" w:rsidRDefault="0031591B" w:rsidP="00CE3A01">
      <w:pPr>
        <w:pStyle w:val="FigureCaption"/>
        <w:rPr>
          <w:rStyle w:val="Hyperlink"/>
        </w:rPr>
      </w:pPr>
      <w:r w:rsidRPr="0031591B">
        <w:fldChar w:fldCharType="begin"/>
      </w:r>
      <w:r w:rsidRPr="0031591B">
        <w:instrText>HYPERLINK  \l "_Outcomes_Framework"</w:instrText>
      </w:r>
      <w:r w:rsidRPr="0031591B">
        <w:fldChar w:fldCharType="separate"/>
      </w:r>
      <w:r w:rsidR="00CE3A01" w:rsidRPr="0031591B">
        <w:rPr>
          <w:rStyle w:val="Hyperlink"/>
        </w:rPr>
        <w:t>See Appendix 1 for text alternative version of this diagram.</w:t>
      </w:r>
    </w:p>
    <w:bookmarkStart w:id="23" w:name="_Impacts_and_our"/>
    <w:bookmarkStart w:id="24" w:name="_Impacts"/>
    <w:bookmarkEnd w:id="23"/>
    <w:bookmarkEnd w:id="24"/>
    <w:p w14:paraId="073B7E13" w14:textId="2E3E9125" w:rsidR="00BE765C" w:rsidRPr="00076EF7" w:rsidRDefault="0031591B" w:rsidP="00C4476F">
      <w:pPr>
        <w:pStyle w:val="Heading2"/>
        <w:spacing w:after="240"/>
        <w:rPr>
          <w:rFonts w:eastAsiaTheme="minorHAnsi" w:cstheme="minorBidi"/>
          <w:bCs w:val="0"/>
          <w:i/>
          <w:color w:val="1E1E1E"/>
          <w:sz w:val="24"/>
          <w:szCs w:val="22"/>
        </w:rPr>
      </w:pPr>
      <w:r w:rsidRPr="0031591B">
        <w:rPr>
          <w:rFonts w:eastAsiaTheme="minorHAnsi" w:cstheme="minorBidi"/>
          <w:bCs w:val="0"/>
          <w:i/>
          <w:color w:val="1E1E1E"/>
          <w:sz w:val="24"/>
          <w:szCs w:val="22"/>
        </w:rPr>
        <w:fldChar w:fldCharType="end"/>
      </w:r>
      <w:r w:rsidR="00BE765C">
        <w:t>Impact</w:t>
      </w:r>
      <w:r w:rsidR="00896663">
        <w:t xml:space="preserve">s </w:t>
      </w:r>
    </w:p>
    <w:p w14:paraId="5FDAF899" w14:textId="569BFD87" w:rsidR="000314C2" w:rsidRDefault="00BE765C" w:rsidP="000314C2">
      <w:pPr>
        <w:pStyle w:val="BodyText"/>
      </w:pPr>
      <w:r>
        <w:t xml:space="preserve">To achieve our high-level </w:t>
      </w:r>
      <w:r w:rsidR="00896663">
        <w:t>outcomes,</w:t>
      </w:r>
      <w:r>
        <w:t xml:space="preserve"> we seek to make an impact </w:t>
      </w:r>
      <w:r w:rsidR="000314C2">
        <w:t>in six areas</w:t>
      </w:r>
      <w:r w:rsidR="00C4476F">
        <w:t>.</w:t>
      </w:r>
      <w:r w:rsidR="000314C2">
        <w:t xml:space="preserve"> </w:t>
      </w:r>
    </w:p>
    <w:p w14:paraId="62F77D35" w14:textId="5559D57A" w:rsidR="00C4476F" w:rsidRDefault="00C4476F" w:rsidP="00C4476F">
      <w:pPr>
        <w:pStyle w:val="Heading4"/>
      </w:pPr>
      <w:r>
        <w:t>Impact 1 – People are able to participate in government decision-making</w:t>
      </w:r>
    </w:p>
    <w:p w14:paraId="667323FC" w14:textId="300DBA31" w:rsidR="00D136F2" w:rsidRPr="0094703B" w:rsidRDefault="0094703B" w:rsidP="00D136F2">
      <w:pPr>
        <w:pStyle w:val="BodyText"/>
      </w:pPr>
      <w:r w:rsidRPr="0094703B">
        <w:t xml:space="preserve">Parliament has tasked the Ombudsman with investigating the administrative conduct of public sector agencies and their decisions. Proactive interventions and investigation of complaints can help ensure information is made available to the public, and that decision-making is fair and </w:t>
      </w:r>
      <w:r w:rsidRPr="00717601">
        <w:t>transparent.</w:t>
      </w:r>
      <w:r w:rsidR="00330616" w:rsidRPr="0083606F">
        <w:t xml:space="preserve"> </w:t>
      </w:r>
      <w:r w:rsidR="00330616" w:rsidRPr="00717601">
        <w:t xml:space="preserve">This impact is important because public participation in government decision making </w:t>
      </w:r>
      <w:r w:rsidR="00D136F2" w:rsidRPr="007236A3">
        <w:t>contributes to higher trust in government and protection of people’s rights.</w:t>
      </w:r>
    </w:p>
    <w:p w14:paraId="1EB498FB" w14:textId="74A0EE68" w:rsidR="00C4476F" w:rsidRDefault="00C4476F" w:rsidP="0094703B">
      <w:pPr>
        <w:pStyle w:val="Heading4"/>
      </w:pPr>
      <w:r>
        <w:t>Impact 2 – Government is responsive, efficient, effective and accountable</w:t>
      </w:r>
    </w:p>
    <w:p w14:paraId="13306FAB" w14:textId="4427D6F8" w:rsidR="0094703B" w:rsidRPr="0094703B" w:rsidRDefault="0094703B" w:rsidP="0094703B">
      <w:pPr>
        <w:pStyle w:val="BodyText"/>
      </w:pPr>
      <w:r w:rsidRPr="0094703B">
        <w:t xml:space="preserve">The Ombudsman provides independent oversight through powers to investigate, review, and inspect. Independent oversight assists agencies to identify and correct deficiencies and promotes greater accountability for the decisions made. </w:t>
      </w:r>
      <w:r w:rsidR="00330616">
        <w:t>This impact is important because</w:t>
      </w:r>
      <w:r w:rsidR="00D136F2" w:rsidRPr="007236A3">
        <w:t xml:space="preserve"> responsive, efficient, effective, and accountable</w:t>
      </w:r>
      <w:r w:rsidR="00D136F2">
        <w:t xml:space="preserve"> government </w:t>
      </w:r>
      <w:r w:rsidR="00D136F2" w:rsidRPr="007236A3">
        <w:t>ensures people’s rights are protected, and contributes to high public trust</w:t>
      </w:r>
      <w:r w:rsidR="00D136F2">
        <w:t xml:space="preserve"> </w:t>
      </w:r>
      <w:r w:rsidR="00D136F2" w:rsidRPr="00843F92">
        <w:t>overall.</w:t>
      </w:r>
    </w:p>
    <w:p w14:paraId="2580D2E7" w14:textId="4557D381" w:rsidR="00C4476F" w:rsidRDefault="00C4476F" w:rsidP="00C4476F">
      <w:pPr>
        <w:pStyle w:val="Heading4"/>
      </w:pPr>
      <w:r>
        <w:t>Impact 3 – Government actions, systems, processes and legislation are open, fair and reasonable</w:t>
      </w:r>
    </w:p>
    <w:p w14:paraId="65BF94EF" w14:textId="476EBDF6" w:rsidR="00D136F2" w:rsidRDefault="0094703B" w:rsidP="0094703B">
      <w:pPr>
        <w:pStyle w:val="BodyText"/>
      </w:pPr>
      <w:r w:rsidRPr="0094703B">
        <w:t>Parliament has charged the Ombudsman with providing proactive advice, guidance and learning to help lift public sector performance.</w:t>
      </w:r>
      <w:r w:rsidR="00330616">
        <w:t xml:space="preserve"> </w:t>
      </w:r>
      <w:r w:rsidR="00240130">
        <w:t>T</w:t>
      </w:r>
      <w:r w:rsidRPr="0094703B">
        <w:t>argeted interventions can assist to improve government actions from the outset</w:t>
      </w:r>
      <w:r w:rsidR="00240130">
        <w:t xml:space="preserve">. </w:t>
      </w:r>
      <w:r w:rsidR="00240130" w:rsidRPr="00427DB6">
        <w:t>This impact is important because</w:t>
      </w:r>
      <w:r w:rsidR="00240130">
        <w:t xml:space="preserve"> </w:t>
      </w:r>
      <w:r w:rsidR="00427DB6">
        <w:t>open, fair and reasonable government decision making builds trust and ensures people’s rights are respected.</w:t>
      </w:r>
    </w:p>
    <w:p w14:paraId="3B7F85DF" w14:textId="50227BFE" w:rsidR="00C4476F" w:rsidRDefault="00C4476F" w:rsidP="00C4476F">
      <w:pPr>
        <w:pStyle w:val="Heading4"/>
      </w:pPr>
      <w:r>
        <w:t>Impact 4 – People in positions of power act with integrity</w:t>
      </w:r>
    </w:p>
    <w:p w14:paraId="70DBB7E4" w14:textId="08607DA7" w:rsidR="0094703B" w:rsidRPr="0094703B" w:rsidRDefault="0094703B" w:rsidP="0094703B">
      <w:pPr>
        <w:pStyle w:val="BodyText"/>
      </w:pPr>
      <w:r w:rsidRPr="0094703B">
        <w:t xml:space="preserve">The Ombudsman has the legislated function to promote and protect whistleblowing, provide information and guidance, and investigate serious </w:t>
      </w:r>
      <w:proofErr w:type="gramStart"/>
      <w:r w:rsidRPr="0094703B">
        <w:t>wrong-doing</w:t>
      </w:r>
      <w:proofErr w:type="gramEnd"/>
      <w:r w:rsidRPr="0094703B">
        <w:t xml:space="preserve">. Having mechanisms like these to expose and investigate serious wrongdoing is essential. </w:t>
      </w:r>
      <w:r w:rsidR="00330616" w:rsidRPr="00427DB6">
        <w:t>This impact is important because</w:t>
      </w:r>
      <w:r w:rsidR="00330616">
        <w:t xml:space="preserve"> </w:t>
      </w:r>
      <w:r w:rsidR="00427DB6">
        <w:t xml:space="preserve">people acting with integrity helps facilitate trust which is a bedrock of democracy. </w:t>
      </w:r>
    </w:p>
    <w:p w14:paraId="366F4B85" w14:textId="51697BEA" w:rsidR="00C4476F" w:rsidRDefault="00C4476F" w:rsidP="00C4476F">
      <w:pPr>
        <w:pStyle w:val="Heading4"/>
      </w:pPr>
      <w:r>
        <w:t>Impact 5 – People are treated humanely, and with dignity and respect, by those in authority</w:t>
      </w:r>
    </w:p>
    <w:p w14:paraId="3C06F97B" w14:textId="61A0EA4A" w:rsidR="0094703B" w:rsidRPr="0094703B" w:rsidRDefault="0094703B" w:rsidP="0094703B">
      <w:pPr>
        <w:pStyle w:val="BodyText"/>
      </w:pPr>
      <w:r w:rsidRPr="0094703B">
        <w:t>The Ombudsman has been designated a key role under United Nations conventions to monitor the rights of disabled people and the treatment of those in certain places of detention.</w:t>
      </w:r>
      <w:r w:rsidR="00240130">
        <w:t xml:space="preserve"> This </w:t>
      </w:r>
      <w:r w:rsidR="00240130" w:rsidRPr="00427DB6">
        <w:t xml:space="preserve">impact is important because New Zealand has signed and </w:t>
      </w:r>
      <w:r w:rsidR="00866275" w:rsidRPr="00427DB6">
        <w:t>ratif</w:t>
      </w:r>
      <w:r w:rsidR="00866275">
        <w:t>ied</w:t>
      </w:r>
      <w:r w:rsidR="00866275" w:rsidRPr="00427DB6">
        <w:t xml:space="preserve"> </w:t>
      </w:r>
      <w:r w:rsidR="00240130" w:rsidRPr="00427DB6">
        <w:t>international conventions that ensure everyone is treated humanely and with dignity and respect and our actions must uphold this.</w:t>
      </w:r>
      <w:r w:rsidR="00240130">
        <w:t xml:space="preserve"> </w:t>
      </w:r>
    </w:p>
    <w:p w14:paraId="3A524047" w14:textId="0A5C1CEE" w:rsidR="00C4476F" w:rsidRDefault="00C4476F" w:rsidP="00C4476F">
      <w:pPr>
        <w:pStyle w:val="Heading4"/>
      </w:pPr>
      <w:r>
        <w:t xml:space="preserve">Impact 6 – New </w:t>
      </w:r>
      <w:r w:rsidR="008D16CE">
        <w:t xml:space="preserve">Zealand </w:t>
      </w:r>
      <w:r>
        <w:t>is a leader in promoting good governance, anti-corruption and integrity</w:t>
      </w:r>
    </w:p>
    <w:p w14:paraId="02224892" w14:textId="482155D3" w:rsidR="0094703B" w:rsidRPr="0094703B" w:rsidRDefault="0094703B" w:rsidP="0094703B">
      <w:pPr>
        <w:pStyle w:val="BodyText"/>
      </w:pPr>
      <w:r w:rsidRPr="0094703B">
        <w:t>We work with international Ombudsmen colleagues to develop, share and learn from best practice, which can then inform our work in New Zealand.</w:t>
      </w:r>
      <w:r w:rsidR="00240130">
        <w:t xml:space="preserve"> </w:t>
      </w:r>
      <w:r w:rsidR="00240130" w:rsidRPr="00717601">
        <w:t xml:space="preserve">This impact is </w:t>
      </w:r>
      <w:r w:rsidR="00F40151">
        <w:t xml:space="preserve">important because </w:t>
      </w:r>
      <w:r w:rsidR="00240130" w:rsidRPr="00717601">
        <w:t>i</w:t>
      </w:r>
      <w:r w:rsidR="00F40151">
        <w:t xml:space="preserve">ntegrity is a global system and therefore leading good governance, anti-corruption and integrity </w:t>
      </w:r>
      <w:proofErr w:type="gramStart"/>
      <w:r w:rsidR="00F40151">
        <w:t>makes</w:t>
      </w:r>
      <w:proofErr w:type="gramEnd"/>
      <w:r w:rsidR="00F40151">
        <w:t xml:space="preserve"> New Zealand a more fair, transparent and secure place to live. </w:t>
      </w:r>
    </w:p>
    <w:p w14:paraId="15A9CAC2" w14:textId="103C782C" w:rsidR="00E85A17" w:rsidRDefault="00E85A17" w:rsidP="003F759B">
      <w:pPr>
        <w:pStyle w:val="BodyText"/>
      </w:pPr>
      <w:r w:rsidRPr="002014CE">
        <w:rPr>
          <w:rStyle w:val="HyperlinkSourceTextReference"/>
        </w:rPr>
        <w:t>P</w:t>
      </w:r>
      <w:hyperlink w:anchor="_Statement_of_objectives" w:history="1">
        <w:r w:rsidRPr="00E85A17">
          <w:rPr>
            <w:rStyle w:val="Hyperlink"/>
          </w:rPr>
          <w:t>erformance objectives and performance measures,</w:t>
        </w:r>
      </w:hyperlink>
      <w:r w:rsidRPr="002014CE">
        <w:t xml:space="preserve"> including the </w:t>
      </w:r>
      <w:r>
        <w:t xml:space="preserve">outcomes and </w:t>
      </w:r>
      <w:r w:rsidRPr="002014CE">
        <w:t xml:space="preserve">impact measures, are available in Part 6. </w:t>
      </w:r>
    </w:p>
    <w:p w14:paraId="19D28BA8" w14:textId="5BEDCB1E" w:rsidR="006F34B2" w:rsidRDefault="006F34B2" w:rsidP="006F34B2">
      <w:pPr>
        <w:pStyle w:val="Heading2"/>
      </w:pPr>
      <w:bookmarkStart w:id="25" w:name="_The_outputs_we"/>
      <w:bookmarkEnd w:id="25"/>
      <w:r>
        <w:t xml:space="preserve">The outputs we deliver </w:t>
      </w:r>
    </w:p>
    <w:p w14:paraId="01A1711A" w14:textId="77777777" w:rsidR="006F34B2" w:rsidRDefault="006F34B2" w:rsidP="006F34B2">
      <w:pPr>
        <w:pStyle w:val="Heading3"/>
        <w:spacing w:before="240"/>
      </w:pPr>
      <w:bookmarkStart w:id="26" w:name="_Hlk236116528"/>
      <w:r>
        <w:t>Output 1—Inform the public to enable them to take constructive action when they have concerns</w:t>
      </w:r>
    </w:p>
    <w:bookmarkEnd w:id="26"/>
    <w:p w14:paraId="2CA9BC31" w14:textId="77777777" w:rsidR="00086A84" w:rsidRPr="00C6085C" w:rsidRDefault="00086A84" w:rsidP="00086A84">
      <w:pPr>
        <w:pStyle w:val="BodyText"/>
      </w:pPr>
      <w:r w:rsidRPr="00C6085C">
        <w:t xml:space="preserve">People must be informed in order to participate in government decision-making or take action when they believe they have been treated unfairly or without dignity and respect. </w:t>
      </w:r>
    </w:p>
    <w:p w14:paraId="06A572DB" w14:textId="77777777" w:rsidR="00086A84" w:rsidRDefault="00086A84" w:rsidP="00086A84">
      <w:pPr>
        <w:pStyle w:val="BodyText"/>
      </w:pPr>
      <w:r w:rsidRPr="00C6085C">
        <w:t>We work to ensure that the public understand their rights and options, have reasonable expectations about what the public sector should provide, and have a reasonable understanding and expectation of what the Ombudsman can do.</w:t>
      </w:r>
    </w:p>
    <w:p w14:paraId="6D98B9BA" w14:textId="5857851A" w:rsidR="00002386" w:rsidRPr="00C6085C" w:rsidRDefault="00002386" w:rsidP="00086A84">
      <w:pPr>
        <w:pStyle w:val="BodyText"/>
      </w:pPr>
      <w:r>
        <w:t xml:space="preserve">This year we had </w:t>
      </w:r>
      <w:r w:rsidR="00E20EE5">
        <w:t xml:space="preserve">real focus on lifting public awareness of the Ombudsman through our outreach and engagement, promoting and updating our resources and growing our social media presence. </w:t>
      </w:r>
      <w:r w:rsidR="005D5D03">
        <w:t>The number of community</w:t>
      </w:r>
      <w:r w:rsidR="00E20EE5">
        <w:t xml:space="preserve"> engagements, presentations and new or updated resources for the public</w:t>
      </w:r>
      <w:r w:rsidR="005D5D03">
        <w:t xml:space="preserve"> increased by nearly 4</w:t>
      </w:r>
      <w:r w:rsidR="00ED252A">
        <w:t>5</w:t>
      </w:r>
      <w:r w:rsidR="005D5D03">
        <w:t xml:space="preserve"> percent this year, at </w:t>
      </w:r>
      <w:r w:rsidR="00ED252A">
        <w:t>614</w:t>
      </w:r>
      <w:r w:rsidR="005D5D03">
        <w:t>.</w:t>
      </w:r>
      <w:r w:rsidR="006E3730">
        <w:t xml:space="preserve"> </w:t>
      </w:r>
    </w:p>
    <w:p w14:paraId="77C07086" w14:textId="5FE3EC6F" w:rsidR="00086A84" w:rsidRDefault="00A20E3C" w:rsidP="00086A84">
      <w:pPr>
        <w:pStyle w:val="Heading4"/>
      </w:pPr>
      <w:r>
        <w:t xml:space="preserve">Enabling stronger community engagement through communications </w:t>
      </w:r>
    </w:p>
    <w:p w14:paraId="6A390096" w14:textId="7E9CD32D" w:rsidR="0020464A" w:rsidRDefault="00A20E3C" w:rsidP="0020464A">
      <w:pPr>
        <w:pStyle w:val="BodyText"/>
      </w:pPr>
      <w:r>
        <w:rPr>
          <w:rFonts w:cs="Calibri"/>
        </w:rPr>
        <w:t xml:space="preserve">Effective communication is critical in helping people </w:t>
      </w:r>
      <w:r w:rsidRPr="00C6085C">
        <w:t xml:space="preserve">understand the role </w:t>
      </w:r>
      <w:r>
        <w:t xml:space="preserve">of the Ombudsman and relevance </w:t>
      </w:r>
      <w:r w:rsidRPr="00C6085C">
        <w:t xml:space="preserve">of </w:t>
      </w:r>
      <w:r>
        <w:t>our work</w:t>
      </w:r>
      <w:r w:rsidRPr="00C6085C">
        <w:t xml:space="preserve">, </w:t>
      </w:r>
      <w:r>
        <w:t>how to access our services</w:t>
      </w:r>
      <w:r w:rsidRPr="00C6085C">
        <w:t xml:space="preserve">, and </w:t>
      </w:r>
      <w:r>
        <w:t xml:space="preserve">find the </w:t>
      </w:r>
      <w:r w:rsidRPr="00C6085C">
        <w:t>information and resources we provide.</w:t>
      </w:r>
    </w:p>
    <w:p w14:paraId="557C85CD" w14:textId="77777777" w:rsidR="0002065B" w:rsidRDefault="00A20E3C" w:rsidP="00A20E3C">
      <w:pPr>
        <w:pStyle w:val="BodyText"/>
      </w:pPr>
      <w:r>
        <w:t>This year we continued to strengthen the ways we connect with communities and our stakeholders. This included growing our digital reach</w:t>
      </w:r>
      <w:r w:rsidR="0002065B">
        <w:t xml:space="preserve">: </w:t>
      </w:r>
    </w:p>
    <w:p w14:paraId="073264A9" w14:textId="7992B2E1" w:rsidR="0002065B" w:rsidRDefault="00A20E3C" w:rsidP="0002065B">
      <w:pPr>
        <w:pStyle w:val="Bullet1"/>
      </w:pPr>
      <w:r>
        <w:t>our social media views doubled to 309,401 views</w:t>
      </w:r>
      <w:r w:rsidR="00B9564F">
        <w:t xml:space="preserve"> (compared with </w:t>
      </w:r>
      <w:r w:rsidR="00B9564F" w:rsidRPr="009E759C">
        <w:rPr>
          <w:rFonts w:eastAsia="Times New Roman" w:cs="Calibri"/>
          <w:lang w:eastAsia="en-NZ"/>
        </w:rPr>
        <w:t>140,852</w:t>
      </w:r>
      <w:r w:rsidR="00B9564F">
        <w:rPr>
          <w:rFonts w:eastAsia="Times New Roman" w:cs="Calibri"/>
          <w:lang w:eastAsia="en-NZ"/>
        </w:rPr>
        <w:t xml:space="preserve"> last year)</w:t>
      </w:r>
      <w:r w:rsidR="0002065B">
        <w:t>;</w:t>
      </w:r>
    </w:p>
    <w:p w14:paraId="67E36773" w14:textId="77777777" w:rsidR="0002065B" w:rsidRDefault="00A20E3C" w:rsidP="0002065B">
      <w:pPr>
        <w:pStyle w:val="Bullet1"/>
      </w:pPr>
      <w:r>
        <w:t>we launched Instagram and the Chief Ombudsman’s LinkedIn account</w:t>
      </w:r>
      <w:r w:rsidR="0002065B">
        <w:t xml:space="preserve">; </w:t>
      </w:r>
    </w:p>
    <w:p w14:paraId="50EA970B" w14:textId="6795E0BA" w:rsidR="00A20E3C" w:rsidRPr="00CE3D38" w:rsidRDefault="0002065B" w:rsidP="00F74C76">
      <w:pPr>
        <w:pStyle w:val="Bullet1"/>
      </w:pPr>
      <w:r>
        <w:t>w</w:t>
      </w:r>
      <w:r w:rsidR="00A20E3C">
        <w:t xml:space="preserve">e shared 420 social </w:t>
      </w:r>
      <w:r w:rsidR="00A20E3C">
        <w:rPr>
          <w:rFonts w:cs="Calibri"/>
        </w:rPr>
        <w:t>media posts across all our platforms</w:t>
      </w:r>
      <w:r>
        <w:rPr>
          <w:rFonts w:cs="Calibri"/>
        </w:rPr>
        <w:t xml:space="preserve">, which included more accessible visual storytelling and animated content </w:t>
      </w:r>
      <w:r w:rsidR="005D5D03">
        <w:rPr>
          <w:rFonts w:cs="Calibri"/>
        </w:rPr>
        <w:t xml:space="preserve">to </w:t>
      </w:r>
      <w:r>
        <w:rPr>
          <w:rFonts w:cs="Calibri"/>
        </w:rPr>
        <w:t>better reach and connect with diverse communities;</w:t>
      </w:r>
      <w:r w:rsidRPr="00F74C76">
        <w:rPr>
          <w:rFonts w:cs="Calibri"/>
        </w:rPr>
        <w:t xml:space="preserve"> </w:t>
      </w:r>
      <w:r w:rsidR="00CE3D38" w:rsidRPr="00F74C76">
        <w:rPr>
          <w:rFonts w:cs="Calibri"/>
        </w:rPr>
        <w:t xml:space="preserve">and </w:t>
      </w:r>
    </w:p>
    <w:p w14:paraId="05ED502D" w14:textId="02731FCA" w:rsidR="00CE3D38" w:rsidRPr="002D14AF" w:rsidRDefault="007C16DF" w:rsidP="0002065B">
      <w:pPr>
        <w:pStyle w:val="Bullet1"/>
      </w:pPr>
      <w:r>
        <w:rPr>
          <w:rFonts w:cs="Calibri"/>
        </w:rPr>
        <w:t xml:space="preserve">we </w:t>
      </w:r>
      <w:r w:rsidR="00CE3D38">
        <w:rPr>
          <w:rFonts w:cs="Calibri"/>
        </w:rPr>
        <w:t>creat</w:t>
      </w:r>
      <w:r>
        <w:rPr>
          <w:rFonts w:cs="Calibri"/>
        </w:rPr>
        <w:t>ed</w:t>
      </w:r>
      <w:r w:rsidR="00CE3D38">
        <w:rPr>
          <w:rFonts w:cs="Calibri"/>
        </w:rPr>
        <w:t xml:space="preserve"> and promot</w:t>
      </w:r>
      <w:r>
        <w:rPr>
          <w:rFonts w:cs="Calibri"/>
        </w:rPr>
        <w:t>ed</w:t>
      </w:r>
      <w:r w:rsidR="00CE3D38">
        <w:rPr>
          <w:rFonts w:cs="Calibri"/>
        </w:rPr>
        <w:t xml:space="preserve"> new content on </w:t>
      </w:r>
      <w:r w:rsidR="00CE3D38" w:rsidRPr="00CE3D38">
        <w:rPr>
          <w:rFonts w:cs="Calibri"/>
        </w:rPr>
        <w:t xml:space="preserve">Nau-mai.nz – our website </w:t>
      </w:r>
      <w:r w:rsidR="00CE3D38" w:rsidRPr="00CE3D38">
        <w:rPr>
          <w:szCs w:val="24"/>
        </w:rPr>
        <w:t>that provides support to tamariki, rangatahi and their trusted adults who may have concerns about the services or support received from Oranga Tamariki and its care or custody providers</w:t>
      </w:r>
      <w:r w:rsidR="00CE3D38">
        <w:rPr>
          <w:szCs w:val="24"/>
        </w:rPr>
        <w:t xml:space="preserve"> (more on this at </w:t>
      </w:r>
      <w:r w:rsidR="00CE3D38" w:rsidRPr="00A7288B">
        <w:rPr>
          <w:szCs w:val="24"/>
        </w:rPr>
        <w:t xml:space="preserve">page </w:t>
      </w:r>
      <w:r w:rsidR="008B542B" w:rsidRPr="00A7288B">
        <w:rPr>
          <w:szCs w:val="24"/>
        </w:rPr>
        <w:t>3</w:t>
      </w:r>
      <w:r w:rsidR="00BE2EC1">
        <w:rPr>
          <w:szCs w:val="24"/>
        </w:rPr>
        <w:t>4</w:t>
      </w:r>
      <w:r w:rsidR="00CE3D38" w:rsidRPr="00A7288B">
        <w:rPr>
          <w:szCs w:val="24"/>
        </w:rPr>
        <w:t>).</w:t>
      </w:r>
    </w:p>
    <w:p w14:paraId="79F71A76" w14:textId="67D18238" w:rsidR="0078215B" w:rsidRPr="00A56808" w:rsidRDefault="00C8549A" w:rsidP="00A56808">
      <w:pPr>
        <w:pStyle w:val="Bullet1"/>
        <w:numPr>
          <w:ilvl w:val="0"/>
          <w:numId w:val="0"/>
        </w:numPr>
        <w:rPr>
          <w:b/>
          <w:color w:val="2BB673"/>
          <w:sz w:val="28"/>
        </w:rPr>
      </w:pPr>
      <w:r w:rsidRPr="00A56808">
        <w:t>We have worked on ways to make our work more accessible</w:t>
      </w:r>
      <w:r w:rsidR="0078215B" w:rsidRPr="00A56808">
        <w:t xml:space="preserve">. For example, </w:t>
      </w:r>
      <w:r w:rsidR="00A56808" w:rsidRPr="00A56808">
        <w:t>in</w:t>
      </w:r>
      <w:r w:rsidR="00A56808">
        <w:t xml:space="preserve"> addition to publishing the opinion</w:t>
      </w:r>
      <w:r w:rsidR="00A56808" w:rsidRPr="00A56808">
        <w:rPr>
          <w:rStyle w:val="BodyTextChar"/>
        </w:rPr>
        <w:t xml:space="preserve"> </w:t>
      </w:r>
      <w:hyperlink r:id="rId14" w:history="1">
        <w:r w:rsidR="00A56808" w:rsidRPr="00A56808">
          <w:rPr>
            <w:rStyle w:val="Hyperlink"/>
          </w:rPr>
          <w:t>Whistle-blower discloses ACC manipulated data for official information requests</w:t>
        </w:r>
      </w:hyperlink>
      <w:r w:rsidR="00A56808">
        <w:rPr>
          <w:rStyle w:val="BodyTextChar"/>
        </w:rPr>
        <w:t xml:space="preserve"> </w:t>
      </w:r>
      <w:r w:rsidR="00A56808" w:rsidRPr="00A7288B">
        <w:rPr>
          <w:rStyle w:val="BodyTextChar"/>
        </w:rPr>
        <w:t xml:space="preserve">(see page </w:t>
      </w:r>
      <w:r w:rsidR="00F92C91">
        <w:rPr>
          <w:rStyle w:val="BodyTextChar"/>
        </w:rPr>
        <w:t>4</w:t>
      </w:r>
      <w:r w:rsidR="00BE2EC1">
        <w:rPr>
          <w:rStyle w:val="BodyTextChar"/>
        </w:rPr>
        <w:t>1</w:t>
      </w:r>
      <w:r w:rsidR="00A56808" w:rsidRPr="00A7288B">
        <w:rPr>
          <w:rStyle w:val="BodyTextChar"/>
        </w:rPr>
        <w:t>),</w:t>
      </w:r>
      <w:r w:rsidR="00A56808">
        <w:rPr>
          <w:rStyle w:val="BodyTextChar"/>
        </w:rPr>
        <w:t xml:space="preserve"> </w:t>
      </w:r>
      <w:r w:rsidR="00A56808">
        <w:rPr>
          <w:rFonts w:cs="Calibri"/>
        </w:rPr>
        <w:t xml:space="preserve">we used video, media engagement, and targeted educational social media content to help explain how people can raise concerns and access protections. </w:t>
      </w:r>
      <w:r w:rsidR="002D14AF">
        <w:rPr>
          <w:rFonts w:cs="Calibri"/>
        </w:rPr>
        <w:t xml:space="preserve">We also continued to offer information about our services in a variety of formats and languages, which we make available to all Citizens Advice Bureaux and Community Law offices, and distribute in our engagements. </w:t>
      </w:r>
    </w:p>
    <w:p w14:paraId="64AD33C9" w14:textId="04C6A42A" w:rsidR="0002065B" w:rsidRPr="0020464A" w:rsidRDefault="0078215B" w:rsidP="00C8549A">
      <w:pPr>
        <w:pStyle w:val="BodyText"/>
      </w:pPr>
      <w:r>
        <w:t>Our campaigns are grounded in research, and we are evolving our approach to ensure we are continuing to reach the diverse communities that need us. For example, w</w:t>
      </w:r>
      <w:r w:rsidR="00C8549A">
        <w:t xml:space="preserve">e commissioned and published three research reports exploring how best to engage with children and young people. </w:t>
      </w:r>
      <w:r w:rsidR="005704EE">
        <w:t xml:space="preserve">By publishing these </w:t>
      </w:r>
      <w:r>
        <w:t>reports,</w:t>
      </w:r>
      <w:r w:rsidR="005704EE">
        <w:t xml:space="preserve"> we are helping lift capability in the public sector and community to better reach and provide </w:t>
      </w:r>
      <w:r>
        <w:t xml:space="preserve">more effective </w:t>
      </w:r>
      <w:r w:rsidR="005704EE">
        <w:t>services to children in care.</w:t>
      </w:r>
      <w:r>
        <w:t xml:space="preserve"> This year we also completed a research project examining how we can better engage with Pacific communities, and we will be publishing our findings next year. </w:t>
      </w:r>
    </w:p>
    <w:p w14:paraId="35D0FCE2" w14:textId="77777777" w:rsidR="0020464A" w:rsidRDefault="00086A84" w:rsidP="00086A84">
      <w:pPr>
        <w:pStyle w:val="Heading4"/>
      </w:pPr>
      <w:r>
        <w:t>Outreach and engagement</w:t>
      </w:r>
    </w:p>
    <w:p w14:paraId="0018FD9A" w14:textId="09FA9319" w:rsidR="0020464A" w:rsidRPr="0020464A" w:rsidRDefault="0020464A" w:rsidP="0020464A">
      <w:pPr>
        <w:rPr>
          <w:rFonts w:eastAsia="Calibri" w:cs="Times New Roman"/>
        </w:rPr>
      </w:pPr>
      <w:r w:rsidRPr="0020464A">
        <w:rPr>
          <w:rFonts w:eastAsia="Calibri" w:cs="Times New Roman"/>
        </w:rPr>
        <w:t xml:space="preserve">We also meet regularly with a range of stakeholders to raise awareness of the Ombudsman’s role. In line with our vision </w:t>
      </w:r>
      <w:r w:rsidRPr="0020464A">
        <w:rPr>
          <w:rFonts w:eastAsia="Calibri" w:cs="Times New Roman"/>
          <w:i/>
        </w:rPr>
        <w:t xml:space="preserve">‘Tuia kia </w:t>
      </w:r>
      <w:proofErr w:type="spellStart"/>
      <w:r w:rsidRPr="0020464A">
        <w:rPr>
          <w:rFonts w:eastAsia="Calibri" w:cs="Times New Roman"/>
          <w:i/>
        </w:rPr>
        <w:t>ōrite</w:t>
      </w:r>
      <w:proofErr w:type="spellEnd"/>
      <w:r w:rsidRPr="0020464A">
        <w:rPr>
          <w:rFonts w:eastAsia="Calibri" w:cs="Times New Roman"/>
          <w:i/>
        </w:rPr>
        <w:t xml:space="preserve"> | Fairness for All,’</w:t>
      </w:r>
      <w:r w:rsidRPr="0020464A">
        <w:rPr>
          <w:rFonts w:eastAsia="Calibri" w:cs="Times New Roman"/>
        </w:rPr>
        <w:t xml:space="preserve"> we reach out to a wide range of people</w:t>
      </w:r>
      <w:r w:rsidR="00497EAD">
        <w:rPr>
          <w:rFonts w:eastAsia="Calibri" w:cs="Times New Roman"/>
        </w:rPr>
        <w:t xml:space="preserve">. </w:t>
      </w:r>
    </w:p>
    <w:p w14:paraId="6A05D746" w14:textId="1D017B4A" w:rsidR="009C3F32" w:rsidRDefault="009C3F32" w:rsidP="0020464A">
      <w:pPr>
        <w:rPr>
          <w:rFonts w:eastAsia="Calibri" w:cs="Times New Roman"/>
        </w:rPr>
      </w:pPr>
      <w:r>
        <w:rPr>
          <w:rFonts w:eastAsia="Calibri" w:cs="Times New Roman"/>
        </w:rPr>
        <w:t xml:space="preserve">This year we continued </w:t>
      </w:r>
      <w:r w:rsidR="002F417F">
        <w:rPr>
          <w:rFonts w:eastAsia="Calibri" w:cs="Times New Roman"/>
        </w:rPr>
        <w:t xml:space="preserve">to focus on community engagement and informing the public. Our target was 200 community engagements, presentations and new or updated resources for the public, and we reached </w:t>
      </w:r>
      <w:r w:rsidR="001515BE">
        <w:rPr>
          <w:rFonts w:eastAsia="Calibri" w:cs="Times New Roman"/>
        </w:rPr>
        <w:t>614</w:t>
      </w:r>
      <w:r w:rsidR="002F417F">
        <w:rPr>
          <w:rFonts w:eastAsia="Calibri" w:cs="Times New Roman"/>
        </w:rPr>
        <w:t xml:space="preserve">. </w:t>
      </w:r>
      <w:bookmarkStart w:id="27" w:name="_Hlk237849235"/>
      <w:r w:rsidR="002F417F">
        <w:rPr>
          <w:rFonts w:eastAsia="Calibri" w:cs="Times New Roman"/>
        </w:rPr>
        <w:t xml:space="preserve">This included a continued focus on reaching </w:t>
      </w:r>
      <w:r w:rsidR="00F867A0">
        <w:rPr>
          <w:rFonts w:eastAsia="Calibri" w:cs="Times New Roman"/>
        </w:rPr>
        <w:t xml:space="preserve">communities that don’t tend to engage with the Ombudsman much. This included: </w:t>
      </w:r>
    </w:p>
    <w:p w14:paraId="0569F205" w14:textId="6C6D6EA7" w:rsidR="0030051E" w:rsidRDefault="0030051E" w:rsidP="00F867A0">
      <w:pPr>
        <w:pStyle w:val="Bullet1"/>
      </w:pPr>
      <w:r>
        <w:t>66 engagements with Māori, P</w:t>
      </w:r>
      <w:r>
        <w:rPr>
          <w:rFonts w:eastAsia="Calibri" w:cs="Times New Roman"/>
        </w:rPr>
        <w:t>asifika and</w:t>
      </w:r>
      <w:r w:rsidRPr="0020464A">
        <w:rPr>
          <w:rFonts w:eastAsia="Calibri" w:cs="Times New Roman"/>
        </w:rPr>
        <w:t xml:space="preserve"> ethnic communit</w:t>
      </w:r>
      <w:r>
        <w:rPr>
          <w:rFonts w:eastAsia="Calibri" w:cs="Times New Roman"/>
        </w:rPr>
        <w:t xml:space="preserve">ies and general community organisations; </w:t>
      </w:r>
    </w:p>
    <w:p w14:paraId="3DE43F91" w14:textId="4966CDC7" w:rsidR="00F867A0" w:rsidRDefault="00D54238" w:rsidP="0030051E">
      <w:pPr>
        <w:pStyle w:val="Bullet1"/>
      </w:pPr>
      <w:r>
        <w:t>33</w:t>
      </w:r>
      <w:r w:rsidR="00F867A0">
        <w:t xml:space="preserve"> </w:t>
      </w:r>
      <w:r w:rsidR="0030051E">
        <w:t xml:space="preserve">engagements </w:t>
      </w:r>
      <w:r w:rsidR="0030051E">
        <w:rPr>
          <w:rFonts w:eastAsia="Calibri" w:cs="Times New Roman"/>
        </w:rPr>
        <w:t xml:space="preserve">under our enhanced role under the Oversight </w:t>
      </w:r>
      <w:r w:rsidR="0030051E">
        <w:t>of Oranga Tamariki System Act 2022</w:t>
      </w:r>
      <w:r w:rsidR="0030051E">
        <w:rPr>
          <w:rFonts w:eastAsia="Calibri" w:cs="Times New Roman"/>
        </w:rPr>
        <w:t xml:space="preserve"> w</w:t>
      </w:r>
      <w:r w:rsidR="0030051E">
        <w:t xml:space="preserve">ith care and custody providers, </w:t>
      </w:r>
      <w:r w:rsidR="00F867A0" w:rsidRPr="0020464A">
        <w:rPr>
          <w:rFonts w:eastAsia="Calibri" w:cs="Times New Roman"/>
        </w:rPr>
        <w:t xml:space="preserve">hapū, </w:t>
      </w:r>
      <w:r w:rsidR="0030051E">
        <w:rPr>
          <w:rFonts w:eastAsia="Calibri" w:cs="Times New Roman"/>
        </w:rPr>
        <w:t xml:space="preserve">and </w:t>
      </w:r>
      <w:r w:rsidR="00F867A0" w:rsidRPr="0020464A">
        <w:rPr>
          <w:rFonts w:eastAsia="Calibri" w:cs="Times New Roman"/>
        </w:rPr>
        <w:t>iwi organisations</w:t>
      </w:r>
      <w:r w:rsidR="0030051E">
        <w:rPr>
          <w:rFonts w:eastAsia="Calibri" w:cs="Times New Roman"/>
        </w:rPr>
        <w:t>;</w:t>
      </w:r>
    </w:p>
    <w:p w14:paraId="1CD6D04C" w14:textId="09253EAD" w:rsidR="0030051E" w:rsidRPr="0030051E" w:rsidRDefault="00F867A0" w:rsidP="00F867A0">
      <w:pPr>
        <w:pStyle w:val="Bullet1"/>
      </w:pPr>
      <w:r w:rsidRPr="005D4297">
        <w:rPr>
          <w:rFonts w:eastAsia="Calibri" w:cs="Times New Roman"/>
        </w:rPr>
        <w:t>16</w:t>
      </w:r>
      <w:r w:rsidRPr="0020464A">
        <w:rPr>
          <w:rFonts w:eastAsia="Calibri" w:cs="Times New Roman"/>
        </w:rPr>
        <w:t xml:space="preserve"> Disability and Deaf organisations</w:t>
      </w:r>
      <w:r w:rsidR="0030051E">
        <w:rPr>
          <w:rFonts w:eastAsia="Calibri" w:cs="Times New Roman"/>
        </w:rPr>
        <w:t>; and</w:t>
      </w:r>
    </w:p>
    <w:p w14:paraId="034EC52D" w14:textId="6CDB4682" w:rsidR="00F867A0" w:rsidRPr="0030051E" w:rsidRDefault="002D6423" w:rsidP="0030051E">
      <w:pPr>
        <w:pStyle w:val="Bullet1"/>
        <w:rPr>
          <w:rFonts w:eastAsia="Calibri" w:cs="Times New Roman"/>
        </w:rPr>
      </w:pPr>
      <w:r>
        <w:rPr>
          <w:rFonts w:eastAsia="Calibri" w:cs="Times New Roman"/>
        </w:rPr>
        <w:t>f</w:t>
      </w:r>
      <w:r w:rsidR="0030051E">
        <w:rPr>
          <w:rFonts w:eastAsia="Calibri" w:cs="Times New Roman"/>
        </w:rPr>
        <w:t>our national conferences including</w:t>
      </w:r>
      <w:r w:rsidR="00B029E4">
        <w:rPr>
          <w:rFonts w:eastAsia="Calibri" w:cs="Times New Roman"/>
        </w:rPr>
        <w:t xml:space="preserve"> the</w:t>
      </w:r>
      <w:r w:rsidR="0030051E">
        <w:rPr>
          <w:rFonts w:eastAsia="Calibri" w:cs="Times New Roman"/>
        </w:rPr>
        <w:t xml:space="preserve"> </w:t>
      </w:r>
      <w:r w:rsidR="0030051E" w:rsidRPr="0030051E">
        <w:rPr>
          <w:rFonts w:eastAsia="Calibri" w:cs="Times New Roman"/>
        </w:rPr>
        <w:t>Mokopuna Ora Conferenc</w:t>
      </w:r>
      <w:r w:rsidR="0030051E">
        <w:rPr>
          <w:rFonts w:eastAsia="Calibri" w:cs="Times New Roman"/>
        </w:rPr>
        <w:t xml:space="preserve">e and </w:t>
      </w:r>
      <w:r w:rsidR="0030051E" w:rsidRPr="0030051E">
        <w:rPr>
          <w:rFonts w:eastAsia="Calibri" w:cs="Times New Roman"/>
        </w:rPr>
        <w:t>National Social Service Providers (Whakamanawa) Conference</w:t>
      </w:r>
      <w:r w:rsidR="0030051E">
        <w:rPr>
          <w:rFonts w:eastAsia="Calibri" w:cs="Times New Roman"/>
        </w:rPr>
        <w:t>.</w:t>
      </w:r>
      <w:r w:rsidR="00F867A0" w:rsidRPr="0030051E">
        <w:rPr>
          <w:rFonts w:eastAsia="Calibri" w:cs="Times New Roman"/>
        </w:rPr>
        <w:t xml:space="preserve"> </w:t>
      </w:r>
    </w:p>
    <w:bookmarkEnd w:id="27"/>
    <w:p w14:paraId="7A1CD2D6" w14:textId="546BBA9B" w:rsidR="00F867A0" w:rsidRDefault="00F867A0" w:rsidP="0020464A">
      <w:pPr>
        <w:keepLines/>
      </w:pPr>
      <w:r>
        <w:t xml:space="preserve">Our focus is on building relationships so we understand issues and concerns these communities face, expanding our reach, and </w:t>
      </w:r>
      <w:r w:rsidRPr="001C60E8">
        <w:t xml:space="preserve">ensuring </w:t>
      </w:r>
      <w:r w:rsidR="007C16DF">
        <w:t>people</w:t>
      </w:r>
      <w:r w:rsidRPr="001C60E8">
        <w:t xml:space="preserve"> know how we can help them</w:t>
      </w:r>
      <w:r>
        <w:t>.</w:t>
      </w:r>
    </w:p>
    <w:p w14:paraId="2A6BC174" w14:textId="24054B0C" w:rsidR="0020464A" w:rsidRPr="0020464A" w:rsidRDefault="0020464A" w:rsidP="0020464A">
      <w:pPr>
        <w:keepLines/>
        <w:rPr>
          <w:rFonts w:eastAsia="Calibri" w:cs="Times New Roman"/>
        </w:rPr>
      </w:pPr>
      <w:r w:rsidRPr="0020464A">
        <w:rPr>
          <w:rFonts w:eastAsia="Calibri" w:cs="Times New Roman"/>
        </w:rPr>
        <w:t>The Ombudsman also has two external panels which provide expertise and insights on engagement:</w:t>
      </w:r>
    </w:p>
    <w:p w14:paraId="02E9570A" w14:textId="2FFD21DC" w:rsidR="0020464A" w:rsidRPr="0020464A" w:rsidRDefault="0020464A" w:rsidP="00A50285">
      <w:pPr>
        <w:numPr>
          <w:ilvl w:val="0"/>
          <w:numId w:val="27"/>
        </w:numPr>
        <w:spacing w:after="160" w:line="300" w:lineRule="atLeast"/>
        <w:ind w:hanging="567"/>
        <w:rPr>
          <w:rFonts w:eastAsia="Calibri" w:cs="Calibri"/>
        </w:rPr>
      </w:pPr>
      <w:hyperlink r:id="rId15" w:history="1">
        <w:proofErr w:type="spellStart"/>
        <w:r w:rsidRPr="000D3F9A">
          <w:rPr>
            <w:rStyle w:val="Hyperlink"/>
            <w:rFonts w:eastAsia="Calibri" w:cs="Calibri"/>
          </w:rPr>
          <w:t>Pūhara</w:t>
        </w:r>
        <w:proofErr w:type="spellEnd"/>
        <w:r w:rsidRPr="000D3F9A">
          <w:rPr>
            <w:rStyle w:val="Hyperlink"/>
            <w:rFonts w:eastAsia="Calibri" w:cs="Calibri"/>
          </w:rPr>
          <w:t xml:space="preserve"> Mana </w:t>
        </w:r>
        <w:proofErr w:type="spellStart"/>
        <w:r w:rsidRPr="000D3F9A">
          <w:rPr>
            <w:rStyle w:val="Hyperlink"/>
            <w:rFonts w:eastAsia="Calibri" w:cs="Calibri"/>
          </w:rPr>
          <w:t>Tangata</w:t>
        </w:r>
        <w:proofErr w:type="spellEnd"/>
      </w:hyperlink>
      <w:r w:rsidRPr="0020464A">
        <w:rPr>
          <w:rFonts w:eastAsia="Calibri" w:cs="Calibri"/>
        </w:rPr>
        <w:t xml:space="preserve"> is comprised of Māori </w:t>
      </w:r>
      <w:proofErr w:type="gramStart"/>
      <w:r w:rsidRPr="0020464A">
        <w:rPr>
          <w:rFonts w:eastAsia="Calibri" w:cs="Calibri"/>
        </w:rPr>
        <w:t>leaders, and</w:t>
      </w:r>
      <w:proofErr w:type="gramEnd"/>
      <w:r w:rsidRPr="0020464A">
        <w:rPr>
          <w:rFonts w:eastAsia="Calibri" w:cs="Calibri"/>
        </w:rPr>
        <w:t xml:space="preserve"> provides advice on engagement and communication on matters that impact Māori. </w:t>
      </w:r>
    </w:p>
    <w:p w14:paraId="4CBCC138" w14:textId="7CAD2B5F" w:rsidR="0020464A" w:rsidRDefault="0020464A" w:rsidP="00A50285">
      <w:pPr>
        <w:numPr>
          <w:ilvl w:val="0"/>
          <w:numId w:val="27"/>
        </w:numPr>
        <w:spacing w:after="160" w:line="300" w:lineRule="atLeast"/>
        <w:ind w:hanging="567"/>
        <w:rPr>
          <w:rFonts w:eastAsia="Calibri" w:cs="Calibri"/>
        </w:rPr>
      </w:pPr>
      <w:hyperlink r:id="rId16" w:history="1">
        <w:proofErr w:type="spellStart"/>
        <w:r w:rsidRPr="000D3F9A">
          <w:rPr>
            <w:rStyle w:val="Hyperlink"/>
            <w:rFonts w:eastAsia="Calibri" w:cs="Calibri"/>
          </w:rPr>
          <w:t>Te</w:t>
        </w:r>
        <w:proofErr w:type="spellEnd"/>
        <w:r w:rsidRPr="000D3F9A">
          <w:rPr>
            <w:rStyle w:val="Hyperlink"/>
            <w:rFonts w:eastAsia="Calibri" w:cs="Calibri"/>
          </w:rPr>
          <w:t xml:space="preserve"> </w:t>
        </w:r>
        <w:proofErr w:type="spellStart"/>
        <w:r w:rsidRPr="000D3F9A">
          <w:rPr>
            <w:rStyle w:val="Hyperlink"/>
            <w:rFonts w:eastAsia="Calibri" w:cs="Calibri"/>
          </w:rPr>
          <w:t>Rōpū</w:t>
        </w:r>
        <w:proofErr w:type="spellEnd"/>
        <w:r w:rsidRPr="000D3F9A">
          <w:rPr>
            <w:rStyle w:val="Hyperlink"/>
            <w:rFonts w:eastAsia="Calibri" w:cs="Calibri"/>
          </w:rPr>
          <w:t xml:space="preserve"> </w:t>
        </w:r>
        <w:proofErr w:type="spellStart"/>
        <w:r w:rsidRPr="000D3F9A">
          <w:rPr>
            <w:rStyle w:val="Hyperlink"/>
            <w:rFonts w:eastAsia="Calibri" w:cs="Calibri"/>
          </w:rPr>
          <w:t>Kaiārahi</w:t>
        </w:r>
        <w:proofErr w:type="spellEnd"/>
        <w:r w:rsidRPr="000D3F9A">
          <w:rPr>
            <w:rStyle w:val="Hyperlink"/>
            <w:rFonts w:eastAsia="Calibri" w:cs="Calibri"/>
          </w:rPr>
          <w:t xml:space="preserve"> </w:t>
        </w:r>
        <w:proofErr w:type="spellStart"/>
        <w:r w:rsidRPr="000D3F9A">
          <w:rPr>
            <w:rStyle w:val="Hyperlink"/>
            <w:rFonts w:eastAsia="Calibri" w:cs="Calibri"/>
          </w:rPr>
          <w:t>Hauātanga</w:t>
        </w:r>
        <w:proofErr w:type="spellEnd"/>
      </w:hyperlink>
      <w:r w:rsidRPr="0020464A">
        <w:rPr>
          <w:rFonts w:eastAsia="Calibri" w:cs="Calibri"/>
        </w:rPr>
        <w:t xml:space="preserve"> is comprised of people from the </w:t>
      </w:r>
      <w:r w:rsidR="00861B07">
        <w:rPr>
          <w:rFonts w:eastAsia="Calibri" w:cs="Calibri"/>
        </w:rPr>
        <w:t>d</w:t>
      </w:r>
      <w:r w:rsidR="00861B07" w:rsidRPr="0020464A">
        <w:rPr>
          <w:rFonts w:eastAsia="Calibri" w:cs="Calibri"/>
        </w:rPr>
        <w:t xml:space="preserve">isability </w:t>
      </w:r>
      <w:r w:rsidRPr="0020464A">
        <w:rPr>
          <w:rFonts w:eastAsia="Calibri" w:cs="Calibri"/>
        </w:rPr>
        <w:t xml:space="preserve">and Deaf </w:t>
      </w:r>
      <w:proofErr w:type="gramStart"/>
      <w:r w:rsidRPr="0020464A">
        <w:rPr>
          <w:rFonts w:eastAsia="Calibri" w:cs="Calibri"/>
        </w:rPr>
        <w:t>communities, and</w:t>
      </w:r>
      <w:proofErr w:type="gramEnd"/>
      <w:r w:rsidRPr="0020464A">
        <w:rPr>
          <w:rFonts w:eastAsia="Calibri" w:cs="Calibri"/>
        </w:rPr>
        <w:t xml:space="preserve"> provides advice and input on disability rights</w:t>
      </w:r>
      <w:r w:rsidR="00497EAD">
        <w:rPr>
          <w:rFonts w:eastAsia="Calibri" w:cs="Calibri"/>
        </w:rPr>
        <w:t xml:space="preserve">. </w:t>
      </w:r>
    </w:p>
    <w:p w14:paraId="6EEF51DB" w14:textId="5CC0A0EE" w:rsidR="006D1F18" w:rsidRPr="006D1F18" w:rsidRDefault="006D1F18" w:rsidP="006D1F18">
      <w:pPr>
        <w:pStyle w:val="BodyText"/>
      </w:pPr>
      <w:r>
        <w:t xml:space="preserve">We have an ongoing relationship with Te Kiingitanga that was established by the previous Chief Ombudsman, Sir Peter Boshier. The relationship includes the annual Kiingitanga summer internship at our Office and attendance </w:t>
      </w:r>
      <w:r w:rsidR="005D5D03">
        <w:t>at</w:t>
      </w:r>
      <w:r>
        <w:t xml:space="preserve"> events such as </w:t>
      </w:r>
      <w:proofErr w:type="spellStart"/>
      <w:r>
        <w:t>Koroneihana</w:t>
      </w:r>
      <w:proofErr w:type="spellEnd"/>
      <w:r>
        <w:t xml:space="preserve">. This year we attended </w:t>
      </w:r>
      <w:proofErr w:type="spellStart"/>
      <w:r>
        <w:t>Koroneihana</w:t>
      </w:r>
      <w:proofErr w:type="spellEnd"/>
      <w:r>
        <w:t xml:space="preserve"> to acknowledge the first anniversary of the crowning of </w:t>
      </w:r>
      <w:proofErr w:type="spellStart"/>
      <w:r>
        <w:t>Te</w:t>
      </w:r>
      <w:proofErr w:type="spellEnd"/>
      <w:r>
        <w:t xml:space="preserve"> </w:t>
      </w:r>
      <w:proofErr w:type="spellStart"/>
      <w:r>
        <w:t>Arikinui</w:t>
      </w:r>
      <w:proofErr w:type="spellEnd"/>
      <w:r>
        <w:t xml:space="preserve"> Kuini Nga </w:t>
      </w:r>
      <w:proofErr w:type="spellStart"/>
      <w:r>
        <w:t>wai</w:t>
      </w:r>
      <w:proofErr w:type="spellEnd"/>
      <w:r>
        <w:t xml:space="preserve"> </w:t>
      </w:r>
      <w:proofErr w:type="spellStart"/>
      <w:r w:rsidR="002E447E">
        <w:t>h</w:t>
      </w:r>
      <w:r>
        <w:t>ono</w:t>
      </w:r>
      <w:proofErr w:type="spellEnd"/>
      <w:r>
        <w:t xml:space="preserve"> </w:t>
      </w:r>
      <w:proofErr w:type="spellStart"/>
      <w:r>
        <w:t>i</w:t>
      </w:r>
      <w:proofErr w:type="spellEnd"/>
      <w:r>
        <w:t xml:space="preserve"> </w:t>
      </w:r>
      <w:proofErr w:type="spellStart"/>
      <w:r>
        <w:t>te</w:t>
      </w:r>
      <w:proofErr w:type="spellEnd"/>
      <w:r>
        <w:t xml:space="preserve"> </w:t>
      </w:r>
      <w:r w:rsidR="002E447E">
        <w:t>p</w:t>
      </w:r>
      <w:r>
        <w:t>o.</w:t>
      </w:r>
    </w:p>
    <w:p w14:paraId="7F522AF0" w14:textId="3D8E47E2" w:rsidR="009C3F32" w:rsidRDefault="009C3F32" w:rsidP="009C3F32">
      <w:pPr>
        <w:rPr>
          <w:rFonts w:eastAsia="Calibri" w:cs="Times New Roman"/>
        </w:rPr>
      </w:pPr>
      <w:bookmarkStart w:id="28" w:name="_Hlk236120178"/>
      <w:r w:rsidRPr="003C03A8">
        <w:rPr>
          <w:rFonts w:eastAsia="Calibri" w:cs="Times New Roman"/>
        </w:rPr>
        <w:t xml:space="preserve">In our surveys of those participating in our engagements, only </w:t>
      </w:r>
      <w:r w:rsidR="003C03A8" w:rsidRPr="003C03A8">
        <w:rPr>
          <w:rFonts w:eastAsia="Calibri" w:cs="Times New Roman"/>
        </w:rPr>
        <w:t>27</w:t>
      </w:r>
      <w:r w:rsidRPr="003C03A8">
        <w:rPr>
          <w:rFonts w:eastAsia="Calibri" w:cs="Times New Roman"/>
        </w:rPr>
        <w:t xml:space="preserve"> percent </w:t>
      </w:r>
      <w:r w:rsidR="007C16DF">
        <w:rPr>
          <w:rFonts w:eastAsia="Calibri" w:cs="Times New Roman"/>
        </w:rPr>
        <w:t xml:space="preserve">of people </w:t>
      </w:r>
      <w:r w:rsidRPr="003C03A8">
        <w:rPr>
          <w:rFonts w:eastAsia="Calibri" w:cs="Times New Roman"/>
        </w:rPr>
        <w:t>knew about the Ombudsman before attending</w:t>
      </w:r>
      <w:r w:rsidR="00971423">
        <w:rPr>
          <w:rFonts w:eastAsia="Calibri" w:cs="Times New Roman"/>
        </w:rPr>
        <w:t>, compared with 36 percent last year</w:t>
      </w:r>
      <w:r w:rsidRPr="003C03A8">
        <w:rPr>
          <w:rFonts w:eastAsia="Calibri" w:cs="Times New Roman"/>
        </w:rPr>
        <w:t>. Encouragingly, following our engagemen</w:t>
      </w:r>
      <w:r w:rsidRPr="0031591B">
        <w:rPr>
          <w:rFonts w:eastAsia="Calibri" w:cs="Times New Roman"/>
        </w:rPr>
        <w:t xml:space="preserve">ts, </w:t>
      </w:r>
      <w:r w:rsidR="001515BE">
        <w:rPr>
          <w:rFonts w:eastAsia="Calibri" w:cs="Times New Roman"/>
        </w:rPr>
        <w:t>87</w:t>
      </w:r>
      <w:r w:rsidRPr="003C03A8">
        <w:rPr>
          <w:rFonts w:eastAsia="Calibri" w:cs="Times New Roman"/>
        </w:rPr>
        <w:t xml:space="preserve"> percent were confident accessing our services, and 9</w:t>
      </w:r>
      <w:r w:rsidR="003C03A8" w:rsidRPr="003C03A8">
        <w:rPr>
          <w:rFonts w:eastAsia="Calibri" w:cs="Times New Roman"/>
        </w:rPr>
        <w:t>7</w:t>
      </w:r>
      <w:r w:rsidRPr="003C03A8">
        <w:rPr>
          <w:rFonts w:eastAsia="Calibri" w:cs="Times New Roman"/>
        </w:rPr>
        <w:t xml:space="preserve"> percent reported that our engagements helped raise </w:t>
      </w:r>
      <w:r w:rsidR="008D0A39">
        <w:rPr>
          <w:rFonts w:eastAsia="Calibri" w:cs="Times New Roman"/>
        </w:rPr>
        <w:t xml:space="preserve">their </w:t>
      </w:r>
      <w:r w:rsidRPr="003C03A8">
        <w:rPr>
          <w:rFonts w:eastAsia="Calibri" w:cs="Times New Roman"/>
        </w:rPr>
        <w:t>awareness about the Ombudsman</w:t>
      </w:r>
      <w:r w:rsidR="00971423">
        <w:rPr>
          <w:rFonts w:eastAsia="Calibri" w:cs="Times New Roman"/>
        </w:rPr>
        <w:t>, up from 89 percent and 96 percent respectively</w:t>
      </w:r>
      <w:r w:rsidRPr="003C03A8">
        <w:rPr>
          <w:rFonts w:eastAsia="Calibri" w:cs="Times New Roman"/>
        </w:rPr>
        <w:t>. We also gained invaluable feedback on how we can improve our reach and visibility within these communities.</w:t>
      </w:r>
      <w:r w:rsidRPr="0020464A">
        <w:rPr>
          <w:rFonts w:eastAsia="Calibri" w:cs="Times New Roman"/>
        </w:rPr>
        <w:t xml:space="preserve"> </w:t>
      </w:r>
    </w:p>
    <w:tbl>
      <w:tblPr>
        <w:tblStyle w:val="TableBox"/>
        <w:tblW w:w="9297" w:type="dxa"/>
        <w:shd w:val="clear" w:color="auto" w:fill="E9E9E9"/>
        <w:tblLayout w:type="fixed"/>
        <w:tblCellMar>
          <w:bottom w:w="0" w:type="dxa"/>
        </w:tblCellMar>
        <w:tblLook w:val="04A0" w:firstRow="1" w:lastRow="0" w:firstColumn="1" w:lastColumn="0" w:noHBand="0" w:noVBand="1"/>
        <w:tblCaption w:val="Box to emphasise text"/>
      </w:tblPr>
      <w:tblGrid>
        <w:gridCol w:w="9297"/>
      </w:tblGrid>
      <w:tr w:rsidR="00D45396" w14:paraId="68E30991" w14:textId="77777777" w:rsidTr="00F16CE1">
        <w:tc>
          <w:tcPr>
            <w:tcW w:w="9514" w:type="dxa"/>
            <w:shd w:val="clear" w:color="auto" w:fill="E9E9E9"/>
          </w:tcPr>
          <w:bookmarkEnd w:id="28"/>
          <w:p w14:paraId="408D23EA" w14:textId="78E59360" w:rsidR="00DF172E" w:rsidRPr="002813D8" w:rsidRDefault="00D45396" w:rsidP="002D4501">
            <w:pPr>
              <w:pStyle w:val="Headingboxtexttop"/>
              <w:tabs>
                <w:tab w:val="num" w:pos="567"/>
              </w:tabs>
              <w:rPr>
                <w:color w:val="017E5D"/>
              </w:rPr>
            </w:pPr>
            <w:r w:rsidRPr="002813D8">
              <w:rPr>
                <w:color w:val="017E5D"/>
              </w:rPr>
              <w:t xml:space="preserve">Feedback from our outreach and engagement </w:t>
            </w:r>
          </w:p>
          <w:p w14:paraId="15639CBF" w14:textId="412596EA" w:rsidR="00DF172E" w:rsidRPr="002D4501" w:rsidRDefault="00DF172E" w:rsidP="00A33462">
            <w:pPr>
              <w:pStyle w:val="Tablesinglespacedparagraph"/>
              <w:rPr>
                <w:sz w:val="24"/>
                <w:szCs w:val="24"/>
              </w:rPr>
            </w:pPr>
            <w:r w:rsidRPr="002D4501">
              <w:rPr>
                <w:sz w:val="24"/>
                <w:szCs w:val="24"/>
              </w:rPr>
              <w:t>We survey participants after our outreach and engagement session</w:t>
            </w:r>
            <w:r w:rsidR="008D0A39">
              <w:rPr>
                <w:sz w:val="24"/>
                <w:szCs w:val="24"/>
              </w:rPr>
              <w:t>s</w:t>
            </w:r>
            <w:r w:rsidRPr="002D4501">
              <w:rPr>
                <w:sz w:val="24"/>
                <w:szCs w:val="24"/>
              </w:rPr>
              <w:t>. It’s encouraging to see awareness and confidence in accessing our services improve following our engagements</w:t>
            </w:r>
            <w:r w:rsidR="002D4501" w:rsidRPr="002D4501">
              <w:rPr>
                <w:sz w:val="24"/>
                <w:szCs w:val="24"/>
              </w:rPr>
              <w:t xml:space="preserve">, and to receive positive feedback from the communities we engaged with. Some examples of the feedback we received this year includes: </w:t>
            </w:r>
          </w:p>
          <w:p w14:paraId="2D27FE79" w14:textId="77777777" w:rsidR="00DF172E" w:rsidRPr="002D4501" w:rsidRDefault="00DF172E" w:rsidP="003C03A8">
            <w:pPr>
              <w:pStyle w:val="Whitespace"/>
            </w:pPr>
          </w:p>
          <w:p w14:paraId="35140D85" w14:textId="31D90F44" w:rsidR="009E2316" w:rsidRPr="00CC0A6D" w:rsidRDefault="009E2316" w:rsidP="003B2A29">
            <w:pPr>
              <w:pStyle w:val="TableQuotationseparateparagraph"/>
              <w:rPr>
                <w:rStyle w:val="Italics"/>
                <w:i/>
                <w:iCs/>
                <w:color w:val="auto"/>
              </w:rPr>
            </w:pPr>
            <w:r w:rsidRPr="00CC0A6D">
              <w:rPr>
                <w:rStyle w:val="Italics"/>
                <w:i/>
                <w:iCs/>
                <w:color w:val="auto"/>
              </w:rPr>
              <w:t>“</w:t>
            </w:r>
            <w:r w:rsidR="003B2A29" w:rsidRPr="00CC0A6D">
              <w:rPr>
                <w:rStyle w:val="Italics"/>
                <w:i/>
                <w:iCs/>
                <w:color w:val="auto"/>
              </w:rPr>
              <w:t>Thank</w:t>
            </w:r>
            <w:r w:rsidRPr="00CC0A6D">
              <w:rPr>
                <w:rStyle w:val="Italics"/>
                <w:i/>
                <w:iCs/>
                <w:color w:val="auto"/>
              </w:rPr>
              <w:t xml:space="preserve"> you for reaching out to us, this session has been useful…we would never have known about what you do if you didn’t come see us” </w:t>
            </w:r>
          </w:p>
          <w:p w14:paraId="386F0862" w14:textId="77777777" w:rsidR="002D4501" w:rsidRPr="00CC0A6D" w:rsidRDefault="002D4501" w:rsidP="003C03A8">
            <w:pPr>
              <w:pStyle w:val="Whitespace"/>
              <w:rPr>
                <w:rStyle w:val="Italics"/>
                <w:iCs/>
                <w:color w:val="auto"/>
              </w:rPr>
            </w:pPr>
          </w:p>
          <w:p w14:paraId="5B4A843C" w14:textId="0E760B09" w:rsidR="00DF172E" w:rsidRPr="00CC0A6D" w:rsidRDefault="002D4501" w:rsidP="003B2A29">
            <w:pPr>
              <w:pStyle w:val="TableQuotationseparateparagraph"/>
              <w:rPr>
                <w:rStyle w:val="Italics"/>
                <w:i/>
                <w:iCs/>
                <w:color w:val="auto"/>
              </w:rPr>
            </w:pPr>
            <w:r w:rsidRPr="00CC0A6D">
              <w:rPr>
                <w:rStyle w:val="Italics"/>
                <w:i/>
                <w:iCs/>
                <w:color w:val="auto"/>
              </w:rPr>
              <w:t xml:space="preserve">“I've heard about the Ombudsman but didn't quite understand what you do. </w:t>
            </w:r>
            <w:r w:rsidR="00B56EA9" w:rsidRPr="00CC0A6D">
              <w:rPr>
                <w:rStyle w:val="Italics"/>
                <w:i/>
                <w:iCs/>
                <w:color w:val="auto"/>
              </w:rPr>
              <w:t>Y</w:t>
            </w:r>
            <w:r w:rsidRPr="00CC0A6D">
              <w:rPr>
                <w:rStyle w:val="Italics"/>
                <w:i/>
                <w:iCs/>
                <w:color w:val="auto"/>
              </w:rPr>
              <w:t xml:space="preserve">our presentation has helped me understand your role and how i can use you in my role here at Community Law” </w:t>
            </w:r>
          </w:p>
          <w:p w14:paraId="384EFA0D" w14:textId="77777777" w:rsidR="002D4501" w:rsidRPr="00CC0A6D" w:rsidRDefault="002D4501" w:rsidP="003C03A8">
            <w:pPr>
              <w:pStyle w:val="Whitespace"/>
              <w:rPr>
                <w:rStyle w:val="Italics"/>
                <w:iCs/>
                <w:color w:val="auto"/>
              </w:rPr>
            </w:pPr>
          </w:p>
          <w:p w14:paraId="34676BF8" w14:textId="34A7C7BA" w:rsidR="003B2A29" w:rsidRPr="00CC0A6D" w:rsidRDefault="00DF172E" w:rsidP="003B2A29">
            <w:pPr>
              <w:pStyle w:val="TableQuotationseparateparagraph"/>
              <w:rPr>
                <w:rStyle w:val="Italics"/>
                <w:i/>
                <w:iCs/>
                <w:color w:val="auto"/>
              </w:rPr>
            </w:pPr>
            <w:r w:rsidRPr="00CC0A6D">
              <w:rPr>
                <w:rStyle w:val="Italics"/>
                <w:i/>
                <w:iCs/>
                <w:color w:val="auto"/>
              </w:rPr>
              <w:t>“</w:t>
            </w:r>
            <w:r w:rsidR="003B2A29" w:rsidRPr="00CC0A6D">
              <w:rPr>
                <w:rStyle w:val="Italics"/>
                <w:i/>
                <w:iCs/>
                <w:color w:val="auto"/>
              </w:rPr>
              <w:t>Good</w:t>
            </w:r>
            <w:r w:rsidRPr="00CC0A6D">
              <w:rPr>
                <w:rStyle w:val="Italics"/>
                <w:i/>
                <w:iCs/>
                <w:color w:val="auto"/>
              </w:rPr>
              <w:t xml:space="preserve"> to know about your disability rights team and their work”</w:t>
            </w:r>
          </w:p>
          <w:p w14:paraId="18C13C40" w14:textId="77777777" w:rsidR="003B2A29" w:rsidRPr="00CC0A6D" w:rsidRDefault="003B2A29" w:rsidP="003C03A8">
            <w:pPr>
              <w:pStyle w:val="Whitespace"/>
              <w:rPr>
                <w:rStyle w:val="Italics"/>
                <w:iCs/>
                <w:color w:val="auto"/>
              </w:rPr>
            </w:pPr>
          </w:p>
          <w:p w14:paraId="53D9E2EA" w14:textId="45483B1C" w:rsidR="003B2A29" w:rsidRPr="003B2A29" w:rsidRDefault="003B2A29" w:rsidP="003B2A29">
            <w:pPr>
              <w:pStyle w:val="TableQuotationseparateparagraph"/>
              <w:rPr>
                <w:rStyle w:val="Quotationwithinthesentence"/>
              </w:rPr>
            </w:pPr>
            <w:r w:rsidRPr="00CC0A6D">
              <w:rPr>
                <w:rStyle w:val="Italics"/>
                <w:i/>
                <w:iCs/>
                <w:color w:val="auto"/>
              </w:rPr>
              <w:t xml:space="preserve">“I only know that you can do complaints about government but didn’t know about the council part. </w:t>
            </w:r>
            <w:r w:rsidR="00012194" w:rsidRPr="00CC0A6D">
              <w:rPr>
                <w:rStyle w:val="Italics"/>
                <w:i/>
                <w:iCs/>
                <w:color w:val="auto"/>
              </w:rPr>
              <w:t>G</w:t>
            </w:r>
            <w:r w:rsidRPr="00CC0A6D">
              <w:rPr>
                <w:rStyle w:val="Italics"/>
                <w:i/>
                <w:iCs/>
                <w:color w:val="auto"/>
              </w:rPr>
              <w:t>ood to know for our community”</w:t>
            </w:r>
          </w:p>
        </w:tc>
      </w:tr>
    </w:tbl>
    <w:p w14:paraId="68F2E25B" w14:textId="77777777" w:rsidR="00D45396" w:rsidRDefault="00D45396" w:rsidP="00D45396">
      <w:pPr>
        <w:pStyle w:val="Whitespace"/>
      </w:pPr>
    </w:p>
    <w:p w14:paraId="6977D885" w14:textId="576F5316" w:rsidR="00086A84" w:rsidRDefault="00086A84" w:rsidP="00086A84">
      <w:pPr>
        <w:pStyle w:val="Heading4"/>
      </w:pPr>
      <w:r>
        <w:t xml:space="preserve">Public awareness </w:t>
      </w:r>
    </w:p>
    <w:p w14:paraId="5085B2B0" w14:textId="7F5AB3E0" w:rsidR="001D0DDE" w:rsidRPr="006E3730" w:rsidRDefault="001D0DDE" w:rsidP="001D0DDE">
      <w:pPr>
        <w:pStyle w:val="BodyText"/>
      </w:pPr>
      <w:r w:rsidRPr="001D0DDE">
        <w:t xml:space="preserve">We track the general public’s awareness of the Ombudsman, and how we can assist them, </w:t>
      </w:r>
      <w:r w:rsidRPr="006E3730">
        <w:t>through a</w:t>
      </w:r>
      <w:r w:rsidR="008D0A39">
        <w:t>n annual</w:t>
      </w:r>
      <w:r w:rsidRPr="006E3730">
        <w:t xml:space="preserve"> market research survey. </w:t>
      </w:r>
    </w:p>
    <w:p w14:paraId="0C3B432E" w14:textId="7F106C52" w:rsidR="001D0DDE" w:rsidRDefault="00952C59" w:rsidP="009E3F37">
      <w:pPr>
        <w:pStyle w:val="BodyText"/>
      </w:pPr>
      <w:r w:rsidRPr="006E3730">
        <w:t>Overall, in 2025/</w:t>
      </w:r>
      <w:r w:rsidRPr="0031591B">
        <w:t>26</w:t>
      </w:r>
      <w:r w:rsidR="00012194">
        <w:t>,</w:t>
      </w:r>
      <w:r w:rsidRPr="0031591B">
        <w:t xml:space="preserve"> </w:t>
      </w:r>
      <w:r w:rsidR="006E3730" w:rsidRPr="0031591B">
        <w:t>64 percent</w:t>
      </w:r>
      <w:r w:rsidRPr="006E3730">
        <w:t xml:space="preserve"> of people surveyed were aware of the Ombudsman</w:t>
      </w:r>
      <w:r w:rsidR="006E3730">
        <w:t>, which is down from 66</w:t>
      </w:r>
      <w:r w:rsidRPr="006E3730">
        <w:t xml:space="preserve"> </w:t>
      </w:r>
      <w:r w:rsidR="006E3730">
        <w:t xml:space="preserve">percent </w:t>
      </w:r>
      <w:r w:rsidRPr="006E3730">
        <w:t>last yea</w:t>
      </w:r>
      <w:r w:rsidR="006E3730">
        <w:t>r</w:t>
      </w:r>
      <w:r w:rsidRPr="006E3730">
        <w:t xml:space="preserve">. Awareness amongst Māori, Pasifika, ethnic and youth communities is lower than general awareness. We are targeting our efforts in our engagement and outreach to help lift awareness in these communities. </w:t>
      </w:r>
    </w:p>
    <w:p w14:paraId="038F740A" w14:textId="2FD11815" w:rsidR="00667344" w:rsidRPr="006E3730" w:rsidRDefault="00325177" w:rsidP="009E3F37">
      <w:pPr>
        <w:pStyle w:val="BodyText"/>
      </w:pPr>
      <w:r>
        <w:rPr>
          <w:noProof/>
        </w:rPr>
        <w:drawing>
          <wp:inline distT="0" distB="0" distL="0" distR="0" wp14:anchorId="0395BD17" wp14:editId="3F90EE25">
            <wp:extent cx="5816009" cy="3508745"/>
            <wp:effectExtent l="0" t="0" r="13335" b="15875"/>
            <wp:docPr id="1637530279" name="Chart 1" descr="Graph (figure 2) showing awareness of the Ombudsman results. Link to table version of the graph below. ">
              <a:extLst xmlns:a="http://schemas.openxmlformats.org/drawingml/2006/main">
                <a:ext uri="{FF2B5EF4-FFF2-40B4-BE49-F238E27FC236}">
                  <a16:creationId xmlns:a16="http://schemas.microsoft.com/office/drawing/2014/main" id="{545022B5-1F89-69AB-4640-017EA610A9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7C566EE" w14:textId="56BE0614" w:rsidR="009E3F37" w:rsidRPr="00B70E86" w:rsidRDefault="00AC575F" w:rsidP="009E3F37">
      <w:pPr>
        <w:pStyle w:val="BodyText"/>
        <w:rPr>
          <w:rStyle w:val="Italics"/>
          <w:i w:val="0"/>
          <w:iCs/>
          <w:u w:val="single"/>
        </w:rPr>
      </w:pPr>
      <w:hyperlink w:anchor="_Figure_2:_Awareness" w:history="1">
        <w:r w:rsidRPr="00B70E86">
          <w:rPr>
            <w:rStyle w:val="Hyperlink"/>
            <w:i/>
            <w:iCs/>
          </w:rPr>
          <w:t>Figure 2: Awareness of the Ombudsman.</w:t>
        </w:r>
      </w:hyperlink>
      <w:r w:rsidRPr="00B70E86">
        <w:rPr>
          <w:rStyle w:val="Italics"/>
          <w:i w:val="0"/>
          <w:iCs/>
          <w:u w:val="single"/>
        </w:rPr>
        <w:t xml:space="preserve"> </w:t>
      </w:r>
    </w:p>
    <w:p w14:paraId="676BBF0D" w14:textId="77777777" w:rsidR="003C34DC" w:rsidRDefault="006F34B2" w:rsidP="003C34DC">
      <w:pPr>
        <w:pStyle w:val="Heading3"/>
        <w:spacing w:after="240"/>
      </w:pPr>
      <w:bookmarkStart w:id="29" w:name="_Hlk236116535"/>
      <w:r>
        <w:t>Output 2—Improve public sector capability to do its work and make decisions</w:t>
      </w:r>
    </w:p>
    <w:bookmarkEnd w:id="29"/>
    <w:p w14:paraId="53A763BD" w14:textId="77777777" w:rsidR="003C34DC" w:rsidRDefault="003C34DC" w:rsidP="003C34DC">
      <w:pPr>
        <w:pStyle w:val="BodyText"/>
        <w:keepNext/>
      </w:pPr>
      <w:r>
        <w:t xml:space="preserve">Improved capability in the public sector enables the government to be responsive and effective in the services it provides to the public, helps reduce unfairness and inefficiencies from poor practices, and supports transparency, integrity and anti-corruption. An important part of our work is the learning, advice, and guidance we offer to agencies and other stakeholders. </w:t>
      </w:r>
    </w:p>
    <w:p w14:paraId="6E616DE7" w14:textId="65810D14" w:rsidR="003A2BF5" w:rsidRDefault="003A2BF5" w:rsidP="003C34DC">
      <w:pPr>
        <w:pStyle w:val="BodyText"/>
        <w:keepNext/>
      </w:pPr>
      <w:r>
        <w:t xml:space="preserve">This year </w:t>
      </w:r>
      <w:r w:rsidR="00537CAA">
        <w:t xml:space="preserve">we continued to provide proactive support to agencies to help them get it right the first time. We also continued to seek an understanding of the contemporary challenges faced by agencies and look for ways to support them to meet their obligations under the </w:t>
      </w:r>
      <w:r w:rsidR="00906D9D">
        <w:t>Official Information Act 1982 (</w:t>
      </w:r>
      <w:r w:rsidR="00537CAA">
        <w:t>OIA</w:t>
      </w:r>
      <w:r w:rsidR="00906D9D">
        <w:t>)</w:t>
      </w:r>
      <w:r w:rsidR="00537CAA">
        <w:t xml:space="preserve">, </w:t>
      </w:r>
      <w:r w:rsidR="00906D9D">
        <w:t>Local Government Official Information and Meetings Act 1987 (</w:t>
      </w:r>
      <w:r w:rsidR="00537CAA">
        <w:t>LGOIMA</w:t>
      </w:r>
      <w:r w:rsidR="00906D9D">
        <w:t>)</w:t>
      </w:r>
      <w:r w:rsidR="00537CAA">
        <w:t xml:space="preserve"> and</w:t>
      </w:r>
      <w:r w:rsidR="00906D9D">
        <w:t xml:space="preserve"> the Ombudsmen Act 1975</w:t>
      </w:r>
      <w:r w:rsidR="00537CAA">
        <w:t xml:space="preserve"> </w:t>
      </w:r>
      <w:r w:rsidR="00906D9D">
        <w:t>(</w:t>
      </w:r>
      <w:r w:rsidR="00537CAA">
        <w:t>OA</w:t>
      </w:r>
      <w:r w:rsidR="00906D9D">
        <w:t>)</w:t>
      </w:r>
      <w:r w:rsidR="00537CAA">
        <w:t xml:space="preserve">, ensuring open, accountable and responsive government.  </w:t>
      </w:r>
    </w:p>
    <w:p w14:paraId="1A904989" w14:textId="734634FD" w:rsidR="00086A84" w:rsidRDefault="00086A84" w:rsidP="003C34DC">
      <w:pPr>
        <w:pStyle w:val="Heading4"/>
      </w:pPr>
      <w:r>
        <w:t xml:space="preserve">Advice and guidance </w:t>
      </w:r>
    </w:p>
    <w:p w14:paraId="3C9D15A8" w14:textId="383FD2A1" w:rsidR="003C34DC" w:rsidRPr="003C34DC" w:rsidRDefault="003C34DC" w:rsidP="003C34DC">
      <w:pPr>
        <w:pStyle w:val="BodyText"/>
      </w:pPr>
      <w:r w:rsidRPr="003C34DC">
        <w:t>In 202</w:t>
      </w:r>
      <w:r>
        <w:t>5</w:t>
      </w:r>
      <w:r w:rsidRPr="003C34DC">
        <w:t>/2</w:t>
      </w:r>
      <w:r>
        <w:t>6</w:t>
      </w:r>
      <w:r w:rsidRPr="003C34DC">
        <w:t>, we</w:t>
      </w:r>
      <w:r w:rsidR="00971423">
        <w:t xml:space="preserve"> exceeded our target of 300 and</w:t>
      </w:r>
      <w:r w:rsidRPr="003C34DC">
        <w:t xml:space="preserve"> </w:t>
      </w:r>
      <w:r w:rsidR="00A32534">
        <w:t xml:space="preserve">responded </w:t>
      </w:r>
      <w:r w:rsidR="00A32534" w:rsidRPr="0031591B">
        <w:t>to 363 requests</w:t>
      </w:r>
      <w:r w:rsidR="00A32534">
        <w:t xml:space="preserve"> for advice or comment from </w:t>
      </w:r>
      <w:r w:rsidR="00971423">
        <w:t>agencies.</w:t>
      </w:r>
      <w:r w:rsidR="00A32534">
        <w:t xml:space="preserve"> We also continued to comment on Cabinet papers and made a number of submissions on Bills before select committee</w:t>
      </w:r>
      <w:r w:rsidR="00E2160B">
        <w:t>s</w:t>
      </w:r>
      <w:r w:rsidR="00497EAD">
        <w:t xml:space="preserve">. </w:t>
      </w:r>
    </w:p>
    <w:p w14:paraId="715497FC" w14:textId="3E9E7AEC" w:rsidR="003C34DC" w:rsidRDefault="003C34DC" w:rsidP="003C34DC">
      <w:pPr>
        <w:pStyle w:val="BodyText"/>
      </w:pPr>
      <w:r w:rsidRPr="003C34DC">
        <w:t>Our comments are largely focused on areas relevant to our jurisdiction and functions, including the official information legislation, good decision-making, effective complaint handling, protected disclosures, and human rights issues in relation to people in detention and people with disabilities</w:t>
      </w:r>
      <w:r w:rsidR="00497EAD">
        <w:t xml:space="preserve">. </w:t>
      </w:r>
    </w:p>
    <w:p w14:paraId="666FAEE1" w14:textId="748A412E" w:rsidR="00B074FB" w:rsidRDefault="00497EAD" w:rsidP="003C34DC">
      <w:pPr>
        <w:pStyle w:val="BodyText"/>
      </w:pPr>
      <w:r>
        <w:t>It is best when a</w:t>
      </w:r>
      <w:r w:rsidR="00B074FB">
        <w:t xml:space="preserve">gencies engage with us early in the policy development process and otherwise seek our early advice </w:t>
      </w:r>
      <w:r w:rsidR="00B536D9">
        <w:t>on</w:t>
      </w:r>
      <w:r w:rsidR="00B074FB">
        <w:t xml:space="preserve"> matters relating to good administration and management of official information</w:t>
      </w:r>
      <w:r w:rsidR="005D5D03">
        <w:t>. T</w:t>
      </w:r>
      <w:r w:rsidR="00B074FB">
        <w:t xml:space="preserve">he impact of this work is not always visible as </w:t>
      </w:r>
      <w:r w:rsidR="00F9494C">
        <w:t>it’s</w:t>
      </w:r>
      <w:r>
        <w:t xml:space="preserve"> difficult to show</w:t>
      </w:r>
      <w:r w:rsidR="00B074FB">
        <w:t xml:space="preserve"> that maladministration didn’t happen</w:t>
      </w:r>
      <w:r>
        <w:t xml:space="preserve">. </w:t>
      </w:r>
      <w:r w:rsidR="00A32534">
        <w:t>However, an important part of our role is helping agencies de</w:t>
      </w:r>
      <w:r w:rsidR="00DD51E6">
        <w:t xml:space="preserve">sign and implement policies and systems that bed in good decision-making, effective complaint handling, transparency and fairness. </w:t>
      </w:r>
    </w:p>
    <w:p w14:paraId="2A4E9987" w14:textId="6D90ECC4" w:rsidR="00FE47DD" w:rsidRDefault="00FE47DD" w:rsidP="00FE47DD">
      <w:pPr>
        <w:pStyle w:val="Heading5"/>
      </w:pPr>
      <w:r>
        <w:t xml:space="preserve">OIA carve-outs in legislation </w:t>
      </w:r>
    </w:p>
    <w:p w14:paraId="3F9A0A12" w14:textId="77777777" w:rsidR="001515BE" w:rsidRDefault="00ED116A" w:rsidP="003C34DC">
      <w:pPr>
        <w:pStyle w:val="BodyText"/>
      </w:pPr>
      <w:r>
        <w:t xml:space="preserve">We have continued to see </w:t>
      </w:r>
      <w:r w:rsidR="00831209">
        <w:t xml:space="preserve">proposals to </w:t>
      </w:r>
      <w:r w:rsidR="00831209" w:rsidRPr="00831209">
        <w:t>exclude the application of the official information legislation from specific information held by government in certain sectors</w:t>
      </w:r>
      <w:r w:rsidR="00831209">
        <w:t>.</w:t>
      </w:r>
      <w:r w:rsidR="002E24F2">
        <w:t xml:space="preserve"> </w:t>
      </w:r>
    </w:p>
    <w:p w14:paraId="5F6F7ECE" w14:textId="382A9938" w:rsidR="001515BE" w:rsidRDefault="002E24F2" w:rsidP="003C34DC">
      <w:pPr>
        <w:pStyle w:val="BodyText"/>
      </w:pPr>
      <w:r w:rsidRPr="002E24F2">
        <w:t xml:space="preserve">The OIA and LGOIMA are constitutional in nature and reflect a widely accepted position that the public should be given worthwhile information about how public affairs are conducted. The Acts comprehensively protect information from release where that is warranted in the public interest. Given these factors, it </w:t>
      </w:r>
      <w:r w:rsidR="00C53EE8">
        <w:t>should</w:t>
      </w:r>
      <w:r w:rsidRPr="002E24F2">
        <w:t xml:space="preserve"> be rare for exclusions from the official information regime to be justifiable. Public sector agencies and bodies that perform a public function should be made subject to appropriate public sector accountability mechanisms—including the OA, OIA and LGOIMA—unless there are compelling reasons for them not to be</w:t>
      </w:r>
      <w:r w:rsidR="00497EAD">
        <w:t xml:space="preserve">. </w:t>
      </w:r>
    </w:p>
    <w:p w14:paraId="7552B037" w14:textId="32ACCC3E" w:rsidR="00ED116A" w:rsidRDefault="002E24F2" w:rsidP="003C34DC">
      <w:pPr>
        <w:pStyle w:val="BodyText"/>
      </w:pPr>
      <w:r>
        <w:t>We continued to provide guidance to agencies on how the Act</w:t>
      </w:r>
      <w:r w:rsidR="00012194">
        <w:t>s</w:t>
      </w:r>
      <w:r>
        <w:t xml:space="preserve"> can protect information from release where it is warranted in the public interest, and submissions to select committee reflecting the </w:t>
      </w:r>
      <w:r w:rsidR="00E02F42">
        <w:t xml:space="preserve">above public policy position. </w:t>
      </w:r>
      <w:r w:rsidR="002E21E4">
        <w:t xml:space="preserve">In some </w:t>
      </w:r>
      <w:r w:rsidR="00852446">
        <w:t>cases,</w:t>
      </w:r>
      <w:r w:rsidR="002E21E4">
        <w:t xml:space="preserve"> </w:t>
      </w:r>
      <w:r w:rsidR="00852446">
        <w:t xml:space="preserve">our guidance </w:t>
      </w:r>
      <w:r w:rsidR="00903943">
        <w:t>and submissions have led to the reversal of proposals that had sought to exclude official information legislation or the OA</w:t>
      </w:r>
      <w:r w:rsidR="00497EAD">
        <w:t xml:space="preserve">. </w:t>
      </w:r>
    </w:p>
    <w:p w14:paraId="5B4A25D7" w14:textId="0B0BD01B" w:rsidR="00FE47DD" w:rsidRDefault="00B074FB" w:rsidP="00B074FB">
      <w:pPr>
        <w:pStyle w:val="Heading5"/>
      </w:pPr>
      <w:bookmarkStart w:id="30" w:name="_Hlk237847529"/>
      <w:r>
        <w:t xml:space="preserve">Addressing concerns about OIA administrative challenges  </w:t>
      </w:r>
    </w:p>
    <w:p w14:paraId="379DC7E2" w14:textId="77777777" w:rsidR="001515BE" w:rsidRDefault="00491144" w:rsidP="00491144">
      <w:pPr>
        <w:pStyle w:val="BodyText"/>
      </w:pPr>
      <w:r>
        <w:t xml:space="preserve">There </w:t>
      </w:r>
      <w:r w:rsidR="002E447E">
        <w:t>have been</w:t>
      </w:r>
      <w:r>
        <w:t xml:space="preserve"> calls </w:t>
      </w:r>
      <w:r w:rsidR="002E447E">
        <w:t>from some to review and possibly</w:t>
      </w:r>
      <w:r>
        <w:t xml:space="preserve"> reform the official information legislation. </w:t>
      </w:r>
      <w:r w:rsidR="002E447E">
        <w:t xml:space="preserve">We are aware that </w:t>
      </w:r>
      <w:r>
        <w:t xml:space="preserve">Government and Ministers have been </w:t>
      </w:r>
      <w:r w:rsidR="00B463AA">
        <w:t xml:space="preserve">considering </w:t>
      </w:r>
      <w:r>
        <w:t>the cost and administrative challenges associated with</w:t>
      </w:r>
      <w:r w:rsidR="002E447E">
        <w:t xml:space="preserve"> the way public sector agencies are currently processing</w:t>
      </w:r>
      <w:r>
        <w:t xml:space="preserve"> OIA</w:t>
      </w:r>
      <w:r w:rsidR="002E447E">
        <w:t xml:space="preserve"> requests</w:t>
      </w:r>
      <w:r>
        <w:t xml:space="preserve">, and media commentators and experts have called for legislative reform </w:t>
      </w:r>
      <w:r w:rsidR="002E447E">
        <w:t>concerned about protecting</w:t>
      </w:r>
      <w:r>
        <w:t xml:space="preserve"> transparency and strengthen</w:t>
      </w:r>
      <w:r w:rsidR="00977664">
        <w:t>ing our</w:t>
      </w:r>
      <w:r>
        <w:t xml:space="preserve"> democracy. </w:t>
      </w:r>
    </w:p>
    <w:p w14:paraId="5F9CC451" w14:textId="142EB296" w:rsidR="00491144" w:rsidRDefault="00491144" w:rsidP="00491144">
      <w:pPr>
        <w:pStyle w:val="BodyText"/>
      </w:pPr>
      <w:r>
        <w:t>Successive N</w:t>
      </w:r>
      <w:r w:rsidR="00B536D9">
        <w:t xml:space="preserve">ew </w:t>
      </w:r>
      <w:r>
        <w:t>Z</w:t>
      </w:r>
      <w:r w:rsidR="00B536D9">
        <w:t>ealand</w:t>
      </w:r>
      <w:r>
        <w:t xml:space="preserve"> Ombudsmen have taken the view that the OIA is fundamentally fit for purpose, and </w:t>
      </w:r>
      <w:r w:rsidR="00977664">
        <w:t>while</w:t>
      </w:r>
      <w:r>
        <w:t xml:space="preserve"> significant legislative change is not </w:t>
      </w:r>
      <w:r w:rsidRPr="00040AD0">
        <w:t>necessary</w:t>
      </w:r>
      <w:r w:rsidR="00977664">
        <w:t xml:space="preserve">, </w:t>
      </w:r>
      <w:r w:rsidR="00576F38">
        <w:t>there are practice issues to be addressed</w:t>
      </w:r>
      <w:r w:rsidR="00977664">
        <w:t xml:space="preserve"> and enhancements that could be considered</w:t>
      </w:r>
      <w:r w:rsidRPr="00040AD0">
        <w:t>.</w:t>
      </w:r>
      <w:r w:rsidR="00977664">
        <w:t xml:space="preserve"> N</w:t>
      </w:r>
      <w:r w:rsidR="00576F38">
        <w:t xml:space="preserve">ew technology, </w:t>
      </w:r>
      <w:r w:rsidR="007377AF">
        <w:t xml:space="preserve">such as information management systems, </w:t>
      </w:r>
      <w:r w:rsidR="00576F38">
        <w:t xml:space="preserve">social media and </w:t>
      </w:r>
      <w:r w:rsidR="00A7224D">
        <w:t>A</w:t>
      </w:r>
      <w:r w:rsidR="00576F38">
        <w:t xml:space="preserve">rtificial </w:t>
      </w:r>
      <w:r w:rsidR="00A7224D">
        <w:t>I</w:t>
      </w:r>
      <w:r w:rsidR="00576F38">
        <w:t>ntelligence</w:t>
      </w:r>
      <w:r w:rsidR="00A7224D">
        <w:t xml:space="preserve"> (AI)</w:t>
      </w:r>
      <w:r w:rsidR="00576F38">
        <w:t xml:space="preserve"> </w:t>
      </w:r>
      <w:r w:rsidR="007377AF">
        <w:t xml:space="preserve">is increasingly changing </w:t>
      </w:r>
      <w:r w:rsidR="00576F38">
        <w:t xml:space="preserve">how people </w:t>
      </w:r>
      <w:r w:rsidR="0053359D">
        <w:t xml:space="preserve">create, </w:t>
      </w:r>
      <w:r w:rsidR="00576F38">
        <w:t>record, access</w:t>
      </w:r>
      <w:r w:rsidR="00977664">
        <w:t xml:space="preserve">, </w:t>
      </w:r>
      <w:r w:rsidR="00576F38">
        <w:t>use</w:t>
      </w:r>
      <w:r w:rsidR="00977664">
        <w:t xml:space="preserve"> and trust</w:t>
      </w:r>
      <w:r w:rsidR="00576F38">
        <w:t xml:space="preserve"> </w:t>
      </w:r>
      <w:r w:rsidR="007377AF">
        <w:t xml:space="preserve">information. This is giving rise to an </w:t>
      </w:r>
      <w:r w:rsidRPr="00040AD0">
        <w:t xml:space="preserve">apparent increase in concerns by government agencies about the administrative </w:t>
      </w:r>
      <w:r w:rsidR="00977664">
        <w:t>challenges</w:t>
      </w:r>
      <w:r w:rsidRPr="00040AD0">
        <w:t xml:space="preserve"> of compliance</w:t>
      </w:r>
      <w:r w:rsidR="007377AF">
        <w:t xml:space="preserve"> with the OIA. W</w:t>
      </w:r>
      <w:r w:rsidRPr="00040AD0">
        <w:t xml:space="preserve">e are undertaking work to </w:t>
      </w:r>
      <w:r>
        <w:t xml:space="preserve">better understand and identify ways </w:t>
      </w:r>
      <w:r w:rsidR="00977664">
        <w:t>for public sector agencies to</w:t>
      </w:r>
      <w:r>
        <w:t xml:space="preserve"> minimise the administrative challenges </w:t>
      </w:r>
      <w:r w:rsidR="00977664">
        <w:t xml:space="preserve">they may be </w:t>
      </w:r>
      <w:r w:rsidR="00866275">
        <w:t xml:space="preserve">experiencing </w:t>
      </w:r>
      <w:r w:rsidR="00977664">
        <w:t>when</w:t>
      </w:r>
      <w:r>
        <w:t xml:space="preserve"> managing OIA requests</w:t>
      </w:r>
      <w:r w:rsidR="007377AF">
        <w:t xml:space="preserve"> in the current environment</w:t>
      </w:r>
      <w:r>
        <w:t xml:space="preserve">. </w:t>
      </w:r>
    </w:p>
    <w:p w14:paraId="182F5F6B" w14:textId="066EDE61" w:rsidR="00B074FB" w:rsidRDefault="00491144" w:rsidP="00B074FB">
      <w:pPr>
        <w:pStyle w:val="BodyText"/>
      </w:pPr>
      <w:r>
        <w:t xml:space="preserve">The work we have underway includes: </w:t>
      </w:r>
    </w:p>
    <w:p w14:paraId="566481A3" w14:textId="4189568E" w:rsidR="00491144" w:rsidRDefault="0010296B" w:rsidP="00491144">
      <w:pPr>
        <w:pStyle w:val="Bullet1"/>
      </w:pPr>
      <w:r>
        <w:t>i</w:t>
      </w:r>
      <w:r w:rsidR="00491144">
        <w:t xml:space="preserve">dentifying where we </w:t>
      </w:r>
      <w:r w:rsidR="00C53EE8">
        <w:t>can</w:t>
      </w:r>
      <w:r w:rsidR="00491144">
        <w:t xml:space="preserve"> adjust our approach to reduce administrative challenges without compromising the core purposes of the legislation</w:t>
      </w:r>
      <w:r w:rsidR="00C53EE8">
        <w:t xml:space="preserve">; </w:t>
      </w:r>
    </w:p>
    <w:p w14:paraId="68CE3A01" w14:textId="18961912" w:rsidR="00491144" w:rsidRDefault="0010296B" w:rsidP="00491144">
      <w:pPr>
        <w:pStyle w:val="Bullet1"/>
      </w:pPr>
      <w:r>
        <w:t>e</w:t>
      </w:r>
      <w:r w:rsidR="00491144">
        <w:t xml:space="preserve">nsuring we undertake proportionate </w:t>
      </w:r>
      <w:r>
        <w:t xml:space="preserve">complaint handling </w:t>
      </w:r>
      <w:r w:rsidR="00491144">
        <w:t>processes;</w:t>
      </w:r>
    </w:p>
    <w:p w14:paraId="5CB6FB06" w14:textId="77777777" w:rsidR="002D3044" w:rsidRDefault="0010296B" w:rsidP="00B70E86">
      <w:pPr>
        <w:pStyle w:val="Bullet1"/>
      </w:pPr>
      <w:r>
        <w:t>s</w:t>
      </w:r>
      <w:r w:rsidR="00491144">
        <w:t>upporting agencies to</w:t>
      </w:r>
      <w:r w:rsidR="00977664">
        <w:t xml:space="preserve"> identify ways to </w:t>
      </w:r>
      <w:r w:rsidR="00491144">
        <w:t xml:space="preserve">shift their </w:t>
      </w:r>
      <w:r w:rsidR="00977664">
        <w:t>understanding</w:t>
      </w:r>
      <w:r w:rsidR="00491144">
        <w:t xml:space="preserve"> and practices to facilitate </w:t>
      </w:r>
      <w:proofErr w:type="gramStart"/>
      <w:r w:rsidR="00491144">
        <w:t>more timely</w:t>
      </w:r>
      <w:proofErr w:type="gramEnd"/>
      <w:r w:rsidR="00491144">
        <w:t xml:space="preserve">, less resource intensive, release of information; </w:t>
      </w:r>
    </w:p>
    <w:p w14:paraId="335663D5" w14:textId="6093D631" w:rsidR="00491144" w:rsidRDefault="002D3044" w:rsidP="00B70E86">
      <w:pPr>
        <w:pStyle w:val="Bullet1"/>
      </w:pPr>
      <w:r>
        <w:t xml:space="preserve">encouraging agencies to proactively release information where there’s a clear public interest; </w:t>
      </w:r>
      <w:r w:rsidR="0010296B">
        <w:t>and</w:t>
      </w:r>
    </w:p>
    <w:p w14:paraId="0EC8FE23" w14:textId="1E7C0539" w:rsidR="00136F4F" w:rsidRDefault="0010296B" w:rsidP="00136F4F">
      <w:pPr>
        <w:pStyle w:val="Bullet1"/>
      </w:pPr>
      <w:r>
        <w:t>f</w:t>
      </w:r>
      <w:r w:rsidR="00491144">
        <w:t xml:space="preserve">inding ways to promote efficiency, </w:t>
      </w:r>
      <w:r w:rsidR="00383A8F">
        <w:t xml:space="preserve">while </w:t>
      </w:r>
      <w:r w:rsidR="00491144">
        <w:t xml:space="preserve">upholding transparency and accountability. </w:t>
      </w:r>
    </w:p>
    <w:p w14:paraId="75B92322" w14:textId="5DC6FB67" w:rsidR="00086A84" w:rsidRDefault="00086A84" w:rsidP="00086A84">
      <w:pPr>
        <w:pStyle w:val="Heading4"/>
        <w:spacing w:before="240"/>
      </w:pPr>
      <w:bookmarkStart w:id="31" w:name="_Hlk235688220"/>
      <w:bookmarkEnd w:id="30"/>
      <w:r>
        <w:t xml:space="preserve">Learning </w:t>
      </w:r>
    </w:p>
    <w:p w14:paraId="6B6F9C89" w14:textId="49F6E7FA" w:rsidR="00F90C47" w:rsidRDefault="00F90C47" w:rsidP="00F90C47">
      <w:pPr>
        <w:pStyle w:val="BodyText"/>
      </w:pPr>
      <w:r w:rsidRPr="001F5431">
        <w:rPr>
          <w:rFonts w:eastAsia="Calibri" w:cs="Times New Roman"/>
        </w:rPr>
        <w:t>In 202</w:t>
      </w:r>
      <w:r w:rsidR="005928D6">
        <w:rPr>
          <w:rFonts w:eastAsia="Calibri" w:cs="Times New Roman"/>
        </w:rPr>
        <w:t>5</w:t>
      </w:r>
      <w:r w:rsidRPr="001F5431">
        <w:rPr>
          <w:rFonts w:eastAsia="Calibri" w:cs="Times New Roman"/>
        </w:rPr>
        <w:t>/2</w:t>
      </w:r>
      <w:r w:rsidR="005928D6">
        <w:rPr>
          <w:rFonts w:eastAsia="Calibri" w:cs="Times New Roman"/>
        </w:rPr>
        <w:t>6</w:t>
      </w:r>
      <w:r w:rsidRPr="001F5431">
        <w:rPr>
          <w:rFonts w:eastAsia="Calibri" w:cs="Times New Roman"/>
        </w:rPr>
        <w:t xml:space="preserve">, we </w:t>
      </w:r>
      <w:r w:rsidR="00164511">
        <w:rPr>
          <w:rFonts w:eastAsia="Calibri" w:cs="Times New Roman"/>
        </w:rPr>
        <w:t xml:space="preserve">exceeded our target of 30 and </w:t>
      </w:r>
      <w:r w:rsidRPr="0031591B">
        <w:rPr>
          <w:rFonts w:eastAsia="Calibri" w:cs="Times New Roman"/>
        </w:rPr>
        <w:t>provided 3</w:t>
      </w:r>
      <w:r w:rsidR="00FE1F99" w:rsidRPr="0031591B">
        <w:rPr>
          <w:rFonts w:eastAsia="Calibri" w:cs="Times New Roman"/>
        </w:rPr>
        <w:t>5</w:t>
      </w:r>
      <w:r w:rsidRPr="0031591B">
        <w:rPr>
          <w:rFonts w:eastAsia="Calibri" w:cs="Times New Roman"/>
        </w:rPr>
        <w:t xml:space="preserve"> speeches</w:t>
      </w:r>
      <w:r w:rsidRPr="00FE1F99">
        <w:rPr>
          <w:rFonts w:eastAsia="Calibri" w:cs="Times New Roman"/>
        </w:rPr>
        <w:t>, presentations</w:t>
      </w:r>
      <w:r w:rsidRPr="001F5431">
        <w:rPr>
          <w:rFonts w:eastAsia="Calibri" w:cs="Times New Roman"/>
        </w:rPr>
        <w:t xml:space="preserve"> and in-person learning sessions for public sector agencies.</w:t>
      </w:r>
      <w:r>
        <w:rPr>
          <w:rFonts w:eastAsia="Calibri" w:cs="Times New Roman"/>
        </w:rPr>
        <w:t xml:space="preserve"> We also continued to promote the learning available on our free online learning </w:t>
      </w:r>
      <w:r w:rsidRPr="005D4297">
        <w:rPr>
          <w:rFonts w:eastAsia="Calibri" w:cs="Times New Roman"/>
        </w:rPr>
        <w:t xml:space="preserve">platform, </w:t>
      </w:r>
      <w:proofErr w:type="spellStart"/>
      <w:r w:rsidRPr="005D4297">
        <w:rPr>
          <w:rFonts w:eastAsia="Calibri" w:cs="Times New Roman"/>
        </w:rPr>
        <w:t>T</w:t>
      </w:r>
      <w:hyperlink r:id="rId18" w:history="1">
        <w:r w:rsidRPr="005D4297">
          <w:t>e</w:t>
        </w:r>
        <w:proofErr w:type="spellEnd"/>
        <w:r w:rsidRPr="005D4297">
          <w:t xml:space="preserve"> Puna </w:t>
        </w:r>
        <w:proofErr w:type="spellStart"/>
        <w:r w:rsidRPr="005D4297">
          <w:t>Mātauranga</w:t>
        </w:r>
        <w:proofErr w:type="spellEnd"/>
      </w:hyperlink>
      <w:r w:rsidRPr="005D4297">
        <w:rPr>
          <w:rFonts w:eastAsia="Calibri" w:cs="Times New Roman"/>
        </w:rPr>
        <w:t xml:space="preserve">. </w:t>
      </w:r>
      <w:bookmarkStart w:id="32" w:name="_Hlk236392617"/>
      <w:r w:rsidRPr="005D4297">
        <w:t xml:space="preserve">This year we had </w:t>
      </w:r>
      <w:r w:rsidR="005D4297" w:rsidRPr="005D4297">
        <w:t>319</w:t>
      </w:r>
      <w:r w:rsidRPr="005D4297">
        <w:t xml:space="preserve"> registered users from across </w:t>
      </w:r>
      <w:r w:rsidR="005D4297" w:rsidRPr="005D4297">
        <w:t>91</w:t>
      </w:r>
      <w:r w:rsidRPr="005D4297">
        <w:t xml:space="preserve"> different central and local </w:t>
      </w:r>
      <w:r w:rsidR="0010296B">
        <w:t xml:space="preserve">government </w:t>
      </w:r>
      <w:r w:rsidRPr="005D4297">
        <w:t>agencies</w:t>
      </w:r>
      <w:r w:rsidR="00CB7CBA" w:rsidRPr="005D4297">
        <w:t xml:space="preserve">, and </w:t>
      </w:r>
      <w:r w:rsidR="005D4297" w:rsidRPr="005D4297">
        <w:t>191</w:t>
      </w:r>
      <w:r w:rsidR="00CB7CBA" w:rsidRPr="005D4297">
        <w:t xml:space="preserve"> full course completions and </w:t>
      </w:r>
      <w:r w:rsidR="005D4297" w:rsidRPr="005D4297">
        <w:t>1,516</w:t>
      </w:r>
      <w:r w:rsidR="00CB7CBA" w:rsidRPr="005D4297">
        <w:t xml:space="preserve"> module completions</w:t>
      </w:r>
      <w:r w:rsidR="00497EAD">
        <w:t>.</w:t>
      </w:r>
      <w:r w:rsidR="00164511">
        <w:t xml:space="preserve"> This is slightly down from last year when we had 278 full course completions and 2,290 module completions. </w:t>
      </w:r>
      <w:r w:rsidR="00497EAD">
        <w:t xml:space="preserve"> </w:t>
      </w:r>
      <w:bookmarkEnd w:id="32"/>
    </w:p>
    <w:p w14:paraId="15E20C82" w14:textId="3CE3B0B5" w:rsidR="00F90C47" w:rsidRDefault="00F90C47" w:rsidP="00F90C47">
      <w:pPr>
        <w:pStyle w:val="BodyText"/>
      </w:pPr>
      <w:r>
        <w:t xml:space="preserve">We expanded our </w:t>
      </w:r>
      <w:r w:rsidR="00CB7CBA">
        <w:t>course offering this year</w:t>
      </w:r>
      <w:r w:rsidR="00497DD7">
        <w:t xml:space="preserve"> with </w:t>
      </w:r>
      <w:r w:rsidR="003B6DD9">
        <w:t>four</w:t>
      </w:r>
      <w:r w:rsidR="00497DD7">
        <w:t xml:space="preserve"> new courses. Our course offering now includes: </w:t>
      </w:r>
    </w:p>
    <w:p w14:paraId="538CC086" w14:textId="1AF22E08" w:rsidR="009F7F38" w:rsidRPr="003B6DD9" w:rsidRDefault="009F7F38" w:rsidP="009F7F38">
      <w:pPr>
        <w:pStyle w:val="Bullet1"/>
        <w:tabs>
          <w:tab w:val="clear" w:pos="567"/>
        </w:tabs>
      </w:pPr>
      <w:r w:rsidRPr="003B6DD9">
        <w:t xml:space="preserve">OIA for ministers and central government agencies (8 modules); </w:t>
      </w:r>
    </w:p>
    <w:p w14:paraId="59C2BFAD" w14:textId="57DCA06D" w:rsidR="009F7F38" w:rsidRPr="003B6DD9" w:rsidRDefault="009F7F38" w:rsidP="009F7F38">
      <w:pPr>
        <w:pStyle w:val="Bullet1"/>
        <w:tabs>
          <w:tab w:val="clear" w:pos="567"/>
        </w:tabs>
      </w:pPr>
      <w:r w:rsidRPr="003B6DD9">
        <w:t xml:space="preserve">LGOIMA for local government agencies (8 modules); </w:t>
      </w:r>
    </w:p>
    <w:p w14:paraId="7188D6A1" w14:textId="2BAC61AB" w:rsidR="009F7F38" w:rsidRPr="003B6DD9" w:rsidRDefault="003B6DD9" w:rsidP="009F7F38">
      <w:pPr>
        <w:pStyle w:val="Bullet1"/>
        <w:tabs>
          <w:tab w:val="clear" w:pos="567"/>
        </w:tabs>
      </w:pPr>
      <w:r w:rsidRPr="003B6DD9">
        <w:t>M</w:t>
      </w:r>
      <w:r w:rsidR="009F7F38" w:rsidRPr="003B6DD9">
        <w:t>anaging unreasonable complainant conduct (4 modules and a facilitated workshop);</w:t>
      </w:r>
    </w:p>
    <w:p w14:paraId="4283DDE1" w14:textId="15891280" w:rsidR="009F7F38" w:rsidRDefault="009F7F38" w:rsidP="009F7F38">
      <w:pPr>
        <w:pStyle w:val="Bullet1"/>
        <w:tabs>
          <w:tab w:val="clear" w:pos="567"/>
        </w:tabs>
      </w:pPr>
      <w:r w:rsidRPr="003B6DD9">
        <w:t>Conclusive withholding grounds (one module)</w:t>
      </w:r>
      <w:r w:rsidR="00F906B3">
        <w:t xml:space="preserve"> (new)</w:t>
      </w:r>
      <w:r w:rsidRPr="003B6DD9">
        <w:t xml:space="preserve">; </w:t>
      </w:r>
    </w:p>
    <w:p w14:paraId="0DE8197B" w14:textId="0A33A025" w:rsidR="003B6DD9" w:rsidRPr="003B6DD9" w:rsidRDefault="003B6DD9" w:rsidP="009F7F38">
      <w:pPr>
        <w:pStyle w:val="Bullet1"/>
        <w:tabs>
          <w:tab w:val="clear" w:pos="567"/>
        </w:tabs>
      </w:pPr>
      <w:r>
        <w:t>Administrative refusal grounds (7 modules)</w:t>
      </w:r>
      <w:r w:rsidR="00F906B3">
        <w:t xml:space="preserve"> (new)</w:t>
      </w:r>
      <w:r>
        <w:t xml:space="preserve">; </w:t>
      </w:r>
    </w:p>
    <w:p w14:paraId="772DA393" w14:textId="63303D0D" w:rsidR="007E7C31" w:rsidRDefault="009F7F38" w:rsidP="007E7C31">
      <w:pPr>
        <w:pStyle w:val="Bullet1"/>
        <w:tabs>
          <w:tab w:val="clear" w:pos="567"/>
        </w:tabs>
      </w:pPr>
      <w:r w:rsidRPr="003B6DD9">
        <w:t>The OIA for school board</w:t>
      </w:r>
      <w:r w:rsidR="00B536D9">
        <w:t>s</w:t>
      </w:r>
      <w:r w:rsidR="003B6DD9">
        <w:t xml:space="preserve"> (1 module)</w:t>
      </w:r>
      <w:r w:rsidR="00F906B3">
        <w:t xml:space="preserve"> (new)</w:t>
      </w:r>
      <w:r w:rsidR="003B6DD9">
        <w:t xml:space="preserve">; and </w:t>
      </w:r>
    </w:p>
    <w:p w14:paraId="5208E40C" w14:textId="3F1660F3" w:rsidR="003B6DD9" w:rsidRPr="003B6DD9" w:rsidRDefault="003B6DD9" w:rsidP="007E7C31">
      <w:pPr>
        <w:pStyle w:val="Bullet1"/>
        <w:tabs>
          <w:tab w:val="clear" w:pos="567"/>
        </w:tabs>
      </w:pPr>
      <w:r>
        <w:t>The OIA for care or custody providers (1 module)</w:t>
      </w:r>
      <w:r w:rsidR="00F906B3">
        <w:t xml:space="preserve"> (new)</w:t>
      </w:r>
      <w:r>
        <w:t xml:space="preserve">. </w:t>
      </w:r>
    </w:p>
    <w:bookmarkEnd w:id="31"/>
    <w:p w14:paraId="77976CCC" w14:textId="44EDA970" w:rsidR="00086A84" w:rsidRDefault="00086A84" w:rsidP="00086A84">
      <w:pPr>
        <w:pStyle w:val="Heading4"/>
        <w:spacing w:before="240"/>
      </w:pPr>
      <w:r>
        <w:t xml:space="preserve">Guidance materials </w:t>
      </w:r>
    </w:p>
    <w:p w14:paraId="5B6FC217" w14:textId="77777777" w:rsidR="00AD7BD4" w:rsidRDefault="00136F4F" w:rsidP="00136F4F">
      <w:pPr>
        <w:pStyle w:val="BodyText"/>
        <w:rPr>
          <w:rFonts w:eastAsia="Calibri" w:cs="Times New Roman"/>
        </w:rPr>
      </w:pPr>
      <w:r>
        <w:t xml:space="preserve">We publish </w:t>
      </w:r>
      <w:r w:rsidR="00E52973">
        <w:t xml:space="preserve">guidance for public sector agencies. Each year we undertake a needs-based assessment to </w:t>
      </w:r>
      <w:r w:rsidR="00E52973" w:rsidRPr="001F5431">
        <w:rPr>
          <w:rFonts w:eastAsia="Calibri" w:cs="Times New Roman"/>
        </w:rPr>
        <w:t>prioritise which new topics are most relevant or would be the most useful to give effect to public sector capability improvement. We also regularly revise and update existing guidance to ensure it remains relevant and reflects new developments</w:t>
      </w:r>
      <w:r w:rsidR="00E52973">
        <w:rPr>
          <w:rFonts w:eastAsia="Calibri" w:cs="Times New Roman"/>
        </w:rPr>
        <w:t xml:space="preserve">. </w:t>
      </w:r>
    </w:p>
    <w:p w14:paraId="06077D2A" w14:textId="3CDD7558" w:rsidR="00AD7BD4" w:rsidRPr="00AD7BD4" w:rsidRDefault="00AD7BD4" w:rsidP="00136F4F">
      <w:pPr>
        <w:pStyle w:val="BodyText"/>
      </w:pPr>
      <w:r>
        <w:rPr>
          <w:rFonts w:eastAsia="Calibri" w:cs="Times New Roman"/>
        </w:rPr>
        <w:t xml:space="preserve">Alongside our guidance we also publish case notes and opinions which help public sector agencies better understand our jurisdiction </w:t>
      </w:r>
      <w:r w:rsidR="00F906B3">
        <w:rPr>
          <w:rFonts w:eastAsia="Calibri" w:cs="Times New Roman"/>
        </w:rPr>
        <w:t>and</w:t>
      </w:r>
      <w:r>
        <w:rPr>
          <w:rFonts w:eastAsia="Calibri" w:cs="Times New Roman"/>
        </w:rPr>
        <w:t xml:space="preserve"> to effectively handle complaints and requests for information</w:t>
      </w:r>
      <w:r w:rsidR="00497EAD">
        <w:rPr>
          <w:rFonts w:eastAsia="Calibri" w:cs="Times New Roman"/>
        </w:rPr>
        <w:t xml:space="preserve">. </w:t>
      </w:r>
      <w:r>
        <w:rPr>
          <w:rFonts w:eastAsia="Calibri" w:cs="Times New Roman"/>
        </w:rPr>
        <w:t>In fact</w:t>
      </w:r>
      <w:r w:rsidRPr="001515BE">
        <w:rPr>
          <w:rFonts w:eastAsia="Calibri" w:cs="Times New Roman"/>
        </w:rPr>
        <w:t xml:space="preserve">, </w:t>
      </w:r>
      <w:r w:rsidR="001515BE" w:rsidRPr="001515BE">
        <w:t>82</w:t>
      </w:r>
      <w:r w:rsidRPr="001515BE">
        <w:t xml:space="preserve"> percent</w:t>
      </w:r>
      <w:r>
        <w:t xml:space="preserve"> of </w:t>
      </w:r>
      <w:r w:rsidRPr="001F5431">
        <w:rPr>
          <w:rFonts w:eastAsia="Calibri" w:cs="Times New Roman"/>
        </w:rPr>
        <w:t>public sector agencies surveyed reported that our information resources assist them in their work.</w:t>
      </w:r>
    </w:p>
    <w:p w14:paraId="037DE53F" w14:textId="326553AC" w:rsidR="00136F4F" w:rsidRDefault="00002386" w:rsidP="00136F4F">
      <w:pPr>
        <w:pStyle w:val="BodyText"/>
        <w:rPr>
          <w:rFonts w:eastAsia="Calibri" w:cs="Times New Roman"/>
        </w:rPr>
      </w:pPr>
      <w:r>
        <w:rPr>
          <w:rFonts w:eastAsia="Calibri" w:cs="Times New Roman"/>
        </w:rPr>
        <w:t xml:space="preserve">We </w:t>
      </w:r>
      <w:r w:rsidRPr="0031591B">
        <w:rPr>
          <w:rFonts w:eastAsia="Calibri" w:cs="Times New Roman"/>
        </w:rPr>
        <w:t>published 31 new</w:t>
      </w:r>
      <w:r>
        <w:rPr>
          <w:rFonts w:eastAsia="Calibri" w:cs="Times New Roman"/>
        </w:rPr>
        <w:t xml:space="preserve"> or updated guidance materials this year</w:t>
      </w:r>
      <w:r w:rsidR="00164511">
        <w:rPr>
          <w:rFonts w:eastAsia="Calibri" w:cs="Times New Roman"/>
        </w:rPr>
        <w:t>, meeting our target of 30</w:t>
      </w:r>
      <w:r>
        <w:rPr>
          <w:rFonts w:eastAsia="Calibri" w:cs="Times New Roman"/>
        </w:rPr>
        <w:t xml:space="preserve">. </w:t>
      </w:r>
      <w:r w:rsidR="00D45396">
        <w:rPr>
          <w:rFonts w:eastAsia="Calibri" w:cs="Times New Roman"/>
        </w:rPr>
        <w:t xml:space="preserve">Some of our new guidance </w:t>
      </w:r>
      <w:r w:rsidR="00C5424D">
        <w:rPr>
          <w:rFonts w:eastAsia="Calibri" w:cs="Times New Roman"/>
        </w:rPr>
        <w:t xml:space="preserve">and case notes </w:t>
      </w:r>
      <w:r w:rsidR="00D45396">
        <w:rPr>
          <w:rFonts w:eastAsia="Calibri" w:cs="Times New Roman"/>
        </w:rPr>
        <w:t xml:space="preserve">this year included: </w:t>
      </w:r>
    </w:p>
    <w:p w14:paraId="6008D319" w14:textId="77777777" w:rsidR="00C5424D" w:rsidRDefault="00C5424D" w:rsidP="00D45396">
      <w:pPr>
        <w:pStyle w:val="Bullet1"/>
      </w:pPr>
      <w:hyperlink r:id="rId19" w:history="1">
        <w:r w:rsidRPr="00C5424D">
          <w:rPr>
            <w:rStyle w:val="Hyperlink"/>
          </w:rPr>
          <w:t>Complaint handling process – overview.</w:t>
        </w:r>
      </w:hyperlink>
    </w:p>
    <w:p w14:paraId="44B060FD" w14:textId="6AE236BC" w:rsidR="00D45396" w:rsidRDefault="00C5424D" w:rsidP="00D45396">
      <w:pPr>
        <w:pStyle w:val="Bullet1"/>
      </w:pPr>
      <w:hyperlink r:id="rId20" w:history="1">
        <w:r w:rsidRPr="00C5424D">
          <w:rPr>
            <w:rStyle w:val="Hyperlink"/>
          </w:rPr>
          <w:t>Care or Custody Providers and the OIA.</w:t>
        </w:r>
      </w:hyperlink>
    </w:p>
    <w:p w14:paraId="5352206B" w14:textId="720A2BF1" w:rsidR="00AD7BD4" w:rsidRPr="00AD7BD4" w:rsidRDefault="00AD7BD4" w:rsidP="00AD7BD4">
      <w:pPr>
        <w:pStyle w:val="Bullet1"/>
        <w:rPr>
          <w:b/>
          <w:bCs/>
        </w:rPr>
      </w:pPr>
      <w:hyperlink r:id="rId21" w:history="1">
        <w:r w:rsidRPr="00AD7BD4">
          <w:rPr>
            <w:rStyle w:val="Hyperlink"/>
          </w:rPr>
          <w:t>Category 3 voluntary buy-out offers for properties affected by Cyclone Gabrielle</w:t>
        </w:r>
        <w:r w:rsidRPr="00A509E6">
          <w:rPr>
            <w:rStyle w:val="Hyperlink"/>
          </w:rPr>
          <w:t>.</w:t>
        </w:r>
      </w:hyperlink>
    </w:p>
    <w:p w14:paraId="5E1639E1" w14:textId="640A5F12" w:rsidR="00C5424D" w:rsidRPr="005F52AA" w:rsidRDefault="005F52AA" w:rsidP="005F52AA">
      <w:pPr>
        <w:pStyle w:val="Bullet1"/>
        <w:rPr>
          <w:b/>
          <w:bCs/>
        </w:rPr>
      </w:pPr>
      <w:hyperlink r:id="rId22" w:history="1">
        <w:r w:rsidRPr="005F52AA">
          <w:rPr>
            <w:rStyle w:val="Hyperlink"/>
          </w:rPr>
          <w:t>Information relating to Smith v Fonterra proceedings.</w:t>
        </w:r>
      </w:hyperlink>
    </w:p>
    <w:p w14:paraId="4D60CAD0" w14:textId="5E8E83E1" w:rsidR="00E52973" w:rsidRDefault="00D45396" w:rsidP="00136F4F">
      <w:pPr>
        <w:pStyle w:val="BodyText"/>
        <w:rPr>
          <w:rFonts w:eastAsia="Calibri" w:cs="Times New Roman"/>
        </w:rPr>
      </w:pPr>
      <w:r>
        <w:rPr>
          <w:rFonts w:eastAsia="Calibri" w:cs="Times New Roman"/>
        </w:rPr>
        <w:t xml:space="preserve">You can find a complete list of our guidance </w:t>
      </w:r>
      <w:hyperlink r:id="rId23" w:history="1">
        <w:r w:rsidRPr="00D45396">
          <w:rPr>
            <w:rStyle w:val="Hyperlink"/>
            <w:rFonts w:eastAsia="Calibri" w:cs="Times New Roman"/>
          </w:rPr>
          <w:t>on our website</w:t>
        </w:r>
      </w:hyperlink>
      <w:r>
        <w:rPr>
          <w:rFonts w:eastAsia="Calibri" w:cs="Times New Roman"/>
        </w:rPr>
        <w:t xml:space="preserve">. </w:t>
      </w:r>
    </w:p>
    <w:p w14:paraId="28E7DB4F" w14:textId="77777777" w:rsidR="006F34B2" w:rsidRDefault="006F34B2" w:rsidP="00086A84">
      <w:pPr>
        <w:pStyle w:val="Heading3"/>
        <w:spacing w:after="240"/>
      </w:pPr>
      <w:bookmarkStart w:id="33" w:name="_Hlk236116543"/>
      <w:r>
        <w:t>Output 3—Ensure official information is increasingly available and not unlawfully refused</w:t>
      </w:r>
    </w:p>
    <w:bookmarkEnd w:id="33"/>
    <w:p w14:paraId="349A2B84" w14:textId="2344A4E0" w:rsidR="00B162C8" w:rsidRDefault="00C77E38" w:rsidP="00B162C8">
      <w:pPr>
        <w:pStyle w:val="BodyText"/>
        <w:keepNext/>
        <w:keepLines/>
      </w:pPr>
      <w:r w:rsidRPr="00EF6984">
        <w:t xml:space="preserve">The OIA and LGOIMA enable the public to request official information held by Ministers of the Crown and public sector agencies. Making official information increasingly </w:t>
      </w:r>
      <w:r w:rsidR="00182D5F" w:rsidRPr="00EF6984">
        <w:t>available and</w:t>
      </w:r>
      <w:r w:rsidRPr="00EF6984">
        <w:t xml:space="preserve"> assuring the public that access is not denied unnecessarily, leads to greater </w:t>
      </w:r>
      <w:r w:rsidRPr="00185577">
        <w:t>transparency and accountability within the public sector, and facilitates public participation in the making and administration of laws and policies.</w:t>
      </w:r>
      <w:r w:rsidRPr="00EF6984">
        <w:t xml:space="preserve"> </w:t>
      </w:r>
    </w:p>
    <w:p w14:paraId="5DCCE517" w14:textId="54CD05BB" w:rsidR="00185577" w:rsidRDefault="00B162C8" w:rsidP="00B162C8">
      <w:pPr>
        <w:pStyle w:val="BodyText"/>
        <w:keepNext/>
        <w:keepLines/>
      </w:pPr>
      <w:r w:rsidRPr="00937D4F">
        <w:t>Under both Acts, we investigate and review complaints about acts and decisions of public sector agencies on official information requests. We also monitor agencies</w:t>
      </w:r>
      <w:r>
        <w:t>’</w:t>
      </w:r>
      <w:r w:rsidRPr="00937D4F">
        <w:t xml:space="preserve"> official information practices, resources, and systems</w:t>
      </w:r>
      <w:r w:rsidR="006E3730">
        <w:t>,</w:t>
      </w:r>
      <w:r w:rsidRPr="00937D4F">
        <w:t xml:space="preserve"> </w:t>
      </w:r>
      <w:r>
        <w:t>and p</w:t>
      </w:r>
      <w:r w:rsidR="00185577">
        <w:t>rovid</w:t>
      </w:r>
      <w:r>
        <w:t>e</w:t>
      </w:r>
      <w:r w:rsidR="00185577">
        <w:t xml:space="preserve"> advice to agencies and support them to resolve complaints</w:t>
      </w:r>
      <w:r>
        <w:t xml:space="preserve">. </w:t>
      </w:r>
    </w:p>
    <w:p w14:paraId="1BCA4066" w14:textId="71524835" w:rsidR="00B316B0" w:rsidRDefault="00B162C8" w:rsidP="00B162C8">
      <w:pPr>
        <w:pStyle w:val="BodyText"/>
        <w:keepNext/>
        <w:keepLines/>
      </w:pPr>
      <w:r>
        <w:t>This year we have been focused on resolving complaints earl</w:t>
      </w:r>
      <w:r w:rsidR="00257960">
        <w:t>ier</w:t>
      </w:r>
      <w:r w:rsidR="00B04339">
        <w:t>, ensuring people get the information they are entitled to sooner, and allowing agencies to more effectively and efficiently manage complaints</w:t>
      </w:r>
      <w:r w:rsidR="00257960">
        <w:t xml:space="preserve">. To do this we have changed our practices and implemented pilot programmes. </w:t>
      </w:r>
    </w:p>
    <w:p w14:paraId="03CD292F" w14:textId="77777777" w:rsidR="00B536D9" w:rsidRDefault="00B536D9" w:rsidP="00B536D9">
      <w:pPr>
        <w:pStyle w:val="Whitespace"/>
      </w:pPr>
    </w:p>
    <w:tbl>
      <w:tblPr>
        <w:tblStyle w:val="TableBox"/>
        <w:tblW w:w="9297" w:type="dxa"/>
        <w:shd w:val="clear" w:color="auto" w:fill="E9E9E9"/>
        <w:tblLayout w:type="fixed"/>
        <w:tblCellMar>
          <w:bottom w:w="0" w:type="dxa"/>
        </w:tblCellMar>
        <w:tblLook w:val="04A0" w:firstRow="1" w:lastRow="0" w:firstColumn="1" w:lastColumn="0" w:noHBand="0" w:noVBand="1"/>
        <w:tblCaption w:val="Box to emphasise text"/>
      </w:tblPr>
      <w:tblGrid>
        <w:gridCol w:w="9297"/>
      </w:tblGrid>
      <w:tr w:rsidR="00185577" w14:paraId="146400B4" w14:textId="77777777" w:rsidTr="00F16CE1">
        <w:tc>
          <w:tcPr>
            <w:tcW w:w="9309" w:type="dxa"/>
            <w:shd w:val="clear" w:color="auto" w:fill="E9E9E9"/>
          </w:tcPr>
          <w:p w14:paraId="209AC97B" w14:textId="0DA13E35" w:rsidR="002F234C" w:rsidRPr="002813D8" w:rsidRDefault="00185577" w:rsidP="00EB6337">
            <w:pPr>
              <w:pStyle w:val="Headingboxtexttop"/>
              <w:tabs>
                <w:tab w:val="num" w:pos="567"/>
              </w:tabs>
              <w:rPr>
                <w:color w:val="017E5D"/>
              </w:rPr>
            </w:pPr>
            <w:bookmarkStart w:id="34" w:name="_Hlk237525851"/>
            <w:r w:rsidRPr="002813D8">
              <w:rPr>
                <w:color w:val="017E5D"/>
              </w:rPr>
              <w:t xml:space="preserve">Official Information </w:t>
            </w:r>
            <w:r w:rsidR="00B536D9">
              <w:rPr>
                <w:color w:val="017E5D"/>
              </w:rPr>
              <w:t xml:space="preserve">Team </w:t>
            </w:r>
            <w:r w:rsidRPr="002813D8">
              <w:rPr>
                <w:color w:val="017E5D"/>
              </w:rPr>
              <w:t xml:space="preserve">Pilot </w:t>
            </w:r>
          </w:p>
          <w:p w14:paraId="6900FAE9" w14:textId="08CDDED7" w:rsidR="00591B83" w:rsidRPr="00182D5F" w:rsidRDefault="00EB6337" w:rsidP="00182D5F">
            <w:pPr>
              <w:rPr>
                <w:rFonts w:cs="Calibri"/>
                <w:szCs w:val="24"/>
              </w:rPr>
            </w:pPr>
            <w:r w:rsidRPr="006F499A">
              <w:rPr>
                <w:szCs w:val="24"/>
              </w:rPr>
              <w:t xml:space="preserve">In </w:t>
            </w:r>
            <w:r w:rsidR="003B1D75" w:rsidRPr="006F499A">
              <w:rPr>
                <w:szCs w:val="24"/>
              </w:rPr>
              <w:t>April</w:t>
            </w:r>
            <w:r w:rsidRPr="006F499A">
              <w:rPr>
                <w:szCs w:val="24"/>
              </w:rPr>
              <w:t xml:space="preserve"> 2025 we commenced a pilot where we had a dedicated official information team whose goal was to complete all types of OIA and LGOIMA cases within 100 days of being received. </w:t>
            </w:r>
            <w:r w:rsidR="00F80A03" w:rsidRPr="006F499A">
              <w:rPr>
                <w:szCs w:val="24"/>
              </w:rPr>
              <w:t xml:space="preserve">The </w:t>
            </w:r>
            <w:r w:rsidR="00182D5F">
              <w:rPr>
                <w:szCs w:val="24"/>
              </w:rPr>
              <w:t>pilot continued over 2025/26 and</w:t>
            </w:r>
            <w:r w:rsidR="00F80A03" w:rsidRPr="006F499A">
              <w:rPr>
                <w:szCs w:val="24"/>
              </w:rPr>
              <w:t xml:space="preserve"> demonstrates our commitment to </w:t>
            </w:r>
            <w:r w:rsidR="00F80A03" w:rsidRPr="00182D5F">
              <w:rPr>
                <w:rFonts w:cs="Calibri"/>
                <w:szCs w:val="24"/>
              </w:rPr>
              <w:t xml:space="preserve">continuous improvement and adopting innovative ways to do our work more efficiently and effectively. </w:t>
            </w:r>
          </w:p>
          <w:p w14:paraId="5EF71103" w14:textId="615A00D9" w:rsidR="0002001F" w:rsidRPr="006F499A" w:rsidRDefault="003B1D75" w:rsidP="00182D5F">
            <w:pPr>
              <w:rPr>
                <w:szCs w:val="24"/>
              </w:rPr>
            </w:pPr>
            <w:r w:rsidRPr="00182D5F">
              <w:rPr>
                <w:rFonts w:cs="Calibri"/>
                <w:szCs w:val="24"/>
              </w:rPr>
              <w:t xml:space="preserve">The </w:t>
            </w:r>
            <w:r w:rsidR="0002001F" w:rsidRPr="00182D5F">
              <w:rPr>
                <w:rFonts w:cs="Calibri"/>
                <w:szCs w:val="24"/>
              </w:rPr>
              <w:t>p</w:t>
            </w:r>
            <w:r w:rsidR="009C2EE0" w:rsidRPr="00182D5F">
              <w:rPr>
                <w:rFonts w:cs="Calibri"/>
                <w:szCs w:val="24"/>
              </w:rPr>
              <w:t>ilot has demonstrated positive results</w:t>
            </w:r>
            <w:r w:rsidR="00497EAD" w:rsidRPr="00182D5F">
              <w:rPr>
                <w:rFonts w:cs="Calibri"/>
                <w:szCs w:val="24"/>
              </w:rPr>
              <w:t xml:space="preserve">. </w:t>
            </w:r>
            <w:r w:rsidR="00CA2E13" w:rsidRPr="00182D5F">
              <w:rPr>
                <w:rFonts w:cs="Calibri"/>
                <w:szCs w:val="24"/>
              </w:rPr>
              <w:t>We can see this when we look</w:t>
            </w:r>
            <w:r w:rsidR="00226A20" w:rsidRPr="00182D5F">
              <w:rPr>
                <w:rFonts w:cs="Calibri"/>
                <w:szCs w:val="24"/>
              </w:rPr>
              <w:t xml:space="preserve"> at</w:t>
            </w:r>
            <w:r w:rsidR="00CA2E13" w:rsidRPr="00182D5F">
              <w:rPr>
                <w:rFonts w:cs="Calibri"/>
                <w:szCs w:val="24"/>
              </w:rPr>
              <w:t xml:space="preserve"> non-delay official information</w:t>
            </w:r>
            <w:r w:rsidR="00CA2E13">
              <w:rPr>
                <w:szCs w:val="24"/>
              </w:rPr>
              <w:t xml:space="preserve"> complaints and the percent</w:t>
            </w:r>
            <w:r w:rsidR="00182D5F">
              <w:rPr>
                <w:szCs w:val="24"/>
              </w:rPr>
              <w:t>age</w:t>
            </w:r>
            <w:r w:rsidR="0002001F" w:rsidRPr="006F499A">
              <w:rPr>
                <w:szCs w:val="24"/>
              </w:rPr>
              <w:t xml:space="preserve"> of complaints completed within 3 months of receipt</w:t>
            </w:r>
            <w:r w:rsidR="0040205D">
              <w:rPr>
                <w:szCs w:val="24"/>
              </w:rPr>
              <w:t xml:space="preserve">, which has increased to 77 percent. </w:t>
            </w:r>
          </w:p>
          <w:p w14:paraId="65ABD7B9" w14:textId="0CD6597F" w:rsidR="006F499A" w:rsidRPr="006F499A" w:rsidRDefault="0040205D" w:rsidP="006F499A">
            <w:pPr>
              <w:rPr>
                <w:rFonts w:cs="Calibri"/>
                <w:szCs w:val="24"/>
              </w:rPr>
            </w:pPr>
            <w:r>
              <w:rPr>
                <w:rFonts w:cs="Calibri"/>
                <w:szCs w:val="24"/>
              </w:rPr>
              <w:t>There has been</w:t>
            </w:r>
            <w:r w:rsidR="006F499A" w:rsidRPr="006F499A">
              <w:rPr>
                <w:rFonts w:cs="Calibri"/>
                <w:szCs w:val="24"/>
              </w:rPr>
              <w:t xml:space="preserve"> a sustained effort to improve timeliness across the board. This has been achieved through improved real-time data reporting, flexible deployment of staff, and prioritising resolution-focused and proportionate approaches</w:t>
            </w:r>
            <w:r w:rsidR="00497EAD">
              <w:rPr>
                <w:rFonts w:cs="Calibri"/>
                <w:szCs w:val="24"/>
              </w:rPr>
              <w:t xml:space="preserve">. </w:t>
            </w:r>
            <w:r w:rsidR="006F499A" w:rsidRPr="006F499A">
              <w:rPr>
                <w:rFonts w:cs="Calibri"/>
                <w:szCs w:val="24"/>
              </w:rPr>
              <w:t>The pilot has also reaped the benefit of these organisation wide changes</w:t>
            </w:r>
            <w:r w:rsidR="00D861CD">
              <w:rPr>
                <w:rFonts w:cs="Calibri"/>
                <w:szCs w:val="24"/>
              </w:rPr>
              <w:t>.</w:t>
            </w:r>
            <w:r w:rsidR="00497EAD">
              <w:rPr>
                <w:rFonts w:cs="Calibri"/>
                <w:szCs w:val="24"/>
              </w:rPr>
              <w:t xml:space="preserve"> </w:t>
            </w:r>
          </w:p>
          <w:p w14:paraId="1FD047ED" w14:textId="7BD6A94F" w:rsidR="00F80A03" w:rsidRPr="00FB6B19" w:rsidRDefault="006F499A" w:rsidP="006F499A">
            <w:pPr>
              <w:rPr>
                <w:sz w:val="22"/>
              </w:rPr>
            </w:pPr>
            <w:r w:rsidRPr="006F499A">
              <w:rPr>
                <w:rFonts w:cs="Calibri"/>
                <w:szCs w:val="24"/>
              </w:rPr>
              <w:t>The insights from the pilot have been shared across the Office and we expect to see continued improved timeliness in our OI complaint handling as a result. Further, the pilot identified other opportunities for practice improvement which are under action</w:t>
            </w:r>
            <w:r w:rsidR="00497EAD">
              <w:rPr>
                <w:rFonts w:cs="Calibri"/>
                <w:szCs w:val="24"/>
              </w:rPr>
              <w:t xml:space="preserve">. </w:t>
            </w:r>
          </w:p>
        </w:tc>
      </w:tr>
    </w:tbl>
    <w:bookmarkEnd w:id="34"/>
    <w:p w14:paraId="34B64915" w14:textId="0DF5B67D" w:rsidR="00086A84" w:rsidRDefault="00086A84" w:rsidP="00C77E38">
      <w:pPr>
        <w:pStyle w:val="Heading4"/>
        <w:spacing w:before="240" w:after="240"/>
      </w:pPr>
      <w:r>
        <w:t xml:space="preserve">Enquiries </w:t>
      </w:r>
      <w:r w:rsidR="006C14A1">
        <w:t xml:space="preserve">and complaints data </w:t>
      </w:r>
    </w:p>
    <w:p w14:paraId="51CFC7F3" w14:textId="1D61BFBD" w:rsidR="00C77E38" w:rsidRDefault="00C77E38" w:rsidP="00C77E38">
      <w:pPr>
        <w:pStyle w:val="Heading5"/>
        <w:spacing w:before="240"/>
      </w:pPr>
      <w:r>
        <w:t xml:space="preserve">Enquiries </w:t>
      </w:r>
    </w:p>
    <w:p w14:paraId="14C7498D" w14:textId="3E234A0F" w:rsidR="00DF1708" w:rsidRPr="00E9536C" w:rsidRDefault="00DF1708" w:rsidP="00DF1708">
      <w:pPr>
        <w:pStyle w:val="BodyText"/>
      </w:pPr>
      <w:r w:rsidRPr="00E9536C">
        <w:t xml:space="preserve">We receive enquiries from members of the public prior to a complaint being made. We typically treat matters as formal </w:t>
      </w:r>
      <w:r w:rsidR="00C20A8C">
        <w:rPr>
          <w:i/>
          <w:iCs/>
        </w:rPr>
        <w:t>‘</w:t>
      </w:r>
      <w:r w:rsidRPr="00E9536C">
        <w:rPr>
          <w:rStyle w:val="Quotationwithinthesentence"/>
        </w:rPr>
        <w:t>complaints</w:t>
      </w:r>
      <w:r w:rsidR="00C20A8C">
        <w:rPr>
          <w:rStyle w:val="Quotationwithinthesentence"/>
        </w:rPr>
        <w:t>’</w:t>
      </w:r>
      <w:r w:rsidRPr="00E9536C">
        <w:t xml:space="preserve"> once they have been put in writing.</w:t>
      </w:r>
      <w:r w:rsidRPr="00E9536C">
        <w:rPr>
          <w:rStyle w:val="FootnoteReference"/>
        </w:rPr>
        <w:footnoteReference w:id="11"/>
      </w:r>
      <w:r w:rsidRPr="00E9536C">
        <w:t xml:space="preserve">  We define these initial enquir</w:t>
      </w:r>
      <w:r w:rsidR="00866275">
        <w:t>i</w:t>
      </w:r>
      <w:r w:rsidRPr="00E9536C">
        <w:t xml:space="preserve">es and phone calls as </w:t>
      </w:r>
      <w:r w:rsidRPr="00E9536C">
        <w:rPr>
          <w:rStyle w:val="Quotationwithinthesentence"/>
        </w:rPr>
        <w:t xml:space="preserve">‘other contacts’ </w:t>
      </w:r>
      <w:r w:rsidRPr="00E9536C">
        <w:t xml:space="preserve">and we respond to them with advice and assistance. </w:t>
      </w:r>
    </w:p>
    <w:p w14:paraId="014E6190" w14:textId="77777777" w:rsidR="00DF1708" w:rsidRPr="00E9536C" w:rsidRDefault="00DF1708" w:rsidP="00DF1708">
      <w:pPr>
        <w:pStyle w:val="BodyText"/>
      </w:pPr>
      <w:r w:rsidRPr="00E9536C">
        <w:t xml:space="preserve">Enquiries about official information generally relate to a member of the public seeking clarification about an agency’s obligations under the OIA or LGOIMA. </w:t>
      </w:r>
    </w:p>
    <w:p w14:paraId="78CABD26" w14:textId="06834C2B" w:rsidR="00DF1708" w:rsidRPr="00DF1708" w:rsidRDefault="00DF1708" w:rsidP="00DF1708">
      <w:pPr>
        <w:pStyle w:val="BodyText"/>
      </w:pPr>
      <w:r w:rsidRPr="00094D23">
        <w:t>In 2025/26 we received</w:t>
      </w:r>
      <w:r w:rsidR="00094D23">
        <w:t xml:space="preserve"> and responded to</w:t>
      </w:r>
      <w:r w:rsidRPr="00094D23">
        <w:t xml:space="preserve"> </w:t>
      </w:r>
      <w:r w:rsidR="00094D23">
        <w:t>446</w:t>
      </w:r>
      <w:r w:rsidRPr="00094D23">
        <w:t xml:space="preserve"> </w:t>
      </w:r>
      <w:r w:rsidR="00182D5F">
        <w:t xml:space="preserve">official information </w:t>
      </w:r>
      <w:r w:rsidRPr="00094D23">
        <w:t>enquiries</w:t>
      </w:r>
      <w:r w:rsidR="006B4E52">
        <w:t xml:space="preserve">, exceeding our target </w:t>
      </w:r>
      <w:r w:rsidR="0092579E">
        <w:t>to complete</w:t>
      </w:r>
      <w:r w:rsidR="006B4E52">
        <w:t xml:space="preserve"> 350</w:t>
      </w:r>
      <w:r w:rsidRPr="00094D23">
        <w:t xml:space="preserve">. </w:t>
      </w:r>
    </w:p>
    <w:p w14:paraId="4C153B98" w14:textId="39CD6720" w:rsidR="00C77E38" w:rsidRDefault="00C77E38" w:rsidP="00C77E38">
      <w:pPr>
        <w:pStyle w:val="Heading5"/>
        <w:spacing w:before="240"/>
      </w:pPr>
      <w:r>
        <w:t xml:space="preserve">Complaints </w:t>
      </w:r>
    </w:p>
    <w:p w14:paraId="38E59B64" w14:textId="54103D7A" w:rsidR="00400942" w:rsidRDefault="00257960" w:rsidP="00DF1708">
      <w:pPr>
        <w:pStyle w:val="BodyText"/>
      </w:pPr>
      <w:r>
        <w:t xml:space="preserve">This year we received and completed a record number of </w:t>
      </w:r>
      <w:r w:rsidR="002D6423">
        <w:t xml:space="preserve">official information </w:t>
      </w:r>
      <w:r>
        <w:t xml:space="preserve">complaints. </w:t>
      </w:r>
      <w:r w:rsidR="00400942">
        <w:t>This included:</w:t>
      </w:r>
    </w:p>
    <w:p w14:paraId="5B81A061" w14:textId="5E85D917" w:rsidR="00DF1708" w:rsidRPr="0031591B" w:rsidRDefault="002D6423" w:rsidP="00400942">
      <w:pPr>
        <w:pStyle w:val="Bullet1"/>
      </w:pPr>
      <w:r w:rsidRPr="0031591B">
        <w:t>r</w:t>
      </w:r>
      <w:r w:rsidR="00400942" w:rsidRPr="0031591B">
        <w:t>eceiv</w:t>
      </w:r>
      <w:r w:rsidR="00D5785C" w:rsidRPr="0031591B">
        <w:t>ing</w:t>
      </w:r>
      <w:r w:rsidR="00400942" w:rsidRPr="0031591B">
        <w:t xml:space="preserve"> </w:t>
      </w:r>
      <w:r w:rsidR="00094D23" w:rsidRPr="0031591B">
        <w:t>3,16</w:t>
      </w:r>
      <w:r w:rsidR="00C94EC0">
        <w:t>6</w:t>
      </w:r>
      <w:r w:rsidR="00094D23" w:rsidRPr="0031591B">
        <w:t xml:space="preserve"> complaints,</w:t>
      </w:r>
      <w:r w:rsidR="00D5785C" w:rsidRPr="0031591B">
        <w:t xml:space="preserve"> 24</w:t>
      </w:r>
      <w:r w:rsidR="00094D23" w:rsidRPr="0031591B">
        <w:t xml:space="preserve"> </w:t>
      </w:r>
      <w:r w:rsidR="00400942" w:rsidRPr="0031591B">
        <w:t xml:space="preserve">percent more than last year; and </w:t>
      </w:r>
    </w:p>
    <w:p w14:paraId="4FDB1D4B" w14:textId="4D856AF4" w:rsidR="00400942" w:rsidRDefault="002D6423" w:rsidP="00400942">
      <w:pPr>
        <w:pStyle w:val="Bullet1"/>
      </w:pPr>
      <w:r w:rsidRPr="0031591B">
        <w:t>c</w:t>
      </w:r>
      <w:r w:rsidR="00400942" w:rsidRPr="0031591B">
        <w:t xml:space="preserve">ompleting </w:t>
      </w:r>
      <w:r w:rsidR="00094D23" w:rsidRPr="0031591B">
        <w:t>3,67</w:t>
      </w:r>
      <w:r w:rsidR="00C94EC0">
        <w:t>1</w:t>
      </w:r>
      <w:r w:rsidR="00400942" w:rsidRPr="0031591B">
        <w:t xml:space="preserve"> complaints</w:t>
      </w:r>
      <w:r w:rsidR="00094D23" w:rsidRPr="0031591B">
        <w:t xml:space="preserve">, </w:t>
      </w:r>
      <w:r w:rsidR="00D5785C" w:rsidRPr="0031591B">
        <w:t>28</w:t>
      </w:r>
      <w:r w:rsidR="00094D23" w:rsidRPr="0031591B">
        <w:t xml:space="preserve"> percent</w:t>
      </w:r>
      <w:r w:rsidR="00094D23" w:rsidRPr="00094D23">
        <w:t xml:space="preserve"> more</w:t>
      </w:r>
      <w:r w:rsidR="00400942" w:rsidRPr="00094D23">
        <w:t xml:space="preserve"> than last year</w:t>
      </w:r>
      <w:r w:rsidR="006B4E52">
        <w:t>, and exceeding our target of 3,000</w:t>
      </w:r>
      <w:r w:rsidR="00400942" w:rsidRPr="00094D23">
        <w:t xml:space="preserve">. </w:t>
      </w:r>
    </w:p>
    <w:p w14:paraId="2EB500CC" w14:textId="3FA352B8" w:rsidR="00934818" w:rsidRPr="00094D23" w:rsidRDefault="00934818" w:rsidP="00934818">
      <w:pPr>
        <w:pStyle w:val="Bullet1"/>
        <w:numPr>
          <w:ilvl w:val="0"/>
          <w:numId w:val="0"/>
        </w:numPr>
        <w:ind w:left="567" w:hanging="567"/>
      </w:pPr>
      <w:r>
        <w:rPr>
          <w:noProof/>
        </w:rPr>
        <w:drawing>
          <wp:inline distT="0" distB="0" distL="0" distR="0" wp14:anchorId="77A93EB2" wp14:editId="2D3AE2F7">
            <wp:extent cx="5924550" cy="3124200"/>
            <wp:effectExtent l="0" t="0" r="0" b="0"/>
            <wp:docPr id="1116638440" name="Chart 1" descr="Graph (figure 3) showing official information complaints received and completed over 10 years. Link to table version of the graph below. ">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ACFA5E7" w14:textId="1C918FF7" w:rsidR="00AC575F" w:rsidRPr="00B70E86" w:rsidRDefault="00AC575F" w:rsidP="00C77E38">
      <w:pPr>
        <w:pStyle w:val="BodyText"/>
        <w:rPr>
          <w:rStyle w:val="Italics"/>
          <w:i w:val="0"/>
          <w:iCs/>
        </w:rPr>
      </w:pPr>
      <w:hyperlink w:anchor="_Figure_3:_Official" w:history="1">
        <w:r w:rsidRPr="00B70E86">
          <w:rPr>
            <w:rStyle w:val="Hyperlink"/>
            <w:i/>
            <w:iCs/>
          </w:rPr>
          <w:t>Figure 3: Official information (OI and LGOIMA) complaints received and completed over 10 years.</w:t>
        </w:r>
      </w:hyperlink>
      <w:r w:rsidRPr="00B70E86">
        <w:rPr>
          <w:rStyle w:val="Italics"/>
          <w:i w:val="0"/>
          <w:iCs/>
        </w:rPr>
        <w:t xml:space="preserve"> </w:t>
      </w:r>
    </w:p>
    <w:p w14:paraId="45EE4DD6" w14:textId="7822E07B" w:rsidR="009F2189" w:rsidRDefault="008A2DD6" w:rsidP="00C77E38">
      <w:pPr>
        <w:pStyle w:val="BodyText"/>
      </w:pPr>
      <w:r w:rsidRPr="00D5785C">
        <w:t>Our clearance rate for OI and LGOIMA co</w:t>
      </w:r>
      <w:r w:rsidRPr="0031591B">
        <w:t xml:space="preserve">mplaints was </w:t>
      </w:r>
      <w:r w:rsidR="00D5785C" w:rsidRPr="0031591B">
        <w:t>116</w:t>
      </w:r>
      <w:r w:rsidRPr="0031591B">
        <w:t xml:space="preserve"> percent</w:t>
      </w:r>
      <w:r w:rsidR="00BA7D03" w:rsidRPr="0031591B">
        <w:t xml:space="preserve">, </w:t>
      </w:r>
      <w:r w:rsidR="002003FA" w:rsidRPr="0031591B">
        <w:t>meaning we completed more complaints than we received</w:t>
      </w:r>
      <w:r w:rsidRPr="0031591B">
        <w:t>.</w:t>
      </w:r>
      <w:r w:rsidR="00497EAD">
        <w:t xml:space="preserve"> </w:t>
      </w:r>
      <w:r w:rsidR="006B4E52">
        <w:t xml:space="preserve">This is up from 112 percent last year reflecting our sustained efforts to complete more complaints in a </w:t>
      </w:r>
      <w:proofErr w:type="gramStart"/>
      <w:r w:rsidR="006B4E52">
        <w:t>more timely</w:t>
      </w:r>
      <w:proofErr w:type="gramEnd"/>
      <w:r w:rsidR="006B4E52">
        <w:t xml:space="preserve"> manner. </w:t>
      </w:r>
    </w:p>
    <w:p w14:paraId="2DA0E04C" w14:textId="2E6C80A4" w:rsidR="0080423A" w:rsidRDefault="009F2189" w:rsidP="00C77E38">
      <w:pPr>
        <w:pStyle w:val="BodyText"/>
      </w:pPr>
      <w:r>
        <w:t xml:space="preserve">One of the ways </w:t>
      </w:r>
      <w:r w:rsidR="00C10172">
        <w:t xml:space="preserve">we resolved complaints earlier was </w:t>
      </w:r>
      <w:r>
        <w:t>by changing our approach to delay complaints</w:t>
      </w:r>
      <w:r w:rsidR="00C10172">
        <w:t xml:space="preserve">. </w:t>
      </w:r>
    </w:p>
    <w:tbl>
      <w:tblPr>
        <w:tblStyle w:val="TableBox"/>
        <w:tblW w:w="9297" w:type="dxa"/>
        <w:shd w:val="clear" w:color="auto" w:fill="E9E9E9"/>
        <w:tblLayout w:type="fixed"/>
        <w:tblCellMar>
          <w:bottom w:w="0" w:type="dxa"/>
        </w:tblCellMar>
        <w:tblLook w:val="04A0" w:firstRow="1" w:lastRow="0" w:firstColumn="1" w:lastColumn="0" w:noHBand="0" w:noVBand="1"/>
        <w:tblCaption w:val="Box to emphasise text"/>
      </w:tblPr>
      <w:tblGrid>
        <w:gridCol w:w="9297"/>
      </w:tblGrid>
      <w:tr w:rsidR="00E1304D" w14:paraId="59B99D90" w14:textId="77777777" w:rsidTr="00F16CE1">
        <w:tc>
          <w:tcPr>
            <w:tcW w:w="9514" w:type="dxa"/>
            <w:shd w:val="clear" w:color="auto" w:fill="E9E9E9"/>
          </w:tcPr>
          <w:p w14:paraId="35DC1682" w14:textId="1520AB72" w:rsidR="00E1304D" w:rsidRPr="002813D8" w:rsidRDefault="00E1304D" w:rsidP="00E1304D">
            <w:pPr>
              <w:pStyle w:val="Headingboxtexttop"/>
              <w:tabs>
                <w:tab w:val="num" w:pos="567"/>
              </w:tabs>
              <w:rPr>
                <w:color w:val="017E5D"/>
              </w:rPr>
            </w:pPr>
            <w:bookmarkStart w:id="35" w:name="_Hlk235512851"/>
            <w:r w:rsidRPr="002813D8">
              <w:rPr>
                <w:color w:val="017E5D"/>
              </w:rPr>
              <w:t xml:space="preserve">Official information complaints resolved </w:t>
            </w:r>
            <w:r w:rsidR="00F36CCB">
              <w:rPr>
                <w:color w:val="017E5D"/>
              </w:rPr>
              <w:t>more quickly</w:t>
            </w:r>
            <w:r w:rsidRPr="002813D8">
              <w:rPr>
                <w:color w:val="017E5D"/>
              </w:rPr>
              <w:t xml:space="preserve"> with change in approach</w:t>
            </w:r>
          </w:p>
          <w:p w14:paraId="0864DA0B" w14:textId="3F679620" w:rsidR="00E1304D" w:rsidRPr="006F499A" w:rsidRDefault="00E1304D" w:rsidP="00DD1B84">
            <w:pPr>
              <w:pStyle w:val="Boxsmalltext"/>
              <w:tabs>
                <w:tab w:val="num" w:pos="567"/>
              </w:tabs>
              <w:rPr>
                <w:sz w:val="24"/>
                <w:szCs w:val="24"/>
              </w:rPr>
            </w:pPr>
            <w:r w:rsidRPr="006F499A">
              <w:rPr>
                <w:sz w:val="24"/>
                <w:szCs w:val="24"/>
              </w:rPr>
              <w:t xml:space="preserve">In July 2025 we </w:t>
            </w:r>
            <w:hyperlink r:id="rId25" w:history="1">
              <w:r w:rsidRPr="002D6423">
                <w:rPr>
                  <w:rStyle w:val="Hyperlink"/>
                  <w:sz w:val="24"/>
                  <w:szCs w:val="24"/>
                </w:rPr>
                <w:t>changed our approach</w:t>
              </w:r>
            </w:hyperlink>
            <w:r w:rsidRPr="006F499A">
              <w:rPr>
                <w:sz w:val="24"/>
                <w:szCs w:val="24"/>
              </w:rPr>
              <w:t xml:space="preserve"> to how we treated complaints about delay</w:t>
            </w:r>
            <w:r w:rsidR="002D6423">
              <w:rPr>
                <w:sz w:val="24"/>
                <w:szCs w:val="24"/>
              </w:rPr>
              <w:t xml:space="preserve">s in responding to </w:t>
            </w:r>
            <w:r w:rsidRPr="006F499A">
              <w:rPr>
                <w:sz w:val="24"/>
                <w:szCs w:val="24"/>
              </w:rPr>
              <w:t xml:space="preserve">OIA and LGOIMA </w:t>
            </w:r>
            <w:r w:rsidR="002D6423">
              <w:rPr>
                <w:sz w:val="24"/>
                <w:szCs w:val="24"/>
              </w:rPr>
              <w:t>requests</w:t>
            </w:r>
            <w:r w:rsidRPr="006F499A">
              <w:rPr>
                <w:sz w:val="24"/>
                <w:szCs w:val="24"/>
              </w:rPr>
              <w:t>. We shifted from a formal</w:t>
            </w:r>
            <w:r w:rsidR="002D6423">
              <w:rPr>
                <w:sz w:val="24"/>
                <w:szCs w:val="24"/>
              </w:rPr>
              <w:t xml:space="preserve"> investigation</w:t>
            </w:r>
            <w:r w:rsidRPr="006F499A">
              <w:rPr>
                <w:sz w:val="24"/>
                <w:szCs w:val="24"/>
              </w:rPr>
              <w:t xml:space="preserve">-based approach to a </w:t>
            </w:r>
            <w:r w:rsidR="0016167C" w:rsidRPr="006F499A">
              <w:rPr>
                <w:sz w:val="24"/>
                <w:szCs w:val="24"/>
              </w:rPr>
              <w:t>resolution-based</w:t>
            </w:r>
            <w:r w:rsidRPr="006F499A">
              <w:rPr>
                <w:sz w:val="24"/>
                <w:szCs w:val="24"/>
              </w:rPr>
              <w:t xml:space="preserve"> approach. </w:t>
            </w:r>
            <w:r w:rsidR="00D861CD">
              <w:rPr>
                <w:sz w:val="24"/>
                <w:szCs w:val="24"/>
              </w:rPr>
              <w:t xml:space="preserve"> </w:t>
            </w:r>
          </w:p>
          <w:p w14:paraId="3A64A1CB" w14:textId="21A27931" w:rsidR="00E1304D" w:rsidRPr="006F499A" w:rsidRDefault="00E1304D" w:rsidP="00DD1B84">
            <w:pPr>
              <w:pStyle w:val="Boxsmalltext"/>
              <w:tabs>
                <w:tab w:val="num" w:pos="567"/>
              </w:tabs>
              <w:rPr>
                <w:sz w:val="24"/>
                <w:szCs w:val="24"/>
              </w:rPr>
            </w:pPr>
            <w:r w:rsidRPr="006F499A">
              <w:rPr>
                <w:sz w:val="24"/>
                <w:szCs w:val="24"/>
              </w:rPr>
              <w:t>As a result of the change in approach, we have seen significant improvements in our timeliness</w:t>
            </w:r>
            <w:r w:rsidR="00C30620">
              <w:rPr>
                <w:sz w:val="24"/>
                <w:szCs w:val="24"/>
              </w:rPr>
              <w:t xml:space="preserve"> in this area</w:t>
            </w:r>
            <w:r w:rsidRPr="006F499A">
              <w:rPr>
                <w:sz w:val="24"/>
                <w:szCs w:val="24"/>
              </w:rPr>
              <w:t>.</w:t>
            </w:r>
            <w:r w:rsidR="00D861CD">
              <w:rPr>
                <w:sz w:val="24"/>
                <w:szCs w:val="24"/>
              </w:rPr>
              <w:t xml:space="preserve"> </w:t>
            </w:r>
            <w:r w:rsidR="0033244D">
              <w:rPr>
                <w:sz w:val="24"/>
                <w:szCs w:val="24"/>
              </w:rPr>
              <w:t xml:space="preserve">This </w:t>
            </w:r>
            <w:r w:rsidR="00D861CD">
              <w:rPr>
                <w:sz w:val="24"/>
                <w:szCs w:val="24"/>
              </w:rPr>
              <w:t>supported a</w:t>
            </w:r>
            <w:r w:rsidR="00C30620">
              <w:rPr>
                <w:sz w:val="24"/>
                <w:szCs w:val="24"/>
              </w:rPr>
              <w:t xml:space="preserve">gency responses to information requests </w:t>
            </w:r>
            <w:r w:rsidR="00F9494C" w:rsidRPr="006F499A">
              <w:rPr>
                <w:sz w:val="24"/>
                <w:szCs w:val="24"/>
              </w:rPr>
              <w:t>getting</w:t>
            </w:r>
            <w:r w:rsidRPr="006F499A">
              <w:rPr>
                <w:sz w:val="24"/>
                <w:szCs w:val="24"/>
              </w:rPr>
              <w:t xml:space="preserve"> to complainants sooner because complaints don’t always need to go through all the stages of an investigation. </w:t>
            </w:r>
            <w:r w:rsidR="0033244D">
              <w:rPr>
                <w:sz w:val="24"/>
                <w:szCs w:val="24"/>
              </w:rPr>
              <w:t xml:space="preserve">However, where this doesn’t work, we continue to undertake full investigations and provide recommendations if an agency needs to improve their timely handling of information requests. </w:t>
            </w:r>
          </w:p>
          <w:p w14:paraId="04BDDCC2" w14:textId="774AF097" w:rsidR="0060314D" w:rsidRPr="006F499A" w:rsidRDefault="00E1304D" w:rsidP="00DD1B84">
            <w:pPr>
              <w:pStyle w:val="Boxsmalltext"/>
              <w:tabs>
                <w:tab w:val="num" w:pos="567"/>
              </w:tabs>
              <w:rPr>
                <w:sz w:val="24"/>
                <w:szCs w:val="24"/>
              </w:rPr>
            </w:pPr>
            <w:r w:rsidRPr="006F499A">
              <w:rPr>
                <w:sz w:val="24"/>
                <w:szCs w:val="24"/>
              </w:rPr>
              <w:t xml:space="preserve">In 2024/25 it took </w:t>
            </w:r>
            <w:r w:rsidR="00C30620">
              <w:rPr>
                <w:sz w:val="24"/>
                <w:szCs w:val="24"/>
              </w:rPr>
              <w:t xml:space="preserve">us </w:t>
            </w:r>
            <w:r w:rsidRPr="006F499A">
              <w:rPr>
                <w:sz w:val="24"/>
                <w:szCs w:val="24"/>
              </w:rPr>
              <w:t xml:space="preserve">an average of 97 days to complete a complaint </w:t>
            </w:r>
            <w:r w:rsidR="00C30620">
              <w:rPr>
                <w:sz w:val="24"/>
                <w:szCs w:val="24"/>
              </w:rPr>
              <w:t>about a delay in responding to an OIA or LGOIMA request</w:t>
            </w:r>
            <w:r w:rsidRPr="006F499A">
              <w:rPr>
                <w:sz w:val="24"/>
                <w:szCs w:val="24"/>
              </w:rPr>
              <w:t xml:space="preserve">. </w:t>
            </w:r>
            <w:r w:rsidR="0016167C" w:rsidRPr="006F499A">
              <w:rPr>
                <w:sz w:val="24"/>
                <w:szCs w:val="24"/>
              </w:rPr>
              <w:t xml:space="preserve">This has fallen </w:t>
            </w:r>
            <w:r w:rsidR="00C01B52">
              <w:rPr>
                <w:sz w:val="24"/>
                <w:szCs w:val="24"/>
              </w:rPr>
              <w:t xml:space="preserve">over the year </w:t>
            </w:r>
            <w:r w:rsidR="0016167C" w:rsidRPr="006F499A">
              <w:rPr>
                <w:sz w:val="24"/>
                <w:szCs w:val="24"/>
              </w:rPr>
              <w:t>to an average of 28 days for the month of June 2026</w:t>
            </w:r>
            <w:r w:rsidR="00B76278">
              <w:rPr>
                <w:sz w:val="24"/>
                <w:szCs w:val="24"/>
              </w:rPr>
              <w:t xml:space="preserve"> (see graph below)</w:t>
            </w:r>
            <w:r w:rsidR="0016167C" w:rsidRPr="006F499A">
              <w:rPr>
                <w:sz w:val="24"/>
                <w:szCs w:val="24"/>
              </w:rPr>
              <w:t xml:space="preserve">. </w:t>
            </w:r>
          </w:p>
          <w:p w14:paraId="0FE83157" w14:textId="6FDCB124" w:rsidR="00E1304D" w:rsidRDefault="00E1304D" w:rsidP="00DD1B84">
            <w:pPr>
              <w:pStyle w:val="Boxsmalltext"/>
              <w:tabs>
                <w:tab w:val="num" w:pos="567"/>
              </w:tabs>
            </w:pPr>
            <w:r w:rsidRPr="006F499A">
              <w:rPr>
                <w:sz w:val="24"/>
                <w:szCs w:val="24"/>
              </w:rPr>
              <w:t xml:space="preserve">The downward trend </w:t>
            </w:r>
            <w:r w:rsidR="002003FA">
              <w:rPr>
                <w:sz w:val="24"/>
                <w:szCs w:val="24"/>
              </w:rPr>
              <w:t xml:space="preserve">in average </w:t>
            </w:r>
            <w:r w:rsidR="002003FA" w:rsidRPr="006F499A">
              <w:rPr>
                <w:sz w:val="24"/>
                <w:szCs w:val="24"/>
              </w:rPr>
              <w:t>days to complete a delay complaint</w:t>
            </w:r>
            <w:r w:rsidR="002003FA">
              <w:rPr>
                <w:sz w:val="24"/>
                <w:szCs w:val="24"/>
              </w:rPr>
              <w:t xml:space="preserve"> is</w:t>
            </w:r>
            <w:r w:rsidRPr="006F499A">
              <w:rPr>
                <w:sz w:val="24"/>
                <w:szCs w:val="24"/>
              </w:rPr>
              <w:t xml:space="preserve"> expected to continue.</w:t>
            </w:r>
            <w:r>
              <w:t xml:space="preserve"> </w:t>
            </w:r>
            <w:bookmarkEnd w:id="35"/>
          </w:p>
        </w:tc>
      </w:tr>
    </w:tbl>
    <w:p w14:paraId="40DE77AD" w14:textId="77777777" w:rsidR="00E1304D" w:rsidRDefault="00E1304D" w:rsidP="00E1304D">
      <w:pPr>
        <w:pStyle w:val="Whitespace"/>
      </w:pPr>
    </w:p>
    <w:p w14:paraId="66E95EFD" w14:textId="2A58C177" w:rsidR="00B76278" w:rsidRDefault="00B76278" w:rsidP="00555F5C">
      <w:pPr>
        <w:pStyle w:val="BodyText"/>
      </w:pPr>
      <w:r>
        <w:rPr>
          <w:noProof/>
        </w:rPr>
        <w:drawing>
          <wp:inline distT="0" distB="0" distL="0" distR="0" wp14:anchorId="0D155493" wp14:editId="7BF45DB4">
            <wp:extent cx="5876925" cy="3038475"/>
            <wp:effectExtent l="0" t="0" r="9525" b="9525"/>
            <wp:docPr id="941063835" name="Chart 1" descr="Graph (figure 4) showing average days to close for official information delay requests over the year. Link to table version of the graph below. ">
              <a:extLst xmlns:a="http://schemas.openxmlformats.org/drawingml/2006/main">
                <a:ext uri="{FF2B5EF4-FFF2-40B4-BE49-F238E27FC236}">
                  <a16:creationId xmlns:a16="http://schemas.microsoft.com/office/drawing/2014/main" id="{D445E286-2AFA-F906-2EDF-706140BE90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55EEEE0" w14:textId="69AD3DB0" w:rsidR="00AC575F" w:rsidRPr="00B70E86" w:rsidRDefault="00AC575F" w:rsidP="00555F5C">
      <w:pPr>
        <w:pStyle w:val="BodyText"/>
        <w:rPr>
          <w:rStyle w:val="Italics"/>
          <w:i w:val="0"/>
          <w:iCs/>
        </w:rPr>
      </w:pPr>
      <w:hyperlink w:anchor="_Figure_4:_Average" w:history="1">
        <w:r w:rsidRPr="00B70E86">
          <w:rPr>
            <w:rStyle w:val="Hyperlink"/>
            <w:i/>
            <w:iCs/>
          </w:rPr>
          <w:t xml:space="preserve">Figure 4: </w:t>
        </w:r>
        <w:r w:rsidR="00266B40" w:rsidRPr="00B70E86">
          <w:rPr>
            <w:rStyle w:val="Hyperlink"/>
            <w:i/>
            <w:iCs/>
          </w:rPr>
          <w:t>Average days to close for OI delay requests</w:t>
        </w:r>
      </w:hyperlink>
      <w:r w:rsidR="00266B40" w:rsidRPr="00B70E86">
        <w:rPr>
          <w:rStyle w:val="Italics"/>
          <w:i w:val="0"/>
          <w:iCs/>
        </w:rPr>
        <w:t xml:space="preserve"> </w:t>
      </w:r>
    </w:p>
    <w:p w14:paraId="5BB2C6C9" w14:textId="370B60CC" w:rsidR="00555F5C" w:rsidRPr="00B70E86" w:rsidRDefault="00045F0A" w:rsidP="00555F5C">
      <w:pPr>
        <w:pStyle w:val="BodyText"/>
      </w:pPr>
      <w:r>
        <w:t xml:space="preserve">In addition to taking a different approach to delay complaints to resolve </w:t>
      </w:r>
      <w:r w:rsidR="002003FA">
        <w:t xml:space="preserve">those </w:t>
      </w:r>
      <w:r>
        <w:t xml:space="preserve">complaints earlier, we also had an </w:t>
      </w:r>
      <w:r w:rsidRPr="00B70E86">
        <w:t>increased focus on taking a</w:t>
      </w:r>
      <w:r w:rsidR="00555F5C" w:rsidRPr="00B70E86">
        <w:t xml:space="preserve"> pragmatic and proportionate approach</w:t>
      </w:r>
      <w:r w:rsidRPr="00B70E86">
        <w:t xml:space="preserve"> to all our complaint handling. As </w:t>
      </w:r>
      <w:r w:rsidR="006F68E9" w:rsidRPr="00B70E86">
        <w:t>well</w:t>
      </w:r>
      <w:r w:rsidRPr="00B70E86">
        <w:t xml:space="preserve"> as improved timeliness</w:t>
      </w:r>
      <w:r w:rsidR="00B76278" w:rsidRPr="00B70E86">
        <w:t xml:space="preserve">, </w:t>
      </w:r>
      <w:r w:rsidRPr="00B70E86">
        <w:t>this meant</w:t>
      </w:r>
      <w:r w:rsidR="00555F5C" w:rsidRPr="00B70E86">
        <w:t xml:space="preserve"> we resolved more complaints before they went to final opinion. This year we resolved </w:t>
      </w:r>
      <w:r w:rsidR="00492627">
        <w:t>1,38</w:t>
      </w:r>
      <w:r w:rsidR="00226D47">
        <w:t>5</w:t>
      </w:r>
      <w:r w:rsidR="00555F5C" w:rsidRPr="00B70E86">
        <w:t xml:space="preserve"> </w:t>
      </w:r>
      <w:r w:rsidR="00307339" w:rsidRPr="00B70E86">
        <w:t xml:space="preserve">official information </w:t>
      </w:r>
      <w:r w:rsidR="00555F5C" w:rsidRPr="00B70E86">
        <w:t xml:space="preserve">complaints </w:t>
      </w:r>
      <w:r w:rsidR="00257C98" w:rsidRPr="00B70E86">
        <w:t>prior to formal opinion</w:t>
      </w:r>
      <w:r w:rsidR="00F71F7C" w:rsidRPr="00B70E86">
        <w:t xml:space="preserve">, compared with </w:t>
      </w:r>
      <w:r w:rsidR="00492627">
        <w:t>645</w:t>
      </w:r>
      <w:r w:rsidR="00F71F7C" w:rsidRPr="00B70E86">
        <w:t xml:space="preserve"> in 2024/25</w:t>
      </w:r>
      <w:r w:rsidR="00257C98" w:rsidRPr="00B70E86">
        <w:t xml:space="preserve">. </w:t>
      </w:r>
    </w:p>
    <w:p w14:paraId="4A2DD78B" w14:textId="2E7F2D10" w:rsidR="00555F5C" w:rsidRDefault="00555F5C" w:rsidP="00555F5C">
      <w:pPr>
        <w:pStyle w:val="BodyText"/>
      </w:pPr>
      <w:r w:rsidRPr="00B70E86">
        <w:t xml:space="preserve">We also delivered more remedies. We delivered </w:t>
      </w:r>
      <w:r w:rsidR="004D1C94" w:rsidRPr="00B70E86">
        <w:t>1,721</w:t>
      </w:r>
      <w:r w:rsidRPr="00B70E86">
        <w:t xml:space="preserve"> remedies for </w:t>
      </w:r>
      <w:r w:rsidR="00307339" w:rsidRPr="00B70E86">
        <w:t xml:space="preserve">the </w:t>
      </w:r>
      <w:r w:rsidRPr="00B70E86">
        <w:t xml:space="preserve">benefit </w:t>
      </w:r>
      <w:r w:rsidR="00307339" w:rsidRPr="00B70E86">
        <w:t xml:space="preserve">of an individual </w:t>
      </w:r>
      <w:r w:rsidRPr="00B70E86">
        <w:t xml:space="preserve">and </w:t>
      </w:r>
      <w:r w:rsidR="00F71F7C" w:rsidRPr="00B70E86">
        <w:t>32</w:t>
      </w:r>
      <w:r w:rsidRPr="00B70E86">
        <w:t xml:space="preserve"> remedies for </w:t>
      </w:r>
      <w:r w:rsidR="00307339" w:rsidRPr="00B70E86">
        <w:t xml:space="preserve">the wider benefit of </w:t>
      </w:r>
      <w:r w:rsidRPr="00B70E86">
        <w:t xml:space="preserve">public administration. </w:t>
      </w:r>
      <w:r w:rsidR="00F71F7C" w:rsidRPr="00B70E86">
        <w:t xml:space="preserve">In 2024/25 we delivered </w:t>
      </w:r>
      <w:r w:rsidR="002B493D" w:rsidRPr="00B70E86">
        <w:t>973</w:t>
      </w:r>
      <w:r w:rsidR="00F71F7C" w:rsidRPr="00B70E86">
        <w:t xml:space="preserve"> remedies for </w:t>
      </w:r>
      <w:r w:rsidR="00307339" w:rsidRPr="00B70E86">
        <w:t xml:space="preserve">the </w:t>
      </w:r>
      <w:r w:rsidR="00F71F7C" w:rsidRPr="00B70E86">
        <w:t xml:space="preserve">benefit </w:t>
      </w:r>
      <w:r w:rsidR="00307339" w:rsidRPr="00B70E86">
        <w:t xml:space="preserve">of an individual </w:t>
      </w:r>
      <w:r w:rsidR="00F71F7C" w:rsidRPr="00B70E86">
        <w:t xml:space="preserve">and </w:t>
      </w:r>
      <w:r w:rsidR="002B493D" w:rsidRPr="00B70E86">
        <w:t>57</w:t>
      </w:r>
      <w:r w:rsidR="00F71F7C" w:rsidRPr="00B70E86">
        <w:t xml:space="preserve"> remedies for </w:t>
      </w:r>
      <w:r w:rsidR="00307339" w:rsidRPr="00B70E86">
        <w:t xml:space="preserve">the wider benefit of </w:t>
      </w:r>
      <w:r w:rsidR="00F71F7C" w:rsidRPr="00B70E86">
        <w:t>public administration</w:t>
      </w:r>
      <w:r w:rsidR="00497EAD" w:rsidRPr="00B70E86">
        <w:t>.</w:t>
      </w:r>
      <w:r w:rsidR="00497EAD">
        <w:t xml:space="preserve"> </w:t>
      </w:r>
    </w:p>
    <w:p w14:paraId="4DDE072A" w14:textId="715BE797" w:rsidR="00045F0A" w:rsidRPr="002E0920" w:rsidRDefault="00045F0A" w:rsidP="00045F0A">
      <w:pPr>
        <w:pStyle w:val="BodyText"/>
      </w:pPr>
      <w:r>
        <w:t xml:space="preserve">Details of our key performance indicators can be found in </w:t>
      </w:r>
      <w:hyperlink w:anchor="_Critical_Reporting_Judgements," w:history="1">
        <w:r w:rsidRPr="00045F0A">
          <w:rPr>
            <w:rStyle w:val="Hyperlink"/>
          </w:rPr>
          <w:t>chapter 6</w:t>
        </w:r>
      </w:hyperlink>
      <w:r>
        <w:t xml:space="preserve"> and detailed data is published alongside this annual report on our website</w:t>
      </w:r>
      <w:r w:rsidR="00497EAD">
        <w:t xml:space="preserve">. </w:t>
      </w:r>
    </w:p>
    <w:p w14:paraId="5A9E8A6F" w14:textId="3A14C748" w:rsidR="00086A84" w:rsidRDefault="00086A84" w:rsidP="00086A84">
      <w:pPr>
        <w:pStyle w:val="Heading4"/>
        <w:spacing w:before="240"/>
      </w:pPr>
      <w:r>
        <w:t xml:space="preserve">Office information practice investigations </w:t>
      </w:r>
    </w:p>
    <w:p w14:paraId="59086873" w14:textId="7834E799" w:rsidR="00247CF2" w:rsidRDefault="00247CF2" w:rsidP="00247CF2">
      <w:pPr>
        <w:spacing w:before="240"/>
      </w:pPr>
      <w:r w:rsidRPr="00011E41">
        <w:t xml:space="preserve">Under the </w:t>
      </w:r>
      <w:r w:rsidR="00307339">
        <w:t>OA</w:t>
      </w:r>
      <w:r w:rsidRPr="00011E41">
        <w:t xml:space="preserve">, we proactively investigate public sector agencies’ official information practices. </w:t>
      </w:r>
      <w:r>
        <w:t>In our investigations, we look at up to five areas that impact OIA and LGOIMA compliance:</w:t>
      </w:r>
    </w:p>
    <w:p w14:paraId="329BE82F" w14:textId="2B5BFBC2" w:rsidR="00247CF2" w:rsidRPr="00011E41" w:rsidRDefault="00247CF2" w:rsidP="00247CF2">
      <w:pPr>
        <w:numPr>
          <w:ilvl w:val="0"/>
          <w:numId w:val="11"/>
        </w:numPr>
        <w:tabs>
          <w:tab w:val="clear" w:pos="567"/>
        </w:tabs>
        <w:spacing w:before="240" w:after="160" w:line="300" w:lineRule="atLeast"/>
      </w:pPr>
      <w:r w:rsidRPr="00011E41">
        <w:t>leadership and culture</w:t>
      </w:r>
      <w:r w:rsidR="00307339">
        <w:t>;</w:t>
      </w:r>
    </w:p>
    <w:p w14:paraId="222715D6" w14:textId="09125446" w:rsidR="00247CF2" w:rsidRPr="00011E41" w:rsidRDefault="00247CF2" w:rsidP="00247CF2">
      <w:pPr>
        <w:numPr>
          <w:ilvl w:val="0"/>
          <w:numId w:val="11"/>
        </w:numPr>
        <w:tabs>
          <w:tab w:val="clear" w:pos="567"/>
        </w:tabs>
        <w:spacing w:before="240" w:after="160" w:line="300" w:lineRule="atLeast"/>
      </w:pPr>
      <w:r w:rsidRPr="00011E41">
        <w:t>organisation structure, staffing, and capability</w:t>
      </w:r>
      <w:r w:rsidR="00307339">
        <w:t>;</w:t>
      </w:r>
    </w:p>
    <w:p w14:paraId="507D8683" w14:textId="1AB6A0AC" w:rsidR="00247CF2" w:rsidRPr="00011E41" w:rsidRDefault="00247CF2" w:rsidP="00247CF2">
      <w:pPr>
        <w:numPr>
          <w:ilvl w:val="0"/>
          <w:numId w:val="11"/>
        </w:numPr>
        <w:tabs>
          <w:tab w:val="clear" w:pos="567"/>
        </w:tabs>
        <w:spacing w:before="240" w:after="160" w:line="300" w:lineRule="atLeast"/>
      </w:pPr>
      <w:r w:rsidRPr="00011E41">
        <w:t>internal policies, procedures, and resources</w:t>
      </w:r>
      <w:r w:rsidR="00307339">
        <w:t>;</w:t>
      </w:r>
    </w:p>
    <w:p w14:paraId="7A9E2C46" w14:textId="4B074ABB" w:rsidR="00247CF2" w:rsidRPr="00011E41" w:rsidRDefault="00247CF2" w:rsidP="00247CF2">
      <w:pPr>
        <w:numPr>
          <w:ilvl w:val="0"/>
          <w:numId w:val="11"/>
        </w:numPr>
        <w:tabs>
          <w:tab w:val="clear" w:pos="567"/>
        </w:tabs>
        <w:spacing w:before="240" w:after="160" w:line="300" w:lineRule="atLeast"/>
      </w:pPr>
      <w:r w:rsidRPr="00011E41">
        <w:t>current practices</w:t>
      </w:r>
      <w:r w:rsidR="00307339">
        <w:t>; and</w:t>
      </w:r>
    </w:p>
    <w:p w14:paraId="21156DB8" w14:textId="77777777" w:rsidR="00247CF2" w:rsidRPr="00011E41" w:rsidRDefault="00247CF2" w:rsidP="00247CF2">
      <w:pPr>
        <w:numPr>
          <w:ilvl w:val="0"/>
          <w:numId w:val="11"/>
        </w:numPr>
        <w:tabs>
          <w:tab w:val="clear" w:pos="567"/>
        </w:tabs>
        <w:spacing w:before="240" w:after="160" w:line="300" w:lineRule="atLeast"/>
      </w:pPr>
      <w:r w:rsidRPr="00011E41">
        <w:t>performance monitoring and learning.</w:t>
      </w:r>
    </w:p>
    <w:p w14:paraId="4E1F0216" w14:textId="1EBBF600" w:rsidR="00247CF2" w:rsidRDefault="00247CF2" w:rsidP="00247CF2">
      <w:pPr>
        <w:spacing w:before="240"/>
      </w:pPr>
      <w:r w:rsidRPr="00011E41">
        <w:t xml:space="preserve">We aim to highlight good practice where we find it, identify any vulnerabilities, and </w:t>
      </w:r>
      <w:r>
        <w:t>further</w:t>
      </w:r>
      <w:r w:rsidRPr="00011E41">
        <w:t xml:space="preserve"> government accountability and transparency. </w:t>
      </w:r>
      <w:r>
        <w:t xml:space="preserve">Where necessary, we make suggestions </w:t>
      </w:r>
      <w:r w:rsidR="00F664E8">
        <w:t>(</w:t>
      </w:r>
      <w:r w:rsidR="00307339">
        <w:t>‘</w:t>
      </w:r>
      <w:r w:rsidR="00F664E8">
        <w:t>action points</w:t>
      </w:r>
      <w:r w:rsidR="00307339">
        <w:t>’</w:t>
      </w:r>
      <w:r w:rsidR="00F664E8">
        <w:t xml:space="preserve">) </w:t>
      </w:r>
      <w:r>
        <w:t>and recommendations to agencies</w:t>
      </w:r>
      <w:r w:rsidR="00F664E8">
        <w:t xml:space="preserve"> for improvement</w:t>
      </w:r>
      <w:r w:rsidR="00497EAD">
        <w:t xml:space="preserve">. </w:t>
      </w:r>
      <w:r>
        <w:t xml:space="preserve">Post-investigation, </w:t>
      </w:r>
      <w:r w:rsidR="00F664E8">
        <w:t>we monitor</w:t>
      </w:r>
      <w:r>
        <w:t xml:space="preserve"> agency progress against these action points and </w:t>
      </w:r>
      <w:r w:rsidR="00307339">
        <w:t>recommendations</w:t>
      </w:r>
      <w:r>
        <w:t>.</w:t>
      </w:r>
    </w:p>
    <w:p w14:paraId="169FE275" w14:textId="77777777" w:rsidR="00247CF2" w:rsidRDefault="00247CF2" w:rsidP="00247CF2">
      <w:pPr>
        <w:pStyle w:val="Heading5"/>
      </w:pPr>
      <w:r>
        <w:t>Central government investigations</w:t>
      </w:r>
    </w:p>
    <w:p w14:paraId="64CEB0A9" w14:textId="164F0C01" w:rsidR="00247CF2" w:rsidRDefault="00247CF2" w:rsidP="00247CF2">
      <w:pPr>
        <w:pStyle w:val="BodyText"/>
      </w:pPr>
      <w:r w:rsidRPr="004D09A6">
        <w:t xml:space="preserve">In September 2025, we launched a new round of </w:t>
      </w:r>
      <w:r>
        <w:t>investigations into a</w:t>
      </w:r>
      <w:r w:rsidRPr="004D09A6">
        <w:t xml:space="preserve"> cross-section </w:t>
      </w:r>
      <w:r w:rsidR="00012194" w:rsidRPr="004D09A6">
        <w:t>of central</w:t>
      </w:r>
      <w:r w:rsidR="00A50285">
        <w:t xml:space="preserve"> government agencies</w:t>
      </w:r>
      <w:r w:rsidR="0045729A">
        <w:t>, including</w:t>
      </w:r>
      <w:r>
        <w:t xml:space="preserve">: </w:t>
      </w:r>
    </w:p>
    <w:p w14:paraId="33165EBC" w14:textId="58474728" w:rsidR="00247CF2" w:rsidRDefault="00247CF2" w:rsidP="00247CF2">
      <w:pPr>
        <w:pStyle w:val="Bullet1"/>
      </w:pPr>
      <w:r w:rsidRPr="004D09A6">
        <w:t>the Civil Aviation Authority</w:t>
      </w:r>
      <w:r w:rsidR="0045729A">
        <w:t>;</w:t>
      </w:r>
      <w:r>
        <w:t xml:space="preserve"> </w:t>
      </w:r>
    </w:p>
    <w:p w14:paraId="4F97061F" w14:textId="26BB55CC" w:rsidR="00247CF2" w:rsidRDefault="00247CF2" w:rsidP="00247CF2">
      <w:pPr>
        <w:pStyle w:val="Bullet1"/>
      </w:pPr>
      <w:r w:rsidRPr="004D09A6">
        <w:t>Inland Revenue</w:t>
      </w:r>
      <w:r w:rsidR="0045729A">
        <w:t>;</w:t>
      </w:r>
      <w:r w:rsidRPr="004D09A6">
        <w:t xml:space="preserve"> </w:t>
      </w:r>
    </w:p>
    <w:p w14:paraId="0263F7CF" w14:textId="091DEC97" w:rsidR="00247CF2" w:rsidRDefault="00247CF2" w:rsidP="00247CF2">
      <w:pPr>
        <w:pStyle w:val="Bullet1"/>
      </w:pPr>
      <w:r w:rsidRPr="004D09A6">
        <w:t>Ministry for Primary Industries</w:t>
      </w:r>
      <w:r w:rsidR="0045729A">
        <w:t>;</w:t>
      </w:r>
      <w:r w:rsidRPr="004D09A6">
        <w:t xml:space="preserve"> </w:t>
      </w:r>
    </w:p>
    <w:p w14:paraId="6D0592F8" w14:textId="0777F1B2" w:rsidR="00247CF2" w:rsidRDefault="00247CF2" w:rsidP="00247CF2">
      <w:pPr>
        <w:pStyle w:val="Bullet1"/>
      </w:pPr>
      <w:r w:rsidRPr="004D09A6">
        <w:t>Ministry for Regulation</w:t>
      </w:r>
      <w:r w:rsidR="0045729A">
        <w:t>;</w:t>
      </w:r>
      <w:r w:rsidRPr="004D09A6">
        <w:t xml:space="preserve"> </w:t>
      </w:r>
      <w:r>
        <w:t xml:space="preserve">and </w:t>
      </w:r>
    </w:p>
    <w:p w14:paraId="69D1D494" w14:textId="77777777" w:rsidR="0045729A" w:rsidRDefault="00247CF2" w:rsidP="0045729A">
      <w:pPr>
        <w:pStyle w:val="Bullet1"/>
      </w:pPr>
      <w:r w:rsidRPr="004D09A6">
        <w:t>Ministry for the Environment</w:t>
      </w:r>
      <w:r>
        <w:t xml:space="preserve">. </w:t>
      </w:r>
    </w:p>
    <w:p w14:paraId="33BBA138" w14:textId="119672C5" w:rsidR="0045729A" w:rsidRDefault="0045729A" w:rsidP="0045729A">
      <w:pPr>
        <w:pStyle w:val="Bullet1"/>
        <w:numPr>
          <w:ilvl w:val="0"/>
          <w:numId w:val="0"/>
        </w:numPr>
      </w:pPr>
      <w:r>
        <w:t>Our focus was on two specific areas</w:t>
      </w:r>
      <w:r w:rsidR="00A50285">
        <w:t>:</w:t>
      </w:r>
      <w:r>
        <w:t xml:space="preserve"> to understand how agencies’ leadership</w:t>
      </w:r>
      <w:r w:rsidR="00A50285">
        <w:t xml:space="preserve"> and</w:t>
      </w:r>
      <w:r>
        <w:t>, culture, and performance monitoring</w:t>
      </w:r>
      <w:r w:rsidR="00A50285">
        <w:t xml:space="preserve"> and learning</w:t>
      </w:r>
      <w:r>
        <w:t xml:space="preserve"> impacted their OIA compliance and practices. The</w:t>
      </w:r>
      <w:r w:rsidRPr="002679B8">
        <w:t xml:space="preserve"> investigations were finalised in June 2026.</w:t>
      </w:r>
    </w:p>
    <w:p w14:paraId="0DD8CA0E" w14:textId="50CC25B8" w:rsidR="00BC5417" w:rsidRDefault="00BC5417" w:rsidP="0045729A">
      <w:pPr>
        <w:pStyle w:val="Bullet1"/>
        <w:numPr>
          <w:ilvl w:val="0"/>
          <w:numId w:val="0"/>
        </w:numPr>
      </w:pPr>
      <w:r>
        <w:t xml:space="preserve">Key findings included: </w:t>
      </w:r>
    </w:p>
    <w:p w14:paraId="76C2B8AD" w14:textId="5C6D017D" w:rsidR="00BC5417" w:rsidRDefault="00BC5417" w:rsidP="00A50285">
      <w:pPr>
        <w:pStyle w:val="Bullet1"/>
      </w:pPr>
      <w:r w:rsidRPr="00F636E9">
        <w:rPr>
          <w:rStyle w:val="Emphasis"/>
        </w:rPr>
        <w:t>Leadership and culture</w:t>
      </w:r>
      <w:r>
        <w:t xml:space="preserve">: </w:t>
      </w:r>
      <w:r w:rsidR="0003628F">
        <w:t xml:space="preserve">most </w:t>
      </w:r>
      <w:r w:rsidR="0003628F" w:rsidRPr="006950C6">
        <w:t>agencies focused on building a positive OIA environment</w:t>
      </w:r>
      <w:r w:rsidR="0003628F">
        <w:t xml:space="preserve">. Staff spoke positively about OIA leadership and culture with many highlighting senior leaders’ commitment to promoting transparency. </w:t>
      </w:r>
    </w:p>
    <w:p w14:paraId="7768152C" w14:textId="4CE013DD" w:rsidR="0003628F" w:rsidRDefault="00BC5417" w:rsidP="00A50285">
      <w:pPr>
        <w:pStyle w:val="Bullet1"/>
      </w:pPr>
      <w:r w:rsidRPr="00F636E9">
        <w:rPr>
          <w:rStyle w:val="Emphasis"/>
        </w:rPr>
        <w:t>Internal messaging</w:t>
      </w:r>
      <w:r w:rsidR="0003628F">
        <w:t xml:space="preserve">: most agencies were issued action points to improve how </w:t>
      </w:r>
      <w:r w:rsidR="0003628F" w:rsidRPr="006950C6">
        <w:t>senior leaders mak</w:t>
      </w:r>
      <w:r w:rsidR="0003628F">
        <w:t>e</w:t>
      </w:r>
      <w:r w:rsidR="0003628F" w:rsidRPr="006950C6">
        <w:t xml:space="preserve"> clear, visible, and regular statements to staff about the importance of the OIA</w:t>
      </w:r>
      <w:r w:rsidR="0003628F">
        <w:t>.</w:t>
      </w:r>
    </w:p>
    <w:p w14:paraId="2AD2599E" w14:textId="0DD9CBB2" w:rsidR="0003628F" w:rsidRPr="0003628F" w:rsidRDefault="00BC5417" w:rsidP="00A50285">
      <w:pPr>
        <w:pStyle w:val="Bullet1"/>
      </w:pPr>
      <w:r w:rsidRPr="00A50285">
        <w:rPr>
          <w:b/>
          <w:bCs/>
          <w:iCs/>
        </w:rPr>
        <w:t>Public messaging</w:t>
      </w:r>
      <w:r w:rsidR="0003628F">
        <w:t xml:space="preserve">: most agencies were issued actions points to </w:t>
      </w:r>
      <w:r w:rsidR="0003628F" w:rsidRPr="006950C6">
        <w:t>update OIA webpages, publish statements of commitment to the OIA, or proactively release OIA strategies, statistics, and internal policies.</w:t>
      </w:r>
    </w:p>
    <w:p w14:paraId="0BA799C2" w14:textId="001A0E96" w:rsidR="00BC5417" w:rsidRDefault="00BC5417" w:rsidP="00A50285">
      <w:pPr>
        <w:pStyle w:val="Bullet1"/>
      </w:pPr>
      <w:r w:rsidRPr="00F636E9">
        <w:rPr>
          <w:rStyle w:val="Emphasis"/>
        </w:rPr>
        <w:t>Leadership oversight of OIA practices</w:t>
      </w:r>
      <w:r w:rsidR="0003628F">
        <w:t>:</w:t>
      </w:r>
      <w:r>
        <w:t xml:space="preserve"> </w:t>
      </w:r>
      <w:r w:rsidR="0003628F" w:rsidRPr="00D52B03">
        <w:t>all agencies received action points to strengthen oversight</w:t>
      </w:r>
      <w:r w:rsidR="00F636E9">
        <w:t>,</w:t>
      </w:r>
      <w:r w:rsidR="0003628F" w:rsidRPr="00D52B03">
        <w:t xml:space="preserve"> focusing on record-keeping, applying withholding grounds, and developing formal agreements with Ministers’ offices on handling departmental OIA requests.</w:t>
      </w:r>
    </w:p>
    <w:p w14:paraId="3992BAAC" w14:textId="0A81F787" w:rsidR="00BC5417" w:rsidRDefault="00BC5417" w:rsidP="00A50285">
      <w:pPr>
        <w:pStyle w:val="Bullet1"/>
      </w:pPr>
      <w:r w:rsidRPr="00F636E9">
        <w:rPr>
          <w:rStyle w:val="Emphasis"/>
        </w:rPr>
        <w:t>Enhanced data and reporting</w:t>
      </w:r>
      <w:r w:rsidR="0003628F">
        <w:t xml:space="preserve">: </w:t>
      </w:r>
      <w:r w:rsidR="0003628F" w:rsidRPr="00D52B03">
        <w:t>agencies were asked to collect, analyse, and enhance the range of OIA data reported to senior leaders and consider conducting regular quality assurance of a sample of completed OIA requests.</w:t>
      </w:r>
    </w:p>
    <w:p w14:paraId="49916A4A" w14:textId="60CF7D7D" w:rsidR="0045729A" w:rsidRDefault="0045729A" w:rsidP="0045729A">
      <w:pPr>
        <w:pStyle w:val="Bullet1"/>
        <w:numPr>
          <w:ilvl w:val="0"/>
          <w:numId w:val="0"/>
        </w:numPr>
      </w:pPr>
      <w:r>
        <w:t>Overall, we suggested 58 action</w:t>
      </w:r>
      <w:r w:rsidR="00A50285">
        <w:t xml:space="preserve"> point</w:t>
      </w:r>
      <w:r>
        <w:t xml:space="preserve">s to further improve agency practice. It is positive that all five agencies advised they were making changes in response. We </w:t>
      </w:r>
      <w:r w:rsidR="00357A8B">
        <w:t xml:space="preserve">will </w:t>
      </w:r>
      <w:r>
        <w:t>continue to monitor implementation of these action points.</w:t>
      </w:r>
    </w:p>
    <w:p w14:paraId="6AA78813" w14:textId="4123F4DA" w:rsidR="0045729A" w:rsidRDefault="0045729A" w:rsidP="0045729A">
      <w:pPr>
        <w:pStyle w:val="Bullet1"/>
        <w:numPr>
          <w:ilvl w:val="0"/>
          <w:numId w:val="0"/>
        </w:numPr>
      </w:pPr>
      <w:hyperlink r:id="rId27" w:history="1">
        <w:r w:rsidRPr="00F16CE1">
          <w:rPr>
            <w:rStyle w:val="Hyperlink"/>
          </w:rPr>
          <w:t>Read the five reports on our website</w:t>
        </w:r>
      </w:hyperlink>
      <w:r w:rsidRPr="0054014B">
        <w:t>: Civil Aviation Authority, Inland Revenue, Ministry for Primary Industries, Ministry for Regulation, and Ministry for the Environment.</w:t>
      </w:r>
    </w:p>
    <w:p w14:paraId="31063082" w14:textId="77777777" w:rsidR="00247CF2" w:rsidRDefault="00247CF2" w:rsidP="00247CF2">
      <w:pPr>
        <w:pStyle w:val="Heading5"/>
      </w:pPr>
      <w:r>
        <w:t>Council workshops</w:t>
      </w:r>
    </w:p>
    <w:p w14:paraId="557FBEEC" w14:textId="14DCFE13" w:rsidR="00247CF2" w:rsidRDefault="00247CF2" w:rsidP="00247CF2">
      <w:pPr>
        <w:pStyle w:val="BodyText"/>
      </w:pPr>
      <w:r>
        <w:t>O</w:t>
      </w:r>
      <w:r w:rsidRPr="004D09A6">
        <w:t xml:space="preserve">ur previous </w:t>
      </w:r>
      <w:r w:rsidR="00A50285">
        <w:t>work in this area</w:t>
      </w:r>
      <w:r w:rsidR="00A50285" w:rsidRPr="004D09A6">
        <w:t xml:space="preserve"> </w:t>
      </w:r>
      <w:r w:rsidRPr="004D09A6">
        <w:t>continued to drive systemic change this year. Following our earlier investigation into local government workshops</w:t>
      </w:r>
      <w:r w:rsidR="00A50285">
        <w:t>—</w:t>
      </w:r>
      <w:hyperlink r:id="rId28" w:history="1">
        <w:r w:rsidRPr="00D96498">
          <w:rPr>
            <w:rStyle w:val="Hyperlink"/>
            <w:i/>
            <w:iCs/>
          </w:rPr>
          <w:t>Open for Business</w:t>
        </w:r>
      </w:hyperlink>
      <w:r w:rsidR="00A50285">
        <w:t>—</w:t>
      </w:r>
      <w:r w:rsidRPr="004D09A6">
        <w:t xml:space="preserve">more councils </w:t>
      </w:r>
      <w:r>
        <w:t>committed to making</w:t>
      </w:r>
      <w:r w:rsidRPr="004D09A6">
        <w:t xml:space="preserve"> workshops and informal briefings open to the public by default</w:t>
      </w:r>
      <w:r>
        <w:t xml:space="preserve">. </w:t>
      </w:r>
      <w:r w:rsidR="00C00C3E">
        <w:t>R</w:t>
      </w:r>
      <w:r w:rsidRPr="004D09A6">
        <w:t>ecent examples include the Masterton, Carterton, South Wairarapa</w:t>
      </w:r>
      <w:r w:rsidR="00C00C3E">
        <w:t xml:space="preserve">, and </w:t>
      </w:r>
      <w:r w:rsidRPr="004D09A6">
        <w:t>Marlborough District Council</w:t>
      </w:r>
      <w:r w:rsidR="00C00C3E">
        <w:t>s</w:t>
      </w:r>
      <w:r w:rsidRPr="004D09A6">
        <w:t xml:space="preserve">, and the Upper Hutt City </w:t>
      </w:r>
      <w:r w:rsidR="00C00C3E">
        <w:t>C</w:t>
      </w:r>
      <w:r w:rsidRPr="004D09A6">
        <w:t>ouncil</w:t>
      </w:r>
      <w:r>
        <w:t>.</w:t>
      </w:r>
    </w:p>
    <w:p w14:paraId="44085101" w14:textId="1256DE46" w:rsidR="00D95300" w:rsidRPr="00D95300" w:rsidRDefault="00247CF2" w:rsidP="00D95300">
      <w:pPr>
        <w:pStyle w:val="BodyText"/>
      </w:pPr>
      <w:r>
        <w:t>We are continuing to work with councils on their meeting and workshop practices. Hearing about council experiences is important to us</w:t>
      </w:r>
      <w:r w:rsidR="00A50285">
        <w:t>. W</w:t>
      </w:r>
      <w:r>
        <w:t xml:space="preserve">e value their perspectives on the impact of our past recommendations and how we can continue to develop </w:t>
      </w:r>
      <w:r w:rsidR="008D1AF6">
        <w:t xml:space="preserve">useful </w:t>
      </w:r>
      <w:r>
        <w:t>guidance</w:t>
      </w:r>
      <w:r w:rsidR="008D1AF6">
        <w:t>.</w:t>
      </w:r>
    </w:p>
    <w:p w14:paraId="3A1788C7" w14:textId="77777777" w:rsidR="006F34B2" w:rsidRDefault="006F34B2" w:rsidP="005A4A1D">
      <w:pPr>
        <w:pStyle w:val="Heading3"/>
        <w:spacing w:after="240"/>
      </w:pPr>
      <w:bookmarkStart w:id="36" w:name="_Hlk236116554"/>
      <w:r>
        <w:t>Output 4—Ensure good decision-making and processes</w:t>
      </w:r>
    </w:p>
    <w:p w14:paraId="262D68F1" w14:textId="05AC7D3E" w:rsidR="0051123A" w:rsidRDefault="00C42C22" w:rsidP="003F19D3">
      <w:pPr>
        <w:pStyle w:val="BodyText"/>
      </w:pPr>
      <w:r w:rsidRPr="00C42C22">
        <w:t>Under the OA, we can investigate the administrative conduct of public sector agencies</w:t>
      </w:r>
      <w:r>
        <w:t>. We can do this when someone complains to us or by an own motion investigation</w:t>
      </w:r>
      <w:r w:rsidR="00497EAD">
        <w:t xml:space="preserve">. </w:t>
      </w:r>
      <w:r>
        <w:t xml:space="preserve">We deliver remedies for individuals when they have been treated unfairly by the state and </w:t>
      </w:r>
      <w:r w:rsidR="003F19D3">
        <w:t xml:space="preserve">our oversight helps agencies identify and </w:t>
      </w:r>
      <w:r w:rsidRPr="00C42C22">
        <w:t xml:space="preserve">correct administrative deficiencies, including where significant or systemic issues are identified. </w:t>
      </w:r>
    </w:p>
    <w:p w14:paraId="7CE7C59E" w14:textId="257FAD4A" w:rsidR="00C877E9" w:rsidRDefault="003F19D3" w:rsidP="003F19D3">
      <w:pPr>
        <w:pStyle w:val="BodyText"/>
      </w:pPr>
      <w:bookmarkStart w:id="37" w:name="_Hlk237267915"/>
      <w:r>
        <w:t xml:space="preserve">In all our </w:t>
      </w:r>
      <w:r w:rsidR="007C1E5F">
        <w:t>complaint handling (OIA, LGOIMA and OA)</w:t>
      </w:r>
      <w:r>
        <w:t xml:space="preserve"> we take a proportional and pragmatic approach, </w:t>
      </w:r>
      <w:r w:rsidR="00B835B6">
        <w:t>which saw us</w:t>
      </w:r>
      <w:r>
        <w:t xml:space="preserve"> resolv</w:t>
      </w:r>
      <w:r w:rsidR="00B835B6">
        <w:t>e</w:t>
      </w:r>
      <w:r>
        <w:t xml:space="preserve"> </w:t>
      </w:r>
      <w:r w:rsidR="002C3D75">
        <w:t>48</w:t>
      </w:r>
      <w:r w:rsidR="00B835B6">
        <w:t xml:space="preserve"> </w:t>
      </w:r>
      <w:r>
        <w:t xml:space="preserve">percent of complaints </w:t>
      </w:r>
      <w:r w:rsidR="00C01B52">
        <w:t>prior to</w:t>
      </w:r>
      <w:r>
        <w:t xml:space="preserve"> final opinion</w:t>
      </w:r>
      <w:r w:rsidR="00B835B6">
        <w:t xml:space="preserve">, compared to </w:t>
      </w:r>
      <w:r w:rsidR="002C3D75">
        <w:t>34</w:t>
      </w:r>
      <w:r w:rsidR="00B835B6">
        <w:t xml:space="preserve"> percent last year</w:t>
      </w:r>
      <w:r w:rsidR="00875AA1">
        <w:t>, and exceeding our target of 40 percent</w:t>
      </w:r>
      <w:r>
        <w:t xml:space="preserve">. </w:t>
      </w:r>
      <w:r w:rsidR="00C877E9" w:rsidRPr="00972838">
        <w:t>This means individuals have more timely access to remedies and wider public administration benefits are realised more readily.</w:t>
      </w:r>
    </w:p>
    <w:bookmarkEnd w:id="37"/>
    <w:p w14:paraId="63802660" w14:textId="5859234F" w:rsidR="00972838" w:rsidRDefault="003F19D3" w:rsidP="003F19D3">
      <w:pPr>
        <w:pStyle w:val="BodyText"/>
      </w:pPr>
      <w:r>
        <w:t>This year we</w:t>
      </w:r>
      <w:r w:rsidR="00183D0E">
        <w:t xml:space="preserve"> continued to undertake significant systemic investigations</w:t>
      </w:r>
      <w:r w:rsidR="00F927D3">
        <w:t xml:space="preserve">. We </w:t>
      </w:r>
      <w:r w:rsidR="00D5785C">
        <w:t>publish case not</w:t>
      </w:r>
      <w:r w:rsidR="00F927D3">
        <w:t xml:space="preserve">es and opinions on some of these </w:t>
      </w:r>
      <w:r w:rsidR="0001463D">
        <w:t xml:space="preserve">complaints and </w:t>
      </w:r>
      <w:r w:rsidR="00F927D3">
        <w:t>investigations to help the public understand our work and to lift public sector capability</w:t>
      </w:r>
      <w:r w:rsidR="00497EAD">
        <w:t xml:space="preserve">. </w:t>
      </w:r>
    </w:p>
    <w:tbl>
      <w:tblPr>
        <w:tblStyle w:val="TableBox"/>
        <w:tblW w:w="9297" w:type="dxa"/>
        <w:shd w:val="clear" w:color="auto" w:fill="E9E9E9"/>
        <w:tblLayout w:type="fixed"/>
        <w:tblCellMar>
          <w:bottom w:w="0" w:type="dxa"/>
        </w:tblCellMar>
        <w:tblLook w:val="04A0" w:firstRow="1" w:lastRow="0" w:firstColumn="1" w:lastColumn="0" w:noHBand="0" w:noVBand="1"/>
        <w:tblCaption w:val="Box to emphasise text"/>
      </w:tblPr>
      <w:tblGrid>
        <w:gridCol w:w="9297"/>
      </w:tblGrid>
      <w:tr w:rsidR="006A791F" w14:paraId="73CCD0AA" w14:textId="77777777" w:rsidTr="00F16CE1">
        <w:tc>
          <w:tcPr>
            <w:tcW w:w="9514" w:type="dxa"/>
            <w:shd w:val="clear" w:color="auto" w:fill="E9E9E9"/>
          </w:tcPr>
          <w:p w14:paraId="176C6E81" w14:textId="77777777" w:rsidR="006A791F" w:rsidRPr="006A791F" w:rsidRDefault="006A791F" w:rsidP="006A791F">
            <w:pPr>
              <w:pStyle w:val="Headingboxtexttop"/>
              <w:tabs>
                <w:tab w:val="num" w:pos="567"/>
              </w:tabs>
              <w:rPr>
                <w:bCs/>
                <w:color w:val="017E5D"/>
              </w:rPr>
            </w:pPr>
            <w:r w:rsidRPr="006A791F">
              <w:rPr>
                <w:color w:val="017E5D"/>
              </w:rPr>
              <w:t>Ministry of Education's process for considering claims of abuse in care</w:t>
            </w:r>
          </w:p>
          <w:p w14:paraId="22B6FB38" w14:textId="1541EEFC" w:rsidR="00F92534" w:rsidRPr="00EB49CA" w:rsidRDefault="00F92534" w:rsidP="00EB49CA">
            <w:pPr>
              <w:pStyle w:val="Tablebodytext"/>
              <w:rPr>
                <w:sz w:val="24"/>
                <w:szCs w:val="24"/>
              </w:rPr>
            </w:pPr>
            <w:r w:rsidRPr="00EB49CA">
              <w:rPr>
                <w:sz w:val="24"/>
                <w:szCs w:val="24"/>
              </w:rPr>
              <w:t>We received a complaint from Cooper Legal, representing a number of claimants who sought redress through a scheme that the Ministry of Education (</w:t>
            </w:r>
            <w:proofErr w:type="spellStart"/>
            <w:r w:rsidRPr="00EB49CA">
              <w:rPr>
                <w:sz w:val="24"/>
                <w:szCs w:val="24"/>
              </w:rPr>
              <w:t>MoE</w:t>
            </w:r>
            <w:proofErr w:type="spellEnd"/>
            <w:r w:rsidRPr="00EB49CA">
              <w:rPr>
                <w:sz w:val="24"/>
                <w:szCs w:val="24"/>
              </w:rPr>
              <w:t xml:space="preserve">) administers assessing claims from people who experienced abuse or neglect in certain types of state schools. Cooper Legal complained to us that the scheme was unreasonable in several respects. </w:t>
            </w:r>
          </w:p>
          <w:p w14:paraId="2B7837C1" w14:textId="2F5678DA" w:rsidR="00EE1168" w:rsidRPr="00EB49CA" w:rsidRDefault="00EE1168" w:rsidP="00EB49CA">
            <w:pPr>
              <w:pStyle w:val="Tablebodytext"/>
              <w:rPr>
                <w:sz w:val="24"/>
                <w:szCs w:val="24"/>
              </w:rPr>
            </w:pPr>
            <w:r w:rsidRPr="00EB49CA">
              <w:rPr>
                <w:sz w:val="24"/>
                <w:szCs w:val="24"/>
              </w:rPr>
              <w:t>Since the complaint was received,</w:t>
            </w:r>
            <w:r w:rsidR="0066058C" w:rsidRPr="00EB49CA">
              <w:rPr>
                <w:sz w:val="24"/>
                <w:szCs w:val="24"/>
              </w:rPr>
              <w:t xml:space="preserve"> the Royal Commi</w:t>
            </w:r>
            <w:r w:rsidR="0001463D">
              <w:rPr>
                <w:sz w:val="24"/>
                <w:szCs w:val="24"/>
              </w:rPr>
              <w:t>ssion</w:t>
            </w:r>
            <w:r w:rsidR="0066058C" w:rsidRPr="00EB49CA">
              <w:rPr>
                <w:sz w:val="24"/>
                <w:szCs w:val="24"/>
              </w:rPr>
              <w:t xml:space="preserve"> of Inquiry into Historic Abuse in Care issued its final report and the Government took some steps to implement recommendations, including committing funding to improve the redress system. This likely means there will be changes to </w:t>
            </w:r>
            <w:r w:rsidR="0001463D">
              <w:rPr>
                <w:sz w:val="24"/>
                <w:szCs w:val="24"/>
              </w:rPr>
              <w:t xml:space="preserve">the </w:t>
            </w:r>
            <w:proofErr w:type="spellStart"/>
            <w:r w:rsidR="0066058C" w:rsidRPr="00EB49CA">
              <w:rPr>
                <w:sz w:val="24"/>
                <w:szCs w:val="24"/>
              </w:rPr>
              <w:t>MoE</w:t>
            </w:r>
            <w:proofErr w:type="spellEnd"/>
            <w:r w:rsidR="0066058C" w:rsidRPr="00EB49CA">
              <w:rPr>
                <w:sz w:val="24"/>
                <w:szCs w:val="24"/>
              </w:rPr>
              <w:t xml:space="preserve"> scheme. </w:t>
            </w:r>
          </w:p>
          <w:p w14:paraId="4499DDB1" w14:textId="55A8CB43" w:rsidR="00EE1168" w:rsidRPr="00EB49CA" w:rsidRDefault="00EE1168" w:rsidP="00EB49CA">
            <w:pPr>
              <w:pStyle w:val="Tablebodytext"/>
              <w:rPr>
                <w:sz w:val="24"/>
                <w:szCs w:val="24"/>
              </w:rPr>
            </w:pPr>
            <w:r w:rsidRPr="00EB49CA">
              <w:rPr>
                <w:sz w:val="24"/>
                <w:szCs w:val="24"/>
              </w:rPr>
              <w:t xml:space="preserve">We </w:t>
            </w:r>
            <w:r w:rsidR="004129F2" w:rsidRPr="00EB49CA">
              <w:rPr>
                <w:sz w:val="24"/>
                <w:szCs w:val="24"/>
              </w:rPr>
              <w:t>reviewed</w:t>
            </w:r>
            <w:r w:rsidRPr="00EB49CA">
              <w:rPr>
                <w:sz w:val="24"/>
                <w:szCs w:val="24"/>
              </w:rPr>
              <w:t xml:space="preserve"> the system as it was operating when the complaint was received, while keeping in mind likely future changes. We hope </w:t>
            </w:r>
            <w:r w:rsidR="0001463D">
              <w:rPr>
                <w:sz w:val="24"/>
                <w:szCs w:val="24"/>
              </w:rPr>
              <w:t>our</w:t>
            </w:r>
            <w:r w:rsidRPr="00EB49CA">
              <w:rPr>
                <w:sz w:val="24"/>
                <w:szCs w:val="24"/>
              </w:rPr>
              <w:t xml:space="preserve"> recommendations help </w:t>
            </w:r>
            <w:proofErr w:type="spellStart"/>
            <w:r w:rsidRPr="00EB49CA">
              <w:rPr>
                <w:sz w:val="24"/>
                <w:szCs w:val="24"/>
              </w:rPr>
              <w:t>MoE</w:t>
            </w:r>
            <w:proofErr w:type="spellEnd"/>
            <w:r w:rsidRPr="00EB49CA">
              <w:rPr>
                <w:sz w:val="24"/>
                <w:szCs w:val="24"/>
              </w:rPr>
              <w:t xml:space="preserve"> and the Crown identify improvements to the current scheme and </w:t>
            </w:r>
            <w:r w:rsidR="008D1AF6">
              <w:rPr>
                <w:sz w:val="24"/>
                <w:szCs w:val="24"/>
              </w:rPr>
              <w:t>any future related work</w:t>
            </w:r>
            <w:r w:rsidRPr="00EB49CA">
              <w:rPr>
                <w:sz w:val="24"/>
                <w:szCs w:val="24"/>
              </w:rPr>
              <w:t xml:space="preserve">. </w:t>
            </w:r>
          </w:p>
          <w:p w14:paraId="02A8D063" w14:textId="37F58411" w:rsidR="00E20954" w:rsidRPr="00EB49CA" w:rsidRDefault="00E20954" w:rsidP="00EB49CA">
            <w:pPr>
              <w:pStyle w:val="Tablebodytext"/>
              <w:rPr>
                <w:sz w:val="24"/>
                <w:szCs w:val="24"/>
              </w:rPr>
            </w:pPr>
            <w:r w:rsidRPr="00EB49CA">
              <w:rPr>
                <w:sz w:val="24"/>
                <w:szCs w:val="24"/>
              </w:rPr>
              <w:t>The Chief Ombudsman’s opinion outline</w:t>
            </w:r>
            <w:r w:rsidR="0001463D">
              <w:rPr>
                <w:sz w:val="24"/>
                <w:szCs w:val="24"/>
              </w:rPr>
              <w:t>d</w:t>
            </w:r>
            <w:r w:rsidRPr="00EB49CA">
              <w:rPr>
                <w:sz w:val="24"/>
                <w:szCs w:val="24"/>
              </w:rPr>
              <w:t xml:space="preserve"> the principles for good administrative decision making and found there were some aspects of the scheme that were inconsistent with these principles</w:t>
            </w:r>
            <w:r w:rsidR="00EE1168" w:rsidRPr="00EB49CA">
              <w:rPr>
                <w:sz w:val="24"/>
                <w:szCs w:val="24"/>
              </w:rPr>
              <w:t>, and therefore unreasonable</w:t>
            </w:r>
            <w:r w:rsidRPr="00EB49CA">
              <w:rPr>
                <w:sz w:val="24"/>
                <w:szCs w:val="24"/>
              </w:rPr>
              <w:t xml:space="preserve">: </w:t>
            </w:r>
          </w:p>
          <w:p w14:paraId="29D2ABB4" w14:textId="0111E456" w:rsidR="00E20954" w:rsidRPr="00EB49CA" w:rsidRDefault="0001463D" w:rsidP="00EB49CA">
            <w:pPr>
              <w:pStyle w:val="TableBullet1"/>
              <w:rPr>
                <w:sz w:val="24"/>
                <w:szCs w:val="24"/>
              </w:rPr>
            </w:pPr>
            <w:r>
              <w:rPr>
                <w:sz w:val="24"/>
                <w:szCs w:val="24"/>
              </w:rPr>
              <w:t>t</w:t>
            </w:r>
            <w:r w:rsidR="00E20954" w:rsidRPr="00EB49CA">
              <w:rPr>
                <w:sz w:val="24"/>
                <w:szCs w:val="24"/>
              </w:rPr>
              <w:t>he time take</w:t>
            </w:r>
            <w:r w:rsidR="00866275">
              <w:rPr>
                <w:sz w:val="24"/>
                <w:szCs w:val="24"/>
              </w:rPr>
              <w:t>n</w:t>
            </w:r>
            <w:r w:rsidR="00E20954" w:rsidRPr="00EB49CA">
              <w:rPr>
                <w:sz w:val="24"/>
                <w:szCs w:val="24"/>
              </w:rPr>
              <w:t xml:space="preserve"> to process claims was far too long; and </w:t>
            </w:r>
          </w:p>
          <w:p w14:paraId="0B98CA3E" w14:textId="4EFA9316" w:rsidR="00D41099" w:rsidRPr="00EB49CA" w:rsidRDefault="0001463D" w:rsidP="00EB49CA">
            <w:pPr>
              <w:pStyle w:val="TableBullet1"/>
              <w:rPr>
                <w:sz w:val="24"/>
                <w:szCs w:val="24"/>
              </w:rPr>
            </w:pPr>
            <w:r>
              <w:rPr>
                <w:sz w:val="24"/>
                <w:szCs w:val="24"/>
              </w:rPr>
              <w:t>t</w:t>
            </w:r>
            <w:r w:rsidR="00E20954" w:rsidRPr="00EB49CA">
              <w:rPr>
                <w:sz w:val="24"/>
                <w:szCs w:val="24"/>
              </w:rPr>
              <w:t>here were delays with publishing relevant information, including settlement frameworks and evidential guidelines.</w:t>
            </w:r>
          </w:p>
          <w:p w14:paraId="5CB91C63" w14:textId="2D962FA7" w:rsidR="004129F2" w:rsidRPr="00EB49CA" w:rsidRDefault="004129F2" w:rsidP="00EB49CA">
            <w:pPr>
              <w:pStyle w:val="Tablebodytext"/>
              <w:rPr>
                <w:sz w:val="24"/>
                <w:szCs w:val="24"/>
              </w:rPr>
            </w:pPr>
            <w:r w:rsidRPr="00EB49CA">
              <w:rPr>
                <w:sz w:val="24"/>
                <w:szCs w:val="24"/>
              </w:rPr>
              <w:t xml:space="preserve">We made the following recommendations: </w:t>
            </w:r>
          </w:p>
          <w:p w14:paraId="77E6A611" w14:textId="6EF4AC94" w:rsidR="004129F2" w:rsidRPr="00EB49CA" w:rsidRDefault="0001463D" w:rsidP="00EB49CA">
            <w:pPr>
              <w:pStyle w:val="TableBullet1"/>
              <w:rPr>
                <w:sz w:val="24"/>
                <w:szCs w:val="24"/>
              </w:rPr>
            </w:pPr>
            <w:r>
              <w:rPr>
                <w:sz w:val="24"/>
                <w:szCs w:val="24"/>
              </w:rPr>
              <w:t>i</w:t>
            </w:r>
            <w:r w:rsidR="004129F2" w:rsidRPr="00EB49CA">
              <w:rPr>
                <w:sz w:val="24"/>
                <w:szCs w:val="24"/>
              </w:rPr>
              <w:t>dentify ways to streamline the process and to reduce processing time</w:t>
            </w:r>
            <w:r>
              <w:rPr>
                <w:sz w:val="24"/>
                <w:szCs w:val="24"/>
              </w:rPr>
              <w:t>s</w:t>
            </w:r>
            <w:r w:rsidR="004129F2" w:rsidRPr="00EB49CA">
              <w:rPr>
                <w:sz w:val="24"/>
                <w:szCs w:val="24"/>
              </w:rPr>
              <w:t xml:space="preserve">; </w:t>
            </w:r>
          </w:p>
          <w:p w14:paraId="667DC1A6" w14:textId="47401DAF" w:rsidR="004129F2" w:rsidRPr="00EB49CA" w:rsidRDefault="0001463D" w:rsidP="00EB49CA">
            <w:pPr>
              <w:pStyle w:val="TableBullet1"/>
              <w:rPr>
                <w:sz w:val="24"/>
                <w:szCs w:val="24"/>
              </w:rPr>
            </w:pPr>
            <w:r>
              <w:rPr>
                <w:sz w:val="24"/>
                <w:szCs w:val="24"/>
              </w:rPr>
              <w:t>p</w:t>
            </w:r>
            <w:r w:rsidR="004129F2" w:rsidRPr="00EB49CA">
              <w:rPr>
                <w:sz w:val="24"/>
                <w:szCs w:val="24"/>
              </w:rPr>
              <w:t xml:space="preserve">ublish guidance material as soon as possible; and </w:t>
            </w:r>
          </w:p>
          <w:p w14:paraId="017AF7AB" w14:textId="4F87E40D" w:rsidR="004129F2" w:rsidRPr="00EB49CA" w:rsidRDefault="0001463D" w:rsidP="00EB49CA">
            <w:pPr>
              <w:pStyle w:val="TableBullet1"/>
              <w:rPr>
                <w:sz w:val="24"/>
                <w:szCs w:val="24"/>
              </w:rPr>
            </w:pPr>
            <w:r>
              <w:rPr>
                <w:sz w:val="24"/>
                <w:szCs w:val="24"/>
              </w:rPr>
              <w:t>e</w:t>
            </w:r>
            <w:r w:rsidR="004129F2" w:rsidRPr="00EB49CA">
              <w:rPr>
                <w:sz w:val="24"/>
                <w:szCs w:val="24"/>
              </w:rPr>
              <w:t xml:space="preserve">nsure Ministers receive advice on whether and how claims that would sit with Boards of open schools move into </w:t>
            </w:r>
            <w:proofErr w:type="spellStart"/>
            <w:r w:rsidR="004129F2" w:rsidRPr="00EB49CA">
              <w:rPr>
                <w:sz w:val="24"/>
                <w:szCs w:val="24"/>
              </w:rPr>
              <w:t>MoE’s</w:t>
            </w:r>
            <w:proofErr w:type="spellEnd"/>
            <w:r w:rsidR="004129F2" w:rsidRPr="00EB49CA">
              <w:rPr>
                <w:sz w:val="24"/>
                <w:szCs w:val="24"/>
              </w:rPr>
              <w:t xml:space="preserve"> scheme. </w:t>
            </w:r>
          </w:p>
          <w:p w14:paraId="50343CC4" w14:textId="3D4A8037" w:rsidR="004129F2" w:rsidRPr="00EB49CA" w:rsidRDefault="004129F2" w:rsidP="00EB49CA">
            <w:pPr>
              <w:pStyle w:val="Tablebodytext"/>
              <w:rPr>
                <w:sz w:val="24"/>
                <w:szCs w:val="24"/>
              </w:rPr>
            </w:pPr>
            <w:r w:rsidRPr="00EB49CA">
              <w:rPr>
                <w:sz w:val="24"/>
                <w:szCs w:val="24"/>
              </w:rPr>
              <w:t xml:space="preserve">We did not make recommendations in areas addressed by recent Government announcements. </w:t>
            </w:r>
          </w:p>
          <w:p w14:paraId="4936C0DC" w14:textId="175CDCA0" w:rsidR="004129F2" w:rsidRPr="00EB49CA" w:rsidRDefault="00D41099" w:rsidP="00EB49CA">
            <w:pPr>
              <w:pStyle w:val="Tablebodytext"/>
              <w:rPr>
                <w:sz w:val="24"/>
                <w:szCs w:val="24"/>
              </w:rPr>
            </w:pPr>
            <w:r w:rsidRPr="00EB49CA">
              <w:rPr>
                <w:sz w:val="24"/>
                <w:szCs w:val="24"/>
              </w:rPr>
              <w:t xml:space="preserve">There were other aspects of the complaint where we did not think </w:t>
            </w:r>
            <w:proofErr w:type="spellStart"/>
            <w:r w:rsidRPr="00EB49CA">
              <w:rPr>
                <w:sz w:val="24"/>
                <w:szCs w:val="24"/>
              </w:rPr>
              <w:t>MoE</w:t>
            </w:r>
            <w:proofErr w:type="spellEnd"/>
            <w:r w:rsidRPr="00EB49CA">
              <w:rPr>
                <w:sz w:val="24"/>
                <w:szCs w:val="24"/>
              </w:rPr>
              <w:t xml:space="preserve"> acted unreasonably. </w:t>
            </w:r>
            <w:r w:rsidR="004129F2" w:rsidRPr="00EB49CA">
              <w:rPr>
                <w:sz w:val="24"/>
                <w:szCs w:val="24"/>
              </w:rPr>
              <w:t>However, e</w:t>
            </w:r>
            <w:r w:rsidR="006B51E0" w:rsidRPr="00EB49CA">
              <w:rPr>
                <w:sz w:val="24"/>
                <w:szCs w:val="24"/>
              </w:rPr>
              <w:t xml:space="preserve">ven where we did not sustain particular elements of the complaint, we made a number of observations and suggestions for improvement, the details of which can be found in the full opinion. </w:t>
            </w:r>
          </w:p>
          <w:p w14:paraId="0CB7F358" w14:textId="5F66CA32" w:rsidR="006B51E0" w:rsidRPr="00EB49CA" w:rsidRDefault="004129F2" w:rsidP="00EB49CA">
            <w:pPr>
              <w:pStyle w:val="Tablebodytext"/>
              <w:rPr>
                <w:sz w:val="24"/>
                <w:szCs w:val="24"/>
              </w:rPr>
            </w:pPr>
            <w:proofErr w:type="spellStart"/>
            <w:r w:rsidRPr="00EB49CA">
              <w:rPr>
                <w:sz w:val="24"/>
                <w:szCs w:val="24"/>
              </w:rPr>
              <w:t>MoE</w:t>
            </w:r>
            <w:proofErr w:type="spellEnd"/>
            <w:r w:rsidRPr="00EB49CA">
              <w:rPr>
                <w:sz w:val="24"/>
                <w:szCs w:val="24"/>
              </w:rPr>
              <w:t xml:space="preserve"> accepted the recommendations. It has published guidance material on its website. </w:t>
            </w:r>
            <w:proofErr w:type="spellStart"/>
            <w:r w:rsidRPr="00EB49CA">
              <w:rPr>
                <w:sz w:val="24"/>
                <w:szCs w:val="24"/>
              </w:rPr>
              <w:t>MoE</w:t>
            </w:r>
            <w:proofErr w:type="spellEnd"/>
            <w:r w:rsidRPr="00EB49CA">
              <w:rPr>
                <w:sz w:val="24"/>
                <w:szCs w:val="24"/>
              </w:rPr>
              <w:t xml:space="preserve"> is working with the Crown Response Office, and other state agencies, to improve timeliness, and provide advice to joint Ministers, including advice on redress for claims that currently sit with Boards of open schools. </w:t>
            </w:r>
          </w:p>
          <w:p w14:paraId="6BE60EA5" w14:textId="23EF6BDA" w:rsidR="006A791F" w:rsidRDefault="006A791F" w:rsidP="00DD1B84">
            <w:pPr>
              <w:pStyle w:val="Boxsmalltext"/>
              <w:tabs>
                <w:tab w:val="num" w:pos="567"/>
              </w:tabs>
            </w:pPr>
            <w:hyperlink r:id="rId29" w:history="1">
              <w:r w:rsidRPr="00EB49CA">
                <w:rPr>
                  <w:rStyle w:val="Hyperlink"/>
                  <w:sz w:val="24"/>
                  <w:szCs w:val="24"/>
                </w:rPr>
                <w:t>Read the full opinion on our website.</w:t>
              </w:r>
            </w:hyperlink>
            <w:r>
              <w:t xml:space="preserve"> </w:t>
            </w:r>
          </w:p>
        </w:tc>
      </w:tr>
    </w:tbl>
    <w:p w14:paraId="7FDCEFF9" w14:textId="330951AE" w:rsidR="006A791F" w:rsidRDefault="006A791F" w:rsidP="000E5CCE">
      <w:pPr>
        <w:pStyle w:val="Whitespace"/>
      </w:pPr>
    </w:p>
    <w:p w14:paraId="7EF37D33" w14:textId="013F6768" w:rsidR="00C42C22" w:rsidRDefault="00970893" w:rsidP="003F19D3">
      <w:pPr>
        <w:pStyle w:val="BodyText"/>
      </w:pPr>
      <w:r>
        <w:t>Our oversight addresses the power imbalance between the individual and the state. This year</w:t>
      </w:r>
      <w:r w:rsidR="00DD34E4">
        <w:t xml:space="preserve">, our complaint handling continued to deliver remedies that have </w:t>
      </w:r>
      <w:r w:rsidR="006F6838">
        <w:t xml:space="preserve">a </w:t>
      </w:r>
      <w:r w:rsidR="00DD34E4">
        <w:t>significant impact on people’s lives</w:t>
      </w:r>
      <w:r w:rsidR="00F927D3">
        <w:t xml:space="preserve"> and improve public sector administration</w:t>
      </w:r>
      <w:r w:rsidR="00497EAD">
        <w:t xml:space="preserve">. </w:t>
      </w:r>
    </w:p>
    <w:tbl>
      <w:tblPr>
        <w:tblStyle w:val="TableBox"/>
        <w:tblW w:w="9297" w:type="dxa"/>
        <w:shd w:val="clear" w:color="auto" w:fill="E9E9E9"/>
        <w:tblLayout w:type="fixed"/>
        <w:tblCellMar>
          <w:bottom w:w="0" w:type="dxa"/>
        </w:tblCellMar>
        <w:tblLook w:val="04A0" w:firstRow="1" w:lastRow="0" w:firstColumn="1" w:lastColumn="0" w:noHBand="0" w:noVBand="1"/>
        <w:tblCaption w:val="Box to emphasise text"/>
      </w:tblPr>
      <w:tblGrid>
        <w:gridCol w:w="9297"/>
      </w:tblGrid>
      <w:tr w:rsidR="00970893" w14:paraId="7845AF8A" w14:textId="77777777" w:rsidTr="00F16CE1">
        <w:tc>
          <w:tcPr>
            <w:tcW w:w="9309" w:type="dxa"/>
            <w:shd w:val="clear" w:color="auto" w:fill="E9E9E9"/>
          </w:tcPr>
          <w:p w14:paraId="1EDAFF15" w14:textId="359F8852" w:rsidR="00970893" w:rsidRPr="000E5CCE" w:rsidRDefault="00970893" w:rsidP="00DD1B84">
            <w:pPr>
              <w:pStyle w:val="Headingboxtexttop"/>
              <w:tabs>
                <w:tab w:val="num" w:pos="567"/>
              </w:tabs>
              <w:rPr>
                <w:color w:val="017E5D"/>
              </w:rPr>
            </w:pPr>
            <w:r w:rsidRPr="000E5CCE">
              <w:rPr>
                <w:color w:val="017E5D"/>
              </w:rPr>
              <w:t xml:space="preserve">IRD debt written off due to financial hardship </w:t>
            </w:r>
          </w:p>
          <w:p w14:paraId="31A8B47C" w14:textId="51878D33" w:rsidR="00DD34E4" w:rsidRDefault="00DD34E4" w:rsidP="00DD34E4">
            <w:pPr>
              <w:pStyle w:val="BodyText"/>
            </w:pPr>
            <w:r>
              <w:t>We received a complaint about the enforcement of a debt under the Small Business Cashflow Loan Scheme (</w:t>
            </w:r>
            <w:proofErr w:type="spellStart"/>
            <w:r>
              <w:t>SBCLS</w:t>
            </w:r>
            <w:proofErr w:type="spellEnd"/>
            <w:r>
              <w:t xml:space="preserve">). </w:t>
            </w:r>
          </w:p>
          <w:p w14:paraId="3020CF4A" w14:textId="4A4AFA66" w:rsidR="00DD34E4" w:rsidRDefault="00DD34E4" w:rsidP="00DD34E4">
            <w:pPr>
              <w:pStyle w:val="BodyText"/>
            </w:pPr>
            <w:r>
              <w:t xml:space="preserve">The complainant had applied for a small business loan under the </w:t>
            </w:r>
            <w:proofErr w:type="spellStart"/>
            <w:r>
              <w:t>SBCLS</w:t>
            </w:r>
            <w:proofErr w:type="spellEnd"/>
            <w:r>
              <w:t xml:space="preserve"> in March 2022, with no repayments due for the first two years. In October 2024, Inland Revenue (IRD) advised </w:t>
            </w:r>
            <w:r w:rsidR="00F71572">
              <w:t xml:space="preserve">the complainant </w:t>
            </w:r>
            <w:r>
              <w:t xml:space="preserve">that a default had occurred due to missed payments since March 2024, meaning the loan was payable in full immediately. The complainant had applied for hardship relief from her tax obligations in June 2024, noting that </w:t>
            </w:r>
            <w:r w:rsidR="00F71572">
              <w:t xml:space="preserve">they </w:t>
            </w:r>
            <w:r>
              <w:t xml:space="preserve">had been unable to work due to injury. IRD inferred from this that the business activities had ceased, which was another event of default under the loan. While it was later acknowledged that the business was still operating, IRD pursued repayment of the debt, based on the default due to missed payments. </w:t>
            </w:r>
          </w:p>
          <w:p w14:paraId="75BD2657" w14:textId="164D5A4F" w:rsidR="00DD34E4" w:rsidRDefault="00DD34E4" w:rsidP="00DD34E4">
            <w:pPr>
              <w:pStyle w:val="BodyText"/>
            </w:pPr>
            <w:r>
              <w:t xml:space="preserve">While IRD had acted in accordance with the terms and conditions of the loan, </w:t>
            </w:r>
            <w:r w:rsidR="008D1AF6">
              <w:t xml:space="preserve">the </w:t>
            </w:r>
            <w:r>
              <w:t xml:space="preserve">Tax Administration Act 1994 enables the Commissioner of IRD to write off tax where recovery would place the taxpayer in serious hardship. This can occur even if the business is still trading. </w:t>
            </w:r>
            <w:r w:rsidR="00F16CE1">
              <w:t xml:space="preserve">The </w:t>
            </w:r>
            <w:r>
              <w:t xml:space="preserve">IRD </w:t>
            </w:r>
            <w:r w:rsidR="00F16CE1">
              <w:t xml:space="preserve">officer involved </w:t>
            </w:r>
            <w:r>
              <w:t xml:space="preserve">had initially </w:t>
            </w:r>
            <w:r w:rsidR="00F16CE1">
              <w:t xml:space="preserve">(and incorrectly) </w:t>
            </w:r>
            <w:r>
              <w:t xml:space="preserve">excluded the </w:t>
            </w:r>
            <w:proofErr w:type="spellStart"/>
            <w:r>
              <w:t>SBCLS</w:t>
            </w:r>
            <w:proofErr w:type="spellEnd"/>
            <w:r>
              <w:t xml:space="preserve"> loan from its consideration of the complainant’s hardship relief application, based on an incorrect interpretation that </w:t>
            </w:r>
            <w:proofErr w:type="spellStart"/>
            <w:r>
              <w:t>SBCLS</w:t>
            </w:r>
            <w:proofErr w:type="spellEnd"/>
            <w:r>
              <w:t xml:space="preserve"> debt was not capable of being written off under the hardship provisions. </w:t>
            </w:r>
          </w:p>
          <w:p w14:paraId="668B3EDF" w14:textId="5C6065F3" w:rsidR="00DD34E4" w:rsidRDefault="00DD34E4" w:rsidP="00DD34E4">
            <w:pPr>
              <w:pStyle w:val="BodyText"/>
            </w:pPr>
            <w:r>
              <w:t xml:space="preserve">Following our intervention, </w:t>
            </w:r>
            <w:r w:rsidR="005961E1">
              <w:t xml:space="preserve">the error was identified and </w:t>
            </w:r>
            <w:r>
              <w:t xml:space="preserve">IRD </w:t>
            </w:r>
            <w:r w:rsidR="005961E1">
              <w:t>acknowledged</w:t>
            </w:r>
            <w:r>
              <w:t xml:space="preserve"> that</w:t>
            </w:r>
            <w:r w:rsidR="005961E1">
              <w:t xml:space="preserve"> the</w:t>
            </w:r>
            <w:r>
              <w:t xml:space="preserve"> </w:t>
            </w:r>
            <w:proofErr w:type="spellStart"/>
            <w:r>
              <w:t>SBCLS</w:t>
            </w:r>
            <w:proofErr w:type="spellEnd"/>
            <w:r>
              <w:t xml:space="preserve"> debt </w:t>
            </w:r>
            <w:r w:rsidR="005961E1">
              <w:t>could be written off on the basis of serious hardship</w:t>
            </w:r>
            <w:r>
              <w:t>. Further, it reconsidered its decision on the complainant’s hardship relief application</w:t>
            </w:r>
            <w:r w:rsidR="005961E1">
              <w:t>, and taking into account the complainant’s specific circumstances,</w:t>
            </w:r>
            <w:r>
              <w:t xml:space="preserve"> removed her </w:t>
            </w:r>
            <w:proofErr w:type="spellStart"/>
            <w:r>
              <w:t>SBCLS</w:t>
            </w:r>
            <w:proofErr w:type="spellEnd"/>
            <w:r>
              <w:t xml:space="preserve"> debt. </w:t>
            </w:r>
          </w:p>
          <w:p w14:paraId="52789DAC" w14:textId="38A2ADB1" w:rsidR="00970893" w:rsidRDefault="00DD34E4" w:rsidP="00DD34E4">
            <w:pPr>
              <w:pStyle w:val="BodyText"/>
            </w:pPr>
            <w:r>
              <w:t xml:space="preserve">Alongside providing a remedy for the complainant, our intervention also contributed to better public sector administration as IRD </w:t>
            </w:r>
            <w:r w:rsidR="005961E1">
              <w:t>reminded staff of the correct a</w:t>
            </w:r>
            <w:r>
              <w:t xml:space="preserve">pproach to hardship relief for </w:t>
            </w:r>
            <w:proofErr w:type="spellStart"/>
            <w:r>
              <w:t>SBCLS</w:t>
            </w:r>
            <w:proofErr w:type="spellEnd"/>
            <w:r>
              <w:t xml:space="preserve"> debt.</w:t>
            </w:r>
          </w:p>
        </w:tc>
      </w:tr>
    </w:tbl>
    <w:p w14:paraId="674A1B0A" w14:textId="684D2E21" w:rsidR="00970893" w:rsidRDefault="00970893" w:rsidP="006F6838">
      <w:pPr>
        <w:pStyle w:val="Whitespace"/>
      </w:pPr>
    </w:p>
    <w:bookmarkEnd w:id="36"/>
    <w:p w14:paraId="6E95488E" w14:textId="73F85BDB" w:rsidR="00086A84" w:rsidRDefault="00086A84" w:rsidP="005A4A1D">
      <w:pPr>
        <w:pStyle w:val="Heading4"/>
        <w:spacing w:before="240"/>
      </w:pPr>
      <w:r>
        <w:t xml:space="preserve">Enquiries </w:t>
      </w:r>
      <w:r w:rsidR="006C14A1">
        <w:t>and c</w:t>
      </w:r>
      <w:r>
        <w:t xml:space="preserve">omplaints </w:t>
      </w:r>
      <w:r w:rsidR="006C14A1">
        <w:t>data</w:t>
      </w:r>
    </w:p>
    <w:p w14:paraId="72C89FBF" w14:textId="77777777" w:rsidR="00851D5F" w:rsidRDefault="00851D5F" w:rsidP="00851D5F">
      <w:pPr>
        <w:pStyle w:val="Heading5"/>
        <w:spacing w:before="240"/>
      </w:pPr>
      <w:r>
        <w:t xml:space="preserve">Enquiries </w:t>
      </w:r>
    </w:p>
    <w:p w14:paraId="310CDC89" w14:textId="14447619" w:rsidR="007C1E5F" w:rsidRPr="00972838" w:rsidRDefault="00851D5F" w:rsidP="007C1E5F">
      <w:pPr>
        <w:pStyle w:val="BodyText"/>
      </w:pPr>
      <w:r w:rsidRPr="007C1E5F">
        <w:t xml:space="preserve">As above, we receive </w:t>
      </w:r>
      <w:r w:rsidR="007C1E5F" w:rsidRPr="007C1E5F">
        <w:t xml:space="preserve">enquiries </w:t>
      </w:r>
      <w:r w:rsidR="007C1E5F" w:rsidRPr="00972838">
        <w:t xml:space="preserve">from members of the public prior to a complaint being made. </w:t>
      </w:r>
    </w:p>
    <w:p w14:paraId="1B2E686A" w14:textId="1C61AA7F" w:rsidR="00851D5F" w:rsidRPr="00851D5F" w:rsidRDefault="007C1E5F" w:rsidP="00851D5F">
      <w:pPr>
        <w:pStyle w:val="BodyText"/>
      </w:pPr>
      <w:r w:rsidRPr="00972838">
        <w:t xml:space="preserve">In 2025/26 we received </w:t>
      </w:r>
      <w:r w:rsidR="00F927D3" w:rsidRPr="00972838">
        <w:t>and completed 6,930</w:t>
      </w:r>
      <w:r w:rsidRPr="00972838">
        <w:t xml:space="preserve"> </w:t>
      </w:r>
      <w:r w:rsidR="00C14CE6" w:rsidRPr="00972838">
        <w:t>OA</w:t>
      </w:r>
      <w:r w:rsidR="00C14CE6">
        <w:t xml:space="preserve"> </w:t>
      </w:r>
      <w:r w:rsidRPr="00F927D3">
        <w:t>enquiries</w:t>
      </w:r>
      <w:r w:rsidR="003C4727">
        <w:t>, exceeding our target of 5,500</w:t>
      </w:r>
      <w:r w:rsidRPr="00F927D3">
        <w:t xml:space="preserve">. </w:t>
      </w:r>
    </w:p>
    <w:p w14:paraId="268FB968" w14:textId="17187B5D" w:rsidR="00851D5F" w:rsidRPr="00F927D3" w:rsidRDefault="00851D5F" w:rsidP="00851D5F">
      <w:pPr>
        <w:pStyle w:val="Heading5"/>
        <w:spacing w:before="240"/>
      </w:pPr>
      <w:r w:rsidRPr="00F927D3">
        <w:t xml:space="preserve">Complaints </w:t>
      </w:r>
    </w:p>
    <w:p w14:paraId="6195CD2C" w14:textId="6CE26DF8" w:rsidR="00851D5F" w:rsidRPr="00F927D3" w:rsidRDefault="00851D5F" w:rsidP="00851D5F">
      <w:pPr>
        <w:pStyle w:val="BodyText"/>
      </w:pPr>
      <w:r w:rsidRPr="00F927D3">
        <w:t xml:space="preserve">This year we received and completed a record number of </w:t>
      </w:r>
      <w:r w:rsidR="00C14CE6">
        <w:t xml:space="preserve">OA </w:t>
      </w:r>
      <w:r w:rsidRPr="00F927D3">
        <w:t>complaints. This included:</w:t>
      </w:r>
    </w:p>
    <w:p w14:paraId="4AED092B" w14:textId="796479E6" w:rsidR="00851D5F" w:rsidRPr="00972838" w:rsidRDefault="00C14CE6" w:rsidP="00851D5F">
      <w:pPr>
        <w:pStyle w:val="Bullet1"/>
      </w:pPr>
      <w:r w:rsidRPr="00972838">
        <w:t>r</w:t>
      </w:r>
      <w:r w:rsidR="00851D5F" w:rsidRPr="00972838">
        <w:t>eceiv</w:t>
      </w:r>
      <w:r w:rsidR="007857A9" w:rsidRPr="00972838">
        <w:t>ing 7,60</w:t>
      </w:r>
      <w:r w:rsidR="00C46025" w:rsidRPr="00972838">
        <w:t>1</w:t>
      </w:r>
      <w:r w:rsidR="007857A9" w:rsidRPr="00972838">
        <w:t xml:space="preserve"> complaints</w:t>
      </w:r>
      <w:r w:rsidRPr="00972838">
        <w:t>,</w:t>
      </w:r>
      <w:r w:rsidR="007857A9" w:rsidRPr="00972838">
        <w:t xml:space="preserve"> 44</w:t>
      </w:r>
      <w:r w:rsidR="00851D5F" w:rsidRPr="00972838">
        <w:t xml:space="preserve"> percent more than last year; and </w:t>
      </w:r>
    </w:p>
    <w:p w14:paraId="4FBA2578" w14:textId="13063EBC" w:rsidR="009F2189" w:rsidRPr="00F927D3" w:rsidRDefault="00C14CE6" w:rsidP="009F2189">
      <w:pPr>
        <w:pStyle w:val="Bullet1"/>
      </w:pPr>
      <w:r w:rsidRPr="00972838">
        <w:t>c</w:t>
      </w:r>
      <w:r w:rsidR="00851D5F" w:rsidRPr="00972838">
        <w:t xml:space="preserve">ompleting </w:t>
      </w:r>
      <w:r w:rsidR="007857A9" w:rsidRPr="00972838">
        <w:t>8,02</w:t>
      </w:r>
      <w:r w:rsidR="00C46025" w:rsidRPr="00972838">
        <w:t>7</w:t>
      </w:r>
      <w:r w:rsidR="007857A9" w:rsidRPr="00972838">
        <w:t xml:space="preserve"> </w:t>
      </w:r>
      <w:r w:rsidR="004617E7" w:rsidRPr="00972838">
        <w:t>complaints, 51</w:t>
      </w:r>
      <w:r w:rsidR="007857A9" w:rsidRPr="00972838">
        <w:t xml:space="preserve"> </w:t>
      </w:r>
      <w:r w:rsidR="00851D5F" w:rsidRPr="00972838">
        <w:t>percent</w:t>
      </w:r>
      <w:r w:rsidR="007857A9">
        <w:t xml:space="preserve"> more</w:t>
      </w:r>
      <w:r w:rsidR="00851D5F" w:rsidRPr="00F927D3">
        <w:t xml:space="preserve"> than last year</w:t>
      </w:r>
      <w:r w:rsidR="003C4727">
        <w:t>, and exceeding our target of 6,800</w:t>
      </w:r>
      <w:r w:rsidR="003C4727" w:rsidRPr="00094D23">
        <w:t>.</w:t>
      </w:r>
    </w:p>
    <w:p w14:paraId="53AC8EA2" w14:textId="6AC81F47" w:rsidR="00B93017" w:rsidRPr="00F927D3" w:rsidRDefault="00B93017" w:rsidP="009F2189">
      <w:pPr>
        <w:pStyle w:val="Bullet1"/>
        <w:numPr>
          <w:ilvl w:val="0"/>
          <w:numId w:val="0"/>
        </w:numPr>
      </w:pPr>
      <w:r>
        <w:rPr>
          <w:noProof/>
        </w:rPr>
        <w:drawing>
          <wp:inline distT="0" distB="0" distL="0" distR="0" wp14:anchorId="1A64E86C" wp14:editId="5C22A884">
            <wp:extent cx="5924550" cy="2971800"/>
            <wp:effectExtent l="0" t="0" r="0" b="0"/>
            <wp:docPr id="1118311761" name="Chart 1" descr="Graph (figure 5) showing Ombudsman Act complaints received and completed over 10 years. Link to table version of the graph below. ">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C9C9463" w14:textId="36771690" w:rsidR="00266B40" w:rsidRPr="00266B40" w:rsidRDefault="00266B40" w:rsidP="00851D5F">
      <w:pPr>
        <w:pStyle w:val="BodyText"/>
        <w:rPr>
          <w:rStyle w:val="Italics"/>
        </w:rPr>
      </w:pPr>
      <w:hyperlink w:anchor="_Figure_5:_Ombudsmen" w:history="1">
        <w:r w:rsidRPr="00B70E86">
          <w:rPr>
            <w:rStyle w:val="Hyperlink"/>
          </w:rPr>
          <w:t>Figure 5: Ombudsmen Act complaints received and completed over 10 years.</w:t>
        </w:r>
      </w:hyperlink>
      <w:r w:rsidRPr="00266B40">
        <w:rPr>
          <w:rStyle w:val="Italics"/>
        </w:rPr>
        <w:t xml:space="preserve"> </w:t>
      </w:r>
    </w:p>
    <w:p w14:paraId="4A08C9E4" w14:textId="5663E751" w:rsidR="008B3434" w:rsidRPr="00972838" w:rsidRDefault="008A2DD6" w:rsidP="00876C0F">
      <w:pPr>
        <w:pStyle w:val="BodyText"/>
        <w:keepLines/>
      </w:pPr>
      <w:r w:rsidRPr="00F927D3">
        <w:t xml:space="preserve">Our clearance rate </w:t>
      </w:r>
      <w:r w:rsidRPr="00972838">
        <w:t xml:space="preserve">for OA complaints for 2025/26 was </w:t>
      </w:r>
      <w:r w:rsidR="007857A9" w:rsidRPr="00972838">
        <w:t>106 percent</w:t>
      </w:r>
      <w:r w:rsidR="00583E17">
        <w:t xml:space="preserve">, compared with </w:t>
      </w:r>
      <w:r w:rsidR="00906B17">
        <w:t>101</w:t>
      </w:r>
      <w:r w:rsidR="001633EA">
        <w:t xml:space="preserve"> </w:t>
      </w:r>
      <w:r w:rsidR="00583E17">
        <w:t>percent last year</w:t>
      </w:r>
      <w:r w:rsidRPr="00972838">
        <w:t xml:space="preserve">. </w:t>
      </w:r>
      <w:r w:rsidR="00492627">
        <w:t>T</w:t>
      </w:r>
      <w:r w:rsidR="009F2189" w:rsidRPr="00972838">
        <w:t>his was achieved through improved real-time data reporting, piloting new approaches, flexible deployment of staff, and prioritising resolution-focused and proportionate approaches.</w:t>
      </w:r>
    </w:p>
    <w:p w14:paraId="22E1C871" w14:textId="6C174BE9" w:rsidR="004617E7" w:rsidRPr="00972838" w:rsidRDefault="004617E7" w:rsidP="00876C0F">
      <w:pPr>
        <w:pStyle w:val="BodyText"/>
        <w:keepLines/>
      </w:pPr>
      <w:r w:rsidRPr="00972838">
        <w:t xml:space="preserve">By taking a pragmatic and proportionate approach, we resolved more complaints before they went to final opinion. This year we resolved </w:t>
      </w:r>
      <w:r w:rsidR="00492627">
        <w:t>536</w:t>
      </w:r>
      <w:r w:rsidRPr="00972838">
        <w:t xml:space="preserve"> </w:t>
      </w:r>
      <w:r w:rsidR="00876C0F">
        <w:t xml:space="preserve">complaints </w:t>
      </w:r>
      <w:r w:rsidR="00257C98" w:rsidRPr="00972838">
        <w:t>prior to formal opinion</w:t>
      </w:r>
      <w:r w:rsidR="00C46025" w:rsidRPr="00972838">
        <w:t xml:space="preserve">, compared with </w:t>
      </w:r>
      <w:r w:rsidR="00492627">
        <w:t>244</w:t>
      </w:r>
      <w:r w:rsidR="00C46025" w:rsidRPr="00972838">
        <w:t xml:space="preserve"> for 2024/25</w:t>
      </w:r>
      <w:r w:rsidR="00497EAD" w:rsidRPr="00972838">
        <w:t xml:space="preserve">. </w:t>
      </w:r>
    </w:p>
    <w:p w14:paraId="11778D68" w14:textId="7C1A7B07" w:rsidR="004617E7" w:rsidRDefault="004617E7" w:rsidP="00876C0F">
      <w:pPr>
        <w:pStyle w:val="BodyText"/>
        <w:keepLines/>
      </w:pPr>
      <w:r w:rsidRPr="00972838">
        <w:t xml:space="preserve">We also delivered more remedies. We delivered </w:t>
      </w:r>
      <w:r w:rsidR="002F1ACE" w:rsidRPr="00972838">
        <w:t>729</w:t>
      </w:r>
      <w:r w:rsidRPr="00972838">
        <w:t xml:space="preserve"> remedies for </w:t>
      </w:r>
      <w:r w:rsidR="00C14CE6" w:rsidRPr="00972838">
        <w:t xml:space="preserve">the </w:t>
      </w:r>
      <w:r w:rsidRPr="00972838">
        <w:t>benefit</w:t>
      </w:r>
      <w:r w:rsidR="00C14CE6" w:rsidRPr="00972838">
        <w:t xml:space="preserve"> of an individual</w:t>
      </w:r>
      <w:r w:rsidRPr="00972838">
        <w:t xml:space="preserve"> and </w:t>
      </w:r>
      <w:r w:rsidR="002F1ACE" w:rsidRPr="00972838">
        <w:t>111</w:t>
      </w:r>
      <w:r w:rsidRPr="00972838">
        <w:t xml:space="preserve"> remedies for </w:t>
      </w:r>
      <w:r w:rsidR="00C14CE6" w:rsidRPr="00972838">
        <w:t xml:space="preserve">the benefit of wider </w:t>
      </w:r>
      <w:r w:rsidRPr="00972838">
        <w:t xml:space="preserve">public administration. </w:t>
      </w:r>
      <w:r w:rsidR="002F1ACE" w:rsidRPr="00972838">
        <w:t xml:space="preserve">In 2024/25 we delivered 429 remedies for </w:t>
      </w:r>
      <w:r w:rsidR="00C14CE6" w:rsidRPr="00972838">
        <w:t xml:space="preserve">the </w:t>
      </w:r>
      <w:r w:rsidR="002F1ACE" w:rsidRPr="00972838">
        <w:t xml:space="preserve">benefit </w:t>
      </w:r>
      <w:r w:rsidR="00C14CE6" w:rsidRPr="00972838">
        <w:t xml:space="preserve">of an individual </w:t>
      </w:r>
      <w:r w:rsidR="002F1ACE" w:rsidRPr="00972838">
        <w:t xml:space="preserve">and </w:t>
      </w:r>
      <w:r w:rsidR="00FD245F" w:rsidRPr="00972838">
        <w:t>121</w:t>
      </w:r>
      <w:r w:rsidR="002F1ACE" w:rsidRPr="00972838">
        <w:t xml:space="preserve"> remedies for </w:t>
      </w:r>
      <w:r w:rsidR="00C14CE6" w:rsidRPr="00972838">
        <w:t xml:space="preserve">the benefit of wider </w:t>
      </w:r>
      <w:r w:rsidR="002F1ACE" w:rsidRPr="00972838">
        <w:t>public administration.</w:t>
      </w:r>
    </w:p>
    <w:p w14:paraId="1EEA5334" w14:textId="161EE4C0" w:rsidR="00045F0A" w:rsidRPr="002E0920" w:rsidRDefault="00045F0A" w:rsidP="00876C0F">
      <w:pPr>
        <w:pStyle w:val="BodyText"/>
        <w:keepLines/>
      </w:pPr>
      <w:r>
        <w:t xml:space="preserve">Details of our key performance indicators can be found in </w:t>
      </w:r>
      <w:hyperlink w:anchor="_Critical_Reporting_Judgements," w:history="1">
        <w:r w:rsidRPr="00045F0A">
          <w:rPr>
            <w:rStyle w:val="Hyperlink"/>
          </w:rPr>
          <w:t>chapter 6</w:t>
        </w:r>
      </w:hyperlink>
      <w:r>
        <w:t xml:space="preserve"> and detailed data is published alongside this annual report </w:t>
      </w:r>
      <w:hyperlink r:id="rId31" w:history="1">
        <w:r w:rsidRPr="002D39BD">
          <w:rPr>
            <w:rStyle w:val="Hyperlink"/>
          </w:rPr>
          <w:t>on our website</w:t>
        </w:r>
      </w:hyperlink>
      <w:r w:rsidR="00497EAD">
        <w:t xml:space="preserve">. </w:t>
      </w:r>
    </w:p>
    <w:tbl>
      <w:tblPr>
        <w:tblStyle w:val="TableBox"/>
        <w:tblW w:w="9297" w:type="dxa"/>
        <w:shd w:val="clear" w:color="auto" w:fill="E9E9E9"/>
        <w:tblLayout w:type="fixed"/>
        <w:tblCellMar>
          <w:bottom w:w="0" w:type="dxa"/>
        </w:tblCellMar>
        <w:tblLook w:val="04A0" w:firstRow="1" w:lastRow="0" w:firstColumn="1" w:lastColumn="0" w:noHBand="0" w:noVBand="1"/>
        <w:tblCaption w:val="Box to emphasise text"/>
      </w:tblPr>
      <w:tblGrid>
        <w:gridCol w:w="9297"/>
      </w:tblGrid>
      <w:tr w:rsidR="0080423A" w14:paraId="1555FA4A" w14:textId="77777777" w:rsidTr="00CC0A6D">
        <w:tc>
          <w:tcPr>
            <w:tcW w:w="9309" w:type="dxa"/>
            <w:shd w:val="clear" w:color="auto" w:fill="E9E9E9"/>
          </w:tcPr>
          <w:p w14:paraId="56F9699B" w14:textId="5ADE4B4A" w:rsidR="0080423A" w:rsidRPr="000E5CCE" w:rsidRDefault="0080423A" w:rsidP="00843CDC">
            <w:pPr>
              <w:pStyle w:val="Headingboxtexttop"/>
              <w:keepNext/>
              <w:tabs>
                <w:tab w:val="num" w:pos="567"/>
              </w:tabs>
              <w:rPr>
                <w:color w:val="017E5D"/>
              </w:rPr>
            </w:pPr>
            <w:r w:rsidRPr="000E5CCE">
              <w:rPr>
                <w:color w:val="017E5D"/>
              </w:rPr>
              <w:t xml:space="preserve">Conciliation Pilot </w:t>
            </w:r>
          </w:p>
          <w:p w14:paraId="54F208DE" w14:textId="599F4F74" w:rsidR="00E77A5B" w:rsidRDefault="008D1AF6" w:rsidP="00591B83">
            <w:pPr>
              <w:pStyle w:val="BodyText"/>
              <w:keepNext/>
              <w:widowControl w:val="0"/>
              <w:rPr>
                <w:szCs w:val="24"/>
              </w:rPr>
            </w:pPr>
            <w:r>
              <w:rPr>
                <w:szCs w:val="24"/>
              </w:rPr>
              <w:t>This year we piloted</w:t>
            </w:r>
            <w:r w:rsidR="00591B83" w:rsidRPr="00297096">
              <w:rPr>
                <w:szCs w:val="24"/>
              </w:rPr>
              <w:t xml:space="preserve"> using conciliation for appropriate complaints, helping </w:t>
            </w:r>
            <w:r w:rsidR="005D569C">
              <w:rPr>
                <w:szCs w:val="24"/>
              </w:rPr>
              <w:t>complainants</w:t>
            </w:r>
            <w:r w:rsidR="005D569C" w:rsidRPr="00297096">
              <w:rPr>
                <w:szCs w:val="24"/>
              </w:rPr>
              <w:t xml:space="preserve"> </w:t>
            </w:r>
            <w:r w:rsidR="00591B83" w:rsidRPr="00297096">
              <w:rPr>
                <w:szCs w:val="24"/>
              </w:rPr>
              <w:t xml:space="preserve">and agencies resolve issues together. Under the pilot we </w:t>
            </w:r>
            <w:r w:rsidR="00F24B49">
              <w:rPr>
                <w:szCs w:val="24"/>
              </w:rPr>
              <w:t>met</w:t>
            </w:r>
            <w:r w:rsidR="00591B83" w:rsidRPr="00297096">
              <w:rPr>
                <w:szCs w:val="24"/>
              </w:rPr>
              <w:t xml:space="preserve"> separately with the complainant and agency, before bringing them together to discuss shared goals and possible solutions</w:t>
            </w:r>
            <w:r w:rsidR="00497EAD">
              <w:rPr>
                <w:szCs w:val="24"/>
              </w:rPr>
              <w:t xml:space="preserve">. </w:t>
            </w:r>
          </w:p>
          <w:p w14:paraId="1AD44C34" w14:textId="3CE2F2FF" w:rsidR="00E77A5B" w:rsidRDefault="00F24B49" w:rsidP="00591B83">
            <w:pPr>
              <w:pStyle w:val="BodyText"/>
              <w:keepNext/>
              <w:widowControl w:val="0"/>
              <w:rPr>
                <w:szCs w:val="24"/>
              </w:rPr>
            </w:pPr>
            <w:r>
              <w:rPr>
                <w:szCs w:val="24"/>
              </w:rPr>
              <w:t>We have seen</w:t>
            </w:r>
            <w:r w:rsidR="00591B83" w:rsidRPr="00297096">
              <w:rPr>
                <w:szCs w:val="24"/>
              </w:rPr>
              <w:t xml:space="preserve"> positive outcomes as we encourage parties to look beyond the past and present</w:t>
            </w:r>
            <w:r w:rsidR="00C14CE6">
              <w:rPr>
                <w:szCs w:val="24"/>
              </w:rPr>
              <w:t>, and</w:t>
            </w:r>
            <w:r w:rsidR="00591B83" w:rsidRPr="00297096">
              <w:rPr>
                <w:szCs w:val="24"/>
              </w:rPr>
              <w:t xml:space="preserve"> to focus on the future. We have been pleased to see parties working together to improve public administration and creating higher trust and positive relationships between government agencies and the public. </w:t>
            </w:r>
          </w:p>
          <w:p w14:paraId="62152973" w14:textId="77777777" w:rsidR="00E77A5B" w:rsidRDefault="00E77A5B" w:rsidP="00C14CE6">
            <w:pPr>
              <w:pStyle w:val="BodyText"/>
              <w:keepNext/>
              <w:widowControl w:val="0"/>
              <w:spacing w:after="60"/>
              <w:rPr>
                <w:szCs w:val="24"/>
              </w:rPr>
            </w:pPr>
            <w:r>
              <w:rPr>
                <w:szCs w:val="24"/>
              </w:rPr>
              <w:t xml:space="preserve">A complainant who participated in the process provided the following feedback: </w:t>
            </w:r>
          </w:p>
          <w:p w14:paraId="339F3F6F" w14:textId="6836766E" w:rsidR="00591B83" w:rsidRPr="00CC0A6D" w:rsidRDefault="00E77A5B" w:rsidP="00E77A5B">
            <w:pPr>
              <w:pStyle w:val="Quotationseparateparagraph"/>
              <w:rPr>
                <w:color w:val="auto"/>
              </w:rPr>
            </w:pPr>
            <w:r w:rsidRPr="00CC0A6D">
              <w:rPr>
                <w:color w:val="auto"/>
              </w:rPr>
              <w:t xml:space="preserve">Thank you </w:t>
            </w:r>
            <w:r w:rsidR="0027485F" w:rsidRPr="00CC0A6D">
              <w:rPr>
                <w:color w:val="auto"/>
              </w:rPr>
              <w:t>[…]</w:t>
            </w:r>
            <w:r w:rsidR="0027485F" w:rsidRPr="00CC0A6D">
              <w:rPr>
                <w:rStyle w:val="CommentReference"/>
                <w:i w:val="0"/>
                <w:color w:val="auto"/>
              </w:rPr>
              <w:t xml:space="preserve"> </w:t>
            </w:r>
            <w:r w:rsidR="0027485F" w:rsidRPr="00CC0A6D">
              <w:rPr>
                <w:color w:val="auto"/>
              </w:rPr>
              <w:t>for</w:t>
            </w:r>
            <w:r w:rsidRPr="00CC0A6D">
              <w:rPr>
                <w:color w:val="auto"/>
              </w:rPr>
              <w:t xml:space="preserve"> all the support you’ve given throughout this process. I appreciated the way you guided the discussion and helped us all work toward a positive resolution…Thank you again for your time, patience, and support throughout this whole process</w:t>
            </w:r>
            <w:r w:rsidR="005E3FAB" w:rsidRPr="00CC0A6D">
              <w:rPr>
                <w:color w:val="auto"/>
              </w:rPr>
              <w:t>.</w:t>
            </w:r>
            <w:r w:rsidR="00591B83" w:rsidRPr="00CC0A6D">
              <w:rPr>
                <w:color w:val="auto"/>
              </w:rPr>
              <w:t xml:space="preserve"> </w:t>
            </w:r>
          </w:p>
          <w:p w14:paraId="39553819" w14:textId="5B8BE976" w:rsidR="00E77A5B" w:rsidRPr="00E77A5B" w:rsidRDefault="00B20F4D" w:rsidP="002E25BE">
            <w:pPr>
              <w:pStyle w:val="BodyText"/>
              <w:keepNext/>
              <w:widowControl w:val="0"/>
              <w:rPr>
                <w:sz w:val="22"/>
              </w:rPr>
            </w:pPr>
            <w:r>
              <w:rPr>
                <w:szCs w:val="24"/>
              </w:rPr>
              <w:t xml:space="preserve">The pilot </w:t>
            </w:r>
            <w:r w:rsidR="00D764C0">
              <w:rPr>
                <w:szCs w:val="24"/>
              </w:rPr>
              <w:t xml:space="preserve">will continue into 2026/27. </w:t>
            </w:r>
            <w:r>
              <w:rPr>
                <w:szCs w:val="24"/>
              </w:rPr>
              <w:t xml:space="preserve">Lessons already learnt include </w:t>
            </w:r>
            <w:r w:rsidR="00591B83" w:rsidRPr="00297096">
              <w:rPr>
                <w:szCs w:val="24"/>
              </w:rPr>
              <w:t xml:space="preserve">that complaints involving an ongoing relationship are most suited to conciliation, and that </w:t>
            </w:r>
            <w:r w:rsidR="00D764C0">
              <w:rPr>
                <w:szCs w:val="24"/>
              </w:rPr>
              <w:t xml:space="preserve">it can result in meaningful individual and systemic outcomes. </w:t>
            </w:r>
            <w:r w:rsidR="00591B83" w:rsidRPr="00D32470">
              <w:rPr>
                <w:sz w:val="22"/>
              </w:rPr>
              <w:t xml:space="preserve"> </w:t>
            </w:r>
          </w:p>
        </w:tc>
      </w:tr>
    </w:tbl>
    <w:p w14:paraId="421D3456" w14:textId="518CD57E" w:rsidR="00E106BF" w:rsidRDefault="00E106BF" w:rsidP="00876C0F">
      <w:pPr>
        <w:pStyle w:val="Whitespace"/>
      </w:pPr>
    </w:p>
    <w:p w14:paraId="62C72C62" w14:textId="51E10F85" w:rsidR="005A4A1D" w:rsidRDefault="005A4A1D" w:rsidP="005A4A1D">
      <w:pPr>
        <w:pStyle w:val="Heading4"/>
        <w:spacing w:before="240"/>
      </w:pPr>
      <w:r>
        <w:t xml:space="preserve">Children in care </w:t>
      </w:r>
    </w:p>
    <w:p w14:paraId="17AF4870" w14:textId="5884001D" w:rsidR="00C92D64" w:rsidRDefault="00C92D64" w:rsidP="00C92D64">
      <w:pPr>
        <w:pStyle w:val="BodyText"/>
      </w:pPr>
      <w:r w:rsidRPr="009C7E8E">
        <w:t>The Ombudsman has enhanced oversight over Oranga Tamariki and its care and custody providers under the Oversight of Oranga Tamariki System Act 2022</w:t>
      </w:r>
      <w:r w:rsidR="00D36603">
        <w:t>.</w:t>
      </w:r>
    </w:p>
    <w:p w14:paraId="497C1880" w14:textId="77777777" w:rsidR="00C92D64" w:rsidRPr="009C7E8E" w:rsidRDefault="00C92D64" w:rsidP="00C92D64">
      <w:pPr>
        <w:pStyle w:val="BodyText"/>
      </w:pPr>
      <w:r w:rsidRPr="009C7E8E">
        <w:t>Our enhanced functions and powers include:</w:t>
      </w:r>
    </w:p>
    <w:p w14:paraId="38C4BDDE" w14:textId="77777777" w:rsidR="00C92D64" w:rsidRPr="009C7E8E" w:rsidRDefault="00C92D64" w:rsidP="00C92D64">
      <w:pPr>
        <w:pStyle w:val="Bullet1"/>
        <w:tabs>
          <w:tab w:val="clear" w:pos="567"/>
        </w:tabs>
      </w:pPr>
      <w:r w:rsidRPr="009C7E8E">
        <w:t xml:space="preserve">the extension of OA and OIA jurisdiction </w:t>
      </w:r>
      <w:r>
        <w:t>over care</w:t>
      </w:r>
      <w:r w:rsidRPr="009C7E8E">
        <w:t xml:space="preserve"> or custody providers</w:t>
      </w:r>
      <w:r>
        <w:t xml:space="preserve"> contracted to Oranga Tamariki</w:t>
      </w:r>
      <w:r w:rsidRPr="009C7E8E">
        <w:t>;</w:t>
      </w:r>
    </w:p>
    <w:p w14:paraId="6EB4BF8B" w14:textId="2121C02C" w:rsidR="00C92D64" w:rsidRPr="009C7E8E" w:rsidRDefault="00C92D64" w:rsidP="00C92D64">
      <w:pPr>
        <w:pStyle w:val="Bullet1"/>
        <w:tabs>
          <w:tab w:val="clear" w:pos="567"/>
        </w:tabs>
      </w:pPr>
      <w:r w:rsidRPr="009C7E8E">
        <w:t>specific requirements on Oranga Tamariki and care or custody providers to provide information to us; and</w:t>
      </w:r>
    </w:p>
    <w:p w14:paraId="272525CB" w14:textId="7C51A1BC" w:rsidR="00C92D64" w:rsidRPr="009C7E8E" w:rsidRDefault="00C92D64" w:rsidP="00C92D64">
      <w:pPr>
        <w:pStyle w:val="Bullet1"/>
        <w:tabs>
          <w:tab w:val="clear" w:pos="567"/>
        </w:tabs>
      </w:pPr>
      <w:r w:rsidRPr="009C7E8E">
        <w:t>an express mandate for the Ombudsman to provide guidance to Oranga Tamariki and care or custody providers on the design of their complaints processes</w:t>
      </w:r>
      <w:r>
        <w:t>.</w:t>
      </w:r>
      <w:r w:rsidRPr="009C7E8E">
        <w:t xml:space="preserve"> </w:t>
      </w:r>
    </w:p>
    <w:p w14:paraId="3BFE0C65" w14:textId="77777777" w:rsidR="00C92D64" w:rsidRPr="009C7E8E" w:rsidRDefault="00C92D64" w:rsidP="00C92D64">
      <w:pPr>
        <w:pStyle w:val="BodyText"/>
      </w:pPr>
      <w:r w:rsidRPr="009C7E8E">
        <w:t xml:space="preserve">The legislation requires we operate in a way that: </w:t>
      </w:r>
    </w:p>
    <w:p w14:paraId="1C2E4713" w14:textId="0A6E9429" w:rsidR="00C92D64" w:rsidRPr="009C7E8E" w:rsidRDefault="00C92D64" w:rsidP="00C92D64">
      <w:pPr>
        <w:pStyle w:val="Bullet1"/>
        <w:tabs>
          <w:tab w:val="clear" w:pos="567"/>
        </w:tabs>
      </w:pPr>
      <w:r w:rsidRPr="009C7E8E">
        <w:t xml:space="preserve">recognises the importance of </w:t>
      </w:r>
      <w:r w:rsidR="00D764C0">
        <w:t>tamariki</w:t>
      </w:r>
      <w:r w:rsidRPr="009C7E8E" w:rsidDel="00C220E2">
        <w:t xml:space="preserve"> </w:t>
      </w:r>
      <w:r w:rsidRPr="009C7E8E">
        <w:t xml:space="preserve">and rangatahi whānau, hapū, iwi and culture; </w:t>
      </w:r>
    </w:p>
    <w:p w14:paraId="36696936" w14:textId="73FF80CD" w:rsidR="00C92D64" w:rsidRPr="009C7E8E" w:rsidRDefault="00C92D64" w:rsidP="00C92D64">
      <w:pPr>
        <w:pStyle w:val="Bullet1"/>
        <w:tabs>
          <w:tab w:val="clear" w:pos="567"/>
        </w:tabs>
      </w:pPr>
      <w:r w:rsidRPr="009C7E8E">
        <w:t>ensures our processes are visible and accessible to tamariki, rangatahi, and their whānau, hapū and iwi, or an individual or organisation supporting them; and</w:t>
      </w:r>
    </w:p>
    <w:p w14:paraId="04F61722" w14:textId="77777777" w:rsidR="00C92D64" w:rsidRPr="009C7E8E" w:rsidRDefault="00C92D64" w:rsidP="00C92D64">
      <w:pPr>
        <w:pStyle w:val="Bullet1"/>
        <w:tabs>
          <w:tab w:val="clear" w:pos="567"/>
        </w:tabs>
      </w:pPr>
      <w:r w:rsidRPr="009C7E8E">
        <w:t xml:space="preserve">involves them in the complaint or investigation process as appropriate. </w:t>
      </w:r>
    </w:p>
    <w:p w14:paraId="478B63AF" w14:textId="501372A6" w:rsidR="00C92D64" w:rsidRDefault="00C92D64" w:rsidP="00C92D64">
      <w:pPr>
        <w:pStyle w:val="BodyText"/>
      </w:pPr>
      <w:r w:rsidRPr="009C7E8E">
        <w:t>These obligations promote a child-centric, trauma-informed and tikanga-informed approach</w:t>
      </w:r>
      <w:r w:rsidR="00D36603">
        <w:t>.</w:t>
      </w:r>
    </w:p>
    <w:p w14:paraId="2FF090D8" w14:textId="3FFCF05D" w:rsidR="002813D8" w:rsidRPr="009C7E8E" w:rsidRDefault="00D36603" w:rsidP="00C92D64">
      <w:pPr>
        <w:pStyle w:val="BodyText"/>
      </w:pPr>
      <w:r>
        <w:t xml:space="preserve">The legislation also sets out how we work with </w:t>
      </w:r>
      <w:r w:rsidR="00C14CE6">
        <w:t xml:space="preserve">Mana Mokopuna | </w:t>
      </w:r>
      <w:r>
        <w:t xml:space="preserve">the Children’s Commissioner and </w:t>
      </w:r>
      <w:r w:rsidRPr="00C82114">
        <w:t xml:space="preserve">Aroturuki Tamariki </w:t>
      </w:r>
      <w:r w:rsidR="00C14CE6">
        <w:t>|</w:t>
      </w:r>
      <w:r w:rsidRPr="00C82114">
        <w:t>the Independent Children’s Monitor</w:t>
      </w:r>
      <w:r>
        <w:t>. This includes having a ‘no-wrong door’ approach</w:t>
      </w:r>
      <w:r w:rsidR="00C14CE6">
        <w:t xml:space="preserve"> for approaches from children, young people and other members of the public</w:t>
      </w:r>
      <w:r w:rsidR="001D4EF3">
        <w:t>.</w:t>
      </w:r>
    </w:p>
    <w:tbl>
      <w:tblPr>
        <w:tblStyle w:val="TableBox"/>
        <w:tblW w:w="9297" w:type="dxa"/>
        <w:tblLayout w:type="fixed"/>
        <w:tblCellMar>
          <w:bottom w:w="0" w:type="dxa"/>
        </w:tblCellMar>
        <w:tblLook w:val="04A0" w:firstRow="1" w:lastRow="0" w:firstColumn="1" w:lastColumn="0" w:noHBand="0" w:noVBand="1"/>
        <w:tblCaption w:val="Box to emphasise text"/>
      </w:tblPr>
      <w:tblGrid>
        <w:gridCol w:w="9297"/>
      </w:tblGrid>
      <w:tr w:rsidR="00507D93" w14:paraId="08CA9963" w14:textId="77777777" w:rsidTr="00CC0A6D">
        <w:tc>
          <w:tcPr>
            <w:tcW w:w="9514" w:type="dxa"/>
            <w:shd w:val="clear" w:color="auto" w:fill="E9E9E9"/>
          </w:tcPr>
          <w:p w14:paraId="0FD8AFA2" w14:textId="2A680235" w:rsidR="0001212C" w:rsidRPr="002813D8" w:rsidRDefault="0001212C" w:rsidP="00DD1B84">
            <w:pPr>
              <w:pStyle w:val="Headingboxtexttop"/>
              <w:tabs>
                <w:tab w:val="num" w:pos="567"/>
              </w:tabs>
              <w:rPr>
                <w:color w:val="017E5D"/>
              </w:rPr>
            </w:pPr>
            <w:r w:rsidRPr="002813D8">
              <w:rPr>
                <w:color w:val="017E5D"/>
              </w:rPr>
              <w:t xml:space="preserve">Nau-mai.nz </w:t>
            </w:r>
          </w:p>
          <w:p w14:paraId="1C9BE85C" w14:textId="3F1FC1C8" w:rsidR="00507D93" w:rsidRPr="00C8526D" w:rsidRDefault="0001212C" w:rsidP="00DD1B84">
            <w:pPr>
              <w:pStyle w:val="Boxsmalltext"/>
              <w:tabs>
                <w:tab w:val="num" w:pos="567"/>
              </w:tabs>
              <w:rPr>
                <w:sz w:val="24"/>
                <w:szCs w:val="24"/>
              </w:rPr>
            </w:pPr>
            <w:hyperlink r:id="rId32" w:history="1">
              <w:r w:rsidRPr="00C8526D">
                <w:rPr>
                  <w:rStyle w:val="Hyperlink"/>
                  <w:sz w:val="24"/>
                  <w:szCs w:val="24"/>
                </w:rPr>
                <w:t>Nau-mai.nz</w:t>
              </w:r>
            </w:hyperlink>
            <w:r w:rsidRPr="00C8526D">
              <w:rPr>
                <w:sz w:val="24"/>
                <w:szCs w:val="24"/>
              </w:rPr>
              <w:t xml:space="preserve"> is our website that provides support to tamariki, rangatahi and their trusted adults who may have concerns about the services or support received from Oranga Tamariki and its care or custody providers.</w:t>
            </w:r>
          </w:p>
          <w:p w14:paraId="537B8498" w14:textId="035AB366" w:rsidR="0001212C" w:rsidRPr="00C8526D" w:rsidRDefault="0001212C" w:rsidP="0001212C">
            <w:pPr>
              <w:pStyle w:val="Boxsmalltext"/>
              <w:tabs>
                <w:tab w:val="num" w:pos="567"/>
              </w:tabs>
              <w:rPr>
                <w:sz w:val="24"/>
                <w:szCs w:val="24"/>
              </w:rPr>
            </w:pPr>
            <w:r w:rsidRPr="00C8526D">
              <w:rPr>
                <w:sz w:val="24"/>
                <w:szCs w:val="24"/>
              </w:rPr>
              <w:t xml:space="preserve">This year we launched a new story based on a real case. </w:t>
            </w:r>
            <w:r w:rsidR="00E20F8B">
              <w:rPr>
                <w:sz w:val="24"/>
                <w:szCs w:val="24"/>
              </w:rPr>
              <w:t>‘</w:t>
            </w:r>
            <w:hyperlink r:id="rId33" w:history="1">
              <w:r w:rsidRPr="00C8526D">
                <w:rPr>
                  <w:rStyle w:val="Hyperlink"/>
                  <w:sz w:val="24"/>
                  <w:szCs w:val="24"/>
                </w:rPr>
                <w:t>If things are not right</w:t>
              </w:r>
            </w:hyperlink>
            <w:r w:rsidR="00E20F8B">
              <w:t>’</w:t>
            </w:r>
            <w:r w:rsidRPr="00C8526D">
              <w:rPr>
                <w:sz w:val="24"/>
                <w:szCs w:val="24"/>
              </w:rPr>
              <w:t xml:space="preserve"> introduces a character called ‘the O</w:t>
            </w:r>
            <w:r w:rsidR="00BF697B" w:rsidRPr="00C8526D">
              <w:rPr>
                <w:sz w:val="24"/>
                <w:szCs w:val="24"/>
              </w:rPr>
              <w:t>’ and</w:t>
            </w:r>
            <w:r w:rsidRPr="00C8526D">
              <w:rPr>
                <w:sz w:val="24"/>
                <w:szCs w:val="24"/>
              </w:rPr>
              <w:t xml:space="preserve"> shows how the Ombudsman helped a </w:t>
            </w:r>
            <w:r w:rsidR="00BF697B" w:rsidRPr="00C8526D">
              <w:rPr>
                <w:sz w:val="24"/>
                <w:szCs w:val="24"/>
              </w:rPr>
              <w:t>rangatahi</w:t>
            </w:r>
            <w:r w:rsidRPr="00C8526D">
              <w:rPr>
                <w:sz w:val="24"/>
                <w:szCs w:val="24"/>
              </w:rPr>
              <w:t xml:space="preserve"> solve a problem in their care home. It </w:t>
            </w:r>
            <w:r w:rsidR="00866275">
              <w:rPr>
                <w:sz w:val="24"/>
                <w:szCs w:val="24"/>
              </w:rPr>
              <w:t xml:space="preserve">is </w:t>
            </w:r>
            <w:r w:rsidR="00E20F8B">
              <w:rPr>
                <w:sz w:val="24"/>
                <w:szCs w:val="24"/>
              </w:rPr>
              <w:t xml:space="preserve">based on a real case and </w:t>
            </w:r>
            <w:r w:rsidRPr="00C8526D">
              <w:rPr>
                <w:sz w:val="24"/>
                <w:szCs w:val="24"/>
              </w:rPr>
              <w:t xml:space="preserve">is available as a short video or one page comic in </w:t>
            </w:r>
            <w:proofErr w:type="spellStart"/>
            <w:r w:rsidR="002166B1">
              <w:rPr>
                <w:sz w:val="24"/>
                <w:szCs w:val="24"/>
              </w:rPr>
              <w:t>t</w:t>
            </w:r>
            <w:r w:rsidR="002166B1" w:rsidRPr="00C8526D">
              <w:rPr>
                <w:sz w:val="24"/>
                <w:szCs w:val="24"/>
              </w:rPr>
              <w:t>e</w:t>
            </w:r>
            <w:proofErr w:type="spellEnd"/>
            <w:r w:rsidR="002166B1" w:rsidRPr="00C8526D">
              <w:rPr>
                <w:sz w:val="24"/>
                <w:szCs w:val="24"/>
              </w:rPr>
              <w:t xml:space="preserve"> </w:t>
            </w:r>
            <w:proofErr w:type="spellStart"/>
            <w:r w:rsidR="002166B1">
              <w:rPr>
                <w:sz w:val="24"/>
                <w:szCs w:val="24"/>
              </w:rPr>
              <w:t>r</w:t>
            </w:r>
            <w:r w:rsidR="002166B1" w:rsidRPr="00C8526D">
              <w:rPr>
                <w:sz w:val="24"/>
                <w:szCs w:val="24"/>
              </w:rPr>
              <w:t>eo</w:t>
            </w:r>
            <w:proofErr w:type="spellEnd"/>
            <w:r w:rsidR="002166B1" w:rsidRPr="00C8526D">
              <w:rPr>
                <w:sz w:val="24"/>
                <w:szCs w:val="24"/>
              </w:rPr>
              <w:t xml:space="preserve"> </w:t>
            </w:r>
            <w:r w:rsidRPr="00C8526D">
              <w:rPr>
                <w:sz w:val="24"/>
                <w:szCs w:val="24"/>
              </w:rPr>
              <w:t xml:space="preserve">Māori </w:t>
            </w:r>
            <w:r w:rsidR="00F70CA7">
              <w:rPr>
                <w:sz w:val="24"/>
                <w:szCs w:val="24"/>
              </w:rPr>
              <w:t>and</w:t>
            </w:r>
            <w:r w:rsidRPr="00C8526D">
              <w:rPr>
                <w:sz w:val="24"/>
                <w:szCs w:val="24"/>
              </w:rPr>
              <w:t xml:space="preserve"> English</w:t>
            </w:r>
            <w:r w:rsidR="00E20F8B">
              <w:rPr>
                <w:sz w:val="24"/>
                <w:szCs w:val="24"/>
              </w:rPr>
              <w:t xml:space="preserve">. It </w:t>
            </w:r>
            <w:r w:rsidRPr="00C8526D">
              <w:rPr>
                <w:sz w:val="24"/>
                <w:szCs w:val="24"/>
              </w:rPr>
              <w:t>explains:</w:t>
            </w:r>
          </w:p>
          <w:p w14:paraId="3C47B7B6" w14:textId="7A829E44" w:rsidR="0001212C" w:rsidRPr="00C8526D" w:rsidRDefault="00E20F8B" w:rsidP="0001212C">
            <w:pPr>
              <w:pStyle w:val="TableBullet1"/>
              <w:rPr>
                <w:sz w:val="24"/>
                <w:szCs w:val="24"/>
              </w:rPr>
            </w:pPr>
            <w:r>
              <w:rPr>
                <w:sz w:val="24"/>
                <w:szCs w:val="24"/>
              </w:rPr>
              <w:t>h</w:t>
            </w:r>
            <w:r w:rsidR="0001212C" w:rsidRPr="00C8526D">
              <w:rPr>
                <w:sz w:val="24"/>
                <w:szCs w:val="24"/>
              </w:rPr>
              <w:t xml:space="preserve">ow the Ombudsman </w:t>
            </w:r>
            <w:r>
              <w:rPr>
                <w:sz w:val="24"/>
                <w:szCs w:val="24"/>
              </w:rPr>
              <w:t xml:space="preserve">can </w:t>
            </w:r>
            <w:r w:rsidR="0001212C" w:rsidRPr="00C8526D">
              <w:rPr>
                <w:sz w:val="24"/>
                <w:szCs w:val="24"/>
              </w:rPr>
              <w:t>help</w:t>
            </w:r>
            <w:r w:rsidR="00B20F4D">
              <w:rPr>
                <w:sz w:val="24"/>
                <w:szCs w:val="24"/>
              </w:rPr>
              <w:t>;</w:t>
            </w:r>
          </w:p>
          <w:p w14:paraId="0E2CEE6B" w14:textId="1E6BAE45" w:rsidR="0001212C" w:rsidRPr="00C8526D" w:rsidRDefault="00E20F8B" w:rsidP="0001212C">
            <w:pPr>
              <w:pStyle w:val="TableBullet1"/>
              <w:rPr>
                <w:sz w:val="24"/>
                <w:szCs w:val="24"/>
              </w:rPr>
            </w:pPr>
            <w:r>
              <w:rPr>
                <w:sz w:val="24"/>
                <w:szCs w:val="24"/>
              </w:rPr>
              <w:t>w</w:t>
            </w:r>
            <w:r w:rsidR="0001212C" w:rsidRPr="00C8526D">
              <w:rPr>
                <w:sz w:val="24"/>
                <w:szCs w:val="24"/>
              </w:rPr>
              <w:t>hat we do when someone tells us about a problem</w:t>
            </w:r>
            <w:r w:rsidR="00B20F4D">
              <w:rPr>
                <w:sz w:val="24"/>
                <w:szCs w:val="24"/>
              </w:rPr>
              <w:t xml:space="preserve">; and </w:t>
            </w:r>
          </w:p>
          <w:p w14:paraId="292DC6EF" w14:textId="3CA19422" w:rsidR="00BF697B" w:rsidRDefault="00E20F8B" w:rsidP="00BF697B">
            <w:pPr>
              <w:pStyle w:val="TableBullet1"/>
              <w:rPr>
                <w:sz w:val="24"/>
                <w:szCs w:val="24"/>
              </w:rPr>
            </w:pPr>
            <w:r>
              <w:rPr>
                <w:sz w:val="24"/>
                <w:szCs w:val="24"/>
              </w:rPr>
              <w:t>h</w:t>
            </w:r>
            <w:r w:rsidR="0001212C" w:rsidRPr="00C8526D">
              <w:rPr>
                <w:sz w:val="24"/>
                <w:szCs w:val="24"/>
              </w:rPr>
              <w:t>ow things can change when people speak up</w:t>
            </w:r>
            <w:r>
              <w:rPr>
                <w:sz w:val="24"/>
                <w:szCs w:val="24"/>
              </w:rPr>
              <w:t>—i</w:t>
            </w:r>
            <w:r w:rsidR="0001212C" w:rsidRPr="00C8526D">
              <w:rPr>
                <w:sz w:val="24"/>
                <w:szCs w:val="24"/>
              </w:rPr>
              <w:t>f we can fix the problem we will, if we can’t, we will find someone who can.</w:t>
            </w:r>
          </w:p>
          <w:p w14:paraId="58EE216C" w14:textId="77777777" w:rsidR="0075763F" w:rsidRDefault="0075763F" w:rsidP="0075763F">
            <w:pPr>
              <w:pStyle w:val="BodyText"/>
            </w:pPr>
            <w:r w:rsidRPr="0075763F">
              <w:t>The campaign had strong engagement across all of our social media platforms with a total of 97,900 views, 6</w:t>
            </w:r>
            <w:r>
              <w:t>,000</w:t>
            </w:r>
            <w:r w:rsidRPr="0075763F">
              <w:t xml:space="preserve"> link clicks, and 19,846 likes or shares of the content</w:t>
            </w:r>
            <w:r>
              <w:t xml:space="preserve">. </w:t>
            </w:r>
          </w:p>
          <w:p w14:paraId="7E4DC6A5" w14:textId="18A38F6C" w:rsidR="00BF697B" w:rsidRDefault="00506E24" w:rsidP="0075763F">
            <w:pPr>
              <w:pStyle w:val="BodyText"/>
            </w:pPr>
            <w:r>
              <w:t xml:space="preserve">It is promising to see unique visitors to </w:t>
            </w:r>
            <w:hyperlink r:id="rId34" w:history="1">
              <w:r w:rsidR="0075763F" w:rsidRPr="00506E24">
                <w:rPr>
                  <w:rStyle w:val="Hyperlink"/>
                </w:rPr>
                <w:t>Nau-mai.nz</w:t>
              </w:r>
            </w:hyperlink>
            <w:r w:rsidR="0075763F">
              <w:t xml:space="preserve"> </w:t>
            </w:r>
            <w:r w:rsidR="0075763F">
              <w:rPr>
                <w:szCs w:val="24"/>
              </w:rPr>
              <w:t xml:space="preserve">more than double year on year to 3,788. </w:t>
            </w:r>
            <w:r>
              <w:rPr>
                <w:szCs w:val="24"/>
              </w:rPr>
              <w:t xml:space="preserve">We continue to focus our engagement, outreach and communications at reaching more tamariki and rangatahi, so they know about us and how to get our support. </w:t>
            </w:r>
          </w:p>
        </w:tc>
      </w:tr>
    </w:tbl>
    <w:p w14:paraId="5F6B1EBD" w14:textId="77777777" w:rsidR="00507D93" w:rsidRDefault="00507D93" w:rsidP="00507D93">
      <w:pPr>
        <w:pStyle w:val="Whitespace"/>
      </w:pPr>
    </w:p>
    <w:p w14:paraId="44C41B75" w14:textId="036377F4" w:rsidR="00507D93" w:rsidRDefault="001D4EF3" w:rsidP="001D4EF3">
      <w:pPr>
        <w:pStyle w:val="Heading5"/>
      </w:pPr>
      <w:r>
        <w:t xml:space="preserve">complaints and resolution </w:t>
      </w:r>
    </w:p>
    <w:p w14:paraId="29FA567D" w14:textId="73ADEB0F" w:rsidR="001D4EF3" w:rsidRDefault="00C17917" w:rsidP="001D4EF3">
      <w:pPr>
        <w:pStyle w:val="BodyText"/>
      </w:pPr>
      <w:r w:rsidRPr="00822ED1">
        <w:t xml:space="preserve">In 2025/26 we received </w:t>
      </w:r>
      <w:r w:rsidR="00B835B6" w:rsidRPr="00B93017">
        <w:t>1,2</w:t>
      </w:r>
      <w:r w:rsidR="009E39B8">
        <w:t>47</w:t>
      </w:r>
      <w:r w:rsidRPr="00822ED1">
        <w:t xml:space="preserve"> </w:t>
      </w:r>
      <w:r w:rsidR="00FD245F" w:rsidRPr="00822ED1">
        <w:t xml:space="preserve">OA and OIA </w:t>
      </w:r>
      <w:r w:rsidRPr="00822ED1">
        <w:t xml:space="preserve">complaints and </w:t>
      </w:r>
      <w:r w:rsidR="002F75C0" w:rsidRPr="00822ED1">
        <w:t>enquiries about Oranga Tamariki</w:t>
      </w:r>
      <w:r w:rsidR="005146AD" w:rsidRPr="00822ED1">
        <w:t>, compared with 793 last year</w:t>
      </w:r>
      <w:r w:rsidR="002F75C0" w:rsidRPr="00822ED1">
        <w:t xml:space="preserve">. We completed </w:t>
      </w:r>
      <w:r w:rsidR="00B835B6" w:rsidRPr="00822ED1">
        <w:t>1,395</w:t>
      </w:r>
      <w:r w:rsidR="002F75C0" w:rsidRPr="00822ED1">
        <w:t xml:space="preserve"> complaints</w:t>
      </w:r>
      <w:r w:rsidR="00E20F8B">
        <w:t xml:space="preserve"> and enquiries</w:t>
      </w:r>
      <w:r w:rsidR="005146AD" w:rsidRPr="00822ED1">
        <w:t>, compared with 823 last year</w:t>
      </w:r>
      <w:r w:rsidR="00497EAD">
        <w:t>.</w:t>
      </w:r>
      <w:r w:rsidR="009A604F">
        <w:rPr>
          <w:rStyle w:val="FootnoteReference"/>
        </w:rPr>
        <w:footnoteReference w:id="12"/>
      </w:r>
      <w:r w:rsidR="00497EAD">
        <w:t xml:space="preserve"> </w:t>
      </w:r>
    </w:p>
    <w:p w14:paraId="6C7D27CE" w14:textId="0EB85C05" w:rsidR="00B835B6" w:rsidRPr="005146AD" w:rsidRDefault="00B835B6" w:rsidP="001D4EF3">
      <w:pPr>
        <w:pStyle w:val="BodyText"/>
      </w:pPr>
      <w:r>
        <w:rPr>
          <w:noProof/>
        </w:rPr>
        <w:drawing>
          <wp:inline distT="0" distB="0" distL="0" distR="0" wp14:anchorId="51AEE12A" wp14:editId="34A089A5">
            <wp:extent cx="5904230" cy="2703830"/>
            <wp:effectExtent l="0" t="0" r="1270" b="1270"/>
            <wp:docPr id="1209296756" name="Chart 1" descr="Graph (figure 6) showing complaints and enquiries received and completed against Oranga Tamariki over 10 years. Link to table version of the graph below. ">
              <a:extLst xmlns:a="http://schemas.openxmlformats.org/drawingml/2006/main">
                <a:ext uri="{FF2B5EF4-FFF2-40B4-BE49-F238E27FC236}">
                  <a16:creationId xmlns:a16="http://schemas.microsoft.com/office/drawing/2014/main" id="{1035BEC6-1E28-4564-8664-B7BCB6486C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59C7AE8" w14:textId="63925716" w:rsidR="002F75C0" w:rsidRPr="00B70E86" w:rsidRDefault="00266B40" w:rsidP="001D4EF3">
      <w:pPr>
        <w:pStyle w:val="BodyText"/>
        <w:rPr>
          <w:rStyle w:val="Italics"/>
          <w:i w:val="0"/>
          <w:iCs/>
        </w:rPr>
      </w:pPr>
      <w:hyperlink w:anchor="_Figure_6:_Complaints" w:history="1">
        <w:r w:rsidRPr="00B70E86">
          <w:rPr>
            <w:rStyle w:val="Hyperlink"/>
            <w:i/>
            <w:iCs/>
          </w:rPr>
          <w:t>Figure 6: Complaints and enquiries received and completed against Oranga Tamariki over 10 years.</w:t>
        </w:r>
      </w:hyperlink>
    </w:p>
    <w:tbl>
      <w:tblPr>
        <w:tblStyle w:val="TableBox"/>
        <w:tblW w:w="9297" w:type="dxa"/>
        <w:tblLayout w:type="fixed"/>
        <w:tblCellMar>
          <w:bottom w:w="0" w:type="dxa"/>
        </w:tblCellMar>
        <w:tblLook w:val="04A0" w:firstRow="1" w:lastRow="0" w:firstColumn="1" w:lastColumn="0" w:noHBand="0" w:noVBand="1"/>
        <w:tblCaption w:val="Box to emphasise text"/>
      </w:tblPr>
      <w:tblGrid>
        <w:gridCol w:w="9297"/>
      </w:tblGrid>
      <w:tr w:rsidR="00297096" w14:paraId="4E44DF6F" w14:textId="77777777" w:rsidTr="00CC0A6D">
        <w:tc>
          <w:tcPr>
            <w:tcW w:w="9514" w:type="dxa"/>
            <w:shd w:val="clear" w:color="auto" w:fill="E9E9E9"/>
          </w:tcPr>
          <w:p w14:paraId="4F3D3980" w14:textId="67A59DB2" w:rsidR="00AD0A5A" w:rsidRPr="002813D8" w:rsidRDefault="00AD0A5A" w:rsidP="00DD1B84">
            <w:pPr>
              <w:pStyle w:val="Headingboxtexttop"/>
              <w:tabs>
                <w:tab w:val="num" w:pos="567"/>
              </w:tabs>
              <w:rPr>
                <w:color w:val="017E5D"/>
              </w:rPr>
            </w:pPr>
            <w:bookmarkStart w:id="38" w:name="_Hlk235515429"/>
            <w:r w:rsidRPr="002813D8">
              <w:rPr>
                <w:color w:val="017E5D"/>
              </w:rPr>
              <w:t xml:space="preserve">Update: Children in care – complaints to the Ombudsman 2019-2023 </w:t>
            </w:r>
          </w:p>
          <w:p w14:paraId="368B3985" w14:textId="2E78A043" w:rsidR="009E03EC" w:rsidRPr="00E106BF" w:rsidRDefault="009E03EC" w:rsidP="009E03EC">
            <w:pPr>
              <w:pStyle w:val="TableBullet1"/>
              <w:numPr>
                <w:ilvl w:val="0"/>
                <w:numId w:val="0"/>
              </w:numPr>
              <w:rPr>
                <w:sz w:val="24"/>
                <w:szCs w:val="24"/>
              </w:rPr>
            </w:pPr>
            <w:r w:rsidRPr="00E106BF">
              <w:rPr>
                <w:sz w:val="24"/>
                <w:szCs w:val="24"/>
              </w:rPr>
              <w:t xml:space="preserve">We </w:t>
            </w:r>
            <w:r w:rsidR="00E20F8B">
              <w:rPr>
                <w:sz w:val="24"/>
                <w:szCs w:val="24"/>
              </w:rPr>
              <w:t xml:space="preserve">have </w:t>
            </w:r>
            <w:r w:rsidRPr="00E106BF">
              <w:rPr>
                <w:sz w:val="24"/>
                <w:szCs w:val="24"/>
              </w:rPr>
              <w:t xml:space="preserve">reported on the actions taken by Oranga Tamariki in response to our report </w:t>
            </w:r>
            <w:hyperlink r:id="rId36" w:history="1">
              <w:r w:rsidRPr="00E106BF">
                <w:rPr>
                  <w:rStyle w:val="Hyperlink"/>
                  <w:sz w:val="24"/>
                  <w:szCs w:val="24"/>
                </w:rPr>
                <w:t>Children in care—complaints to the Ombudsman 2019-2023</w:t>
              </w:r>
            </w:hyperlink>
            <w:r w:rsidR="00E20F8B">
              <w:t>,</w:t>
            </w:r>
            <w:r w:rsidRPr="00E106BF">
              <w:rPr>
                <w:sz w:val="24"/>
                <w:szCs w:val="24"/>
              </w:rPr>
              <w:t xml:space="preserve"> over the past two years. </w:t>
            </w:r>
          </w:p>
          <w:p w14:paraId="162A7F08" w14:textId="629DFA3F" w:rsidR="009E03EC" w:rsidRPr="00E106BF" w:rsidRDefault="009E03EC" w:rsidP="009E03EC">
            <w:pPr>
              <w:pStyle w:val="TableBullet1"/>
              <w:numPr>
                <w:ilvl w:val="0"/>
                <w:numId w:val="0"/>
              </w:numPr>
              <w:rPr>
                <w:sz w:val="24"/>
                <w:szCs w:val="24"/>
              </w:rPr>
            </w:pPr>
            <w:r w:rsidRPr="00E106BF">
              <w:rPr>
                <w:sz w:val="24"/>
                <w:szCs w:val="24"/>
              </w:rPr>
              <w:t xml:space="preserve">In </w:t>
            </w:r>
            <w:r w:rsidR="00E20F8B">
              <w:rPr>
                <w:sz w:val="24"/>
                <w:szCs w:val="24"/>
              </w:rPr>
              <w:t>our</w:t>
            </w:r>
            <w:r w:rsidR="00E20F8B" w:rsidRPr="00E106BF">
              <w:rPr>
                <w:sz w:val="24"/>
                <w:szCs w:val="24"/>
              </w:rPr>
              <w:t xml:space="preserve"> </w:t>
            </w:r>
            <w:r w:rsidRPr="00E106BF">
              <w:rPr>
                <w:sz w:val="24"/>
                <w:szCs w:val="24"/>
              </w:rPr>
              <w:t xml:space="preserve">report, we provided our view of </w:t>
            </w:r>
            <w:r w:rsidR="001F2392" w:rsidRPr="00E106BF">
              <w:rPr>
                <w:sz w:val="24"/>
                <w:szCs w:val="24"/>
              </w:rPr>
              <w:t xml:space="preserve">the changes that </w:t>
            </w:r>
            <w:r w:rsidRPr="00E106BF">
              <w:rPr>
                <w:sz w:val="24"/>
                <w:szCs w:val="24"/>
              </w:rPr>
              <w:t>Oranga Tamariki</w:t>
            </w:r>
            <w:r w:rsidR="001F2392" w:rsidRPr="00E106BF">
              <w:rPr>
                <w:sz w:val="24"/>
                <w:szCs w:val="24"/>
              </w:rPr>
              <w:t xml:space="preserve"> needed to make to embed good practice</w:t>
            </w:r>
            <w:r w:rsidRPr="00E106BF">
              <w:rPr>
                <w:sz w:val="24"/>
                <w:szCs w:val="24"/>
              </w:rPr>
              <w:t>. These changes included an organisation-wide quality improvement plan, ensuring staff understand and apply legislation and policy, better attention to detail and accurate information in decision-making, training and guidance, effective recording and tracking of reports of concern, effective supervision and review processes, quality assurance, good record-keeping, identifying resource needs</w:t>
            </w:r>
            <w:r w:rsidR="00D32B46" w:rsidRPr="00E106BF">
              <w:rPr>
                <w:sz w:val="24"/>
                <w:szCs w:val="24"/>
              </w:rPr>
              <w:t>,</w:t>
            </w:r>
            <w:r w:rsidRPr="00E106BF">
              <w:rPr>
                <w:sz w:val="24"/>
                <w:szCs w:val="24"/>
              </w:rPr>
              <w:t xml:space="preserve"> and effective escalation processes. </w:t>
            </w:r>
          </w:p>
          <w:p w14:paraId="7DFBAEC0" w14:textId="4009F114" w:rsidR="00297096" w:rsidRPr="00E106BF" w:rsidRDefault="009E03EC" w:rsidP="009E03EC">
            <w:pPr>
              <w:pStyle w:val="TableBullet1"/>
              <w:numPr>
                <w:ilvl w:val="0"/>
                <w:numId w:val="0"/>
              </w:numPr>
              <w:rPr>
                <w:sz w:val="24"/>
                <w:szCs w:val="24"/>
              </w:rPr>
            </w:pPr>
            <w:r w:rsidRPr="00E106BF">
              <w:rPr>
                <w:sz w:val="24"/>
                <w:szCs w:val="24"/>
              </w:rPr>
              <w:t xml:space="preserve">Oranga Tamariki has now </w:t>
            </w:r>
            <w:r w:rsidR="00E20F8B">
              <w:rPr>
                <w:sz w:val="24"/>
                <w:szCs w:val="24"/>
              </w:rPr>
              <w:t xml:space="preserve">taken action on </w:t>
            </w:r>
            <w:r w:rsidRPr="00E106BF">
              <w:rPr>
                <w:sz w:val="24"/>
                <w:szCs w:val="24"/>
              </w:rPr>
              <w:t xml:space="preserve">many of these </w:t>
            </w:r>
            <w:r w:rsidR="00E20F8B">
              <w:rPr>
                <w:sz w:val="24"/>
                <w:szCs w:val="24"/>
              </w:rPr>
              <w:t>issues</w:t>
            </w:r>
            <w:r w:rsidR="00E20F8B" w:rsidRPr="00E106BF">
              <w:rPr>
                <w:sz w:val="24"/>
                <w:szCs w:val="24"/>
              </w:rPr>
              <w:t xml:space="preserve"> </w:t>
            </w:r>
            <w:r w:rsidRPr="00E106BF">
              <w:rPr>
                <w:sz w:val="24"/>
                <w:szCs w:val="24"/>
              </w:rPr>
              <w:t xml:space="preserve">and has work programmes underway in other areas. Some of these work programmes are significant, and this work will continue for the next several years. </w:t>
            </w:r>
          </w:p>
          <w:p w14:paraId="27BE6567" w14:textId="477E08EC" w:rsidR="00D32B46" w:rsidRPr="009E03EC" w:rsidRDefault="00D32B46" w:rsidP="009E03EC">
            <w:pPr>
              <w:pStyle w:val="TableBullet1"/>
              <w:numPr>
                <w:ilvl w:val="0"/>
                <w:numId w:val="0"/>
              </w:numPr>
              <w:rPr>
                <w:i/>
                <w:iCs/>
              </w:rPr>
            </w:pPr>
            <w:r w:rsidRPr="00E106BF">
              <w:rPr>
                <w:sz w:val="24"/>
                <w:szCs w:val="24"/>
              </w:rPr>
              <w:t>Our report, ongoing monitoring of the implementation of the suggested changes, and the relationship we have built with Oranga Tamariki</w:t>
            </w:r>
            <w:r w:rsidR="00E20F8B">
              <w:rPr>
                <w:sz w:val="24"/>
                <w:szCs w:val="24"/>
              </w:rPr>
              <w:t>,</w:t>
            </w:r>
            <w:r w:rsidRPr="00E106BF">
              <w:rPr>
                <w:sz w:val="24"/>
                <w:szCs w:val="24"/>
              </w:rPr>
              <w:t xml:space="preserve"> evidences the impact we have in supporting agencies to improve their</w:t>
            </w:r>
            <w:r w:rsidR="007A32A8" w:rsidRPr="00E106BF">
              <w:rPr>
                <w:sz w:val="24"/>
                <w:szCs w:val="24"/>
              </w:rPr>
              <w:t xml:space="preserve"> capability</w:t>
            </w:r>
            <w:r w:rsidRPr="00E106BF">
              <w:rPr>
                <w:sz w:val="24"/>
                <w:szCs w:val="24"/>
              </w:rPr>
              <w:t>.</w:t>
            </w:r>
            <w:r>
              <w:t xml:space="preserve"> </w:t>
            </w:r>
          </w:p>
        </w:tc>
      </w:tr>
      <w:bookmarkEnd w:id="38"/>
    </w:tbl>
    <w:p w14:paraId="433C75F2" w14:textId="77777777" w:rsidR="00297096" w:rsidRDefault="00297096" w:rsidP="00297096">
      <w:pPr>
        <w:pStyle w:val="Whitespace"/>
      </w:pPr>
    </w:p>
    <w:p w14:paraId="1DFA04B1" w14:textId="18E9A6CD" w:rsidR="005A4A1D" w:rsidRDefault="005A4A1D" w:rsidP="006C14A1">
      <w:pPr>
        <w:pStyle w:val="Heading4"/>
        <w:spacing w:before="240"/>
      </w:pPr>
      <w:bookmarkStart w:id="39" w:name="_Hlk235516693"/>
      <w:r>
        <w:t xml:space="preserve">Proactive interventions </w:t>
      </w:r>
    </w:p>
    <w:p w14:paraId="29C754D9" w14:textId="35840518" w:rsidR="00392B1E" w:rsidRPr="00DA4B90" w:rsidRDefault="00392B1E" w:rsidP="00392B1E">
      <w:pPr>
        <w:pStyle w:val="BodyText"/>
      </w:pPr>
      <w:r w:rsidRPr="00DA4B90">
        <w:t>In 202</w:t>
      </w:r>
      <w:r>
        <w:t>5</w:t>
      </w:r>
      <w:r w:rsidRPr="00DA4B90">
        <w:t>/2</w:t>
      </w:r>
      <w:r>
        <w:t>6</w:t>
      </w:r>
      <w:r w:rsidR="00584A2A">
        <w:t xml:space="preserve"> </w:t>
      </w:r>
      <w:r w:rsidRPr="00DA4B90">
        <w:t xml:space="preserve">we continued to actively monitor serious and systemic issues in the public sector, taking an early resolution approach to matters of concern, where appropriate. We also monitored: </w:t>
      </w:r>
    </w:p>
    <w:p w14:paraId="5F0ED64E" w14:textId="77777777" w:rsidR="00392B1E" w:rsidRPr="00DA4B90" w:rsidRDefault="00392B1E" w:rsidP="00392B1E">
      <w:pPr>
        <w:pStyle w:val="Bullet1"/>
        <w:tabs>
          <w:tab w:val="clear" w:pos="567"/>
        </w:tabs>
      </w:pPr>
      <w:r w:rsidRPr="00DA4B90">
        <w:t>deaths and serious incidents relating to people in the custody of</w:t>
      </w:r>
      <w:r>
        <w:t xml:space="preserve"> the Department of</w:t>
      </w:r>
      <w:r w:rsidRPr="00DA4B90">
        <w:t xml:space="preserve"> Corrections; and </w:t>
      </w:r>
    </w:p>
    <w:p w14:paraId="5740677E" w14:textId="1C0A1E5E" w:rsidR="00392B1E" w:rsidRDefault="00F70CA7" w:rsidP="00392B1E">
      <w:pPr>
        <w:pStyle w:val="Bullet1"/>
        <w:tabs>
          <w:tab w:val="clear" w:pos="567"/>
        </w:tabs>
      </w:pPr>
      <w:r>
        <w:t>critical and serious</w:t>
      </w:r>
      <w:r w:rsidR="00392B1E" w:rsidRPr="00DA4B90">
        <w:t xml:space="preserve"> events relating to children and young people in </w:t>
      </w:r>
      <w:r w:rsidR="00392B1E">
        <w:t xml:space="preserve">the </w:t>
      </w:r>
      <w:r w:rsidR="00392B1E" w:rsidRPr="00DA4B90">
        <w:t>care or custody</w:t>
      </w:r>
      <w:r w:rsidR="00392B1E">
        <w:t xml:space="preserve"> of Oranga Tamariki</w:t>
      </w:r>
      <w:r w:rsidR="00392B1E" w:rsidRPr="00DA4B90">
        <w:t>.</w:t>
      </w:r>
      <w:r w:rsidR="00392B1E" w:rsidRPr="00DA4B90">
        <w:rPr>
          <w:rStyle w:val="FootnoteReference"/>
        </w:rPr>
        <w:footnoteReference w:id="13"/>
      </w:r>
    </w:p>
    <w:p w14:paraId="5CCF41F6" w14:textId="6A9D7450" w:rsidR="00392B1E" w:rsidRPr="00DA4B90" w:rsidRDefault="00392B1E" w:rsidP="00392B1E">
      <w:pPr>
        <w:pStyle w:val="BodyText"/>
      </w:pPr>
      <w:bookmarkStart w:id="40" w:name="_Hlk235516635"/>
      <w:bookmarkEnd w:id="39"/>
      <w:r w:rsidRPr="00DA4B90">
        <w:t>We monitor the implementation of recommendations made in our investigations, both in relation to complaints and proactive interventions.</w:t>
      </w:r>
      <w:r w:rsidR="00584A2A" w:rsidRPr="00DA4B90">
        <w:t xml:space="preserve"> </w:t>
      </w:r>
      <w:r w:rsidRPr="00DA4B90">
        <w:t xml:space="preserve">The purpose of this monitoring is to work with agencies to facilitate meaningful and effective improvement and outcomes. </w:t>
      </w:r>
    </w:p>
    <w:p w14:paraId="6766442E" w14:textId="62E0E0CF" w:rsidR="0093761B" w:rsidRPr="00BC640C" w:rsidRDefault="0093761B" w:rsidP="00502C13">
      <w:pPr>
        <w:pStyle w:val="BodyText"/>
        <w:rPr>
          <w:i/>
          <w:iCs/>
          <w:u w:val="single"/>
        </w:rPr>
      </w:pPr>
      <w:r>
        <w:t xml:space="preserve">In 2025/26 we published a new </w:t>
      </w:r>
      <w:r w:rsidRPr="0054014B">
        <w:t>report</w:t>
      </w:r>
      <w:r w:rsidR="00E2312F" w:rsidRPr="0054014B">
        <w:t>:</w:t>
      </w:r>
      <w:r w:rsidR="00BC640C" w:rsidRPr="0054014B">
        <w:t xml:space="preserve"> </w:t>
      </w:r>
      <w:hyperlink r:id="rId37" w:history="1">
        <w:r w:rsidR="00507A06" w:rsidRPr="00C625CB">
          <w:rPr>
            <w:rStyle w:val="Hyperlink"/>
            <w:i/>
          </w:rPr>
          <w:t>Of</w:t>
        </w:r>
        <w:r w:rsidR="00BC640C" w:rsidRPr="00C625CB">
          <w:rPr>
            <w:rStyle w:val="Hyperlink"/>
            <w:i/>
          </w:rPr>
          <w:t xml:space="preserve">f the record: </w:t>
        </w:r>
        <w:r w:rsidR="00373E31" w:rsidRPr="00C625CB">
          <w:rPr>
            <w:rStyle w:val="Hyperlink"/>
            <w:i/>
          </w:rPr>
          <w:t>F</w:t>
        </w:r>
        <w:r w:rsidR="00BC640C" w:rsidRPr="00C625CB">
          <w:rPr>
            <w:rStyle w:val="Hyperlink"/>
            <w:i/>
          </w:rPr>
          <w:t>ollow-up</w:t>
        </w:r>
        <w:r w:rsidR="00373E31" w:rsidRPr="00C625CB">
          <w:rPr>
            <w:rStyle w:val="Hyperlink"/>
            <w:i/>
          </w:rPr>
          <w:t xml:space="preserve"> </w:t>
        </w:r>
        <w:r w:rsidR="00FB49F3" w:rsidRPr="00C625CB">
          <w:rPr>
            <w:rStyle w:val="Hyperlink"/>
            <w:i/>
          </w:rPr>
          <w:t>R</w:t>
        </w:r>
        <w:r w:rsidR="009201C9" w:rsidRPr="00C625CB">
          <w:rPr>
            <w:rStyle w:val="Hyperlink"/>
            <w:i/>
          </w:rPr>
          <w:t>eport</w:t>
        </w:r>
      </w:hyperlink>
      <w:r w:rsidR="00BC640C">
        <w:rPr>
          <w:rStyle w:val="Italics"/>
        </w:rPr>
        <w:t xml:space="preserve">. </w:t>
      </w:r>
      <w:r>
        <w:t>This report is a follow up on our 2020 report</w:t>
      </w:r>
      <w:r w:rsidRPr="00507A06">
        <w:t xml:space="preserve"> </w:t>
      </w:r>
      <w:hyperlink r:id="rId38" w:history="1">
        <w:r w:rsidRPr="006758FB">
          <w:rPr>
            <w:rStyle w:val="Hyperlink"/>
            <w:i/>
            <w:iCs/>
          </w:rPr>
          <w:t>Off the Record</w:t>
        </w:r>
      </w:hyperlink>
      <w:r w:rsidR="00BC640C">
        <w:t xml:space="preserve"> where we </w:t>
      </w:r>
      <w:r>
        <w:t xml:space="preserve">looked into deaths of people with intellectual disabilities living in residential care and </w:t>
      </w:r>
      <w:r w:rsidR="00E2312F">
        <w:t xml:space="preserve">made </w:t>
      </w:r>
      <w:r>
        <w:t xml:space="preserve">ten recommendations. </w:t>
      </w:r>
      <w:r w:rsidR="00932442">
        <w:t xml:space="preserve">Since 2020, the disability sector has undergone considerable change. </w:t>
      </w:r>
      <w:bookmarkStart w:id="41" w:name="_Hlk235516235"/>
      <w:r w:rsidR="00932442">
        <w:t xml:space="preserve">Responsibility for oversight of </w:t>
      </w:r>
      <w:r w:rsidR="00E2312F">
        <w:t xml:space="preserve">care of </w:t>
      </w:r>
      <w:r w:rsidR="00932442">
        <w:t>intellectually disabled people in residential care has shifted agencies several times and now sits with Disability Support Services</w:t>
      </w:r>
      <w:r w:rsidR="00507A06">
        <w:t xml:space="preserve"> (DSS)</w:t>
      </w:r>
      <w:r w:rsidR="00932442">
        <w:t xml:space="preserve"> within Ministry for Social Development</w:t>
      </w:r>
      <w:r w:rsidR="00E2312F">
        <w:t xml:space="preserve"> (MSD)</w:t>
      </w:r>
      <w:r w:rsidR="00932442">
        <w:t>. Because of this, we wanted to ensure that the issues identified</w:t>
      </w:r>
      <w:r w:rsidR="00B20F4D">
        <w:t>,</w:t>
      </w:r>
      <w:r w:rsidR="00932442">
        <w:t xml:space="preserve"> and our recommendations</w:t>
      </w:r>
      <w:r w:rsidR="00B20F4D">
        <w:t>,</w:t>
      </w:r>
      <w:r w:rsidR="00932442">
        <w:t xml:space="preserve"> in </w:t>
      </w:r>
      <w:hyperlink r:id="rId39" w:history="1">
        <w:r w:rsidR="00932442" w:rsidRPr="006758FB">
          <w:rPr>
            <w:rStyle w:val="Hyperlink"/>
            <w:i/>
            <w:iCs/>
          </w:rPr>
          <w:t xml:space="preserve">Off the </w:t>
        </w:r>
        <w:r w:rsidR="0039732E" w:rsidRPr="006758FB">
          <w:rPr>
            <w:rStyle w:val="Hyperlink"/>
            <w:i/>
            <w:iCs/>
          </w:rPr>
          <w:t>Record</w:t>
        </w:r>
      </w:hyperlink>
      <w:r w:rsidR="0039732E">
        <w:t xml:space="preserve"> had been addressed</w:t>
      </w:r>
      <w:r w:rsidR="00497EAD">
        <w:t xml:space="preserve">. </w:t>
      </w:r>
      <w:bookmarkEnd w:id="41"/>
      <w:r w:rsidR="00E2312F">
        <w:t>Our</w:t>
      </w:r>
      <w:r w:rsidR="00507A06" w:rsidRPr="00507A06">
        <w:t xml:space="preserve"> new report assesses MSD’s progress against the </w:t>
      </w:r>
      <w:proofErr w:type="gramStart"/>
      <w:r w:rsidR="00507A06" w:rsidRPr="00507A06">
        <w:t>recommendations, and</w:t>
      </w:r>
      <w:proofErr w:type="gramEnd"/>
      <w:r w:rsidR="00507A06" w:rsidRPr="00507A06">
        <w:t xml:space="preserve"> provides insight into work underway on two outstanding recommendations. It also outlines the improvements DSS have made to the oversight of care of intellectually disabled people in residential care.</w:t>
      </w:r>
    </w:p>
    <w:p w14:paraId="2BC66459" w14:textId="137DC978" w:rsidR="00B20F4D" w:rsidRDefault="0039732E" w:rsidP="00584A2A">
      <w:pPr>
        <w:pStyle w:val="BodyText"/>
      </w:pPr>
      <w:r>
        <w:t xml:space="preserve">In 2025/26 we also engaged with the </w:t>
      </w:r>
      <w:r w:rsidR="00584A2A">
        <w:t>Department of Corrections regarding the care and support of neurodivergent prisoners</w:t>
      </w:r>
      <w:r w:rsidR="000B221C">
        <w:t>, as well as</w:t>
      </w:r>
      <w:r w:rsidR="00584A2A" w:rsidRPr="003C6B43">
        <w:t xml:space="preserve"> double bunking decision-making</w:t>
      </w:r>
      <w:r w:rsidR="00497EAD">
        <w:t xml:space="preserve">. </w:t>
      </w:r>
      <w:r w:rsidRPr="003C6B43">
        <w:t xml:space="preserve">We are continuing to engage with the Department on these issues, and we </w:t>
      </w:r>
      <w:r w:rsidR="00507A06">
        <w:t>will</w:t>
      </w:r>
      <w:r w:rsidRPr="003C6B43">
        <w:t xml:space="preserve"> utilise the insights from this proactive </w:t>
      </w:r>
      <w:r w:rsidR="00F70CA7" w:rsidRPr="003C6B43">
        <w:t>intervention</w:t>
      </w:r>
      <w:r w:rsidRPr="003C6B43">
        <w:t xml:space="preserve"> to inform our complaint handling</w:t>
      </w:r>
      <w:r w:rsidR="00507A06">
        <w:t xml:space="preserve"> moving forward</w:t>
      </w:r>
      <w:r w:rsidR="00497EAD">
        <w:t xml:space="preserve">. </w:t>
      </w:r>
    </w:p>
    <w:tbl>
      <w:tblPr>
        <w:tblStyle w:val="TableBox"/>
        <w:tblW w:w="9297" w:type="dxa"/>
        <w:tblLayout w:type="fixed"/>
        <w:tblCellMar>
          <w:bottom w:w="0" w:type="dxa"/>
        </w:tblCellMar>
        <w:tblLook w:val="04A0" w:firstRow="1" w:lastRow="0" w:firstColumn="1" w:lastColumn="0" w:noHBand="0" w:noVBand="1"/>
        <w:tblCaption w:val="Box to emphasise text"/>
      </w:tblPr>
      <w:tblGrid>
        <w:gridCol w:w="9297"/>
      </w:tblGrid>
      <w:tr w:rsidR="00584A2A" w14:paraId="557A62CC" w14:textId="77777777" w:rsidTr="00747063">
        <w:trPr>
          <w:trHeight w:val="8271"/>
        </w:trPr>
        <w:tc>
          <w:tcPr>
            <w:tcW w:w="9309" w:type="dxa"/>
            <w:shd w:val="clear" w:color="auto" w:fill="E9E9E9"/>
          </w:tcPr>
          <w:p w14:paraId="15D69792" w14:textId="4258FD94" w:rsidR="00584A2A" w:rsidRPr="002813D8" w:rsidRDefault="00584A2A" w:rsidP="005A0727">
            <w:pPr>
              <w:pStyle w:val="Headingboxtexttop"/>
              <w:keepNext/>
              <w:tabs>
                <w:tab w:val="num" w:pos="567"/>
              </w:tabs>
              <w:rPr>
                <w:color w:val="017E5D"/>
              </w:rPr>
            </w:pPr>
            <w:bookmarkStart w:id="42" w:name="_Hlk235517292"/>
            <w:bookmarkEnd w:id="40"/>
            <w:r w:rsidRPr="002813D8">
              <w:rPr>
                <w:color w:val="017E5D"/>
              </w:rPr>
              <w:t>In</w:t>
            </w:r>
            <w:r w:rsidR="00631EF0" w:rsidRPr="002813D8">
              <w:rPr>
                <w:color w:val="017E5D"/>
              </w:rPr>
              <w:t xml:space="preserve">sight briefings to </w:t>
            </w:r>
            <w:r w:rsidR="00F36CCB">
              <w:rPr>
                <w:color w:val="017E5D"/>
              </w:rPr>
              <w:t>assist</w:t>
            </w:r>
            <w:r w:rsidR="00631EF0" w:rsidRPr="002813D8">
              <w:rPr>
                <w:color w:val="017E5D"/>
              </w:rPr>
              <w:t xml:space="preserve"> </w:t>
            </w:r>
            <w:r w:rsidR="00F70CA7">
              <w:rPr>
                <w:color w:val="017E5D"/>
              </w:rPr>
              <w:t>s</w:t>
            </w:r>
            <w:r w:rsidR="00631EF0" w:rsidRPr="002813D8">
              <w:rPr>
                <w:color w:val="017E5D"/>
              </w:rPr>
              <w:t xml:space="preserve">elect </w:t>
            </w:r>
            <w:r w:rsidR="00F70CA7">
              <w:rPr>
                <w:color w:val="017E5D"/>
              </w:rPr>
              <w:t>c</w:t>
            </w:r>
            <w:r w:rsidR="00631EF0" w:rsidRPr="002813D8">
              <w:rPr>
                <w:color w:val="017E5D"/>
              </w:rPr>
              <w:t xml:space="preserve">ommittee scrutiny </w:t>
            </w:r>
          </w:p>
          <w:p w14:paraId="128213DE" w14:textId="6E648902" w:rsidR="00631EF0" w:rsidRPr="003E28B7" w:rsidRDefault="00B20F4D" w:rsidP="005A0727">
            <w:pPr>
              <w:pStyle w:val="BodyText"/>
              <w:keepNext/>
              <w:spacing w:line="240" w:lineRule="auto"/>
              <w:rPr>
                <w:szCs w:val="24"/>
              </w:rPr>
            </w:pPr>
            <w:r>
              <w:rPr>
                <w:szCs w:val="24"/>
              </w:rPr>
              <w:t>This year we took another new approach to our work</w:t>
            </w:r>
            <w:r w:rsidR="00070CBD">
              <w:rPr>
                <w:szCs w:val="24"/>
              </w:rPr>
              <w:t xml:space="preserve"> – </w:t>
            </w:r>
            <w:r w:rsidRPr="003E28B7">
              <w:rPr>
                <w:szCs w:val="24"/>
              </w:rPr>
              <w:t>presenting</w:t>
            </w:r>
            <w:r w:rsidR="00070CBD">
              <w:rPr>
                <w:szCs w:val="24"/>
              </w:rPr>
              <w:t xml:space="preserve"> </w:t>
            </w:r>
            <w:r w:rsidR="00631EF0" w:rsidRPr="003E28B7">
              <w:rPr>
                <w:szCs w:val="24"/>
              </w:rPr>
              <w:t xml:space="preserve">two </w:t>
            </w:r>
            <w:r w:rsidR="00E2312F">
              <w:rPr>
                <w:szCs w:val="24"/>
              </w:rPr>
              <w:t>‘</w:t>
            </w:r>
            <w:r w:rsidR="00631EF0" w:rsidRPr="003E28B7">
              <w:rPr>
                <w:szCs w:val="24"/>
              </w:rPr>
              <w:t>Insights briefings</w:t>
            </w:r>
            <w:r w:rsidR="00E2312F">
              <w:rPr>
                <w:szCs w:val="24"/>
              </w:rPr>
              <w:t>’</w:t>
            </w:r>
            <w:r w:rsidR="00631EF0" w:rsidRPr="003E28B7">
              <w:rPr>
                <w:szCs w:val="24"/>
              </w:rPr>
              <w:t xml:space="preserve"> to facilitate </w:t>
            </w:r>
            <w:r w:rsidR="00F70CA7">
              <w:rPr>
                <w:szCs w:val="24"/>
              </w:rPr>
              <w:t>s</w:t>
            </w:r>
            <w:r w:rsidR="00631EF0" w:rsidRPr="003E28B7">
              <w:rPr>
                <w:szCs w:val="24"/>
              </w:rPr>
              <w:t xml:space="preserve">elect </w:t>
            </w:r>
            <w:r w:rsidR="00F70CA7">
              <w:rPr>
                <w:szCs w:val="24"/>
              </w:rPr>
              <w:t>c</w:t>
            </w:r>
            <w:r w:rsidR="00631EF0" w:rsidRPr="003E28B7">
              <w:rPr>
                <w:szCs w:val="24"/>
              </w:rPr>
              <w:t>ommittee scrutiny. The briefings demonstrate how the Ombudsman</w:t>
            </w:r>
            <w:r w:rsidR="00AB703F" w:rsidRPr="003E28B7">
              <w:rPr>
                <w:szCs w:val="24"/>
              </w:rPr>
              <w:t xml:space="preserve">’s insights can highlight systemic issues and draw more in-depth scrutiny and accountability to these issues. </w:t>
            </w:r>
          </w:p>
          <w:p w14:paraId="5C52E444" w14:textId="155C32B9" w:rsidR="00631EF0" w:rsidRPr="003E28B7" w:rsidRDefault="00AB703F" w:rsidP="005A0727">
            <w:pPr>
              <w:pStyle w:val="Boxlargetext"/>
              <w:keepNext/>
              <w:tabs>
                <w:tab w:val="num" w:pos="567"/>
              </w:tabs>
              <w:spacing w:line="240" w:lineRule="auto"/>
              <w:rPr>
                <w:sz w:val="24"/>
                <w:szCs w:val="24"/>
              </w:rPr>
            </w:pPr>
            <w:r w:rsidRPr="003E28B7">
              <w:rPr>
                <w:sz w:val="24"/>
                <w:szCs w:val="24"/>
              </w:rPr>
              <w:t xml:space="preserve">The </w:t>
            </w:r>
            <w:hyperlink r:id="rId40" w:history="1">
              <w:r w:rsidRPr="0054014B">
                <w:rPr>
                  <w:rStyle w:val="Hyperlink"/>
                  <w:sz w:val="24"/>
                  <w:szCs w:val="24"/>
                </w:rPr>
                <w:t>first briefing</w:t>
              </w:r>
            </w:hyperlink>
            <w:r w:rsidRPr="003E28B7">
              <w:rPr>
                <w:sz w:val="24"/>
                <w:szCs w:val="24"/>
              </w:rPr>
              <w:t xml:space="preserve">, addressed to both the Health and Justice Select Committees, </w:t>
            </w:r>
            <w:r w:rsidR="0007434D" w:rsidRPr="003E28B7">
              <w:rPr>
                <w:sz w:val="24"/>
                <w:szCs w:val="24"/>
              </w:rPr>
              <w:t xml:space="preserve">discussed the inappropriate placement of people with complex mental health needs and intellectual disability. The briefing included </w:t>
            </w:r>
            <w:r w:rsidRPr="003E28B7">
              <w:rPr>
                <w:sz w:val="24"/>
                <w:szCs w:val="24"/>
              </w:rPr>
              <w:t>insights on the impact on people with complex mental health disorders or intellectual disability who are held in prison because suitable specialist services are not available, or who are in specialist services that cannot meet their needs because of capacity pressures.</w:t>
            </w:r>
            <w:r w:rsidR="0007434D" w:rsidRPr="003E28B7">
              <w:rPr>
                <w:sz w:val="24"/>
                <w:szCs w:val="24"/>
              </w:rPr>
              <w:t xml:space="preserve"> The briefing noted that the issues raise questions about the adequacy of current funding, planning and health system stewardship, and that such system pressures </w:t>
            </w:r>
            <w:r w:rsidR="00E2312F">
              <w:rPr>
                <w:sz w:val="24"/>
                <w:szCs w:val="24"/>
              </w:rPr>
              <w:t xml:space="preserve">will be </w:t>
            </w:r>
            <w:r w:rsidR="0007434D" w:rsidRPr="003E28B7">
              <w:rPr>
                <w:sz w:val="24"/>
                <w:szCs w:val="24"/>
              </w:rPr>
              <w:t xml:space="preserve">a priority area for </w:t>
            </w:r>
            <w:r w:rsidR="00E2312F">
              <w:rPr>
                <w:sz w:val="24"/>
                <w:szCs w:val="24"/>
              </w:rPr>
              <w:t>us</w:t>
            </w:r>
            <w:r w:rsidR="0007434D" w:rsidRPr="003E28B7">
              <w:rPr>
                <w:sz w:val="24"/>
                <w:szCs w:val="24"/>
              </w:rPr>
              <w:t xml:space="preserve"> over the coming year. </w:t>
            </w:r>
          </w:p>
          <w:p w14:paraId="15EDDAF3" w14:textId="6BDC525F" w:rsidR="003E28B7" w:rsidRPr="003E28B7" w:rsidRDefault="00AB703F" w:rsidP="005A0727">
            <w:pPr>
              <w:pStyle w:val="Boxlargetext"/>
              <w:keepNext/>
              <w:tabs>
                <w:tab w:val="num" w:pos="567"/>
              </w:tabs>
              <w:spacing w:after="0" w:line="240" w:lineRule="auto"/>
              <w:rPr>
                <w:sz w:val="24"/>
                <w:szCs w:val="24"/>
              </w:rPr>
            </w:pPr>
            <w:r w:rsidRPr="003E28B7">
              <w:rPr>
                <w:sz w:val="24"/>
                <w:szCs w:val="24"/>
              </w:rPr>
              <w:t xml:space="preserve">The </w:t>
            </w:r>
            <w:hyperlink r:id="rId41" w:history="1">
              <w:r w:rsidRPr="0054014B">
                <w:rPr>
                  <w:rStyle w:val="Hyperlink"/>
                  <w:sz w:val="24"/>
                  <w:szCs w:val="24"/>
                </w:rPr>
                <w:t>second briefing</w:t>
              </w:r>
            </w:hyperlink>
            <w:r w:rsidRPr="003E28B7">
              <w:rPr>
                <w:sz w:val="24"/>
                <w:szCs w:val="24"/>
              </w:rPr>
              <w:t>, addressed to the Justice Select Committee, was about the disproportiona</w:t>
            </w:r>
            <w:r w:rsidR="00E2312F">
              <w:rPr>
                <w:sz w:val="24"/>
                <w:szCs w:val="24"/>
              </w:rPr>
              <w:t xml:space="preserve">te </w:t>
            </w:r>
            <w:r w:rsidR="00B93017">
              <w:rPr>
                <w:sz w:val="24"/>
                <w:szCs w:val="24"/>
              </w:rPr>
              <w:t>presence</w:t>
            </w:r>
            <w:r w:rsidR="00E2312F">
              <w:rPr>
                <w:sz w:val="24"/>
                <w:szCs w:val="24"/>
              </w:rPr>
              <w:t xml:space="preserve"> </w:t>
            </w:r>
            <w:r w:rsidRPr="003E28B7">
              <w:rPr>
                <w:sz w:val="24"/>
                <w:szCs w:val="24"/>
              </w:rPr>
              <w:t xml:space="preserve">of </w:t>
            </w:r>
            <w:proofErr w:type="spellStart"/>
            <w:r w:rsidRPr="003E28B7">
              <w:rPr>
                <w:sz w:val="24"/>
                <w:szCs w:val="24"/>
              </w:rPr>
              <w:t>wāhine</w:t>
            </w:r>
            <w:proofErr w:type="spellEnd"/>
            <w:r w:rsidRPr="003E28B7">
              <w:rPr>
                <w:sz w:val="24"/>
                <w:szCs w:val="24"/>
              </w:rPr>
              <w:t xml:space="preserve"> Māori in the criminal justice system. Our observations </w:t>
            </w:r>
            <w:r w:rsidR="00F74FD7" w:rsidRPr="003E28B7">
              <w:rPr>
                <w:sz w:val="24"/>
                <w:szCs w:val="24"/>
              </w:rPr>
              <w:t>arose</w:t>
            </w:r>
            <w:r w:rsidRPr="003E28B7">
              <w:rPr>
                <w:sz w:val="24"/>
                <w:szCs w:val="24"/>
              </w:rPr>
              <w:t xml:space="preserve"> from our roles monitoring places of detention, handling complaints, and agency engagement. It also </w:t>
            </w:r>
            <w:r w:rsidR="00F74FD7" w:rsidRPr="003E28B7">
              <w:rPr>
                <w:sz w:val="24"/>
                <w:szCs w:val="24"/>
              </w:rPr>
              <w:t>drew</w:t>
            </w:r>
            <w:r w:rsidRPr="003E28B7">
              <w:rPr>
                <w:sz w:val="24"/>
                <w:szCs w:val="24"/>
              </w:rPr>
              <w:t xml:space="preserve"> on the views of </w:t>
            </w:r>
            <w:proofErr w:type="spellStart"/>
            <w:r w:rsidRPr="003E28B7">
              <w:rPr>
                <w:sz w:val="24"/>
                <w:szCs w:val="24"/>
              </w:rPr>
              <w:t>Pūhara</w:t>
            </w:r>
            <w:proofErr w:type="spellEnd"/>
            <w:r w:rsidRPr="003E28B7">
              <w:rPr>
                <w:sz w:val="24"/>
                <w:szCs w:val="24"/>
              </w:rPr>
              <w:t xml:space="preserve"> Mana </w:t>
            </w:r>
            <w:proofErr w:type="spellStart"/>
            <w:r w:rsidRPr="003E28B7">
              <w:rPr>
                <w:sz w:val="24"/>
                <w:szCs w:val="24"/>
              </w:rPr>
              <w:t>Tangata</w:t>
            </w:r>
            <w:proofErr w:type="spellEnd"/>
            <w:r w:rsidR="00070CBD">
              <w:rPr>
                <w:sz w:val="24"/>
                <w:szCs w:val="24"/>
              </w:rPr>
              <w:t xml:space="preserve"> – </w:t>
            </w:r>
            <w:r w:rsidRPr="003E28B7">
              <w:rPr>
                <w:sz w:val="24"/>
                <w:szCs w:val="24"/>
              </w:rPr>
              <w:t>our</w:t>
            </w:r>
            <w:r w:rsidR="00070CBD">
              <w:rPr>
                <w:sz w:val="24"/>
                <w:szCs w:val="24"/>
              </w:rPr>
              <w:t xml:space="preserve"> </w:t>
            </w:r>
            <w:r w:rsidRPr="003E28B7">
              <w:rPr>
                <w:sz w:val="24"/>
                <w:szCs w:val="24"/>
              </w:rPr>
              <w:t xml:space="preserve">Māori Advisory </w:t>
            </w:r>
            <w:r w:rsidR="00F74FD7" w:rsidRPr="003E28B7">
              <w:rPr>
                <w:sz w:val="24"/>
                <w:szCs w:val="24"/>
              </w:rPr>
              <w:t>P</w:t>
            </w:r>
            <w:r w:rsidRPr="003E28B7">
              <w:rPr>
                <w:sz w:val="24"/>
                <w:szCs w:val="24"/>
              </w:rPr>
              <w:t>anel members</w:t>
            </w:r>
            <w:r w:rsidR="005A7C05" w:rsidRPr="003E28B7">
              <w:rPr>
                <w:sz w:val="24"/>
                <w:szCs w:val="24"/>
              </w:rPr>
              <w:t xml:space="preserve">. The briefing included an analysis of the </w:t>
            </w:r>
            <w:r w:rsidR="00AB6163">
              <w:rPr>
                <w:sz w:val="24"/>
                <w:szCs w:val="24"/>
              </w:rPr>
              <w:t xml:space="preserve">persistent, multi-decade </w:t>
            </w:r>
            <w:r w:rsidR="005A7C05" w:rsidRPr="003E28B7">
              <w:rPr>
                <w:sz w:val="24"/>
                <w:szCs w:val="24"/>
              </w:rPr>
              <w:t>pro</w:t>
            </w:r>
            <w:r w:rsidR="003E28B7" w:rsidRPr="003E28B7">
              <w:rPr>
                <w:sz w:val="24"/>
                <w:szCs w:val="24"/>
              </w:rPr>
              <w:t>blem and what might help addres</w:t>
            </w:r>
            <w:r w:rsidR="00B20F4D">
              <w:rPr>
                <w:sz w:val="24"/>
                <w:szCs w:val="24"/>
              </w:rPr>
              <w:t>s</w:t>
            </w:r>
            <w:r w:rsidR="003E28B7" w:rsidRPr="003E28B7">
              <w:rPr>
                <w:sz w:val="24"/>
                <w:szCs w:val="24"/>
              </w:rPr>
              <w:t xml:space="preserve"> it, and areas that require further inquiry, investigation and scrutiny. We intend to engage with other oversight agencies as well as Parliament to identify ways for us to coordinate our efforts to oversee and inform agencies as they seek to tackle this problem. </w:t>
            </w:r>
          </w:p>
          <w:p w14:paraId="7E7DA6C2" w14:textId="77777777" w:rsidR="00AB703F" w:rsidRDefault="00AB703F" w:rsidP="005A0727">
            <w:pPr>
              <w:pStyle w:val="Boxlargetext"/>
              <w:keepNext/>
              <w:tabs>
                <w:tab w:val="num" w:pos="567"/>
              </w:tabs>
              <w:spacing w:after="0" w:line="240" w:lineRule="auto"/>
              <w:rPr>
                <w:sz w:val="24"/>
                <w:szCs w:val="24"/>
              </w:rPr>
            </w:pPr>
          </w:p>
          <w:p w14:paraId="64817535" w14:textId="1EC02346" w:rsidR="00043DCF" w:rsidRPr="005A7C05" w:rsidRDefault="00043DCF" w:rsidP="005A0727">
            <w:pPr>
              <w:pStyle w:val="Boxlargetext"/>
              <w:keepNext/>
              <w:tabs>
                <w:tab w:val="num" w:pos="567"/>
              </w:tabs>
              <w:spacing w:after="0" w:line="240" w:lineRule="auto"/>
              <w:rPr>
                <w:sz w:val="24"/>
                <w:szCs w:val="24"/>
              </w:rPr>
            </w:pPr>
            <w:r>
              <w:rPr>
                <w:sz w:val="24"/>
                <w:szCs w:val="24"/>
              </w:rPr>
              <w:t xml:space="preserve">The </w:t>
            </w:r>
            <w:r w:rsidR="00F70CA7">
              <w:rPr>
                <w:sz w:val="24"/>
                <w:szCs w:val="24"/>
              </w:rPr>
              <w:t>s</w:t>
            </w:r>
            <w:r>
              <w:rPr>
                <w:sz w:val="24"/>
                <w:szCs w:val="24"/>
              </w:rPr>
              <w:t xml:space="preserve">elect </w:t>
            </w:r>
            <w:r w:rsidR="00F70CA7">
              <w:rPr>
                <w:sz w:val="24"/>
                <w:szCs w:val="24"/>
              </w:rPr>
              <w:t>c</w:t>
            </w:r>
            <w:r>
              <w:rPr>
                <w:sz w:val="24"/>
                <w:szCs w:val="24"/>
              </w:rPr>
              <w:t xml:space="preserve">ommittees engaged with the briefings and asked questions during the sessions, which aligns with the purpose to facilitate Parliament scrutiny. </w:t>
            </w:r>
          </w:p>
        </w:tc>
      </w:tr>
    </w:tbl>
    <w:p w14:paraId="584ACF10" w14:textId="61650814" w:rsidR="0076308F" w:rsidRDefault="0076308F" w:rsidP="00086A84">
      <w:pPr>
        <w:pStyle w:val="Heading3"/>
        <w:spacing w:after="240"/>
      </w:pPr>
      <w:bookmarkStart w:id="43" w:name="_Hlk241244989"/>
      <w:bookmarkStart w:id="44" w:name="_Hlk236116563"/>
      <w:bookmarkEnd w:id="42"/>
      <w:r>
        <w:t>Output 3 and 4</w:t>
      </w:r>
      <w:r w:rsidR="00637483">
        <w:t>—</w:t>
      </w:r>
      <w:r>
        <w:t xml:space="preserve">Clearance, Timeliness and Quality Assurance </w:t>
      </w:r>
    </w:p>
    <w:p w14:paraId="2707DE2E" w14:textId="4E68B641" w:rsidR="0076308F" w:rsidRPr="0076308F" w:rsidRDefault="0076308F" w:rsidP="0076308F">
      <w:pPr>
        <w:pStyle w:val="BodyText"/>
      </w:pPr>
      <w:r w:rsidRPr="0076308F">
        <w:t>We report clearance rates, timeliness and quality assurance across all complaint types</w:t>
      </w:r>
      <w:r w:rsidR="00070CBD">
        <w:t xml:space="preserve"> – </w:t>
      </w:r>
      <w:r w:rsidRPr="0076308F">
        <w:t xml:space="preserve">OIA, LGOIMA and OA. </w:t>
      </w:r>
    </w:p>
    <w:p w14:paraId="3217BCA7" w14:textId="3C49D7D6" w:rsidR="0076308F" w:rsidRPr="00972838" w:rsidRDefault="0076308F" w:rsidP="0076308F">
      <w:pPr>
        <w:pStyle w:val="BodyText"/>
      </w:pPr>
      <w:r w:rsidRPr="00972838">
        <w:t xml:space="preserve">Our clearance rate for </w:t>
      </w:r>
      <w:r w:rsidR="00406667" w:rsidRPr="00972838">
        <w:t xml:space="preserve">all complaints (OA, OIA and LGOIMA) </w:t>
      </w:r>
      <w:r w:rsidRPr="00972838">
        <w:t>th</w:t>
      </w:r>
      <w:r w:rsidR="00406667" w:rsidRPr="00972838">
        <w:t>is</w:t>
      </w:r>
      <w:r w:rsidRPr="00972838">
        <w:t xml:space="preserve"> year was </w:t>
      </w:r>
      <w:r w:rsidR="00406667" w:rsidRPr="00972838">
        <w:t>109</w:t>
      </w:r>
      <w:r w:rsidRPr="00972838">
        <w:t xml:space="preserve"> percent, meaning we completed more complaints than we received. </w:t>
      </w:r>
      <w:r w:rsidR="00583E17">
        <w:t xml:space="preserve">Our target is 100 percent and last year our clearance rate was 104 percent. </w:t>
      </w:r>
    </w:p>
    <w:p w14:paraId="553181B0" w14:textId="4AC43476" w:rsidR="0076308F" w:rsidRPr="00972838" w:rsidRDefault="004A6424" w:rsidP="0076308F">
      <w:pPr>
        <w:pStyle w:val="BodyText"/>
      </w:pPr>
      <w:r w:rsidRPr="00972838">
        <w:t xml:space="preserve">We made significant improvements to our timeliness metrics and for the first time in years we exceeded our: </w:t>
      </w:r>
    </w:p>
    <w:p w14:paraId="57A0F045" w14:textId="51A02549" w:rsidR="004A6424" w:rsidRPr="00972838" w:rsidRDefault="004A6424" w:rsidP="00A50285">
      <w:pPr>
        <w:pStyle w:val="BodyText"/>
        <w:numPr>
          <w:ilvl w:val="0"/>
          <w:numId w:val="30"/>
        </w:numPr>
      </w:pPr>
      <w:r w:rsidRPr="00972838">
        <w:t>3-month metric</w:t>
      </w:r>
      <w:r w:rsidR="00070CBD">
        <w:t xml:space="preserve"> – </w:t>
      </w:r>
      <w:r w:rsidRPr="00972838">
        <w:t>completing</w:t>
      </w:r>
      <w:r w:rsidR="00070CBD">
        <w:t xml:space="preserve"> </w:t>
      </w:r>
      <w:r w:rsidRPr="00972838">
        <w:t>71 percent of complaints within 3 months (</w:t>
      </w:r>
      <w:r w:rsidR="00801C35" w:rsidRPr="00972838">
        <w:t xml:space="preserve">performance </w:t>
      </w:r>
      <w:r w:rsidRPr="00972838">
        <w:t xml:space="preserve">standard: 70 percent); and </w:t>
      </w:r>
    </w:p>
    <w:p w14:paraId="6BF345A3" w14:textId="0C076CE4" w:rsidR="004A6424" w:rsidRDefault="004A6424" w:rsidP="00A50285">
      <w:pPr>
        <w:pStyle w:val="BodyText"/>
        <w:numPr>
          <w:ilvl w:val="0"/>
          <w:numId w:val="30"/>
        </w:numPr>
      </w:pPr>
      <w:r w:rsidRPr="00972838">
        <w:t>6-month metric</w:t>
      </w:r>
      <w:r w:rsidR="00070CBD">
        <w:t xml:space="preserve"> – </w:t>
      </w:r>
      <w:r w:rsidRPr="00972838">
        <w:t>completing</w:t>
      </w:r>
      <w:r w:rsidR="00070CBD">
        <w:t xml:space="preserve"> </w:t>
      </w:r>
      <w:r w:rsidRPr="00972838">
        <w:t>82 percent of</w:t>
      </w:r>
      <w:r>
        <w:t xml:space="preserve"> complaints within 6 months of receipt (</w:t>
      </w:r>
      <w:r w:rsidR="00801C35">
        <w:t xml:space="preserve">performance </w:t>
      </w:r>
      <w:r>
        <w:t xml:space="preserve">standard: 80 percent). </w:t>
      </w:r>
    </w:p>
    <w:p w14:paraId="2EC5309C" w14:textId="1D04AFA7" w:rsidR="001F450B" w:rsidRDefault="004A6424" w:rsidP="001F450B">
      <w:pPr>
        <w:pStyle w:val="BodyText"/>
      </w:pPr>
      <w:r>
        <w:t>We didn’t meet our 12-month metric</w:t>
      </w:r>
      <w:r w:rsidR="005016B4">
        <w:t xml:space="preserve"> </w:t>
      </w:r>
      <w:r>
        <w:t xml:space="preserve">to complete 95 percent </w:t>
      </w:r>
      <w:r w:rsidR="00A15184">
        <w:t xml:space="preserve">of </w:t>
      </w:r>
      <w:r>
        <w:t>complaints within 12 months of receipt</w:t>
      </w:r>
      <w:r w:rsidR="00FB2304">
        <w:t>.</w:t>
      </w:r>
      <w:r w:rsidR="00195C3F">
        <w:t xml:space="preserve"> </w:t>
      </w:r>
      <w:r w:rsidR="005016B4">
        <w:t xml:space="preserve">However, following recent sustained efforts to complete older cases on hand, we </w:t>
      </w:r>
      <w:r w:rsidRPr="005A0727">
        <w:t>completed 89 percent of complaints within 12 months of receipt</w:t>
      </w:r>
      <w:r w:rsidR="00843CDC" w:rsidRPr="005A0727">
        <w:t xml:space="preserve">, up from </w:t>
      </w:r>
      <w:r w:rsidR="005A0727">
        <w:t>82 p</w:t>
      </w:r>
      <w:r w:rsidR="00843CDC" w:rsidRPr="005A0727">
        <w:t>ercent in 2024/25.</w:t>
      </w:r>
      <w:r w:rsidR="00843CDC">
        <w:t xml:space="preserve">  </w:t>
      </w:r>
    </w:p>
    <w:p w14:paraId="1EF9AEED" w14:textId="5620691C" w:rsidR="00E52DB0" w:rsidRDefault="00E52DB0" w:rsidP="001F450B">
      <w:pPr>
        <w:pStyle w:val="BodyText"/>
      </w:pPr>
      <w:r>
        <w:t xml:space="preserve">Those sustained efforts to complete older cases have had a </w:t>
      </w:r>
      <w:r w:rsidR="00BF29EC">
        <w:t xml:space="preserve">positive impact on the age profile of matters on hand. The following table shows the age profile of open complaints and other contacts as </w:t>
      </w:r>
      <w:proofErr w:type="gramStart"/>
      <w:r w:rsidR="00BF29EC">
        <w:t>at</w:t>
      </w:r>
      <w:proofErr w:type="gramEnd"/>
      <w:r w:rsidR="00BF29EC">
        <w:t xml:space="preserve"> 30 June, as a percentage of the total on hand.</w:t>
      </w:r>
    </w:p>
    <w:tbl>
      <w:tblPr>
        <w:tblStyle w:val="TableGridAnnualReport"/>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Caption w:val="Table for formatting purposes"/>
      </w:tblPr>
      <w:tblGrid>
        <w:gridCol w:w="4957"/>
        <w:gridCol w:w="1085"/>
        <w:gridCol w:w="1085"/>
        <w:gridCol w:w="1085"/>
        <w:gridCol w:w="1085"/>
      </w:tblGrid>
      <w:tr w:rsidR="00E52DB0" w14:paraId="0390DAE7" w14:textId="77777777" w:rsidTr="00F964C2">
        <w:trPr>
          <w:cnfStyle w:val="100000000000" w:firstRow="1" w:lastRow="0" w:firstColumn="0" w:lastColumn="0" w:oddVBand="0" w:evenVBand="0" w:oddHBand="0" w:evenHBand="0" w:firstRowFirstColumn="0" w:firstRowLastColumn="0" w:lastRowFirstColumn="0" w:lastRowLastColumn="0"/>
          <w:cantSplit/>
        </w:trPr>
        <w:tc>
          <w:tcPr>
            <w:tcW w:w="4957" w:type="dxa"/>
            <w:shd w:val="clear" w:color="auto" w:fill="017E5D"/>
          </w:tcPr>
          <w:p w14:paraId="5D6B5686" w14:textId="6F267804" w:rsidR="00E52DB0" w:rsidRDefault="00BF29EC" w:rsidP="00F964C2">
            <w:pPr>
              <w:pStyle w:val="Tableheadingrow1"/>
            </w:pPr>
            <w:r>
              <w:t>Age range</w:t>
            </w:r>
          </w:p>
        </w:tc>
        <w:tc>
          <w:tcPr>
            <w:tcW w:w="1085" w:type="dxa"/>
            <w:shd w:val="clear" w:color="auto" w:fill="017E5D"/>
          </w:tcPr>
          <w:p w14:paraId="79E3477D" w14:textId="77777777" w:rsidR="00E52DB0" w:rsidRDefault="00E52DB0" w:rsidP="00F964C2">
            <w:pPr>
              <w:pStyle w:val="Tableheadingrow1"/>
            </w:pPr>
            <w:r>
              <w:t>2022/23</w:t>
            </w:r>
          </w:p>
        </w:tc>
        <w:tc>
          <w:tcPr>
            <w:tcW w:w="1085" w:type="dxa"/>
            <w:shd w:val="clear" w:color="auto" w:fill="017E5D"/>
          </w:tcPr>
          <w:p w14:paraId="1F3A8D6F" w14:textId="77777777" w:rsidR="00E52DB0" w:rsidRDefault="00E52DB0" w:rsidP="00F964C2">
            <w:pPr>
              <w:pStyle w:val="Tableheadingrow1"/>
            </w:pPr>
            <w:r>
              <w:t>2023/24</w:t>
            </w:r>
          </w:p>
        </w:tc>
        <w:tc>
          <w:tcPr>
            <w:tcW w:w="1085" w:type="dxa"/>
            <w:shd w:val="clear" w:color="auto" w:fill="017E5D"/>
          </w:tcPr>
          <w:p w14:paraId="24509B17" w14:textId="77777777" w:rsidR="00E52DB0" w:rsidRDefault="00E52DB0" w:rsidP="00F964C2">
            <w:pPr>
              <w:pStyle w:val="Tableheadingrow1"/>
            </w:pPr>
            <w:r>
              <w:t>2024/25</w:t>
            </w:r>
          </w:p>
        </w:tc>
        <w:tc>
          <w:tcPr>
            <w:tcW w:w="1085" w:type="dxa"/>
            <w:shd w:val="clear" w:color="auto" w:fill="017E5D"/>
          </w:tcPr>
          <w:p w14:paraId="435A8AEF" w14:textId="77777777" w:rsidR="00E52DB0" w:rsidRDefault="00E52DB0" w:rsidP="00F964C2">
            <w:pPr>
              <w:pStyle w:val="Tableheadingrow1"/>
            </w:pPr>
            <w:r>
              <w:t>2025/26</w:t>
            </w:r>
          </w:p>
        </w:tc>
      </w:tr>
      <w:tr w:rsidR="00E52DB0" w14:paraId="50F9C231" w14:textId="77777777" w:rsidTr="00F964C2">
        <w:trPr>
          <w:cnfStyle w:val="000000100000" w:firstRow="0" w:lastRow="0" w:firstColumn="0" w:lastColumn="0" w:oddVBand="0" w:evenVBand="0" w:oddHBand="1" w:evenHBand="0" w:firstRowFirstColumn="0" w:firstRowLastColumn="0" w:lastRowFirstColumn="0" w:lastRowLastColumn="0"/>
          <w:cantSplit/>
        </w:trPr>
        <w:tc>
          <w:tcPr>
            <w:tcW w:w="4957" w:type="dxa"/>
          </w:tcPr>
          <w:p w14:paraId="672A8EDB" w14:textId="77777777" w:rsidR="00E52DB0" w:rsidRDefault="00E52DB0" w:rsidP="00F964C2">
            <w:pPr>
              <w:pStyle w:val="Tablebodytext"/>
            </w:pPr>
            <w:r w:rsidRPr="00A97EB5">
              <w:t>Aged 6 months or less from date of receipt</w:t>
            </w:r>
          </w:p>
        </w:tc>
        <w:tc>
          <w:tcPr>
            <w:tcW w:w="1085" w:type="dxa"/>
            <w:vAlign w:val="center"/>
          </w:tcPr>
          <w:p w14:paraId="66B75793" w14:textId="77777777" w:rsidR="00E52DB0" w:rsidRDefault="00E52DB0" w:rsidP="00F964C2">
            <w:pPr>
              <w:pStyle w:val="Tablebodytext"/>
              <w:jc w:val="center"/>
            </w:pPr>
            <w:r>
              <w:t>51%</w:t>
            </w:r>
          </w:p>
        </w:tc>
        <w:tc>
          <w:tcPr>
            <w:tcW w:w="1085" w:type="dxa"/>
            <w:vAlign w:val="center"/>
          </w:tcPr>
          <w:p w14:paraId="22A79173" w14:textId="77777777" w:rsidR="00E52DB0" w:rsidRDefault="00E52DB0" w:rsidP="00F964C2">
            <w:pPr>
              <w:pStyle w:val="Tablebodytext"/>
              <w:jc w:val="center"/>
            </w:pPr>
            <w:r>
              <w:t>46%</w:t>
            </w:r>
          </w:p>
        </w:tc>
        <w:tc>
          <w:tcPr>
            <w:tcW w:w="1085" w:type="dxa"/>
            <w:vAlign w:val="center"/>
          </w:tcPr>
          <w:p w14:paraId="1183A399" w14:textId="77777777" w:rsidR="00E52DB0" w:rsidRDefault="00E52DB0" w:rsidP="00F964C2">
            <w:pPr>
              <w:pStyle w:val="Tablebodytext"/>
              <w:jc w:val="center"/>
            </w:pPr>
            <w:r>
              <w:t>50%</w:t>
            </w:r>
          </w:p>
        </w:tc>
        <w:tc>
          <w:tcPr>
            <w:tcW w:w="1085" w:type="dxa"/>
            <w:vAlign w:val="center"/>
          </w:tcPr>
          <w:p w14:paraId="0227EE9E" w14:textId="77777777" w:rsidR="00E52DB0" w:rsidRDefault="00E52DB0" w:rsidP="00F964C2">
            <w:pPr>
              <w:pStyle w:val="Tablebodytext"/>
              <w:jc w:val="center"/>
            </w:pPr>
            <w:r>
              <w:t>74%</w:t>
            </w:r>
          </w:p>
        </w:tc>
      </w:tr>
      <w:tr w:rsidR="00E52DB0" w14:paraId="75B21FC5" w14:textId="77777777" w:rsidTr="00F964C2">
        <w:trPr>
          <w:cnfStyle w:val="000000010000" w:firstRow="0" w:lastRow="0" w:firstColumn="0" w:lastColumn="0" w:oddVBand="0" w:evenVBand="0" w:oddHBand="0" w:evenHBand="1" w:firstRowFirstColumn="0" w:firstRowLastColumn="0" w:lastRowFirstColumn="0" w:lastRowLastColumn="0"/>
          <w:cantSplit/>
        </w:trPr>
        <w:tc>
          <w:tcPr>
            <w:tcW w:w="4957" w:type="dxa"/>
          </w:tcPr>
          <w:p w14:paraId="189BC4BF" w14:textId="77777777" w:rsidR="00E52DB0" w:rsidRDefault="00E52DB0" w:rsidP="00F964C2">
            <w:pPr>
              <w:pStyle w:val="Tablebodytext"/>
            </w:pPr>
            <w:r w:rsidRPr="00A97EB5">
              <w:t>Aged between 7 and 12 months from date of receipt</w:t>
            </w:r>
          </w:p>
        </w:tc>
        <w:tc>
          <w:tcPr>
            <w:tcW w:w="1085" w:type="dxa"/>
            <w:vAlign w:val="center"/>
          </w:tcPr>
          <w:p w14:paraId="2AD78FEE" w14:textId="77777777" w:rsidR="00E52DB0" w:rsidRDefault="00E52DB0" w:rsidP="00F964C2">
            <w:pPr>
              <w:pStyle w:val="Tablebodytext"/>
              <w:jc w:val="center"/>
            </w:pPr>
            <w:r>
              <w:t>25%</w:t>
            </w:r>
          </w:p>
        </w:tc>
        <w:tc>
          <w:tcPr>
            <w:tcW w:w="1085" w:type="dxa"/>
            <w:vAlign w:val="center"/>
          </w:tcPr>
          <w:p w14:paraId="2AB96E4F" w14:textId="77777777" w:rsidR="00E52DB0" w:rsidRDefault="00E52DB0" w:rsidP="00F964C2">
            <w:pPr>
              <w:pStyle w:val="Tablebodytext"/>
              <w:jc w:val="center"/>
            </w:pPr>
            <w:r>
              <w:t>23%</w:t>
            </w:r>
          </w:p>
        </w:tc>
        <w:tc>
          <w:tcPr>
            <w:tcW w:w="1085" w:type="dxa"/>
            <w:vAlign w:val="center"/>
          </w:tcPr>
          <w:p w14:paraId="26C9A62A" w14:textId="77777777" w:rsidR="00E52DB0" w:rsidRDefault="00E52DB0" w:rsidP="00F964C2">
            <w:pPr>
              <w:pStyle w:val="Tablebodytext"/>
              <w:jc w:val="center"/>
            </w:pPr>
            <w:r>
              <w:t>20%</w:t>
            </w:r>
          </w:p>
        </w:tc>
        <w:tc>
          <w:tcPr>
            <w:tcW w:w="1085" w:type="dxa"/>
            <w:vAlign w:val="center"/>
          </w:tcPr>
          <w:p w14:paraId="20F86E74" w14:textId="77777777" w:rsidR="00E52DB0" w:rsidRDefault="00E52DB0" w:rsidP="00F964C2">
            <w:pPr>
              <w:pStyle w:val="Tablebodytext"/>
              <w:jc w:val="center"/>
            </w:pPr>
            <w:r>
              <w:t>11%</w:t>
            </w:r>
          </w:p>
        </w:tc>
      </w:tr>
      <w:tr w:rsidR="00E52DB0" w14:paraId="202B4B98" w14:textId="77777777" w:rsidTr="00F964C2">
        <w:trPr>
          <w:cnfStyle w:val="000000100000" w:firstRow="0" w:lastRow="0" w:firstColumn="0" w:lastColumn="0" w:oddVBand="0" w:evenVBand="0" w:oddHBand="1" w:evenHBand="0" w:firstRowFirstColumn="0" w:firstRowLastColumn="0" w:lastRowFirstColumn="0" w:lastRowLastColumn="0"/>
          <w:cantSplit/>
        </w:trPr>
        <w:tc>
          <w:tcPr>
            <w:tcW w:w="4957" w:type="dxa"/>
          </w:tcPr>
          <w:p w14:paraId="4D79BB48" w14:textId="77777777" w:rsidR="00E52DB0" w:rsidRDefault="00E52DB0" w:rsidP="00F964C2">
            <w:pPr>
              <w:pStyle w:val="Tablebodytext"/>
            </w:pPr>
            <w:r w:rsidRPr="00A97EB5">
              <w:t>Aged more than 12 months from date of receipt</w:t>
            </w:r>
          </w:p>
        </w:tc>
        <w:tc>
          <w:tcPr>
            <w:tcW w:w="1085" w:type="dxa"/>
            <w:vAlign w:val="center"/>
          </w:tcPr>
          <w:p w14:paraId="52129697" w14:textId="77777777" w:rsidR="00E52DB0" w:rsidRDefault="00E52DB0" w:rsidP="00F964C2">
            <w:pPr>
              <w:pStyle w:val="Tablebodytext"/>
              <w:jc w:val="center"/>
            </w:pPr>
            <w:r>
              <w:t>24%</w:t>
            </w:r>
          </w:p>
        </w:tc>
        <w:tc>
          <w:tcPr>
            <w:tcW w:w="1085" w:type="dxa"/>
            <w:vAlign w:val="center"/>
          </w:tcPr>
          <w:p w14:paraId="2E280C1A" w14:textId="77777777" w:rsidR="00E52DB0" w:rsidRDefault="00E52DB0" w:rsidP="00F964C2">
            <w:pPr>
              <w:pStyle w:val="Tablebodytext"/>
              <w:jc w:val="center"/>
            </w:pPr>
            <w:r>
              <w:t>32%</w:t>
            </w:r>
          </w:p>
        </w:tc>
        <w:tc>
          <w:tcPr>
            <w:tcW w:w="1085" w:type="dxa"/>
            <w:vAlign w:val="center"/>
          </w:tcPr>
          <w:p w14:paraId="516514D7" w14:textId="77777777" w:rsidR="00E52DB0" w:rsidRDefault="00E52DB0" w:rsidP="00F964C2">
            <w:pPr>
              <w:pStyle w:val="Tablebodytext"/>
              <w:jc w:val="center"/>
            </w:pPr>
            <w:r>
              <w:t>30%</w:t>
            </w:r>
          </w:p>
        </w:tc>
        <w:tc>
          <w:tcPr>
            <w:tcW w:w="1085" w:type="dxa"/>
            <w:vAlign w:val="center"/>
          </w:tcPr>
          <w:p w14:paraId="2DDD5C51" w14:textId="77777777" w:rsidR="00E52DB0" w:rsidRDefault="00E52DB0" w:rsidP="00F964C2">
            <w:pPr>
              <w:pStyle w:val="Tablebodytext"/>
              <w:jc w:val="center"/>
            </w:pPr>
            <w:r>
              <w:t>15%</w:t>
            </w:r>
          </w:p>
        </w:tc>
      </w:tr>
    </w:tbl>
    <w:p w14:paraId="60506C58" w14:textId="77777777" w:rsidR="00E52DB0" w:rsidRDefault="00E52DB0" w:rsidP="001F450B">
      <w:pPr>
        <w:pStyle w:val="BodyText"/>
      </w:pPr>
    </w:p>
    <w:p w14:paraId="2D8F9A08" w14:textId="7A11DCC8" w:rsidR="00A87DAE" w:rsidRPr="00972838" w:rsidRDefault="001F450B" w:rsidP="00A87DAE">
      <w:pPr>
        <w:pStyle w:val="BodyText"/>
      </w:pPr>
      <w:r>
        <w:t xml:space="preserve">We resolved more complaints prior to </w:t>
      </w:r>
      <w:r w:rsidR="00A87DAE" w:rsidRPr="00972838">
        <w:t>formal</w:t>
      </w:r>
      <w:r w:rsidRPr="00972838">
        <w:t xml:space="preserve"> opinion. Last year we resolved </w:t>
      </w:r>
      <w:r w:rsidR="002C3D75">
        <w:t xml:space="preserve">34 </w:t>
      </w:r>
      <w:r w:rsidRPr="00972838">
        <w:t xml:space="preserve">percent of complaints before formal opinion, and this year we resolved </w:t>
      </w:r>
      <w:r w:rsidR="002C3D75">
        <w:t>48</w:t>
      </w:r>
      <w:r w:rsidRPr="00972838">
        <w:t xml:space="preserve"> percent before formal opinion. </w:t>
      </w:r>
      <w:r w:rsidR="00A87DAE" w:rsidRPr="00972838">
        <w:t xml:space="preserve">This means individuals have more timely access to remedies and </w:t>
      </w:r>
      <w:r w:rsidR="00801C35" w:rsidRPr="00972838">
        <w:t xml:space="preserve">wider </w:t>
      </w:r>
      <w:r w:rsidR="00A87DAE" w:rsidRPr="00972838">
        <w:t>public administration benefits are realised more readily</w:t>
      </w:r>
      <w:r w:rsidR="00257C98" w:rsidRPr="00972838">
        <w:t xml:space="preserve">. </w:t>
      </w:r>
    </w:p>
    <w:p w14:paraId="2AC6139A" w14:textId="23821354" w:rsidR="002D5163" w:rsidRDefault="00A87DAE" w:rsidP="00A87DAE">
      <w:pPr>
        <w:pStyle w:val="BodyText"/>
      </w:pPr>
      <w:r w:rsidRPr="00972838">
        <w:t xml:space="preserve">We </w:t>
      </w:r>
      <w:r w:rsidR="002D5163" w:rsidRPr="00972838">
        <w:t xml:space="preserve">perform regular, formal quality assurance checks across random samples of all completed complaints and other contacts. </w:t>
      </w:r>
      <w:r w:rsidR="009D1382" w:rsidRPr="00972838">
        <w:t xml:space="preserve">Ninety-two </w:t>
      </w:r>
      <w:r w:rsidR="002D5163" w:rsidRPr="00972838">
        <w:t>percent of the complaints and other contacts reviewed met internal quality standards</w:t>
      </w:r>
      <w:r w:rsidR="001F450B" w:rsidRPr="00972838">
        <w:t>, exceeding our</w:t>
      </w:r>
      <w:r w:rsidR="001F450B">
        <w:t xml:space="preserve"> </w:t>
      </w:r>
      <w:r w:rsidR="00801C35">
        <w:t xml:space="preserve">performance standard </w:t>
      </w:r>
      <w:r w:rsidR="001F450B">
        <w:t xml:space="preserve">of 85 percent. </w:t>
      </w:r>
    </w:p>
    <w:p w14:paraId="3D06C92B" w14:textId="4D0947E6" w:rsidR="00257C98" w:rsidRPr="001F450B" w:rsidRDefault="00257C98" w:rsidP="00A87DAE">
      <w:pPr>
        <w:pStyle w:val="BodyText"/>
      </w:pPr>
      <w:r>
        <w:t xml:space="preserve">Although our timeliness improved, which is normally a key </w:t>
      </w:r>
      <w:r w:rsidRPr="00972838">
        <w:t xml:space="preserve">component of complainant satisfaction, we did not meet our standard for complainant </w:t>
      </w:r>
      <w:r w:rsidR="00FB61AA" w:rsidRPr="00972838">
        <w:t>satisfaction</w:t>
      </w:r>
      <w:r w:rsidRPr="00972838">
        <w:t xml:space="preserve">. Only 32 percent of complainants </w:t>
      </w:r>
      <w:r w:rsidR="008D6FF5" w:rsidRPr="00972838">
        <w:t xml:space="preserve">we surveyed </w:t>
      </w:r>
      <w:r w:rsidRPr="00972838">
        <w:t xml:space="preserve">were satisfied with our service. </w:t>
      </w:r>
      <w:bookmarkStart w:id="45" w:name="_Hlk237240584"/>
      <w:r w:rsidRPr="00972838">
        <w:t xml:space="preserve">Our </w:t>
      </w:r>
      <w:r w:rsidR="008D6FF5" w:rsidRPr="00972838">
        <w:t xml:space="preserve">performance </w:t>
      </w:r>
      <w:r w:rsidRPr="00972838">
        <w:t>standard</w:t>
      </w:r>
      <w:r>
        <w:t xml:space="preserve"> is 50 percent, and this was also down on last year when 36 percent of </w:t>
      </w:r>
      <w:r w:rsidR="008D6FF5">
        <w:t xml:space="preserve">surveyed </w:t>
      </w:r>
      <w:r>
        <w:t xml:space="preserve">complainants were satisfied with our service. </w:t>
      </w:r>
      <w:bookmarkEnd w:id="45"/>
    </w:p>
    <w:bookmarkEnd w:id="43"/>
    <w:p w14:paraId="08012683" w14:textId="1ECC9D95" w:rsidR="006F34B2" w:rsidRDefault="006F34B2" w:rsidP="00086A84">
      <w:pPr>
        <w:pStyle w:val="Heading3"/>
        <w:spacing w:after="240"/>
      </w:pPr>
      <w:r w:rsidRPr="00AD3280">
        <w:t xml:space="preserve">Output </w:t>
      </w:r>
      <w:r>
        <w:t>5—Enable serious wrongdoing to be disclosed and investigated and whistleblowers protected</w:t>
      </w:r>
    </w:p>
    <w:bookmarkEnd w:id="44"/>
    <w:p w14:paraId="04C9FA56" w14:textId="77777777" w:rsidR="00E52973" w:rsidRPr="00EF6984" w:rsidRDefault="00E52973" w:rsidP="00E52973">
      <w:pPr>
        <w:pStyle w:val="BodyText"/>
      </w:pPr>
      <w:r w:rsidRPr="00EF6984">
        <w:t>The Ombudsman’s role and functions under the Protected Disclosures (Protection of Whistleblowers) Act 2022</w:t>
      </w:r>
      <w:r>
        <w:t xml:space="preserve"> (PDA)</w:t>
      </w:r>
      <w:r w:rsidRPr="00EF6984">
        <w:t xml:space="preserve"> are to: </w:t>
      </w:r>
    </w:p>
    <w:p w14:paraId="53955C94" w14:textId="77777777" w:rsidR="00E52973" w:rsidRPr="00EF6984" w:rsidRDefault="00E52973" w:rsidP="00E52973">
      <w:pPr>
        <w:pStyle w:val="Bullet1"/>
      </w:pPr>
      <w:r w:rsidRPr="00EF6984">
        <w:t xml:space="preserve">provide advice and guidance to potential whistleblowers; </w:t>
      </w:r>
    </w:p>
    <w:p w14:paraId="240D8178" w14:textId="77777777" w:rsidR="00E52973" w:rsidRPr="00EF6984" w:rsidRDefault="00E52973" w:rsidP="00E52973">
      <w:pPr>
        <w:pStyle w:val="Bullet1"/>
      </w:pPr>
      <w:r w:rsidRPr="00EF6984">
        <w:t xml:space="preserve">provide advice and guidance to employers, appropriate authorities, Ministers and third parties; </w:t>
      </w:r>
    </w:p>
    <w:p w14:paraId="352C9B0E" w14:textId="77777777" w:rsidR="00E52973" w:rsidRPr="00EF6984" w:rsidRDefault="00E52973" w:rsidP="00E52973">
      <w:pPr>
        <w:pStyle w:val="Bullet1"/>
      </w:pPr>
      <w:r w:rsidRPr="00EF6984">
        <w:t>review and guide public sector agencies in their responses to serious wrongdoing; and</w:t>
      </w:r>
    </w:p>
    <w:p w14:paraId="0B454659" w14:textId="77777777" w:rsidR="00E52973" w:rsidRPr="00EF6984" w:rsidRDefault="00E52973" w:rsidP="00E52973">
      <w:pPr>
        <w:pStyle w:val="Bullet1"/>
      </w:pPr>
      <w:r w:rsidRPr="00EF6984">
        <w:t xml:space="preserve">receive and investigate disclosures of serious </w:t>
      </w:r>
      <w:proofErr w:type="gramStart"/>
      <w:r w:rsidRPr="00EF6984">
        <w:t>wrongdoing, or</w:t>
      </w:r>
      <w:proofErr w:type="gramEnd"/>
      <w:r w:rsidRPr="00EF6984">
        <w:t xml:space="preserve"> refer them to others as appropriate. </w:t>
      </w:r>
    </w:p>
    <w:p w14:paraId="7BA88B23" w14:textId="77777777" w:rsidR="00E52973" w:rsidRDefault="00E52973" w:rsidP="00E52973">
      <w:pPr>
        <w:pStyle w:val="Bullet1"/>
        <w:numPr>
          <w:ilvl w:val="0"/>
          <w:numId w:val="0"/>
        </w:numPr>
      </w:pPr>
      <w:r w:rsidRPr="00EF6984">
        <w:t xml:space="preserve">Following the updated </w:t>
      </w:r>
      <w:r>
        <w:t>PDA</w:t>
      </w:r>
      <w:r w:rsidRPr="00EF6984">
        <w:t xml:space="preserve"> coming into force on 1 July 2022 and dedicated funding approved by Parliament from 1 July 2023,</w:t>
      </w:r>
      <w:r w:rsidRPr="00EF6984">
        <w:rPr>
          <w:rStyle w:val="FootnoteReference"/>
        </w:rPr>
        <w:footnoteReference w:id="14"/>
      </w:r>
      <w:r w:rsidRPr="00EF6984">
        <w:t xml:space="preserve"> we established specialist protected disclosures staff to respond to the increasing volume and complexity of protected disclosures and enquires.</w:t>
      </w:r>
    </w:p>
    <w:p w14:paraId="021D9666" w14:textId="728510AF" w:rsidR="008B3434" w:rsidRDefault="008B3434" w:rsidP="008B3434">
      <w:pPr>
        <w:pStyle w:val="Heading4"/>
      </w:pPr>
      <w:r>
        <w:t>Disclosures</w:t>
      </w:r>
      <w:r w:rsidR="00FB61AA">
        <w:t>, a</w:t>
      </w:r>
      <w:r>
        <w:t xml:space="preserve">dvice </w:t>
      </w:r>
      <w:r w:rsidR="00FB61AA">
        <w:t xml:space="preserve">and monitoring </w:t>
      </w:r>
    </w:p>
    <w:p w14:paraId="5EDD30A0" w14:textId="77777777" w:rsidR="00FB61AA" w:rsidRPr="00972838" w:rsidRDefault="008B3434" w:rsidP="008B3434">
      <w:pPr>
        <w:pStyle w:val="Bullet1"/>
        <w:numPr>
          <w:ilvl w:val="0"/>
          <w:numId w:val="0"/>
        </w:numPr>
      </w:pPr>
      <w:r w:rsidRPr="00EF6984">
        <w:t xml:space="preserve">There has been </w:t>
      </w:r>
      <w:r>
        <w:t>a continued</w:t>
      </w:r>
      <w:r w:rsidRPr="00EF6984">
        <w:t xml:space="preserve"> increase</w:t>
      </w:r>
      <w:r>
        <w:t xml:space="preserve"> </w:t>
      </w:r>
      <w:r w:rsidRPr="00EF6984">
        <w:t xml:space="preserve">in the volume of protected disclosures and </w:t>
      </w:r>
      <w:r>
        <w:t xml:space="preserve">advice requests </w:t>
      </w:r>
      <w:r w:rsidRPr="00972838">
        <w:t>received, although not as acute as in previous years.</w:t>
      </w:r>
      <w:r w:rsidRPr="00972838">
        <w:rPr>
          <w:rStyle w:val="FootnoteReference"/>
        </w:rPr>
        <w:footnoteReference w:id="15"/>
      </w:r>
      <w:r w:rsidRPr="00972838">
        <w:t xml:space="preserve"> In 2025/26</w:t>
      </w:r>
      <w:r w:rsidR="00FB61AA" w:rsidRPr="00972838">
        <w:t xml:space="preserve">: </w:t>
      </w:r>
    </w:p>
    <w:p w14:paraId="083B5E2E" w14:textId="5AC4ABA7" w:rsidR="00FB61AA" w:rsidRPr="00972838" w:rsidRDefault="008B3434" w:rsidP="00FB61AA">
      <w:pPr>
        <w:pStyle w:val="Bullet1"/>
      </w:pPr>
      <w:r w:rsidRPr="00972838">
        <w:t>we received 234 requests for advice and 9</w:t>
      </w:r>
      <w:r w:rsidR="008A339E">
        <w:t>6</w:t>
      </w:r>
      <w:r w:rsidRPr="00972838">
        <w:t xml:space="preserve"> disclosures—a total increase of 15 percent on last year</w:t>
      </w:r>
      <w:r w:rsidR="00FB61AA" w:rsidRPr="00972838">
        <w:t xml:space="preserve">; </w:t>
      </w:r>
    </w:p>
    <w:p w14:paraId="3152D436" w14:textId="323BE7FF" w:rsidR="00FB61AA" w:rsidRPr="00972838" w:rsidRDefault="00FB61AA" w:rsidP="00FB61AA">
      <w:pPr>
        <w:pStyle w:val="Bullet1"/>
      </w:pPr>
      <w:r w:rsidRPr="00972838">
        <w:t>w</w:t>
      </w:r>
      <w:r w:rsidR="008B3434" w:rsidRPr="00972838">
        <w:t>e completed 234 requests for advice and 1</w:t>
      </w:r>
      <w:r w:rsidR="008A339E">
        <w:t>20</w:t>
      </w:r>
      <w:r w:rsidR="008B3434" w:rsidRPr="00972838">
        <w:t xml:space="preserve"> disclosures—a total increase of 27 percent on last year</w:t>
      </w:r>
      <w:r w:rsidRPr="00972838">
        <w:t>; and</w:t>
      </w:r>
    </w:p>
    <w:p w14:paraId="1578EEE5" w14:textId="77777777" w:rsidR="00583E17" w:rsidRDefault="00FB61AA" w:rsidP="00FB61AA">
      <w:pPr>
        <w:pStyle w:val="Bullet1"/>
      </w:pPr>
      <w:r w:rsidRPr="00972838">
        <w:t>w</w:t>
      </w:r>
      <w:r w:rsidR="008B3434" w:rsidRPr="00972838">
        <w:t>e also completed monitoring one agency’s</w:t>
      </w:r>
      <w:r w:rsidR="008B3434">
        <w:t xml:space="preserve"> response to a protected disclosure.</w:t>
      </w:r>
    </w:p>
    <w:p w14:paraId="354294D6" w14:textId="5B718528" w:rsidR="008B3434" w:rsidRDefault="00583E17" w:rsidP="00583E17">
      <w:pPr>
        <w:pStyle w:val="Bullet1"/>
        <w:numPr>
          <w:ilvl w:val="0"/>
          <w:numId w:val="0"/>
        </w:numPr>
      </w:pPr>
      <w:r>
        <w:t xml:space="preserve">We did not meet our target to complete 360 requests, enquiries and monitoring. </w:t>
      </w:r>
      <w:r w:rsidR="008B3434">
        <w:t xml:space="preserve"> </w:t>
      </w:r>
    </w:p>
    <w:p w14:paraId="17BD7339" w14:textId="77777777" w:rsidR="00972838" w:rsidRDefault="009D1382" w:rsidP="008B3434">
      <w:pPr>
        <w:pStyle w:val="Bullet1"/>
        <w:numPr>
          <w:ilvl w:val="0"/>
          <w:numId w:val="0"/>
        </w:numPr>
      </w:pPr>
      <w:r>
        <w:rPr>
          <w:noProof/>
        </w:rPr>
        <w:drawing>
          <wp:inline distT="0" distB="0" distL="0" distR="0" wp14:anchorId="776873CE" wp14:editId="35090C5F">
            <wp:extent cx="5904230" cy="2708275"/>
            <wp:effectExtent l="0" t="0" r="1270" b="15875"/>
            <wp:docPr id="1861934312" name="Chart 1" descr="Graph (figure 7) showing protected disclosures, enquiries and monitoring received and completed over 10 years. Link to table version of the graph below. ">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BFC5ED2" w14:textId="6F181304" w:rsidR="00266B40" w:rsidRPr="005A0727" w:rsidRDefault="00266B40" w:rsidP="008B3434">
      <w:pPr>
        <w:pStyle w:val="Bullet1"/>
        <w:numPr>
          <w:ilvl w:val="0"/>
          <w:numId w:val="0"/>
        </w:numPr>
        <w:rPr>
          <w:rStyle w:val="Italics"/>
          <w:i w:val="0"/>
          <w:iCs/>
        </w:rPr>
      </w:pPr>
      <w:hyperlink w:anchor="_Figure_7:_Protected" w:history="1">
        <w:r w:rsidRPr="005A0727">
          <w:rPr>
            <w:rStyle w:val="Hyperlink"/>
            <w:i/>
            <w:iCs/>
          </w:rPr>
          <w:t>Figure 7: Protected disclosures, enquiries and monitoring received and completed over 10 years.</w:t>
        </w:r>
      </w:hyperlink>
      <w:r w:rsidRPr="005A0727">
        <w:rPr>
          <w:rStyle w:val="Italics"/>
          <w:i w:val="0"/>
          <w:iCs/>
        </w:rPr>
        <w:t xml:space="preserve"> </w:t>
      </w:r>
    </w:p>
    <w:p w14:paraId="4B6813A6" w14:textId="27BF9679" w:rsidR="008B3434" w:rsidRDefault="008B3434" w:rsidP="008B3434">
      <w:pPr>
        <w:pStyle w:val="Bullet1"/>
        <w:numPr>
          <w:ilvl w:val="0"/>
          <w:numId w:val="0"/>
        </w:numPr>
      </w:pPr>
      <w:r>
        <w:t>We also received 29</w:t>
      </w:r>
      <w:r w:rsidRPr="00EF6984">
        <w:t xml:space="preserve"> Ombudsmen Act complaints in 202</w:t>
      </w:r>
      <w:r>
        <w:t>5</w:t>
      </w:r>
      <w:r w:rsidRPr="00EF6984">
        <w:t>/2</w:t>
      </w:r>
      <w:r>
        <w:t>6</w:t>
      </w:r>
      <w:r w:rsidRPr="00EF6984">
        <w:t xml:space="preserve"> relating to how public sector agencies responded to protected disclosures.</w:t>
      </w:r>
    </w:p>
    <w:p w14:paraId="72C69C32" w14:textId="18FF393A" w:rsidR="008B3434" w:rsidRDefault="008B3434" w:rsidP="008B3434">
      <w:pPr>
        <w:pStyle w:val="Bullet1"/>
        <w:numPr>
          <w:ilvl w:val="0"/>
          <w:numId w:val="0"/>
        </w:numPr>
      </w:pPr>
      <w:r>
        <w:t>Common issues raised with us include</w:t>
      </w:r>
      <w:r w:rsidR="002363B6">
        <w:t>d</w:t>
      </w:r>
      <w:r>
        <w:t xml:space="preserve">: </w:t>
      </w:r>
    </w:p>
    <w:p w14:paraId="486322A6" w14:textId="77777777" w:rsidR="008B3434" w:rsidRDefault="008B3434" w:rsidP="008B3434">
      <w:pPr>
        <w:pStyle w:val="Bullet1"/>
      </w:pPr>
      <w:r>
        <w:t>requests for advice about anonymous disclosures and confidentiality, the meaning of ‘serious wrongdoing’, how to make a disclosure, who is an appropriate authority, and how to respond to a protected disclosure; and</w:t>
      </w:r>
    </w:p>
    <w:p w14:paraId="6C9F45B8" w14:textId="7779FE9C" w:rsidR="008B3434" w:rsidRDefault="008B3434" w:rsidP="008B3434">
      <w:pPr>
        <w:pStyle w:val="Bullet1"/>
      </w:pPr>
      <w:r>
        <w:t>concerns about financial mismanagement, unsafe work practices, general organisation administration and management, employment matters,</w:t>
      </w:r>
      <w:r>
        <w:rPr>
          <w:rStyle w:val="FootnoteReference"/>
        </w:rPr>
        <w:footnoteReference w:id="16"/>
      </w:r>
      <w:r>
        <w:t xml:space="preserve"> and how agencies have responded to protected disclosures. </w:t>
      </w:r>
    </w:p>
    <w:p w14:paraId="28DB3679" w14:textId="6B11550D" w:rsidR="00B539EB" w:rsidRDefault="008B3434" w:rsidP="003E46F9">
      <w:pPr>
        <w:pStyle w:val="Bullet1"/>
        <w:numPr>
          <w:ilvl w:val="0"/>
          <w:numId w:val="0"/>
        </w:numPr>
      </w:pPr>
      <w:r w:rsidRPr="00EF6984">
        <w:t xml:space="preserve">We undertake formal quality </w:t>
      </w:r>
      <w:r w:rsidRPr="00972838">
        <w:t>assurance checks across a random sample of protected disclosures and advice requests. Ninety percent of protected disclosures and advice requests met internal quality standards this year</w:t>
      </w:r>
      <w:r w:rsidR="00091A55">
        <w:t xml:space="preserve"> exceeding the target of 85 percent</w:t>
      </w:r>
      <w:r w:rsidRPr="00972838">
        <w:t xml:space="preserve">. </w:t>
      </w:r>
      <w:r w:rsidR="00FB61AA" w:rsidRPr="00972838">
        <w:t>W</w:t>
      </w:r>
      <w:r w:rsidRPr="00972838">
        <w:t>e completed 90 percent of disclosures and advice requests within three months</w:t>
      </w:r>
      <w:r w:rsidR="00091A55">
        <w:t>, exceeding the target of 85 percent</w:t>
      </w:r>
      <w:r w:rsidR="00497EAD" w:rsidRPr="00972838">
        <w:t>.</w:t>
      </w:r>
      <w:r w:rsidR="00497EAD">
        <w:t xml:space="preserve"> </w:t>
      </w:r>
    </w:p>
    <w:tbl>
      <w:tblPr>
        <w:tblStyle w:val="TableBox"/>
        <w:tblW w:w="9297" w:type="dxa"/>
        <w:tblLayout w:type="fixed"/>
        <w:tblCellMar>
          <w:bottom w:w="0" w:type="dxa"/>
        </w:tblCellMar>
        <w:tblLook w:val="04A0" w:firstRow="1" w:lastRow="0" w:firstColumn="1" w:lastColumn="0" w:noHBand="0" w:noVBand="1"/>
        <w:tblCaption w:val="Box to emphasise text"/>
      </w:tblPr>
      <w:tblGrid>
        <w:gridCol w:w="9297"/>
      </w:tblGrid>
      <w:tr w:rsidR="0080504F" w14:paraId="37293BAF" w14:textId="77777777" w:rsidTr="004D0FB3">
        <w:trPr>
          <w:cantSplit/>
        </w:trPr>
        <w:tc>
          <w:tcPr>
            <w:tcW w:w="9514" w:type="dxa"/>
            <w:shd w:val="clear" w:color="auto" w:fill="E9E9E9"/>
          </w:tcPr>
          <w:p w14:paraId="1B47EDD0" w14:textId="6A56B906" w:rsidR="00127257" w:rsidRPr="002813D8" w:rsidRDefault="0080504F" w:rsidP="00127257">
            <w:pPr>
              <w:pStyle w:val="Bullet1"/>
              <w:numPr>
                <w:ilvl w:val="0"/>
                <w:numId w:val="0"/>
              </w:numPr>
              <w:rPr>
                <w:b/>
                <w:color w:val="017E5D"/>
                <w:sz w:val="28"/>
              </w:rPr>
            </w:pPr>
            <w:r w:rsidRPr="002813D8">
              <w:rPr>
                <w:b/>
                <w:color w:val="017E5D"/>
                <w:sz w:val="28"/>
              </w:rPr>
              <w:t>Whistle-blower discloses ACC manipulated data for official information requests</w:t>
            </w:r>
          </w:p>
          <w:p w14:paraId="5642611F" w14:textId="251EB0E2" w:rsidR="00127257" w:rsidRDefault="002363B6" w:rsidP="00127257">
            <w:pPr>
              <w:pStyle w:val="BodyText"/>
            </w:pPr>
            <w:r>
              <w:t>W</w:t>
            </w:r>
            <w:r w:rsidR="00B539EB">
              <w:t xml:space="preserve">e </w:t>
            </w:r>
            <w:r w:rsidR="00127257">
              <w:t xml:space="preserve">received a protected disclosure alleging that </w:t>
            </w:r>
            <w:r w:rsidR="009501F9" w:rsidRPr="00127257">
              <w:t xml:space="preserve">Accident Compensation Corporation </w:t>
            </w:r>
            <w:r w:rsidR="009501F9">
              <w:t>(</w:t>
            </w:r>
            <w:r w:rsidR="00127257">
              <w:t>ACC</w:t>
            </w:r>
            <w:r w:rsidR="009501F9">
              <w:t>)</w:t>
            </w:r>
            <w:r w:rsidR="00127257">
              <w:t xml:space="preserve"> senior management had manipulated data relating to a farewell event in 2023 for a </w:t>
            </w:r>
            <w:r w:rsidR="00B539EB" w:rsidRPr="00127257">
              <w:t>Deputy Chief Executive</w:t>
            </w:r>
            <w:r w:rsidR="00B539EB">
              <w:t xml:space="preserve"> (</w:t>
            </w:r>
            <w:r w:rsidR="00127257">
              <w:t>DC</w:t>
            </w:r>
            <w:r w:rsidR="009501F9">
              <w:t>E</w:t>
            </w:r>
            <w:r w:rsidR="00B539EB">
              <w:t>)</w:t>
            </w:r>
            <w:r w:rsidR="009501F9">
              <w:t xml:space="preserve">. We investigated the allegation under the </w:t>
            </w:r>
            <w:r>
              <w:t>PDA</w:t>
            </w:r>
            <w:r w:rsidR="00497EAD">
              <w:t xml:space="preserve">. </w:t>
            </w:r>
          </w:p>
          <w:p w14:paraId="317B11BD" w14:textId="295F537E" w:rsidR="00127257" w:rsidRPr="00127257" w:rsidRDefault="00127257" w:rsidP="00127257">
            <w:pPr>
              <w:pStyle w:val="BodyText"/>
            </w:pPr>
            <w:r w:rsidRPr="00127257">
              <w:t>In August 2023,</w:t>
            </w:r>
            <w:r w:rsidR="009501F9">
              <w:t xml:space="preserve"> </w:t>
            </w:r>
            <w:r w:rsidRPr="00127257">
              <w:t xml:space="preserve">ACC received </w:t>
            </w:r>
            <w:r w:rsidR="009501F9">
              <w:t>O</w:t>
            </w:r>
            <w:r w:rsidRPr="00127257">
              <w:t xml:space="preserve">IA requests from two journalists asking for information on how much had been spent on staff functions over the last year. The requestors asked for the details of any event that cost over $10,000. </w:t>
            </w:r>
          </w:p>
          <w:p w14:paraId="59645CF2" w14:textId="5E31B1DB" w:rsidR="00127257" w:rsidRPr="00127257" w:rsidRDefault="00127257" w:rsidP="00127257">
            <w:pPr>
              <w:pStyle w:val="BodyText"/>
            </w:pPr>
            <w:r w:rsidRPr="00127257">
              <w:t xml:space="preserve">When gathering the information, ACC initially identified one event, a farewell for a </w:t>
            </w:r>
            <w:r w:rsidR="00B539EB">
              <w:t>DCE</w:t>
            </w:r>
            <w:r w:rsidRPr="00127257">
              <w:t xml:space="preserve">, at a cost of $17,287.29. </w:t>
            </w:r>
          </w:p>
          <w:p w14:paraId="7A4E8F38" w14:textId="150E4D36" w:rsidR="00127257" w:rsidRPr="00127257" w:rsidRDefault="00127257" w:rsidP="00127257">
            <w:pPr>
              <w:pStyle w:val="BodyText"/>
            </w:pPr>
            <w:r w:rsidRPr="00127257">
              <w:t>On reviewing this, ACC considered that some travel expenses which had been included in the event costs, would have occurred regardless of the farewell as those staff were in Wellington on ‘</w:t>
            </w:r>
            <w:r w:rsidRPr="00127257">
              <w:rPr>
                <w:i/>
                <w:iCs/>
              </w:rPr>
              <w:t>other work</w:t>
            </w:r>
            <w:r w:rsidRPr="00127257">
              <w:t xml:space="preserve">’. Subsequently, ACC removed those travel expenses from the overall cost of the event. Having excluded the travel expenses, the cost of the farewell fell below the $10,000 threshold in the OIA requests. </w:t>
            </w:r>
          </w:p>
          <w:p w14:paraId="72BAC7A8" w14:textId="67603BB1" w:rsidR="009501F9" w:rsidRDefault="00127257" w:rsidP="00127257">
            <w:pPr>
              <w:pStyle w:val="BodyText"/>
            </w:pPr>
            <w:r w:rsidRPr="00127257">
              <w:t>ACC subsequently advised the OIA requesters that ACC had not identified any events in scope of their requests</w:t>
            </w:r>
            <w:r w:rsidR="00497EAD">
              <w:t xml:space="preserve">. </w:t>
            </w:r>
          </w:p>
          <w:p w14:paraId="70DDF8F5" w14:textId="288E9DC3" w:rsidR="00127257" w:rsidRDefault="009501F9" w:rsidP="00127257">
            <w:pPr>
              <w:pStyle w:val="BodyText"/>
            </w:pPr>
            <w:r>
              <w:t>In September 2025, t</w:t>
            </w:r>
            <w:r w:rsidR="00127257">
              <w:t>he Chief Ombudsman</w:t>
            </w:r>
            <w:r w:rsidR="00127257" w:rsidRPr="00127257">
              <w:t xml:space="preserve"> formed the opinion that ACC’s decision making on the information requests was unreasonable and wrong</w:t>
            </w:r>
            <w:r w:rsidR="00497EAD">
              <w:t xml:space="preserve">. </w:t>
            </w:r>
            <w:r w:rsidR="00165E55">
              <w:t>Specifically, that ACC had acted</w:t>
            </w:r>
            <w:r w:rsidR="00F657F9">
              <w:t xml:space="preserve"> unreasonably in failing to keep clear, contemporaneous records at the time of planning the farewell, and that without clear documentation to </w:t>
            </w:r>
            <w:r w:rsidR="00F657F9" w:rsidRPr="00F657F9">
              <w:t xml:space="preserve">evidence that some staff were in Wellington doing other work, ACC acted unreasonably in excluding those costs from their OIA responses. </w:t>
            </w:r>
          </w:p>
          <w:p w14:paraId="69BB8439" w14:textId="0A5E9B3A" w:rsidR="00165E55" w:rsidRPr="00127257" w:rsidRDefault="00165E55" w:rsidP="00127257">
            <w:pPr>
              <w:pStyle w:val="BodyText"/>
            </w:pPr>
            <w:r>
              <w:t xml:space="preserve">ACC accepted the Chief Ombudsman’s opinion and </w:t>
            </w:r>
            <w:r w:rsidR="00F657F9">
              <w:t>implemented controls around spending and improvements to record keeping. They also apologised to the requestors</w:t>
            </w:r>
            <w:r w:rsidR="00497EAD">
              <w:t xml:space="preserve">. </w:t>
            </w:r>
          </w:p>
          <w:p w14:paraId="7B098466" w14:textId="69CE4FE6" w:rsidR="0080504F" w:rsidRDefault="00127257" w:rsidP="00127257">
            <w:pPr>
              <w:pStyle w:val="BodyText"/>
            </w:pPr>
            <w:hyperlink r:id="rId43" w:history="1">
              <w:r w:rsidRPr="00127257">
                <w:rPr>
                  <w:rStyle w:val="Hyperlink"/>
                </w:rPr>
                <w:t>Read the full opinion on our website.</w:t>
              </w:r>
            </w:hyperlink>
          </w:p>
        </w:tc>
      </w:tr>
    </w:tbl>
    <w:p w14:paraId="6D0C3AD9" w14:textId="3E8DED19" w:rsidR="003E46F9" w:rsidRDefault="00086A84" w:rsidP="003E46F9">
      <w:pPr>
        <w:pStyle w:val="Heading4"/>
        <w:spacing w:before="240"/>
      </w:pPr>
      <w:r>
        <w:t xml:space="preserve">Knowledge and awareness </w:t>
      </w:r>
    </w:p>
    <w:p w14:paraId="1F942EE3" w14:textId="4C4CD58D" w:rsidR="003E46F9" w:rsidRDefault="003E46F9" w:rsidP="003E46F9">
      <w:pPr>
        <w:pStyle w:val="BodyText"/>
      </w:pPr>
      <w:r w:rsidRPr="00EF6984">
        <w:t xml:space="preserve">To understand the impact of the </w:t>
      </w:r>
      <w:r>
        <w:t>PDA</w:t>
      </w:r>
      <w:r w:rsidRPr="00EF6984">
        <w:t>, we conduct an annual survey of public knowledge and awareness about whistleblowing.</w:t>
      </w:r>
    </w:p>
    <w:p w14:paraId="2B0AD695" w14:textId="595249F2" w:rsidR="003E46F9" w:rsidRDefault="003E46F9" w:rsidP="003E46F9">
      <w:pPr>
        <w:pStyle w:val="BodyText"/>
      </w:pPr>
      <w:r>
        <w:t xml:space="preserve">Some of the key results are outlined in the below graph: </w:t>
      </w:r>
    </w:p>
    <w:p w14:paraId="0200143F" w14:textId="0D6A0A37" w:rsidR="003E5417" w:rsidRPr="003E5417" w:rsidRDefault="00E67AEE" w:rsidP="003E46F9">
      <w:pPr>
        <w:pStyle w:val="BodyText"/>
        <w:rPr>
          <w:rStyle w:val="Italics"/>
          <w:i w:val="0"/>
        </w:rPr>
      </w:pPr>
      <w:r>
        <w:rPr>
          <w:noProof/>
        </w:rPr>
        <w:drawing>
          <wp:inline distT="0" distB="0" distL="0" distR="0" wp14:anchorId="1C3B4C43" wp14:editId="70DAED62">
            <wp:extent cx="5904230" cy="3187700"/>
            <wp:effectExtent l="0" t="0" r="1270" b="12700"/>
            <wp:docPr id="1583421018" name="Chart 1" descr="Graph (figure 8) showing awareness of the PDA. Link to table version of the graph below. ">
              <a:extLst xmlns:a="http://schemas.openxmlformats.org/drawingml/2006/main">
                <a:ext uri="{FF2B5EF4-FFF2-40B4-BE49-F238E27FC236}">
                  <a16:creationId xmlns:a16="http://schemas.microsoft.com/office/drawing/2014/main" id="{FB886B88-E387-0699-E6E7-035331E1DD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BF8D179" w14:textId="7EA46C48" w:rsidR="00266B40" w:rsidRPr="005A0727" w:rsidRDefault="00266B40" w:rsidP="003E46F9">
      <w:pPr>
        <w:pStyle w:val="BodyText"/>
        <w:rPr>
          <w:rStyle w:val="Italics"/>
          <w:i w:val="0"/>
          <w:iCs/>
        </w:rPr>
      </w:pPr>
      <w:hyperlink w:anchor="_Figure_8:_Awareness" w:history="1">
        <w:r w:rsidRPr="005A0727">
          <w:rPr>
            <w:rStyle w:val="Hyperlink"/>
            <w:i/>
            <w:iCs/>
          </w:rPr>
          <w:t>Figure 8: Awareness of the PDA.</w:t>
        </w:r>
      </w:hyperlink>
      <w:r w:rsidRPr="005A0727">
        <w:rPr>
          <w:rStyle w:val="Italics"/>
          <w:i w:val="0"/>
          <w:iCs/>
        </w:rPr>
        <w:t xml:space="preserve"> </w:t>
      </w:r>
    </w:p>
    <w:p w14:paraId="18925C8F" w14:textId="3A91EA8A" w:rsidR="001A56E4" w:rsidRDefault="00B3512D" w:rsidP="003E46F9">
      <w:pPr>
        <w:pStyle w:val="BodyText"/>
      </w:pPr>
      <w:r>
        <w:t xml:space="preserve">Additionally, 56 percent of those </w:t>
      </w:r>
      <w:r w:rsidR="009E7596">
        <w:t xml:space="preserve">who </w:t>
      </w:r>
      <w:r>
        <w:t xml:space="preserve">made a disclosure reported experiencing a problem, including being treated differently from other staff, experiencing bullying or harassment, losing their job, and being demoted. This demonstrates </w:t>
      </w:r>
      <w:r w:rsidR="00BB1DC7">
        <w:t>there is more to do to ensure employees feel safe</w:t>
      </w:r>
      <w:r w:rsidR="00C13256">
        <w:t>,</w:t>
      </w:r>
      <w:r w:rsidR="00BB1DC7">
        <w:t xml:space="preserve"> and are safe</w:t>
      </w:r>
      <w:r w:rsidR="00C13256">
        <w:t>,</w:t>
      </w:r>
      <w:r w:rsidR="00BB1DC7">
        <w:t xml:space="preserve"> to speak out. </w:t>
      </w:r>
    </w:p>
    <w:p w14:paraId="76643311" w14:textId="28492161" w:rsidR="00B3512D" w:rsidRDefault="00C13256" w:rsidP="003E46F9">
      <w:pPr>
        <w:pStyle w:val="BodyText"/>
      </w:pPr>
      <w:r>
        <w:t>We have</w:t>
      </w:r>
      <w:r w:rsidR="00AE1DC6">
        <w:t xml:space="preserve"> a suite of guidance to support agencies and disclosers, including</w:t>
      </w:r>
      <w:r>
        <w:t xml:space="preserve"> </w:t>
      </w:r>
      <w:hyperlink r:id="rId45" w:history="1">
        <w:r w:rsidRPr="00AE1DC6">
          <w:rPr>
            <w:rStyle w:val="Hyperlink"/>
          </w:rPr>
          <w:t xml:space="preserve">guidance for agencies on </w:t>
        </w:r>
        <w:r w:rsidR="00AE1DC6" w:rsidRPr="00AE1DC6">
          <w:rPr>
            <w:rStyle w:val="Hyperlink"/>
          </w:rPr>
          <w:t>receiving and dealing with protected disclosures</w:t>
        </w:r>
      </w:hyperlink>
      <w:r>
        <w:t xml:space="preserve">, </w:t>
      </w:r>
      <w:r w:rsidR="00AE1DC6">
        <w:t xml:space="preserve">and </w:t>
      </w:r>
      <w:hyperlink r:id="rId46" w:history="1">
        <w:r w:rsidR="00AE1DC6" w:rsidRPr="00AE1DC6">
          <w:rPr>
            <w:rStyle w:val="Hyperlink"/>
          </w:rPr>
          <w:t>a detailed guide to the PDA</w:t>
        </w:r>
      </w:hyperlink>
      <w:r>
        <w:t>.</w:t>
      </w:r>
    </w:p>
    <w:p w14:paraId="2BBBA598" w14:textId="3A64F69A" w:rsidR="006F34B2" w:rsidRDefault="006F34B2" w:rsidP="006F34B2">
      <w:pPr>
        <w:pStyle w:val="Heading3"/>
      </w:pPr>
      <w:bookmarkStart w:id="46" w:name="_Hlk236116569"/>
      <w:r>
        <w:t xml:space="preserve">Output 6—Break down the barriers that prevent disabled and </w:t>
      </w:r>
      <w:r w:rsidR="00B12A34">
        <w:t xml:space="preserve">Deaf </w:t>
      </w:r>
      <w:r>
        <w:t>people from participating equally in society</w:t>
      </w:r>
    </w:p>
    <w:p w14:paraId="073B84DE" w14:textId="77777777" w:rsidR="0063612D" w:rsidRDefault="0063612D" w:rsidP="0063612D">
      <w:pPr>
        <w:pStyle w:val="Whitespace"/>
      </w:pPr>
      <w:bookmarkStart w:id="47" w:name="_Hlk232605522"/>
      <w:bookmarkEnd w:id="46"/>
    </w:p>
    <w:p w14:paraId="3B168E4B" w14:textId="60FCD6B7" w:rsidR="0063612D" w:rsidRPr="0063612D" w:rsidRDefault="0063612D" w:rsidP="0063612D">
      <w:r w:rsidRPr="0063612D">
        <w:t>Deaf, tāngata whaikaha Māori, and disabled people face persistent barriers which prevent them from being able to participate fully in community and public life. As a part of the Independent Monitoring Mechanism</w:t>
      </w:r>
      <w:r>
        <w:t xml:space="preserve"> (IMM)</w:t>
      </w:r>
      <w:r w:rsidRPr="0063612D">
        <w:rPr>
          <w:vertAlign w:val="superscript"/>
        </w:rPr>
        <w:footnoteReference w:id="17"/>
      </w:r>
      <w:r w:rsidRPr="0063612D">
        <w:t xml:space="preserve">, the Ombudsman helps to protect and monitor the rights of </w:t>
      </w:r>
      <w:r w:rsidR="007102EE">
        <w:t>D</w:t>
      </w:r>
      <w:r w:rsidRPr="0063612D">
        <w:t xml:space="preserve">eaf and disabled people. We monitor how those rights are being realised, report on what we find, share information that promotes good practice and raises awareness, and make </w:t>
      </w:r>
      <w:r w:rsidR="00031808" w:rsidRPr="0063612D">
        <w:t>recommend</w:t>
      </w:r>
      <w:r w:rsidR="00031808">
        <w:t>ations</w:t>
      </w:r>
      <w:r w:rsidR="00031808" w:rsidRPr="0063612D">
        <w:t xml:space="preserve"> </w:t>
      </w:r>
      <w:r w:rsidRPr="0063612D">
        <w:t xml:space="preserve">for improvement. </w:t>
      </w:r>
    </w:p>
    <w:p w14:paraId="2E51BF23" w14:textId="72952BDC" w:rsidR="00FC069D" w:rsidRDefault="00FC069D" w:rsidP="00F77AAD">
      <w:r>
        <w:t xml:space="preserve">This year, with our IMM partners, we implemented the 2026 </w:t>
      </w:r>
      <w:r w:rsidR="00AE59E6">
        <w:t>Workplan and</w:t>
      </w:r>
      <w:r w:rsidR="00D50589">
        <w:t xml:space="preserve"> started monitoring nine agencies’ implementation of specific rights in the Disability Convention</w:t>
      </w:r>
      <w:r w:rsidR="00497EAD">
        <w:t xml:space="preserve">. </w:t>
      </w:r>
    </w:p>
    <w:p w14:paraId="6B8EDAD9" w14:textId="19B36EE5" w:rsidR="005969A6" w:rsidRDefault="005969A6" w:rsidP="00F77AAD">
      <w:r>
        <w:t xml:space="preserve">We continued to engage with disability and Deaf organisations. We engaged with 16 organisations </w:t>
      </w:r>
      <w:r w:rsidR="005D4297">
        <w:t xml:space="preserve">and completed 66 engagements, relationship building and education sessions, within the Deaf and disability community. </w:t>
      </w:r>
      <w:r w:rsidR="00FC069D">
        <w:t xml:space="preserve">These engagements focus on who the Ombudsman is, and what we do including our complaint process and our disability rights work. </w:t>
      </w:r>
    </w:p>
    <w:bookmarkEnd w:id="47"/>
    <w:p w14:paraId="0A1C320C" w14:textId="18FB56FF" w:rsidR="00F77AAD" w:rsidRDefault="00F77AAD" w:rsidP="00F77AAD">
      <w:pPr>
        <w:rPr>
          <w:rFonts w:eastAsia="Calibri" w:cs="Times New Roman"/>
        </w:rPr>
      </w:pPr>
      <w:r>
        <w:fldChar w:fldCharType="begin"/>
      </w:r>
      <w:r>
        <w:instrText>HYPERLINK "https://www.ombudsman.parliament.nz/about-ombudsman/disabilityadvisorypanel"</w:instrText>
      </w:r>
      <w:r>
        <w:fldChar w:fldCharType="separate"/>
      </w:r>
      <w:proofErr w:type="spellStart"/>
      <w:r w:rsidRPr="00A556A3">
        <w:rPr>
          <w:rStyle w:val="Hyperlink"/>
          <w:rFonts w:eastAsia="Calibri" w:cs="Times New Roman"/>
        </w:rPr>
        <w:t>Te</w:t>
      </w:r>
      <w:proofErr w:type="spellEnd"/>
      <w:r w:rsidRPr="00A556A3">
        <w:rPr>
          <w:rStyle w:val="Hyperlink"/>
          <w:rFonts w:eastAsia="Calibri" w:cs="Times New Roman"/>
        </w:rPr>
        <w:t xml:space="preserve"> </w:t>
      </w:r>
      <w:proofErr w:type="spellStart"/>
      <w:r w:rsidRPr="00A556A3">
        <w:rPr>
          <w:rStyle w:val="Hyperlink"/>
          <w:rFonts w:eastAsia="Calibri" w:cs="Times New Roman"/>
        </w:rPr>
        <w:t>Rōpū</w:t>
      </w:r>
      <w:proofErr w:type="spellEnd"/>
      <w:r w:rsidRPr="00A556A3">
        <w:rPr>
          <w:rStyle w:val="Hyperlink"/>
          <w:rFonts w:eastAsia="Calibri" w:cs="Times New Roman"/>
        </w:rPr>
        <w:t xml:space="preserve"> </w:t>
      </w:r>
      <w:proofErr w:type="spellStart"/>
      <w:r w:rsidRPr="00A556A3">
        <w:rPr>
          <w:rStyle w:val="Hyperlink"/>
          <w:rFonts w:eastAsia="Calibri" w:cs="Times New Roman"/>
        </w:rPr>
        <w:t>Kaiārahi</w:t>
      </w:r>
      <w:proofErr w:type="spellEnd"/>
      <w:r w:rsidRPr="00A556A3">
        <w:rPr>
          <w:rStyle w:val="Hyperlink"/>
          <w:rFonts w:eastAsia="Calibri" w:cs="Times New Roman"/>
        </w:rPr>
        <w:t xml:space="preserve"> </w:t>
      </w:r>
      <w:proofErr w:type="spellStart"/>
      <w:r w:rsidRPr="00A556A3">
        <w:rPr>
          <w:rStyle w:val="Hyperlink"/>
          <w:rFonts w:eastAsia="Calibri" w:cs="Times New Roman"/>
        </w:rPr>
        <w:t>Hauātanga</w:t>
      </w:r>
      <w:proofErr w:type="spellEnd"/>
      <w:r>
        <w:fldChar w:fldCharType="end"/>
      </w:r>
      <w:r w:rsidRPr="00A556A3">
        <w:rPr>
          <w:rFonts w:eastAsia="Calibri" w:cs="Times New Roman"/>
        </w:rPr>
        <w:t>, the Ombudsman’s Disability Advisory Panel,</w:t>
      </w:r>
      <w:r>
        <w:rPr>
          <w:rFonts w:eastAsia="Calibri" w:cs="Times New Roman"/>
        </w:rPr>
        <w:t xml:space="preserve"> provides </w:t>
      </w:r>
      <w:r w:rsidR="00D65506">
        <w:rPr>
          <w:rFonts w:eastAsia="Calibri" w:cs="Times New Roman"/>
        </w:rPr>
        <w:t>the Ombudsman</w:t>
      </w:r>
      <w:r>
        <w:rPr>
          <w:rFonts w:eastAsia="Calibri" w:cs="Times New Roman"/>
        </w:rPr>
        <w:t xml:space="preserve"> with disability rights advice, guidance and insight for our work. </w:t>
      </w:r>
      <w:r w:rsidRPr="0041796D">
        <w:rPr>
          <w:rFonts w:eastAsia="Calibri" w:cs="Times New Roman"/>
        </w:rPr>
        <w:t>Three Panel members</w:t>
      </w:r>
      <w:r w:rsidR="00A52449">
        <w:rPr>
          <w:rFonts w:eastAsia="Calibri" w:cs="Times New Roman"/>
        </w:rPr>
        <w:t xml:space="preserve"> </w:t>
      </w:r>
      <w:r w:rsidRPr="0041796D">
        <w:rPr>
          <w:rFonts w:eastAsia="Calibri" w:cs="Times New Roman"/>
        </w:rPr>
        <w:t xml:space="preserve">finished their second term </w:t>
      </w:r>
      <w:r w:rsidR="000D5F11">
        <w:rPr>
          <w:rFonts w:eastAsia="Calibri" w:cs="Times New Roman"/>
        </w:rPr>
        <w:t>this year.</w:t>
      </w:r>
      <w:r w:rsidR="00A52449">
        <w:rPr>
          <w:rFonts w:eastAsia="Calibri" w:cs="Times New Roman"/>
        </w:rPr>
        <w:t xml:space="preserve"> </w:t>
      </w:r>
      <w:r>
        <w:rPr>
          <w:rFonts w:eastAsia="Calibri" w:cs="Times New Roman"/>
        </w:rPr>
        <w:t>We acknowledge and appreciate Lara Draper, Sam Fitness and Dr Jonathan Godfrey and their work on the Panel</w:t>
      </w:r>
      <w:r w:rsidR="00497EAD">
        <w:rPr>
          <w:rFonts w:eastAsia="Calibri" w:cs="Times New Roman"/>
        </w:rPr>
        <w:t xml:space="preserve">. </w:t>
      </w:r>
      <w:r>
        <w:rPr>
          <w:rFonts w:eastAsia="Calibri" w:cs="Times New Roman"/>
        </w:rPr>
        <w:t>Four new Panel members joined the five current members in June 2026.</w:t>
      </w:r>
      <w:r w:rsidRPr="0041796D">
        <w:rPr>
          <w:rFonts w:eastAsia="Calibri" w:cs="Times New Roman"/>
        </w:rPr>
        <w:t xml:space="preserve"> </w:t>
      </w:r>
    </w:p>
    <w:p w14:paraId="6CDFFBA9" w14:textId="77777777" w:rsidR="00F77AAD" w:rsidRPr="00A556A3" w:rsidRDefault="00F77AAD" w:rsidP="00F77AAD">
      <w:pPr>
        <w:pStyle w:val="Heading4"/>
        <w:rPr>
          <w:rFonts w:eastAsia="Times New Roman"/>
        </w:rPr>
      </w:pPr>
      <w:r w:rsidRPr="00A556A3">
        <w:rPr>
          <w:rFonts w:eastAsia="Times New Roman"/>
        </w:rPr>
        <w:t xml:space="preserve">Ongoing disability rights focus </w:t>
      </w:r>
      <w:proofErr w:type="gramStart"/>
      <w:r w:rsidRPr="00A556A3">
        <w:rPr>
          <w:rFonts w:eastAsia="Times New Roman"/>
        </w:rPr>
        <w:t>in</w:t>
      </w:r>
      <w:proofErr w:type="gramEnd"/>
      <w:r w:rsidRPr="00A556A3">
        <w:rPr>
          <w:rFonts w:eastAsia="Times New Roman"/>
        </w:rPr>
        <w:t xml:space="preserve"> investigations, inspections and advice</w:t>
      </w:r>
    </w:p>
    <w:p w14:paraId="67C67D20" w14:textId="4A4C13A9" w:rsidR="00F77AAD" w:rsidRPr="00A556A3" w:rsidRDefault="00F77AAD" w:rsidP="00F77AAD">
      <w:pPr>
        <w:rPr>
          <w:rFonts w:eastAsia="Calibri" w:cs="Times New Roman"/>
        </w:rPr>
      </w:pPr>
      <w:r w:rsidRPr="00A556A3">
        <w:rPr>
          <w:rFonts w:eastAsia="Calibri" w:cs="Times New Roman"/>
        </w:rPr>
        <w:t xml:space="preserve">Our </w:t>
      </w:r>
      <w:r w:rsidR="009C5C07">
        <w:rPr>
          <w:rFonts w:eastAsia="Calibri" w:cs="Times New Roman"/>
        </w:rPr>
        <w:t>OA</w:t>
      </w:r>
      <w:r w:rsidRPr="00A556A3">
        <w:rPr>
          <w:rFonts w:eastAsia="Calibri" w:cs="Times New Roman"/>
        </w:rPr>
        <w:t xml:space="preserve"> powers can be used to resolve complaints and investigate concerns about administrative conduct by public sector agencies when disability rights issues are raised. Disability rights issues can also be considered when we provide advice and guidance, and we are able to explicitly ask an agency how it has taken a particular article of the Disability Convention into account. </w:t>
      </w:r>
    </w:p>
    <w:p w14:paraId="4867DAD3" w14:textId="5342B13C" w:rsidR="00E91A70" w:rsidRPr="00F77AAD" w:rsidRDefault="00F77AAD" w:rsidP="00232014">
      <w:r w:rsidRPr="00A556A3">
        <w:t xml:space="preserve">We also note issues as they arise in inspections of places of detention. Disability rights continue to be an area of focus for our inspections as we are aware that a significant proportion of detainees have a </w:t>
      </w:r>
      <w:proofErr w:type="gramStart"/>
      <w:r w:rsidRPr="00A556A3">
        <w:t>disability, or</w:t>
      </w:r>
      <w:proofErr w:type="gramEnd"/>
      <w:r w:rsidRPr="00A556A3">
        <w:t xml:space="preserve"> have experience of mental health distress.</w:t>
      </w:r>
    </w:p>
    <w:p w14:paraId="34D7DD01" w14:textId="77777777" w:rsidR="006F34B2" w:rsidRDefault="006F34B2" w:rsidP="00086A84">
      <w:pPr>
        <w:pStyle w:val="Heading3"/>
        <w:spacing w:after="240"/>
      </w:pPr>
      <w:bookmarkStart w:id="48" w:name="_Hlk236117105"/>
      <w:bookmarkStart w:id="49" w:name="_Hlk235534080"/>
      <w:r>
        <w:t>Output 7—Improve the conditions and treatment of people in detention</w:t>
      </w:r>
    </w:p>
    <w:p w14:paraId="0367E473" w14:textId="77777777" w:rsidR="00D1213D" w:rsidRPr="00D1213D" w:rsidRDefault="00D1213D" w:rsidP="00D1213D">
      <w:pPr>
        <w:pStyle w:val="BodyText"/>
        <w:rPr>
          <w:iCs/>
        </w:rPr>
      </w:pPr>
      <w:r w:rsidRPr="00D1213D">
        <w:t>We monitor the treatment and conditions of people in places of detention to help ensure that people who are deprived of their liberty are treated humanely</w:t>
      </w:r>
      <w:r w:rsidRPr="00D1213D">
        <w:rPr>
          <w:i/>
          <w:iCs/>
        </w:rPr>
        <w:t>.</w:t>
      </w:r>
      <w:r w:rsidRPr="00D1213D">
        <w:rPr>
          <w:iCs/>
          <w:vertAlign w:val="superscript"/>
        </w:rPr>
        <w:footnoteReference w:id="18"/>
      </w:r>
      <w:r w:rsidRPr="00D1213D">
        <w:rPr>
          <w:i/>
          <w:iCs/>
        </w:rPr>
        <w:t xml:space="preserve"> </w:t>
      </w:r>
    </w:p>
    <w:p w14:paraId="43B3AFC6" w14:textId="77777777" w:rsidR="00D1213D" w:rsidRPr="00D1213D" w:rsidRDefault="00D1213D" w:rsidP="00D1213D">
      <w:pPr>
        <w:pStyle w:val="BodyText"/>
      </w:pPr>
      <w:r w:rsidRPr="00D1213D">
        <w:t>This work is preventive, aiming to ensure that protections against ill-treatment are in place and that risks, poor practices, or systemic problems are identified and can be addressed. It also helps to ensure New Zealand meets international human rights standards.</w:t>
      </w:r>
    </w:p>
    <w:p w14:paraId="53D90527" w14:textId="340E3736" w:rsidR="00D1213D" w:rsidRPr="00D1213D" w:rsidRDefault="00D1213D" w:rsidP="00D1213D">
      <w:pPr>
        <w:pStyle w:val="BodyText"/>
      </w:pPr>
      <w:r w:rsidRPr="00D1213D">
        <w:t>The places we visit and inspect include prisons, court facilities, immigration detention, health and disability detention, as well as aged care facilities.</w:t>
      </w:r>
      <w:r>
        <w:t xml:space="preserve"> There are </w:t>
      </w:r>
      <w:r w:rsidR="009327DD">
        <w:t>approximately 500</w:t>
      </w:r>
      <w:r w:rsidRPr="007A7FA7">
        <w:t xml:space="preserve"> facilities</w:t>
      </w:r>
      <w:r w:rsidRPr="00EF6984">
        <w:t xml:space="preserve"> under our designation</w:t>
      </w:r>
      <w:r>
        <w:t>.</w:t>
      </w:r>
    </w:p>
    <w:bookmarkEnd w:id="48"/>
    <w:p w14:paraId="0CABBD76" w14:textId="77777777" w:rsidR="00232014" w:rsidRPr="00EF6984" w:rsidRDefault="00232014" w:rsidP="00232014">
      <w:pPr>
        <w:pStyle w:val="Bullet1"/>
        <w:numPr>
          <w:ilvl w:val="0"/>
          <w:numId w:val="0"/>
        </w:numPr>
      </w:pPr>
      <w:r w:rsidRPr="00232014">
        <w:t>This year we continued to observe and make recommendations related to long term challenges that are common across many of the places of detention we examine, including capacity pressures, staffing shortages, substandard material conditions, insufficient training and resources, as well as overly restrictive practices and poor record keeping.</w:t>
      </w:r>
    </w:p>
    <w:p w14:paraId="475B674C" w14:textId="678E3506" w:rsidR="00086A84" w:rsidRDefault="00086A84" w:rsidP="00086A84">
      <w:pPr>
        <w:pStyle w:val="Heading4"/>
        <w:spacing w:before="240"/>
      </w:pPr>
      <w:r>
        <w:t xml:space="preserve">Examination through visits and inspections </w:t>
      </w:r>
    </w:p>
    <w:p w14:paraId="299BCCEE" w14:textId="61955166" w:rsidR="00232014" w:rsidRPr="00EF6984" w:rsidRDefault="00232014" w:rsidP="00232014">
      <w:pPr>
        <w:pStyle w:val="BodyText"/>
        <w:numPr>
          <w:ilvl w:val="0"/>
          <w:numId w:val="25"/>
        </w:numPr>
      </w:pPr>
      <w:r w:rsidRPr="00EF6984">
        <w:t>We visit and examine places of detention on a regular basis. In 202</w:t>
      </w:r>
      <w:r>
        <w:t>5/26</w:t>
      </w:r>
      <w:r w:rsidRPr="00EF6984">
        <w:t xml:space="preserve">, we carried out a total </w:t>
      </w:r>
      <w:r w:rsidRPr="00BE0F8D">
        <w:t>of 1</w:t>
      </w:r>
      <w:r>
        <w:t>13</w:t>
      </w:r>
      <w:r w:rsidRPr="00BE0F8D">
        <w:t xml:space="preserve"> </w:t>
      </w:r>
      <w:r w:rsidRPr="00761A98">
        <w:t>visits to places of detention</w:t>
      </w:r>
      <w:r w:rsidR="002462CD">
        <w:t xml:space="preserve">, below our target of 115. </w:t>
      </w:r>
      <w:r w:rsidRPr="00761A98">
        <w:t xml:space="preserve"> </w:t>
      </w:r>
    </w:p>
    <w:p w14:paraId="59119E93" w14:textId="271285EF" w:rsidR="00232014" w:rsidRPr="00EF6984" w:rsidRDefault="00232014" w:rsidP="00232014">
      <w:pPr>
        <w:pStyle w:val="BodyText"/>
        <w:numPr>
          <w:ilvl w:val="0"/>
          <w:numId w:val="25"/>
        </w:numPr>
      </w:pPr>
      <w:r w:rsidRPr="00EF6984">
        <w:t xml:space="preserve">Our OPCAT visiting programme included in-depth inspections, shorter targeted inspections focusing on specific areas of interest, and a number of drop-in visits, particularly in the aged residential care sector. </w:t>
      </w:r>
      <w:r w:rsidR="00646C0F">
        <w:t xml:space="preserve">We regularly publish reports on our inspections, and these can be accessed on our website. </w:t>
      </w:r>
    </w:p>
    <w:p w14:paraId="42F7704B" w14:textId="2032ED07" w:rsidR="00232014" w:rsidRDefault="00232014" w:rsidP="00232014">
      <w:pPr>
        <w:pStyle w:val="BodyText"/>
        <w:numPr>
          <w:ilvl w:val="0"/>
          <w:numId w:val="25"/>
        </w:numPr>
      </w:pPr>
      <w:r w:rsidRPr="00EF6984">
        <w:t>This year, we made 2</w:t>
      </w:r>
      <w:r>
        <w:t>38</w:t>
      </w:r>
      <w:r w:rsidRPr="00EF6984">
        <w:t xml:space="preserve"> recommendations, of which 2</w:t>
      </w:r>
      <w:r>
        <w:t>29</w:t>
      </w:r>
      <w:r w:rsidRPr="00EF6984">
        <w:t xml:space="preserve"> (9</w:t>
      </w:r>
      <w:r>
        <w:t>6</w:t>
      </w:r>
      <w:r w:rsidRPr="00EF6984">
        <w:t xml:space="preserve"> percent) were accepted. </w:t>
      </w:r>
    </w:p>
    <w:tbl>
      <w:tblPr>
        <w:tblStyle w:val="TableGridAnnualReport"/>
        <w:tblW w:w="9234" w:type="dxa"/>
        <w:tblInd w:w="-30" w:type="dxa"/>
        <w:tblLayout w:type="fixed"/>
        <w:tblLook w:val="0420" w:firstRow="1" w:lastRow="0" w:firstColumn="0" w:lastColumn="0" w:noHBand="0" w:noVBand="1"/>
        <w:tblCaption w:val="Table for formatting purposes"/>
      </w:tblPr>
      <w:tblGrid>
        <w:gridCol w:w="2324"/>
        <w:gridCol w:w="2325"/>
        <w:gridCol w:w="2324"/>
        <w:gridCol w:w="2261"/>
      </w:tblGrid>
      <w:tr w:rsidR="00CD2EF0" w:rsidRPr="00BD58DD" w14:paraId="61F00086" w14:textId="77777777" w:rsidTr="002813D8">
        <w:trPr>
          <w:cnfStyle w:val="100000000000" w:firstRow="1" w:lastRow="0" w:firstColumn="0" w:lastColumn="0" w:oddVBand="0" w:evenVBand="0" w:oddHBand="0" w:evenHBand="0" w:firstRowFirstColumn="0" w:firstRowLastColumn="0" w:lastRowFirstColumn="0" w:lastRowLastColumn="0"/>
          <w:trHeight w:val="218"/>
        </w:trPr>
        <w:tc>
          <w:tcPr>
            <w:tcW w:w="2324" w:type="dxa"/>
            <w:shd w:val="clear" w:color="auto" w:fill="017E5D"/>
            <w:noWrap/>
            <w:hideMark/>
          </w:tcPr>
          <w:p w14:paraId="746DB6BE" w14:textId="77777777" w:rsidR="00CD2EF0" w:rsidRPr="00A13F96" w:rsidRDefault="00CD2EF0" w:rsidP="007A0718">
            <w:pPr>
              <w:pStyle w:val="Tableheadingrow1"/>
            </w:pPr>
            <w:r w:rsidRPr="00A13F96">
              <w:t>Type of facility</w:t>
            </w:r>
          </w:p>
        </w:tc>
        <w:tc>
          <w:tcPr>
            <w:tcW w:w="2325" w:type="dxa"/>
            <w:shd w:val="clear" w:color="auto" w:fill="017E5D"/>
            <w:hideMark/>
          </w:tcPr>
          <w:p w14:paraId="3008919B" w14:textId="41F76177" w:rsidR="00CD2EF0" w:rsidRPr="00A13F96" w:rsidRDefault="00CD2EF0" w:rsidP="007A0718">
            <w:pPr>
              <w:pStyle w:val="Tableheadingrow1"/>
            </w:pPr>
            <w:r w:rsidRPr="00A13F96">
              <w:t>Total</w:t>
            </w:r>
            <w:r w:rsidR="009C5C07">
              <w:t xml:space="preserve"> visits</w:t>
            </w:r>
          </w:p>
        </w:tc>
        <w:tc>
          <w:tcPr>
            <w:tcW w:w="2324" w:type="dxa"/>
            <w:shd w:val="clear" w:color="auto" w:fill="017E5D"/>
          </w:tcPr>
          <w:p w14:paraId="53C6C771" w14:textId="77777777" w:rsidR="00CD2EF0" w:rsidRPr="00A13F96" w:rsidRDefault="00CD2EF0" w:rsidP="007A0718">
            <w:pPr>
              <w:pStyle w:val="Tableheadingrow1"/>
            </w:pPr>
            <w:r w:rsidRPr="00A13F96">
              <w:t>Unannounced</w:t>
            </w:r>
          </w:p>
        </w:tc>
        <w:tc>
          <w:tcPr>
            <w:tcW w:w="2261" w:type="dxa"/>
            <w:shd w:val="clear" w:color="auto" w:fill="017E5D"/>
          </w:tcPr>
          <w:p w14:paraId="0BDE159E" w14:textId="77777777" w:rsidR="00CD2EF0" w:rsidRPr="00A13F96" w:rsidRDefault="00CD2EF0" w:rsidP="007A0718">
            <w:pPr>
              <w:pStyle w:val="Tableheadingrow1"/>
            </w:pPr>
            <w:r w:rsidRPr="00A13F96">
              <w:t>Announced</w:t>
            </w:r>
          </w:p>
        </w:tc>
      </w:tr>
      <w:tr w:rsidR="005D5919" w:rsidRPr="00BD58DD" w14:paraId="59033CCE" w14:textId="77777777" w:rsidTr="005463B1">
        <w:trPr>
          <w:cnfStyle w:val="000000100000" w:firstRow="0" w:lastRow="0" w:firstColumn="0" w:lastColumn="0" w:oddVBand="0" w:evenVBand="0" w:oddHBand="1" w:evenHBand="0" w:firstRowFirstColumn="0" w:firstRowLastColumn="0" w:lastRowFirstColumn="0" w:lastRowLastColumn="0"/>
          <w:trHeight w:val="300"/>
        </w:trPr>
        <w:tc>
          <w:tcPr>
            <w:tcW w:w="2324" w:type="dxa"/>
            <w:noWrap/>
          </w:tcPr>
          <w:p w14:paraId="4F510260" w14:textId="77777777" w:rsidR="00CD2EF0" w:rsidRPr="00A13F96" w:rsidRDefault="00CD2EF0" w:rsidP="007A0718">
            <w:pPr>
              <w:pStyle w:val="Tablesinglespacedparagraph"/>
            </w:pPr>
            <w:r w:rsidRPr="00A13F96">
              <w:t>Mental Health</w:t>
            </w:r>
          </w:p>
        </w:tc>
        <w:tc>
          <w:tcPr>
            <w:tcW w:w="2325" w:type="dxa"/>
            <w:noWrap/>
          </w:tcPr>
          <w:p w14:paraId="71D4F3B7" w14:textId="77777777" w:rsidR="00CD2EF0" w:rsidRPr="00BD58DD" w:rsidRDefault="00CD2EF0" w:rsidP="007A0718">
            <w:pPr>
              <w:pStyle w:val="Tablesinglespacedparagraph"/>
              <w:jc w:val="right"/>
              <w:rPr>
                <w:lang w:eastAsia="en-NZ"/>
              </w:rPr>
            </w:pPr>
            <w:r>
              <w:t>6</w:t>
            </w:r>
          </w:p>
        </w:tc>
        <w:tc>
          <w:tcPr>
            <w:tcW w:w="2324" w:type="dxa"/>
            <w:noWrap/>
          </w:tcPr>
          <w:p w14:paraId="1196A154" w14:textId="77777777" w:rsidR="00CD2EF0" w:rsidRPr="00BD58DD" w:rsidRDefault="00CD2EF0" w:rsidP="007A0718">
            <w:pPr>
              <w:pStyle w:val="Tablesinglespacedparagraph"/>
              <w:jc w:val="right"/>
              <w:rPr>
                <w:lang w:eastAsia="en-NZ"/>
              </w:rPr>
            </w:pPr>
            <w:r>
              <w:t>5</w:t>
            </w:r>
          </w:p>
        </w:tc>
        <w:tc>
          <w:tcPr>
            <w:tcW w:w="2261" w:type="dxa"/>
          </w:tcPr>
          <w:p w14:paraId="5AB7D214" w14:textId="77777777" w:rsidR="00CD2EF0" w:rsidRPr="00BD58DD" w:rsidRDefault="00CD2EF0" w:rsidP="007A0718">
            <w:pPr>
              <w:pStyle w:val="Tablesinglespacedparagraph"/>
              <w:jc w:val="right"/>
            </w:pPr>
            <w:r>
              <w:t>1</w:t>
            </w:r>
          </w:p>
        </w:tc>
      </w:tr>
      <w:tr w:rsidR="005D5919" w:rsidRPr="00BD58DD" w14:paraId="4B6904EA" w14:textId="77777777" w:rsidTr="005463B1">
        <w:trPr>
          <w:cnfStyle w:val="000000010000" w:firstRow="0" w:lastRow="0" w:firstColumn="0" w:lastColumn="0" w:oddVBand="0" w:evenVBand="0" w:oddHBand="0" w:evenHBand="1" w:firstRowFirstColumn="0" w:firstRowLastColumn="0" w:lastRowFirstColumn="0" w:lastRowLastColumn="0"/>
          <w:trHeight w:val="300"/>
        </w:trPr>
        <w:tc>
          <w:tcPr>
            <w:tcW w:w="2324" w:type="dxa"/>
            <w:noWrap/>
          </w:tcPr>
          <w:p w14:paraId="6C40881F" w14:textId="77777777" w:rsidR="00CD2EF0" w:rsidRPr="00A13F96" w:rsidRDefault="00CD2EF0" w:rsidP="007A0718">
            <w:pPr>
              <w:pStyle w:val="Tablesinglespacedparagraph"/>
            </w:pPr>
            <w:r w:rsidRPr="00A13F96">
              <w:t>Intellectual Disability</w:t>
            </w:r>
          </w:p>
        </w:tc>
        <w:tc>
          <w:tcPr>
            <w:tcW w:w="2325" w:type="dxa"/>
            <w:noWrap/>
          </w:tcPr>
          <w:p w14:paraId="02B2EC93" w14:textId="77777777" w:rsidR="00CD2EF0" w:rsidRPr="00BD58DD" w:rsidRDefault="00CD2EF0" w:rsidP="007A0718">
            <w:pPr>
              <w:pStyle w:val="Tablesinglespacedparagraph"/>
              <w:jc w:val="right"/>
              <w:rPr>
                <w:lang w:eastAsia="en-NZ"/>
              </w:rPr>
            </w:pPr>
            <w:r>
              <w:t>35</w:t>
            </w:r>
          </w:p>
        </w:tc>
        <w:tc>
          <w:tcPr>
            <w:tcW w:w="2324" w:type="dxa"/>
            <w:noWrap/>
          </w:tcPr>
          <w:p w14:paraId="252A78AE" w14:textId="77777777" w:rsidR="00CD2EF0" w:rsidRPr="00BD58DD" w:rsidRDefault="00CD2EF0" w:rsidP="007A0718">
            <w:pPr>
              <w:pStyle w:val="Tablesinglespacedparagraph"/>
              <w:jc w:val="right"/>
              <w:rPr>
                <w:lang w:eastAsia="en-NZ"/>
              </w:rPr>
            </w:pPr>
            <w:r>
              <w:rPr>
                <w:lang w:eastAsia="en-NZ"/>
              </w:rPr>
              <w:t>8</w:t>
            </w:r>
          </w:p>
        </w:tc>
        <w:tc>
          <w:tcPr>
            <w:tcW w:w="2261" w:type="dxa"/>
          </w:tcPr>
          <w:p w14:paraId="6964644E" w14:textId="77777777" w:rsidR="00CD2EF0" w:rsidRPr="00BD58DD" w:rsidRDefault="00CD2EF0" w:rsidP="007A0718">
            <w:pPr>
              <w:pStyle w:val="Tablesinglespacedparagraph"/>
              <w:jc w:val="right"/>
            </w:pPr>
            <w:r>
              <w:t>27</w:t>
            </w:r>
          </w:p>
        </w:tc>
      </w:tr>
      <w:tr w:rsidR="005D5919" w:rsidRPr="00BD58DD" w14:paraId="56B5CF4B" w14:textId="77777777" w:rsidTr="005463B1">
        <w:trPr>
          <w:cnfStyle w:val="000000100000" w:firstRow="0" w:lastRow="0" w:firstColumn="0" w:lastColumn="0" w:oddVBand="0" w:evenVBand="0" w:oddHBand="1" w:evenHBand="0" w:firstRowFirstColumn="0" w:firstRowLastColumn="0" w:lastRowFirstColumn="0" w:lastRowLastColumn="0"/>
          <w:trHeight w:val="300"/>
        </w:trPr>
        <w:tc>
          <w:tcPr>
            <w:tcW w:w="2324" w:type="dxa"/>
            <w:noWrap/>
          </w:tcPr>
          <w:p w14:paraId="16EE5329" w14:textId="77777777" w:rsidR="00CD2EF0" w:rsidRPr="003E02B8" w:rsidRDefault="00CD2EF0" w:rsidP="007A0718">
            <w:pPr>
              <w:pStyle w:val="Tablesinglespacedparagraph"/>
            </w:pPr>
            <w:r w:rsidRPr="00A13F96">
              <w:t>Aged Care</w:t>
            </w:r>
          </w:p>
        </w:tc>
        <w:tc>
          <w:tcPr>
            <w:tcW w:w="2325" w:type="dxa"/>
            <w:noWrap/>
          </w:tcPr>
          <w:p w14:paraId="4FF910AE" w14:textId="77777777" w:rsidR="00CD2EF0" w:rsidRPr="00BD58DD" w:rsidRDefault="00CD2EF0" w:rsidP="007A0718">
            <w:pPr>
              <w:pStyle w:val="Tablesinglespacedparagraph"/>
              <w:jc w:val="right"/>
            </w:pPr>
            <w:r>
              <w:t>49</w:t>
            </w:r>
          </w:p>
        </w:tc>
        <w:tc>
          <w:tcPr>
            <w:tcW w:w="2324" w:type="dxa"/>
            <w:noWrap/>
          </w:tcPr>
          <w:p w14:paraId="2101B350" w14:textId="77777777" w:rsidR="00CD2EF0" w:rsidRPr="00BD58DD" w:rsidRDefault="00CD2EF0" w:rsidP="007A0718">
            <w:pPr>
              <w:pStyle w:val="Tablesinglespacedparagraph"/>
              <w:jc w:val="right"/>
            </w:pPr>
            <w:r>
              <w:t>48</w:t>
            </w:r>
          </w:p>
        </w:tc>
        <w:tc>
          <w:tcPr>
            <w:tcW w:w="2261" w:type="dxa"/>
          </w:tcPr>
          <w:p w14:paraId="5948BE35" w14:textId="77777777" w:rsidR="00CD2EF0" w:rsidRPr="00BD58DD" w:rsidRDefault="00CD2EF0" w:rsidP="007A0718">
            <w:pPr>
              <w:pStyle w:val="Tablesinglespacedparagraph"/>
              <w:jc w:val="right"/>
            </w:pPr>
            <w:r>
              <w:t>1</w:t>
            </w:r>
          </w:p>
        </w:tc>
      </w:tr>
      <w:tr w:rsidR="005D5919" w:rsidRPr="00BD58DD" w14:paraId="15F5E279" w14:textId="77777777" w:rsidTr="005463B1">
        <w:trPr>
          <w:cnfStyle w:val="000000010000" w:firstRow="0" w:lastRow="0" w:firstColumn="0" w:lastColumn="0" w:oddVBand="0" w:evenVBand="0" w:oddHBand="0" w:evenHBand="1" w:firstRowFirstColumn="0" w:firstRowLastColumn="0" w:lastRowFirstColumn="0" w:lastRowLastColumn="0"/>
          <w:trHeight w:val="300"/>
        </w:trPr>
        <w:tc>
          <w:tcPr>
            <w:tcW w:w="2324" w:type="dxa"/>
            <w:noWrap/>
          </w:tcPr>
          <w:p w14:paraId="17DE5A7F" w14:textId="77777777" w:rsidR="00CD2EF0" w:rsidRPr="00A13F96" w:rsidRDefault="00CD2EF0" w:rsidP="007A0718">
            <w:pPr>
              <w:pStyle w:val="Tablesinglespacedparagraph"/>
            </w:pPr>
            <w:r w:rsidRPr="00A13F96">
              <w:t>Courts</w:t>
            </w:r>
          </w:p>
        </w:tc>
        <w:tc>
          <w:tcPr>
            <w:tcW w:w="2325" w:type="dxa"/>
            <w:noWrap/>
          </w:tcPr>
          <w:p w14:paraId="48428357" w14:textId="77777777" w:rsidR="00CD2EF0" w:rsidRPr="00BD58DD" w:rsidRDefault="00CD2EF0" w:rsidP="007A0718">
            <w:pPr>
              <w:pStyle w:val="Tablesinglespacedparagraph"/>
              <w:jc w:val="right"/>
            </w:pPr>
            <w:r>
              <w:t>3</w:t>
            </w:r>
          </w:p>
        </w:tc>
        <w:tc>
          <w:tcPr>
            <w:tcW w:w="2324" w:type="dxa"/>
            <w:noWrap/>
          </w:tcPr>
          <w:p w14:paraId="3AB58C34" w14:textId="77777777" w:rsidR="00CD2EF0" w:rsidRPr="00BD58DD" w:rsidRDefault="00CD2EF0" w:rsidP="007A0718">
            <w:pPr>
              <w:pStyle w:val="Tablesinglespacedparagraph"/>
              <w:jc w:val="right"/>
            </w:pPr>
            <w:r>
              <w:t>2</w:t>
            </w:r>
          </w:p>
        </w:tc>
        <w:tc>
          <w:tcPr>
            <w:tcW w:w="2261" w:type="dxa"/>
          </w:tcPr>
          <w:p w14:paraId="61D07A6F" w14:textId="77777777" w:rsidR="00CD2EF0" w:rsidRPr="00BD58DD" w:rsidRDefault="00CD2EF0" w:rsidP="007A0718">
            <w:pPr>
              <w:pStyle w:val="Tablesinglespacedparagraph"/>
              <w:jc w:val="right"/>
            </w:pPr>
            <w:r>
              <w:t>1</w:t>
            </w:r>
          </w:p>
        </w:tc>
      </w:tr>
      <w:tr w:rsidR="005D5919" w:rsidRPr="00BD58DD" w14:paraId="24225D68" w14:textId="77777777" w:rsidTr="005463B1">
        <w:trPr>
          <w:cnfStyle w:val="000000100000" w:firstRow="0" w:lastRow="0" w:firstColumn="0" w:lastColumn="0" w:oddVBand="0" w:evenVBand="0" w:oddHBand="1" w:evenHBand="0" w:firstRowFirstColumn="0" w:firstRowLastColumn="0" w:lastRowFirstColumn="0" w:lastRowLastColumn="0"/>
          <w:trHeight w:val="300"/>
        </w:trPr>
        <w:tc>
          <w:tcPr>
            <w:tcW w:w="2324" w:type="dxa"/>
            <w:noWrap/>
          </w:tcPr>
          <w:p w14:paraId="14FDEFE3" w14:textId="77777777" w:rsidR="00CD2EF0" w:rsidRPr="00A13F96" w:rsidRDefault="00CD2EF0" w:rsidP="007A0718">
            <w:pPr>
              <w:pStyle w:val="Tablesinglespacedparagraph"/>
            </w:pPr>
            <w:r w:rsidRPr="00A13F96">
              <w:t>Prison</w:t>
            </w:r>
          </w:p>
        </w:tc>
        <w:tc>
          <w:tcPr>
            <w:tcW w:w="2325" w:type="dxa"/>
            <w:noWrap/>
          </w:tcPr>
          <w:p w14:paraId="6CE88638" w14:textId="77777777" w:rsidR="00CD2EF0" w:rsidRPr="00BD58DD" w:rsidRDefault="00CD2EF0" w:rsidP="007A0718">
            <w:pPr>
              <w:pStyle w:val="Tablesinglespacedparagraph"/>
              <w:jc w:val="right"/>
            </w:pPr>
            <w:r>
              <w:t>9</w:t>
            </w:r>
          </w:p>
        </w:tc>
        <w:tc>
          <w:tcPr>
            <w:tcW w:w="2324" w:type="dxa"/>
            <w:noWrap/>
          </w:tcPr>
          <w:p w14:paraId="2F71F95F" w14:textId="77777777" w:rsidR="00CD2EF0" w:rsidRPr="00BD58DD" w:rsidRDefault="00CD2EF0" w:rsidP="007A0718">
            <w:pPr>
              <w:pStyle w:val="Tablesinglespacedparagraph"/>
              <w:jc w:val="right"/>
            </w:pPr>
            <w:r>
              <w:t>6</w:t>
            </w:r>
          </w:p>
        </w:tc>
        <w:tc>
          <w:tcPr>
            <w:tcW w:w="2261" w:type="dxa"/>
          </w:tcPr>
          <w:p w14:paraId="4278820F" w14:textId="77777777" w:rsidR="00CD2EF0" w:rsidRPr="00BD58DD" w:rsidRDefault="00CD2EF0" w:rsidP="007A0718">
            <w:pPr>
              <w:pStyle w:val="Tablesinglespacedparagraph"/>
              <w:jc w:val="right"/>
            </w:pPr>
            <w:r>
              <w:t>3</w:t>
            </w:r>
          </w:p>
        </w:tc>
      </w:tr>
      <w:tr w:rsidR="00CD2EF0" w:rsidRPr="00BD58DD" w14:paraId="1A86B0E2" w14:textId="77777777" w:rsidTr="005463B1">
        <w:trPr>
          <w:cnfStyle w:val="000000010000" w:firstRow="0" w:lastRow="0" w:firstColumn="0" w:lastColumn="0" w:oddVBand="0" w:evenVBand="0" w:oddHBand="0" w:evenHBand="1" w:firstRowFirstColumn="0" w:firstRowLastColumn="0" w:lastRowFirstColumn="0" w:lastRowLastColumn="0"/>
          <w:trHeight w:val="300"/>
        </w:trPr>
        <w:tc>
          <w:tcPr>
            <w:tcW w:w="2324" w:type="dxa"/>
            <w:noWrap/>
            <w:vAlign w:val="center"/>
          </w:tcPr>
          <w:p w14:paraId="55661E18" w14:textId="77777777" w:rsidR="00CD2EF0" w:rsidRPr="00A13F96" w:rsidRDefault="00CD2EF0" w:rsidP="007A0718">
            <w:pPr>
              <w:pStyle w:val="Tablesinglespacedparagraph"/>
            </w:pPr>
            <w:r>
              <w:t xml:space="preserve">Mental Health Services Older Persons </w:t>
            </w:r>
          </w:p>
        </w:tc>
        <w:tc>
          <w:tcPr>
            <w:tcW w:w="2325" w:type="dxa"/>
            <w:noWrap/>
          </w:tcPr>
          <w:p w14:paraId="499D6B37" w14:textId="77777777" w:rsidR="00CD2EF0" w:rsidDel="006F564F" w:rsidRDefault="00CD2EF0" w:rsidP="007A0718">
            <w:pPr>
              <w:pStyle w:val="Tablesinglespacedparagraph"/>
              <w:jc w:val="right"/>
            </w:pPr>
            <w:r>
              <w:t>3</w:t>
            </w:r>
          </w:p>
        </w:tc>
        <w:tc>
          <w:tcPr>
            <w:tcW w:w="2324" w:type="dxa"/>
            <w:noWrap/>
          </w:tcPr>
          <w:p w14:paraId="3726F76B" w14:textId="77777777" w:rsidR="00CD2EF0" w:rsidDel="006F564F" w:rsidRDefault="00CD2EF0" w:rsidP="007A0718">
            <w:pPr>
              <w:pStyle w:val="Tablesinglespacedparagraph"/>
              <w:jc w:val="right"/>
            </w:pPr>
            <w:r>
              <w:t>2</w:t>
            </w:r>
          </w:p>
        </w:tc>
        <w:tc>
          <w:tcPr>
            <w:tcW w:w="2261" w:type="dxa"/>
          </w:tcPr>
          <w:p w14:paraId="6CEEA6ED" w14:textId="77777777" w:rsidR="00CD2EF0" w:rsidDel="006F564F" w:rsidRDefault="00CD2EF0" w:rsidP="007A0718">
            <w:pPr>
              <w:pStyle w:val="Tablesinglespacedparagraph"/>
              <w:jc w:val="right"/>
            </w:pPr>
            <w:r>
              <w:t>1</w:t>
            </w:r>
          </w:p>
        </w:tc>
      </w:tr>
      <w:tr w:rsidR="00CD2EF0" w:rsidRPr="00BD58DD" w14:paraId="506E5942" w14:textId="77777777" w:rsidTr="005463B1">
        <w:trPr>
          <w:cnfStyle w:val="000000100000" w:firstRow="0" w:lastRow="0" w:firstColumn="0" w:lastColumn="0" w:oddVBand="0" w:evenVBand="0" w:oddHBand="1" w:evenHBand="0" w:firstRowFirstColumn="0" w:firstRowLastColumn="0" w:lastRowFirstColumn="0" w:lastRowLastColumn="0"/>
          <w:trHeight w:val="300"/>
        </w:trPr>
        <w:tc>
          <w:tcPr>
            <w:tcW w:w="2324" w:type="dxa"/>
            <w:noWrap/>
            <w:vAlign w:val="center"/>
          </w:tcPr>
          <w:p w14:paraId="3C3C9F66" w14:textId="77777777" w:rsidR="00CD2EF0" w:rsidRDefault="00CD2EF0" w:rsidP="007A0718">
            <w:pPr>
              <w:pStyle w:val="Tablesinglespacedparagraph"/>
            </w:pPr>
            <w:r>
              <w:t>Immigration</w:t>
            </w:r>
          </w:p>
        </w:tc>
        <w:tc>
          <w:tcPr>
            <w:tcW w:w="2325" w:type="dxa"/>
            <w:noWrap/>
          </w:tcPr>
          <w:p w14:paraId="7CBBE8F6" w14:textId="77777777" w:rsidR="00CD2EF0" w:rsidRDefault="00CD2EF0" w:rsidP="007A0718">
            <w:pPr>
              <w:pStyle w:val="Tablesinglespacedparagraph"/>
              <w:jc w:val="right"/>
            </w:pPr>
            <w:r>
              <w:t>8</w:t>
            </w:r>
          </w:p>
        </w:tc>
        <w:tc>
          <w:tcPr>
            <w:tcW w:w="2324" w:type="dxa"/>
            <w:noWrap/>
          </w:tcPr>
          <w:p w14:paraId="4FE52E8F" w14:textId="77777777" w:rsidR="00CD2EF0" w:rsidRDefault="00CD2EF0" w:rsidP="007A0718">
            <w:pPr>
              <w:pStyle w:val="Tablesinglespacedparagraph"/>
              <w:jc w:val="right"/>
            </w:pPr>
            <w:r>
              <w:t>0</w:t>
            </w:r>
          </w:p>
        </w:tc>
        <w:tc>
          <w:tcPr>
            <w:tcW w:w="2261" w:type="dxa"/>
          </w:tcPr>
          <w:p w14:paraId="26381445" w14:textId="77777777" w:rsidR="00CD2EF0" w:rsidRDefault="00CD2EF0" w:rsidP="007A0718">
            <w:pPr>
              <w:pStyle w:val="Tablesinglespacedparagraph"/>
              <w:jc w:val="right"/>
            </w:pPr>
            <w:r>
              <w:t>8</w:t>
            </w:r>
          </w:p>
        </w:tc>
      </w:tr>
      <w:tr w:rsidR="00CD2EF0" w:rsidRPr="00BD58DD" w14:paraId="73C21F4E" w14:textId="77777777" w:rsidTr="005463B1">
        <w:trPr>
          <w:cnfStyle w:val="000000010000" w:firstRow="0" w:lastRow="0" w:firstColumn="0" w:lastColumn="0" w:oddVBand="0" w:evenVBand="0" w:oddHBand="0" w:evenHBand="1" w:firstRowFirstColumn="0" w:firstRowLastColumn="0" w:lastRowFirstColumn="0" w:lastRowLastColumn="0"/>
          <w:trHeight w:val="300"/>
        </w:trPr>
        <w:tc>
          <w:tcPr>
            <w:tcW w:w="2324" w:type="dxa"/>
            <w:shd w:val="clear" w:color="auto" w:fill="BFBFBF"/>
            <w:noWrap/>
          </w:tcPr>
          <w:p w14:paraId="346309AD" w14:textId="77777777" w:rsidR="00CD2EF0" w:rsidRDefault="00CD2EF0" w:rsidP="007A0718">
            <w:pPr>
              <w:pStyle w:val="Tablesinglespacedparagraph"/>
              <w:rPr>
                <w:rFonts w:eastAsia="Times New Roman" w:cs="Calibri"/>
                <w:b/>
                <w:bCs/>
                <w:color w:val="000000"/>
                <w:sz w:val="24"/>
                <w:szCs w:val="24"/>
                <w:lang w:eastAsia="en-NZ"/>
              </w:rPr>
            </w:pPr>
            <w:r>
              <w:rPr>
                <w:rFonts w:eastAsia="Times New Roman" w:cs="Calibri"/>
                <w:b/>
                <w:bCs/>
                <w:color w:val="000000"/>
                <w:sz w:val="24"/>
                <w:szCs w:val="24"/>
                <w:lang w:eastAsia="en-NZ"/>
              </w:rPr>
              <w:t>Totals</w:t>
            </w:r>
          </w:p>
        </w:tc>
        <w:tc>
          <w:tcPr>
            <w:tcW w:w="2325" w:type="dxa"/>
            <w:shd w:val="clear" w:color="auto" w:fill="BFBFBF"/>
            <w:noWrap/>
          </w:tcPr>
          <w:p w14:paraId="5676FD60" w14:textId="77777777" w:rsidR="00CD2EF0" w:rsidRPr="00C26F20" w:rsidRDefault="00CD2EF0" w:rsidP="007A0718">
            <w:pPr>
              <w:pStyle w:val="Tablesinglespacedparagraph"/>
              <w:jc w:val="right"/>
              <w:rPr>
                <w:b/>
              </w:rPr>
            </w:pPr>
            <w:r>
              <w:rPr>
                <w:b/>
              </w:rPr>
              <w:t>113</w:t>
            </w:r>
          </w:p>
        </w:tc>
        <w:tc>
          <w:tcPr>
            <w:tcW w:w="2324" w:type="dxa"/>
            <w:shd w:val="clear" w:color="auto" w:fill="BFBFBF"/>
            <w:noWrap/>
          </w:tcPr>
          <w:p w14:paraId="2DE32950" w14:textId="77777777" w:rsidR="00CD2EF0" w:rsidRPr="00E7041D" w:rsidRDefault="00CD2EF0" w:rsidP="007A0718">
            <w:pPr>
              <w:pStyle w:val="Tablesinglespacedparagraph"/>
              <w:jc w:val="right"/>
              <w:rPr>
                <w:b/>
              </w:rPr>
            </w:pPr>
            <w:r>
              <w:rPr>
                <w:b/>
              </w:rPr>
              <w:t>71</w:t>
            </w:r>
          </w:p>
        </w:tc>
        <w:tc>
          <w:tcPr>
            <w:tcW w:w="2261" w:type="dxa"/>
            <w:shd w:val="clear" w:color="auto" w:fill="BFBFBF"/>
          </w:tcPr>
          <w:p w14:paraId="7EB4A8F1" w14:textId="77777777" w:rsidR="00CD2EF0" w:rsidRPr="00E7041D" w:rsidRDefault="00CD2EF0" w:rsidP="007A0718">
            <w:pPr>
              <w:pStyle w:val="Tablesinglespacedparagraph"/>
              <w:jc w:val="right"/>
              <w:rPr>
                <w:b/>
              </w:rPr>
            </w:pPr>
            <w:r>
              <w:rPr>
                <w:b/>
              </w:rPr>
              <w:t>42</w:t>
            </w:r>
          </w:p>
        </w:tc>
      </w:tr>
    </w:tbl>
    <w:p w14:paraId="797F09F1" w14:textId="5C043FCA" w:rsidR="00043DCF" w:rsidRDefault="00043DCF" w:rsidP="00043DCF">
      <w:pPr>
        <w:pStyle w:val="BodyText"/>
      </w:pPr>
    </w:p>
    <w:tbl>
      <w:tblPr>
        <w:tblStyle w:val="TableBox"/>
        <w:tblW w:w="9297" w:type="dxa"/>
        <w:tblLayout w:type="fixed"/>
        <w:tblCellMar>
          <w:bottom w:w="0" w:type="dxa"/>
        </w:tblCellMar>
        <w:tblLook w:val="04A0" w:firstRow="1" w:lastRow="0" w:firstColumn="1" w:lastColumn="0" w:noHBand="0" w:noVBand="1"/>
        <w:tblCaption w:val="Box to emphasise text"/>
      </w:tblPr>
      <w:tblGrid>
        <w:gridCol w:w="9297"/>
      </w:tblGrid>
      <w:tr w:rsidR="00646C0F" w14:paraId="77D00247" w14:textId="77777777" w:rsidTr="00747063">
        <w:tc>
          <w:tcPr>
            <w:tcW w:w="9514" w:type="dxa"/>
            <w:shd w:val="clear" w:color="auto" w:fill="E9E9E9"/>
          </w:tcPr>
          <w:p w14:paraId="30430771" w14:textId="1B4D09C6" w:rsidR="00646C0F" w:rsidRPr="005A0727" w:rsidRDefault="00646C0F" w:rsidP="00DD1B84">
            <w:pPr>
              <w:pStyle w:val="Headingboxtexttop"/>
              <w:tabs>
                <w:tab w:val="num" w:pos="567"/>
              </w:tabs>
              <w:rPr>
                <w:color w:val="017E5D"/>
              </w:rPr>
            </w:pPr>
            <w:r w:rsidRPr="005A0727">
              <w:rPr>
                <w:color w:val="017E5D"/>
              </w:rPr>
              <w:t xml:space="preserve">Health and Disability Facilities </w:t>
            </w:r>
          </w:p>
          <w:p w14:paraId="03EF8B55" w14:textId="77777777" w:rsidR="00646C0F" w:rsidRDefault="00646C0F" w:rsidP="00646C0F">
            <w:pPr>
              <w:pStyle w:val="BodyText"/>
            </w:pPr>
            <w:r w:rsidRPr="00376182">
              <w:t xml:space="preserve">There are a range of health and disability facilities where people may be deprived of their liberty and fall under the purview of our OPCAT role. These include acute mental health inpatient, forensic mental health inpatient, forensic intellectual disability, older persons’ mental health units, substance addiction compulsory treatment centres, and Aged Care. Over the course of the reporting year, we visited 44 of these facilities. </w:t>
            </w:r>
          </w:p>
          <w:p w14:paraId="17C0E5C4" w14:textId="77777777" w:rsidR="00646C0F" w:rsidRPr="00376182" w:rsidRDefault="00646C0F" w:rsidP="00646C0F">
            <w:pPr>
              <w:pStyle w:val="BodyText"/>
            </w:pPr>
            <w:r>
              <w:t>Some</w:t>
            </w:r>
            <w:r w:rsidRPr="00376182">
              <w:t xml:space="preserve"> of the issues we identified through our examinations this year have been ongoing, including:</w:t>
            </w:r>
          </w:p>
          <w:p w14:paraId="5E3B5848" w14:textId="77777777" w:rsidR="00646C0F" w:rsidRPr="00376182" w:rsidRDefault="00646C0F" w:rsidP="00646C0F">
            <w:pPr>
              <w:pStyle w:val="Bullet1"/>
              <w:tabs>
                <w:tab w:val="clear" w:pos="567"/>
              </w:tabs>
            </w:pPr>
            <w:r w:rsidRPr="00376182">
              <w:t>inequities experienced by Māori and Pasifika;</w:t>
            </w:r>
          </w:p>
          <w:p w14:paraId="25B6B852" w14:textId="77777777" w:rsidR="00646C0F" w:rsidRPr="00376182" w:rsidRDefault="00646C0F" w:rsidP="00646C0F">
            <w:pPr>
              <w:pStyle w:val="Bullet1"/>
              <w:tabs>
                <w:tab w:val="clear" w:pos="567"/>
              </w:tabs>
            </w:pPr>
            <w:r w:rsidRPr="00376182">
              <w:t>over-occupancy of inpatient mental health services;</w:t>
            </w:r>
          </w:p>
          <w:p w14:paraId="6DC9E66C" w14:textId="77777777" w:rsidR="00646C0F" w:rsidRPr="00CD2EF0" w:rsidRDefault="00646C0F" w:rsidP="00646C0F">
            <w:pPr>
              <w:pStyle w:val="Bullet1"/>
              <w:tabs>
                <w:tab w:val="clear" w:pos="567"/>
              </w:tabs>
            </w:pPr>
            <w:r w:rsidRPr="00CD2EF0">
              <w:t>barriers to discharge or step-down</w:t>
            </w:r>
            <w:r>
              <w:t xml:space="preserve"> for</w:t>
            </w:r>
            <w:r w:rsidRPr="00CD2EF0">
              <w:t xml:space="preserve"> individuals with high and complex needs from inpatient care settings;</w:t>
            </w:r>
          </w:p>
          <w:p w14:paraId="7599A5C2" w14:textId="77777777" w:rsidR="00646C0F" w:rsidRPr="00376182" w:rsidRDefault="00646C0F" w:rsidP="00646C0F">
            <w:pPr>
              <w:pStyle w:val="Bullet1"/>
              <w:tabs>
                <w:tab w:val="clear" w:pos="567"/>
              </w:tabs>
            </w:pPr>
            <w:r w:rsidRPr="00376182">
              <w:t>substandard and rundown material conditions that do not align with current models of care, wellbeing and recovery;</w:t>
            </w:r>
          </w:p>
          <w:p w14:paraId="2278EC4E" w14:textId="77777777" w:rsidR="00646C0F" w:rsidRPr="00376182" w:rsidRDefault="00646C0F" w:rsidP="00646C0F">
            <w:pPr>
              <w:pStyle w:val="Bullet1"/>
              <w:tabs>
                <w:tab w:val="clear" w:pos="567"/>
              </w:tabs>
            </w:pPr>
            <w:r w:rsidRPr="00376182">
              <w:t>a lack of intellectual disability-specific training for staff working in health and disability facilities;</w:t>
            </w:r>
          </w:p>
          <w:p w14:paraId="140E244F" w14:textId="77777777" w:rsidR="00646C0F" w:rsidRPr="00376182" w:rsidRDefault="00646C0F" w:rsidP="00646C0F">
            <w:pPr>
              <w:pStyle w:val="Bullet1"/>
              <w:tabs>
                <w:tab w:val="clear" w:pos="567"/>
              </w:tabs>
            </w:pPr>
            <w:r>
              <w:t>h</w:t>
            </w:r>
            <w:r w:rsidRPr="00376182">
              <w:t>ighly restrictive practices observed across hospital-level forensic intellectual disability services;</w:t>
            </w:r>
          </w:p>
          <w:p w14:paraId="7D93B879" w14:textId="77777777" w:rsidR="00646C0F" w:rsidRPr="00376182" w:rsidRDefault="00646C0F" w:rsidP="00646C0F">
            <w:pPr>
              <w:pStyle w:val="Bullet1"/>
              <w:tabs>
                <w:tab w:val="clear" w:pos="567"/>
              </w:tabs>
            </w:pPr>
            <w:r w:rsidRPr="00376182">
              <w:t>limited evidence of individuals being supported, well-informed and having opportunities for meaningful engagement on their care and treatment, including through the promotion of supported decision-making;</w:t>
            </w:r>
          </w:p>
          <w:p w14:paraId="2718E8A1" w14:textId="77777777" w:rsidR="00646C0F" w:rsidRPr="00376182" w:rsidRDefault="00646C0F" w:rsidP="00646C0F">
            <w:pPr>
              <w:pStyle w:val="Bullet1"/>
              <w:tabs>
                <w:tab w:val="clear" w:pos="567"/>
              </w:tabs>
            </w:pPr>
            <w:r w:rsidRPr="00376182">
              <w:t>a high number of staff without up-to-date training on restraint minimisation and safe practice; and</w:t>
            </w:r>
          </w:p>
          <w:p w14:paraId="01A126E8" w14:textId="77777777" w:rsidR="00646C0F" w:rsidRPr="00376182" w:rsidRDefault="00646C0F" w:rsidP="00646C0F">
            <w:pPr>
              <w:pStyle w:val="Bullet1"/>
              <w:tabs>
                <w:tab w:val="clear" w:pos="567"/>
              </w:tabs>
            </w:pPr>
            <w:r w:rsidRPr="00376182">
              <w:t xml:space="preserve">a lack of safeguards in place to ensure that voluntary service users are not arbitrarily detained in health and disability places of detention. </w:t>
            </w:r>
          </w:p>
          <w:p w14:paraId="1681420F" w14:textId="0F9B7CAF" w:rsidR="00646C0F" w:rsidRDefault="00646C0F" w:rsidP="002D2627">
            <w:pPr>
              <w:pStyle w:val="BodyText"/>
            </w:pPr>
            <w:r w:rsidRPr="00376182">
              <w:t>We remain concerned that people across the country are being deprived of their liberty in health and disability facilities that are neither fit for purpose nor conducive to their wellbeing. A number of these places of detention are rundown and over-occupied, and adversely impact wellbeing, rehabilitation and recovery. We have made a number of repeated recommendations in this area. We continue to engage with Health NZ and the Ministry of Health on their capital improvement programmes, planning and system stewardship work to address these issues</w:t>
            </w:r>
            <w:r w:rsidR="00595C5E">
              <w:t>.</w:t>
            </w:r>
          </w:p>
        </w:tc>
      </w:tr>
    </w:tbl>
    <w:p w14:paraId="14376EDF" w14:textId="0209BE8C" w:rsidR="00646C0F" w:rsidRDefault="00646C0F" w:rsidP="00646C0F">
      <w:pPr>
        <w:pStyle w:val="BodyText"/>
      </w:pPr>
    </w:p>
    <w:tbl>
      <w:tblPr>
        <w:tblStyle w:val="TableBox"/>
        <w:tblW w:w="9297" w:type="dxa"/>
        <w:tblLayout w:type="fixed"/>
        <w:tblCellMar>
          <w:bottom w:w="0" w:type="dxa"/>
        </w:tblCellMar>
        <w:tblLook w:val="04A0" w:firstRow="1" w:lastRow="0" w:firstColumn="1" w:lastColumn="0" w:noHBand="0" w:noVBand="1"/>
        <w:tblCaption w:val="Box to emphasise text"/>
      </w:tblPr>
      <w:tblGrid>
        <w:gridCol w:w="9297"/>
      </w:tblGrid>
      <w:tr w:rsidR="00646C0F" w14:paraId="73BAEFED" w14:textId="77777777" w:rsidTr="00747063">
        <w:tc>
          <w:tcPr>
            <w:tcW w:w="9309" w:type="dxa"/>
            <w:shd w:val="clear" w:color="auto" w:fill="E9E9E9"/>
          </w:tcPr>
          <w:p w14:paraId="4A3ED064" w14:textId="674F8425" w:rsidR="00646C0F" w:rsidRPr="005A0727" w:rsidRDefault="00646C0F" w:rsidP="00DD1B84">
            <w:pPr>
              <w:pStyle w:val="Headingboxtexttop"/>
              <w:tabs>
                <w:tab w:val="num" w:pos="567"/>
              </w:tabs>
              <w:rPr>
                <w:color w:val="017E5D"/>
              </w:rPr>
            </w:pPr>
            <w:r w:rsidRPr="005A0727">
              <w:rPr>
                <w:color w:val="017E5D"/>
              </w:rPr>
              <w:t xml:space="preserve">Aged Residential Care Facilities </w:t>
            </w:r>
          </w:p>
          <w:p w14:paraId="2EE65F96" w14:textId="5233FE62" w:rsidR="00646C0F" w:rsidRDefault="00646C0F" w:rsidP="00646C0F">
            <w:pPr>
              <w:pStyle w:val="Singlespacedparagraph"/>
            </w:pPr>
            <w:r w:rsidRPr="00EF6984">
              <w:t>Both public and private aged residential care facilities where people are not free to leave at will, come within our designation to examine and monitor health and disability places of detention. There are currently 27</w:t>
            </w:r>
            <w:r>
              <w:t>8</w:t>
            </w:r>
            <w:r w:rsidRPr="00EF6984">
              <w:t xml:space="preserve"> aged residential care facilities providing secure care</w:t>
            </w:r>
            <w:r w:rsidRPr="00EF6984">
              <w:rPr>
                <w:rStyle w:val="FootnoteReference"/>
              </w:rPr>
              <w:footnoteReference w:id="19"/>
            </w:r>
            <w:r w:rsidRPr="00EF6984">
              <w:t xml:space="preserve"> in New Zealan</w:t>
            </w:r>
            <w:r>
              <w:t>d</w:t>
            </w:r>
            <w:r w:rsidRPr="00EF6984">
              <w:t xml:space="preserve">. This year we visited </w:t>
            </w:r>
            <w:r>
              <w:t>49</w:t>
            </w:r>
            <w:r w:rsidRPr="00EF6984">
              <w:t xml:space="preserve"> of those, both announced and unannounced</w:t>
            </w:r>
            <w:r>
              <w:t xml:space="preserve">, and we have now visited most of the facilities in our jurisdiction at least once. </w:t>
            </w:r>
          </w:p>
          <w:p w14:paraId="56EDD622" w14:textId="77777777" w:rsidR="00646C0F" w:rsidRDefault="00646C0F" w:rsidP="00646C0F">
            <w:pPr>
              <w:pStyle w:val="Singlespacedparagraph"/>
            </w:pPr>
          </w:p>
          <w:p w14:paraId="66CD797F" w14:textId="4F9879D4" w:rsidR="002D2627" w:rsidRDefault="00646C0F" w:rsidP="00646C0F">
            <w:pPr>
              <w:pStyle w:val="Singlespacedparagraph"/>
            </w:pPr>
            <w:r>
              <w:t xml:space="preserve">This year our approach to inspections evolved, including focusing on themes from the </w:t>
            </w:r>
            <w:hyperlink r:id="rId47" w:history="1">
              <w:r w:rsidRPr="001F2CD8">
                <w:rPr>
                  <w:rStyle w:val="Hyperlink"/>
                </w:rPr>
                <w:t>OPCAT Aged Care Monitoring: Chief Ombudsman’s Observations 2021 to 2024</w:t>
              </w:r>
            </w:hyperlink>
            <w:r>
              <w:t xml:space="preserve"> and undertaking several inspections of the same aged care provider group at the same time. </w:t>
            </w:r>
          </w:p>
        </w:tc>
      </w:tr>
    </w:tbl>
    <w:p w14:paraId="5362CB50" w14:textId="632BCFDF" w:rsidR="00086A84" w:rsidRDefault="00086A84" w:rsidP="00646C0F">
      <w:pPr>
        <w:pStyle w:val="Heading4"/>
      </w:pPr>
      <w:r>
        <w:t xml:space="preserve">OPCAT engagement </w:t>
      </w:r>
    </w:p>
    <w:p w14:paraId="2F07A6D1" w14:textId="17FFDC0A" w:rsidR="00C23C28" w:rsidRPr="009C0BF4" w:rsidRDefault="00C23C28" w:rsidP="00C23C28">
      <w:pPr>
        <w:pStyle w:val="BodyText"/>
        <w:rPr>
          <w:highlight w:val="yellow"/>
        </w:rPr>
      </w:pPr>
      <w:r w:rsidRPr="00EF6984">
        <w:t>The OPCAT role is broad and flexible, extending beyond visits and examinations</w:t>
      </w:r>
      <w:r w:rsidR="00E406A0">
        <w:t>, to also include educating, advising and collaborating</w:t>
      </w:r>
      <w:r w:rsidRPr="00C23C28">
        <w:t>. In 2025/26</w:t>
      </w:r>
      <w:r w:rsidR="00A6002C">
        <w:t xml:space="preserve"> we</w:t>
      </w:r>
      <w:r w:rsidRPr="00C23C28">
        <w:t>:</w:t>
      </w:r>
    </w:p>
    <w:p w14:paraId="53976CA7" w14:textId="7C5ED5C6" w:rsidR="00C23C28" w:rsidRDefault="00A6002C" w:rsidP="00C23C28">
      <w:pPr>
        <w:pStyle w:val="BodyText"/>
        <w:numPr>
          <w:ilvl w:val="0"/>
          <w:numId w:val="11"/>
        </w:numPr>
        <w:tabs>
          <w:tab w:val="clear" w:pos="567"/>
        </w:tabs>
      </w:pPr>
      <w:r>
        <w:t>made</w:t>
      </w:r>
      <w:r w:rsidR="00C23C28" w:rsidRPr="0074634D">
        <w:t xml:space="preserve"> formal submissions to national and international bodies on issues related to the rights of people in detention</w:t>
      </w:r>
      <w:r w:rsidR="0074634D">
        <w:t>;</w:t>
      </w:r>
    </w:p>
    <w:p w14:paraId="0A8033F0" w14:textId="78C9BD1C" w:rsidR="00646C0F" w:rsidRPr="0074634D" w:rsidRDefault="00A6002C" w:rsidP="00C23C28">
      <w:pPr>
        <w:pStyle w:val="BodyText"/>
        <w:numPr>
          <w:ilvl w:val="0"/>
          <w:numId w:val="11"/>
        </w:numPr>
        <w:tabs>
          <w:tab w:val="clear" w:pos="567"/>
        </w:tabs>
      </w:pPr>
      <w:r>
        <w:t>met</w:t>
      </w:r>
      <w:r w:rsidR="0074634D">
        <w:t xml:space="preserve"> and conduct</w:t>
      </w:r>
      <w:r>
        <w:t>ed</w:t>
      </w:r>
      <w:r w:rsidR="0074634D">
        <w:t xml:space="preserve"> joint visits with the Subcommittee on the Prevention of Torture and other Cruel, Inhuman or Degrading Treatment of Punishment</w:t>
      </w:r>
      <w:r w:rsidR="00FF20C7">
        <w:t xml:space="preserve"> (</w:t>
      </w:r>
      <w:proofErr w:type="spellStart"/>
      <w:r w:rsidR="00FF20C7">
        <w:t>SPT</w:t>
      </w:r>
      <w:proofErr w:type="spellEnd"/>
      <w:r w:rsidR="00FF20C7">
        <w:t>)</w:t>
      </w:r>
      <w:r w:rsidR="0074634D">
        <w:t xml:space="preserve">; </w:t>
      </w:r>
      <w:r w:rsidR="003D608A">
        <w:t>and</w:t>
      </w:r>
    </w:p>
    <w:p w14:paraId="6E2FF8F2" w14:textId="01A78ED9" w:rsidR="00646C0F" w:rsidRDefault="00A6002C" w:rsidP="00646C0F">
      <w:pPr>
        <w:pStyle w:val="BodyText"/>
        <w:numPr>
          <w:ilvl w:val="0"/>
          <w:numId w:val="11"/>
        </w:numPr>
        <w:tabs>
          <w:tab w:val="clear" w:pos="567"/>
        </w:tabs>
      </w:pPr>
      <w:r>
        <w:t>presented</w:t>
      </w:r>
      <w:r w:rsidR="00C23C28" w:rsidRPr="0074634D">
        <w:t xml:space="preserve"> and </w:t>
      </w:r>
      <w:r>
        <w:t>participated</w:t>
      </w:r>
      <w:r w:rsidR="00C23C28" w:rsidRPr="0074634D">
        <w:t xml:space="preserve"> in a range of conferences, </w:t>
      </w:r>
      <w:r w:rsidR="0074634D">
        <w:t>workshops</w:t>
      </w:r>
      <w:r w:rsidR="00C23C28" w:rsidRPr="0074634D">
        <w:t xml:space="preserve"> and webinars</w:t>
      </w:r>
      <w:bookmarkStart w:id="50" w:name="_Visits,_inspections_and"/>
      <w:bookmarkStart w:id="51" w:name="_Prisons"/>
      <w:bookmarkStart w:id="52" w:name="_Ensure_official_information"/>
      <w:bookmarkStart w:id="53" w:name="_Hlk236116577"/>
      <w:bookmarkEnd w:id="49"/>
      <w:bookmarkEnd w:id="50"/>
      <w:bookmarkEnd w:id="51"/>
      <w:bookmarkEnd w:id="52"/>
      <w:r w:rsidR="00EB01A0">
        <w:t>.</w:t>
      </w:r>
    </w:p>
    <w:p w14:paraId="4FCBAB95" w14:textId="1A313E4E" w:rsidR="006F34B2" w:rsidRDefault="006F34B2" w:rsidP="005A4A1D">
      <w:pPr>
        <w:pStyle w:val="Heading3"/>
        <w:spacing w:after="240"/>
      </w:pPr>
      <w:r w:rsidRPr="001D7A7C">
        <w:t xml:space="preserve">Output </w:t>
      </w:r>
      <w:r>
        <w:t>8—Learn from, and assist to develop, international best practice</w:t>
      </w:r>
    </w:p>
    <w:bookmarkEnd w:id="53"/>
    <w:p w14:paraId="09F4DDFF" w14:textId="4611A61B" w:rsidR="005D5919" w:rsidRPr="00DA4B90" w:rsidRDefault="005D5919" w:rsidP="005D5919">
      <w:pPr>
        <w:pStyle w:val="BodyText"/>
      </w:pPr>
      <w:r w:rsidRPr="00DA4B90">
        <w:t xml:space="preserve">We learn from and assist integrity institutions particularly in the </w:t>
      </w:r>
      <w:r>
        <w:t>Australasian and</w:t>
      </w:r>
      <w:r w:rsidRPr="00DA4B90">
        <w:t xml:space="preserve"> Indo-Pacific region, and work with them to lift regional and international best practice. We do this by:</w:t>
      </w:r>
    </w:p>
    <w:p w14:paraId="11F52BFF" w14:textId="77777777" w:rsidR="005D5919" w:rsidRPr="00DA4B90" w:rsidRDefault="005D5919" w:rsidP="005D5919">
      <w:pPr>
        <w:pStyle w:val="Bullet1"/>
        <w:tabs>
          <w:tab w:val="clear" w:pos="567"/>
        </w:tabs>
      </w:pPr>
      <w:r w:rsidRPr="00DA4B90">
        <w:t>building quality relationships with other integrity institutions and integrity</w:t>
      </w:r>
      <w:r>
        <w:t>-</w:t>
      </w:r>
      <w:r w:rsidRPr="00DA4B90">
        <w:t>focused organisations;</w:t>
      </w:r>
    </w:p>
    <w:p w14:paraId="05A59D7F" w14:textId="64AE1598" w:rsidR="005D5919" w:rsidRPr="00DA4B90" w:rsidRDefault="005D5919" w:rsidP="005D5919">
      <w:pPr>
        <w:pStyle w:val="Bullet1"/>
        <w:tabs>
          <w:tab w:val="clear" w:pos="567"/>
        </w:tabs>
      </w:pPr>
      <w:r>
        <w:t>participating in</w:t>
      </w:r>
      <w:r w:rsidRPr="00DA4B90">
        <w:t xml:space="preserve"> regional and international Ombudsman networks;</w:t>
      </w:r>
      <w:r w:rsidR="003D608A">
        <w:t xml:space="preserve"> and</w:t>
      </w:r>
    </w:p>
    <w:p w14:paraId="3D97CC08" w14:textId="5321C276" w:rsidR="005D5919" w:rsidRPr="00DA4B90" w:rsidRDefault="005D5919" w:rsidP="005D5919">
      <w:pPr>
        <w:pStyle w:val="Bullet1"/>
        <w:tabs>
          <w:tab w:val="clear" w:pos="567"/>
        </w:tabs>
      </w:pPr>
      <w:r w:rsidRPr="00DA4B90">
        <w:t>participating in tailored learning and resource development</w:t>
      </w:r>
      <w:r w:rsidR="003D608A">
        <w:t>.</w:t>
      </w:r>
    </w:p>
    <w:p w14:paraId="65B3DA43" w14:textId="307CBA60" w:rsidR="00027A2C" w:rsidRPr="005D5919" w:rsidRDefault="00027A2C" w:rsidP="00027A2C">
      <w:pPr>
        <w:pStyle w:val="BodyText"/>
      </w:pPr>
      <w:r>
        <w:t>This year we refocused our international commitments and work, as we transition to working in a more limited capacity in this area</w:t>
      </w:r>
      <w:r w:rsidR="00B539EB">
        <w:t>. T</w:t>
      </w:r>
      <w:r>
        <w:t xml:space="preserve">his included a greater focus on online meetings and learning, and renewed focus on learning from our counterparts. </w:t>
      </w:r>
      <w:r w:rsidR="00FE34AD">
        <w:t xml:space="preserve">It is promising to see that </w:t>
      </w:r>
      <w:r w:rsidR="00B11906" w:rsidRPr="00B11906">
        <w:t>100</w:t>
      </w:r>
      <w:r w:rsidR="009152DF">
        <w:t xml:space="preserve"> percent</w:t>
      </w:r>
      <w:r w:rsidR="009152DF" w:rsidRPr="00B11906">
        <w:t xml:space="preserve"> </w:t>
      </w:r>
      <w:r w:rsidR="00FE34AD" w:rsidRPr="00B11906">
        <w:t xml:space="preserve">of our overseas </w:t>
      </w:r>
      <w:proofErr w:type="gramStart"/>
      <w:r w:rsidR="00FE34AD" w:rsidRPr="00B11906">
        <w:t>stakeholders</w:t>
      </w:r>
      <w:proofErr w:type="gramEnd"/>
      <w:r w:rsidR="00FE34AD" w:rsidRPr="00B11906">
        <w:t xml:space="preserve"> report value in collaborating with u</w:t>
      </w:r>
      <w:r w:rsidR="002462CD" w:rsidRPr="00B11906">
        <w:t>s, compared to 100 percent last year, and exceeding our target</w:t>
      </w:r>
      <w:r w:rsidR="002462CD">
        <w:t xml:space="preserve"> of 95 percent</w:t>
      </w:r>
      <w:r w:rsidR="00FE34AD">
        <w:t xml:space="preserve">. </w:t>
      </w:r>
    </w:p>
    <w:p w14:paraId="467F4D60" w14:textId="2601EBE4" w:rsidR="005A4A1D" w:rsidRPr="00185B08" w:rsidRDefault="005A4A1D" w:rsidP="005A4A1D">
      <w:pPr>
        <w:pStyle w:val="Heading4"/>
        <w:spacing w:before="240"/>
      </w:pPr>
      <w:r>
        <w:t>Network and delegatio</w:t>
      </w:r>
      <w:r w:rsidRPr="00185B08">
        <w:t xml:space="preserve">ns </w:t>
      </w:r>
    </w:p>
    <w:p w14:paraId="6AB4E1DB" w14:textId="27C236A1" w:rsidR="00A115E3" w:rsidRDefault="004523FA" w:rsidP="00A115E3">
      <w:pPr>
        <w:pStyle w:val="BodyText"/>
      </w:pPr>
      <w:r w:rsidRPr="00185B08">
        <w:t xml:space="preserve">We facilitated or hosted 16 international initiatives or delegations this year. </w:t>
      </w:r>
      <w:r w:rsidR="005D5919" w:rsidRPr="00185B08">
        <w:t>We continued to engage productively with the Australasian Pacific</w:t>
      </w:r>
      <w:r w:rsidR="005D5919" w:rsidRPr="007234DD">
        <w:t xml:space="preserve"> Ombudsman Region (APOR) and attended the 37</w:t>
      </w:r>
      <w:r w:rsidR="005D5919" w:rsidRPr="007234DD">
        <w:rPr>
          <w:vertAlign w:val="superscript"/>
        </w:rPr>
        <w:t>th</w:t>
      </w:r>
      <w:r w:rsidR="005D5919" w:rsidRPr="007234DD">
        <w:t xml:space="preserve"> APOR Conference</w:t>
      </w:r>
      <w:r w:rsidR="00497EAD">
        <w:t xml:space="preserve">. </w:t>
      </w:r>
      <w:r w:rsidR="00A115E3" w:rsidRPr="00A579E9">
        <w:t xml:space="preserve">We remain active members of the international information access </w:t>
      </w:r>
      <w:r w:rsidR="00A115E3">
        <w:t xml:space="preserve">and Ombudsmen communities, including the: </w:t>
      </w:r>
    </w:p>
    <w:p w14:paraId="348CFC08" w14:textId="1C261A67" w:rsidR="00A115E3" w:rsidRDefault="00A115E3" w:rsidP="00A115E3">
      <w:pPr>
        <w:pStyle w:val="Bullet1"/>
      </w:pPr>
      <w:r w:rsidRPr="00A579E9">
        <w:t>Australasian Association of Information Access Commissioners (</w:t>
      </w:r>
      <w:proofErr w:type="spellStart"/>
      <w:r w:rsidRPr="00A579E9">
        <w:t>AIAC</w:t>
      </w:r>
      <w:proofErr w:type="spellEnd"/>
      <w:r w:rsidRPr="00A579E9">
        <w:t>)</w:t>
      </w:r>
      <w:r>
        <w:t>;</w:t>
      </w:r>
    </w:p>
    <w:p w14:paraId="31A9381D" w14:textId="78BE6EA7" w:rsidR="00A115E3" w:rsidRDefault="00A115E3" w:rsidP="00A115E3">
      <w:pPr>
        <w:pStyle w:val="Bullet1"/>
      </w:pPr>
      <w:r w:rsidRPr="00A579E9">
        <w:t>International Conference of Information Commissioners (</w:t>
      </w:r>
      <w:proofErr w:type="spellStart"/>
      <w:r w:rsidRPr="00A579E9">
        <w:t>ICIC</w:t>
      </w:r>
      <w:proofErr w:type="spellEnd"/>
      <w:r w:rsidRPr="00A579E9">
        <w:t>)</w:t>
      </w:r>
      <w:r w:rsidR="00177A62">
        <w:t>;</w:t>
      </w:r>
      <w:r w:rsidRPr="00A579E9">
        <w:t xml:space="preserve"> </w:t>
      </w:r>
    </w:p>
    <w:p w14:paraId="45EACB0A" w14:textId="438CB3B2" w:rsidR="00A115E3" w:rsidRDefault="00A115E3" w:rsidP="00A115E3">
      <w:pPr>
        <w:pStyle w:val="Bullet1"/>
      </w:pPr>
      <w:r w:rsidRPr="00A579E9">
        <w:t>Australia New Zealand Ombudsman Association (</w:t>
      </w:r>
      <w:proofErr w:type="spellStart"/>
      <w:r w:rsidRPr="00A579E9">
        <w:t>ANZOA</w:t>
      </w:r>
      <w:proofErr w:type="spellEnd"/>
      <w:r w:rsidRPr="00A579E9">
        <w:t>)</w:t>
      </w:r>
      <w:r w:rsidR="00177A62">
        <w:t>;</w:t>
      </w:r>
    </w:p>
    <w:p w14:paraId="42CF2B1D" w14:textId="5F7602A1" w:rsidR="00A115E3" w:rsidRDefault="00A115E3" w:rsidP="00A115E3">
      <w:pPr>
        <w:pStyle w:val="Bullet1"/>
      </w:pPr>
      <w:r>
        <w:t>International Ombudsman Institute (IOI);</w:t>
      </w:r>
    </w:p>
    <w:p w14:paraId="7CA055F5" w14:textId="64C21079" w:rsidR="00A115E3" w:rsidRDefault="003D608A" w:rsidP="00A115E3">
      <w:pPr>
        <w:pStyle w:val="Bullet1"/>
      </w:pPr>
      <w:r>
        <w:t xml:space="preserve">Australian </w:t>
      </w:r>
      <w:r w:rsidR="00A115E3">
        <w:t>Deputy Ombudsman Forum; and</w:t>
      </w:r>
    </w:p>
    <w:p w14:paraId="2DC79B8E" w14:textId="574211BB" w:rsidR="00A115E3" w:rsidRPr="005D5919" w:rsidRDefault="00A115E3" w:rsidP="00A115E3">
      <w:pPr>
        <w:pStyle w:val="Bullet1"/>
      </w:pPr>
      <w:r>
        <w:t>Australia New Zealand Parliamentary Ombudsman group</w:t>
      </w:r>
      <w:r w:rsidRPr="00A579E9">
        <w:t>.</w:t>
      </w:r>
    </w:p>
    <w:p w14:paraId="1D9D50F7" w14:textId="689B17E9" w:rsidR="005A4A1D" w:rsidRPr="005A4A1D" w:rsidRDefault="005A4A1D" w:rsidP="005A4A1D">
      <w:pPr>
        <w:pStyle w:val="Heading4"/>
        <w:spacing w:before="240"/>
      </w:pPr>
      <w:r>
        <w:t xml:space="preserve">Presentations and learning opportunities </w:t>
      </w:r>
    </w:p>
    <w:p w14:paraId="487AFA79" w14:textId="3D94D062" w:rsidR="008B6A75" w:rsidRDefault="008B6A75" w:rsidP="00A30092">
      <w:pPr>
        <w:pStyle w:val="BodyText"/>
      </w:pPr>
      <w:r>
        <w:t xml:space="preserve">We continued to deliver </w:t>
      </w:r>
      <w:r w:rsidR="00B06236">
        <w:t xml:space="preserve">online </w:t>
      </w:r>
      <w:r>
        <w:t xml:space="preserve">training to our international counterparts. This including delivering eight online training sessions to the Cook Islands Ombudsman’s Office, and online training to the Thailand Office of the Ombudsman on OPCAT related topics. </w:t>
      </w:r>
    </w:p>
    <w:p w14:paraId="5884D4B6" w14:textId="769FF180" w:rsidR="00DF2F06" w:rsidRDefault="00DF2F06" w:rsidP="00DF2F06">
      <w:pPr>
        <w:pStyle w:val="BodyText"/>
      </w:pPr>
      <w:r>
        <w:t>We also delivered online training for the South-East Asia Ombudsman Forum (</w:t>
      </w:r>
      <w:proofErr w:type="spellStart"/>
      <w:r>
        <w:t>SEAOF</w:t>
      </w:r>
      <w:proofErr w:type="spellEnd"/>
      <w:r>
        <w:t xml:space="preserve">) on Enhancing Complaint Management &amp; Investigations Skills. The training was attended by Investigators from Thailand, Philippines, Timor-Leste, and Indonesia. </w:t>
      </w:r>
    </w:p>
    <w:p w14:paraId="556FAC1A" w14:textId="2A8092D0" w:rsidR="00B06236" w:rsidRDefault="00B06236" w:rsidP="00A30092">
      <w:pPr>
        <w:pStyle w:val="BodyText"/>
      </w:pPr>
      <w:r>
        <w:t>This year we engaged with our Australian counterparts on several new initiatives, for example, our Conciliation Pilot and Website</w:t>
      </w:r>
      <w:r w:rsidR="00654D27">
        <w:t xml:space="preserve"> Refresh</w:t>
      </w:r>
      <w:r>
        <w:t xml:space="preserve"> and AI</w:t>
      </w:r>
      <w:r w:rsidR="00654D27">
        <w:t xml:space="preserve"> Delivery</w:t>
      </w:r>
      <w:r>
        <w:t xml:space="preserve"> project. </w:t>
      </w:r>
      <w:r w:rsidRPr="006B111A">
        <w:t>These relationships provide a</w:t>
      </w:r>
      <w:r w:rsidR="00F256DB" w:rsidRPr="006B111A">
        <w:t xml:space="preserve">n ongoing opportunity to learn from each other, </w:t>
      </w:r>
      <w:r w:rsidR="00C40283">
        <w:t xml:space="preserve">understand contemporary challenges, and </w:t>
      </w:r>
      <w:r w:rsidR="006B111A">
        <w:t>share innovative approaches</w:t>
      </w:r>
      <w:r w:rsidR="00C40283">
        <w:t>.</w:t>
      </w:r>
    </w:p>
    <w:p w14:paraId="34989508" w14:textId="56840391" w:rsidR="006F34B2" w:rsidRDefault="00A30092" w:rsidP="006F34B2">
      <w:pPr>
        <w:pStyle w:val="BodyText"/>
      </w:pPr>
      <w:r w:rsidRPr="002769F5">
        <w:t xml:space="preserve">We also responded to a range of ad-hoc requests for advice and guidance from international colleagues, and continued to publish the </w:t>
      </w:r>
      <w:hyperlink r:id="rId48" w:history="1">
        <w:r w:rsidRPr="002769F5">
          <w:rPr>
            <w:rStyle w:val="HyperlinkSourceTextReference"/>
          </w:rPr>
          <w:t xml:space="preserve">Waka </w:t>
        </w:r>
        <w:proofErr w:type="spellStart"/>
        <w:r w:rsidRPr="002769F5">
          <w:rPr>
            <w:rStyle w:val="HyperlinkSourceTextReference"/>
          </w:rPr>
          <w:t>Tangata</w:t>
        </w:r>
        <w:proofErr w:type="spellEnd"/>
        <w:r w:rsidRPr="002769F5">
          <w:t xml:space="preserve"> newsletter</w:t>
        </w:r>
      </w:hyperlink>
      <w:r w:rsidRPr="002769F5">
        <w:t xml:space="preserve"> for Ombudsmen in the Pacific and Australasia</w:t>
      </w:r>
      <w:r w:rsidR="00C55A20">
        <w:t>.</w:t>
      </w:r>
    </w:p>
    <w:p w14:paraId="1DE8D774" w14:textId="3754FF76" w:rsidR="006F34B2" w:rsidRDefault="00C55A20" w:rsidP="00594645">
      <w:pPr>
        <w:pStyle w:val="Heading1"/>
      </w:pPr>
      <w:bookmarkStart w:id="54" w:name="_Well-run_office"/>
      <w:bookmarkEnd w:id="54"/>
      <w:r w:rsidRPr="00097107">
        <w:rPr>
          <w:noProof/>
          <w:lang w:eastAsia="en-NZ"/>
        </w:rPr>
        <mc:AlternateContent>
          <mc:Choice Requires="wps">
            <w:drawing>
              <wp:anchor distT="0" distB="0" distL="114300" distR="114300" simplePos="0" relativeHeight="251665408" behindDoc="0" locked="0" layoutInCell="1" allowOverlap="1" wp14:anchorId="52D924AA" wp14:editId="1B9EA19B">
                <wp:simplePos x="0" y="0"/>
                <wp:positionH relativeFrom="margin">
                  <wp:posOffset>4699590</wp:posOffset>
                </wp:positionH>
                <wp:positionV relativeFrom="page">
                  <wp:posOffset>835114</wp:posOffset>
                </wp:positionV>
                <wp:extent cx="1189990" cy="1909267"/>
                <wp:effectExtent l="0" t="0" r="0" b="0"/>
                <wp:wrapNone/>
                <wp:docPr id="12" name="Text Box 9" title="Illustrative element - the number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1909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D2613" w14:textId="77777777" w:rsidR="00C55A20" w:rsidRPr="002813D8" w:rsidRDefault="00C55A20" w:rsidP="00C55A20">
                            <w:pPr>
                              <w:spacing w:after="0"/>
                              <w:jc w:val="right"/>
                              <w:rPr>
                                <w:rFonts w:ascii="Lucida Sans" w:hAnsi="Lucida Sans" w:cs="Lucida Sans"/>
                                <w:color w:val="017E5D"/>
                                <w:sz w:val="280"/>
                                <w:szCs w:val="280"/>
                              </w:rPr>
                            </w:pPr>
                            <w:r w:rsidRPr="002813D8">
                              <w:rPr>
                                <w:rFonts w:ascii="Lucida Sans" w:hAnsi="Lucida Sans" w:cs="Lucida Sans"/>
                                <w:color w:val="017E5D"/>
                                <w:sz w:val="280"/>
                                <w:szCs w:val="280"/>
                              </w:rPr>
                              <w:t>5</w:t>
                            </w: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D924AA" id="Text Box 9" o:spid="_x0000_s1032" type="#_x0000_t202" alt="Title: Illustrative element - the number '5'" style="position:absolute;margin-left:370.05pt;margin-top:65.75pt;width:93.7pt;height:150.3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" filled="f" stroked="f">
                <v:textbox>
                  <w:txbxContent>
                    <w:p w14:paraId="0C4D2613" w14:textId="77777777" w:rsidR="00C55A20" w:rsidRPr="002813D8" w:rsidRDefault="00C55A20" w:rsidP="00C55A20">
                      <w:pPr>
                        <w:spacing w:after="0"/>
                        <w:jc w:val="right"/>
                        <w:rPr>
                          <w:rFonts w:ascii="Lucida Sans" w:hAnsi="Lucida Sans" w:cs="Lucida Sans"/>
                          <w:color w:val="017E5D"/>
                          <w:sz w:val="280"/>
                          <w:szCs w:val="280"/>
                        </w:rPr>
                      </w:pPr>
                      <w:r w:rsidRPr="002813D8">
                        <w:rPr>
                          <w:rFonts w:ascii="Lucida Sans" w:hAnsi="Lucida Sans" w:cs="Lucida Sans"/>
                          <w:color w:val="017E5D"/>
                          <w:sz w:val="280"/>
                          <w:szCs w:val="280"/>
                        </w:rPr>
                        <w:t>5</w:t>
                      </w:r>
                    </w:p>
                  </w:txbxContent>
                </v:textbox>
                <w10:wrap anchorx="margin" anchory="page"/>
              </v:shape>
            </w:pict>
          </mc:Fallback>
        </mc:AlternateContent>
      </w:r>
      <w:r w:rsidR="006F34B2">
        <w:t xml:space="preserve">Well-run office </w:t>
      </w:r>
    </w:p>
    <w:p w14:paraId="494EF513" w14:textId="77777777" w:rsidR="00C55A20" w:rsidRDefault="00C55A20" w:rsidP="00C55A20">
      <w:pPr>
        <w:pStyle w:val="BodyText"/>
      </w:pPr>
    </w:p>
    <w:p w14:paraId="3AAF5196" w14:textId="77777777" w:rsidR="00C55A20" w:rsidRDefault="00C55A20" w:rsidP="00C55A20">
      <w:pPr>
        <w:pStyle w:val="BodyText"/>
      </w:pPr>
    </w:p>
    <w:p w14:paraId="6B3EF9A3" w14:textId="77777777" w:rsidR="00C55A20" w:rsidRPr="00C55A20" w:rsidRDefault="00C55A20" w:rsidP="00C55A20">
      <w:pPr>
        <w:pStyle w:val="BodyText"/>
      </w:pPr>
    </w:p>
    <w:tbl>
      <w:tblPr>
        <w:tblStyle w:val="TableGridAnnualReport"/>
        <w:tblW w:w="9194" w:type="dxa"/>
        <w:tblInd w:w="10" w:type="dxa"/>
        <w:tblBorders>
          <w:left w:val="single" w:sz="8" w:space="0" w:color="FFFFFF" w:themeColor="background1"/>
          <w:bottom w:val="single" w:sz="8" w:space="0" w:color="auto"/>
          <w:right w:val="single" w:sz="8" w:space="0" w:color="FFFFFF" w:themeColor="background1"/>
          <w:insideH w:val="single" w:sz="8" w:space="0" w:color="auto"/>
          <w:insideV w:val="single" w:sz="8" w:space="0" w:color="FFFFFF" w:themeColor="background1"/>
        </w:tblBorders>
        <w:shd w:val="clear" w:color="000000" w:fill="auto"/>
        <w:tblLook w:val="04A0" w:firstRow="1" w:lastRow="0" w:firstColumn="1" w:lastColumn="0" w:noHBand="0" w:noVBand="1"/>
        <w:tblCaption w:val="Contents Section 5"/>
      </w:tblPr>
      <w:tblGrid>
        <w:gridCol w:w="7997"/>
        <w:gridCol w:w="1197"/>
      </w:tblGrid>
      <w:tr w:rsidR="00C55A20" w:rsidRPr="00185B08" w14:paraId="42463C2F" w14:textId="77777777" w:rsidTr="00D358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7" w:type="dxa"/>
            <w:tcBorders>
              <w:top w:val="single" w:sz="4" w:space="0" w:color="auto"/>
              <w:left w:val="single" w:sz="8" w:space="0" w:color="FFFFFF"/>
              <w:bottom w:val="single" w:sz="4" w:space="0" w:color="auto"/>
              <w:right w:val="single" w:sz="8" w:space="0" w:color="FFFFFF"/>
            </w:tcBorders>
            <w:shd w:val="clear" w:color="000000" w:fill="auto"/>
          </w:tcPr>
          <w:p w14:paraId="296C567B" w14:textId="7D33CE5D" w:rsidR="00C55A20" w:rsidRPr="00097107" w:rsidRDefault="00813C38" w:rsidP="007A0718">
            <w:pPr>
              <w:spacing w:before="120" w:after="120" w:line="276" w:lineRule="auto"/>
            </w:pPr>
            <w:hyperlink w:anchor="_Strengthening_the_Office" w:history="1">
              <w:r w:rsidRPr="00813C38">
                <w:rPr>
                  <w:rStyle w:val="Hyperlink"/>
                </w:rPr>
                <w:t>Strengthening the Office</w:t>
              </w:r>
            </w:hyperlink>
            <w:r>
              <w:t xml:space="preserve"> </w:t>
            </w:r>
          </w:p>
        </w:tc>
        <w:tc>
          <w:tcPr>
            <w:tcW w:w="1197" w:type="dxa"/>
            <w:tcBorders>
              <w:left w:val="single" w:sz="8" w:space="0" w:color="FFFFFF"/>
            </w:tcBorders>
            <w:shd w:val="clear" w:color="000000" w:fill="auto"/>
            <w:vAlign w:val="center"/>
          </w:tcPr>
          <w:p w14:paraId="3C3E6F72" w14:textId="02288F00" w:rsidR="00C55A20" w:rsidRPr="00185B08" w:rsidRDefault="004D70E9" w:rsidP="007A0718">
            <w:pPr>
              <w:spacing w:before="120" w:after="120" w:line="276" w:lineRule="auto"/>
              <w:jc w:val="right"/>
              <w:cnfStyle w:val="100000000000" w:firstRow="1" w:lastRow="0" w:firstColumn="0" w:lastColumn="0" w:oddVBand="0" w:evenVBand="0" w:oddHBand="0" w:evenHBand="0" w:firstRowFirstColumn="0" w:firstRowLastColumn="0" w:lastRowFirstColumn="0" w:lastRowLastColumn="0"/>
              <w:rPr>
                <w:b/>
                <w:bCs/>
                <w:color w:val="017E5D"/>
                <w:sz w:val="25"/>
                <w:szCs w:val="25"/>
              </w:rPr>
            </w:pPr>
            <w:hyperlink w:anchor="_Strengthening_the_Office" w:history="1">
              <w:r>
                <w:rPr>
                  <w:rStyle w:val="Hyperlink"/>
                  <w:b/>
                  <w:bCs/>
                  <w:color w:val="017E5D"/>
                  <w:sz w:val="25"/>
                  <w:szCs w:val="25"/>
                  <w:u w:val="none"/>
                </w:rPr>
                <w:t>4</w:t>
              </w:r>
              <w:r w:rsidR="0042546B">
                <w:rPr>
                  <w:rStyle w:val="Hyperlink"/>
                  <w:b/>
                  <w:bCs/>
                  <w:color w:val="017E5D"/>
                  <w:sz w:val="25"/>
                  <w:szCs w:val="25"/>
                  <w:u w:val="none"/>
                </w:rPr>
                <w:t>9</w:t>
              </w:r>
            </w:hyperlink>
          </w:p>
        </w:tc>
      </w:tr>
      <w:tr w:rsidR="00813C38" w:rsidRPr="00185B08" w14:paraId="444DDDEF" w14:textId="77777777" w:rsidTr="00D358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7" w:type="dxa"/>
            <w:tcBorders>
              <w:top w:val="single" w:sz="4" w:space="0" w:color="auto"/>
              <w:left w:val="single" w:sz="8" w:space="0" w:color="FFFFFF"/>
              <w:bottom w:val="single" w:sz="4" w:space="0" w:color="auto"/>
              <w:right w:val="single" w:sz="8" w:space="0" w:color="FFFFFF"/>
            </w:tcBorders>
            <w:shd w:val="clear" w:color="000000" w:fill="auto"/>
          </w:tcPr>
          <w:p w14:paraId="324EFE48" w14:textId="4FD4848E" w:rsidR="00813C38" w:rsidRDefault="00185B08" w:rsidP="007A0718">
            <w:pPr>
              <w:spacing w:before="120" w:after="120" w:line="276" w:lineRule="auto"/>
            </w:pPr>
            <w:hyperlink w:anchor="_Our_People" w:history="1">
              <w:r w:rsidRPr="00185B08">
                <w:rPr>
                  <w:rStyle w:val="Hyperlink"/>
                </w:rPr>
                <w:t xml:space="preserve">Our People </w:t>
              </w:r>
            </w:hyperlink>
            <w:r w:rsidR="00813C38">
              <w:t xml:space="preserve"> </w:t>
            </w:r>
          </w:p>
        </w:tc>
        <w:tc>
          <w:tcPr>
            <w:tcW w:w="1197" w:type="dxa"/>
            <w:tcBorders>
              <w:left w:val="single" w:sz="8" w:space="0" w:color="FFFFFF"/>
            </w:tcBorders>
            <w:shd w:val="clear" w:color="000000" w:fill="auto"/>
            <w:vAlign w:val="center"/>
          </w:tcPr>
          <w:p w14:paraId="1B7DCDD3" w14:textId="242CB9D8" w:rsidR="00813C38" w:rsidRPr="00185B08" w:rsidRDefault="009D703A"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color w:val="017E5D"/>
              </w:rPr>
            </w:pPr>
            <w:hyperlink w:anchor="_Leadership_and_management" w:history="1">
              <w:r w:rsidRPr="00834CBD">
                <w:rPr>
                  <w:rStyle w:val="Hyperlink"/>
                  <w:b/>
                  <w:bCs/>
                  <w:color w:val="017E5D"/>
                  <w:sz w:val="25"/>
                  <w:szCs w:val="25"/>
                  <w:u w:val="none"/>
                </w:rPr>
                <w:t>4</w:t>
              </w:r>
              <w:r w:rsidR="0042546B">
                <w:rPr>
                  <w:rStyle w:val="Hyperlink"/>
                  <w:b/>
                  <w:bCs/>
                  <w:color w:val="017E5D"/>
                  <w:sz w:val="25"/>
                  <w:szCs w:val="25"/>
                  <w:u w:val="none"/>
                </w:rPr>
                <w:t>9</w:t>
              </w:r>
            </w:hyperlink>
          </w:p>
        </w:tc>
      </w:tr>
      <w:tr w:rsidR="00C55A20" w:rsidRPr="00185B08" w14:paraId="21BCEE73" w14:textId="77777777" w:rsidTr="00D358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7" w:type="dxa"/>
            <w:tcBorders>
              <w:top w:val="single" w:sz="4" w:space="0" w:color="auto"/>
              <w:left w:val="single" w:sz="8" w:space="0" w:color="FFFFFF"/>
              <w:bottom w:val="single" w:sz="4" w:space="0" w:color="auto"/>
              <w:right w:val="single" w:sz="8" w:space="0" w:color="FFFFFF"/>
            </w:tcBorders>
            <w:shd w:val="clear" w:color="000000" w:fill="auto"/>
          </w:tcPr>
          <w:p w14:paraId="1B7FB3C3" w14:textId="7F5A4E85" w:rsidR="00C55A20" w:rsidRPr="00097107" w:rsidRDefault="00C55A20" w:rsidP="007A0718">
            <w:pPr>
              <w:spacing w:before="120" w:after="120" w:line="276" w:lineRule="auto"/>
            </w:pPr>
            <w:hyperlink w:anchor="_Risk_management" w:history="1">
              <w:r w:rsidRPr="00097107">
                <w:rPr>
                  <w:rStyle w:val="Hyperlink"/>
                </w:rPr>
                <w:t>Risk management</w:t>
              </w:r>
            </w:hyperlink>
          </w:p>
        </w:tc>
        <w:tc>
          <w:tcPr>
            <w:tcW w:w="1197" w:type="dxa"/>
            <w:tcBorders>
              <w:left w:val="single" w:sz="8" w:space="0" w:color="FFFFFF"/>
            </w:tcBorders>
            <w:shd w:val="clear" w:color="000000" w:fill="auto"/>
            <w:vAlign w:val="center"/>
          </w:tcPr>
          <w:p w14:paraId="0D200DC5" w14:textId="2027084D" w:rsidR="00C55A20" w:rsidRPr="00185B08" w:rsidRDefault="009D703A" w:rsidP="007A0718">
            <w:pPr>
              <w:spacing w:before="120" w:after="120" w:line="276" w:lineRule="auto"/>
              <w:jc w:val="right"/>
              <w:cnfStyle w:val="000000010000" w:firstRow="0" w:lastRow="0" w:firstColumn="0" w:lastColumn="0" w:oddVBand="0" w:evenVBand="0" w:oddHBand="0" w:evenHBand="1" w:firstRowFirstColumn="0" w:firstRowLastColumn="0" w:lastRowFirstColumn="0" w:lastRowLastColumn="0"/>
              <w:rPr>
                <w:b/>
                <w:bCs/>
                <w:color w:val="017E5D"/>
                <w:sz w:val="25"/>
                <w:szCs w:val="25"/>
              </w:rPr>
            </w:pPr>
            <w:hyperlink w:anchor="_Risk_management" w:history="1">
              <w:r>
                <w:rPr>
                  <w:rStyle w:val="Hyperlink"/>
                  <w:b/>
                  <w:bCs/>
                  <w:color w:val="017E5D"/>
                  <w:sz w:val="25"/>
                  <w:szCs w:val="25"/>
                  <w:u w:val="none"/>
                </w:rPr>
                <w:t>5</w:t>
              </w:r>
              <w:r w:rsidR="0042546B">
                <w:rPr>
                  <w:rStyle w:val="Hyperlink"/>
                  <w:b/>
                  <w:bCs/>
                  <w:color w:val="017E5D"/>
                  <w:sz w:val="25"/>
                  <w:szCs w:val="25"/>
                  <w:u w:val="none"/>
                </w:rPr>
                <w:t>2</w:t>
              </w:r>
            </w:hyperlink>
          </w:p>
        </w:tc>
      </w:tr>
      <w:tr w:rsidR="00C55A20" w:rsidRPr="00185B08" w14:paraId="6BC29F5E" w14:textId="77777777" w:rsidTr="00D358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7" w:type="dxa"/>
            <w:tcBorders>
              <w:top w:val="single" w:sz="4" w:space="0" w:color="auto"/>
              <w:left w:val="single" w:sz="8" w:space="0" w:color="FFFFFF"/>
              <w:bottom w:val="single" w:sz="4" w:space="0" w:color="auto"/>
              <w:right w:val="single" w:sz="8" w:space="0" w:color="FFFFFF"/>
            </w:tcBorders>
            <w:shd w:val="clear" w:color="000000" w:fill="auto"/>
          </w:tcPr>
          <w:p w14:paraId="41AFF4F7" w14:textId="12A12B48" w:rsidR="00C55A20" w:rsidRPr="00097107" w:rsidRDefault="00813C38" w:rsidP="007A0718">
            <w:pPr>
              <w:spacing w:before="120" w:after="120" w:line="276" w:lineRule="auto"/>
            </w:pPr>
            <w:hyperlink w:anchor="_Technology,_data_and" w:history="1">
              <w:r w:rsidRPr="00813C38">
                <w:rPr>
                  <w:rStyle w:val="Hyperlink"/>
                </w:rPr>
                <w:t>Technology, data and delivery</w:t>
              </w:r>
            </w:hyperlink>
            <w:r>
              <w:t xml:space="preserve"> </w:t>
            </w:r>
          </w:p>
        </w:tc>
        <w:tc>
          <w:tcPr>
            <w:tcW w:w="1197" w:type="dxa"/>
            <w:tcBorders>
              <w:left w:val="single" w:sz="8" w:space="0" w:color="FFFFFF"/>
            </w:tcBorders>
            <w:shd w:val="clear" w:color="000000" w:fill="auto"/>
            <w:vAlign w:val="center"/>
          </w:tcPr>
          <w:p w14:paraId="165591AF" w14:textId="1561C91D" w:rsidR="00C55A20" w:rsidRPr="00185B08" w:rsidRDefault="009D703A"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color w:val="017E5D"/>
                <w:sz w:val="25"/>
                <w:szCs w:val="25"/>
              </w:rPr>
            </w:pPr>
            <w:hyperlink w:anchor="_Technology,_data_and" w:history="1">
              <w:r>
                <w:rPr>
                  <w:rStyle w:val="Hyperlink"/>
                  <w:b/>
                  <w:bCs/>
                  <w:color w:val="017E5D"/>
                  <w:sz w:val="25"/>
                  <w:szCs w:val="25"/>
                  <w:u w:val="none"/>
                </w:rPr>
                <w:t>5</w:t>
              </w:r>
              <w:r w:rsidR="0042546B">
                <w:rPr>
                  <w:rStyle w:val="Hyperlink"/>
                  <w:b/>
                  <w:bCs/>
                  <w:color w:val="017E5D"/>
                  <w:sz w:val="25"/>
                  <w:szCs w:val="25"/>
                  <w:u w:val="none"/>
                </w:rPr>
                <w:t>2</w:t>
              </w:r>
            </w:hyperlink>
          </w:p>
        </w:tc>
      </w:tr>
      <w:tr w:rsidR="00C55A20" w:rsidRPr="00185B08" w14:paraId="7838841E" w14:textId="77777777" w:rsidTr="00D358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7" w:type="dxa"/>
            <w:tcBorders>
              <w:top w:val="single" w:sz="4" w:space="0" w:color="auto"/>
              <w:left w:val="single" w:sz="8" w:space="0" w:color="FFFFFF"/>
              <w:bottom w:val="single" w:sz="4" w:space="0" w:color="auto"/>
              <w:right w:val="single" w:sz="8" w:space="0" w:color="FFFFFF"/>
            </w:tcBorders>
            <w:shd w:val="clear" w:color="000000" w:fill="auto"/>
          </w:tcPr>
          <w:p w14:paraId="2468CD37" w14:textId="3DF53271" w:rsidR="00C55A20" w:rsidRPr="00097107" w:rsidRDefault="00C55A20" w:rsidP="007A0718">
            <w:pPr>
              <w:spacing w:before="120" w:after="120" w:line="276" w:lineRule="auto"/>
            </w:pPr>
            <w:hyperlink w:anchor="_Financial_and_capital" w:history="1">
              <w:r w:rsidRPr="00097107">
                <w:rPr>
                  <w:rStyle w:val="Hyperlink"/>
                </w:rPr>
                <w:t>Financial and capital management</w:t>
              </w:r>
            </w:hyperlink>
          </w:p>
        </w:tc>
        <w:tc>
          <w:tcPr>
            <w:tcW w:w="1197" w:type="dxa"/>
            <w:tcBorders>
              <w:left w:val="single" w:sz="8" w:space="0" w:color="FFFFFF"/>
            </w:tcBorders>
            <w:shd w:val="clear" w:color="000000" w:fill="auto"/>
            <w:vAlign w:val="center"/>
          </w:tcPr>
          <w:p w14:paraId="63957864" w14:textId="6BB6804D" w:rsidR="00C55A20" w:rsidRPr="00185B08" w:rsidRDefault="009D703A" w:rsidP="007A0718">
            <w:pPr>
              <w:spacing w:before="120" w:after="120" w:line="276" w:lineRule="auto"/>
              <w:jc w:val="right"/>
              <w:cnfStyle w:val="000000010000" w:firstRow="0" w:lastRow="0" w:firstColumn="0" w:lastColumn="0" w:oddVBand="0" w:evenVBand="0" w:oddHBand="0" w:evenHBand="1" w:firstRowFirstColumn="0" w:firstRowLastColumn="0" w:lastRowFirstColumn="0" w:lastRowLastColumn="0"/>
              <w:rPr>
                <w:b/>
                <w:bCs/>
                <w:color w:val="017E5D"/>
                <w:sz w:val="25"/>
                <w:szCs w:val="25"/>
              </w:rPr>
            </w:pPr>
            <w:hyperlink w:anchor="_Financial_and_capital" w:history="1">
              <w:r>
                <w:rPr>
                  <w:rStyle w:val="Hyperlink"/>
                  <w:b/>
                  <w:bCs/>
                  <w:color w:val="017E5D"/>
                  <w:sz w:val="25"/>
                  <w:szCs w:val="25"/>
                  <w:u w:val="none"/>
                </w:rPr>
                <w:t>5</w:t>
              </w:r>
              <w:r w:rsidR="0042546B">
                <w:rPr>
                  <w:rStyle w:val="Hyperlink"/>
                  <w:b/>
                  <w:bCs/>
                  <w:color w:val="017E5D"/>
                  <w:sz w:val="25"/>
                  <w:szCs w:val="25"/>
                  <w:u w:val="none"/>
                </w:rPr>
                <w:t>3</w:t>
              </w:r>
            </w:hyperlink>
          </w:p>
        </w:tc>
      </w:tr>
      <w:tr w:rsidR="00C55A20" w:rsidRPr="00185B08" w14:paraId="5D24A5B8" w14:textId="77777777" w:rsidTr="00D358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97" w:type="dxa"/>
            <w:tcBorders>
              <w:top w:val="single" w:sz="4" w:space="0" w:color="auto"/>
              <w:left w:val="single" w:sz="8" w:space="0" w:color="FFFFFF"/>
              <w:bottom w:val="single" w:sz="4" w:space="0" w:color="auto"/>
              <w:right w:val="single" w:sz="8" w:space="0" w:color="FFFFFF"/>
            </w:tcBorders>
            <w:shd w:val="clear" w:color="000000" w:fill="auto"/>
          </w:tcPr>
          <w:p w14:paraId="2B317367" w14:textId="604A55E4" w:rsidR="00C55A20" w:rsidRPr="00097107" w:rsidRDefault="00C55A20" w:rsidP="007A0718">
            <w:pPr>
              <w:spacing w:before="120" w:after="120" w:line="276" w:lineRule="auto"/>
              <w:rPr>
                <w:sz w:val="25"/>
                <w:szCs w:val="25"/>
              </w:rPr>
            </w:pPr>
            <w:hyperlink w:anchor="_Security" w:history="1">
              <w:r w:rsidRPr="00097107">
                <w:rPr>
                  <w:rStyle w:val="Hyperlink"/>
                  <w:sz w:val="25"/>
                  <w:szCs w:val="25"/>
                </w:rPr>
                <w:t>Security</w:t>
              </w:r>
            </w:hyperlink>
          </w:p>
        </w:tc>
        <w:tc>
          <w:tcPr>
            <w:tcW w:w="1197" w:type="dxa"/>
            <w:tcBorders>
              <w:left w:val="single" w:sz="8" w:space="0" w:color="FFFFFF"/>
            </w:tcBorders>
            <w:shd w:val="clear" w:color="000000" w:fill="auto"/>
            <w:vAlign w:val="center"/>
          </w:tcPr>
          <w:p w14:paraId="2324FDAD" w14:textId="63503408" w:rsidR="00C55A20" w:rsidRPr="00185B08" w:rsidRDefault="009D703A"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color w:val="017E5D"/>
                <w:sz w:val="25"/>
                <w:szCs w:val="25"/>
              </w:rPr>
            </w:pPr>
            <w:hyperlink w:anchor="_Security" w:history="1">
              <w:r>
                <w:rPr>
                  <w:rStyle w:val="Hyperlink"/>
                  <w:b/>
                  <w:bCs/>
                  <w:color w:val="017E5D"/>
                  <w:sz w:val="25"/>
                  <w:szCs w:val="25"/>
                  <w:u w:val="none"/>
                </w:rPr>
                <w:t>5</w:t>
              </w:r>
              <w:r w:rsidR="0042546B">
                <w:rPr>
                  <w:rStyle w:val="Hyperlink"/>
                  <w:b/>
                  <w:bCs/>
                  <w:color w:val="017E5D"/>
                  <w:sz w:val="25"/>
                  <w:szCs w:val="25"/>
                  <w:u w:val="none"/>
                </w:rPr>
                <w:t>3</w:t>
              </w:r>
            </w:hyperlink>
          </w:p>
        </w:tc>
      </w:tr>
    </w:tbl>
    <w:p w14:paraId="7D9E5214" w14:textId="77777777" w:rsidR="00594645" w:rsidRDefault="00594645" w:rsidP="00594645">
      <w:pPr>
        <w:pStyle w:val="BodyText"/>
      </w:pPr>
    </w:p>
    <w:p w14:paraId="7E25BA6E" w14:textId="77777777" w:rsidR="00594645" w:rsidRDefault="00594645" w:rsidP="00594645">
      <w:pPr>
        <w:pStyle w:val="BodyText"/>
      </w:pPr>
    </w:p>
    <w:p w14:paraId="7E1735F9" w14:textId="77777777" w:rsidR="00594645" w:rsidRDefault="00594645" w:rsidP="00594645">
      <w:pPr>
        <w:pStyle w:val="BodyText"/>
      </w:pPr>
    </w:p>
    <w:p w14:paraId="22396B9F" w14:textId="77777777" w:rsidR="00594645" w:rsidRDefault="00594645" w:rsidP="00594645">
      <w:pPr>
        <w:pStyle w:val="BodyText"/>
      </w:pPr>
    </w:p>
    <w:p w14:paraId="007DEA07" w14:textId="77777777" w:rsidR="00594645" w:rsidRDefault="00594645" w:rsidP="00594645">
      <w:pPr>
        <w:pStyle w:val="BodyText"/>
      </w:pPr>
    </w:p>
    <w:p w14:paraId="67FFED6D" w14:textId="77777777" w:rsidR="00594645" w:rsidRDefault="00594645" w:rsidP="00594645">
      <w:pPr>
        <w:pStyle w:val="BodyText"/>
      </w:pPr>
    </w:p>
    <w:p w14:paraId="3BCBC69D" w14:textId="77777777" w:rsidR="00594645" w:rsidRDefault="00594645" w:rsidP="00594645">
      <w:pPr>
        <w:pStyle w:val="BodyText"/>
      </w:pPr>
    </w:p>
    <w:p w14:paraId="7822E376" w14:textId="77777777" w:rsidR="00594645" w:rsidRDefault="00594645" w:rsidP="00594645">
      <w:pPr>
        <w:pStyle w:val="BodyText"/>
      </w:pPr>
    </w:p>
    <w:p w14:paraId="7672038A" w14:textId="77777777" w:rsidR="00594645" w:rsidRDefault="00594645" w:rsidP="00594645">
      <w:pPr>
        <w:pStyle w:val="BodyText"/>
      </w:pPr>
    </w:p>
    <w:p w14:paraId="5E780AE7" w14:textId="77777777" w:rsidR="00594645" w:rsidRDefault="00594645" w:rsidP="00594645">
      <w:pPr>
        <w:pStyle w:val="BodyText"/>
      </w:pPr>
    </w:p>
    <w:p w14:paraId="4A26C877" w14:textId="77777777" w:rsidR="00594645" w:rsidRDefault="00594645" w:rsidP="00594645">
      <w:pPr>
        <w:pStyle w:val="BodyText"/>
      </w:pPr>
    </w:p>
    <w:p w14:paraId="7B7CFC89" w14:textId="77777777" w:rsidR="00594645" w:rsidRDefault="00594645" w:rsidP="00594645">
      <w:pPr>
        <w:pStyle w:val="BodyText"/>
      </w:pPr>
    </w:p>
    <w:p w14:paraId="6D9D2F7C" w14:textId="0018535C" w:rsidR="00DA2F21" w:rsidRDefault="00DA2F21" w:rsidP="00594645">
      <w:pPr>
        <w:pStyle w:val="Heading2"/>
      </w:pPr>
      <w:bookmarkStart w:id="55" w:name="_Strengthening_the_Office"/>
      <w:bookmarkEnd w:id="55"/>
      <w:r>
        <w:t xml:space="preserve">Strengthening the Office </w:t>
      </w:r>
    </w:p>
    <w:p w14:paraId="7317DD42" w14:textId="5C87DBA5" w:rsidR="00DA2F21" w:rsidRDefault="001E5E7F" w:rsidP="00DA2F21">
      <w:pPr>
        <w:pStyle w:val="BodyText"/>
      </w:pPr>
      <w:r>
        <w:t>This year we</w:t>
      </w:r>
      <w:r w:rsidR="00DA2F21" w:rsidRPr="003525BA">
        <w:t xml:space="preserve"> </w:t>
      </w:r>
      <w:r w:rsidR="00DA2F21">
        <w:t>undertook a</w:t>
      </w:r>
      <w:r w:rsidR="00DA2F21" w:rsidRPr="003525BA">
        <w:t xml:space="preserve"> significant organisational restructure</w:t>
      </w:r>
      <w:r w:rsidR="00DA2F21">
        <w:t xml:space="preserve"> </w:t>
      </w:r>
      <w:r w:rsidR="00DF2F06">
        <w:t>to</w:t>
      </w:r>
      <w:r w:rsidR="00DA2F21">
        <w:t xml:space="preserve"> </w:t>
      </w:r>
      <w:r w:rsidR="00DA2F21" w:rsidRPr="003525BA">
        <w:t xml:space="preserve">position the Office to deliver greater impact by reducing hierarchy, streamlining decision-making, and </w:t>
      </w:r>
      <w:r>
        <w:t>clarifying</w:t>
      </w:r>
      <w:r w:rsidR="00DA2F21" w:rsidRPr="003525BA">
        <w:t xml:space="preserve"> accountabilities across all functions. </w:t>
      </w:r>
    </w:p>
    <w:p w14:paraId="1C4ED8E0" w14:textId="33EDCCFE" w:rsidR="00DA2F21" w:rsidRDefault="00DA2F21" w:rsidP="00DA2F21">
      <w:pPr>
        <w:pStyle w:val="BodyText"/>
      </w:pPr>
      <w:r>
        <w:t xml:space="preserve">This included establishing </w:t>
      </w:r>
      <w:r w:rsidR="00F36CCB">
        <w:t xml:space="preserve">the </w:t>
      </w:r>
      <w:r w:rsidRPr="003525BA">
        <w:t xml:space="preserve">Governance and Strategy </w:t>
      </w:r>
      <w:r w:rsidR="00F36CCB">
        <w:t xml:space="preserve">group </w:t>
      </w:r>
      <w:r w:rsidRPr="003525BA">
        <w:t xml:space="preserve">and </w:t>
      </w:r>
      <w:r w:rsidR="00F36CCB">
        <w:t xml:space="preserve">changing our </w:t>
      </w:r>
      <w:r w:rsidRPr="003525BA">
        <w:t>People and Capability</w:t>
      </w:r>
      <w:r w:rsidR="00F36CCB">
        <w:t xml:space="preserve"> group</w:t>
      </w:r>
      <w:r w:rsidR="00AE6593">
        <w:t xml:space="preserve">, </w:t>
      </w:r>
      <w:r w:rsidR="00DF2F06">
        <w:t xml:space="preserve">to </w:t>
      </w:r>
      <w:r w:rsidR="00AE6593">
        <w:t>ensur</w:t>
      </w:r>
      <w:r w:rsidR="00DF2F06">
        <w:t>e</w:t>
      </w:r>
      <w:r w:rsidR="000C54EA">
        <w:t xml:space="preserve"> </w:t>
      </w:r>
      <w:r>
        <w:t>there is sufficient focus on strategic planning, risk, governance and organisation development and culture.</w:t>
      </w:r>
    </w:p>
    <w:p w14:paraId="59374D79" w14:textId="0A20C5E4" w:rsidR="00DA2F21" w:rsidRPr="00DA2F21" w:rsidRDefault="00DA2F21" w:rsidP="00DA2F21">
      <w:pPr>
        <w:pStyle w:val="BodyText"/>
      </w:pPr>
      <w:r w:rsidRPr="003525BA">
        <w:t>Together, these changes create a more collaborative, agile and effective organisation</w:t>
      </w:r>
      <w:r>
        <w:t xml:space="preserve"> which is </w:t>
      </w:r>
      <w:r w:rsidRPr="003525BA">
        <w:t xml:space="preserve">better equipped to meet growing demand and deliver on our </w:t>
      </w:r>
      <w:r w:rsidR="00CB109D" w:rsidRPr="008167FC">
        <w:t>Strategic Intentions</w:t>
      </w:r>
      <w:r w:rsidR="00CB109D" w:rsidRPr="00C625CB">
        <w:rPr>
          <w:i/>
          <w:iCs/>
        </w:rPr>
        <w:t xml:space="preserve"> </w:t>
      </w:r>
      <w:r w:rsidR="001E5E7F" w:rsidRPr="00C625CB">
        <w:rPr>
          <w:i/>
          <w:iCs/>
        </w:rPr>
        <w:t>2026–2031</w:t>
      </w:r>
      <w:r>
        <w:t>.</w:t>
      </w:r>
    </w:p>
    <w:p w14:paraId="7D081624" w14:textId="205447D6" w:rsidR="00594645" w:rsidRPr="00413D0B" w:rsidRDefault="006662CD" w:rsidP="001A65FE">
      <w:pPr>
        <w:pStyle w:val="Heading2"/>
        <w:spacing w:after="240"/>
      </w:pPr>
      <w:bookmarkStart w:id="56" w:name="_Leadership_and_management"/>
      <w:bookmarkStart w:id="57" w:name="_Our_People"/>
      <w:bookmarkEnd w:id="56"/>
      <w:bookmarkEnd w:id="57"/>
      <w:r w:rsidRPr="00413D0B">
        <w:t xml:space="preserve">Our People </w:t>
      </w:r>
      <w:r w:rsidR="00594645" w:rsidRPr="00413D0B">
        <w:t xml:space="preserve"> </w:t>
      </w:r>
    </w:p>
    <w:p w14:paraId="42046804" w14:textId="18E16742" w:rsidR="001A65FE" w:rsidRPr="002B1CFD" w:rsidRDefault="001A65FE" w:rsidP="001A65FE">
      <w:pPr>
        <w:pStyle w:val="BodyText"/>
      </w:pPr>
      <w:r w:rsidRPr="002B1CFD">
        <w:t xml:space="preserve">As </w:t>
      </w:r>
      <w:proofErr w:type="gramStart"/>
      <w:r w:rsidRPr="002B1CFD">
        <w:t>at</w:t>
      </w:r>
      <w:proofErr w:type="gramEnd"/>
      <w:r w:rsidRPr="002B1CFD">
        <w:t xml:space="preserve"> 30 June 202</w:t>
      </w:r>
      <w:r>
        <w:t>6</w:t>
      </w:r>
      <w:r w:rsidRPr="002B1CFD">
        <w:t xml:space="preserve">, the Ombudsman employed </w:t>
      </w:r>
      <w:r w:rsidRPr="00C05F7A">
        <w:t>2</w:t>
      </w:r>
      <w:r w:rsidR="00B27089">
        <w:t>4</w:t>
      </w:r>
      <w:r w:rsidR="00C05F7A" w:rsidRPr="00C05F7A">
        <w:t>0</w:t>
      </w:r>
      <w:r w:rsidRPr="002B1CFD">
        <w:t xml:space="preserve"> employees</w:t>
      </w:r>
      <w:r w:rsidR="00FE6DE2">
        <w:t xml:space="preserve">, compared to </w:t>
      </w:r>
      <w:r w:rsidR="00B27089">
        <w:t xml:space="preserve">231 </w:t>
      </w:r>
      <w:r w:rsidR="00FE6DE2">
        <w:t>employees last year</w:t>
      </w:r>
      <w:r w:rsidRPr="002B1CFD">
        <w:t>.</w:t>
      </w:r>
      <w:r w:rsidRPr="002B1CFD">
        <w:rPr>
          <w:vertAlign w:val="superscript"/>
        </w:rPr>
        <w:footnoteReference w:id="20"/>
      </w:r>
    </w:p>
    <w:p w14:paraId="3E173AD8" w14:textId="77777777" w:rsidR="001A65FE" w:rsidRPr="002B1CFD" w:rsidRDefault="001A65FE" w:rsidP="001A65FE">
      <w:pPr>
        <w:pStyle w:val="BodyText"/>
      </w:pPr>
      <w:r w:rsidRPr="002B1CFD">
        <w:t xml:space="preserve">The regional breakdown was: </w:t>
      </w:r>
    </w:p>
    <w:p w14:paraId="1C393EB2" w14:textId="6EB676BB" w:rsidR="001A65FE" w:rsidRPr="00413D0B" w:rsidRDefault="001A65FE" w:rsidP="001A65FE">
      <w:pPr>
        <w:pStyle w:val="BodyText"/>
        <w:numPr>
          <w:ilvl w:val="0"/>
          <w:numId w:val="26"/>
        </w:numPr>
      </w:pPr>
      <w:r w:rsidRPr="00413D0B">
        <w:t>Auckland (15 percent—</w:t>
      </w:r>
      <w:r w:rsidR="00413D0B" w:rsidRPr="00413D0B">
        <w:t>3</w:t>
      </w:r>
      <w:r w:rsidR="00695511">
        <w:t>6</w:t>
      </w:r>
      <w:r w:rsidRPr="00413D0B">
        <w:t xml:space="preserve"> people); and</w:t>
      </w:r>
    </w:p>
    <w:p w14:paraId="5B26FE6A" w14:textId="587245C0" w:rsidR="001A65FE" w:rsidRPr="002B1CFD" w:rsidRDefault="001A65FE" w:rsidP="001A65FE">
      <w:pPr>
        <w:pStyle w:val="BodyText"/>
        <w:numPr>
          <w:ilvl w:val="0"/>
          <w:numId w:val="26"/>
        </w:numPr>
      </w:pPr>
      <w:r w:rsidRPr="00413D0B">
        <w:t>Wellington (8</w:t>
      </w:r>
      <w:r w:rsidR="00413D0B" w:rsidRPr="00413D0B">
        <w:t>5</w:t>
      </w:r>
      <w:r w:rsidRPr="00413D0B">
        <w:t xml:space="preserve"> percent—</w:t>
      </w:r>
      <w:r w:rsidR="00413D0B" w:rsidRPr="00413D0B">
        <w:t>2</w:t>
      </w:r>
      <w:r w:rsidR="00695511">
        <w:t>04</w:t>
      </w:r>
      <w:r w:rsidRPr="00413D0B">
        <w:t xml:space="preserve"> people</w:t>
      </w:r>
      <w:r w:rsidRPr="002B1CFD">
        <w:t>).</w:t>
      </w:r>
    </w:p>
    <w:p w14:paraId="01FB1ADA" w14:textId="77777777" w:rsidR="001A65FE" w:rsidRPr="002B1CFD" w:rsidRDefault="001A65FE" w:rsidP="001A65FE">
      <w:pPr>
        <w:pStyle w:val="BodyText"/>
      </w:pPr>
      <w:r w:rsidRPr="002B1CFD">
        <w:t>In terms of gender representation:</w:t>
      </w:r>
    </w:p>
    <w:p w14:paraId="1941D7B8" w14:textId="0BD4D715" w:rsidR="001A65FE" w:rsidRPr="002B1CFD" w:rsidRDefault="00B402E3" w:rsidP="001A65FE">
      <w:pPr>
        <w:pStyle w:val="BodyText"/>
        <w:numPr>
          <w:ilvl w:val="0"/>
          <w:numId w:val="26"/>
        </w:numPr>
      </w:pPr>
      <w:r>
        <w:t>68</w:t>
      </w:r>
      <w:r w:rsidR="001A65FE" w:rsidRPr="002B1CFD">
        <w:t xml:space="preserve"> percent identified as female;</w:t>
      </w:r>
    </w:p>
    <w:p w14:paraId="0DFD5C01" w14:textId="3104F01A" w:rsidR="001A65FE" w:rsidRPr="002B1CFD" w:rsidRDefault="00B402E3" w:rsidP="001A65FE">
      <w:pPr>
        <w:pStyle w:val="BodyText"/>
        <w:numPr>
          <w:ilvl w:val="0"/>
          <w:numId w:val="26"/>
        </w:numPr>
      </w:pPr>
      <w:r>
        <w:t>30</w:t>
      </w:r>
      <w:r w:rsidR="001A65FE" w:rsidRPr="002B1CFD">
        <w:t xml:space="preserve"> percent identified as male; and</w:t>
      </w:r>
    </w:p>
    <w:p w14:paraId="4BBF58A5" w14:textId="1C213DEB" w:rsidR="001A65FE" w:rsidRPr="002B1CFD" w:rsidRDefault="00DF2F06" w:rsidP="001A65FE">
      <w:pPr>
        <w:pStyle w:val="BodyText"/>
        <w:numPr>
          <w:ilvl w:val="0"/>
          <w:numId w:val="26"/>
        </w:numPr>
      </w:pPr>
      <w:r>
        <w:t>t</w:t>
      </w:r>
      <w:r w:rsidR="00413D0B">
        <w:t>wo</w:t>
      </w:r>
      <w:r w:rsidR="001A65FE" w:rsidRPr="002B1CFD">
        <w:t xml:space="preserve"> percent identified as gender diverse.</w:t>
      </w:r>
    </w:p>
    <w:p w14:paraId="06B89A52" w14:textId="77777777" w:rsidR="001A65FE" w:rsidRPr="002B1CFD" w:rsidRDefault="001A65FE" w:rsidP="001A65FE">
      <w:pPr>
        <w:pStyle w:val="BodyText"/>
        <w:rPr>
          <w:b/>
          <w:bCs/>
          <w:iCs/>
        </w:rPr>
      </w:pPr>
      <w:r w:rsidRPr="002B1CFD">
        <w:t>Further details are set out below.</w:t>
      </w:r>
    </w:p>
    <w:p w14:paraId="7304F03C" w14:textId="77777777" w:rsidR="001A65FE" w:rsidRPr="002B1CFD" w:rsidRDefault="001A65FE" w:rsidP="001A65FE">
      <w:pPr>
        <w:pStyle w:val="Heading4"/>
      </w:pPr>
      <w:r w:rsidRPr="002B1CFD">
        <w:t xml:space="preserve">Breakdown of Ombudsman employees by role </w:t>
      </w:r>
    </w:p>
    <w:tbl>
      <w:tblPr>
        <w:tblW w:w="9346" w:type="dxa"/>
        <w:tblLayout w:type="fixed"/>
        <w:tblCellMar>
          <w:left w:w="0" w:type="dxa"/>
          <w:right w:w="0" w:type="dxa"/>
        </w:tblCellMar>
        <w:tblLook w:val="04A0" w:firstRow="1" w:lastRow="0" w:firstColumn="1" w:lastColumn="0" w:noHBand="0" w:noVBand="1"/>
      </w:tblPr>
      <w:tblGrid>
        <w:gridCol w:w="1975"/>
        <w:gridCol w:w="1474"/>
        <w:gridCol w:w="1474"/>
        <w:gridCol w:w="1474"/>
        <w:gridCol w:w="1474"/>
        <w:gridCol w:w="1475"/>
      </w:tblGrid>
      <w:tr w:rsidR="00413D0B" w:rsidRPr="00304DAC" w14:paraId="6F8443E4" w14:textId="77777777" w:rsidTr="00413D0B">
        <w:trPr>
          <w:tblHeader/>
        </w:trPr>
        <w:tc>
          <w:tcPr>
            <w:tcW w:w="1975" w:type="dxa"/>
            <w:tcBorders>
              <w:top w:val="single" w:sz="8" w:space="0" w:color="FFFFFF"/>
              <w:left w:val="single" w:sz="8" w:space="0" w:color="FFFFFF"/>
              <w:bottom w:val="single" w:sz="8" w:space="0" w:color="FFFFFF"/>
              <w:right w:val="single" w:sz="8" w:space="0" w:color="FFFFFF"/>
            </w:tcBorders>
            <w:shd w:val="clear" w:color="auto" w:fill="017E5D"/>
            <w:tcMar>
              <w:top w:w="0" w:type="dxa"/>
              <w:left w:w="108" w:type="dxa"/>
              <w:bottom w:w="0" w:type="dxa"/>
              <w:right w:w="108" w:type="dxa"/>
            </w:tcMar>
            <w:hideMark/>
          </w:tcPr>
          <w:p w14:paraId="1F0E9BEE" w14:textId="77777777" w:rsidR="00413D0B" w:rsidRPr="00304DAC" w:rsidRDefault="00413D0B" w:rsidP="00D36C12">
            <w:pPr>
              <w:keepNext/>
              <w:spacing w:before="60" w:after="60" w:line="240" w:lineRule="auto"/>
              <w:rPr>
                <w:rFonts w:eastAsia="Calibri" w:cs="Times New Roman"/>
                <w:color w:val="FFFFFF"/>
                <w:szCs w:val="24"/>
              </w:rPr>
            </w:pPr>
            <w:r w:rsidRPr="00304DAC">
              <w:rPr>
                <w:rFonts w:eastAsia="Calibri" w:cs="Times New Roman"/>
                <w:color w:val="FFFFFF"/>
                <w:szCs w:val="24"/>
              </w:rPr>
              <w:t>Role</w:t>
            </w:r>
          </w:p>
        </w:tc>
        <w:tc>
          <w:tcPr>
            <w:tcW w:w="1474" w:type="dxa"/>
            <w:tcBorders>
              <w:top w:val="single" w:sz="8" w:space="0" w:color="FFFFFF"/>
              <w:left w:val="nil"/>
              <w:bottom w:val="single" w:sz="8" w:space="0" w:color="FFFFFF"/>
              <w:right w:val="single" w:sz="8" w:space="0" w:color="FFFFFF"/>
            </w:tcBorders>
            <w:shd w:val="clear" w:color="auto" w:fill="017E5D"/>
            <w:tcMar>
              <w:top w:w="0" w:type="dxa"/>
              <w:left w:w="108" w:type="dxa"/>
              <w:bottom w:w="0" w:type="dxa"/>
              <w:right w:w="108" w:type="dxa"/>
            </w:tcMar>
            <w:hideMark/>
          </w:tcPr>
          <w:p w14:paraId="0E80C451" w14:textId="77777777" w:rsidR="00413D0B" w:rsidRPr="00304DAC" w:rsidRDefault="00413D0B" w:rsidP="00D36C12">
            <w:pPr>
              <w:keepNext/>
              <w:spacing w:before="60" w:after="60" w:line="240" w:lineRule="auto"/>
              <w:jc w:val="center"/>
              <w:rPr>
                <w:rFonts w:eastAsia="Calibri" w:cs="Times New Roman"/>
                <w:color w:val="FFFFFF"/>
                <w:szCs w:val="24"/>
              </w:rPr>
            </w:pPr>
            <w:r w:rsidRPr="00304DAC">
              <w:rPr>
                <w:rFonts w:eastAsia="Calibri" w:cs="Times New Roman"/>
                <w:color w:val="FFFFFF"/>
                <w:szCs w:val="24"/>
              </w:rPr>
              <w:t>Number</w:t>
            </w:r>
          </w:p>
        </w:tc>
        <w:tc>
          <w:tcPr>
            <w:tcW w:w="1474" w:type="dxa"/>
            <w:tcBorders>
              <w:top w:val="single" w:sz="8" w:space="0" w:color="FFFFFF"/>
              <w:left w:val="nil"/>
              <w:bottom w:val="single" w:sz="8" w:space="0" w:color="FFFFFF"/>
              <w:right w:val="single" w:sz="8" w:space="0" w:color="FFFFFF"/>
            </w:tcBorders>
            <w:shd w:val="clear" w:color="auto" w:fill="017E5D"/>
            <w:tcMar>
              <w:top w:w="0" w:type="dxa"/>
              <w:left w:w="108" w:type="dxa"/>
              <w:bottom w:w="0" w:type="dxa"/>
              <w:right w:w="108" w:type="dxa"/>
            </w:tcMar>
            <w:hideMark/>
          </w:tcPr>
          <w:p w14:paraId="7CF81C82" w14:textId="77777777" w:rsidR="00413D0B" w:rsidRPr="00304DAC" w:rsidRDefault="00413D0B" w:rsidP="00D36C12">
            <w:pPr>
              <w:keepNext/>
              <w:spacing w:before="60" w:after="60" w:line="240" w:lineRule="auto"/>
              <w:jc w:val="center"/>
              <w:rPr>
                <w:rFonts w:eastAsia="Calibri" w:cs="Times New Roman"/>
                <w:color w:val="FFFFFF"/>
                <w:szCs w:val="24"/>
              </w:rPr>
            </w:pPr>
            <w:r w:rsidRPr="00304DAC">
              <w:rPr>
                <w:rFonts w:eastAsia="Calibri" w:cs="Times New Roman"/>
                <w:color w:val="FFFFFF"/>
                <w:szCs w:val="24"/>
              </w:rPr>
              <w:t>% of total staff</w:t>
            </w:r>
          </w:p>
        </w:tc>
        <w:tc>
          <w:tcPr>
            <w:tcW w:w="1474" w:type="dxa"/>
            <w:tcBorders>
              <w:top w:val="single" w:sz="8" w:space="0" w:color="FFFFFF"/>
              <w:left w:val="nil"/>
              <w:bottom w:val="single" w:sz="8" w:space="0" w:color="FFFFFF"/>
              <w:right w:val="single" w:sz="8" w:space="0" w:color="FFFFFF"/>
            </w:tcBorders>
            <w:shd w:val="clear" w:color="auto" w:fill="017E5D"/>
            <w:tcMar>
              <w:top w:w="0" w:type="dxa"/>
              <w:left w:w="108" w:type="dxa"/>
              <w:bottom w:w="0" w:type="dxa"/>
              <w:right w:w="108" w:type="dxa"/>
            </w:tcMar>
            <w:hideMark/>
          </w:tcPr>
          <w:p w14:paraId="556A9332" w14:textId="77777777" w:rsidR="00413D0B" w:rsidRPr="00304DAC" w:rsidRDefault="00413D0B" w:rsidP="00D36C12">
            <w:pPr>
              <w:keepNext/>
              <w:spacing w:before="60" w:after="60" w:line="240" w:lineRule="auto"/>
              <w:jc w:val="center"/>
              <w:rPr>
                <w:rFonts w:eastAsia="Calibri" w:cs="Times New Roman"/>
                <w:color w:val="FFFFFF"/>
                <w:szCs w:val="24"/>
              </w:rPr>
            </w:pPr>
            <w:r w:rsidRPr="00304DAC">
              <w:rPr>
                <w:rFonts w:eastAsia="Calibri" w:cs="Times New Roman"/>
                <w:color w:val="FFFFFF"/>
                <w:szCs w:val="24"/>
              </w:rPr>
              <w:t>% Female</w:t>
            </w:r>
          </w:p>
        </w:tc>
        <w:tc>
          <w:tcPr>
            <w:tcW w:w="1474" w:type="dxa"/>
            <w:tcBorders>
              <w:top w:val="single" w:sz="8" w:space="0" w:color="FFFFFF"/>
              <w:left w:val="nil"/>
              <w:bottom w:val="single" w:sz="8" w:space="0" w:color="FFFFFF"/>
              <w:right w:val="single" w:sz="8" w:space="0" w:color="FFFFFF"/>
            </w:tcBorders>
            <w:shd w:val="clear" w:color="auto" w:fill="017E5D"/>
            <w:tcMar>
              <w:top w:w="0" w:type="dxa"/>
              <w:left w:w="108" w:type="dxa"/>
              <w:bottom w:w="0" w:type="dxa"/>
              <w:right w:w="108" w:type="dxa"/>
            </w:tcMar>
            <w:hideMark/>
          </w:tcPr>
          <w:p w14:paraId="749DDB9F" w14:textId="77777777" w:rsidR="00413D0B" w:rsidRPr="00304DAC" w:rsidRDefault="00413D0B" w:rsidP="00D36C12">
            <w:pPr>
              <w:keepNext/>
              <w:spacing w:before="60" w:after="60" w:line="240" w:lineRule="auto"/>
              <w:jc w:val="center"/>
              <w:rPr>
                <w:rFonts w:eastAsia="Calibri" w:cs="Times New Roman"/>
                <w:color w:val="FFFFFF"/>
                <w:szCs w:val="24"/>
              </w:rPr>
            </w:pPr>
            <w:r w:rsidRPr="00304DAC">
              <w:rPr>
                <w:rFonts w:eastAsia="Calibri" w:cs="Times New Roman"/>
                <w:color w:val="FFFFFF"/>
                <w:szCs w:val="24"/>
              </w:rPr>
              <w:t>% Male</w:t>
            </w:r>
          </w:p>
        </w:tc>
        <w:tc>
          <w:tcPr>
            <w:tcW w:w="1475" w:type="dxa"/>
            <w:tcBorders>
              <w:top w:val="single" w:sz="8" w:space="0" w:color="FFFFFF"/>
              <w:left w:val="nil"/>
              <w:bottom w:val="single" w:sz="8" w:space="0" w:color="FFFFFF"/>
              <w:right w:val="single" w:sz="8" w:space="0" w:color="FFFFFF"/>
            </w:tcBorders>
            <w:shd w:val="clear" w:color="auto" w:fill="017E5D"/>
          </w:tcPr>
          <w:p w14:paraId="66FF69A1" w14:textId="77777777" w:rsidR="00413D0B" w:rsidRPr="00304DAC" w:rsidRDefault="00413D0B" w:rsidP="00D36C12">
            <w:pPr>
              <w:keepNext/>
              <w:spacing w:before="60" w:after="60" w:line="240" w:lineRule="auto"/>
              <w:jc w:val="center"/>
              <w:rPr>
                <w:rFonts w:eastAsia="Calibri" w:cs="Times New Roman"/>
                <w:color w:val="FFFFFF"/>
                <w:szCs w:val="24"/>
              </w:rPr>
            </w:pPr>
            <w:r w:rsidRPr="00304DAC">
              <w:rPr>
                <w:rFonts w:eastAsia="Calibri" w:cs="Times New Roman"/>
                <w:color w:val="FFFFFF"/>
                <w:szCs w:val="24"/>
              </w:rPr>
              <w:t>% Gender Diverse</w:t>
            </w:r>
          </w:p>
        </w:tc>
      </w:tr>
      <w:tr w:rsidR="00413D0B" w:rsidRPr="0066248A" w14:paraId="0A1FD396" w14:textId="77777777" w:rsidTr="00413D0B">
        <w:tc>
          <w:tcPr>
            <w:tcW w:w="1975" w:type="dxa"/>
            <w:tcBorders>
              <w:top w:val="nil"/>
              <w:left w:val="single" w:sz="8" w:space="0" w:color="FFFFFF"/>
              <w:bottom w:val="single" w:sz="8" w:space="0" w:color="FFFFFF"/>
              <w:right w:val="single" w:sz="8" w:space="0" w:color="FFFFFF"/>
            </w:tcBorders>
            <w:shd w:val="clear" w:color="auto" w:fill="E9E9E9"/>
            <w:tcMar>
              <w:top w:w="0" w:type="dxa"/>
              <w:left w:w="108" w:type="dxa"/>
              <w:bottom w:w="0" w:type="dxa"/>
              <w:right w:w="108" w:type="dxa"/>
            </w:tcMar>
            <w:hideMark/>
          </w:tcPr>
          <w:p w14:paraId="402D6C14" w14:textId="77777777" w:rsidR="00413D0B" w:rsidRPr="0066248A" w:rsidRDefault="00413D0B" w:rsidP="00D36C12">
            <w:pPr>
              <w:spacing w:before="40" w:after="40"/>
              <w:rPr>
                <w:rFonts w:eastAsia="Calibri" w:cs="Times New Roman"/>
                <w:sz w:val="22"/>
              </w:rPr>
            </w:pPr>
            <w:r w:rsidRPr="0066248A">
              <w:rPr>
                <w:rFonts w:eastAsia="Calibri" w:cs="Times New Roman"/>
                <w:sz w:val="22"/>
              </w:rPr>
              <w:t>Senior Managers (excluding Chief Ombudsman)</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2998049F" w14:textId="77777777" w:rsidR="00413D0B" w:rsidRPr="0066248A" w:rsidRDefault="00413D0B" w:rsidP="00D36C12">
            <w:pPr>
              <w:spacing w:before="40" w:after="40"/>
              <w:ind w:right="520"/>
              <w:jc w:val="right"/>
              <w:rPr>
                <w:rFonts w:eastAsia="Calibri" w:cs="Times New Roman"/>
                <w:sz w:val="22"/>
              </w:rPr>
            </w:pPr>
            <w:r>
              <w:rPr>
                <w:rFonts w:cs="Calibri"/>
                <w:color w:val="000000"/>
              </w:rPr>
              <w:t>7</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47F61AEF" w14:textId="14446AC6" w:rsidR="00413D0B" w:rsidRPr="0066248A" w:rsidRDefault="00413D0B" w:rsidP="00D36C12">
            <w:pPr>
              <w:spacing w:before="40" w:after="40"/>
              <w:ind w:right="520"/>
              <w:jc w:val="right"/>
              <w:rPr>
                <w:rFonts w:eastAsia="Calibri" w:cs="Times New Roman"/>
                <w:sz w:val="22"/>
              </w:rPr>
            </w:pPr>
            <w:r>
              <w:rPr>
                <w:rFonts w:cs="Calibri"/>
                <w:color w:val="000000"/>
              </w:rPr>
              <w:t>3</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47740E21" w14:textId="303EE0AB" w:rsidR="00413D0B" w:rsidRPr="0066248A" w:rsidRDefault="00413D0B" w:rsidP="00D36C12">
            <w:pPr>
              <w:spacing w:before="40" w:after="40"/>
              <w:ind w:right="520"/>
              <w:jc w:val="right"/>
              <w:rPr>
                <w:rFonts w:eastAsia="Calibri" w:cs="Times New Roman"/>
                <w:sz w:val="22"/>
              </w:rPr>
            </w:pPr>
            <w:r>
              <w:rPr>
                <w:rFonts w:cs="Calibri"/>
                <w:color w:val="000000"/>
              </w:rPr>
              <w:t>71</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4A4ED085" w14:textId="1BF29BCD" w:rsidR="00413D0B" w:rsidRPr="0066248A" w:rsidRDefault="00413D0B" w:rsidP="00D36C12">
            <w:pPr>
              <w:spacing w:before="40" w:after="40"/>
              <w:ind w:right="520"/>
              <w:jc w:val="right"/>
              <w:rPr>
                <w:rFonts w:eastAsia="Calibri" w:cs="Times New Roman"/>
                <w:sz w:val="22"/>
              </w:rPr>
            </w:pPr>
            <w:r>
              <w:rPr>
                <w:rFonts w:cs="Calibri"/>
                <w:color w:val="000000"/>
              </w:rPr>
              <w:t>2</w:t>
            </w:r>
            <w:r w:rsidR="00440EB8">
              <w:rPr>
                <w:rFonts w:cs="Calibri"/>
                <w:color w:val="000000"/>
              </w:rPr>
              <w:t>9</w:t>
            </w:r>
          </w:p>
        </w:tc>
        <w:tc>
          <w:tcPr>
            <w:tcW w:w="1475" w:type="dxa"/>
            <w:tcBorders>
              <w:top w:val="nil"/>
              <w:left w:val="nil"/>
              <w:bottom w:val="single" w:sz="8" w:space="0" w:color="FFFFFF"/>
              <w:right w:val="single" w:sz="8" w:space="0" w:color="FFFFFF"/>
            </w:tcBorders>
            <w:shd w:val="clear" w:color="000000" w:fill="E9E9E9"/>
            <w:vAlign w:val="center"/>
          </w:tcPr>
          <w:p w14:paraId="4CA25190" w14:textId="00348665" w:rsidR="00413D0B" w:rsidRPr="0066248A" w:rsidRDefault="00413D0B" w:rsidP="00D36C12">
            <w:pPr>
              <w:spacing w:before="40" w:after="40"/>
              <w:ind w:right="520"/>
              <w:jc w:val="right"/>
              <w:rPr>
                <w:rFonts w:eastAsia="Calibri" w:cs="Times New Roman"/>
                <w:sz w:val="22"/>
              </w:rPr>
            </w:pPr>
            <w:r>
              <w:rPr>
                <w:rFonts w:cs="Calibri"/>
                <w:color w:val="000000"/>
              </w:rPr>
              <w:t>0</w:t>
            </w:r>
          </w:p>
        </w:tc>
      </w:tr>
      <w:tr w:rsidR="00413D0B" w:rsidRPr="0066248A" w14:paraId="2D0325B3" w14:textId="77777777" w:rsidTr="00413D0B">
        <w:tc>
          <w:tcPr>
            <w:tcW w:w="1975" w:type="dxa"/>
            <w:tcBorders>
              <w:top w:val="nil"/>
              <w:left w:val="single" w:sz="8" w:space="0" w:color="FFFFFF"/>
              <w:bottom w:val="single" w:sz="8" w:space="0" w:color="FFFFFF"/>
              <w:right w:val="single" w:sz="8" w:space="0" w:color="FFFFFF"/>
            </w:tcBorders>
            <w:shd w:val="clear" w:color="auto" w:fill="E9E9E9"/>
            <w:tcMar>
              <w:top w:w="0" w:type="dxa"/>
              <w:left w:w="108" w:type="dxa"/>
              <w:bottom w:w="0" w:type="dxa"/>
              <w:right w:w="108" w:type="dxa"/>
            </w:tcMar>
            <w:hideMark/>
          </w:tcPr>
          <w:p w14:paraId="0204E5E8" w14:textId="77777777" w:rsidR="00413D0B" w:rsidRPr="0066248A" w:rsidRDefault="00413D0B" w:rsidP="00D36C12">
            <w:pPr>
              <w:spacing w:before="40" w:after="40"/>
              <w:rPr>
                <w:rFonts w:eastAsia="Calibri" w:cs="Times New Roman"/>
                <w:sz w:val="22"/>
              </w:rPr>
            </w:pPr>
            <w:r w:rsidRPr="0066248A">
              <w:rPr>
                <w:rFonts w:eastAsia="Calibri" w:cs="Times New Roman"/>
                <w:sz w:val="22"/>
              </w:rPr>
              <w:t>Managers</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10F4A28B" w14:textId="77777777" w:rsidR="00413D0B" w:rsidRPr="0066248A" w:rsidRDefault="00413D0B" w:rsidP="00D36C12">
            <w:pPr>
              <w:spacing w:before="40" w:after="40"/>
              <w:ind w:right="520"/>
              <w:jc w:val="right"/>
              <w:rPr>
                <w:rFonts w:eastAsia="Calibri" w:cs="Times New Roman"/>
                <w:sz w:val="22"/>
              </w:rPr>
            </w:pPr>
            <w:r>
              <w:rPr>
                <w:rFonts w:cs="Calibri"/>
                <w:color w:val="000000"/>
              </w:rPr>
              <w:t>32</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140C56E3" w14:textId="5ECBEB44" w:rsidR="00413D0B" w:rsidRPr="0066248A" w:rsidRDefault="00413D0B" w:rsidP="00D36C12">
            <w:pPr>
              <w:spacing w:before="40" w:after="40"/>
              <w:ind w:right="520"/>
              <w:jc w:val="right"/>
              <w:rPr>
                <w:rFonts w:eastAsia="Calibri" w:cs="Times New Roman"/>
                <w:sz w:val="22"/>
              </w:rPr>
            </w:pPr>
            <w:r>
              <w:rPr>
                <w:rFonts w:cs="Calibri"/>
                <w:color w:val="000000"/>
              </w:rPr>
              <w:t>13</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386E0946" w14:textId="1747AD6D" w:rsidR="00413D0B" w:rsidRPr="0066248A" w:rsidRDefault="00413D0B" w:rsidP="00D36C12">
            <w:pPr>
              <w:spacing w:before="40" w:after="40"/>
              <w:ind w:right="520"/>
              <w:jc w:val="right"/>
              <w:rPr>
                <w:rFonts w:eastAsia="Calibri" w:cs="Times New Roman"/>
                <w:sz w:val="22"/>
              </w:rPr>
            </w:pPr>
            <w:r>
              <w:rPr>
                <w:rFonts w:cs="Calibri"/>
                <w:color w:val="000000"/>
              </w:rPr>
              <w:t>59</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70668EDB" w14:textId="5315E66C" w:rsidR="00413D0B" w:rsidRPr="0066248A" w:rsidRDefault="00413D0B" w:rsidP="00D36C12">
            <w:pPr>
              <w:spacing w:before="40" w:after="40"/>
              <w:ind w:right="520"/>
              <w:jc w:val="right"/>
              <w:rPr>
                <w:rFonts w:eastAsia="Calibri" w:cs="Times New Roman"/>
                <w:sz w:val="22"/>
              </w:rPr>
            </w:pPr>
            <w:r>
              <w:rPr>
                <w:rFonts w:cs="Calibri"/>
                <w:color w:val="000000"/>
              </w:rPr>
              <w:t>4</w:t>
            </w:r>
            <w:r w:rsidR="00440EB8">
              <w:rPr>
                <w:rFonts w:cs="Calibri"/>
                <w:color w:val="000000"/>
              </w:rPr>
              <w:t>1</w:t>
            </w:r>
          </w:p>
        </w:tc>
        <w:tc>
          <w:tcPr>
            <w:tcW w:w="1475" w:type="dxa"/>
            <w:tcBorders>
              <w:top w:val="nil"/>
              <w:left w:val="nil"/>
              <w:bottom w:val="single" w:sz="8" w:space="0" w:color="FFFFFF"/>
              <w:right w:val="single" w:sz="8" w:space="0" w:color="FFFFFF"/>
            </w:tcBorders>
            <w:shd w:val="clear" w:color="000000" w:fill="E9E9E9"/>
            <w:vAlign w:val="center"/>
          </w:tcPr>
          <w:p w14:paraId="29834BE4" w14:textId="7A1492A0" w:rsidR="00413D0B" w:rsidRPr="0066248A" w:rsidRDefault="00413D0B" w:rsidP="00D36C12">
            <w:pPr>
              <w:spacing w:before="40" w:after="40"/>
              <w:ind w:right="520"/>
              <w:jc w:val="right"/>
              <w:rPr>
                <w:rFonts w:eastAsia="Calibri" w:cs="Times New Roman"/>
                <w:sz w:val="22"/>
              </w:rPr>
            </w:pPr>
            <w:r>
              <w:rPr>
                <w:rFonts w:cs="Calibri"/>
                <w:color w:val="000000"/>
              </w:rPr>
              <w:t>0</w:t>
            </w:r>
          </w:p>
        </w:tc>
      </w:tr>
      <w:tr w:rsidR="00413D0B" w:rsidRPr="0066248A" w14:paraId="03B92591" w14:textId="77777777" w:rsidTr="00413D0B">
        <w:tc>
          <w:tcPr>
            <w:tcW w:w="1975" w:type="dxa"/>
            <w:tcBorders>
              <w:top w:val="nil"/>
              <w:left w:val="single" w:sz="8" w:space="0" w:color="FFFFFF"/>
              <w:bottom w:val="single" w:sz="8" w:space="0" w:color="FFFFFF"/>
              <w:right w:val="single" w:sz="8" w:space="0" w:color="FFFFFF"/>
            </w:tcBorders>
            <w:shd w:val="clear" w:color="auto" w:fill="E9E9E9"/>
            <w:tcMar>
              <w:top w:w="0" w:type="dxa"/>
              <w:left w:w="108" w:type="dxa"/>
              <w:bottom w:w="0" w:type="dxa"/>
              <w:right w:w="108" w:type="dxa"/>
            </w:tcMar>
            <w:hideMark/>
          </w:tcPr>
          <w:p w14:paraId="6CC9FC85" w14:textId="77777777" w:rsidR="00413D0B" w:rsidRPr="0066248A" w:rsidRDefault="00413D0B" w:rsidP="00D36C12">
            <w:pPr>
              <w:spacing w:before="40" w:after="40"/>
              <w:rPr>
                <w:rFonts w:eastAsia="Calibri" w:cs="Times New Roman"/>
                <w:sz w:val="22"/>
              </w:rPr>
            </w:pPr>
            <w:r w:rsidRPr="0066248A">
              <w:rPr>
                <w:rFonts w:eastAsia="Calibri" w:cs="Times New Roman"/>
                <w:sz w:val="22"/>
              </w:rPr>
              <w:t>Operations staff</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1BE978DF" w14:textId="711B5B8F" w:rsidR="00413D0B" w:rsidRPr="0066248A" w:rsidRDefault="00413D0B" w:rsidP="00D36C12">
            <w:pPr>
              <w:spacing w:before="40" w:after="40"/>
              <w:ind w:right="520"/>
              <w:jc w:val="right"/>
              <w:rPr>
                <w:rFonts w:eastAsia="Calibri" w:cs="Times New Roman"/>
                <w:sz w:val="22"/>
              </w:rPr>
            </w:pPr>
            <w:r>
              <w:rPr>
                <w:rFonts w:cs="Calibri"/>
                <w:color w:val="000000"/>
              </w:rPr>
              <w:t>1</w:t>
            </w:r>
            <w:r w:rsidR="00B402E3">
              <w:rPr>
                <w:rFonts w:cs="Calibri"/>
                <w:color w:val="000000"/>
              </w:rPr>
              <w:t>03</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66CED4E8" w14:textId="6B978849" w:rsidR="00413D0B" w:rsidRPr="0066248A" w:rsidRDefault="00B402E3" w:rsidP="00D36C12">
            <w:pPr>
              <w:spacing w:before="40" w:after="40"/>
              <w:ind w:right="520"/>
              <w:jc w:val="right"/>
              <w:rPr>
                <w:rFonts w:eastAsia="Calibri" w:cs="Times New Roman"/>
                <w:sz w:val="22"/>
              </w:rPr>
            </w:pPr>
            <w:r>
              <w:rPr>
                <w:rFonts w:cs="Calibri"/>
                <w:color w:val="000000"/>
              </w:rPr>
              <w:t>43</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tcPr>
          <w:p w14:paraId="27CAB694" w14:textId="5B6DFBEF" w:rsidR="00413D0B" w:rsidRPr="0066248A" w:rsidRDefault="00413D0B" w:rsidP="00D36C12">
            <w:pPr>
              <w:spacing w:before="40" w:after="40"/>
              <w:ind w:right="520"/>
              <w:jc w:val="right"/>
              <w:rPr>
                <w:rFonts w:eastAsia="Calibri" w:cs="Times New Roman"/>
                <w:sz w:val="22"/>
              </w:rPr>
            </w:pPr>
            <w:r>
              <w:rPr>
                <w:rFonts w:cs="Calibri"/>
                <w:color w:val="000000"/>
              </w:rPr>
              <w:t>72</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tcPr>
          <w:p w14:paraId="26CB0DA1" w14:textId="78C742B9" w:rsidR="00413D0B" w:rsidRPr="0066248A" w:rsidRDefault="00413D0B" w:rsidP="00D36C12">
            <w:pPr>
              <w:spacing w:before="40" w:after="40"/>
              <w:ind w:right="520"/>
              <w:jc w:val="right"/>
              <w:rPr>
                <w:rFonts w:eastAsia="Calibri" w:cs="Times New Roman"/>
                <w:sz w:val="22"/>
              </w:rPr>
            </w:pPr>
            <w:r>
              <w:rPr>
                <w:rFonts w:cs="Calibri"/>
                <w:color w:val="000000"/>
              </w:rPr>
              <w:t>2</w:t>
            </w:r>
            <w:r w:rsidR="00440EB8">
              <w:rPr>
                <w:rFonts w:cs="Calibri"/>
                <w:color w:val="000000"/>
              </w:rPr>
              <w:t>5</w:t>
            </w:r>
          </w:p>
        </w:tc>
        <w:tc>
          <w:tcPr>
            <w:tcW w:w="1475" w:type="dxa"/>
            <w:tcBorders>
              <w:top w:val="nil"/>
              <w:left w:val="nil"/>
              <w:bottom w:val="single" w:sz="8" w:space="0" w:color="FFFFFF"/>
              <w:right w:val="single" w:sz="8" w:space="0" w:color="FFFFFF"/>
            </w:tcBorders>
            <w:shd w:val="clear" w:color="000000" w:fill="E9E9E9"/>
            <w:vAlign w:val="center"/>
          </w:tcPr>
          <w:p w14:paraId="56D6A65D" w14:textId="31F9A69E" w:rsidR="00413D0B" w:rsidRPr="0066248A" w:rsidRDefault="00413D0B" w:rsidP="00D36C12">
            <w:pPr>
              <w:spacing w:before="40" w:after="40"/>
              <w:ind w:right="520"/>
              <w:jc w:val="right"/>
              <w:rPr>
                <w:rFonts w:eastAsia="Calibri" w:cs="Times New Roman"/>
                <w:sz w:val="22"/>
              </w:rPr>
            </w:pPr>
            <w:r>
              <w:rPr>
                <w:rFonts w:cs="Calibri"/>
                <w:color w:val="000000"/>
              </w:rPr>
              <w:t>3</w:t>
            </w:r>
          </w:p>
        </w:tc>
      </w:tr>
      <w:tr w:rsidR="00413D0B" w:rsidRPr="0066248A" w14:paraId="466DF899" w14:textId="77777777" w:rsidTr="00413D0B">
        <w:tc>
          <w:tcPr>
            <w:tcW w:w="1975" w:type="dxa"/>
            <w:tcBorders>
              <w:top w:val="nil"/>
              <w:left w:val="single" w:sz="8" w:space="0" w:color="FFFFFF"/>
              <w:bottom w:val="single" w:sz="8" w:space="0" w:color="FFFFFF"/>
              <w:right w:val="single" w:sz="8" w:space="0" w:color="FFFFFF"/>
            </w:tcBorders>
            <w:shd w:val="clear" w:color="auto" w:fill="E9E9E9"/>
            <w:tcMar>
              <w:top w:w="0" w:type="dxa"/>
              <w:left w:w="108" w:type="dxa"/>
              <w:bottom w:w="0" w:type="dxa"/>
              <w:right w:w="108" w:type="dxa"/>
            </w:tcMar>
            <w:hideMark/>
          </w:tcPr>
          <w:p w14:paraId="70E2CEBD" w14:textId="77777777" w:rsidR="00413D0B" w:rsidRPr="0066248A" w:rsidRDefault="00413D0B" w:rsidP="00D36C12">
            <w:pPr>
              <w:spacing w:before="40" w:after="40"/>
              <w:rPr>
                <w:rFonts w:eastAsia="Calibri" w:cs="Times New Roman"/>
                <w:sz w:val="22"/>
              </w:rPr>
            </w:pPr>
            <w:r w:rsidRPr="0066248A">
              <w:rPr>
                <w:rFonts w:eastAsia="Calibri" w:cs="Times New Roman"/>
                <w:sz w:val="22"/>
              </w:rPr>
              <w:t>Specialist staff</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48222929" w14:textId="73D150FB" w:rsidR="00413D0B" w:rsidRPr="0066248A" w:rsidRDefault="00B402E3" w:rsidP="00D36C12">
            <w:pPr>
              <w:spacing w:before="40" w:after="40"/>
              <w:ind w:right="520"/>
              <w:jc w:val="right"/>
              <w:rPr>
                <w:rFonts w:eastAsia="Calibri" w:cs="Times New Roman"/>
                <w:sz w:val="22"/>
              </w:rPr>
            </w:pPr>
            <w:r>
              <w:rPr>
                <w:rFonts w:cs="Calibri"/>
                <w:color w:val="000000"/>
              </w:rPr>
              <w:t>45</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6191F783" w14:textId="130E3987" w:rsidR="00413D0B" w:rsidRPr="0066248A" w:rsidRDefault="00413D0B" w:rsidP="00D36C12">
            <w:pPr>
              <w:spacing w:before="40" w:after="40"/>
              <w:ind w:right="520"/>
              <w:jc w:val="right"/>
              <w:rPr>
                <w:rFonts w:eastAsia="Calibri" w:cs="Times New Roman"/>
                <w:sz w:val="22"/>
              </w:rPr>
            </w:pPr>
            <w:r>
              <w:rPr>
                <w:rFonts w:cs="Calibri"/>
                <w:color w:val="000000"/>
              </w:rPr>
              <w:t>1</w:t>
            </w:r>
            <w:r w:rsidR="00B402E3">
              <w:rPr>
                <w:rFonts w:cs="Calibri"/>
                <w:color w:val="000000"/>
              </w:rPr>
              <w:t>9</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tcPr>
          <w:p w14:paraId="37D152D4" w14:textId="27F8735D" w:rsidR="00413D0B" w:rsidRPr="0066248A" w:rsidRDefault="00B402E3" w:rsidP="00D36C12">
            <w:pPr>
              <w:spacing w:before="40" w:after="40"/>
              <w:ind w:right="520"/>
              <w:jc w:val="right"/>
              <w:rPr>
                <w:rFonts w:eastAsia="Calibri" w:cs="Times New Roman"/>
                <w:sz w:val="22"/>
              </w:rPr>
            </w:pPr>
            <w:r>
              <w:rPr>
                <w:rFonts w:cs="Calibri"/>
                <w:color w:val="000000"/>
              </w:rPr>
              <w:t>58</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tcPr>
          <w:p w14:paraId="74635A9E" w14:textId="78A0FD30" w:rsidR="00413D0B" w:rsidRPr="0066248A" w:rsidRDefault="00440EB8" w:rsidP="00D36C12">
            <w:pPr>
              <w:spacing w:before="40" w:after="40"/>
              <w:ind w:right="520"/>
              <w:jc w:val="right"/>
              <w:rPr>
                <w:rFonts w:eastAsia="Calibri" w:cs="Times New Roman"/>
                <w:sz w:val="22"/>
              </w:rPr>
            </w:pPr>
            <w:r>
              <w:rPr>
                <w:rFonts w:cs="Calibri"/>
                <w:color w:val="000000"/>
              </w:rPr>
              <w:t>40</w:t>
            </w:r>
          </w:p>
        </w:tc>
        <w:tc>
          <w:tcPr>
            <w:tcW w:w="1475" w:type="dxa"/>
            <w:tcBorders>
              <w:top w:val="nil"/>
              <w:left w:val="nil"/>
              <w:bottom w:val="single" w:sz="8" w:space="0" w:color="FFFFFF"/>
              <w:right w:val="single" w:sz="8" w:space="0" w:color="FFFFFF"/>
            </w:tcBorders>
            <w:shd w:val="clear" w:color="000000" w:fill="E9E9E9"/>
            <w:vAlign w:val="center"/>
          </w:tcPr>
          <w:p w14:paraId="229843CE" w14:textId="042A2A2C" w:rsidR="00413D0B" w:rsidRPr="0066248A" w:rsidRDefault="00B402E3" w:rsidP="00D36C12">
            <w:pPr>
              <w:spacing w:before="40" w:after="40"/>
              <w:ind w:right="520"/>
              <w:jc w:val="right"/>
              <w:rPr>
                <w:rFonts w:eastAsia="Calibri" w:cs="Times New Roman"/>
                <w:sz w:val="22"/>
              </w:rPr>
            </w:pPr>
            <w:r>
              <w:rPr>
                <w:rFonts w:cs="Calibri"/>
                <w:color w:val="000000"/>
              </w:rPr>
              <w:t>2</w:t>
            </w:r>
          </w:p>
        </w:tc>
      </w:tr>
      <w:tr w:rsidR="00413D0B" w:rsidRPr="0066248A" w14:paraId="54778D06" w14:textId="77777777" w:rsidTr="00413D0B">
        <w:tc>
          <w:tcPr>
            <w:tcW w:w="1975" w:type="dxa"/>
            <w:tcBorders>
              <w:top w:val="nil"/>
              <w:left w:val="single" w:sz="8" w:space="0" w:color="FFFFFF"/>
              <w:bottom w:val="single" w:sz="8" w:space="0" w:color="FFFFFF"/>
              <w:right w:val="single" w:sz="8" w:space="0" w:color="FFFFFF"/>
            </w:tcBorders>
            <w:shd w:val="clear" w:color="auto" w:fill="E9E9E9"/>
            <w:tcMar>
              <w:top w:w="0" w:type="dxa"/>
              <w:left w:w="108" w:type="dxa"/>
              <w:bottom w:w="0" w:type="dxa"/>
              <w:right w:w="108" w:type="dxa"/>
            </w:tcMar>
            <w:hideMark/>
          </w:tcPr>
          <w:p w14:paraId="03E6D95B" w14:textId="77777777" w:rsidR="00413D0B" w:rsidRPr="0066248A" w:rsidRDefault="00413D0B" w:rsidP="00D36C12">
            <w:pPr>
              <w:spacing w:before="40" w:after="40"/>
              <w:rPr>
                <w:rFonts w:eastAsia="Calibri" w:cs="Times New Roman"/>
                <w:sz w:val="22"/>
              </w:rPr>
            </w:pPr>
            <w:r w:rsidRPr="0066248A">
              <w:rPr>
                <w:rFonts w:eastAsia="Calibri" w:cs="Times New Roman"/>
                <w:sz w:val="22"/>
              </w:rPr>
              <w:t>Administration and support staff</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4A2D2E62" w14:textId="2079761B" w:rsidR="00413D0B" w:rsidRPr="0066248A" w:rsidRDefault="00B402E3" w:rsidP="00D36C12">
            <w:pPr>
              <w:spacing w:before="40" w:after="40"/>
              <w:ind w:right="520"/>
              <w:jc w:val="right"/>
              <w:rPr>
                <w:rFonts w:eastAsia="Calibri" w:cs="Times New Roman"/>
                <w:sz w:val="22"/>
              </w:rPr>
            </w:pPr>
            <w:r>
              <w:rPr>
                <w:rFonts w:cs="Calibri"/>
                <w:color w:val="000000"/>
              </w:rPr>
              <w:t>53</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hideMark/>
          </w:tcPr>
          <w:p w14:paraId="42593387" w14:textId="7C262B65" w:rsidR="00413D0B" w:rsidRPr="0066248A" w:rsidRDefault="00B402E3" w:rsidP="00D36C12">
            <w:pPr>
              <w:spacing w:before="40" w:after="40"/>
              <w:ind w:right="520"/>
              <w:jc w:val="right"/>
              <w:rPr>
                <w:rFonts w:eastAsia="Calibri" w:cs="Times New Roman"/>
                <w:sz w:val="22"/>
              </w:rPr>
            </w:pPr>
            <w:r>
              <w:rPr>
                <w:rFonts w:cs="Calibri"/>
                <w:color w:val="000000"/>
              </w:rPr>
              <w:t>22</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tcPr>
          <w:p w14:paraId="731A9848" w14:textId="6531902E" w:rsidR="00413D0B" w:rsidRPr="0066248A" w:rsidRDefault="00413D0B" w:rsidP="00D36C12">
            <w:pPr>
              <w:spacing w:before="40" w:after="40"/>
              <w:ind w:right="520"/>
              <w:jc w:val="right"/>
              <w:rPr>
                <w:rFonts w:eastAsia="Calibri" w:cs="Times New Roman"/>
                <w:sz w:val="22"/>
              </w:rPr>
            </w:pPr>
            <w:r>
              <w:rPr>
                <w:rFonts w:cs="Calibri"/>
                <w:color w:val="000000"/>
              </w:rPr>
              <w:t>7</w:t>
            </w:r>
            <w:r w:rsidR="00B402E3">
              <w:rPr>
                <w:rFonts w:cs="Calibri"/>
                <w:color w:val="000000"/>
              </w:rPr>
              <w:t>5</w:t>
            </w:r>
          </w:p>
        </w:tc>
        <w:tc>
          <w:tcPr>
            <w:tcW w:w="1474" w:type="dxa"/>
            <w:tcBorders>
              <w:top w:val="nil"/>
              <w:left w:val="nil"/>
              <w:bottom w:val="single" w:sz="8" w:space="0" w:color="FFFFFF"/>
              <w:right w:val="single" w:sz="8" w:space="0" w:color="FFFFFF"/>
            </w:tcBorders>
            <w:shd w:val="clear" w:color="000000" w:fill="E9E9E9"/>
            <w:tcMar>
              <w:top w:w="0" w:type="dxa"/>
              <w:left w:w="108" w:type="dxa"/>
              <w:bottom w:w="0" w:type="dxa"/>
              <w:right w:w="108" w:type="dxa"/>
            </w:tcMar>
            <w:vAlign w:val="center"/>
          </w:tcPr>
          <w:p w14:paraId="5E5104FB" w14:textId="23BE2441" w:rsidR="00413D0B" w:rsidRPr="0066248A" w:rsidRDefault="00413D0B" w:rsidP="00D36C12">
            <w:pPr>
              <w:spacing w:before="40" w:after="40"/>
              <w:ind w:right="520"/>
              <w:jc w:val="right"/>
              <w:rPr>
                <w:rFonts w:eastAsia="Calibri" w:cs="Times New Roman"/>
                <w:sz w:val="22"/>
              </w:rPr>
            </w:pPr>
            <w:r>
              <w:rPr>
                <w:rFonts w:cs="Calibri"/>
                <w:color w:val="000000"/>
              </w:rPr>
              <w:t>2</w:t>
            </w:r>
            <w:r w:rsidR="00B402E3">
              <w:rPr>
                <w:rFonts w:cs="Calibri"/>
                <w:color w:val="000000"/>
              </w:rPr>
              <w:t>5</w:t>
            </w:r>
          </w:p>
        </w:tc>
        <w:tc>
          <w:tcPr>
            <w:tcW w:w="1475" w:type="dxa"/>
            <w:tcBorders>
              <w:top w:val="nil"/>
              <w:left w:val="nil"/>
              <w:bottom w:val="single" w:sz="8" w:space="0" w:color="FFFFFF"/>
              <w:right w:val="single" w:sz="8" w:space="0" w:color="FFFFFF"/>
            </w:tcBorders>
            <w:shd w:val="clear" w:color="000000" w:fill="E9E9E9"/>
            <w:vAlign w:val="center"/>
          </w:tcPr>
          <w:p w14:paraId="6538F0B7" w14:textId="48BA250F" w:rsidR="00413D0B" w:rsidRPr="0066248A" w:rsidRDefault="00413D0B" w:rsidP="00D36C12">
            <w:pPr>
              <w:spacing w:before="40" w:after="40"/>
              <w:ind w:right="520"/>
              <w:jc w:val="right"/>
              <w:rPr>
                <w:rFonts w:eastAsia="Calibri" w:cs="Times New Roman"/>
                <w:sz w:val="22"/>
              </w:rPr>
            </w:pPr>
            <w:r>
              <w:rPr>
                <w:rFonts w:cs="Calibri"/>
                <w:color w:val="000000"/>
              </w:rPr>
              <w:t>0</w:t>
            </w:r>
          </w:p>
        </w:tc>
      </w:tr>
    </w:tbl>
    <w:p w14:paraId="67F3AAFE" w14:textId="77777777" w:rsidR="001A65FE" w:rsidRPr="002B1CFD" w:rsidRDefault="001A65FE" w:rsidP="001A65FE">
      <w:pPr>
        <w:pStyle w:val="BodyText"/>
      </w:pPr>
    </w:p>
    <w:p w14:paraId="09F3C405" w14:textId="157A46F3" w:rsidR="001A65FE" w:rsidRPr="00185B08" w:rsidRDefault="002D2627" w:rsidP="001A65FE">
      <w:pPr>
        <w:pStyle w:val="BodyText"/>
      </w:pPr>
      <w:r>
        <w:t>Fifty-one</w:t>
      </w:r>
      <w:r w:rsidRPr="002B1CFD">
        <w:t xml:space="preserve"> </w:t>
      </w:r>
      <w:r w:rsidR="001A65FE" w:rsidRPr="002B1CFD">
        <w:t xml:space="preserve">percent of our people were covered by an individual employment agreement as </w:t>
      </w:r>
      <w:proofErr w:type="gramStart"/>
      <w:r w:rsidR="001A65FE" w:rsidRPr="002B1CFD">
        <w:t>at</w:t>
      </w:r>
      <w:proofErr w:type="gramEnd"/>
      <w:r w:rsidR="001A65FE" w:rsidRPr="002B1CFD">
        <w:t xml:space="preserve"> 30 June </w:t>
      </w:r>
      <w:r w:rsidR="001A65FE" w:rsidRPr="00185B08">
        <w:t>2026, and 4</w:t>
      </w:r>
      <w:r w:rsidR="00440EB8" w:rsidRPr="00185B08">
        <w:t>8</w:t>
      </w:r>
      <w:r w:rsidR="001A65FE" w:rsidRPr="00185B08">
        <w:t xml:space="preserve"> percent of our people were covered by one Collective Agreement. Of the permanent employees, five percent worked part-time.</w:t>
      </w:r>
    </w:p>
    <w:p w14:paraId="3314DA38" w14:textId="66E96B7D" w:rsidR="001A65FE" w:rsidRPr="001A65FE" w:rsidRDefault="00440EB8" w:rsidP="001A65FE">
      <w:pPr>
        <w:pStyle w:val="BodyText"/>
      </w:pPr>
      <w:r w:rsidRPr="00185B08">
        <w:t>Thirty</w:t>
      </w:r>
      <w:r w:rsidR="001A65FE" w:rsidRPr="00185B08">
        <w:t xml:space="preserve"> employees left voluntarily in the 2025/26 year, resulting in a voluntary turnover for the year of 1</w:t>
      </w:r>
      <w:r w:rsidRPr="00185B08">
        <w:t>2</w:t>
      </w:r>
      <w:r w:rsidR="001A65FE" w:rsidRPr="00185B08">
        <w:t xml:space="preserve"> percent</w:t>
      </w:r>
      <w:r w:rsidR="001A65FE" w:rsidRPr="002B1CFD">
        <w:t xml:space="preserve">. </w:t>
      </w:r>
    </w:p>
    <w:p w14:paraId="35A56C4A" w14:textId="1B37CA5E" w:rsidR="006662CD" w:rsidRDefault="006662CD" w:rsidP="001A65FE">
      <w:pPr>
        <w:pStyle w:val="Heading3"/>
        <w:spacing w:before="240"/>
      </w:pPr>
      <w:r>
        <w:t xml:space="preserve">Leadership </w:t>
      </w:r>
    </w:p>
    <w:p w14:paraId="2B911DDC" w14:textId="408F56A0" w:rsidR="00FA4521" w:rsidRDefault="00FA4521" w:rsidP="00FA4521">
      <w:pPr>
        <w:pStyle w:val="BodyText"/>
      </w:pPr>
      <w:r w:rsidRPr="00FA4521">
        <w:t>The Chief Ombudsman is supported by the Senior Leadership Team, and a number of internal governance groups, t</w:t>
      </w:r>
      <w:r w:rsidR="00300753">
        <w:t xml:space="preserve">hat provide strategic leadership, oversight, and stewardship of the Office. </w:t>
      </w:r>
    </w:p>
    <w:p w14:paraId="3D19CD18" w14:textId="05E0FB03" w:rsidR="001A65FE" w:rsidRDefault="001A65FE" w:rsidP="001A65FE">
      <w:pPr>
        <w:pStyle w:val="BodyText"/>
      </w:pPr>
      <w:r>
        <w:rPr>
          <w:szCs w:val="24"/>
        </w:rPr>
        <w:t>This year we</w:t>
      </w:r>
      <w:r>
        <w:t xml:space="preserve"> introduced a Leadership Capability Framework. This establishes a shared set of expectations that provides a consistent foundation for recruitment, development, performance and resource planning.</w:t>
      </w:r>
    </w:p>
    <w:p w14:paraId="536DE28E" w14:textId="77777777" w:rsidR="001A65FE" w:rsidRDefault="001A65FE" w:rsidP="00FA4521">
      <w:pPr>
        <w:pStyle w:val="BodyText"/>
      </w:pPr>
      <w:r>
        <w:t xml:space="preserve">We continued to support our leaders through: </w:t>
      </w:r>
    </w:p>
    <w:p w14:paraId="54F58ACF" w14:textId="08DF42AA" w:rsidR="001A65FE" w:rsidRDefault="00DF2F06" w:rsidP="001A65FE">
      <w:pPr>
        <w:pStyle w:val="Bullet1"/>
      </w:pPr>
      <w:r>
        <w:t>o</w:t>
      </w:r>
      <w:r w:rsidR="001A65FE">
        <w:t>ur Leadership Essentials programme;</w:t>
      </w:r>
    </w:p>
    <w:p w14:paraId="3FBDD635" w14:textId="11376D7B" w:rsidR="006D54A6" w:rsidRDefault="00DF2F06" w:rsidP="001A65FE">
      <w:pPr>
        <w:pStyle w:val="Bullet1"/>
      </w:pPr>
      <w:r>
        <w:t>l</w:t>
      </w:r>
      <w:r w:rsidR="001A65FE" w:rsidRPr="0047205D">
        <w:t>earning option</w:t>
      </w:r>
      <w:r w:rsidR="006D54A6">
        <w:t>s</w:t>
      </w:r>
      <w:r w:rsidR="001A65FE" w:rsidRPr="0047205D">
        <w:t xml:space="preserve"> for </w:t>
      </w:r>
      <w:r w:rsidR="001A65FE">
        <w:t>leaders and aspiring leaders</w:t>
      </w:r>
      <w:r w:rsidR="006D54A6">
        <w:t>; and</w:t>
      </w:r>
    </w:p>
    <w:p w14:paraId="2E8B9D2F" w14:textId="40844494" w:rsidR="001A65FE" w:rsidRDefault="00DF2F06" w:rsidP="001A65FE">
      <w:pPr>
        <w:pStyle w:val="Bullet1"/>
      </w:pPr>
      <w:r>
        <w:t>t</w:t>
      </w:r>
      <w:r w:rsidR="001A65FE">
        <w:t>ailored coaching</w:t>
      </w:r>
      <w:r w:rsidR="006D54A6">
        <w:t xml:space="preserve"> and mentoring </w:t>
      </w:r>
      <w:r w:rsidR="001A65FE">
        <w:t xml:space="preserve">opportunities. </w:t>
      </w:r>
    </w:p>
    <w:p w14:paraId="504452FA" w14:textId="0E9FDB3D" w:rsidR="006662CD" w:rsidRDefault="006662CD" w:rsidP="001A65FE">
      <w:pPr>
        <w:pStyle w:val="Heading3"/>
      </w:pPr>
      <w:r>
        <w:t xml:space="preserve">Building capability </w:t>
      </w:r>
    </w:p>
    <w:p w14:paraId="0511402F" w14:textId="33C625DC" w:rsidR="006D54A6" w:rsidRPr="002B1CFD" w:rsidRDefault="006D54A6" w:rsidP="006D54A6">
      <w:pPr>
        <w:pStyle w:val="BodyText"/>
        <w:rPr>
          <w:bCs/>
        </w:rPr>
      </w:pPr>
      <w:r w:rsidRPr="002B1CFD">
        <w:t xml:space="preserve">To enhance capability and support our people </w:t>
      </w:r>
      <w:r w:rsidR="00300753">
        <w:t xml:space="preserve">to be effective </w:t>
      </w:r>
      <w:r w:rsidRPr="002B1CFD">
        <w:t>in their roles, this year we have:</w:t>
      </w:r>
    </w:p>
    <w:p w14:paraId="69A34D9C" w14:textId="3E53FD1A" w:rsidR="006D54A6" w:rsidRPr="004C7E3B" w:rsidRDefault="00DF2F06" w:rsidP="006D54A6">
      <w:pPr>
        <w:numPr>
          <w:ilvl w:val="0"/>
          <w:numId w:val="11"/>
        </w:numPr>
        <w:tabs>
          <w:tab w:val="clear" w:pos="567"/>
        </w:tabs>
        <w:rPr>
          <w:rFonts w:eastAsia="Calibri" w:cs="Times New Roman"/>
        </w:rPr>
      </w:pPr>
      <w:r>
        <w:rPr>
          <w:rFonts w:eastAsia="Calibri" w:cs="Times New Roman"/>
        </w:rPr>
        <w:t>s</w:t>
      </w:r>
      <w:r w:rsidR="006D54A6">
        <w:rPr>
          <w:rFonts w:eastAsia="Calibri" w:cs="Times New Roman"/>
        </w:rPr>
        <w:t>trengthened</w:t>
      </w:r>
      <w:r w:rsidR="006D54A6" w:rsidRPr="004C7E3B">
        <w:rPr>
          <w:rFonts w:eastAsia="Calibri" w:cs="Times New Roman"/>
        </w:rPr>
        <w:t xml:space="preserve"> our onboarding and induction </w:t>
      </w:r>
      <w:r w:rsidR="006D54A6">
        <w:rPr>
          <w:rFonts w:eastAsia="Calibri" w:cs="Times New Roman"/>
        </w:rPr>
        <w:t>to better support our</w:t>
      </w:r>
      <w:r w:rsidR="006D54A6" w:rsidRPr="004C7E3B">
        <w:rPr>
          <w:rFonts w:eastAsia="Calibri" w:cs="Times New Roman"/>
        </w:rPr>
        <w:t xml:space="preserve"> new starters and people leaders;</w:t>
      </w:r>
    </w:p>
    <w:p w14:paraId="38E54019" w14:textId="1FB92823" w:rsidR="006D54A6" w:rsidRPr="004C7E3B" w:rsidRDefault="00DF2F06" w:rsidP="006D54A6">
      <w:pPr>
        <w:numPr>
          <w:ilvl w:val="0"/>
          <w:numId w:val="11"/>
        </w:numPr>
        <w:tabs>
          <w:tab w:val="clear" w:pos="567"/>
        </w:tabs>
        <w:rPr>
          <w:rFonts w:eastAsia="Calibri" w:cs="Times New Roman"/>
        </w:rPr>
      </w:pPr>
      <w:r>
        <w:rPr>
          <w:rFonts w:eastAsia="Calibri" w:cs="Times New Roman"/>
        </w:rPr>
        <w:t>e</w:t>
      </w:r>
      <w:r w:rsidR="006D54A6">
        <w:rPr>
          <w:rFonts w:eastAsia="Calibri" w:cs="Times New Roman"/>
        </w:rPr>
        <w:t>xpanded learning opportunities through</w:t>
      </w:r>
      <w:r w:rsidR="006D54A6" w:rsidRPr="004C7E3B">
        <w:rPr>
          <w:rFonts w:eastAsia="Calibri" w:cs="Times New Roman"/>
        </w:rPr>
        <w:t xml:space="preserve"> </w:t>
      </w:r>
      <w:proofErr w:type="spellStart"/>
      <w:r w:rsidR="006D54A6" w:rsidRPr="00C625CB">
        <w:rPr>
          <w:rFonts w:eastAsia="Calibri" w:cs="Times New Roman"/>
        </w:rPr>
        <w:t>Te</w:t>
      </w:r>
      <w:proofErr w:type="spellEnd"/>
      <w:r w:rsidR="006D54A6" w:rsidRPr="00C625CB">
        <w:rPr>
          <w:rFonts w:eastAsia="Calibri" w:cs="Times New Roman"/>
        </w:rPr>
        <w:t xml:space="preserve"> Puna </w:t>
      </w:r>
      <w:proofErr w:type="spellStart"/>
      <w:r w:rsidR="006D54A6" w:rsidRPr="00C625CB">
        <w:rPr>
          <w:rFonts w:eastAsia="Calibri" w:cs="Times New Roman"/>
        </w:rPr>
        <w:t>Mātauranga</w:t>
      </w:r>
      <w:proofErr w:type="spellEnd"/>
      <w:r w:rsidR="006D54A6" w:rsidRPr="004C7E3B">
        <w:rPr>
          <w:rFonts w:eastAsia="Calibri" w:cs="Times New Roman"/>
        </w:rPr>
        <w:t>,</w:t>
      </w:r>
      <w:r w:rsidR="006D54A6" w:rsidRPr="004C7E3B">
        <w:rPr>
          <w:rStyle w:val="FootnoteReference"/>
          <w:rFonts w:eastAsia="Calibri" w:cs="Times New Roman"/>
        </w:rPr>
        <w:footnoteReference w:id="21"/>
      </w:r>
      <w:r w:rsidR="006D54A6" w:rsidRPr="004C7E3B">
        <w:rPr>
          <w:rFonts w:eastAsia="Calibri" w:cs="Times New Roman"/>
        </w:rPr>
        <w:t xml:space="preserve"> provid</w:t>
      </w:r>
      <w:r w:rsidR="006D54A6">
        <w:rPr>
          <w:rFonts w:eastAsia="Calibri" w:cs="Times New Roman"/>
        </w:rPr>
        <w:t>ing</w:t>
      </w:r>
      <w:r w:rsidR="006D54A6" w:rsidRPr="004C7E3B">
        <w:rPr>
          <w:rFonts w:eastAsia="Calibri" w:cs="Times New Roman"/>
        </w:rPr>
        <w:t xml:space="preserve"> a more </w:t>
      </w:r>
      <w:r w:rsidR="006D54A6">
        <w:rPr>
          <w:rFonts w:eastAsia="Calibri" w:cs="Times New Roman"/>
        </w:rPr>
        <w:t xml:space="preserve">accessible and consistent </w:t>
      </w:r>
      <w:r w:rsidR="006D54A6" w:rsidRPr="004C7E3B">
        <w:rPr>
          <w:rFonts w:eastAsia="Calibri" w:cs="Times New Roman"/>
        </w:rPr>
        <w:t>learning experience, as well as providing people leaders with more oversight;</w:t>
      </w:r>
    </w:p>
    <w:p w14:paraId="4DD8E489" w14:textId="3201462E" w:rsidR="006D54A6" w:rsidRPr="004C7E3B" w:rsidRDefault="00DF2F06" w:rsidP="006D54A6">
      <w:pPr>
        <w:numPr>
          <w:ilvl w:val="0"/>
          <w:numId w:val="11"/>
        </w:numPr>
        <w:tabs>
          <w:tab w:val="clear" w:pos="567"/>
        </w:tabs>
        <w:rPr>
          <w:rFonts w:eastAsia="Calibri" w:cs="Times New Roman"/>
        </w:rPr>
      </w:pPr>
      <w:r>
        <w:rPr>
          <w:rFonts w:eastAsia="Calibri" w:cs="Times New Roman"/>
        </w:rPr>
        <w:t>d</w:t>
      </w:r>
      <w:r w:rsidR="006D54A6">
        <w:rPr>
          <w:rFonts w:eastAsia="Calibri" w:cs="Times New Roman"/>
        </w:rPr>
        <w:t xml:space="preserve">elivered </w:t>
      </w:r>
      <w:r w:rsidR="006D54A6" w:rsidRPr="004C7E3B">
        <w:rPr>
          <w:rFonts w:eastAsia="Calibri" w:cs="Times New Roman"/>
        </w:rPr>
        <w:t>specialised learning</w:t>
      </w:r>
      <w:r w:rsidR="006D54A6">
        <w:rPr>
          <w:rFonts w:eastAsia="Calibri" w:cs="Times New Roman"/>
        </w:rPr>
        <w:t xml:space="preserve"> programmes</w:t>
      </w:r>
      <w:r w:rsidR="006D54A6" w:rsidRPr="004C7E3B">
        <w:rPr>
          <w:rFonts w:eastAsia="Calibri" w:cs="Times New Roman"/>
        </w:rPr>
        <w:t xml:space="preserve"> to </w:t>
      </w:r>
      <w:r w:rsidR="006D54A6">
        <w:rPr>
          <w:rFonts w:eastAsia="Calibri" w:cs="Times New Roman"/>
        </w:rPr>
        <w:t>build technical capability across in</w:t>
      </w:r>
      <w:r w:rsidR="006D54A6" w:rsidRPr="004C7E3B">
        <w:rPr>
          <w:rFonts w:eastAsia="Calibri" w:cs="Times New Roman"/>
        </w:rPr>
        <w:t>vestigator and inspector roles</w:t>
      </w:r>
      <w:r w:rsidR="006D54A6">
        <w:rPr>
          <w:rFonts w:eastAsia="Calibri" w:cs="Times New Roman"/>
        </w:rPr>
        <w:t>;</w:t>
      </w:r>
    </w:p>
    <w:p w14:paraId="09102F99" w14:textId="375A08ED" w:rsidR="008E7CCD" w:rsidRDefault="00DF2F06" w:rsidP="006D54A6">
      <w:pPr>
        <w:numPr>
          <w:ilvl w:val="0"/>
          <w:numId w:val="11"/>
        </w:numPr>
        <w:tabs>
          <w:tab w:val="clear" w:pos="567"/>
        </w:tabs>
      </w:pPr>
      <w:r>
        <w:rPr>
          <w:rFonts w:eastAsia="Calibri" w:cs="Times New Roman"/>
        </w:rPr>
        <w:t>u</w:t>
      </w:r>
      <w:r w:rsidR="008E7CCD" w:rsidRPr="00A9262A">
        <w:rPr>
          <w:rFonts w:eastAsia="Calibri" w:cs="Times New Roman"/>
        </w:rPr>
        <w:t xml:space="preserve">sed the results of our cultural capability </w:t>
      </w:r>
      <w:r w:rsidR="00A7224D">
        <w:rPr>
          <w:rFonts w:eastAsia="Calibri" w:cs="Times New Roman"/>
        </w:rPr>
        <w:t xml:space="preserve">survey </w:t>
      </w:r>
      <w:r w:rsidR="008E7CCD" w:rsidRPr="00A9262A">
        <w:rPr>
          <w:rFonts w:eastAsia="Calibri" w:cs="Times New Roman"/>
        </w:rPr>
        <w:t xml:space="preserve">to shape learning on </w:t>
      </w:r>
      <w:proofErr w:type="spellStart"/>
      <w:r w:rsidR="008E7CCD" w:rsidRPr="00A9262A">
        <w:rPr>
          <w:rFonts w:eastAsia="Calibri" w:cs="Times New Roman"/>
        </w:rPr>
        <w:t>te</w:t>
      </w:r>
      <w:proofErr w:type="spellEnd"/>
      <w:r w:rsidR="008E7CCD" w:rsidRPr="00A9262A">
        <w:rPr>
          <w:rFonts w:eastAsia="Calibri" w:cs="Times New Roman"/>
        </w:rPr>
        <w:t xml:space="preserve"> </w:t>
      </w:r>
      <w:proofErr w:type="spellStart"/>
      <w:r w:rsidR="008E7CCD" w:rsidRPr="00A9262A">
        <w:rPr>
          <w:rFonts w:eastAsia="Calibri" w:cs="Times New Roman"/>
        </w:rPr>
        <w:t>ao</w:t>
      </w:r>
      <w:proofErr w:type="spellEnd"/>
      <w:r w:rsidR="008E7CCD" w:rsidRPr="00A9262A">
        <w:rPr>
          <w:rFonts w:eastAsia="Calibri" w:cs="Times New Roman"/>
        </w:rPr>
        <w:t xml:space="preserve"> </w:t>
      </w:r>
      <w:r w:rsidR="008E7CCD" w:rsidRPr="004C7E3B">
        <w:t xml:space="preserve">Māori, </w:t>
      </w:r>
      <w:proofErr w:type="spellStart"/>
      <w:r w:rsidR="008E7CCD" w:rsidRPr="004C7E3B">
        <w:t>te</w:t>
      </w:r>
      <w:proofErr w:type="spellEnd"/>
      <w:r w:rsidR="008E7CCD" w:rsidRPr="004C7E3B">
        <w:t xml:space="preserve"> </w:t>
      </w:r>
      <w:proofErr w:type="spellStart"/>
      <w:r w:rsidR="008E7CCD" w:rsidRPr="004C7E3B">
        <w:t>reo</w:t>
      </w:r>
      <w:proofErr w:type="spellEnd"/>
      <w:r w:rsidR="008E7CCD" w:rsidRPr="004C7E3B">
        <w:t xml:space="preserve"> Māori and </w:t>
      </w:r>
      <w:proofErr w:type="spellStart"/>
      <w:r w:rsidR="008E7CCD" w:rsidRPr="004C7E3B">
        <w:t>Te</w:t>
      </w:r>
      <w:proofErr w:type="spellEnd"/>
      <w:r w:rsidR="008E7CCD" w:rsidRPr="004C7E3B">
        <w:t xml:space="preserve"> </w:t>
      </w:r>
      <w:proofErr w:type="spellStart"/>
      <w:r w:rsidR="008E7CCD" w:rsidRPr="004C7E3B">
        <w:t>Tiriti</w:t>
      </w:r>
      <w:proofErr w:type="spellEnd"/>
      <w:r w:rsidR="008E7CCD" w:rsidRPr="004C7E3B">
        <w:t xml:space="preserve"> </w:t>
      </w:r>
      <w:r w:rsidR="008E7CCD">
        <w:t xml:space="preserve">o Waitangi; </w:t>
      </w:r>
    </w:p>
    <w:p w14:paraId="45F33739" w14:textId="671307C8" w:rsidR="006D54A6" w:rsidRPr="004C7E3B" w:rsidRDefault="00DF2F06" w:rsidP="006D54A6">
      <w:pPr>
        <w:numPr>
          <w:ilvl w:val="0"/>
          <w:numId w:val="11"/>
        </w:numPr>
        <w:tabs>
          <w:tab w:val="clear" w:pos="567"/>
        </w:tabs>
      </w:pPr>
      <w:r>
        <w:t>e</w:t>
      </w:r>
      <w:r w:rsidR="006D54A6">
        <w:t>stablished an organisational A</w:t>
      </w:r>
      <w:r w:rsidR="006D54A6" w:rsidRPr="004C7E3B">
        <w:t xml:space="preserve">I awareness baseline for the Office </w:t>
      </w:r>
      <w:r w:rsidR="006D54A6">
        <w:t>to inform future workforce development; and</w:t>
      </w:r>
      <w:r w:rsidR="006D54A6" w:rsidRPr="004C7E3B">
        <w:t xml:space="preserve"> </w:t>
      </w:r>
    </w:p>
    <w:p w14:paraId="15D9E542" w14:textId="4B2FE246" w:rsidR="006662CD" w:rsidRDefault="00DF2F06" w:rsidP="001334A4">
      <w:pPr>
        <w:numPr>
          <w:ilvl w:val="0"/>
          <w:numId w:val="11"/>
        </w:numPr>
        <w:tabs>
          <w:tab w:val="clear" w:pos="567"/>
        </w:tabs>
      </w:pPr>
      <w:r>
        <w:t>c</w:t>
      </w:r>
      <w:r w:rsidR="006D54A6" w:rsidRPr="004C7E3B">
        <w:t>ontinued to make external learning options available, where these are not available in-house.</w:t>
      </w:r>
    </w:p>
    <w:p w14:paraId="2313D36A" w14:textId="48EC1CBE" w:rsidR="008E7CCD" w:rsidRDefault="004A2C76" w:rsidP="004A2C76">
      <w:pPr>
        <w:pStyle w:val="Heading3"/>
      </w:pPr>
      <w:r>
        <w:t xml:space="preserve">Inclusivity and accessibility </w:t>
      </w:r>
    </w:p>
    <w:p w14:paraId="446DDFA2" w14:textId="31AD3EB9" w:rsidR="004A2C76" w:rsidRDefault="004A2C76" w:rsidP="004A2C76">
      <w:pPr>
        <w:rPr>
          <w:rFonts w:eastAsia="Calibri" w:cs="Times New Roman"/>
        </w:rPr>
      </w:pPr>
      <w:r>
        <w:t xml:space="preserve">We are committed to building a diverse, skilled and engaged workforce. </w:t>
      </w:r>
      <w:r>
        <w:rPr>
          <w:rFonts w:eastAsia="Calibri" w:cs="Times New Roman"/>
        </w:rPr>
        <w:t xml:space="preserve">We recognise that diverse perspectives, cultural capability and inclusive leadership strengthen our ability to serve </w:t>
      </w:r>
      <w:r w:rsidR="001E5E7F">
        <w:rPr>
          <w:rFonts w:eastAsia="Calibri" w:cs="Times New Roman"/>
        </w:rPr>
        <w:t>all</w:t>
      </w:r>
      <w:r>
        <w:rPr>
          <w:rFonts w:eastAsia="Calibri" w:cs="Times New Roman"/>
        </w:rPr>
        <w:t xml:space="preserve"> communities across New Zealand. </w:t>
      </w:r>
    </w:p>
    <w:p w14:paraId="0A825119" w14:textId="3DC29F13" w:rsidR="004A2C76" w:rsidRDefault="004A2C76" w:rsidP="004A2C76">
      <w:pPr>
        <w:pStyle w:val="BodyText"/>
      </w:pPr>
      <w:r>
        <w:t>To foster inclusion</w:t>
      </w:r>
      <w:r w:rsidR="00087ACC">
        <w:t xml:space="preserve"> and wellbeing</w:t>
      </w:r>
      <w:r>
        <w:t xml:space="preserve">, this year we: </w:t>
      </w:r>
    </w:p>
    <w:p w14:paraId="1EB19798" w14:textId="4A456BBD" w:rsidR="004A2C76" w:rsidRDefault="00A7224D" w:rsidP="004A2C76">
      <w:pPr>
        <w:pStyle w:val="Bullet1"/>
      </w:pPr>
      <w:r>
        <w:t>d</w:t>
      </w:r>
      <w:r w:rsidR="004A2C76" w:rsidRPr="004C7E3B">
        <w:t>elivered our sixth summer internship programme in partnership with Kiingitanga and tertiary institutions, welcoming six interns, one of whom was from the disability community</w:t>
      </w:r>
      <w:r w:rsidR="004A2C76">
        <w:t>;</w:t>
      </w:r>
    </w:p>
    <w:p w14:paraId="13D3BC2E" w14:textId="475ECC42" w:rsidR="00087ACC" w:rsidRDefault="00A7224D" w:rsidP="004A2C76">
      <w:pPr>
        <w:pStyle w:val="Bullet1"/>
      </w:pPr>
      <w:r>
        <w:t>c</w:t>
      </w:r>
      <w:r w:rsidR="004A2C76">
        <w:t>ontinued to support our</w:t>
      </w:r>
      <w:r w:rsidR="004A2C76" w:rsidRPr="004C7E3B">
        <w:t xml:space="preserve"> Rainbow Community and Allies employee-led network, and </w:t>
      </w:r>
      <w:r w:rsidR="004A2C76">
        <w:t>our</w:t>
      </w:r>
      <w:r w:rsidR="004A2C76" w:rsidRPr="004C7E3B">
        <w:t xml:space="preserve"> </w:t>
      </w:r>
      <w:proofErr w:type="spellStart"/>
      <w:r w:rsidR="004A2C76" w:rsidRPr="004C7E3B">
        <w:t>Rōpū</w:t>
      </w:r>
      <w:proofErr w:type="spellEnd"/>
      <w:r w:rsidR="004A2C76" w:rsidRPr="004C7E3B">
        <w:t xml:space="preserve"> Whānau employee-led network</w:t>
      </w:r>
      <w:r w:rsidR="004A2C76">
        <w:t xml:space="preserve">; </w:t>
      </w:r>
    </w:p>
    <w:p w14:paraId="78A365B9" w14:textId="2906F0AD" w:rsidR="004A2C76" w:rsidRDefault="00A7224D" w:rsidP="004A2C76">
      <w:pPr>
        <w:pStyle w:val="Bullet1"/>
      </w:pPr>
      <w:r>
        <w:t>c</w:t>
      </w:r>
      <w:r w:rsidR="00087ACC">
        <w:t xml:space="preserve">ontinued to support our </w:t>
      </w:r>
      <w:r w:rsidR="00574271">
        <w:t xml:space="preserve">staff </w:t>
      </w:r>
      <w:r w:rsidR="00087ACC">
        <w:t xml:space="preserve">through the Employee Assistance Programme and Professional Support Services Programme; </w:t>
      </w:r>
      <w:r w:rsidR="004A2C76">
        <w:t>and</w:t>
      </w:r>
    </w:p>
    <w:p w14:paraId="76C4D580" w14:textId="7F582037" w:rsidR="0078267D" w:rsidRDefault="00A7224D" w:rsidP="004A2C76">
      <w:pPr>
        <w:pStyle w:val="Bullet1"/>
      </w:pPr>
      <w:r>
        <w:t>s</w:t>
      </w:r>
      <w:r w:rsidR="00087ACC">
        <w:t xml:space="preserve">tarted </w:t>
      </w:r>
      <w:r w:rsidR="004A2C76" w:rsidRPr="005B700C">
        <w:t>developing</w:t>
      </w:r>
      <w:r w:rsidR="004A2C76">
        <w:t xml:space="preserve"> a</w:t>
      </w:r>
      <w:r w:rsidR="004A2C76" w:rsidRPr="005B700C">
        <w:t xml:space="preserve"> Diversity, Equity and Inclusion </w:t>
      </w:r>
      <w:r w:rsidR="0078267D">
        <w:t>S</w:t>
      </w:r>
      <w:r w:rsidR="004A2C76" w:rsidRPr="005B700C">
        <w:t xml:space="preserve">trategy and </w:t>
      </w:r>
      <w:r w:rsidR="0078267D">
        <w:t>A</w:t>
      </w:r>
      <w:r w:rsidR="004A2C76" w:rsidRPr="005B700C">
        <w:t xml:space="preserve">ction </w:t>
      </w:r>
      <w:r w:rsidR="0078267D">
        <w:t>P</w:t>
      </w:r>
      <w:r w:rsidR="004A2C76" w:rsidRPr="005B700C">
        <w:t>lan</w:t>
      </w:r>
      <w:r w:rsidR="004A2C76">
        <w:t>.</w:t>
      </w:r>
    </w:p>
    <w:p w14:paraId="77B23210" w14:textId="0F4426D0" w:rsidR="0078267D" w:rsidRDefault="0078267D" w:rsidP="0078267D">
      <w:pPr>
        <w:pStyle w:val="Bullet1"/>
        <w:numPr>
          <w:ilvl w:val="0"/>
          <w:numId w:val="0"/>
        </w:numPr>
      </w:pPr>
      <w:r>
        <w:t xml:space="preserve">We continued work on our </w:t>
      </w:r>
      <w:hyperlink r:id="rId49" w:history="1">
        <w:r w:rsidRPr="002B1CFD">
          <w:rPr>
            <w:rStyle w:val="Hyperlink"/>
          </w:rPr>
          <w:t>Accessibility Strategy and Action Plan</w:t>
        </w:r>
      </w:hyperlink>
      <w:r>
        <w:t xml:space="preserve">. </w:t>
      </w:r>
      <w:r w:rsidRPr="002B1CFD">
        <w:t xml:space="preserve">The vision is for disabled people to engage with, and be employed by, the Ombudsman on an equitable basis with others. </w:t>
      </w:r>
      <w:r>
        <w:t xml:space="preserve">This year we continued to implement our </w:t>
      </w:r>
      <w:r w:rsidRPr="002B1CFD">
        <w:t xml:space="preserve">Physical Accessibility Plan. </w:t>
      </w:r>
      <w:r>
        <w:t xml:space="preserve">This included work on route signage, braille </w:t>
      </w:r>
      <w:r w:rsidR="001E5E7F">
        <w:t>signage</w:t>
      </w:r>
      <w:r>
        <w:t xml:space="preserve"> and window glazing to ensure people with low vision can safely navigate our offices</w:t>
      </w:r>
      <w:r w:rsidR="00497EAD">
        <w:t xml:space="preserve">. </w:t>
      </w:r>
      <w:r>
        <w:t xml:space="preserve">We also completed the installation of visual fire alarms to meet the needs of Deaf or hard of hearing people. We are currently working on updating our emergency evacuation procedure for visitors with access needs. </w:t>
      </w:r>
    </w:p>
    <w:p w14:paraId="7C94B0D2" w14:textId="6B7E942C" w:rsidR="00594645" w:rsidRDefault="00594645" w:rsidP="00594645">
      <w:pPr>
        <w:pStyle w:val="Heading2"/>
      </w:pPr>
      <w:bookmarkStart w:id="58" w:name="_Risk_management"/>
      <w:bookmarkEnd w:id="58"/>
      <w:r>
        <w:t xml:space="preserve">Risk management </w:t>
      </w:r>
    </w:p>
    <w:p w14:paraId="1FFC15E2" w14:textId="2731DF05" w:rsidR="00440EB8" w:rsidRPr="00440EB8" w:rsidRDefault="00440EB8" w:rsidP="00594645">
      <w:pPr>
        <w:pStyle w:val="BodyText"/>
        <w:rPr>
          <w:b/>
          <w:bCs/>
        </w:rPr>
      </w:pPr>
      <w:r w:rsidRPr="00440EB8">
        <w:t xml:space="preserve">This year we have undertaken further work to strengthen our risk management and governance frameworks. We have a continued focus on developing robust and fit for purpose risk management and governance frameworks and processes. We reviewed our strategic risks and </w:t>
      </w:r>
      <w:r w:rsidR="00A7224D">
        <w:t>confirmed</w:t>
      </w:r>
      <w:r w:rsidR="00A7224D" w:rsidRPr="00440EB8">
        <w:t xml:space="preserve"> </w:t>
      </w:r>
      <w:r w:rsidRPr="00440EB8">
        <w:t>two key interrelated risks</w:t>
      </w:r>
      <w:r w:rsidR="00A7224D">
        <w:t>—</w:t>
      </w:r>
      <w:r w:rsidRPr="00440EB8">
        <w:t>timeliness and quality</w:t>
      </w:r>
      <w:r w:rsidR="00A7224D">
        <w:t xml:space="preserve">. We </w:t>
      </w:r>
      <w:r w:rsidRPr="00440EB8">
        <w:t>are looking at additional ways to manage these two risks within reasonable tolerances</w:t>
      </w:r>
      <w:r w:rsidR="00497EAD">
        <w:t xml:space="preserve">. </w:t>
      </w:r>
    </w:p>
    <w:p w14:paraId="7D60A8F0" w14:textId="287E97D6" w:rsidR="00594645" w:rsidRDefault="00445169" w:rsidP="00594645">
      <w:pPr>
        <w:pStyle w:val="Heading2"/>
      </w:pPr>
      <w:bookmarkStart w:id="59" w:name="_Technology,_data_and"/>
      <w:bookmarkEnd w:id="59"/>
      <w:r>
        <w:t xml:space="preserve">Technology, data and delivery </w:t>
      </w:r>
    </w:p>
    <w:p w14:paraId="553726D1" w14:textId="5EAE2B67" w:rsidR="00445169" w:rsidRPr="00445169" w:rsidRDefault="00445169" w:rsidP="00445169">
      <w:pPr>
        <w:pStyle w:val="BodyText"/>
      </w:pPr>
      <w:r w:rsidRPr="00445169">
        <w:t xml:space="preserve">This year we continued to modernise our information technology infrastructure in line with our Technology Roadmap. A key focus has been the implementation of our Hosting Strategy (transition to </w:t>
      </w:r>
      <w:r w:rsidR="00A7224D">
        <w:t>C</w:t>
      </w:r>
      <w:r w:rsidR="00A7224D" w:rsidRPr="00445169">
        <w:t>loud</w:t>
      </w:r>
      <w:r w:rsidRPr="00445169">
        <w:t>) through our Digital Workplace Modernisation Programme</w:t>
      </w:r>
      <w:r w:rsidR="002D2627">
        <w:t xml:space="preserve"> (</w:t>
      </w:r>
      <w:proofErr w:type="spellStart"/>
      <w:r w:rsidR="002D2627">
        <w:t>DWMP</w:t>
      </w:r>
      <w:proofErr w:type="spellEnd"/>
      <w:r w:rsidR="002D2627">
        <w:t>)</w:t>
      </w:r>
      <w:r w:rsidRPr="00445169">
        <w:t xml:space="preserve">. This work strengthens the security and capability of </w:t>
      </w:r>
      <w:r w:rsidR="00A7224D">
        <w:t xml:space="preserve">our </w:t>
      </w:r>
      <w:r w:rsidRPr="00445169">
        <w:t xml:space="preserve">underlying infrastructure, builds greater resilience, and leverages modern tools and technologies that will provide secure and accessible applications for our people to use now and in the future. </w:t>
      </w:r>
    </w:p>
    <w:p w14:paraId="54BC6453" w14:textId="6F09F8BD" w:rsidR="00445169" w:rsidRDefault="00445169" w:rsidP="00445169">
      <w:pPr>
        <w:pStyle w:val="BodyText"/>
      </w:pPr>
      <w:r w:rsidRPr="00445169">
        <w:t>We continue</w:t>
      </w:r>
      <w:r w:rsidR="00A7224D">
        <w:t>d</w:t>
      </w:r>
      <w:r w:rsidRPr="00445169">
        <w:t xml:space="preserve"> to prepare for and support digital transformation by reviewing our Information Architecture and implementing digital retention and disposal in our Enterprise Case Management System. </w:t>
      </w:r>
    </w:p>
    <w:p w14:paraId="43BD3383" w14:textId="2465FD0E" w:rsidR="00594645" w:rsidRDefault="00445169" w:rsidP="00594645">
      <w:pPr>
        <w:pStyle w:val="BodyText"/>
      </w:pPr>
      <w:r>
        <w:t xml:space="preserve">We continued to utilise data and dashboards to support organisation decision making, including </w:t>
      </w:r>
      <w:r w:rsidR="00A5355A">
        <w:t>case management forecasting</w:t>
      </w:r>
      <w:r w:rsidR="00497EAD">
        <w:t xml:space="preserve">. </w:t>
      </w:r>
    </w:p>
    <w:p w14:paraId="4AC0A4A9" w14:textId="7214E46F" w:rsidR="001517DD" w:rsidRDefault="00787E62" w:rsidP="00787E62">
      <w:pPr>
        <w:pStyle w:val="Heading3"/>
      </w:pPr>
      <w:r>
        <w:t xml:space="preserve">Website Refresh and AI Delivery Project </w:t>
      </w:r>
    </w:p>
    <w:p w14:paraId="5F5F8733" w14:textId="2581C64F" w:rsidR="00787E62" w:rsidRPr="00787E62" w:rsidRDefault="00787E62" w:rsidP="00787E62">
      <w:pPr>
        <w:pStyle w:val="BodyText"/>
      </w:pPr>
      <w:r>
        <w:t>This year we got</w:t>
      </w:r>
      <w:r w:rsidRPr="00787E62">
        <w:t xml:space="preserve"> underway with our Website Refresh and AI Delivery Project, which seeks to improve </w:t>
      </w:r>
      <w:r>
        <w:t>our</w:t>
      </w:r>
      <w:r w:rsidRPr="00787E62">
        <w:t xml:space="preserve"> digital presence and engagement with the public, and to lay the foundation for the Office's future use of AI.</w:t>
      </w:r>
    </w:p>
    <w:p w14:paraId="6ED290C8" w14:textId="7D618354" w:rsidR="00787E62" w:rsidRPr="00787E62" w:rsidRDefault="00787E62" w:rsidP="00787E62">
      <w:pPr>
        <w:pStyle w:val="BodyText"/>
      </w:pPr>
      <w:r>
        <w:t>This</w:t>
      </w:r>
      <w:r w:rsidRPr="00787E62">
        <w:t xml:space="preserve"> </w:t>
      </w:r>
      <w:r w:rsidR="001E5E7F">
        <w:t xml:space="preserve">is </w:t>
      </w:r>
      <w:r w:rsidRPr="00787E62">
        <w:t xml:space="preserve">expected to improve operational efficiency, freeing up </w:t>
      </w:r>
      <w:r w:rsidR="00A7224D">
        <w:t>our people</w:t>
      </w:r>
      <w:r w:rsidRPr="00787E62">
        <w:t xml:space="preserve"> to focus on more substantial complaints, by:</w:t>
      </w:r>
    </w:p>
    <w:p w14:paraId="1F094005" w14:textId="245773C3" w:rsidR="00787E62" w:rsidRPr="00787E62" w:rsidRDefault="00A7224D" w:rsidP="00787E62">
      <w:pPr>
        <w:pStyle w:val="Bullet1"/>
      </w:pPr>
      <w:r>
        <w:t>h</w:t>
      </w:r>
      <w:r w:rsidR="00787E62" w:rsidRPr="00787E62">
        <w:t>elping complainants find the information they need more easily</w:t>
      </w:r>
      <w:r w:rsidR="00787E62">
        <w:t>;</w:t>
      </w:r>
    </w:p>
    <w:p w14:paraId="40E9C0EE" w14:textId="4587C2FB" w:rsidR="00787E62" w:rsidRPr="00787E62" w:rsidRDefault="00A7224D" w:rsidP="00787E62">
      <w:pPr>
        <w:pStyle w:val="Bullet1"/>
      </w:pPr>
      <w:r>
        <w:t>h</w:t>
      </w:r>
      <w:r w:rsidR="00787E62" w:rsidRPr="00787E62">
        <w:t>elping complainants make a complaint to us</w:t>
      </w:r>
      <w:r w:rsidR="00787E62">
        <w:t>; and</w:t>
      </w:r>
    </w:p>
    <w:p w14:paraId="629B3E61" w14:textId="157F9749" w:rsidR="00787E62" w:rsidRPr="00787E62" w:rsidRDefault="00A7224D" w:rsidP="00787E62">
      <w:pPr>
        <w:pStyle w:val="Bullet1"/>
      </w:pPr>
      <w:r>
        <w:t>i</w:t>
      </w:r>
      <w:r w:rsidR="00787E62" w:rsidRPr="00787E62">
        <w:t xml:space="preserve">mproving the quality of </w:t>
      </w:r>
      <w:proofErr w:type="gramStart"/>
      <w:r w:rsidR="00787E62" w:rsidRPr="00787E62">
        <w:t>information</w:t>
      </w:r>
      <w:proofErr w:type="gramEnd"/>
      <w:r w:rsidR="00787E62" w:rsidRPr="00787E62">
        <w:t xml:space="preserve"> we receive and our ability to analyse it quickly</w:t>
      </w:r>
      <w:r w:rsidR="00787E62">
        <w:t>.</w:t>
      </w:r>
    </w:p>
    <w:p w14:paraId="78B4F9DC" w14:textId="506FFCF9" w:rsidR="00787E62" w:rsidRPr="00787E62" w:rsidRDefault="00787E62" w:rsidP="00787E62">
      <w:pPr>
        <w:pStyle w:val="BodyText"/>
      </w:pPr>
      <w:r>
        <w:t>The p</w:t>
      </w:r>
      <w:r w:rsidRPr="00787E62">
        <w:t xml:space="preserve">roject delivery is staged to ensure complainants and the </w:t>
      </w:r>
      <w:r w:rsidR="001E5E7F">
        <w:t>O</w:t>
      </w:r>
      <w:r w:rsidRPr="00787E62">
        <w:t>ffice realise the benefits as soon as possible. The first deliverable will be easy-to-access complaint forms</w:t>
      </w:r>
      <w:r w:rsidR="001349D7">
        <w:t>.</w:t>
      </w:r>
    </w:p>
    <w:p w14:paraId="66971CFB" w14:textId="06DD234C" w:rsidR="00A5355A" w:rsidRDefault="00A5355A" w:rsidP="00A5355A">
      <w:pPr>
        <w:pStyle w:val="Heading3"/>
      </w:pPr>
      <w:r>
        <w:t xml:space="preserve">Project Management Office </w:t>
      </w:r>
    </w:p>
    <w:p w14:paraId="4941D8B5" w14:textId="38E1B4E9" w:rsidR="00A5355A" w:rsidRPr="00A5355A" w:rsidRDefault="00A5355A" w:rsidP="00A5355A">
      <w:pPr>
        <w:pStyle w:val="BodyText"/>
      </w:pPr>
      <w:r>
        <w:t>We</w:t>
      </w:r>
      <w:r w:rsidR="001E5E7F">
        <w:t xml:space="preserve"> also</w:t>
      </w:r>
      <w:r>
        <w:t xml:space="preserve"> established a Project Management Office (PMO</w:t>
      </w:r>
      <w:r w:rsidR="001E5E7F">
        <w:t>), which is</w:t>
      </w:r>
      <w:r>
        <w:t xml:space="preserve"> dedicated to delivering critical programmes such as </w:t>
      </w:r>
      <w:proofErr w:type="spellStart"/>
      <w:r>
        <w:t>DWMP</w:t>
      </w:r>
      <w:proofErr w:type="spellEnd"/>
      <w:r>
        <w:t xml:space="preserve"> and driving organisation</w:t>
      </w:r>
      <w:r w:rsidR="001E5E7F">
        <w:t>al</w:t>
      </w:r>
      <w:r>
        <w:t xml:space="preserve"> change. The PMO provides oversight and ensures priority projects are delivered on time and to </w:t>
      </w:r>
      <w:r w:rsidR="00CE0AAD">
        <w:t xml:space="preserve">budget. </w:t>
      </w:r>
    </w:p>
    <w:p w14:paraId="18AE133C" w14:textId="2EB2ACA2" w:rsidR="00594645" w:rsidRDefault="00594645" w:rsidP="00594645">
      <w:pPr>
        <w:pStyle w:val="Heading2"/>
      </w:pPr>
      <w:bookmarkStart w:id="60" w:name="_Financial_and_capital"/>
      <w:bookmarkEnd w:id="60"/>
      <w:r>
        <w:t xml:space="preserve">Financial and capital management </w:t>
      </w:r>
    </w:p>
    <w:p w14:paraId="07B6900D" w14:textId="086EBD33" w:rsidR="00CE0AAD" w:rsidRPr="00185B08" w:rsidRDefault="00CE0AAD" w:rsidP="00CE0AAD">
      <w:pPr>
        <w:pStyle w:val="BodyText"/>
      </w:pPr>
      <w:r w:rsidRPr="007A0718">
        <w:t xml:space="preserve">Vote Ombudsmen had an appropriation of $53.265 million (excluding GST) for the year ended 30 June 2026. Personnel and accommodation costs </w:t>
      </w:r>
      <w:r w:rsidRPr="00185B08">
        <w:t xml:space="preserve">accounted for 75 percent of the actual amount spent. The remaining operating expenditure was primarily </w:t>
      </w:r>
      <w:r w:rsidR="00991A00" w:rsidRPr="00185B08">
        <w:t xml:space="preserve">spent </w:t>
      </w:r>
      <w:r w:rsidRPr="00185B08">
        <w:t>on professional service</w:t>
      </w:r>
      <w:r w:rsidR="006B1B84" w:rsidRPr="00185B08">
        <w:t>s</w:t>
      </w:r>
      <w:r w:rsidRPr="00185B08">
        <w:t xml:space="preserve">, information </w:t>
      </w:r>
      <w:r w:rsidR="008B1927">
        <w:t>and</w:t>
      </w:r>
      <w:r w:rsidR="008B1927" w:rsidRPr="00185B08">
        <w:t xml:space="preserve"> </w:t>
      </w:r>
      <w:r w:rsidRPr="00185B08">
        <w:t xml:space="preserve">communications technology, depreciation, and travel. </w:t>
      </w:r>
    </w:p>
    <w:p w14:paraId="01C0FED2" w14:textId="37A1B43E" w:rsidR="00CE0AAD" w:rsidRPr="00185B08" w:rsidRDefault="00CE0AAD" w:rsidP="00CE0AAD">
      <w:pPr>
        <w:pStyle w:val="BodyText"/>
      </w:pPr>
      <w:r w:rsidRPr="00185B08">
        <w:t xml:space="preserve">Most operating expenditure is of a non-discretionary kind. What discretionary financial resources do exist are allocated in a planned, prioritised, and contestable manner. Discretionary funding is spent on critical projects </w:t>
      </w:r>
      <w:r w:rsidR="006B1B84" w:rsidRPr="00185B08">
        <w:t>and</w:t>
      </w:r>
      <w:r w:rsidRPr="00185B08">
        <w:t xml:space="preserve"> is overseen by our Senior Leadership Team.</w:t>
      </w:r>
    </w:p>
    <w:p w14:paraId="63FC6553" w14:textId="1A4315DD" w:rsidR="00CE0AAD" w:rsidRPr="00492D94" w:rsidRDefault="00CE0AAD" w:rsidP="00CE0AAD">
      <w:pPr>
        <w:pStyle w:val="BodyText"/>
      </w:pPr>
      <w:r w:rsidRPr="00185B08">
        <w:t>During 2025/26</w:t>
      </w:r>
      <w:r w:rsidR="00300753">
        <w:t>,</w:t>
      </w:r>
      <w:r w:rsidRPr="00185B08">
        <w:t xml:space="preserve"> $</w:t>
      </w:r>
      <w:r w:rsidR="00D73727">
        <w:t>1.74</w:t>
      </w:r>
      <w:r w:rsidR="00A57621">
        <w:t>4</w:t>
      </w:r>
      <w:r w:rsidRPr="00185B08">
        <w:t xml:space="preserve"> million of capital expenditure was spent on fitting out </w:t>
      </w:r>
      <w:r w:rsidR="006B1B84" w:rsidRPr="00185B08">
        <w:t xml:space="preserve">the </w:t>
      </w:r>
      <w:r w:rsidRPr="00185B08">
        <w:t>Wellington office, and replacing audio</w:t>
      </w:r>
      <w:r w:rsidR="00991A00" w:rsidRPr="00185B08">
        <w:t>,</w:t>
      </w:r>
      <w:r w:rsidRPr="00185B08">
        <w:t xml:space="preserve"> video, laptop, </w:t>
      </w:r>
      <w:r w:rsidR="006B1B84" w:rsidRPr="00185B08">
        <w:t>iPhone</w:t>
      </w:r>
      <w:r w:rsidRPr="00185B08">
        <w:t xml:space="preserve"> and security</w:t>
      </w:r>
      <w:r w:rsidRPr="007A0718">
        <w:t xml:space="preserve"> equipment.</w:t>
      </w:r>
      <w:r w:rsidRPr="00492D94">
        <w:t xml:space="preserve"> </w:t>
      </w:r>
    </w:p>
    <w:p w14:paraId="64C81358" w14:textId="492AB2FF" w:rsidR="00CE0AAD" w:rsidRPr="00B36A5F" w:rsidRDefault="00CE0AAD" w:rsidP="00CE0AAD">
      <w:pPr>
        <w:pStyle w:val="BodyText"/>
      </w:pPr>
      <w:r w:rsidRPr="007A0718">
        <w:t xml:space="preserve">In December 2025, we started implementing the Solver Budgeting Module after </w:t>
      </w:r>
      <w:r w:rsidR="006B1B84">
        <w:t xml:space="preserve">we </w:t>
      </w:r>
      <w:r w:rsidRPr="007A0718">
        <w:t xml:space="preserve">implemented a new Finance Management Information System (Microsoft Dynamics Business Central). This additional tool </w:t>
      </w:r>
      <w:r w:rsidR="006B1B84">
        <w:t>speeds</w:t>
      </w:r>
      <w:r w:rsidRPr="007A0718">
        <w:t xml:space="preserve"> up budget preparation, </w:t>
      </w:r>
      <w:r w:rsidR="006B1B84" w:rsidRPr="007A0718">
        <w:t>improv</w:t>
      </w:r>
      <w:r w:rsidR="006B1B84">
        <w:t>e</w:t>
      </w:r>
      <w:r w:rsidR="006B1B84" w:rsidRPr="007A0718">
        <w:t>s</w:t>
      </w:r>
      <w:r w:rsidRPr="007A0718">
        <w:t xml:space="preserve"> accuracy, enable</w:t>
      </w:r>
      <w:r w:rsidR="006B1B84">
        <w:t>s</w:t>
      </w:r>
      <w:r w:rsidRPr="007A0718">
        <w:t xml:space="preserve"> real-time reporting and improve</w:t>
      </w:r>
      <w:r w:rsidR="006B1B84">
        <w:t>s</w:t>
      </w:r>
      <w:r w:rsidRPr="007A0718">
        <w:t xml:space="preserve"> collaboration across the </w:t>
      </w:r>
      <w:r w:rsidR="001E5E7F">
        <w:t>O</w:t>
      </w:r>
      <w:r w:rsidRPr="007A0718">
        <w:t>ffice</w:t>
      </w:r>
      <w:r w:rsidR="00497EAD">
        <w:t xml:space="preserve">. </w:t>
      </w:r>
    </w:p>
    <w:p w14:paraId="6A9B00EA" w14:textId="77777777" w:rsidR="00CE0AAD" w:rsidRPr="00B36A5F" w:rsidRDefault="00CE0AAD" w:rsidP="00CE0AAD">
      <w:pPr>
        <w:pStyle w:val="BodyText"/>
      </w:pPr>
      <w:r w:rsidRPr="00B36A5F">
        <w:t xml:space="preserve">When procuring goods and services, we do so in accordance with our procurement policy. We also negotiate term supply arrangements where there is an identified potential for savings. </w:t>
      </w:r>
    </w:p>
    <w:p w14:paraId="577F0B11" w14:textId="60F7DD7E" w:rsidR="00CE0AAD" w:rsidRDefault="00CE0AAD" w:rsidP="00CE0AAD">
      <w:pPr>
        <w:pStyle w:val="BodyText"/>
      </w:pPr>
      <w:r w:rsidRPr="00B36A5F">
        <w:t xml:space="preserve">We continue to work closely with the Treasury and </w:t>
      </w:r>
      <w:r w:rsidR="001E5E7F">
        <w:t>the Audit Office</w:t>
      </w:r>
      <w:r w:rsidRPr="00B36A5F">
        <w:t xml:space="preserve">. The liaison allows us to benefit from their advice and guidance in matters relating to improving transparency of </w:t>
      </w:r>
      <w:r w:rsidR="00991A00">
        <w:t xml:space="preserve">our </w:t>
      </w:r>
      <w:r w:rsidRPr="00B36A5F">
        <w:t xml:space="preserve">performance and reporting </w:t>
      </w:r>
      <w:proofErr w:type="gramStart"/>
      <w:r w:rsidRPr="00B36A5F">
        <w:t>systems</w:t>
      </w:r>
      <w:r w:rsidR="001E5E7F">
        <w:t>,</w:t>
      </w:r>
      <w:r w:rsidRPr="00B36A5F">
        <w:t xml:space="preserve"> and</w:t>
      </w:r>
      <w:proofErr w:type="gramEnd"/>
      <w:r w:rsidRPr="00B36A5F">
        <w:t xml:space="preserve"> ensures there is a sound understanding of the working environment and issues we face.</w:t>
      </w:r>
    </w:p>
    <w:p w14:paraId="41E70F49" w14:textId="7178AC2E" w:rsidR="00594645" w:rsidRDefault="00594645" w:rsidP="00594645">
      <w:pPr>
        <w:pStyle w:val="Heading2"/>
      </w:pPr>
      <w:bookmarkStart w:id="61" w:name="_Security"/>
      <w:bookmarkEnd w:id="61"/>
      <w:r>
        <w:t xml:space="preserve">Security </w:t>
      </w:r>
    </w:p>
    <w:p w14:paraId="439F157C" w14:textId="4533BDE1" w:rsidR="006B1B84" w:rsidRPr="00B36A5F" w:rsidRDefault="006B1B84" w:rsidP="006B1B84">
      <w:pPr>
        <w:pStyle w:val="BodyText"/>
      </w:pPr>
      <w:r>
        <w:t>Our</w:t>
      </w:r>
      <w:r w:rsidRPr="00B36A5F">
        <w:t xml:space="preserve"> security settings </w:t>
      </w:r>
      <w:r>
        <w:t xml:space="preserve">remain aligned </w:t>
      </w:r>
      <w:r w:rsidRPr="00B36A5F">
        <w:t xml:space="preserve">with the Protective Security Requirements where possible, and we </w:t>
      </w:r>
      <w:r>
        <w:t>embed</w:t>
      </w:r>
      <w:r w:rsidRPr="00B36A5F">
        <w:t xml:space="preserve"> ‘security by design’ </w:t>
      </w:r>
      <w:r>
        <w:t>into all technology</w:t>
      </w:r>
      <w:r w:rsidR="00300753">
        <w:t xml:space="preserve"> and office wide initiatives</w:t>
      </w:r>
      <w:r>
        <w:t xml:space="preserve"> from the outset</w:t>
      </w:r>
      <w:r w:rsidRPr="00B36A5F">
        <w:t>.</w:t>
      </w:r>
      <w:r>
        <w:t xml:space="preserve"> We have refreshed our</w:t>
      </w:r>
      <w:r w:rsidR="00300753">
        <w:t xml:space="preserve"> security</w:t>
      </w:r>
      <w:r>
        <w:t xml:space="preserve"> risk management approach and tolerance levels to ensure we take a proportionate response to new technologies, balancing innovation with the assurance that appropriate safeguards are always in place. </w:t>
      </w:r>
    </w:p>
    <w:p w14:paraId="064489AB" w14:textId="1D9964B6" w:rsidR="002B1CFD" w:rsidRPr="002B1CFD" w:rsidRDefault="002B1CFD" w:rsidP="002B1CFD">
      <w:pPr>
        <w:pStyle w:val="BodyText"/>
      </w:pPr>
      <w:r w:rsidRPr="002B1CFD">
        <w:t xml:space="preserve">We place strong emphasis on maintaining a culture of security awareness across the </w:t>
      </w:r>
      <w:r w:rsidR="001E5E7F">
        <w:t>Office</w:t>
      </w:r>
      <w:r w:rsidRPr="002B1CFD">
        <w:t xml:space="preserve">. Security responsibilities are embedded into induction and ongoing training to ensure our people understand how to identify and respond to potential risks. </w:t>
      </w:r>
    </w:p>
    <w:p w14:paraId="5C94CB2A" w14:textId="77777777" w:rsidR="00E423CB" w:rsidRDefault="00E423CB" w:rsidP="00E423CB">
      <w:pPr>
        <w:pStyle w:val="BodyText"/>
      </w:pPr>
    </w:p>
    <w:p w14:paraId="4CEF8E4F" w14:textId="77777777" w:rsidR="00E423CB" w:rsidRDefault="00E423CB" w:rsidP="00E423CB">
      <w:pPr>
        <w:pStyle w:val="BodyText"/>
      </w:pPr>
    </w:p>
    <w:p w14:paraId="3AE69084" w14:textId="1B073817" w:rsidR="00E423CB" w:rsidRDefault="00D358B8" w:rsidP="00EA3052">
      <w:pPr>
        <w:pStyle w:val="Heading1"/>
      </w:pPr>
      <w:bookmarkStart w:id="62" w:name="_Financial_and_performance"/>
      <w:bookmarkEnd w:id="62"/>
      <w:r w:rsidRPr="00097107">
        <w:rPr>
          <w:noProof/>
          <w:lang w:eastAsia="en-NZ"/>
        </w:rPr>
        <mc:AlternateContent>
          <mc:Choice Requires="wps">
            <w:drawing>
              <wp:anchor distT="0" distB="0" distL="114300" distR="114300" simplePos="0" relativeHeight="251667456" behindDoc="0" locked="0" layoutInCell="1" allowOverlap="1" wp14:anchorId="0335F869" wp14:editId="548AAF79">
                <wp:simplePos x="0" y="0"/>
                <wp:positionH relativeFrom="margin">
                  <wp:align>right</wp:align>
                </wp:positionH>
                <wp:positionV relativeFrom="margin">
                  <wp:posOffset>-718894</wp:posOffset>
                </wp:positionV>
                <wp:extent cx="1189990" cy="1909267"/>
                <wp:effectExtent l="0" t="0" r="0" b="0"/>
                <wp:wrapThrough wrapText="bothSides">
                  <wp:wrapPolygon edited="0">
                    <wp:start x="692" y="0"/>
                    <wp:lineTo x="692" y="21341"/>
                    <wp:lineTo x="20401" y="21341"/>
                    <wp:lineTo x="20401" y="0"/>
                    <wp:lineTo x="692" y="0"/>
                  </wp:wrapPolygon>
                </wp:wrapThrough>
                <wp:docPr id="2" name="Text Box 9" title="Illustrative element - the number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19092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E5010" w14:textId="77777777" w:rsidR="00D358B8" w:rsidRPr="00C95275" w:rsidRDefault="00D358B8" w:rsidP="00D358B8">
                            <w:pPr>
                              <w:spacing w:after="0"/>
                              <w:jc w:val="right"/>
                              <w:rPr>
                                <w:rFonts w:ascii="Lucida Sans" w:hAnsi="Lucida Sans" w:cs="Lucida Sans"/>
                                <w:color w:val="2BB673"/>
                                <w:sz w:val="280"/>
                                <w:szCs w:val="280"/>
                              </w:rPr>
                            </w:pP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35F869" id="_x0000_s1033" type="#_x0000_t202" alt="Title: Illustrative element - the number '5'" style="position:absolute;margin-left:42.5pt;margin-top:-56.6pt;width:93.7pt;height:150.3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" filled="f" stroked="f">
                <v:textbox>
                  <w:txbxContent>
                    <w:p w14:paraId="7BFE5010" w14:textId="77777777" w:rsidR="00D358B8" w:rsidRPr="00C95275" w:rsidRDefault="00D358B8" w:rsidP="00D358B8">
                      <w:pPr>
                        <w:spacing w:after="0"/>
                        <w:jc w:val="right"/>
                        <w:rPr>
                          <w:rFonts w:ascii="Lucida Sans" w:hAnsi="Lucida Sans" w:cs="Lucida Sans"/>
                          <w:color w:val="2BB673"/>
                          <w:sz w:val="280"/>
                          <w:szCs w:val="280"/>
                        </w:rPr>
                      </w:pPr>
                    </w:p>
                  </w:txbxContent>
                </v:textbox>
                <w10:wrap type="through" anchorx="margin" anchory="margin"/>
              </v:shape>
            </w:pict>
          </mc:Fallback>
        </mc:AlternateContent>
      </w:r>
      <w:r w:rsidR="00E423CB">
        <w:t xml:space="preserve">Financial and performance </w:t>
      </w:r>
    </w:p>
    <w:tbl>
      <w:tblPr>
        <w:tblStyle w:val="TableGridAnnualReport"/>
        <w:tblW w:w="9278" w:type="dxa"/>
        <w:tblInd w:w="10" w:type="dxa"/>
        <w:tblBorders>
          <w:left w:val="single" w:sz="8" w:space="0" w:color="FFFFFF" w:themeColor="background1"/>
          <w:bottom w:val="single" w:sz="8" w:space="0" w:color="auto"/>
          <w:right w:val="single" w:sz="8" w:space="0" w:color="FFFFFF" w:themeColor="background1"/>
          <w:insideH w:val="single" w:sz="8" w:space="0" w:color="auto"/>
          <w:insideV w:val="single" w:sz="8" w:space="0" w:color="FFFFFF" w:themeColor="background1"/>
        </w:tblBorders>
        <w:shd w:val="clear" w:color="000000" w:fill="auto"/>
        <w:tblLook w:val="04A0" w:firstRow="1" w:lastRow="0" w:firstColumn="1" w:lastColumn="0" w:noHBand="0" w:noVBand="1"/>
        <w:tblCaption w:val="Contents Section 6"/>
      </w:tblPr>
      <w:tblGrid>
        <w:gridCol w:w="8208"/>
        <w:gridCol w:w="1070"/>
      </w:tblGrid>
      <w:tr w:rsidR="00D358B8" w:rsidRPr="00671D30" w14:paraId="041544DB" w14:textId="77777777" w:rsidTr="002B26DB">
        <w:trPr>
          <w:cnfStyle w:val="100000000000" w:firstRow="1" w:lastRow="0" w:firstColumn="0" w:lastColumn="0" w:oddVBand="0" w:evenVBand="0" w:oddHBand="0" w:evenHBand="0" w:firstRowFirstColumn="0" w:firstRowLastColumn="0" w:lastRowFirstColumn="0" w:lastRowLastColumn="0"/>
          <w:tblHeader w:val="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55BFB5BE" w14:textId="104E9B71" w:rsidR="00D358B8" w:rsidRPr="00097107" w:rsidRDefault="00D358B8" w:rsidP="007A0718">
            <w:pPr>
              <w:spacing w:before="120" w:after="120" w:line="276" w:lineRule="auto"/>
            </w:pPr>
            <w:hyperlink w:anchor="_Statement_of_responsibility" w:history="1">
              <w:r w:rsidRPr="00097107">
                <w:rPr>
                  <w:rStyle w:val="Hyperlink"/>
                </w:rPr>
                <w:t>Statement of responsibility</w:t>
              </w:r>
            </w:hyperlink>
          </w:p>
        </w:tc>
        <w:tc>
          <w:tcPr>
            <w:tcW w:w="1070" w:type="dxa"/>
            <w:tcBorders>
              <w:left w:val="single" w:sz="8" w:space="0" w:color="FFFFFF"/>
            </w:tcBorders>
            <w:shd w:val="clear" w:color="auto" w:fill="auto"/>
            <w:vAlign w:val="center"/>
          </w:tcPr>
          <w:p w14:paraId="36AC1E5A" w14:textId="25CC9635" w:rsidR="00D358B8" w:rsidRPr="00671D30" w:rsidRDefault="00A869A1" w:rsidP="007A0718">
            <w:pPr>
              <w:spacing w:before="120" w:after="120" w:line="276" w:lineRule="auto"/>
              <w:jc w:val="right"/>
              <w:cnfStyle w:val="100000000000" w:firstRow="1" w:lastRow="0" w:firstColumn="0" w:lastColumn="0" w:oddVBand="0" w:evenVBand="0" w:oddHBand="0" w:evenHBand="0" w:firstRowFirstColumn="0" w:firstRowLastColumn="0" w:lastRowFirstColumn="0" w:lastRowLastColumn="0"/>
              <w:rPr>
                <w:b/>
                <w:bCs/>
                <w:color w:val="017E5D"/>
                <w:sz w:val="25"/>
                <w:szCs w:val="25"/>
              </w:rPr>
            </w:pPr>
            <w:hyperlink w:anchor="_Statement_of_responsibility" w:history="1">
              <w:r w:rsidRPr="00671D30">
                <w:rPr>
                  <w:rStyle w:val="Hyperlink"/>
                  <w:b/>
                  <w:bCs/>
                  <w:color w:val="017E5D"/>
                  <w:sz w:val="25"/>
                  <w:szCs w:val="25"/>
                  <w:u w:val="none"/>
                </w:rPr>
                <w:t>5</w:t>
              </w:r>
              <w:r w:rsidR="00197B24">
                <w:rPr>
                  <w:rStyle w:val="Hyperlink"/>
                  <w:b/>
                  <w:bCs/>
                  <w:color w:val="017E5D"/>
                  <w:sz w:val="25"/>
                  <w:szCs w:val="25"/>
                  <w:u w:val="none"/>
                </w:rPr>
                <w:t>6</w:t>
              </w:r>
            </w:hyperlink>
          </w:p>
        </w:tc>
      </w:tr>
      <w:tr w:rsidR="00D358B8" w:rsidRPr="00671D30" w14:paraId="40E438C9" w14:textId="77777777" w:rsidTr="002B2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3EFF3716" w14:textId="796FD6C4" w:rsidR="00D358B8" w:rsidRPr="00097107" w:rsidRDefault="00D358B8" w:rsidP="007A0718">
            <w:pPr>
              <w:spacing w:before="120" w:after="120" w:line="276" w:lineRule="auto"/>
              <w:rPr>
                <w:sz w:val="25"/>
                <w:szCs w:val="25"/>
              </w:rPr>
            </w:pPr>
            <w:hyperlink w:anchor="_Independent_Auditor’s_report" w:history="1">
              <w:r w:rsidRPr="00097107">
                <w:rPr>
                  <w:rStyle w:val="Hyperlink"/>
                </w:rPr>
                <w:t xml:space="preserve">Independent </w:t>
              </w:r>
              <w:r>
                <w:rPr>
                  <w:rStyle w:val="Hyperlink"/>
                </w:rPr>
                <w:t>A</w:t>
              </w:r>
              <w:r w:rsidRPr="00097107">
                <w:rPr>
                  <w:rStyle w:val="Hyperlink"/>
                </w:rPr>
                <w:t xml:space="preserve">uditor’s </w:t>
              </w:r>
              <w:r>
                <w:rPr>
                  <w:rStyle w:val="Hyperlink"/>
                </w:rPr>
                <w:t>R</w:t>
              </w:r>
              <w:r w:rsidRPr="00097107">
                <w:rPr>
                  <w:rStyle w:val="Hyperlink"/>
                </w:rPr>
                <w:t>eport</w:t>
              </w:r>
            </w:hyperlink>
          </w:p>
        </w:tc>
        <w:tc>
          <w:tcPr>
            <w:tcW w:w="1070" w:type="dxa"/>
            <w:tcBorders>
              <w:top w:val="nil"/>
              <w:left w:val="single" w:sz="8" w:space="0" w:color="FFFFFF"/>
            </w:tcBorders>
            <w:shd w:val="clear" w:color="auto" w:fill="auto"/>
            <w:vAlign w:val="center"/>
          </w:tcPr>
          <w:p w14:paraId="5FF1234D" w14:textId="37E09CEC" w:rsidR="00D358B8" w:rsidRPr="00671D30" w:rsidRDefault="00A869A1"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color w:val="017E5D"/>
                <w:sz w:val="25"/>
                <w:szCs w:val="25"/>
              </w:rPr>
            </w:pPr>
            <w:hyperlink w:anchor="_Independent_Auditor’s_report" w:history="1">
              <w:r w:rsidRPr="00671D30">
                <w:rPr>
                  <w:rStyle w:val="Hyperlink"/>
                  <w:b/>
                  <w:bCs/>
                  <w:color w:val="017E5D"/>
                  <w:sz w:val="25"/>
                  <w:szCs w:val="25"/>
                  <w:u w:val="none"/>
                </w:rPr>
                <w:t>5</w:t>
              </w:r>
              <w:r w:rsidR="00EA3052">
                <w:rPr>
                  <w:rStyle w:val="Hyperlink"/>
                  <w:b/>
                  <w:bCs/>
                  <w:color w:val="017E5D"/>
                  <w:sz w:val="25"/>
                  <w:szCs w:val="25"/>
                  <w:u w:val="none"/>
                </w:rPr>
                <w:t>7</w:t>
              </w:r>
            </w:hyperlink>
          </w:p>
        </w:tc>
      </w:tr>
      <w:tr w:rsidR="00D358B8" w:rsidRPr="00671D30" w14:paraId="504192C5" w14:textId="77777777" w:rsidTr="002B26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0E633B82" w14:textId="61D1C18E" w:rsidR="00D358B8" w:rsidRPr="00097107" w:rsidRDefault="00D358B8" w:rsidP="007A0718">
            <w:pPr>
              <w:spacing w:before="120" w:after="120" w:line="276" w:lineRule="auto"/>
            </w:pPr>
            <w:hyperlink w:anchor="_Statement_of_objectives" w:history="1">
              <w:r w:rsidRPr="00097107">
                <w:rPr>
                  <w:rStyle w:val="Hyperlink"/>
                </w:rPr>
                <w:t>Statement of objectives and service performance</w:t>
              </w:r>
            </w:hyperlink>
          </w:p>
        </w:tc>
        <w:tc>
          <w:tcPr>
            <w:tcW w:w="1070" w:type="dxa"/>
            <w:tcBorders>
              <w:left w:val="single" w:sz="8" w:space="0" w:color="FFFFFF"/>
            </w:tcBorders>
            <w:shd w:val="clear" w:color="auto" w:fill="auto"/>
            <w:vAlign w:val="center"/>
          </w:tcPr>
          <w:p w14:paraId="0FEE9E74" w14:textId="3AD00AA5" w:rsidR="00D358B8" w:rsidRPr="00671D30" w:rsidRDefault="00A869A1" w:rsidP="007A0718">
            <w:pPr>
              <w:spacing w:before="120" w:after="120" w:line="276" w:lineRule="auto"/>
              <w:jc w:val="right"/>
              <w:cnfStyle w:val="000000010000" w:firstRow="0" w:lastRow="0" w:firstColumn="0" w:lastColumn="0" w:oddVBand="0" w:evenVBand="0" w:oddHBand="0" w:evenHBand="1" w:firstRowFirstColumn="0" w:firstRowLastColumn="0" w:lastRowFirstColumn="0" w:lastRowLastColumn="0"/>
              <w:rPr>
                <w:b/>
                <w:bCs/>
                <w:noProof/>
                <w:color w:val="017E5D"/>
                <w:sz w:val="25"/>
                <w:szCs w:val="25"/>
              </w:rPr>
            </w:pPr>
            <w:hyperlink w:anchor="_Statement_of_objectives" w:history="1">
              <w:r>
                <w:rPr>
                  <w:rStyle w:val="Hyperlink"/>
                  <w:b/>
                  <w:bCs/>
                  <w:noProof/>
                  <w:color w:val="017E5D"/>
                  <w:sz w:val="25"/>
                  <w:szCs w:val="25"/>
                  <w:u w:val="none"/>
                </w:rPr>
                <w:t>6</w:t>
              </w:r>
              <w:r w:rsidR="00EA3052">
                <w:rPr>
                  <w:rStyle w:val="Hyperlink"/>
                  <w:b/>
                  <w:bCs/>
                  <w:noProof/>
                  <w:color w:val="017E5D"/>
                  <w:sz w:val="25"/>
                  <w:szCs w:val="25"/>
                  <w:u w:val="none"/>
                </w:rPr>
                <w:t>2</w:t>
              </w:r>
            </w:hyperlink>
          </w:p>
        </w:tc>
      </w:tr>
      <w:tr w:rsidR="00D358B8" w:rsidRPr="00671D30" w14:paraId="565EE47D" w14:textId="77777777" w:rsidTr="002B2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7EA8661B" w14:textId="665A3122" w:rsidR="00D358B8" w:rsidRDefault="00D358B8" w:rsidP="007A0718">
            <w:pPr>
              <w:spacing w:before="120" w:after="120" w:line="276" w:lineRule="auto"/>
            </w:pPr>
            <w:hyperlink w:anchor="_Appropriation_statements" w:history="1">
              <w:r w:rsidRPr="00304DAC">
                <w:rPr>
                  <w:rStyle w:val="Hyperlink"/>
                </w:rPr>
                <w:t>Appropriation statements</w:t>
              </w:r>
            </w:hyperlink>
          </w:p>
        </w:tc>
        <w:tc>
          <w:tcPr>
            <w:tcW w:w="1070" w:type="dxa"/>
            <w:tcBorders>
              <w:left w:val="single" w:sz="8" w:space="0" w:color="FFFFFF"/>
            </w:tcBorders>
            <w:shd w:val="clear" w:color="auto" w:fill="auto"/>
            <w:vAlign w:val="center"/>
          </w:tcPr>
          <w:p w14:paraId="1D621225" w14:textId="435AADFD" w:rsidR="00D358B8" w:rsidRPr="00671D30" w:rsidRDefault="00A869A1"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noProof/>
                <w:color w:val="017E5D"/>
                <w:sz w:val="25"/>
                <w:szCs w:val="25"/>
              </w:rPr>
            </w:pPr>
            <w:hyperlink w:anchor="_Appropriation_statements" w:history="1">
              <w:r>
                <w:rPr>
                  <w:rStyle w:val="Hyperlink"/>
                  <w:b/>
                  <w:bCs/>
                  <w:noProof/>
                  <w:color w:val="017E5D"/>
                  <w:sz w:val="25"/>
                  <w:szCs w:val="25"/>
                  <w:u w:val="none"/>
                </w:rPr>
                <w:t>7</w:t>
              </w:r>
              <w:r w:rsidR="00EA3052">
                <w:rPr>
                  <w:rStyle w:val="Hyperlink"/>
                  <w:b/>
                  <w:bCs/>
                  <w:noProof/>
                  <w:color w:val="017E5D"/>
                  <w:sz w:val="25"/>
                  <w:szCs w:val="25"/>
                  <w:u w:val="none"/>
                </w:rPr>
                <w:t>1</w:t>
              </w:r>
            </w:hyperlink>
          </w:p>
        </w:tc>
      </w:tr>
      <w:tr w:rsidR="00D358B8" w:rsidRPr="00671D30" w14:paraId="6E630ACE" w14:textId="77777777" w:rsidTr="002B26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11708174" w14:textId="3F7ECA0E" w:rsidR="00D358B8" w:rsidRPr="00304DAC" w:rsidRDefault="00D358B8" w:rsidP="007A0718">
            <w:pPr>
              <w:spacing w:before="120" w:after="120" w:line="276" w:lineRule="auto"/>
              <w:rPr>
                <w:sz w:val="25"/>
                <w:szCs w:val="25"/>
              </w:rPr>
            </w:pPr>
            <w:hyperlink w:anchor="_Statement_of_comprehensive_1" w:history="1">
              <w:r w:rsidRPr="00304DAC">
                <w:rPr>
                  <w:rStyle w:val="Hyperlink"/>
                </w:rPr>
                <w:t>Statement of comprehensive revenue and expense</w:t>
              </w:r>
            </w:hyperlink>
          </w:p>
        </w:tc>
        <w:tc>
          <w:tcPr>
            <w:tcW w:w="1070" w:type="dxa"/>
            <w:tcBorders>
              <w:left w:val="single" w:sz="8" w:space="0" w:color="FFFFFF"/>
            </w:tcBorders>
            <w:shd w:val="clear" w:color="auto" w:fill="auto"/>
            <w:vAlign w:val="center"/>
          </w:tcPr>
          <w:p w14:paraId="24230427" w14:textId="6B2F922A" w:rsidR="00D358B8" w:rsidRPr="00671D30" w:rsidRDefault="00A869A1" w:rsidP="007A0718">
            <w:pPr>
              <w:spacing w:before="120" w:after="120" w:line="276" w:lineRule="auto"/>
              <w:jc w:val="right"/>
              <w:cnfStyle w:val="000000010000" w:firstRow="0" w:lastRow="0" w:firstColumn="0" w:lastColumn="0" w:oddVBand="0" w:evenVBand="0" w:oddHBand="0" w:evenHBand="1" w:firstRowFirstColumn="0" w:firstRowLastColumn="0" w:lastRowFirstColumn="0" w:lastRowLastColumn="0"/>
              <w:rPr>
                <w:b/>
                <w:bCs/>
                <w:noProof/>
                <w:color w:val="017E5D"/>
                <w:sz w:val="25"/>
                <w:szCs w:val="25"/>
              </w:rPr>
            </w:pPr>
            <w:hyperlink w:anchor="_Statement_of_comprehensive_1" w:history="1">
              <w:r w:rsidRPr="00671D30">
                <w:rPr>
                  <w:rStyle w:val="Hyperlink"/>
                  <w:b/>
                  <w:bCs/>
                  <w:noProof/>
                  <w:color w:val="017E5D"/>
                  <w:sz w:val="25"/>
                  <w:szCs w:val="25"/>
                  <w:u w:val="none"/>
                </w:rPr>
                <w:t>7</w:t>
              </w:r>
              <w:r w:rsidR="00EA3052">
                <w:rPr>
                  <w:rStyle w:val="Hyperlink"/>
                  <w:b/>
                  <w:bCs/>
                  <w:noProof/>
                  <w:color w:val="017E5D"/>
                  <w:sz w:val="25"/>
                  <w:szCs w:val="25"/>
                  <w:u w:val="none"/>
                </w:rPr>
                <w:t>3</w:t>
              </w:r>
            </w:hyperlink>
          </w:p>
        </w:tc>
      </w:tr>
      <w:tr w:rsidR="00D358B8" w:rsidRPr="00671D30" w14:paraId="3241AFE8" w14:textId="77777777" w:rsidTr="002B2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68A27B57" w14:textId="4C298F0A" w:rsidR="00D358B8" w:rsidRPr="00304DAC" w:rsidRDefault="00D358B8" w:rsidP="007A0718">
            <w:pPr>
              <w:spacing w:before="120" w:after="120" w:line="276" w:lineRule="auto"/>
              <w:rPr>
                <w:sz w:val="25"/>
                <w:szCs w:val="25"/>
              </w:rPr>
            </w:pPr>
            <w:hyperlink w:anchor="_Statement_of_financial" w:history="1">
              <w:r w:rsidRPr="00304DAC">
                <w:rPr>
                  <w:rStyle w:val="Hyperlink"/>
                </w:rPr>
                <w:t>Statement of financial position</w:t>
              </w:r>
            </w:hyperlink>
          </w:p>
        </w:tc>
        <w:tc>
          <w:tcPr>
            <w:tcW w:w="1070" w:type="dxa"/>
            <w:tcBorders>
              <w:left w:val="single" w:sz="8" w:space="0" w:color="FFFFFF"/>
            </w:tcBorders>
            <w:shd w:val="clear" w:color="auto" w:fill="auto"/>
            <w:vAlign w:val="center"/>
          </w:tcPr>
          <w:p w14:paraId="3C62B835" w14:textId="2DE97F41" w:rsidR="00D358B8" w:rsidRPr="00671D30" w:rsidRDefault="00A869A1"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color w:val="017E5D"/>
                <w:sz w:val="25"/>
                <w:szCs w:val="25"/>
              </w:rPr>
            </w:pPr>
            <w:hyperlink w:anchor="_Statement_of_financial" w:history="1">
              <w:r w:rsidRPr="00671D30">
                <w:rPr>
                  <w:rStyle w:val="Hyperlink"/>
                  <w:b/>
                  <w:bCs/>
                  <w:color w:val="017E5D"/>
                  <w:sz w:val="25"/>
                  <w:szCs w:val="25"/>
                  <w:u w:val="none"/>
                </w:rPr>
                <w:t>7</w:t>
              </w:r>
              <w:r w:rsidR="00EA3052">
                <w:rPr>
                  <w:rStyle w:val="Hyperlink"/>
                  <w:b/>
                  <w:bCs/>
                  <w:color w:val="017E5D"/>
                  <w:sz w:val="25"/>
                  <w:szCs w:val="25"/>
                  <w:u w:val="none"/>
                </w:rPr>
                <w:t>4</w:t>
              </w:r>
            </w:hyperlink>
          </w:p>
        </w:tc>
      </w:tr>
      <w:tr w:rsidR="00D358B8" w:rsidRPr="00671D30" w14:paraId="59A1BDBE" w14:textId="77777777" w:rsidTr="002B26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1D062B47" w14:textId="6A7AAA43" w:rsidR="00D358B8" w:rsidRPr="00304DAC" w:rsidRDefault="00D358B8" w:rsidP="007A0718">
            <w:pPr>
              <w:spacing w:before="120" w:after="120" w:line="276" w:lineRule="auto"/>
              <w:rPr>
                <w:sz w:val="25"/>
                <w:szCs w:val="25"/>
              </w:rPr>
            </w:pPr>
            <w:hyperlink w:anchor="_Statement_of_changes" w:history="1">
              <w:r w:rsidRPr="00304DAC">
                <w:rPr>
                  <w:rStyle w:val="Hyperlink"/>
                </w:rPr>
                <w:t>Statement of changes in equity</w:t>
              </w:r>
            </w:hyperlink>
          </w:p>
        </w:tc>
        <w:tc>
          <w:tcPr>
            <w:tcW w:w="1070" w:type="dxa"/>
            <w:tcBorders>
              <w:left w:val="single" w:sz="8" w:space="0" w:color="FFFFFF"/>
            </w:tcBorders>
            <w:shd w:val="clear" w:color="auto" w:fill="auto"/>
            <w:vAlign w:val="center"/>
          </w:tcPr>
          <w:p w14:paraId="10B70E06" w14:textId="7B7BD554" w:rsidR="00D358B8" w:rsidRPr="00671D30" w:rsidRDefault="00A869A1" w:rsidP="007A0718">
            <w:pPr>
              <w:spacing w:before="120" w:after="120" w:line="276" w:lineRule="auto"/>
              <w:jc w:val="right"/>
              <w:cnfStyle w:val="000000010000" w:firstRow="0" w:lastRow="0" w:firstColumn="0" w:lastColumn="0" w:oddVBand="0" w:evenVBand="0" w:oddHBand="0" w:evenHBand="1" w:firstRowFirstColumn="0" w:firstRowLastColumn="0" w:lastRowFirstColumn="0" w:lastRowLastColumn="0"/>
              <w:rPr>
                <w:b/>
                <w:bCs/>
                <w:color w:val="017E5D"/>
                <w:sz w:val="25"/>
                <w:szCs w:val="25"/>
              </w:rPr>
            </w:pPr>
            <w:hyperlink w:anchor="_Statement_of_changes_1" w:history="1">
              <w:r w:rsidRPr="00671D30">
                <w:rPr>
                  <w:rStyle w:val="Hyperlink"/>
                  <w:b/>
                  <w:bCs/>
                  <w:color w:val="017E5D"/>
                  <w:sz w:val="25"/>
                  <w:szCs w:val="25"/>
                  <w:u w:val="none"/>
                </w:rPr>
                <w:t>7</w:t>
              </w:r>
              <w:r w:rsidR="00EA3052">
                <w:rPr>
                  <w:rStyle w:val="Hyperlink"/>
                  <w:b/>
                  <w:bCs/>
                  <w:color w:val="017E5D"/>
                  <w:sz w:val="25"/>
                  <w:szCs w:val="25"/>
                  <w:u w:val="none"/>
                </w:rPr>
                <w:t>5</w:t>
              </w:r>
            </w:hyperlink>
          </w:p>
        </w:tc>
      </w:tr>
      <w:tr w:rsidR="00D358B8" w:rsidRPr="00671D30" w14:paraId="7B13D000" w14:textId="77777777" w:rsidTr="002B2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2CF8F964" w14:textId="7BAD68DC" w:rsidR="00D358B8" w:rsidRPr="00304DAC" w:rsidRDefault="00D358B8" w:rsidP="007A0718">
            <w:pPr>
              <w:spacing w:before="120" w:after="120" w:line="276" w:lineRule="auto"/>
              <w:rPr>
                <w:sz w:val="25"/>
                <w:szCs w:val="25"/>
              </w:rPr>
            </w:pPr>
            <w:hyperlink w:anchor="_Statement_of_cash" w:history="1">
              <w:r w:rsidRPr="00304DAC">
                <w:rPr>
                  <w:rStyle w:val="Hyperlink"/>
                </w:rPr>
                <w:t>Statement of cash flows</w:t>
              </w:r>
            </w:hyperlink>
          </w:p>
        </w:tc>
        <w:tc>
          <w:tcPr>
            <w:tcW w:w="1070" w:type="dxa"/>
            <w:tcBorders>
              <w:left w:val="single" w:sz="8" w:space="0" w:color="FFFFFF"/>
            </w:tcBorders>
            <w:shd w:val="clear" w:color="auto" w:fill="auto"/>
            <w:vAlign w:val="center"/>
          </w:tcPr>
          <w:p w14:paraId="66844339" w14:textId="0A86A75B" w:rsidR="00D358B8" w:rsidRPr="00671D30" w:rsidRDefault="00A869A1"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color w:val="017E5D"/>
                <w:sz w:val="25"/>
                <w:szCs w:val="25"/>
              </w:rPr>
            </w:pPr>
            <w:hyperlink w:anchor="_Statement_of_cash_1" w:history="1">
              <w:r w:rsidRPr="00671D30">
                <w:rPr>
                  <w:rStyle w:val="Hyperlink"/>
                  <w:b/>
                  <w:bCs/>
                  <w:color w:val="017E5D"/>
                  <w:sz w:val="25"/>
                  <w:szCs w:val="25"/>
                  <w:u w:val="none"/>
                </w:rPr>
                <w:t>7</w:t>
              </w:r>
              <w:r w:rsidR="00EA3052">
                <w:rPr>
                  <w:rStyle w:val="Hyperlink"/>
                  <w:b/>
                  <w:bCs/>
                  <w:color w:val="017E5D"/>
                  <w:sz w:val="25"/>
                  <w:szCs w:val="25"/>
                  <w:u w:val="none"/>
                </w:rPr>
                <w:t>6</w:t>
              </w:r>
            </w:hyperlink>
          </w:p>
        </w:tc>
      </w:tr>
      <w:tr w:rsidR="00D358B8" w:rsidRPr="00671D30" w14:paraId="50DDAC8F" w14:textId="77777777" w:rsidTr="002B26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421F783A" w14:textId="1EF68602" w:rsidR="00D358B8" w:rsidRDefault="00D358B8" w:rsidP="007A0718">
            <w:pPr>
              <w:spacing w:before="120" w:after="120" w:line="276" w:lineRule="auto"/>
            </w:pPr>
            <w:hyperlink w:anchor="_Reconciliation_of_net" w:history="1">
              <w:r w:rsidRPr="009256A1">
                <w:rPr>
                  <w:rStyle w:val="Hyperlink"/>
                </w:rPr>
                <w:t>Reconciliation of net surplus to net cash flow from operating activities</w:t>
              </w:r>
            </w:hyperlink>
          </w:p>
        </w:tc>
        <w:tc>
          <w:tcPr>
            <w:tcW w:w="1070" w:type="dxa"/>
            <w:tcBorders>
              <w:left w:val="single" w:sz="8" w:space="0" w:color="FFFFFF"/>
            </w:tcBorders>
            <w:shd w:val="clear" w:color="auto" w:fill="auto"/>
            <w:vAlign w:val="center"/>
          </w:tcPr>
          <w:p w14:paraId="4C541605" w14:textId="20446FEC" w:rsidR="00D358B8" w:rsidRPr="00671D30" w:rsidRDefault="00A869A1" w:rsidP="007A0718">
            <w:pPr>
              <w:spacing w:before="120" w:after="120" w:line="276" w:lineRule="auto"/>
              <w:jc w:val="right"/>
              <w:cnfStyle w:val="000000010000" w:firstRow="0" w:lastRow="0" w:firstColumn="0" w:lastColumn="0" w:oddVBand="0" w:evenVBand="0" w:oddHBand="0" w:evenHBand="1" w:firstRowFirstColumn="0" w:firstRowLastColumn="0" w:lastRowFirstColumn="0" w:lastRowLastColumn="0"/>
              <w:rPr>
                <w:b/>
                <w:bCs/>
                <w:color w:val="017E5D"/>
                <w:sz w:val="25"/>
                <w:szCs w:val="25"/>
              </w:rPr>
            </w:pPr>
            <w:hyperlink w:anchor="_Reconciliation_of_net_1" w:history="1">
              <w:r w:rsidRPr="00671D30">
                <w:rPr>
                  <w:rStyle w:val="Hyperlink"/>
                  <w:b/>
                  <w:bCs/>
                  <w:color w:val="017E5D"/>
                  <w:sz w:val="25"/>
                  <w:szCs w:val="25"/>
                  <w:u w:val="none"/>
                </w:rPr>
                <w:t>7</w:t>
              </w:r>
              <w:r w:rsidR="00EA3052">
                <w:rPr>
                  <w:rStyle w:val="Hyperlink"/>
                  <w:b/>
                  <w:bCs/>
                  <w:color w:val="017E5D"/>
                  <w:sz w:val="25"/>
                  <w:szCs w:val="25"/>
                  <w:u w:val="none"/>
                </w:rPr>
                <w:t>7</w:t>
              </w:r>
            </w:hyperlink>
          </w:p>
        </w:tc>
      </w:tr>
      <w:tr w:rsidR="00D358B8" w:rsidRPr="00671D30" w14:paraId="009FDA75" w14:textId="77777777" w:rsidTr="002B2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6331D59F" w14:textId="3925FA23" w:rsidR="00D358B8" w:rsidRPr="00097107" w:rsidRDefault="00D358B8" w:rsidP="007A0718">
            <w:pPr>
              <w:spacing w:before="120" w:after="120" w:line="276" w:lineRule="auto"/>
              <w:rPr>
                <w:sz w:val="25"/>
                <w:szCs w:val="25"/>
              </w:rPr>
            </w:pPr>
            <w:hyperlink w:anchor="_Statement_of_commitments" w:history="1">
              <w:r w:rsidRPr="00097107">
                <w:rPr>
                  <w:rStyle w:val="Hyperlink"/>
                </w:rPr>
                <w:t>Statement of commitments</w:t>
              </w:r>
            </w:hyperlink>
          </w:p>
        </w:tc>
        <w:tc>
          <w:tcPr>
            <w:tcW w:w="1070" w:type="dxa"/>
            <w:tcBorders>
              <w:left w:val="single" w:sz="8" w:space="0" w:color="FFFFFF"/>
            </w:tcBorders>
            <w:shd w:val="clear" w:color="auto" w:fill="auto"/>
            <w:vAlign w:val="center"/>
          </w:tcPr>
          <w:p w14:paraId="09DD0F47" w14:textId="4B9F7334" w:rsidR="00D358B8" w:rsidRPr="00671D30" w:rsidRDefault="00A869A1"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color w:val="017E5D"/>
                <w:sz w:val="25"/>
                <w:szCs w:val="25"/>
              </w:rPr>
            </w:pPr>
            <w:hyperlink w:anchor="_Statement_of_commitments" w:history="1">
              <w:r w:rsidRPr="00671D30">
                <w:rPr>
                  <w:rStyle w:val="Hyperlink"/>
                  <w:b/>
                  <w:bCs/>
                  <w:color w:val="017E5D"/>
                  <w:sz w:val="25"/>
                  <w:szCs w:val="25"/>
                  <w:u w:val="none"/>
                </w:rPr>
                <w:t>7</w:t>
              </w:r>
              <w:r w:rsidR="00EA3052">
                <w:rPr>
                  <w:rStyle w:val="Hyperlink"/>
                  <w:b/>
                  <w:bCs/>
                  <w:color w:val="017E5D"/>
                  <w:sz w:val="25"/>
                  <w:szCs w:val="25"/>
                  <w:u w:val="none"/>
                </w:rPr>
                <w:t>8</w:t>
              </w:r>
            </w:hyperlink>
          </w:p>
        </w:tc>
      </w:tr>
      <w:tr w:rsidR="00D358B8" w:rsidRPr="00671D30" w14:paraId="6A94CE3F" w14:textId="77777777" w:rsidTr="002B26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0F8C6ECF" w14:textId="2BD6282D" w:rsidR="00D358B8" w:rsidRPr="00097107" w:rsidRDefault="00D358B8" w:rsidP="007A0718">
            <w:pPr>
              <w:spacing w:before="120" w:after="120" w:line="276" w:lineRule="auto"/>
              <w:rPr>
                <w:sz w:val="25"/>
                <w:szCs w:val="25"/>
              </w:rPr>
            </w:pPr>
            <w:hyperlink w:anchor="_Statement_of_contingent" w:history="1">
              <w:r w:rsidRPr="00097107">
                <w:rPr>
                  <w:rStyle w:val="Hyperlink"/>
                </w:rPr>
                <w:t>Statement of contingent liabilities and contingent assets</w:t>
              </w:r>
            </w:hyperlink>
          </w:p>
        </w:tc>
        <w:tc>
          <w:tcPr>
            <w:tcW w:w="1070" w:type="dxa"/>
            <w:tcBorders>
              <w:left w:val="single" w:sz="8" w:space="0" w:color="FFFFFF"/>
              <w:bottom w:val="nil"/>
            </w:tcBorders>
            <w:shd w:val="clear" w:color="auto" w:fill="auto"/>
            <w:vAlign w:val="center"/>
          </w:tcPr>
          <w:p w14:paraId="1983A670" w14:textId="64D9D078" w:rsidR="00D358B8" w:rsidRPr="00671D30" w:rsidRDefault="00A869A1" w:rsidP="007A0718">
            <w:pPr>
              <w:spacing w:before="120" w:after="120" w:line="276" w:lineRule="auto"/>
              <w:jc w:val="right"/>
              <w:cnfStyle w:val="000000010000" w:firstRow="0" w:lastRow="0" w:firstColumn="0" w:lastColumn="0" w:oddVBand="0" w:evenVBand="0" w:oddHBand="0" w:evenHBand="1" w:firstRowFirstColumn="0" w:firstRowLastColumn="0" w:lastRowFirstColumn="0" w:lastRowLastColumn="0"/>
              <w:rPr>
                <w:b/>
                <w:bCs/>
                <w:color w:val="017E5D"/>
                <w:sz w:val="25"/>
                <w:szCs w:val="25"/>
              </w:rPr>
            </w:pPr>
            <w:hyperlink w:anchor="_Statement_of_contingent_1" w:history="1">
              <w:r w:rsidRPr="00671D30">
                <w:rPr>
                  <w:rStyle w:val="Hyperlink"/>
                  <w:b/>
                  <w:bCs/>
                  <w:color w:val="017E5D"/>
                  <w:sz w:val="25"/>
                  <w:szCs w:val="25"/>
                  <w:u w:val="none"/>
                </w:rPr>
                <w:t>7</w:t>
              </w:r>
              <w:r w:rsidR="00EA3052">
                <w:rPr>
                  <w:rStyle w:val="Hyperlink"/>
                  <w:b/>
                  <w:bCs/>
                  <w:color w:val="017E5D"/>
                  <w:sz w:val="25"/>
                  <w:szCs w:val="25"/>
                  <w:u w:val="none"/>
                </w:rPr>
                <w:t>9</w:t>
              </w:r>
            </w:hyperlink>
          </w:p>
        </w:tc>
      </w:tr>
      <w:tr w:rsidR="00D358B8" w:rsidRPr="00671D30" w14:paraId="35648168" w14:textId="77777777" w:rsidTr="002B26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tcBorders>
            <w:shd w:val="clear" w:color="000000" w:fill="auto"/>
          </w:tcPr>
          <w:p w14:paraId="69B927E1" w14:textId="38BC07ED" w:rsidR="00D358B8" w:rsidRPr="008B11FE" w:rsidRDefault="00D358B8" w:rsidP="007A0718">
            <w:pPr>
              <w:spacing w:before="120" w:after="120" w:line="276" w:lineRule="auto"/>
              <w:rPr>
                <w:color w:val="0D6AB8"/>
                <w:u w:val="single"/>
              </w:rPr>
            </w:pPr>
            <w:hyperlink w:anchor="_Notes_to_the" w:history="1">
              <w:r w:rsidRPr="00097107">
                <w:rPr>
                  <w:rStyle w:val="Hyperlink"/>
                </w:rPr>
                <w:t>Notes to the financial statements</w:t>
              </w:r>
            </w:hyperlink>
          </w:p>
        </w:tc>
        <w:tc>
          <w:tcPr>
            <w:tcW w:w="1070" w:type="dxa"/>
            <w:tcBorders>
              <w:top w:val="nil"/>
              <w:left w:val="nil"/>
              <w:bottom w:val="nil"/>
              <w:right w:val="nil"/>
            </w:tcBorders>
            <w:shd w:val="clear" w:color="auto" w:fill="auto"/>
            <w:vAlign w:val="center"/>
          </w:tcPr>
          <w:p w14:paraId="7F3BD4ED" w14:textId="1C2E282C" w:rsidR="00D358B8" w:rsidRPr="00671D30" w:rsidRDefault="00CF3EC5" w:rsidP="007A0718">
            <w:pPr>
              <w:spacing w:before="120" w:after="120" w:line="276" w:lineRule="auto"/>
              <w:jc w:val="right"/>
              <w:cnfStyle w:val="000000100000" w:firstRow="0" w:lastRow="0" w:firstColumn="0" w:lastColumn="0" w:oddVBand="0" w:evenVBand="0" w:oddHBand="1" w:evenHBand="0" w:firstRowFirstColumn="0" w:firstRowLastColumn="0" w:lastRowFirstColumn="0" w:lastRowLastColumn="0"/>
              <w:rPr>
                <w:b/>
                <w:bCs/>
                <w:noProof/>
                <w:color w:val="017E5D"/>
                <w:sz w:val="25"/>
                <w:szCs w:val="25"/>
              </w:rPr>
            </w:pPr>
            <w:hyperlink w:anchor="_Notes_to_the" w:history="1">
              <w:r>
                <w:rPr>
                  <w:rStyle w:val="Hyperlink"/>
                  <w:b/>
                  <w:bCs/>
                  <w:noProof/>
                  <w:color w:val="017E5D"/>
                  <w:sz w:val="25"/>
                  <w:szCs w:val="25"/>
                  <w:u w:val="none"/>
                </w:rPr>
                <w:t>8</w:t>
              </w:r>
              <w:r w:rsidRPr="00CF3EC5">
                <w:rPr>
                  <w:rStyle w:val="Hyperlink"/>
                  <w:b/>
                  <w:bCs/>
                  <w:noProof/>
                  <w:color w:val="017E5D"/>
                  <w:sz w:val="25"/>
                  <w:szCs w:val="25"/>
                  <w:u w:val="none"/>
                </w:rPr>
                <w:t>0</w:t>
              </w:r>
            </w:hyperlink>
          </w:p>
        </w:tc>
      </w:tr>
      <w:tr w:rsidR="00D358B8" w:rsidRPr="00671D30" w14:paraId="1DF0A47E" w14:textId="77777777" w:rsidTr="002B26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Borders>
              <w:top w:val="single" w:sz="4" w:space="0" w:color="auto"/>
              <w:left w:val="single" w:sz="8" w:space="0" w:color="FFFFFF"/>
              <w:bottom w:val="single" w:sz="4" w:space="0" w:color="auto"/>
              <w:right w:val="single" w:sz="8" w:space="0" w:color="FFFFFF"/>
            </w:tcBorders>
            <w:shd w:val="clear" w:color="000000" w:fill="auto"/>
          </w:tcPr>
          <w:p w14:paraId="6BC54F9D" w14:textId="3C4CCEB0" w:rsidR="00D358B8" w:rsidRPr="00097107" w:rsidRDefault="00D358B8" w:rsidP="007A0718">
            <w:pPr>
              <w:spacing w:before="120" w:after="120" w:line="276" w:lineRule="auto"/>
            </w:pPr>
            <w:hyperlink w:anchor="_Summary_of_significant_1" w:history="1">
              <w:r w:rsidRPr="00097107">
                <w:rPr>
                  <w:rStyle w:val="Hyperlink"/>
                </w:rPr>
                <w:t>Summary of significant accounting policies</w:t>
              </w:r>
            </w:hyperlink>
          </w:p>
        </w:tc>
        <w:tc>
          <w:tcPr>
            <w:tcW w:w="1070" w:type="dxa"/>
            <w:tcBorders>
              <w:top w:val="nil"/>
              <w:left w:val="single" w:sz="8" w:space="0" w:color="FFFFFF"/>
              <w:bottom w:val="nil"/>
            </w:tcBorders>
            <w:shd w:val="clear" w:color="auto" w:fill="auto"/>
            <w:vAlign w:val="center"/>
          </w:tcPr>
          <w:p w14:paraId="0B8C3C44" w14:textId="5D0D64C0" w:rsidR="00D358B8" w:rsidRPr="00671D30" w:rsidRDefault="00A869A1" w:rsidP="007A0718">
            <w:pPr>
              <w:spacing w:before="120" w:after="120" w:line="276" w:lineRule="auto"/>
              <w:jc w:val="right"/>
              <w:cnfStyle w:val="000000010000" w:firstRow="0" w:lastRow="0" w:firstColumn="0" w:lastColumn="0" w:oddVBand="0" w:evenVBand="0" w:oddHBand="0" w:evenHBand="1" w:firstRowFirstColumn="0" w:firstRowLastColumn="0" w:lastRowFirstColumn="0" w:lastRowLastColumn="0"/>
              <w:rPr>
                <w:b/>
                <w:bCs/>
                <w:color w:val="017E5D"/>
                <w:sz w:val="25"/>
                <w:szCs w:val="25"/>
              </w:rPr>
            </w:pPr>
            <w:hyperlink w:anchor="_Summary_of_significant_2" w:history="1">
              <w:r>
                <w:rPr>
                  <w:rStyle w:val="Hyperlink"/>
                  <w:b/>
                  <w:bCs/>
                  <w:color w:val="017E5D"/>
                  <w:sz w:val="25"/>
                  <w:szCs w:val="25"/>
                  <w:u w:val="none"/>
                </w:rPr>
                <w:t>8</w:t>
              </w:r>
              <w:r w:rsidR="00CF3EC5" w:rsidRPr="00CF3EC5">
                <w:rPr>
                  <w:rStyle w:val="Hyperlink"/>
                  <w:b/>
                  <w:bCs/>
                  <w:color w:val="017E5D"/>
                  <w:u w:val="none"/>
                </w:rPr>
                <w:t>1</w:t>
              </w:r>
            </w:hyperlink>
          </w:p>
        </w:tc>
      </w:tr>
    </w:tbl>
    <w:p w14:paraId="32ECE552" w14:textId="77777777" w:rsidR="00E423CB" w:rsidRDefault="00E423CB" w:rsidP="00E423CB">
      <w:pPr>
        <w:pStyle w:val="BodyText"/>
      </w:pPr>
    </w:p>
    <w:p w14:paraId="66B26263" w14:textId="77777777" w:rsidR="00E423CB" w:rsidRDefault="00E423CB" w:rsidP="00E423CB">
      <w:pPr>
        <w:pStyle w:val="BodyText"/>
      </w:pPr>
    </w:p>
    <w:p w14:paraId="06CA8567" w14:textId="77777777" w:rsidR="00E423CB" w:rsidRDefault="00E423CB" w:rsidP="00E423CB">
      <w:pPr>
        <w:pStyle w:val="BodyText"/>
      </w:pPr>
    </w:p>
    <w:p w14:paraId="35CF280E" w14:textId="77777777" w:rsidR="00E423CB" w:rsidRDefault="00E423CB" w:rsidP="00E423CB">
      <w:pPr>
        <w:pStyle w:val="BodyText"/>
      </w:pPr>
    </w:p>
    <w:p w14:paraId="2CC1C9EA" w14:textId="77777777" w:rsidR="00E423CB" w:rsidRDefault="00E423CB" w:rsidP="00E423CB">
      <w:pPr>
        <w:pStyle w:val="BodyText"/>
      </w:pPr>
    </w:p>
    <w:p w14:paraId="503F0286" w14:textId="77777777" w:rsidR="00E423CB" w:rsidRDefault="00E423CB" w:rsidP="00E423CB">
      <w:pPr>
        <w:pStyle w:val="BodyText"/>
      </w:pPr>
    </w:p>
    <w:p w14:paraId="5ED936EA" w14:textId="44747953" w:rsidR="00E423CB" w:rsidRDefault="00E423CB" w:rsidP="00E423CB">
      <w:pPr>
        <w:pStyle w:val="Heading2"/>
      </w:pPr>
      <w:bookmarkStart w:id="63" w:name="_Statement_of_responsibility"/>
      <w:bookmarkEnd w:id="63"/>
      <w:r>
        <w:t xml:space="preserve">Statement of responsibility </w:t>
      </w:r>
    </w:p>
    <w:p w14:paraId="0ECBF109" w14:textId="77777777" w:rsidR="00E423CB" w:rsidRPr="00B57332" w:rsidRDefault="00E423CB" w:rsidP="00E423CB">
      <w:pPr>
        <w:pStyle w:val="BodyText"/>
      </w:pPr>
      <w:r w:rsidRPr="00B57332">
        <w:t>I am responsible, as Chief Ombudsman, for:</w:t>
      </w:r>
    </w:p>
    <w:p w14:paraId="40EAAD27" w14:textId="77777777" w:rsidR="00E423CB" w:rsidRPr="00B57332" w:rsidRDefault="00E423CB" w:rsidP="00E423CB">
      <w:pPr>
        <w:pStyle w:val="Bullet1"/>
        <w:tabs>
          <w:tab w:val="clear" w:pos="567"/>
        </w:tabs>
      </w:pPr>
      <w:r w:rsidRPr="00B57332">
        <w:t>the preparation of financial statements and the statements of expenses and capital expenditure and for the judgements expressed in them;</w:t>
      </w:r>
    </w:p>
    <w:p w14:paraId="06018491" w14:textId="77777777" w:rsidR="00E423CB" w:rsidRPr="00B57332" w:rsidRDefault="00E423CB" w:rsidP="00E423CB">
      <w:pPr>
        <w:pStyle w:val="Bullet1"/>
        <w:tabs>
          <w:tab w:val="clear" w:pos="567"/>
        </w:tabs>
      </w:pPr>
      <w:r w:rsidRPr="00B57332">
        <w:t>having in place a system of internal control designed to provide a reasonable assurance as to the integrity and reliability of financial reporting;</w:t>
      </w:r>
    </w:p>
    <w:p w14:paraId="03476886" w14:textId="77777777" w:rsidR="00E423CB" w:rsidRPr="00B57332" w:rsidRDefault="00E423CB" w:rsidP="00E423CB">
      <w:pPr>
        <w:pStyle w:val="Bullet1"/>
        <w:tabs>
          <w:tab w:val="clear" w:pos="567"/>
        </w:tabs>
      </w:pPr>
      <w:r w:rsidRPr="00B57332">
        <w:t>ensuring that end-of-year performance information on the appropriation is provided in accordance with sections 19A to 19C of the Public Finance Act 1989, whether or not that information is included in this Annual Report; and</w:t>
      </w:r>
    </w:p>
    <w:p w14:paraId="658198D8" w14:textId="77777777" w:rsidR="00E423CB" w:rsidRPr="00B57332" w:rsidRDefault="00E423CB" w:rsidP="00E423CB">
      <w:pPr>
        <w:pStyle w:val="Bullet1"/>
        <w:tabs>
          <w:tab w:val="clear" w:pos="567"/>
        </w:tabs>
      </w:pPr>
      <w:r w:rsidRPr="00B57332">
        <w:t>the accuracy of any end-of-year performance information, whether or not that information is included in the annual report.</w:t>
      </w:r>
    </w:p>
    <w:p w14:paraId="37D19134" w14:textId="77777777" w:rsidR="00E423CB" w:rsidRPr="00B57332" w:rsidRDefault="00E423CB" w:rsidP="00E423CB">
      <w:pPr>
        <w:pStyle w:val="BodyText"/>
      </w:pPr>
      <w:r w:rsidRPr="00B57332">
        <w:t>In my opinion:</w:t>
      </w:r>
    </w:p>
    <w:p w14:paraId="7DBC5699" w14:textId="77777777" w:rsidR="00E423CB" w:rsidRPr="00B57332" w:rsidRDefault="00E423CB" w:rsidP="00E423CB">
      <w:pPr>
        <w:pStyle w:val="Bullet1"/>
        <w:tabs>
          <w:tab w:val="clear" w:pos="567"/>
        </w:tabs>
      </w:pPr>
      <w:r w:rsidRPr="00B57332">
        <w:t>the annual report fairly reflects operations, progress, and organisational health;</w:t>
      </w:r>
    </w:p>
    <w:p w14:paraId="3D531C33" w14:textId="64A44AFC" w:rsidR="00E423CB" w:rsidRPr="00B57332" w:rsidRDefault="00E423CB" w:rsidP="00E423CB">
      <w:pPr>
        <w:pStyle w:val="Bullet1"/>
        <w:tabs>
          <w:tab w:val="clear" w:pos="567"/>
        </w:tabs>
      </w:pPr>
      <w:r w:rsidRPr="00B57332">
        <w:t>these financial statements fairly reflect the financial position of the Ombudsman for the year ended 30 June 202</w:t>
      </w:r>
      <w:r>
        <w:t>6</w:t>
      </w:r>
      <w:r w:rsidRPr="00B57332">
        <w:t xml:space="preserve"> and operations for the year ended on that date; and</w:t>
      </w:r>
    </w:p>
    <w:p w14:paraId="386DAAAB" w14:textId="085DE8C2" w:rsidR="00E423CB" w:rsidRPr="00B57332" w:rsidRDefault="00E423CB" w:rsidP="00E423CB">
      <w:pPr>
        <w:pStyle w:val="Bullet1"/>
        <w:tabs>
          <w:tab w:val="clear" w:pos="567"/>
        </w:tabs>
      </w:pPr>
      <w:r w:rsidRPr="00B57332">
        <w:t xml:space="preserve">the forecast financial statements fairly reflect the forecast financial position of the Ombudsman as </w:t>
      </w:r>
      <w:proofErr w:type="gramStart"/>
      <w:r w:rsidRPr="00B57332">
        <w:t>at</w:t>
      </w:r>
      <w:proofErr w:type="gramEnd"/>
      <w:r w:rsidRPr="00B57332">
        <w:t xml:space="preserve"> 30 June 202</w:t>
      </w:r>
      <w:r>
        <w:t>6</w:t>
      </w:r>
      <w:r w:rsidRPr="00B57332">
        <w:t xml:space="preserve"> and operations for the year ending on that date.</w:t>
      </w:r>
    </w:p>
    <w:p w14:paraId="6239294D" w14:textId="77777777" w:rsidR="00E423CB" w:rsidRPr="00B57332" w:rsidRDefault="00E423CB" w:rsidP="00E423CB">
      <w:pPr>
        <w:pStyle w:val="BodyText"/>
      </w:pPr>
    </w:p>
    <w:p w14:paraId="45F25E3E" w14:textId="149AF8DB" w:rsidR="00E423CB" w:rsidRPr="00B57332" w:rsidRDefault="00DE2DCD" w:rsidP="00E423CB">
      <w:pPr>
        <w:pStyle w:val="BodyText"/>
        <w:tabs>
          <w:tab w:val="left" w:pos="4536"/>
        </w:tabs>
      </w:pPr>
      <w:r>
        <w:rPr>
          <w:noProof/>
        </w:rPr>
        <w:drawing>
          <wp:inline distT="0" distB="0" distL="0" distR="0" wp14:anchorId="1849B145" wp14:editId="05032086">
            <wp:extent cx="1899097" cy="723900"/>
            <wp:effectExtent l="0" t="0" r="6350" b="0"/>
            <wp:docPr id="140855063" name="Picture 8" descr="John Alle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5063" name="Picture 8" descr="John Allen signatur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07163" cy="726975"/>
                    </a:xfrm>
                    <a:prstGeom prst="rect">
                      <a:avLst/>
                    </a:prstGeom>
                  </pic:spPr>
                </pic:pic>
              </a:graphicData>
            </a:graphic>
          </wp:inline>
        </w:drawing>
      </w:r>
    </w:p>
    <w:p w14:paraId="7E16403E" w14:textId="77777777" w:rsidR="00E423CB" w:rsidRPr="00A7288B" w:rsidRDefault="00E423CB" w:rsidP="00E423CB">
      <w:pPr>
        <w:pStyle w:val="BodyText"/>
        <w:tabs>
          <w:tab w:val="left" w:pos="4536"/>
        </w:tabs>
        <w:spacing w:after="0"/>
        <w:rPr>
          <w:rStyle w:val="Emphasis"/>
        </w:rPr>
      </w:pPr>
      <w:r w:rsidRPr="00A7288B">
        <w:rPr>
          <w:rStyle w:val="Emphasis"/>
        </w:rPr>
        <w:t xml:space="preserve">John Allen </w:t>
      </w:r>
      <w:r w:rsidRPr="00A7288B">
        <w:rPr>
          <w:rStyle w:val="Emphasis"/>
        </w:rPr>
        <w:tab/>
        <w:t xml:space="preserve"> </w:t>
      </w:r>
    </w:p>
    <w:p w14:paraId="36AB94EB" w14:textId="77777777" w:rsidR="00E423CB" w:rsidRPr="00A7288B" w:rsidRDefault="00E423CB" w:rsidP="00E423CB">
      <w:pPr>
        <w:pStyle w:val="BodyText"/>
        <w:tabs>
          <w:tab w:val="left" w:pos="4536"/>
        </w:tabs>
        <w:spacing w:after="0"/>
        <w:ind w:left="4530" w:hanging="4530"/>
      </w:pPr>
      <w:r w:rsidRPr="00A7288B">
        <w:t>Chief Ombudsman</w:t>
      </w:r>
      <w:r w:rsidRPr="00A7288B">
        <w:tab/>
        <w:t xml:space="preserve"> </w:t>
      </w:r>
    </w:p>
    <w:p w14:paraId="6F7CC1BA" w14:textId="2CF806C2" w:rsidR="00E423CB" w:rsidRPr="00A7288B" w:rsidRDefault="00CE3A5B" w:rsidP="00E423CB">
      <w:pPr>
        <w:pStyle w:val="BodyText"/>
        <w:tabs>
          <w:tab w:val="left" w:pos="4536"/>
        </w:tabs>
        <w:rPr>
          <w:b/>
        </w:rPr>
      </w:pPr>
      <w:r>
        <w:rPr>
          <w:b/>
        </w:rPr>
        <w:t>30</w:t>
      </w:r>
      <w:r w:rsidR="00E423CB" w:rsidRPr="00A7288B">
        <w:rPr>
          <w:b/>
        </w:rPr>
        <w:t xml:space="preserve"> September 2026</w:t>
      </w:r>
    </w:p>
    <w:p w14:paraId="2020EBEB" w14:textId="77777777" w:rsidR="00E423CB" w:rsidRPr="00A7288B" w:rsidRDefault="00E423CB" w:rsidP="00E423CB">
      <w:pPr>
        <w:pStyle w:val="BodyText"/>
        <w:tabs>
          <w:tab w:val="left" w:pos="4536"/>
        </w:tabs>
        <w:rPr>
          <w:b/>
        </w:rPr>
      </w:pPr>
    </w:p>
    <w:p w14:paraId="2A0746DA" w14:textId="7486DEDD" w:rsidR="00E423CB" w:rsidRPr="00A7288B" w:rsidRDefault="00145291" w:rsidP="00E423CB">
      <w:pPr>
        <w:pStyle w:val="BodyText"/>
        <w:tabs>
          <w:tab w:val="left" w:pos="4536"/>
        </w:tabs>
        <w:rPr>
          <w:b/>
        </w:rPr>
      </w:pPr>
      <w:r>
        <w:rPr>
          <w:noProof/>
          <w:lang w:eastAsia="en-NZ"/>
        </w:rPr>
        <w:drawing>
          <wp:inline distT="0" distB="0" distL="0" distR="0" wp14:anchorId="7520B6B3" wp14:editId="32790AC8">
            <wp:extent cx="1676400" cy="604713"/>
            <wp:effectExtent l="0" t="0" r="0" b="5080"/>
            <wp:docPr id="6" name="Picture 6" descr="_P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_Pic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36590" cy="626425"/>
                    </a:xfrm>
                    <a:prstGeom prst="rect">
                      <a:avLst/>
                    </a:prstGeom>
                    <a:noFill/>
                    <a:ln>
                      <a:noFill/>
                    </a:ln>
                  </pic:spPr>
                </pic:pic>
              </a:graphicData>
            </a:graphic>
          </wp:inline>
        </w:drawing>
      </w:r>
    </w:p>
    <w:p w14:paraId="7435E0AD" w14:textId="77777777" w:rsidR="00E423CB" w:rsidRPr="00A7288B" w:rsidRDefault="00E423CB" w:rsidP="00E423CB">
      <w:pPr>
        <w:pStyle w:val="BodyText"/>
        <w:tabs>
          <w:tab w:val="left" w:pos="4536"/>
        </w:tabs>
        <w:spacing w:after="0"/>
        <w:rPr>
          <w:rStyle w:val="Emphasis"/>
        </w:rPr>
      </w:pPr>
      <w:r w:rsidRPr="00A7288B">
        <w:rPr>
          <w:rStyle w:val="Emphasis"/>
        </w:rPr>
        <w:t>Meaw-Fong Phang</w:t>
      </w:r>
    </w:p>
    <w:p w14:paraId="51F931A0" w14:textId="77777777" w:rsidR="00E423CB" w:rsidRPr="00A7288B" w:rsidRDefault="00E423CB" w:rsidP="00E423CB">
      <w:pPr>
        <w:pStyle w:val="BodyText"/>
        <w:tabs>
          <w:tab w:val="left" w:pos="4536"/>
        </w:tabs>
        <w:spacing w:after="0"/>
        <w:rPr>
          <w:rStyle w:val="Emphasis"/>
        </w:rPr>
      </w:pPr>
      <w:r w:rsidRPr="00A7288B">
        <w:t>Chief Financial Officer</w:t>
      </w:r>
    </w:p>
    <w:p w14:paraId="2DEA1125" w14:textId="34AB2953" w:rsidR="00E423CB" w:rsidRPr="00197B24" w:rsidRDefault="00CE3A5B" w:rsidP="00197B24">
      <w:pPr>
        <w:pStyle w:val="BodyText"/>
        <w:tabs>
          <w:tab w:val="left" w:pos="4536"/>
        </w:tabs>
        <w:rPr>
          <w:b/>
        </w:rPr>
      </w:pPr>
      <w:r>
        <w:rPr>
          <w:b/>
        </w:rPr>
        <w:t>30</w:t>
      </w:r>
      <w:r w:rsidR="00A317C7" w:rsidRPr="00A7288B">
        <w:rPr>
          <w:b/>
        </w:rPr>
        <w:t xml:space="preserve"> </w:t>
      </w:r>
      <w:r w:rsidR="00E423CB" w:rsidRPr="00A7288B">
        <w:rPr>
          <w:b/>
        </w:rPr>
        <w:t>September 2026</w:t>
      </w:r>
    </w:p>
    <w:p w14:paraId="35F62762" w14:textId="71D9B699" w:rsidR="00E423CB" w:rsidRDefault="006D06A2" w:rsidP="00E423CB">
      <w:pPr>
        <w:pStyle w:val="BodyText"/>
      </w:pPr>
      <w:r>
        <w:rPr>
          <w:noProof/>
        </w:rPr>
        <w:drawing>
          <wp:anchor distT="0" distB="0" distL="114300" distR="114300" simplePos="0" relativeHeight="251673600" behindDoc="1" locked="0" layoutInCell="1" allowOverlap="1" wp14:anchorId="367D431E" wp14:editId="03B809AC">
            <wp:simplePos x="0" y="0"/>
            <wp:positionH relativeFrom="margin">
              <wp:align>right</wp:align>
            </wp:positionH>
            <wp:positionV relativeFrom="paragraph">
              <wp:posOffset>65441</wp:posOffset>
            </wp:positionV>
            <wp:extent cx="2879725" cy="960755"/>
            <wp:effectExtent l="0" t="0" r="0" b="0"/>
            <wp:wrapNone/>
            <wp:docPr id="2072727055" name="Picture 1" descr="The Audit Office Te Mana Arotak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27055" name="Picture 1" descr="The Audit Office Te Mana Arotake logo"/>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879725" cy="960755"/>
                    </a:xfrm>
                    <a:prstGeom prst="rect">
                      <a:avLst/>
                    </a:prstGeom>
                  </pic:spPr>
                </pic:pic>
              </a:graphicData>
            </a:graphic>
          </wp:anchor>
        </w:drawing>
      </w:r>
    </w:p>
    <w:p w14:paraId="39E911F6" w14:textId="24CD44EB" w:rsidR="00E423CB" w:rsidRDefault="00E423CB" w:rsidP="00E423CB">
      <w:pPr>
        <w:pStyle w:val="Heading2"/>
      </w:pPr>
      <w:bookmarkStart w:id="64" w:name="_Independent_Auditor’s_report"/>
      <w:bookmarkEnd w:id="64"/>
      <w:r>
        <w:t>Independent Auditor’s report</w:t>
      </w:r>
    </w:p>
    <w:p w14:paraId="7FC70222" w14:textId="77777777" w:rsidR="00671D30" w:rsidRDefault="00671D30" w:rsidP="00671D30">
      <w:pPr>
        <w:pStyle w:val="BodyText"/>
      </w:pPr>
    </w:p>
    <w:p w14:paraId="460536D1" w14:textId="77777777" w:rsidR="006A5682" w:rsidRDefault="006A5682" w:rsidP="006A5682">
      <w:pPr>
        <w:pStyle w:val="AOHeading-L2"/>
        <w:jc w:val="center"/>
        <w:rPr>
          <w:lang w:val="en-GB"/>
        </w:rPr>
      </w:pPr>
      <w:r w:rsidRPr="00B94E96">
        <w:rPr>
          <w:lang w:val="en-GB"/>
        </w:rPr>
        <w:t xml:space="preserve">To the readers of </w:t>
      </w:r>
      <w:r>
        <w:rPr>
          <w:lang w:val="en-GB"/>
        </w:rPr>
        <w:t xml:space="preserve">the Office of the Ombudsman’s </w:t>
      </w:r>
      <w:r w:rsidRPr="00B94E96">
        <w:rPr>
          <w:lang w:val="en-AU"/>
        </w:rPr>
        <w:t>annual report</w:t>
      </w:r>
      <w:r w:rsidRPr="00B94E96">
        <w:rPr>
          <w:lang w:val="en-GB"/>
        </w:rPr>
        <w:br/>
        <w:t xml:space="preserve">for the year ended </w:t>
      </w:r>
      <w:r>
        <w:rPr>
          <w:lang w:val="en-GB"/>
        </w:rPr>
        <w:t>30 June 2026</w:t>
      </w:r>
    </w:p>
    <w:p w14:paraId="511FDC39" w14:textId="77777777" w:rsidR="006A5682" w:rsidRPr="00B94E96" w:rsidRDefault="006A5682" w:rsidP="006A5682">
      <w:pPr>
        <w:pStyle w:val="AOBodyText"/>
        <w:rPr>
          <w:lang w:val="en-AU"/>
        </w:rPr>
      </w:pPr>
      <w:r w:rsidRPr="00B94E96">
        <w:rPr>
          <w:lang w:val="en-GB"/>
        </w:rPr>
        <w:t xml:space="preserve">The Auditor-General is the auditor of </w:t>
      </w:r>
      <w:r>
        <w:rPr>
          <w:lang w:val="en-GB"/>
        </w:rPr>
        <w:t>the Office of the Ombudsman</w:t>
      </w:r>
      <w:r w:rsidRPr="00B94E96">
        <w:rPr>
          <w:lang w:val="en-GB"/>
        </w:rPr>
        <w:t xml:space="preserve"> (</w:t>
      </w:r>
      <w:r w:rsidRPr="00B94E96">
        <w:rPr>
          <w:lang w:val="en-AU"/>
        </w:rPr>
        <w:t xml:space="preserve">the </w:t>
      </w:r>
      <w:bookmarkStart w:id="65" w:name="_Hlk198210819"/>
      <w:r>
        <w:rPr>
          <w:lang w:val="en-AU"/>
        </w:rPr>
        <w:t>Office</w:t>
      </w:r>
      <w:bookmarkEnd w:id="65"/>
      <w:r w:rsidRPr="00B94E96">
        <w:rPr>
          <w:lang w:val="en-GB"/>
        </w:rPr>
        <w:t xml:space="preserve">). The Auditor-General has appointed me, </w:t>
      </w:r>
      <w:r>
        <w:rPr>
          <w:lang w:val="en-GB"/>
        </w:rPr>
        <w:t>Clint Ramoo</w:t>
      </w:r>
      <w:r w:rsidRPr="00B94E96">
        <w:rPr>
          <w:lang w:val="en-GB"/>
        </w:rPr>
        <w:t xml:space="preserve">, using the staff and resources of </w:t>
      </w:r>
      <w:r>
        <w:rPr>
          <w:lang w:val="en-GB"/>
        </w:rPr>
        <w:t>The Audit Office</w:t>
      </w:r>
      <w:r w:rsidRPr="00B94E96">
        <w:rPr>
          <w:lang w:val="en-GB"/>
        </w:rPr>
        <w:t>, to carry out the audit of the information required to be audited on his behalf.</w:t>
      </w:r>
    </w:p>
    <w:p w14:paraId="4E505CFC" w14:textId="77777777" w:rsidR="006A5682" w:rsidRPr="00B94E96" w:rsidRDefault="006A5682" w:rsidP="006A5682">
      <w:pPr>
        <w:pStyle w:val="AOHeading-L2"/>
        <w:rPr>
          <w:lang w:val="en-AU"/>
        </w:rPr>
      </w:pPr>
      <w:r w:rsidRPr="00B94E96">
        <w:rPr>
          <w:lang w:val="en-AU"/>
        </w:rPr>
        <w:t>Opinion</w:t>
      </w:r>
    </w:p>
    <w:p w14:paraId="7C0C070F" w14:textId="77777777" w:rsidR="006A5682" w:rsidRPr="00B94E96" w:rsidRDefault="006A5682" w:rsidP="006A5682">
      <w:pPr>
        <w:pStyle w:val="AOBodyText"/>
        <w:rPr>
          <w:lang w:val="en-AU"/>
        </w:rPr>
      </w:pPr>
      <w:r w:rsidRPr="00B94E96">
        <w:rPr>
          <w:lang w:val="en-AU"/>
        </w:rPr>
        <w:t>We have audited:</w:t>
      </w:r>
    </w:p>
    <w:p w14:paraId="7477D0A5" w14:textId="087BD45B" w:rsidR="006A5682" w:rsidRPr="00A7288B" w:rsidRDefault="006A5682" w:rsidP="006A5682">
      <w:pPr>
        <w:pStyle w:val="AOBulletLevel1"/>
        <w:tabs>
          <w:tab w:val="clear" w:pos="567"/>
        </w:tabs>
        <w:ind w:left="360" w:hanging="360"/>
        <w:rPr>
          <w:lang w:val="en-AU"/>
        </w:rPr>
      </w:pPr>
      <w:r w:rsidRPr="00B94E96">
        <w:rPr>
          <w:lang w:val="en-AU"/>
        </w:rPr>
        <w:t xml:space="preserve">The financial statements of the </w:t>
      </w:r>
      <w:r>
        <w:rPr>
          <w:lang w:val="en-AU"/>
        </w:rPr>
        <w:t>Office</w:t>
      </w:r>
      <w:r w:rsidRPr="00B94E96">
        <w:rPr>
          <w:lang w:val="en-AU"/>
        </w:rPr>
        <w:t xml:space="preserve"> that comprise the statement of financial position, statement of commitments, statement of contingent </w:t>
      </w:r>
      <w:r>
        <w:rPr>
          <w:lang w:val="en-AU"/>
        </w:rPr>
        <w:t xml:space="preserve">liabilities and contingent </w:t>
      </w:r>
      <w:r w:rsidRPr="00B94E96">
        <w:rPr>
          <w:lang w:val="en-AU"/>
        </w:rPr>
        <w:t xml:space="preserve">assets as at </w:t>
      </w:r>
      <w:r>
        <w:rPr>
          <w:lang w:val="en-AU"/>
        </w:rPr>
        <w:t>30 June 2026</w:t>
      </w:r>
      <w:r w:rsidRPr="00B94E96">
        <w:rPr>
          <w:lang w:val="en-AU"/>
        </w:rPr>
        <w:t xml:space="preserve">, the statement of comprehensive revenue and expenses, statement of changes in equity, and statement of cash flows for the year ended on that date and the notes to the financial statements that include accounting policies and other explanatory information </w:t>
      </w:r>
      <w:r w:rsidRPr="00A7288B">
        <w:rPr>
          <w:lang w:val="en-AU"/>
        </w:rPr>
        <w:t xml:space="preserve">on pages </w:t>
      </w:r>
      <w:r w:rsidR="001E539B" w:rsidRPr="00A7288B">
        <w:rPr>
          <w:lang w:val="en-AU"/>
        </w:rPr>
        <w:t>7</w:t>
      </w:r>
      <w:r w:rsidR="00304970">
        <w:rPr>
          <w:lang w:val="en-AU"/>
        </w:rPr>
        <w:t>1</w:t>
      </w:r>
      <w:r w:rsidR="001E539B" w:rsidRPr="00A7288B">
        <w:rPr>
          <w:lang w:val="en-AU"/>
        </w:rPr>
        <w:t xml:space="preserve"> </w:t>
      </w:r>
      <w:r w:rsidRPr="00A7288B">
        <w:rPr>
          <w:lang w:val="en-AU"/>
        </w:rPr>
        <w:t xml:space="preserve">to </w:t>
      </w:r>
      <w:r w:rsidR="001E539B">
        <w:rPr>
          <w:lang w:val="en-AU"/>
        </w:rPr>
        <w:t>9</w:t>
      </w:r>
      <w:r w:rsidR="00304970">
        <w:rPr>
          <w:lang w:val="en-AU"/>
        </w:rPr>
        <w:t>9</w:t>
      </w:r>
      <w:r w:rsidRPr="00A7288B">
        <w:rPr>
          <w:lang w:val="en-AU"/>
        </w:rPr>
        <w:t>;</w:t>
      </w:r>
    </w:p>
    <w:p w14:paraId="338C3012" w14:textId="22E6D65B" w:rsidR="006A5682" w:rsidRPr="00A7288B" w:rsidRDefault="006A5682" w:rsidP="006A5682">
      <w:pPr>
        <w:pStyle w:val="AOBulletLevel1"/>
        <w:tabs>
          <w:tab w:val="clear" w:pos="567"/>
        </w:tabs>
        <w:ind w:left="360" w:hanging="360"/>
        <w:rPr>
          <w:lang w:val="en-AU"/>
        </w:rPr>
      </w:pPr>
      <w:r w:rsidRPr="00A7288B">
        <w:rPr>
          <w:lang w:val="en-AU"/>
        </w:rPr>
        <w:t xml:space="preserve">The end-of-year performance information for appropriations of the Office for the year ended 30 June 2026 on pages </w:t>
      </w:r>
      <w:r w:rsidR="001E539B">
        <w:rPr>
          <w:lang w:val="en-AU"/>
        </w:rPr>
        <w:t>1</w:t>
      </w:r>
      <w:r w:rsidR="004829BE">
        <w:rPr>
          <w:lang w:val="en-AU"/>
        </w:rPr>
        <w:t>5</w:t>
      </w:r>
      <w:r w:rsidR="001E539B" w:rsidRPr="00A7288B">
        <w:rPr>
          <w:lang w:val="en-AU"/>
        </w:rPr>
        <w:t xml:space="preserve"> </w:t>
      </w:r>
      <w:r w:rsidRPr="00A7288B">
        <w:rPr>
          <w:lang w:val="en-AU"/>
        </w:rPr>
        <w:t xml:space="preserve">to </w:t>
      </w:r>
      <w:r w:rsidR="005C24C6" w:rsidRPr="00A7288B">
        <w:rPr>
          <w:lang w:val="en-AU"/>
        </w:rPr>
        <w:t>4</w:t>
      </w:r>
      <w:r w:rsidR="004829BE">
        <w:rPr>
          <w:lang w:val="en-AU"/>
        </w:rPr>
        <w:t>7</w:t>
      </w:r>
      <w:r w:rsidRPr="00A7288B">
        <w:rPr>
          <w:lang w:val="en-AU"/>
        </w:rPr>
        <w:t xml:space="preserve"> and </w:t>
      </w:r>
      <w:r w:rsidR="00DF62CA" w:rsidRPr="00A7288B">
        <w:rPr>
          <w:lang w:val="en-AU"/>
        </w:rPr>
        <w:t>6</w:t>
      </w:r>
      <w:r w:rsidR="004829BE">
        <w:rPr>
          <w:lang w:val="en-AU"/>
        </w:rPr>
        <w:t>5</w:t>
      </w:r>
      <w:r w:rsidRPr="00A7288B">
        <w:rPr>
          <w:lang w:val="en-AU"/>
        </w:rPr>
        <w:t xml:space="preserve"> to </w:t>
      </w:r>
      <w:r w:rsidR="00DF62CA" w:rsidRPr="00A7288B">
        <w:rPr>
          <w:lang w:val="en-AU"/>
        </w:rPr>
        <w:t>7</w:t>
      </w:r>
      <w:r w:rsidR="004829BE">
        <w:rPr>
          <w:lang w:val="en-AU"/>
        </w:rPr>
        <w:t>1</w:t>
      </w:r>
      <w:r w:rsidRPr="00A7288B">
        <w:rPr>
          <w:lang w:val="en-AU"/>
        </w:rPr>
        <w:t>; and</w:t>
      </w:r>
    </w:p>
    <w:p w14:paraId="241CEC32" w14:textId="6C1E0AC6" w:rsidR="006A5682" w:rsidRPr="00A7288B" w:rsidRDefault="006A5682" w:rsidP="006A5682">
      <w:pPr>
        <w:pStyle w:val="AOBulletLevel1"/>
        <w:tabs>
          <w:tab w:val="clear" w:pos="567"/>
        </w:tabs>
        <w:ind w:left="360" w:hanging="360"/>
        <w:rPr>
          <w:lang w:val="en-AU"/>
        </w:rPr>
      </w:pPr>
      <w:r w:rsidRPr="00A7288B">
        <w:rPr>
          <w:lang w:val="en-AU"/>
        </w:rPr>
        <w:t xml:space="preserve">The statements of expenses and capital expenditure of the Office for the year ended 30 June 2026 on pages </w:t>
      </w:r>
      <w:r w:rsidR="007A695F" w:rsidRPr="00A7288B">
        <w:rPr>
          <w:lang w:val="en-AU"/>
        </w:rPr>
        <w:t>7</w:t>
      </w:r>
      <w:r w:rsidR="004829BE">
        <w:rPr>
          <w:lang w:val="en-AU"/>
        </w:rPr>
        <w:t>1</w:t>
      </w:r>
      <w:r w:rsidRPr="00A7288B">
        <w:rPr>
          <w:lang w:val="en-AU"/>
        </w:rPr>
        <w:t xml:space="preserve"> </w:t>
      </w:r>
      <w:r w:rsidR="00FE3D03">
        <w:rPr>
          <w:lang w:val="en-AU"/>
        </w:rPr>
        <w:t>to</w:t>
      </w:r>
      <w:r w:rsidR="00FE3D03" w:rsidRPr="00A7288B">
        <w:rPr>
          <w:lang w:val="en-AU"/>
        </w:rPr>
        <w:t xml:space="preserve"> 7</w:t>
      </w:r>
      <w:r w:rsidR="004829BE">
        <w:rPr>
          <w:lang w:val="en-AU"/>
        </w:rPr>
        <w:t>3</w:t>
      </w:r>
      <w:r w:rsidRPr="00A7288B">
        <w:rPr>
          <w:lang w:val="en-AU"/>
        </w:rPr>
        <w:t>.</w:t>
      </w:r>
    </w:p>
    <w:p w14:paraId="049E02D9" w14:textId="77777777" w:rsidR="006A5682" w:rsidRPr="00B94E96" w:rsidRDefault="006A5682" w:rsidP="006A5682">
      <w:pPr>
        <w:pStyle w:val="AOBodyText"/>
        <w:rPr>
          <w:lang w:val="en-AU"/>
        </w:rPr>
      </w:pPr>
      <w:r w:rsidRPr="00B94E96">
        <w:rPr>
          <w:lang w:val="en-AU"/>
        </w:rPr>
        <w:t>In our opinion:</w:t>
      </w:r>
    </w:p>
    <w:p w14:paraId="3CDFF9A7" w14:textId="77777777" w:rsidR="006A5682" w:rsidRPr="00B94E96" w:rsidRDefault="006A5682" w:rsidP="006A5682">
      <w:pPr>
        <w:pStyle w:val="AOBulletLevel1"/>
        <w:tabs>
          <w:tab w:val="clear" w:pos="567"/>
        </w:tabs>
        <w:ind w:left="360" w:hanging="360"/>
        <w:rPr>
          <w:lang w:val="en-AU"/>
        </w:rPr>
      </w:pPr>
      <w:r w:rsidRPr="00B94E96">
        <w:rPr>
          <w:lang w:val="en-AU"/>
        </w:rPr>
        <w:t>The financial statements of the</w:t>
      </w:r>
      <w:r>
        <w:rPr>
          <w:lang w:val="en-AU"/>
        </w:rPr>
        <w:t xml:space="preserve"> Office</w:t>
      </w:r>
      <w:r w:rsidRPr="00B94E96">
        <w:rPr>
          <w:lang w:val="en-AU"/>
        </w:rPr>
        <w:t xml:space="preserve"> present fairly, in all material respects, its financial position as </w:t>
      </w:r>
      <w:proofErr w:type="gramStart"/>
      <w:r w:rsidRPr="00B94E96">
        <w:rPr>
          <w:lang w:val="en-AU"/>
        </w:rPr>
        <w:t>at</w:t>
      </w:r>
      <w:proofErr w:type="gramEnd"/>
      <w:r w:rsidRPr="00B94E96">
        <w:rPr>
          <w:lang w:val="en-AU"/>
        </w:rPr>
        <w:t xml:space="preserve"> </w:t>
      </w:r>
      <w:r>
        <w:rPr>
          <w:lang w:val="en-AU"/>
        </w:rPr>
        <w:t>30 June 2026</w:t>
      </w:r>
      <w:r w:rsidRPr="00B94E96">
        <w:rPr>
          <w:lang w:val="en-AU"/>
        </w:rPr>
        <w:t xml:space="preserve">, and its financial performance and cash flows for the year then ended, in accordance with </w:t>
      </w:r>
      <w:r>
        <w:rPr>
          <w:lang w:val="en-AU"/>
        </w:rPr>
        <w:t>Public Benefit Entity Standards</w:t>
      </w:r>
      <w:r w:rsidRPr="00B94E96">
        <w:rPr>
          <w:lang w:val="en-AU"/>
        </w:rPr>
        <w:t xml:space="preserve">. </w:t>
      </w:r>
    </w:p>
    <w:p w14:paraId="777945B2" w14:textId="77777777" w:rsidR="006A5682" w:rsidRPr="00B94E96" w:rsidRDefault="006A5682" w:rsidP="006A5682">
      <w:pPr>
        <w:pStyle w:val="AOBulletLevel1"/>
        <w:tabs>
          <w:tab w:val="clear" w:pos="567"/>
        </w:tabs>
        <w:ind w:left="360" w:hanging="360"/>
        <w:rPr>
          <w:lang w:val="en-AU"/>
        </w:rPr>
      </w:pPr>
      <w:r w:rsidRPr="00B94E96">
        <w:rPr>
          <w:lang w:val="en-AU"/>
        </w:rPr>
        <w:t xml:space="preserve">The end-of-year performance information for </w:t>
      </w:r>
      <w:r>
        <w:rPr>
          <w:lang w:val="en-AU"/>
        </w:rPr>
        <w:t>each</w:t>
      </w:r>
      <w:r w:rsidRPr="00B94E96">
        <w:rPr>
          <w:lang w:val="en-AU"/>
        </w:rPr>
        <w:t xml:space="preserve"> appropriation for the year ended </w:t>
      </w:r>
      <w:r>
        <w:rPr>
          <w:lang w:val="en-AU"/>
        </w:rPr>
        <w:t>30 June 2026</w:t>
      </w:r>
      <w:r w:rsidRPr="00B94E96">
        <w:rPr>
          <w:lang w:val="en-AU"/>
        </w:rPr>
        <w:t xml:space="preserve"> is appropriate and meaningful and prepared in accordance with the </w:t>
      </w:r>
      <w:r>
        <w:rPr>
          <w:lang w:val="en-AU"/>
        </w:rPr>
        <w:t>Office’s</w:t>
      </w:r>
      <w:r w:rsidRPr="00B94E96">
        <w:rPr>
          <w:lang w:val="en-AU"/>
        </w:rPr>
        <w:t xml:space="preserve"> measurement bases or evaluation methods and </w:t>
      </w:r>
      <w:r>
        <w:rPr>
          <w:lang w:val="en-AU"/>
        </w:rPr>
        <w:t>Public Benefit Entity Standards</w:t>
      </w:r>
      <w:r w:rsidRPr="00B94E96">
        <w:rPr>
          <w:lang w:val="en-AU"/>
        </w:rPr>
        <w:t>, and presents fairly, in all material respects:</w:t>
      </w:r>
    </w:p>
    <w:p w14:paraId="0273A931" w14:textId="77777777" w:rsidR="006A5682" w:rsidRPr="00B94E96" w:rsidRDefault="006A5682" w:rsidP="006A5682">
      <w:pPr>
        <w:pStyle w:val="AOBulletLevel2"/>
      </w:pPr>
      <w:r w:rsidRPr="00B94E96">
        <w:t>what has been achieved with the appropriation; and</w:t>
      </w:r>
    </w:p>
    <w:p w14:paraId="2A2E6317" w14:textId="77777777" w:rsidR="006A5682" w:rsidRPr="00B94E96" w:rsidRDefault="006A5682" w:rsidP="006A5682">
      <w:pPr>
        <w:pStyle w:val="AOBulletLevel2"/>
        <w:rPr>
          <w:lang w:val="en-AU"/>
        </w:rPr>
      </w:pPr>
      <w:r w:rsidRPr="00B94E96">
        <w:t>the actual expenses or capital expenditure incurred in relation to the appropriation as compared with the expenses or capital expenditure that were appropriated or forecast to be incurred.</w:t>
      </w:r>
    </w:p>
    <w:p w14:paraId="509C3C3A" w14:textId="77777777" w:rsidR="006A5682" w:rsidRPr="00B94E96" w:rsidRDefault="006A5682" w:rsidP="006A5682">
      <w:pPr>
        <w:pStyle w:val="AOBulletLevel1"/>
        <w:tabs>
          <w:tab w:val="clear" w:pos="567"/>
        </w:tabs>
        <w:ind w:left="360" w:hanging="360"/>
        <w:rPr>
          <w:lang w:val="en-AU"/>
        </w:rPr>
      </w:pPr>
      <w:r w:rsidRPr="00B94E96">
        <w:rPr>
          <w:lang w:val="en-AU"/>
        </w:rPr>
        <w:t>The statements of expenses and capital expenditure have been prepared, in all material respects, in accordance with the requirements of section 45A of the Public Finance Act 1989.</w:t>
      </w:r>
    </w:p>
    <w:p w14:paraId="14BF69DF" w14:textId="77777777" w:rsidR="006A5682" w:rsidRPr="00B94E96" w:rsidRDefault="006A5682" w:rsidP="006A5682">
      <w:pPr>
        <w:pStyle w:val="AOHeading-L2"/>
        <w:rPr>
          <w:lang w:val="en-AU"/>
        </w:rPr>
      </w:pPr>
      <w:r w:rsidRPr="00B94E96">
        <w:rPr>
          <w:lang w:val="en-AU"/>
        </w:rPr>
        <w:t>Basis for our opinion</w:t>
      </w:r>
    </w:p>
    <w:p w14:paraId="0E4D399A" w14:textId="77777777" w:rsidR="006A5682" w:rsidRPr="00B94E96" w:rsidRDefault="006A5682" w:rsidP="006A5682">
      <w:pPr>
        <w:pStyle w:val="AOBodyText"/>
        <w:rPr>
          <w:lang w:val="en-AU"/>
        </w:rPr>
      </w:pPr>
      <w:r w:rsidRPr="00B94E96">
        <w:rPr>
          <w:lang w:val="en-AU"/>
        </w:rPr>
        <w:t>We carried out our audit in accordance with the Auditor-General’s Auditing Standards, which incorporate the Professional and Ethical Standards, the International Standards on Auditing (</w:t>
      </w:r>
      <w:r>
        <w:rPr>
          <w:lang w:val="en-AU"/>
        </w:rPr>
        <w:t>New Zealand</w:t>
      </w:r>
      <w:r w:rsidRPr="00B94E96">
        <w:rPr>
          <w:lang w:val="en-AU"/>
        </w:rPr>
        <w:t xml:space="preserve">), and </w:t>
      </w:r>
      <w:r>
        <w:rPr>
          <w:lang w:val="en-AU"/>
        </w:rPr>
        <w:t>New Zealand</w:t>
      </w:r>
      <w:r w:rsidRPr="00B94E96">
        <w:rPr>
          <w:lang w:val="en-AU"/>
        </w:rPr>
        <w:t xml:space="preserve"> Auditing Standard 1 (Revised): </w:t>
      </w:r>
      <w:r w:rsidRPr="00B94E96">
        <w:rPr>
          <w:i/>
          <w:iCs/>
          <w:lang w:val="en-AU"/>
        </w:rPr>
        <w:t>The Audit of Service Performance Information</w:t>
      </w:r>
      <w:r w:rsidRPr="00B94E96">
        <w:rPr>
          <w:lang w:val="en-AU"/>
        </w:rPr>
        <w:t xml:space="preserve"> issued by the </w:t>
      </w:r>
      <w:r>
        <w:rPr>
          <w:lang w:val="en-AU"/>
        </w:rPr>
        <w:t>New Zealand</w:t>
      </w:r>
      <w:r w:rsidRPr="00B94E96">
        <w:rPr>
          <w:lang w:val="en-AU"/>
        </w:rPr>
        <w:t xml:space="preserve"> Auditing and Assurance Standards Board. Our responsibilities under those standards are further described in the </w:t>
      </w:r>
      <w:r w:rsidRPr="00B94E96">
        <w:rPr>
          <w:i/>
          <w:iCs/>
          <w:lang w:val="en-AU"/>
        </w:rPr>
        <w:t>Responsibilities of the auditor</w:t>
      </w:r>
      <w:r w:rsidRPr="00B94E96">
        <w:rPr>
          <w:lang w:val="en-AU"/>
        </w:rPr>
        <w:t xml:space="preserve"> </w:t>
      </w:r>
      <w:r w:rsidRPr="00B94E96">
        <w:rPr>
          <w:bCs/>
          <w:i/>
          <w:iCs/>
          <w:lang w:val="en-AU"/>
        </w:rPr>
        <w:t>for the information to be audited</w:t>
      </w:r>
      <w:r w:rsidRPr="00B94E96">
        <w:rPr>
          <w:lang w:val="en-AU"/>
        </w:rPr>
        <w:t xml:space="preserve"> section of our report. </w:t>
      </w:r>
    </w:p>
    <w:p w14:paraId="43A77527" w14:textId="77777777" w:rsidR="006A5682" w:rsidRPr="00B94E96" w:rsidRDefault="006A5682" w:rsidP="006A5682">
      <w:pPr>
        <w:pStyle w:val="AOBodyText"/>
        <w:rPr>
          <w:lang w:val="en-AU"/>
        </w:rPr>
      </w:pPr>
      <w:r w:rsidRPr="00B94E96">
        <w:rPr>
          <w:lang w:val="en-AU"/>
        </w:rPr>
        <w:t xml:space="preserve">We have fulfilled our responsibilities in accordance with the Auditor-General’s Auditing Standards. </w:t>
      </w:r>
    </w:p>
    <w:p w14:paraId="0A463974" w14:textId="77777777" w:rsidR="006A5682" w:rsidRPr="00B94E96" w:rsidRDefault="006A5682" w:rsidP="006A5682">
      <w:pPr>
        <w:pStyle w:val="AOBodyText"/>
        <w:rPr>
          <w:lang w:val="en-AU"/>
        </w:rPr>
      </w:pPr>
      <w:r w:rsidRPr="00B94E96">
        <w:rPr>
          <w:lang w:val="en-AU"/>
        </w:rPr>
        <w:t>We believe that the audit evidence we have obtained is sufficient and appropriate to provide a basis for our audit opinion.</w:t>
      </w:r>
    </w:p>
    <w:p w14:paraId="4316DA47" w14:textId="77777777" w:rsidR="006A5682" w:rsidRPr="00B94E96" w:rsidRDefault="006A5682" w:rsidP="006A5682">
      <w:pPr>
        <w:pStyle w:val="AOHeading-L2"/>
        <w:rPr>
          <w:lang w:val="en-AU"/>
        </w:rPr>
      </w:pPr>
      <w:r w:rsidRPr="00B94E96">
        <w:rPr>
          <w:lang w:val="en-AU"/>
        </w:rPr>
        <w:t xml:space="preserve">Responsibilities of the Chief </w:t>
      </w:r>
      <w:r>
        <w:rPr>
          <w:lang w:val="en-AU"/>
        </w:rPr>
        <w:t xml:space="preserve">Ombudsman </w:t>
      </w:r>
      <w:r w:rsidRPr="00B94E96">
        <w:rPr>
          <w:lang w:val="en-AU"/>
        </w:rPr>
        <w:t>for the information to be audited</w:t>
      </w:r>
    </w:p>
    <w:p w14:paraId="5EC0A60A" w14:textId="77777777" w:rsidR="006A5682" w:rsidRPr="00B94E96" w:rsidRDefault="006A5682" w:rsidP="006A5682">
      <w:pPr>
        <w:pStyle w:val="AOBodyText"/>
        <w:rPr>
          <w:lang w:val="en-AU"/>
        </w:rPr>
      </w:pPr>
      <w:r w:rsidRPr="00B94E96">
        <w:rPr>
          <w:lang w:val="en-AU"/>
        </w:rPr>
        <w:t xml:space="preserve">The Chief </w:t>
      </w:r>
      <w:r>
        <w:rPr>
          <w:lang w:val="en-AU"/>
        </w:rPr>
        <w:t>Ombudsman</w:t>
      </w:r>
      <w:r w:rsidRPr="00B94E96">
        <w:rPr>
          <w:lang w:val="en-AU"/>
        </w:rPr>
        <w:t xml:space="preserve"> is responsible on behalf of the </w:t>
      </w:r>
      <w:r>
        <w:rPr>
          <w:lang w:val="en-AU"/>
        </w:rPr>
        <w:t>Office</w:t>
      </w:r>
      <w:r w:rsidRPr="00B94E96">
        <w:rPr>
          <w:lang w:val="en-GB"/>
        </w:rPr>
        <w:t xml:space="preserve"> </w:t>
      </w:r>
      <w:r w:rsidRPr="00B94E96">
        <w:rPr>
          <w:lang w:val="en-AU"/>
        </w:rPr>
        <w:t>for preparing financial statements and end-of-year performance information for appropriations that are fairly</w:t>
      </w:r>
      <w:r w:rsidRPr="00B94E96" w:rsidDel="00D07277">
        <w:rPr>
          <w:lang w:val="en-AU"/>
        </w:rPr>
        <w:t xml:space="preserve"> </w:t>
      </w:r>
      <w:r w:rsidRPr="00B94E96">
        <w:rPr>
          <w:lang w:val="en-AU"/>
        </w:rPr>
        <w:t xml:space="preserve">presented and comply with </w:t>
      </w:r>
      <w:r>
        <w:rPr>
          <w:lang w:val="en-AU"/>
        </w:rPr>
        <w:t>Public Benefit Entity Standards</w:t>
      </w:r>
      <w:r w:rsidRPr="00B94E96">
        <w:rPr>
          <w:lang w:val="en-AU"/>
        </w:rPr>
        <w:t xml:space="preserve"> and legislative requirements. </w:t>
      </w:r>
    </w:p>
    <w:p w14:paraId="1FAEBC14" w14:textId="77777777" w:rsidR="006A5682" w:rsidRPr="00B94E96" w:rsidRDefault="006A5682" w:rsidP="006A5682">
      <w:pPr>
        <w:pStyle w:val="AOBodyText"/>
        <w:rPr>
          <w:lang w:val="en-AU"/>
        </w:rPr>
      </w:pPr>
      <w:r w:rsidRPr="00B94E96">
        <w:rPr>
          <w:lang w:val="en-AU"/>
        </w:rPr>
        <w:t>This includes:</w:t>
      </w:r>
    </w:p>
    <w:p w14:paraId="0D721B11" w14:textId="77777777" w:rsidR="006A5682" w:rsidRPr="00B94E96" w:rsidRDefault="006A5682" w:rsidP="006A5682">
      <w:pPr>
        <w:pStyle w:val="AOBulletLevel1"/>
        <w:tabs>
          <w:tab w:val="clear" w:pos="567"/>
        </w:tabs>
        <w:ind w:left="360" w:hanging="360"/>
        <w:rPr>
          <w:lang w:val="en-AU"/>
        </w:rPr>
      </w:pPr>
      <w:r w:rsidRPr="00B94E96">
        <w:rPr>
          <w:lang w:val="en-AU"/>
        </w:rPr>
        <w:t>the selection of elements/aspects of service performance, performance measures and/or descriptions, and measurement bases or evaluation methods to enable the presentation of service performance information that is appropriate and meaningful; and</w:t>
      </w:r>
    </w:p>
    <w:p w14:paraId="6D851FCF" w14:textId="77777777" w:rsidR="006A5682" w:rsidRPr="00B94E96" w:rsidRDefault="006A5682" w:rsidP="006A5682">
      <w:pPr>
        <w:pStyle w:val="AOBulletLevel1"/>
        <w:tabs>
          <w:tab w:val="clear" w:pos="567"/>
        </w:tabs>
        <w:ind w:left="360" w:hanging="360"/>
        <w:rPr>
          <w:lang w:val="en-AU"/>
        </w:rPr>
      </w:pPr>
      <w:r w:rsidRPr="00B94E96">
        <w:rPr>
          <w:lang w:val="en-AU"/>
        </w:rPr>
        <w:t xml:space="preserve">the preparation of end-of-year performance information for an appropriation in accordance with the </w:t>
      </w:r>
      <w:r>
        <w:rPr>
          <w:lang w:val="en-AU"/>
        </w:rPr>
        <w:t>Office</w:t>
      </w:r>
      <w:r w:rsidRPr="00B94E96">
        <w:rPr>
          <w:lang w:val="en-AU"/>
        </w:rPr>
        <w:t xml:space="preserve">’s measurement bases or evaluation methods and </w:t>
      </w:r>
      <w:r>
        <w:rPr>
          <w:lang w:val="en-AU"/>
        </w:rPr>
        <w:t>Public Benefit Entity Standards</w:t>
      </w:r>
      <w:r w:rsidRPr="00B94E96">
        <w:rPr>
          <w:lang w:val="en-AU"/>
        </w:rPr>
        <w:t xml:space="preserve"> and legislative requirements.</w:t>
      </w:r>
    </w:p>
    <w:p w14:paraId="272230BA" w14:textId="77777777" w:rsidR="006A5682" w:rsidRPr="00B94E96" w:rsidRDefault="006A5682" w:rsidP="006A5682">
      <w:pPr>
        <w:pStyle w:val="AOBodyText"/>
        <w:rPr>
          <w:lang w:val="en-AU"/>
        </w:rPr>
      </w:pPr>
      <w:r w:rsidRPr="00B94E96">
        <w:rPr>
          <w:lang w:val="en-AU"/>
        </w:rPr>
        <w:t xml:space="preserve">The Chief </w:t>
      </w:r>
      <w:r>
        <w:rPr>
          <w:lang w:val="en-AU"/>
        </w:rPr>
        <w:t>Ombudsman</w:t>
      </w:r>
      <w:r w:rsidRPr="00B94E96">
        <w:rPr>
          <w:lang w:val="en-AU"/>
        </w:rPr>
        <w:t xml:space="preserve"> is responsible on behalf of the </w:t>
      </w:r>
      <w:r>
        <w:rPr>
          <w:lang w:val="en-AU"/>
        </w:rPr>
        <w:t>Office</w:t>
      </w:r>
      <w:r w:rsidRPr="00B94E96">
        <w:rPr>
          <w:lang w:val="en-GB"/>
        </w:rPr>
        <w:t xml:space="preserve"> </w:t>
      </w:r>
      <w:r w:rsidRPr="00B94E96">
        <w:rPr>
          <w:lang w:val="en-AU"/>
        </w:rPr>
        <w:t xml:space="preserve">for preparing statements of expenses and capital expenditure of the </w:t>
      </w:r>
      <w:r>
        <w:rPr>
          <w:lang w:val="en-AU"/>
        </w:rPr>
        <w:t>Office</w:t>
      </w:r>
      <w:r w:rsidRPr="00B94E96">
        <w:rPr>
          <w:lang w:val="en-AU"/>
        </w:rPr>
        <w:t>, that are prepared in accordance with section 45A of the Public Finance Act 1989.</w:t>
      </w:r>
    </w:p>
    <w:p w14:paraId="65B41208" w14:textId="77777777" w:rsidR="006A5682" w:rsidRPr="00B94E96" w:rsidRDefault="006A5682" w:rsidP="006A5682">
      <w:pPr>
        <w:pStyle w:val="AOBodyText"/>
        <w:rPr>
          <w:lang w:val="en-AU"/>
        </w:rPr>
      </w:pPr>
      <w:r w:rsidRPr="00B94E96">
        <w:rPr>
          <w:lang w:val="en-AU"/>
        </w:rPr>
        <w:t xml:space="preserve">The Chief </w:t>
      </w:r>
      <w:r>
        <w:rPr>
          <w:lang w:val="en-AU"/>
        </w:rPr>
        <w:t>Ombudsman</w:t>
      </w:r>
      <w:r w:rsidRPr="00B94E96">
        <w:rPr>
          <w:lang w:val="en-AU"/>
        </w:rPr>
        <w:t xml:space="preserve"> is responsible for such internal control as is determined is necessary to enable the preparation of the information to be audited that is free from material misstatement, whether due to fraud or error. </w:t>
      </w:r>
    </w:p>
    <w:p w14:paraId="48249B2A" w14:textId="77777777" w:rsidR="006A5682" w:rsidRPr="00B94E96" w:rsidRDefault="006A5682" w:rsidP="006A5682">
      <w:pPr>
        <w:pStyle w:val="AOBodyText"/>
        <w:rPr>
          <w:lang w:val="en-GB"/>
        </w:rPr>
      </w:pPr>
      <w:r w:rsidRPr="00B94E96">
        <w:rPr>
          <w:lang w:val="en-GB"/>
        </w:rPr>
        <w:t xml:space="preserve">In preparing the information to be audited, the </w:t>
      </w:r>
      <w:r w:rsidRPr="00B94E96">
        <w:rPr>
          <w:lang w:val="en-AU"/>
        </w:rPr>
        <w:t xml:space="preserve">Chief </w:t>
      </w:r>
      <w:r>
        <w:rPr>
          <w:lang w:val="en-AU"/>
        </w:rPr>
        <w:t>Ombudsman</w:t>
      </w:r>
      <w:r w:rsidRPr="00B94E96">
        <w:rPr>
          <w:lang w:val="en-AU"/>
        </w:rPr>
        <w:t xml:space="preserve"> </w:t>
      </w:r>
      <w:r w:rsidRPr="00B94E96">
        <w:rPr>
          <w:lang w:val="en-GB"/>
        </w:rPr>
        <w:t xml:space="preserve">is responsible on behalf of the </w:t>
      </w:r>
      <w:bookmarkStart w:id="66" w:name="_Hlk198215051"/>
      <w:r>
        <w:rPr>
          <w:lang w:val="en-GB"/>
        </w:rPr>
        <w:t>Office</w:t>
      </w:r>
      <w:bookmarkEnd w:id="66"/>
      <w:r w:rsidRPr="00B94E96">
        <w:rPr>
          <w:lang w:val="en-GB"/>
        </w:rPr>
        <w:t xml:space="preserve"> for assessing the </w:t>
      </w:r>
      <w:r>
        <w:rPr>
          <w:lang w:val="en-GB"/>
        </w:rPr>
        <w:t>Office</w:t>
      </w:r>
      <w:r w:rsidRPr="00B94E96">
        <w:rPr>
          <w:lang w:val="en-GB"/>
        </w:rPr>
        <w:t xml:space="preserve">’s ability to continue as a going concern. The </w:t>
      </w:r>
      <w:r w:rsidRPr="00B94E96">
        <w:rPr>
          <w:iCs/>
          <w:lang w:val="en-AU"/>
        </w:rPr>
        <w:t xml:space="preserve">Chief </w:t>
      </w:r>
      <w:r>
        <w:rPr>
          <w:iCs/>
          <w:lang w:val="en-AU"/>
        </w:rPr>
        <w:t>Ombudsman</w:t>
      </w:r>
      <w:r w:rsidRPr="00B94E96">
        <w:rPr>
          <w:iCs/>
          <w:lang w:val="en-AU"/>
        </w:rPr>
        <w:t xml:space="preserve"> </w:t>
      </w:r>
      <w:r w:rsidRPr="00B94E96">
        <w:rPr>
          <w:iCs/>
          <w:lang w:val="en-GB"/>
        </w:rPr>
        <w:t>is also responsible for disclosing, as applicable, matters</w:t>
      </w:r>
      <w:r w:rsidRPr="00B94E96">
        <w:rPr>
          <w:lang w:val="en-GB"/>
        </w:rPr>
        <w:t xml:space="preserve"> related to going concern and using the going concern basis of accounting, </w:t>
      </w:r>
      <w:r w:rsidRPr="00B94E96">
        <w:rPr>
          <w:lang w:val="en-AU"/>
        </w:rPr>
        <w:t xml:space="preserve">unless there is an intention to merge or to terminate the activities of the </w:t>
      </w:r>
      <w:r>
        <w:rPr>
          <w:lang w:val="en-AU"/>
        </w:rPr>
        <w:t>Office</w:t>
      </w:r>
      <w:r w:rsidRPr="00B94E96">
        <w:rPr>
          <w:lang w:val="en-AU"/>
        </w:rPr>
        <w:t>, or there is no realistic alternative but to do so</w:t>
      </w:r>
      <w:r w:rsidRPr="00B94E96">
        <w:rPr>
          <w:lang w:val="en-GB"/>
        </w:rPr>
        <w:t>.</w:t>
      </w:r>
    </w:p>
    <w:p w14:paraId="3F61876E" w14:textId="77777777" w:rsidR="006A5682" w:rsidRPr="00B94E96" w:rsidRDefault="006A5682" w:rsidP="006A5682">
      <w:pPr>
        <w:pStyle w:val="AOBodyText"/>
        <w:rPr>
          <w:lang w:val="en-AU"/>
        </w:rPr>
      </w:pPr>
      <w:r w:rsidRPr="00B94E96">
        <w:rPr>
          <w:lang w:val="en-GB"/>
        </w:rPr>
        <w:t xml:space="preserve">The </w:t>
      </w:r>
      <w:r w:rsidRPr="00B94E96">
        <w:rPr>
          <w:lang w:val="en-AU"/>
        </w:rPr>
        <w:t xml:space="preserve">Chief </w:t>
      </w:r>
      <w:r>
        <w:rPr>
          <w:lang w:val="en-AU"/>
        </w:rPr>
        <w:t>Ombudsman</w:t>
      </w:r>
      <w:r w:rsidRPr="00B94E96">
        <w:rPr>
          <w:lang w:val="en-GB"/>
        </w:rPr>
        <w:t xml:space="preserve">’s </w:t>
      </w:r>
      <w:r w:rsidRPr="00B94E96">
        <w:rPr>
          <w:lang w:val="en-AU"/>
        </w:rPr>
        <w:t>responsibilities arise from the Public Finance Act 1989.</w:t>
      </w:r>
    </w:p>
    <w:p w14:paraId="1B955364" w14:textId="77777777" w:rsidR="006A5682" w:rsidRPr="00B94E96" w:rsidRDefault="006A5682" w:rsidP="006A5682">
      <w:pPr>
        <w:pStyle w:val="AOHeading-L2"/>
        <w:rPr>
          <w:lang w:val="en-AU"/>
        </w:rPr>
      </w:pPr>
      <w:r w:rsidRPr="00B94E96">
        <w:rPr>
          <w:lang w:val="en-AU"/>
        </w:rPr>
        <w:t>Responsibilities of the auditor for the information to be audited</w:t>
      </w:r>
    </w:p>
    <w:p w14:paraId="4AACE14B" w14:textId="77777777" w:rsidR="006A5682" w:rsidRPr="00B94E96" w:rsidRDefault="006A5682" w:rsidP="006A5682">
      <w:pPr>
        <w:pStyle w:val="AOBodyText"/>
        <w:rPr>
          <w:lang w:val="en-AU"/>
        </w:rPr>
      </w:pPr>
      <w:r w:rsidRPr="00B94E96">
        <w:rPr>
          <w:lang w:val="en-AU"/>
        </w:rPr>
        <w:t>Our objectives are to obtain reasonable assurance about whether the information we audited</w:t>
      </w:r>
      <w:proofErr w:type="gramStart"/>
      <w:r w:rsidRPr="00B94E96">
        <w:rPr>
          <w:lang w:val="en-AU"/>
        </w:rPr>
        <w:t>, as a whole, is</w:t>
      </w:r>
      <w:proofErr w:type="gramEnd"/>
      <w:r w:rsidRPr="00B94E96">
        <w:rPr>
          <w:lang w:val="en-AU"/>
        </w:rPr>
        <w:t xml:space="preserve"> free from material misstatement, whether due to fraud or error, and to issue an auditor’s report that includes our opinion. </w:t>
      </w:r>
    </w:p>
    <w:p w14:paraId="654BDC66" w14:textId="77777777" w:rsidR="006A5682" w:rsidRPr="00B94E96" w:rsidRDefault="006A5682" w:rsidP="006A5682">
      <w:pPr>
        <w:pStyle w:val="AOBodyText"/>
        <w:rPr>
          <w:lang w:val="en-AU"/>
        </w:rPr>
      </w:pPr>
      <w:r w:rsidRPr="00B94E96">
        <w:rPr>
          <w:lang w:val="en-AU"/>
        </w:rPr>
        <w:t xml:space="preserve">Reasonable assurance is a high level of </w:t>
      </w:r>
      <w:proofErr w:type="gramStart"/>
      <w:r w:rsidRPr="00B94E96">
        <w:rPr>
          <w:lang w:val="en-AU"/>
        </w:rPr>
        <w:t>assurance, but</w:t>
      </w:r>
      <w:proofErr w:type="gramEnd"/>
      <w:r w:rsidRPr="00B94E96">
        <w:rPr>
          <w:lang w:val="en-AU"/>
        </w:rPr>
        <w:t xml:space="preserve"> is not a guarantee that an audit carried out in accordance with the Auditor-General’s Auditing Standards will always detect a material misstatement when it exists. Misstatements are differences or omissions of amounts or </w:t>
      </w:r>
      <w:proofErr w:type="gramStart"/>
      <w:r w:rsidRPr="00B94E96">
        <w:rPr>
          <w:lang w:val="en-AU"/>
        </w:rPr>
        <w:t>disclosures, and</w:t>
      </w:r>
      <w:proofErr w:type="gramEnd"/>
      <w:r w:rsidRPr="00B94E96">
        <w:rPr>
          <w:lang w:val="en-AU"/>
        </w:rPr>
        <w:t xml:space="preserve"> can arise from fraud or error. Misstatements are considered material if, individually or in the aggregate, they could reasonably be expected to influence the decisions of readers, taken </w:t>
      </w:r>
      <w:proofErr w:type="gramStart"/>
      <w:r w:rsidRPr="00B94E96">
        <w:rPr>
          <w:lang w:val="en-AU"/>
        </w:rPr>
        <w:t>on the basis of</w:t>
      </w:r>
      <w:proofErr w:type="gramEnd"/>
      <w:r w:rsidRPr="00B94E96">
        <w:rPr>
          <w:lang w:val="en-AU"/>
        </w:rPr>
        <w:t xml:space="preserve"> the information we audited.</w:t>
      </w:r>
    </w:p>
    <w:p w14:paraId="2A53334F" w14:textId="77777777" w:rsidR="006A5682" w:rsidRPr="00B94E96" w:rsidRDefault="006A5682" w:rsidP="006A5682">
      <w:pPr>
        <w:pStyle w:val="AOBodyText"/>
        <w:rPr>
          <w:lang w:val="en-AU"/>
        </w:rPr>
      </w:pPr>
      <w:r w:rsidRPr="00B94E96">
        <w:rPr>
          <w:lang w:val="en-AU"/>
        </w:rPr>
        <w:t xml:space="preserve">For the budget information reported in the information we audit, our procedures are limited to checking that the information agrees to the Estimates of Appropriations for the Government of </w:t>
      </w:r>
      <w:r>
        <w:rPr>
          <w:lang w:val="en-AU"/>
        </w:rPr>
        <w:t>New Zealand</w:t>
      </w:r>
      <w:r w:rsidRPr="00B94E96">
        <w:rPr>
          <w:lang w:val="en-AU"/>
        </w:rPr>
        <w:t xml:space="preserve"> for the Year Ending </w:t>
      </w:r>
      <w:r>
        <w:rPr>
          <w:lang w:val="en-AU"/>
        </w:rPr>
        <w:t>30 June 2026</w:t>
      </w:r>
      <w:r w:rsidRPr="00B94E96">
        <w:rPr>
          <w:lang w:val="en-AU"/>
        </w:rPr>
        <w:t xml:space="preserve">. For performance information for appropriations, we agree any changes from the performance measures and standards in the Estimates to the Supplementary Estimates. For the forecast financial information for the year ending </w:t>
      </w:r>
      <w:r>
        <w:rPr>
          <w:lang w:val="en-AU"/>
        </w:rPr>
        <w:t>30 June</w:t>
      </w:r>
      <w:r w:rsidRPr="00B94E96">
        <w:rPr>
          <w:lang w:val="en-AU"/>
        </w:rPr>
        <w:t xml:space="preserve"> </w:t>
      </w:r>
      <w:r>
        <w:rPr>
          <w:lang w:val="en-AU"/>
        </w:rPr>
        <w:t>2027</w:t>
      </w:r>
      <w:r w:rsidRPr="00B94E96">
        <w:rPr>
          <w:lang w:val="en-AU"/>
        </w:rPr>
        <w:t xml:space="preserve">, our procedures are limited to checking to the best estimate financial forecast information based on the </w:t>
      </w:r>
      <w:r w:rsidRPr="00193A98">
        <w:rPr>
          <w:lang w:val="en-AU"/>
        </w:rPr>
        <w:t>Budget Economic</w:t>
      </w:r>
      <w:r w:rsidRPr="00B94E96">
        <w:rPr>
          <w:lang w:val="en-AU"/>
        </w:rPr>
        <w:t xml:space="preserve"> Fiscal Update for the year ending </w:t>
      </w:r>
      <w:r>
        <w:rPr>
          <w:lang w:val="en-AU"/>
        </w:rPr>
        <w:t>30 June 2027</w:t>
      </w:r>
      <w:r w:rsidRPr="00B94E96">
        <w:rPr>
          <w:lang w:val="en-AU"/>
        </w:rPr>
        <w:t>.</w:t>
      </w:r>
    </w:p>
    <w:p w14:paraId="54E43A03" w14:textId="77777777" w:rsidR="006A5682" w:rsidRPr="00B94E96" w:rsidRDefault="006A5682" w:rsidP="006A5682">
      <w:pPr>
        <w:pStyle w:val="AOBodyText"/>
        <w:rPr>
          <w:lang w:val="en-AU"/>
        </w:rPr>
      </w:pPr>
      <w:r w:rsidRPr="00B94E96">
        <w:rPr>
          <w:lang w:val="en-AU"/>
        </w:rPr>
        <w:t>As part of an audit in accordance with the Auditor-General’s Auditing Standards, we exercise professional judgement and maintain professional scepticism throughout the audit. Also:</w:t>
      </w:r>
    </w:p>
    <w:p w14:paraId="52925689" w14:textId="77777777" w:rsidR="006A5682" w:rsidRPr="00B94E96" w:rsidRDefault="006A5682" w:rsidP="006A5682">
      <w:pPr>
        <w:pStyle w:val="AOBulletLevel1"/>
        <w:tabs>
          <w:tab w:val="clear" w:pos="567"/>
        </w:tabs>
        <w:ind w:left="360" w:hanging="360"/>
        <w:rPr>
          <w:lang w:val="en-AU"/>
        </w:rPr>
      </w:pPr>
      <w:r w:rsidRPr="00B94E96">
        <w:rPr>
          <w:lang w:val="en-AU"/>
        </w:rPr>
        <w:t>We identify and assess the risks of material misstatement of the information we audited,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w:t>
      </w:r>
    </w:p>
    <w:p w14:paraId="530EB09E" w14:textId="77777777" w:rsidR="006A5682" w:rsidRPr="00B94E96" w:rsidRDefault="006A5682" w:rsidP="006A5682">
      <w:pPr>
        <w:pStyle w:val="AOBulletLevel1"/>
        <w:tabs>
          <w:tab w:val="clear" w:pos="567"/>
        </w:tabs>
        <w:ind w:left="360" w:hanging="360"/>
        <w:rPr>
          <w:lang w:val="en-AU"/>
        </w:rPr>
      </w:pPr>
      <w:r w:rsidRPr="00B94E96">
        <w:rPr>
          <w:lang w:val="en-AU"/>
        </w:rPr>
        <w:t xml:space="preserve">We obtain an understanding of internal control relevant to the audit </w:t>
      </w:r>
      <w:proofErr w:type="gramStart"/>
      <w:r w:rsidRPr="00B94E96">
        <w:rPr>
          <w:lang w:val="en-AU"/>
        </w:rPr>
        <w:t>in order to</w:t>
      </w:r>
      <w:proofErr w:type="gramEnd"/>
      <w:r w:rsidRPr="00B94E96">
        <w:rPr>
          <w:lang w:val="en-AU"/>
        </w:rPr>
        <w:t xml:space="preserve"> design audit procedures that are appropriate in the circumstances, but not for the purpose of expressing an opinion on the effectiveness of the </w:t>
      </w:r>
      <w:r>
        <w:rPr>
          <w:lang w:val="en-AU"/>
        </w:rPr>
        <w:t>Office</w:t>
      </w:r>
      <w:r w:rsidRPr="00B94E96">
        <w:rPr>
          <w:lang w:val="en-AU"/>
        </w:rPr>
        <w:t>’s internal control.</w:t>
      </w:r>
    </w:p>
    <w:p w14:paraId="759A77FC" w14:textId="77777777" w:rsidR="006A5682" w:rsidRPr="00B94E96" w:rsidRDefault="006A5682" w:rsidP="006A5682">
      <w:pPr>
        <w:pStyle w:val="AOBulletLevel1"/>
        <w:tabs>
          <w:tab w:val="clear" w:pos="567"/>
        </w:tabs>
        <w:ind w:left="360" w:hanging="360"/>
        <w:rPr>
          <w:lang w:val="en-AU"/>
        </w:rPr>
      </w:pPr>
      <w:r w:rsidRPr="00B94E96">
        <w:rPr>
          <w:lang w:val="en-AU"/>
        </w:rPr>
        <w:t xml:space="preserve">We evaluate the appropriateness of accounting policies used and the reasonableness of accounting estimates and related disclosures made by the Chief </w:t>
      </w:r>
      <w:r>
        <w:rPr>
          <w:lang w:val="en-AU"/>
        </w:rPr>
        <w:t>Ombudsman</w:t>
      </w:r>
      <w:r w:rsidRPr="00B94E96">
        <w:rPr>
          <w:lang w:val="en-AU"/>
        </w:rPr>
        <w:t>.</w:t>
      </w:r>
    </w:p>
    <w:p w14:paraId="41F9EF8A" w14:textId="77777777" w:rsidR="006A5682" w:rsidRPr="00B94E96" w:rsidRDefault="006A5682" w:rsidP="006A5682">
      <w:pPr>
        <w:pStyle w:val="AOBulletLevel1"/>
        <w:tabs>
          <w:tab w:val="clear" w:pos="567"/>
        </w:tabs>
        <w:ind w:left="360" w:hanging="360"/>
        <w:rPr>
          <w:lang w:val="en-AU"/>
        </w:rPr>
      </w:pPr>
      <w:r w:rsidRPr="00B94E96">
        <w:t xml:space="preserve">We obtain an understanding of the process applied by the </w:t>
      </w:r>
      <w:r>
        <w:t>Office</w:t>
      </w:r>
      <w:r w:rsidRPr="00B94E96">
        <w:t xml:space="preserve"> to select its elements/aspects of service performance, performance measures and/or descriptions and the measurement bases or evaluation methods.</w:t>
      </w:r>
    </w:p>
    <w:p w14:paraId="2C6757AD" w14:textId="77777777" w:rsidR="006A5682" w:rsidRPr="00B94E96" w:rsidRDefault="006A5682" w:rsidP="006A5682">
      <w:pPr>
        <w:pStyle w:val="AOBulletLevel1"/>
        <w:tabs>
          <w:tab w:val="clear" w:pos="567"/>
        </w:tabs>
        <w:ind w:left="360" w:hanging="360"/>
      </w:pPr>
      <w:r w:rsidRPr="00B94E96">
        <w:t>In respect of the end-of-year performance information for appropriations, we:</w:t>
      </w:r>
    </w:p>
    <w:p w14:paraId="139B59D2" w14:textId="77777777" w:rsidR="006A5682" w:rsidRPr="00B94E96" w:rsidRDefault="006A5682" w:rsidP="006A5682">
      <w:pPr>
        <w:pStyle w:val="AOBulletLevel2"/>
        <w:rPr>
          <w:lang w:val="en-AU"/>
        </w:rPr>
      </w:pPr>
      <w:r w:rsidRPr="00B94E96">
        <w:t xml:space="preserve">obtain an understanding of the process applied by the </w:t>
      </w:r>
      <w:r>
        <w:t>Office</w:t>
      </w:r>
      <w:r w:rsidRPr="00B94E96">
        <w:t xml:space="preserve"> to select its elements/aspects of service performance, performance measures and/or descriptions and the measurement bases or evaluation methods and evaluate whether these present an appropriate and meaningful assessment of the entity’s service performance.</w:t>
      </w:r>
    </w:p>
    <w:p w14:paraId="49D19C30" w14:textId="77777777" w:rsidR="006A5682" w:rsidRPr="00B94E96" w:rsidRDefault="006A5682" w:rsidP="006A5682">
      <w:pPr>
        <w:pStyle w:val="AOBulletLevel2"/>
        <w:rPr>
          <w:lang w:val="en-AU"/>
        </w:rPr>
      </w:pPr>
      <w:r w:rsidRPr="00B94E96">
        <w:t>evaluate</w:t>
      </w:r>
      <w:r w:rsidRPr="00B94E96">
        <w:rPr>
          <w:lang w:val="en-AU"/>
        </w:rPr>
        <w:t xml:space="preserve"> whether the end-of-year performance information for appropriations is prepared in accordance with the entity’s measurement bases or evaluation methods, in accordance with </w:t>
      </w:r>
      <w:r>
        <w:rPr>
          <w:lang w:val="en-AU"/>
        </w:rPr>
        <w:t>Public Benefit Entity Standards</w:t>
      </w:r>
      <w:r w:rsidRPr="00B94E96">
        <w:rPr>
          <w:lang w:val="en-AU"/>
        </w:rPr>
        <w:t>.</w:t>
      </w:r>
    </w:p>
    <w:p w14:paraId="0961C18C" w14:textId="77777777" w:rsidR="006A5682" w:rsidRPr="00B94E96" w:rsidRDefault="006A5682" w:rsidP="006A5682">
      <w:pPr>
        <w:pStyle w:val="AOBulletLevel1"/>
        <w:tabs>
          <w:tab w:val="clear" w:pos="567"/>
        </w:tabs>
        <w:ind w:left="360" w:hanging="360"/>
        <w:rPr>
          <w:lang w:val="en-AU"/>
        </w:rPr>
      </w:pPr>
      <w:r w:rsidRPr="00B94E96">
        <w:rPr>
          <w:lang w:val="en-AU"/>
        </w:rPr>
        <w:t>We evaluate whether the statements of expenses and capital expenditure have been prepared in accordance with legislative requirements.</w:t>
      </w:r>
    </w:p>
    <w:p w14:paraId="064ABEC0" w14:textId="77777777" w:rsidR="006A5682" w:rsidRPr="00B94E96" w:rsidRDefault="006A5682" w:rsidP="006A5682">
      <w:pPr>
        <w:pStyle w:val="AOBulletLevel1"/>
        <w:tabs>
          <w:tab w:val="clear" w:pos="567"/>
        </w:tabs>
        <w:ind w:left="360" w:hanging="360"/>
        <w:rPr>
          <w:lang w:val="en-AU"/>
        </w:rPr>
      </w:pPr>
      <w:r w:rsidRPr="00B94E96">
        <w:rPr>
          <w:lang w:val="en-AU"/>
        </w:rPr>
        <w:t xml:space="preserve">We conclude on the appropriateness of the use of the going concern basis of accounting by the Chief </w:t>
      </w:r>
      <w:r>
        <w:rPr>
          <w:lang w:val="en-AU"/>
        </w:rPr>
        <w:t>Ombudsman</w:t>
      </w:r>
      <w:r w:rsidRPr="00B94E96">
        <w:rPr>
          <w:lang w:val="en-AU"/>
        </w:rPr>
        <w:t xml:space="preserve"> and, based on the audit evidence obtained, whether a material uncertainty exists related to events or conditions that may cast significant doubt on the </w:t>
      </w:r>
      <w:r>
        <w:rPr>
          <w:lang w:val="en-AU"/>
        </w:rPr>
        <w:t>Office</w:t>
      </w:r>
      <w:r w:rsidRPr="00B94E96">
        <w:rPr>
          <w:lang w:val="en-AU"/>
        </w:rPr>
        <w:t xml:space="preserve">’s ability to continue as a going concern. If we conclude that a material uncertainty exists, we are required to draw attention in our auditor’s report to the related disclosures in the information we audited or, if such disclosures are inadequate, to modify our opinion. Our conclusions are based on the audit evidence obtained up to the date of our auditor’s report. However, future events or conditions may cause the </w:t>
      </w:r>
      <w:r>
        <w:rPr>
          <w:lang w:val="en-AU"/>
        </w:rPr>
        <w:t>Office</w:t>
      </w:r>
      <w:r w:rsidRPr="00B94E96">
        <w:rPr>
          <w:lang w:val="en-AU"/>
        </w:rPr>
        <w:t xml:space="preserve"> to cease to continue as a going concern.</w:t>
      </w:r>
    </w:p>
    <w:p w14:paraId="7C8489A3" w14:textId="77777777" w:rsidR="006A5682" w:rsidRPr="00B94E96" w:rsidRDefault="006A5682" w:rsidP="006A5682">
      <w:pPr>
        <w:pStyle w:val="AOBulletLevel1"/>
        <w:tabs>
          <w:tab w:val="clear" w:pos="567"/>
        </w:tabs>
        <w:ind w:left="360" w:hanging="360"/>
        <w:rPr>
          <w:lang w:val="en-AU"/>
        </w:rPr>
      </w:pPr>
      <w:r w:rsidRPr="00B94E96">
        <w:rPr>
          <w:lang w:val="en-AU"/>
        </w:rPr>
        <w:t>We evaluate the overall presentation, structure and content of the information we audited, including the disclosures, and whether the information we audited represents the underlying transactions and events in a manner that achieves fair presentation.</w:t>
      </w:r>
    </w:p>
    <w:p w14:paraId="03A133C5" w14:textId="77777777" w:rsidR="006A5682" w:rsidRPr="00B94E96" w:rsidRDefault="006A5682" w:rsidP="006A5682">
      <w:pPr>
        <w:pStyle w:val="AOBodyText"/>
        <w:rPr>
          <w:lang w:val="en-AU"/>
        </w:rPr>
      </w:pPr>
      <w:r w:rsidRPr="00B94E96">
        <w:rPr>
          <w:lang w:val="en-AU"/>
        </w:rPr>
        <w:t xml:space="preserve">We communicate with the Chief </w:t>
      </w:r>
      <w:r>
        <w:rPr>
          <w:lang w:val="en-AU"/>
        </w:rPr>
        <w:t>Ombudsman</w:t>
      </w:r>
      <w:r w:rsidRPr="00B94E96">
        <w:rPr>
          <w:lang w:val="en-AU"/>
        </w:rPr>
        <w:t xml:space="preserve"> regarding, among other matters, the planned scope and timing of the audit and significant audit findings, including any significant deficiencies in internal control that we identify during our audit. </w:t>
      </w:r>
    </w:p>
    <w:p w14:paraId="5A4BC24A" w14:textId="77777777" w:rsidR="006A5682" w:rsidRPr="00B94E96" w:rsidRDefault="006A5682" w:rsidP="006A5682">
      <w:pPr>
        <w:pStyle w:val="AOBodyText"/>
        <w:rPr>
          <w:lang w:val="en-AU"/>
        </w:rPr>
      </w:pPr>
      <w:r w:rsidRPr="00B94E96">
        <w:rPr>
          <w:lang w:val="en-AU"/>
        </w:rPr>
        <w:t>Our responsibilities arise from the Public Audit Act 2001.</w:t>
      </w:r>
    </w:p>
    <w:p w14:paraId="276973CA" w14:textId="77777777" w:rsidR="006A5682" w:rsidRPr="00B94E96" w:rsidRDefault="006A5682" w:rsidP="006A5682">
      <w:pPr>
        <w:pStyle w:val="AOHeading-L2"/>
        <w:rPr>
          <w:lang w:val="en-GB"/>
        </w:rPr>
      </w:pPr>
      <w:r w:rsidRPr="00B94E96">
        <w:rPr>
          <w:lang w:val="en-GB"/>
        </w:rPr>
        <w:t>Other information</w:t>
      </w:r>
    </w:p>
    <w:p w14:paraId="138BDD3C" w14:textId="77777777" w:rsidR="006A5682" w:rsidRPr="00B94E96" w:rsidRDefault="006A5682" w:rsidP="006A5682">
      <w:pPr>
        <w:pStyle w:val="AOBodyText"/>
        <w:rPr>
          <w:lang w:val="en-AU"/>
        </w:rPr>
      </w:pPr>
      <w:r w:rsidRPr="00B94E96">
        <w:rPr>
          <w:lang w:val="en-AU"/>
        </w:rPr>
        <w:t xml:space="preserve">The Chief </w:t>
      </w:r>
      <w:r>
        <w:rPr>
          <w:lang w:val="en-AU"/>
        </w:rPr>
        <w:t>Ombudsman</w:t>
      </w:r>
      <w:r w:rsidRPr="00B94E96">
        <w:rPr>
          <w:lang w:val="en-AU"/>
        </w:rPr>
        <w:t xml:space="preserve"> is responsible for the other information. The other information comprises </w:t>
      </w:r>
      <w:proofErr w:type="gramStart"/>
      <w:r w:rsidRPr="00B94E96">
        <w:rPr>
          <w:lang w:val="en-AU"/>
        </w:rPr>
        <w:t>all of</w:t>
      </w:r>
      <w:proofErr w:type="gramEnd"/>
      <w:r w:rsidRPr="00B94E96">
        <w:rPr>
          <w:lang w:val="en-AU"/>
        </w:rPr>
        <w:t xml:space="preserve"> the information included in the annual report other than the information we audited and our auditor’s report thereon.</w:t>
      </w:r>
    </w:p>
    <w:p w14:paraId="77B2F9E5" w14:textId="77777777" w:rsidR="006A5682" w:rsidRPr="00B94E96" w:rsidRDefault="006A5682" w:rsidP="006A5682">
      <w:pPr>
        <w:pStyle w:val="AOBodyText"/>
        <w:rPr>
          <w:lang w:val="en-AU"/>
        </w:rPr>
      </w:pPr>
      <w:r w:rsidRPr="00B94E96">
        <w:rPr>
          <w:lang w:val="en-AU"/>
        </w:rPr>
        <w:t>Our opinion on the information we audited does not cover the other information and we do not express any form of audit opinion or assurance conclusion thereon.</w:t>
      </w:r>
    </w:p>
    <w:p w14:paraId="2829C1C0" w14:textId="77777777" w:rsidR="006A5682" w:rsidRPr="00B94E96" w:rsidRDefault="006A5682" w:rsidP="006A5682">
      <w:pPr>
        <w:pStyle w:val="AOBodyText"/>
        <w:rPr>
          <w:lang w:val="en-AU"/>
        </w:rPr>
      </w:pPr>
      <w:r w:rsidRPr="00B94E96">
        <w:rPr>
          <w:lang w:val="en-AU"/>
        </w:rPr>
        <w:t xml:space="preserve">Our responsibility is to read the other information. In doing so, we consider whether the other information is materially inconsistent with the information we </w:t>
      </w:r>
      <w:proofErr w:type="gramStart"/>
      <w:r w:rsidRPr="00B94E96">
        <w:rPr>
          <w:lang w:val="en-AU"/>
        </w:rPr>
        <w:t>audited</w:t>
      </w:r>
      <w:proofErr w:type="gramEnd"/>
      <w:r w:rsidRPr="00B94E96">
        <w:rPr>
          <w:lang w:val="en-AU"/>
        </w:rPr>
        <w:t xml:space="preserve"> or our knowledge obtained in the audit, or otherwise appears to be materially misstated. If, based on our work, we conclude that there is a material misstatement of this other information, we are required to report that fact. We have nothing to report in this regard.</w:t>
      </w:r>
    </w:p>
    <w:p w14:paraId="64FAAA74" w14:textId="77777777" w:rsidR="006A5682" w:rsidRPr="00B94E96" w:rsidRDefault="006A5682" w:rsidP="006A5682">
      <w:pPr>
        <w:pStyle w:val="AOHeading-L2"/>
        <w:rPr>
          <w:lang w:val="en-GB"/>
        </w:rPr>
      </w:pPr>
      <w:r w:rsidRPr="00B94E96">
        <w:rPr>
          <w:lang w:val="en-GB"/>
        </w:rPr>
        <w:t>Independence</w:t>
      </w:r>
    </w:p>
    <w:p w14:paraId="7F6A1DD2" w14:textId="77777777" w:rsidR="006A5682" w:rsidRPr="00B94E96" w:rsidRDefault="006A5682" w:rsidP="006A5682">
      <w:pPr>
        <w:pStyle w:val="AOBodyText"/>
        <w:rPr>
          <w:lang w:val="en-GB"/>
        </w:rPr>
      </w:pPr>
      <w:r w:rsidRPr="00B94E96">
        <w:rPr>
          <w:lang w:val="en-GB"/>
        </w:rPr>
        <w:t xml:space="preserve">We are independent of the </w:t>
      </w:r>
      <w:r>
        <w:rPr>
          <w:lang w:val="en-AU"/>
        </w:rPr>
        <w:t>Office</w:t>
      </w:r>
      <w:r w:rsidRPr="00B94E96">
        <w:rPr>
          <w:lang w:val="en-GB"/>
        </w:rPr>
        <w:t xml:space="preserve"> in accordance with the Auditor-General’s Auditing Standards, which incorporate the independence requirements of Professional and Ethical Standard 1:</w:t>
      </w:r>
      <w:r w:rsidRPr="00B94E96">
        <w:rPr>
          <w:lang w:val="en-AU"/>
        </w:rPr>
        <w:t xml:space="preserve"> </w:t>
      </w:r>
      <w:r w:rsidRPr="00B94E96">
        <w:rPr>
          <w:i/>
          <w:iCs/>
          <w:lang w:val="en-GB"/>
        </w:rPr>
        <w:t>International Code of Ethics for Assurance Practitioners (including International Independence Standards) (</w:t>
      </w:r>
      <w:r>
        <w:rPr>
          <w:i/>
          <w:iCs/>
          <w:lang w:val="en-GB"/>
        </w:rPr>
        <w:t>New Zealand</w:t>
      </w:r>
      <w:r w:rsidRPr="00B94E96">
        <w:rPr>
          <w:i/>
          <w:iCs/>
          <w:lang w:val="en-GB"/>
        </w:rPr>
        <w:t>)</w:t>
      </w:r>
      <w:r w:rsidRPr="00B94E96">
        <w:rPr>
          <w:lang w:val="en-GB"/>
        </w:rPr>
        <w:t xml:space="preserve"> as applicable for audits of public interest entities issued by the </w:t>
      </w:r>
      <w:r>
        <w:rPr>
          <w:lang w:val="en-GB"/>
        </w:rPr>
        <w:t>New Zealand</w:t>
      </w:r>
      <w:r w:rsidRPr="00B94E96">
        <w:rPr>
          <w:lang w:val="en-GB"/>
        </w:rPr>
        <w:t xml:space="preserve"> Auditing and Assurance Standards Board.  </w:t>
      </w:r>
    </w:p>
    <w:p w14:paraId="250700E5" w14:textId="77777777" w:rsidR="006A5682" w:rsidRDefault="006A5682" w:rsidP="006A5682">
      <w:pPr>
        <w:pStyle w:val="AOBodyText"/>
        <w:rPr>
          <w:lang w:val="en-GB"/>
        </w:rPr>
      </w:pPr>
      <w:r w:rsidRPr="00B94E96">
        <w:rPr>
          <w:lang w:val="en-AU"/>
        </w:rPr>
        <w:t xml:space="preserve">Other than in our capacity as auditor, we have no relationship with, or interests, in the </w:t>
      </w:r>
      <w:r>
        <w:rPr>
          <w:lang w:val="en-AU"/>
        </w:rPr>
        <w:t>Office</w:t>
      </w:r>
      <w:r w:rsidRPr="00B94E96">
        <w:rPr>
          <w:lang w:val="en-AU"/>
        </w:rPr>
        <w:t>.</w:t>
      </w:r>
    </w:p>
    <w:p w14:paraId="35404F8D" w14:textId="092AA64D" w:rsidR="006A5682" w:rsidRDefault="003B1D39" w:rsidP="003B1D39">
      <w:pPr>
        <w:pStyle w:val="AOBodyText"/>
        <w:rPr>
          <w:lang w:val="en-AU"/>
        </w:rPr>
      </w:pPr>
      <w:r>
        <w:rPr>
          <w:noProof/>
        </w:rPr>
        <w:drawing>
          <wp:inline distT="0" distB="0" distL="0" distR="0" wp14:anchorId="18E126F5" wp14:editId="005B7BB9">
            <wp:extent cx="1852033" cy="687898"/>
            <wp:effectExtent l="0" t="0" r="0" b="0"/>
            <wp:docPr id="1" name="Picture 1" descr="Clint Ramoo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int Ramoo signature"/>
                    <pic:cNvPicPr>
                      <a:picLocks noChangeAspect="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71787" cy="695235"/>
                    </a:xfrm>
                    <a:prstGeom prst="rect">
                      <a:avLst/>
                    </a:prstGeom>
                    <a:noFill/>
                    <a:ln>
                      <a:noFill/>
                    </a:ln>
                  </pic:spPr>
                </pic:pic>
              </a:graphicData>
            </a:graphic>
          </wp:inline>
        </w:drawing>
      </w:r>
    </w:p>
    <w:p w14:paraId="7F389B53" w14:textId="77777777" w:rsidR="006A5682" w:rsidRPr="00B94E96" w:rsidRDefault="006A5682" w:rsidP="006A5682">
      <w:pPr>
        <w:pStyle w:val="AOBodyText"/>
        <w:spacing w:after="0"/>
        <w:rPr>
          <w:lang w:val="en-AU"/>
        </w:rPr>
      </w:pPr>
      <w:r>
        <w:rPr>
          <w:lang w:val="en-AU"/>
        </w:rPr>
        <w:t>Clint Ramoo</w:t>
      </w:r>
    </w:p>
    <w:p w14:paraId="39ABCDD1" w14:textId="77777777" w:rsidR="006A5682" w:rsidRPr="00B94E96" w:rsidRDefault="006A5682" w:rsidP="006A5682">
      <w:pPr>
        <w:pStyle w:val="AOBodyText"/>
        <w:spacing w:after="0"/>
        <w:rPr>
          <w:lang w:val="en-AU"/>
        </w:rPr>
      </w:pPr>
      <w:r>
        <w:rPr>
          <w:lang w:val="en-AU"/>
        </w:rPr>
        <w:t>The Audit Office</w:t>
      </w:r>
    </w:p>
    <w:p w14:paraId="0F039EC6" w14:textId="77777777" w:rsidR="006A5682" w:rsidRPr="00B94E96" w:rsidRDefault="006A5682" w:rsidP="006A5682">
      <w:pPr>
        <w:pStyle w:val="AOBodyText"/>
        <w:spacing w:after="0"/>
        <w:rPr>
          <w:lang w:val="en-AU"/>
        </w:rPr>
      </w:pPr>
      <w:r w:rsidRPr="00B94E96">
        <w:rPr>
          <w:lang w:val="en-AU"/>
        </w:rPr>
        <w:t>On behalf of the Auditor-General</w:t>
      </w:r>
    </w:p>
    <w:p w14:paraId="18EECF39" w14:textId="77777777" w:rsidR="006A5682" w:rsidRPr="00B94E96" w:rsidRDefault="006A5682" w:rsidP="006A5682">
      <w:pPr>
        <w:pStyle w:val="AOBodyText"/>
        <w:spacing w:after="0"/>
        <w:rPr>
          <w:lang w:val="en-AU"/>
        </w:rPr>
      </w:pPr>
      <w:r>
        <w:rPr>
          <w:lang w:val="en-AU"/>
        </w:rPr>
        <w:t>Wellington</w:t>
      </w:r>
      <w:r w:rsidRPr="00B94E96">
        <w:rPr>
          <w:lang w:val="en-AU"/>
        </w:rPr>
        <w:t xml:space="preserve">, </w:t>
      </w:r>
      <w:r>
        <w:rPr>
          <w:lang w:val="en-AU"/>
        </w:rPr>
        <w:t>New Zealand</w:t>
      </w:r>
    </w:p>
    <w:p w14:paraId="1C908784" w14:textId="5407DDA9" w:rsidR="006A5682" w:rsidRPr="00B94E96" w:rsidRDefault="00CE3A5B" w:rsidP="006A5682">
      <w:pPr>
        <w:pStyle w:val="AOBodyText"/>
        <w:spacing w:after="0"/>
        <w:rPr>
          <w:lang w:val="en-AU"/>
        </w:rPr>
      </w:pPr>
      <w:r>
        <w:rPr>
          <w:lang w:val="en-AU"/>
        </w:rPr>
        <w:t>30</w:t>
      </w:r>
      <w:r w:rsidR="006A5682">
        <w:rPr>
          <w:lang w:val="en-AU"/>
        </w:rPr>
        <w:t xml:space="preserve"> September 2026</w:t>
      </w:r>
    </w:p>
    <w:p w14:paraId="327BB288" w14:textId="77777777" w:rsidR="00671D30" w:rsidRDefault="00671D30" w:rsidP="00671D30">
      <w:pPr>
        <w:pStyle w:val="BodyText"/>
      </w:pPr>
    </w:p>
    <w:p w14:paraId="273FE166" w14:textId="77777777" w:rsidR="00671D30" w:rsidRDefault="00671D30" w:rsidP="00671D30">
      <w:pPr>
        <w:pStyle w:val="BodyText"/>
      </w:pPr>
    </w:p>
    <w:p w14:paraId="77BE6822" w14:textId="77777777" w:rsidR="00671D30" w:rsidRDefault="00671D30" w:rsidP="00671D30">
      <w:pPr>
        <w:pStyle w:val="BodyText"/>
      </w:pPr>
    </w:p>
    <w:p w14:paraId="4C6A7D57" w14:textId="77777777" w:rsidR="00671D30" w:rsidRDefault="00671D30" w:rsidP="00671D30">
      <w:pPr>
        <w:pStyle w:val="BodyText"/>
      </w:pPr>
    </w:p>
    <w:p w14:paraId="7C4E3591" w14:textId="77777777" w:rsidR="00671D30" w:rsidRDefault="00671D30" w:rsidP="00671D30">
      <w:pPr>
        <w:pStyle w:val="BodyText"/>
      </w:pPr>
    </w:p>
    <w:p w14:paraId="57C331B4" w14:textId="7E7E3B65" w:rsidR="00E423CB" w:rsidRDefault="00E423CB" w:rsidP="00E423CB">
      <w:pPr>
        <w:pStyle w:val="Heading2"/>
      </w:pPr>
      <w:bookmarkStart w:id="67" w:name="_Statement_of_objectives"/>
      <w:bookmarkEnd w:id="67"/>
      <w:r>
        <w:t xml:space="preserve">Statement of objectives and service performance </w:t>
      </w:r>
    </w:p>
    <w:p w14:paraId="1D4BE511" w14:textId="77777777" w:rsidR="00E423CB" w:rsidRPr="00B57332" w:rsidRDefault="00E423CB" w:rsidP="00E423CB">
      <w:pPr>
        <w:pStyle w:val="Heading3"/>
      </w:pPr>
      <w:r w:rsidRPr="00B57332">
        <w:t>Reporting Entity</w:t>
      </w:r>
    </w:p>
    <w:p w14:paraId="039F7680" w14:textId="77777777" w:rsidR="00E423CB" w:rsidRPr="00B57332" w:rsidRDefault="00E423CB" w:rsidP="00E423CB">
      <w:pPr>
        <w:pStyle w:val="BodyText"/>
      </w:pPr>
      <w:r w:rsidRPr="00B57332">
        <w:t>The Ombudsman holds the role of an Officer of Parliament under the Public Finance Act 1989 and is domiciled in New Zealand. Each Ombudsman is appointed by the Governor-General on the recommendation of Parliament. The Ombudsman is responsible to Parliament and independent of the Government.</w:t>
      </w:r>
    </w:p>
    <w:p w14:paraId="1791BE41" w14:textId="77777777" w:rsidR="00E423CB" w:rsidRPr="00B57332" w:rsidRDefault="00E423CB" w:rsidP="00E423CB">
      <w:pPr>
        <w:pStyle w:val="BodyText"/>
      </w:pPr>
      <w:r w:rsidRPr="00B57332">
        <w:t xml:space="preserve">The primary purpose, functions, and outcomes of the Ombudsman are to investigate, review, and inspect, conduct and decision-making within government, and some private facilities, and provide advice and guidance in order to ensure people are treated fairly. </w:t>
      </w:r>
    </w:p>
    <w:p w14:paraId="4D3C8E77" w14:textId="18F36948" w:rsidR="00E423CB" w:rsidRPr="00B57332" w:rsidRDefault="00E423CB" w:rsidP="00E423CB">
      <w:pPr>
        <w:pStyle w:val="BodyText"/>
        <w:keepNext/>
      </w:pPr>
      <w:r w:rsidRPr="00B57332">
        <w:t>The overall outcome sought is that people are treated fairly. The high-level outcomes of achieving this goal are that there is high public trust in government, people</w:t>
      </w:r>
      <w:r w:rsidR="00991A00">
        <w:t xml:space="preserve"> are </w:t>
      </w:r>
      <w:proofErr w:type="gramStart"/>
      <w:r w:rsidR="00991A00">
        <w:t>informed</w:t>
      </w:r>
      <w:proofErr w:type="gramEnd"/>
      <w:r w:rsidR="00991A00">
        <w:t xml:space="preserve"> and their views are considered, and there is </w:t>
      </w:r>
      <w:r w:rsidRPr="00B57332">
        <w:t>robust and independent oversight.</w:t>
      </w:r>
    </w:p>
    <w:p w14:paraId="273256AE" w14:textId="77777777" w:rsidR="00E423CB" w:rsidRPr="00B57332" w:rsidRDefault="00E423CB" w:rsidP="00E423CB">
      <w:pPr>
        <w:pStyle w:val="ListBullet"/>
        <w:numPr>
          <w:ilvl w:val="0"/>
          <w:numId w:val="0"/>
        </w:numPr>
        <w:tabs>
          <w:tab w:val="left" w:pos="720"/>
        </w:tabs>
      </w:pPr>
      <w:r w:rsidRPr="00B57332">
        <w:t>The Ombudsman provides services to the public rather than making a financial return. Accordingly, the Ombudsman is designated a public benefit entity (PBE) for financial reporting purposes.</w:t>
      </w:r>
    </w:p>
    <w:p w14:paraId="513416D2" w14:textId="352A2501" w:rsidR="00E423CB" w:rsidRPr="00B57332" w:rsidRDefault="00E423CB" w:rsidP="00E423CB">
      <w:pPr>
        <w:pStyle w:val="ListBullet"/>
        <w:numPr>
          <w:ilvl w:val="0"/>
          <w:numId w:val="0"/>
        </w:numPr>
        <w:tabs>
          <w:tab w:val="left" w:pos="720"/>
        </w:tabs>
      </w:pPr>
      <w:r w:rsidRPr="00B57332">
        <w:t>The service performance information covers all activities of the Ombudsman as set out in the 202</w:t>
      </w:r>
      <w:r w:rsidR="00EF689A">
        <w:t>5</w:t>
      </w:r>
      <w:r w:rsidRPr="00B57332">
        <w:t>/2</w:t>
      </w:r>
      <w:r w:rsidR="00EF689A">
        <w:t>6</w:t>
      </w:r>
      <w:r w:rsidRPr="00B57332">
        <w:t xml:space="preserve"> Main and Supplementary Estimates of Appropriations for Vote Ombudsman.</w:t>
      </w:r>
    </w:p>
    <w:p w14:paraId="565C4650" w14:textId="50743547" w:rsidR="00E423CB" w:rsidRPr="00A7288B" w:rsidRDefault="00E423CB" w:rsidP="00E423CB">
      <w:pPr>
        <w:pStyle w:val="ListBullet"/>
        <w:numPr>
          <w:ilvl w:val="0"/>
          <w:numId w:val="0"/>
        </w:numPr>
        <w:tabs>
          <w:tab w:val="left" w:pos="720"/>
        </w:tabs>
      </w:pPr>
      <w:r w:rsidRPr="00B57332">
        <w:t>The service performance is for the year ended 30 June 202</w:t>
      </w:r>
      <w:r w:rsidR="00EF689A">
        <w:t>6</w:t>
      </w:r>
      <w:r w:rsidRPr="00B57332">
        <w:t xml:space="preserve"> and was authorised for issue by the Chief Ombudsman on </w:t>
      </w:r>
      <w:r w:rsidR="00CE3A5B">
        <w:t>30</w:t>
      </w:r>
      <w:r w:rsidR="00BA5B5E" w:rsidRPr="00A7288B">
        <w:t xml:space="preserve"> </w:t>
      </w:r>
      <w:r w:rsidRPr="00A7288B">
        <w:t>September 202</w:t>
      </w:r>
      <w:r w:rsidR="00EF689A" w:rsidRPr="00A7288B">
        <w:t>6</w:t>
      </w:r>
      <w:r w:rsidRPr="00A7288B">
        <w:t xml:space="preserve">. </w:t>
      </w:r>
    </w:p>
    <w:p w14:paraId="2D02449A" w14:textId="4EA45B2B" w:rsidR="00E423CB" w:rsidRPr="00CA5AB8" w:rsidRDefault="00E423CB" w:rsidP="00E423CB">
      <w:pPr>
        <w:pStyle w:val="ListBullet"/>
        <w:numPr>
          <w:ilvl w:val="0"/>
          <w:numId w:val="0"/>
        </w:numPr>
        <w:tabs>
          <w:tab w:val="left" w:pos="720"/>
        </w:tabs>
      </w:pPr>
      <w:r w:rsidRPr="00A7288B">
        <w:t xml:space="preserve">The Ombudsman’s performance measures are reported from pages </w:t>
      </w:r>
      <w:r w:rsidR="00EF3B5C" w:rsidRPr="00A7288B">
        <w:t>6</w:t>
      </w:r>
      <w:r w:rsidR="00A70905">
        <w:t>5</w:t>
      </w:r>
      <w:r w:rsidR="00EF3B5C" w:rsidRPr="00A7288B">
        <w:t xml:space="preserve"> </w:t>
      </w:r>
      <w:r w:rsidRPr="00A7288B">
        <w:t xml:space="preserve">to </w:t>
      </w:r>
      <w:r w:rsidR="00EF3B5C" w:rsidRPr="00A7288B">
        <w:t>7</w:t>
      </w:r>
      <w:r w:rsidR="00A70905">
        <w:t>1</w:t>
      </w:r>
      <w:r w:rsidRPr="00A7288B">
        <w:t xml:space="preserve">. Additional information including pages </w:t>
      </w:r>
      <w:r w:rsidR="00A70905">
        <w:t>7</w:t>
      </w:r>
      <w:r w:rsidR="00EF3B5C" w:rsidRPr="00A7288B">
        <w:t xml:space="preserve"> </w:t>
      </w:r>
      <w:r w:rsidRPr="00A7288B">
        <w:t>to</w:t>
      </w:r>
      <w:r w:rsidR="00EA2779" w:rsidRPr="00A7288B">
        <w:t xml:space="preserve"> </w:t>
      </w:r>
      <w:r w:rsidR="00EF3B5C" w:rsidRPr="00A7288B">
        <w:t>4</w:t>
      </w:r>
      <w:r w:rsidR="00A70905">
        <w:t>7</w:t>
      </w:r>
      <w:r w:rsidR="00EF3B5C" w:rsidRPr="00A7288B">
        <w:t xml:space="preserve"> </w:t>
      </w:r>
      <w:r w:rsidRPr="00A7288B">
        <w:t>are not audited but provide additional context to the Ombudsman’s performance for the year ended 30 June 202</w:t>
      </w:r>
      <w:r w:rsidR="00EF689A" w:rsidRPr="00A7288B">
        <w:t>6</w:t>
      </w:r>
      <w:r w:rsidRPr="00A7288B">
        <w:t>.</w:t>
      </w:r>
    </w:p>
    <w:p w14:paraId="4B0EA41B" w14:textId="77777777" w:rsidR="00E423CB" w:rsidRPr="00CA5AB8" w:rsidRDefault="00E423CB" w:rsidP="00E423CB">
      <w:pPr>
        <w:pStyle w:val="Heading3"/>
      </w:pPr>
      <w:bookmarkStart w:id="68" w:name="_Statement_of_Compliance"/>
      <w:bookmarkEnd w:id="68"/>
      <w:r w:rsidRPr="00CA5AB8">
        <w:t>Statement of Compliance</w:t>
      </w:r>
    </w:p>
    <w:p w14:paraId="0BBA89B0" w14:textId="77777777" w:rsidR="00E423CB" w:rsidRDefault="00E423CB" w:rsidP="00E423CB">
      <w:pPr>
        <w:rPr>
          <w:szCs w:val="24"/>
        </w:rPr>
      </w:pPr>
      <w:r w:rsidRPr="00CA5AB8">
        <w:rPr>
          <w:szCs w:val="24"/>
        </w:rPr>
        <w:t xml:space="preserve">The service performance information included in this section has been prepared in accordance with Tier 1 PBE financial reporting standards which have been applied consistently throughout the period and meets the Ombudsman’s requirements under the Public Finance Act 1989. </w:t>
      </w:r>
    </w:p>
    <w:p w14:paraId="0E40CB4E" w14:textId="77777777" w:rsidR="00E423CB" w:rsidRDefault="00E423CB" w:rsidP="00E423CB">
      <w:pPr>
        <w:pStyle w:val="Heading4"/>
      </w:pPr>
      <w:r w:rsidRPr="000C5BF6">
        <w:t xml:space="preserve">PBE FRS 48 Service Performance Reporting </w:t>
      </w:r>
      <w:r>
        <w:tab/>
      </w:r>
    </w:p>
    <w:p w14:paraId="34C30731" w14:textId="51A1DD04" w:rsidR="00642740" w:rsidRDefault="00E423CB" w:rsidP="00642740">
      <w:pPr>
        <w:pStyle w:val="BodyText"/>
      </w:pPr>
      <w:r>
        <w:t xml:space="preserve">This Standard establishes requirements for the selection and presentation of service performance information. PBE FRS 48 requires additional information to be disclosed on the judgements that have the most significant effect on the selection, measurement, aggregation, </w:t>
      </w:r>
      <w:r w:rsidR="004A242C">
        <w:t xml:space="preserve">and presentation of service performance information. </w:t>
      </w:r>
    </w:p>
    <w:p w14:paraId="13A2917F" w14:textId="230292B6" w:rsidR="006733EE" w:rsidRPr="00CA5AB8" w:rsidRDefault="006733EE" w:rsidP="00642740">
      <w:pPr>
        <w:pStyle w:val="Heading3"/>
      </w:pPr>
      <w:bookmarkStart w:id="69" w:name="_Hlk238630845"/>
      <w:r w:rsidRPr="00CA5AB8">
        <w:t>Critical Reporting Judgements, Estimates and Assumptions</w:t>
      </w:r>
    </w:p>
    <w:p w14:paraId="5EB462B1" w14:textId="2475FC4E" w:rsidR="006733EE" w:rsidRPr="00CA5AB8" w:rsidRDefault="006733EE" w:rsidP="006733EE">
      <w:pPr>
        <w:pStyle w:val="BodyText"/>
        <w:rPr>
          <w:rFonts w:eastAsia="Calibri" w:cs="Times New Roman"/>
          <w:color w:val="auto"/>
        </w:rPr>
      </w:pPr>
      <w:r w:rsidRPr="00CA5AB8">
        <w:t xml:space="preserve">Performance measures have been selected for </w:t>
      </w:r>
      <w:r w:rsidR="00863D6C">
        <w:t>our</w:t>
      </w:r>
      <w:r w:rsidRPr="00CA5AB8">
        <w:t xml:space="preserve"> </w:t>
      </w:r>
      <w:r w:rsidR="00863D6C">
        <w:t xml:space="preserve">outcomes and the </w:t>
      </w:r>
      <w:r w:rsidRPr="00CA5AB8">
        <w:t xml:space="preserve">six impacts and each of the </w:t>
      </w:r>
      <w:r>
        <w:t>eight</w:t>
      </w:r>
      <w:r w:rsidRPr="00CA5AB8">
        <w:t xml:space="preserve"> output areas that encapsulate the Ombudsman’s role and functions as set out in the </w:t>
      </w:r>
      <w:hyperlink r:id="rId54" w:history="1">
        <w:r w:rsidRPr="008167FC">
          <w:rPr>
            <w:rStyle w:val="Hyperlink"/>
            <w:i/>
            <w:iCs/>
          </w:rPr>
          <w:t>Strategic Intentions</w:t>
        </w:r>
        <w:r w:rsidRPr="00FB1735">
          <w:rPr>
            <w:rStyle w:val="Hyperlink"/>
          </w:rPr>
          <w:t xml:space="preserve"> for 2025</w:t>
        </w:r>
        <w:r w:rsidR="00E457BF">
          <w:rPr>
            <w:rStyle w:val="Hyperlink"/>
          </w:rPr>
          <w:t>–</w:t>
        </w:r>
        <w:r w:rsidRPr="00FB1735">
          <w:rPr>
            <w:rStyle w:val="Hyperlink"/>
          </w:rPr>
          <w:t>2030</w:t>
        </w:r>
      </w:hyperlink>
      <w:r w:rsidRPr="00CA5AB8">
        <w:t xml:space="preserve">. </w:t>
      </w:r>
      <w:r w:rsidRPr="00CA5AB8">
        <w:rPr>
          <w:rFonts w:eastAsia="Calibri" w:cs="Times New Roman"/>
          <w:color w:val="auto"/>
        </w:rPr>
        <w:t xml:space="preserve">In selecting performance measures for these activities, judgements must be made in determining which aspects of performance are relevant and material to users of the Performance Report. </w:t>
      </w:r>
    </w:p>
    <w:p w14:paraId="493B0AEC" w14:textId="36B25769" w:rsidR="006733EE" w:rsidRPr="00CA5AB8" w:rsidRDefault="006733EE" w:rsidP="006733EE">
      <w:pPr>
        <w:pStyle w:val="BodyText"/>
        <w:rPr>
          <w:rFonts w:eastAsia="Calibri" w:cs="Times New Roman"/>
          <w:color w:val="auto"/>
        </w:rPr>
      </w:pPr>
      <w:r w:rsidRPr="00CA5AB8">
        <w:rPr>
          <w:rFonts w:eastAsia="Calibri" w:cs="Times New Roman"/>
          <w:color w:val="auto"/>
        </w:rPr>
        <w:t xml:space="preserve">Generally, the </w:t>
      </w:r>
      <w:r w:rsidR="00863D6C">
        <w:rPr>
          <w:rFonts w:eastAsia="Calibri" w:cs="Times New Roman"/>
          <w:color w:val="auto"/>
        </w:rPr>
        <w:t xml:space="preserve">outcome and </w:t>
      </w:r>
      <w:r w:rsidRPr="00CA5AB8">
        <w:rPr>
          <w:rFonts w:eastAsia="Calibri" w:cs="Times New Roman"/>
          <w:color w:val="auto"/>
        </w:rPr>
        <w:t xml:space="preserve">impact measures are centred around public perceptions of how the government, and New Zealand generally, is participatory, responsive, open, shows integrity, and treats people humanely. These are assessed through market research surveys and third-party research initiatives. </w:t>
      </w:r>
    </w:p>
    <w:p w14:paraId="791EEBC7" w14:textId="170A3FA3" w:rsidR="006733EE" w:rsidRPr="00CA5AB8" w:rsidRDefault="006733EE" w:rsidP="006733EE">
      <w:pPr>
        <w:pStyle w:val="BodyText"/>
        <w:rPr>
          <w:rFonts w:eastAsia="Calibri" w:cs="Times New Roman"/>
          <w:color w:val="auto"/>
        </w:rPr>
      </w:pPr>
      <w:r w:rsidRPr="00CA5AB8">
        <w:rPr>
          <w:rFonts w:eastAsia="Calibri" w:cs="Times New Roman"/>
          <w:color w:val="auto"/>
        </w:rPr>
        <w:t xml:space="preserve">The output measures are centred around quantity, quality and timeliness, and are assessed through external surveys and tracking of external demand, as well as internal tracking of volume and timeliness, and quality assurance. A number of output measures also </w:t>
      </w:r>
      <w:r w:rsidR="00720320">
        <w:rPr>
          <w:rFonts w:eastAsia="Calibri" w:cs="Times New Roman"/>
          <w:color w:val="auto"/>
        </w:rPr>
        <w:t>provide information on the</w:t>
      </w:r>
      <w:r w:rsidRPr="00CA5AB8">
        <w:rPr>
          <w:rFonts w:eastAsia="Calibri" w:cs="Times New Roman"/>
          <w:color w:val="auto"/>
        </w:rPr>
        <w:t xml:space="preserve"> impacts the Ombudsman is trying to achieve. </w:t>
      </w:r>
      <w:r w:rsidRPr="00224328">
        <w:rPr>
          <w:rFonts w:eastAsia="Calibri" w:cs="Times New Roman"/>
          <w:color w:val="auto"/>
        </w:rPr>
        <w:t>For example, levels of complainant, agency and other stakeholder satisfaction</w:t>
      </w:r>
      <w:r w:rsidR="00580C9A" w:rsidRPr="004A166E">
        <w:rPr>
          <w:rFonts w:eastAsia="Calibri" w:cs="Times New Roman"/>
          <w:color w:val="auto"/>
        </w:rPr>
        <w:t>.</w:t>
      </w:r>
      <w:r w:rsidRPr="00224328">
        <w:rPr>
          <w:rFonts w:eastAsia="Calibri" w:cs="Times New Roman"/>
          <w:color w:val="auto"/>
        </w:rPr>
        <w:t xml:space="preserve"> </w:t>
      </w:r>
    </w:p>
    <w:p w14:paraId="32482EA6" w14:textId="77777777" w:rsidR="006733EE" w:rsidRPr="00CA5AB8" w:rsidRDefault="006733EE" w:rsidP="006733EE">
      <w:pPr>
        <w:spacing w:after="160" w:line="254" w:lineRule="auto"/>
        <w:rPr>
          <w:rFonts w:eastAsia="Calibri" w:cs="Times New Roman"/>
          <w:color w:val="auto"/>
          <w:sz w:val="22"/>
        </w:rPr>
      </w:pPr>
      <w:r w:rsidRPr="00CA5AB8">
        <w:rPr>
          <w:rFonts w:eastAsia="Calibri" w:cs="Times New Roman"/>
          <w:color w:val="auto"/>
        </w:rPr>
        <w:t xml:space="preserve">There </w:t>
      </w:r>
      <w:proofErr w:type="gramStart"/>
      <w:r w:rsidRPr="00CA5AB8">
        <w:rPr>
          <w:rFonts w:eastAsia="Calibri" w:cs="Times New Roman"/>
          <w:color w:val="auto"/>
        </w:rPr>
        <w:t>is</w:t>
      </w:r>
      <w:proofErr w:type="gramEnd"/>
      <w:r w:rsidRPr="00CA5AB8">
        <w:rPr>
          <w:rFonts w:eastAsia="Calibri" w:cs="Times New Roman"/>
          <w:color w:val="auto"/>
        </w:rPr>
        <w:t xml:space="preserve"> also judgement, estimates and assumptions involved in determining how to measure performance against the measures selected. The judgements, estimates and assumptions which have the most significant impact on selection and measurement of performance measures are disclosed below. </w:t>
      </w:r>
    </w:p>
    <w:p w14:paraId="16326BCD" w14:textId="77777777" w:rsidR="006733EE" w:rsidRDefault="006733EE" w:rsidP="006733EE">
      <w:pPr>
        <w:pStyle w:val="BodyText"/>
        <w:rPr>
          <w:rFonts w:eastAsia="Calibri" w:cs="Times New Roman"/>
          <w:color w:val="auto"/>
        </w:rPr>
      </w:pPr>
      <w:r w:rsidRPr="00CA5AB8">
        <w:rPr>
          <w:rFonts w:eastAsia="Calibri" w:cs="Times New Roman"/>
          <w:color w:val="auto"/>
        </w:rPr>
        <w:t>To disclose material judgements, estimates</w:t>
      </w:r>
      <w:r>
        <w:rPr>
          <w:rFonts w:eastAsia="Calibri" w:cs="Times New Roman"/>
          <w:color w:val="auto"/>
        </w:rPr>
        <w:t>,</w:t>
      </w:r>
      <w:r w:rsidRPr="00CA5AB8">
        <w:rPr>
          <w:rFonts w:eastAsia="Calibri" w:cs="Times New Roman"/>
          <w:color w:val="auto"/>
        </w:rPr>
        <w:t xml:space="preserve"> and assumptions</w:t>
      </w:r>
      <w:r>
        <w:rPr>
          <w:rFonts w:eastAsia="Calibri" w:cs="Times New Roman"/>
          <w:color w:val="auto"/>
        </w:rPr>
        <w:t>,</w:t>
      </w:r>
      <w:r w:rsidRPr="00CA5AB8">
        <w:rPr>
          <w:rFonts w:eastAsia="Calibri" w:cs="Times New Roman"/>
          <w:color w:val="auto"/>
        </w:rPr>
        <w:t xml:space="preserve"> performance measures are aggregated into six impact areas and </w:t>
      </w:r>
      <w:r>
        <w:rPr>
          <w:rFonts w:eastAsia="Calibri" w:cs="Times New Roman"/>
          <w:color w:val="auto"/>
        </w:rPr>
        <w:t>eight</w:t>
      </w:r>
      <w:r w:rsidRPr="00CA5AB8">
        <w:rPr>
          <w:rFonts w:eastAsia="Calibri" w:cs="Times New Roman"/>
          <w:color w:val="auto"/>
        </w:rPr>
        <w:t xml:space="preserve"> output areas, as discussed above in Part 3, and explained further below.</w:t>
      </w:r>
      <w:r w:rsidRPr="00097107">
        <w:rPr>
          <w:rFonts w:eastAsia="Calibri" w:cs="Times New Roman"/>
          <w:color w:val="auto"/>
        </w:rPr>
        <w:t xml:space="preserve"> </w:t>
      </w:r>
    </w:p>
    <w:p w14:paraId="5EB881FA" w14:textId="0A2A2815" w:rsidR="00AC43CD" w:rsidRDefault="00AC43CD" w:rsidP="006733EE">
      <w:pPr>
        <w:pStyle w:val="BodyText"/>
        <w:rPr>
          <w:rFonts w:eastAsia="Calibri" w:cs="Times New Roman"/>
          <w:color w:val="auto"/>
        </w:rPr>
      </w:pPr>
      <w:bookmarkStart w:id="70" w:name="_Hlk238625038"/>
      <w:r>
        <w:rPr>
          <w:rFonts w:eastAsia="Calibri" w:cs="Times New Roman"/>
          <w:color w:val="auto"/>
        </w:rPr>
        <w:t xml:space="preserve">Additional critical judgements are included in the </w:t>
      </w:r>
      <w:hyperlink w:anchor="_Critical_Reporting_Judgements," w:history="1">
        <w:r w:rsidRPr="00AC43CD">
          <w:rPr>
            <w:rStyle w:val="Hyperlink"/>
            <w:rFonts w:eastAsia="Calibri" w:cs="Times New Roman"/>
          </w:rPr>
          <w:t>Statement of Service Performance Measures</w:t>
        </w:r>
      </w:hyperlink>
      <w:r>
        <w:rPr>
          <w:rFonts w:eastAsia="Calibri" w:cs="Times New Roman"/>
          <w:color w:val="auto"/>
        </w:rPr>
        <w:t xml:space="preserve"> table below as footnotes.  </w:t>
      </w:r>
    </w:p>
    <w:p w14:paraId="10C61FA0" w14:textId="254EF694" w:rsidR="00B02013" w:rsidRPr="00B02013" w:rsidRDefault="00B02013" w:rsidP="00B02013">
      <w:r w:rsidRPr="000D44DE">
        <w:t xml:space="preserve">Key targets are included in </w:t>
      </w:r>
      <w:hyperlink r:id="rId55" w:history="1">
        <w:r>
          <w:rPr>
            <w:rStyle w:val="Hyperlink"/>
          </w:rPr>
          <w:t>Vote Ombudsmen Estimates of Appropriations for the year ended 30 June 2026</w:t>
        </w:r>
      </w:hyperlink>
      <w:r w:rsidRPr="000D44DE">
        <w:t>. Full details can be found on the Treasury’s website.</w:t>
      </w:r>
    </w:p>
    <w:bookmarkEnd w:id="70"/>
    <w:p w14:paraId="001AD520" w14:textId="56812A3C" w:rsidR="006733EE" w:rsidRPr="000D44DE" w:rsidRDefault="006733EE" w:rsidP="006733EE">
      <w:pPr>
        <w:pStyle w:val="Heading4"/>
      </w:pPr>
      <w:r w:rsidRPr="000D44DE">
        <w:t xml:space="preserve">Survey </w:t>
      </w:r>
      <w:r w:rsidR="007C2A2C">
        <w:t>m</w:t>
      </w:r>
      <w:r w:rsidR="007C2A2C" w:rsidRPr="000D44DE">
        <w:t>easures</w:t>
      </w:r>
    </w:p>
    <w:p w14:paraId="206ECA73" w14:textId="087222C4" w:rsidR="006733EE" w:rsidRPr="000D44DE" w:rsidRDefault="006733EE" w:rsidP="006733EE">
      <w:pPr>
        <w:pStyle w:val="BodyText"/>
      </w:pPr>
      <w:r w:rsidRPr="000D44DE">
        <w:t xml:space="preserve">Satisfaction surveys are important instruments for understanding stakeholder experiences and expectations of the services the Ombudsman provides. Surveys help support accountability and improvement. A number of surveys are carried out across </w:t>
      </w:r>
      <w:r w:rsidR="009E1514">
        <w:t xml:space="preserve">most </w:t>
      </w:r>
      <w:r w:rsidRPr="000D44DE">
        <w:t>impacts and outputs, including with the public, public sector agencies, complainants, disability stakeholders</w:t>
      </w:r>
      <w:r>
        <w:t>,</w:t>
      </w:r>
      <w:r w:rsidRPr="000D44DE">
        <w:t xml:space="preserve"> and international stakeholders. </w:t>
      </w:r>
    </w:p>
    <w:p w14:paraId="55595C7E" w14:textId="6DB5B1EB" w:rsidR="006733EE" w:rsidRPr="000D44DE" w:rsidRDefault="00720320" w:rsidP="007D2033">
      <w:pPr>
        <w:pStyle w:val="BodyText"/>
      </w:pPr>
      <w:r>
        <w:t>Some s</w:t>
      </w:r>
      <w:r w:rsidR="006733EE" w:rsidRPr="000D44DE">
        <w:t>urvey performance measures have been selected because they have a material impact on ensuring that the services being provided by the Ombudsman meet quality standards</w:t>
      </w:r>
      <w:r>
        <w:t xml:space="preserve">, for example </w:t>
      </w:r>
      <w:r w:rsidR="005E41B9">
        <w:t xml:space="preserve">percentage </w:t>
      </w:r>
      <w:r>
        <w:t xml:space="preserve">of agencies satisfied with our communication overall. Quality standard measures </w:t>
      </w:r>
      <w:r w:rsidR="006733EE" w:rsidRPr="000D44DE">
        <w:t xml:space="preserve">allow </w:t>
      </w:r>
      <w:r w:rsidR="006733EE">
        <w:t>us</w:t>
      </w:r>
      <w:r w:rsidR="006733EE" w:rsidRPr="000D44DE">
        <w:t xml:space="preserve"> to indirectly </w:t>
      </w:r>
      <w:r w:rsidR="006733EE">
        <w:t xml:space="preserve">measure </w:t>
      </w:r>
      <w:r w:rsidR="006733EE" w:rsidRPr="000D44DE">
        <w:t>the impact of the services provided which contribute to the Ombudsman’s strategic outcomes.</w:t>
      </w:r>
      <w:r>
        <w:t xml:space="preserve"> Other survey measures</w:t>
      </w:r>
      <w:r w:rsidR="007D2033">
        <w:t xml:space="preserve"> allow us to directly measure the impact of our services provided, for example </w:t>
      </w:r>
      <w:r w:rsidR="00FA5A41">
        <w:t>percentage</w:t>
      </w:r>
      <w:r w:rsidR="00FA5A41" w:rsidRPr="007D2033">
        <w:t xml:space="preserve"> </w:t>
      </w:r>
      <w:r w:rsidR="007D2033" w:rsidRPr="007D2033">
        <w:t>of agencies which report our information</w:t>
      </w:r>
      <w:r w:rsidR="007D2033">
        <w:t xml:space="preserve"> </w:t>
      </w:r>
      <w:r w:rsidR="007D2033" w:rsidRPr="007D2033">
        <w:t>resources assist them in their work</w:t>
      </w:r>
      <w:r w:rsidR="007D2033">
        <w:t xml:space="preserve">. </w:t>
      </w:r>
    </w:p>
    <w:p w14:paraId="603E3745" w14:textId="543533E8" w:rsidR="006733EE" w:rsidRPr="000D44DE" w:rsidRDefault="006733EE" w:rsidP="006733EE">
      <w:pPr>
        <w:pStyle w:val="BodyText"/>
      </w:pPr>
      <w:r w:rsidRPr="000D44DE">
        <w:t>Surveys are administered either in-house, by an independent research company, or by third</w:t>
      </w:r>
      <w:r>
        <w:t>-</w:t>
      </w:r>
      <w:r w:rsidRPr="000D44DE">
        <w:t xml:space="preserve"> party research initiatives. Complainant surveys are conducted more frequently (quarterly, rather than annually) to ensure a better and more considered response rate, as well as to provide continuous feedback and make improvements.</w:t>
      </w:r>
      <w:r w:rsidR="00947A89">
        <w:t xml:space="preserve"> Community engagement (output 1) surveys are conducted </w:t>
      </w:r>
      <w:r w:rsidR="00D347F4">
        <w:t xml:space="preserve">in-house, based on participants who </w:t>
      </w:r>
      <w:r w:rsidR="00406751">
        <w:t>self-select to</w:t>
      </w:r>
      <w:r w:rsidR="00D347F4">
        <w:t xml:space="preserve"> complete the survey</w:t>
      </w:r>
      <w:r w:rsidR="00406751">
        <w:t xml:space="preserve"> after the engagement</w:t>
      </w:r>
      <w:r w:rsidR="00D347F4">
        <w:t xml:space="preserve">, </w:t>
      </w:r>
      <w:r w:rsidR="00947A89">
        <w:t xml:space="preserve">immediately following the engagement. </w:t>
      </w:r>
    </w:p>
    <w:p w14:paraId="2748830F" w14:textId="1A294244" w:rsidR="00773324" w:rsidRDefault="00097056" w:rsidP="00A21293">
      <w:pPr>
        <w:pStyle w:val="Heading4"/>
      </w:pPr>
      <w:r>
        <w:t xml:space="preserve">Quantity </w:t>
      </w:r>
      <w:r w:rsidR="007C2A2C">
        <w:t>measures</w:t>
      </w:r>
    </w:p>
    <w:p w14:paraId="5AA69D71" w14:textId="21C67C24" w:rsidR="00097056" w:rsidRDefault="00235245" w:rsidP="00773324">
      <w:pPr>
        <w:pStyle w:val="BodyText"/>
      </w:pPr>
      <w:r>
        <w:t xml:space="preserve">We </w:t>
      </w:r>
      <w:r w:rsidR="00E11217">
        <w:t xml:space="preserve">have a number of different quantity measures across all outputs. </w:t>
      </w:r>
      <w:r w:rsidR="00B8751F">
        <w:t>Key judgments and assumptions are as follows:</w:t>
      </w:r>
    </w:p>
    <w:p w14:paraId="394EF7B8" w14:textId="002E430D" w:rsidR="00B8751F" w:rsidRDefault="00EE2B96" w:rsidP="00773324">
      <w:pPr>
        <w:pStyle w:val="Bullet1"/>
      </w:pPr>
      <w:r>
        <w:t xml:space="preserve">Demand driven measures for outputs 3 and 4 are calculated </w:t>
      </w:r>
      <w:r w:rsidR="00B8751F">
        <w:t xml:space="preserve">using our internal </w:t>
      </w:r>
      <w:r w:rsidR="00D423C7">
        <w:t>complaint management system (CMS)</w:t>
      </w:r>
      <w:r w:rsidR="00B8751F">
        <w:t xml:space="preserve">, Tuia Mai. </w:t>
      </w:r>
      <w:r w:rsidR="00D423C7">
        <w:t>A complaint or enquiry is completed once the complaint or enquiry is closed in Tuia Mai</w:t>
      </w:r>
      <w:r w:rsidR="00C924AD">
        <w:t>—</w:t>
      </w:r>
      <w:r w:rsidR="00D423C7">
        <w:t>this occurs when a staff member selects the closure field, and this initiates the closure procedure where the complaint or enquiry is sent to the manager to approve closure.</w:t>
      </w:r>
    </w:p>
    <w:p w14:paraId="0D1FCEEB" w14:textId="77777777" w:rsidR="00B8751F" w:rsidRDefault="00EE2B96" w:rsidP="00B8751F">
      <w:pPr>
        <w:pStyle w:val="Bullet1"/>
      </w:pPr>
      <w:r>
        <w:t>Demand driven measure for output 5 i</w:t>
      </w:r>
      <w:r w:rsidRPr="00F3691B">
        <w:t>ncludes requests for advice, disclosures, and monitoring of other agencies’ responses to protected disclosures.</w:t>
      </w:r>
    </w:p>
    <w:p w14:paraId="5A97A622" w14:textId="77777777" w:rsidR="00B8751F" w:rsidRDefault="00B8751F" w:rsidP="00773324">
      <w:pPr>
        <w:pStyle w:val="Bullet1"/>
      </w:pPr>
      <w:r>
        <w:t>For engagements taking place over multiple days, such as visiting delegations or attendance at external events, that contribute to a measure, the date used is the final date of the engagement.</w:t>
      </w:r>
    </w:p>
    <w:p w14:paraId="2D6D70E9" w14:textId="68E2A9C4" w:rsidR="00B8751F" w:rsidRDefault="00B8751F" w:rsidP="004A166E">
      <w:pPr>
        <w:pStyle w:val="Bullet1"/>
      </w:pPr>
      <w:r>
        <w:t>For output 7, inspections and visits to places of detention are counted based on the last day of the visit or inspection. Provisional reports and feedback are counted based on the day the provisional report or feedback is sent to the facility.</w:t>
      </w:r>
    </w:p>
    <w:p w14:paraId="7C5C7AF8" w14:textId="3848F76D" w:rsidR="00097056" w:rsidRDefault="00097056" w:rsidP="00A21293">
      <w:pPr>
        <w:pStyle w:val="Heading4"/>
      </w:pPr>
      <w:r>
        <w:t xml:space="preserve">Quality </w:t>
      </w:r>
      <w:r w:rsidR="007C2A2C">
        <w:t xml:space="preserve">measures </w:t>
      </w:r>
    </w:p>
    <w:p w14:paraId="2D9BE925" w14:textId="6D80BA62" w:rsidR="00773324" w:rsidRDefault="00773324" w:rsidP="00773324">
      <w:pPr>
        <w:pStyle w:val="BodyText"/>
      </w:pPr>
      <w:r>
        <w:t>We have a number of different quality measures</w:t>
      </w:r>
      <w:r w:rsidR="00FA1999">
        <w:t xml:space="preserve"> across outputs (including </w:t>
      </w:r>
      <w:r w:rsidR="008157ED">
        <w:t>surveys</w:t>
      </w:r>
      <w:r w:rsidR="00FA1999">
        <w:t>, referred to above)</w:t>
      </w:r>
      <w:r>
        <w:t xml:space="preserve">. </w:t>
      </w:r>
      <w:r w:rsidR="009F16E7">
        <w:t xml:space="preserve">We undertake internal quality assurance to ensure our works meets quality standards. This compliments other ways of assessing the quality of our work, for example through in-house surveys of complainants and agencies. Our quality assurance includes complaint handling (outputs 3 and 4), disclosures, enquiries and monitoring (output 5), and reports for our OPCAT function (output 7). We undertake quality assurance activities </w:t>
      </w:r>
      <w:r w:rsidR="0055736E">
        <w:t xml:space="preserve">for output 3, 4 and 5 </w:t>
      </w:r>
      <w:r w:rsidR="009F16E7">
        <w:t>quarterly on a random sample of work. The random samples of work are then assessed against an internal framework, by an independent staff member.</w:t>
      </w:r>
      <w:r w:rsidR="0055736E">
        <w:t xml:space="preserve"> For output 7 we undertake </w:t>
      </w:r>
      <w:r w:rsidR="00F6720D">
        <w:t>internal quality assurance</w:t>
      </w:r>
      <w:r w:rsidR="0055736E">
        <w:t xml:space="preserve"> of every report sent. </w:t>
      </w:r>
    </w:p>
    <w:p w14:paraId="0679107A" w14:textId="7C53EFDF" w:rsidR="00773324" w:rsidRDefault="00773324" w:rsidP="00773324">
      <w:pPr>
        <w:pStyle w:val="BodyText"/>
      </w:pPr>
      <w:r>
        <w:t xml:space="preserve">Timeliness is another aspect of quality we measure across </w:t>
      </w:r>
      <w:r w:rsidR="009F16E7">
        <w:t>outputs 3, 4, 5 and 7</w:t>
      </w:r>
      <w:r>
        <w:t xml:space="preserve">. </w:t>
      </w:r>
      <w:r w:rsidR="009F16E7">
        <w:t>Timeliness measures for outputs 3, 4, and 5 are recorded based on when the complaint, enquiry, disclosure, enquiry or monitoring is received and when</w:t>
      </w:r>
      <w:r w:rsidR="00947A89">
        <w:t xml:space="preserve"> it is closed in Tuia Mai our internal CMS. </w:t>
      </w:r>
    </w:p>
    <w:p w14:paraId="0CB1F3E8" w14:textId="1E0726A4" w:rsidR="00D423C7" w:rsidRDefault="00D423C7" w:rsidP="00773324">
      <w:pPr>
        <w:pStyle w:val="BodyText"/>
      </w:pPr>
      <w:r>
        <w:t xml:space="preserve">Time based judgements are: </w:t>
      </w:r>
    </w:p>
    <w:p w14:paraId="5344B511" w14:textId="1FB156D8" w:rsidR="00947A89" w:rsidRDefault="00947A89" w:rsidP="00947A89">
      <w:pPr>
        <w:pStyle w:val="Bullet1"/>
      </w:pPr>
      <w:r>
        <w:t xml:space="preserve">One month is counted as 30 </w:t>
      </w:r>
      <w:r w:rsidR="00E11217">
        <w:t xml:space="preserve">calendar </w:t>
      </w:r>
      <w:r>
        <w:t>days</w:t>
      </w:r>
    </w:p>
    <w:p w14:paraId="0DE31CC1" w14:textId="39EC6741" w:rsidR="00947A89" w:rsidRDefault="00947A89" w:rsidP="00947A89">
      <w:pPr>
        <w:pStyle w:val="Bullet1"/>
      </w:pPr>
      <w:r>
        <w:t>Three months is counted as 90 calendar days</w:t>
      </w:r>
    </w:p>
    <w:p w14:paraId="5CD2C7D7" w14:textId="5AB332A3" w:rsidR="00947A89" w:rsidRDefault="00947A89" w:rsidP="00947A89">
      <w:pPr>
        <w:pStyle w:val="Bullet1"/>
      </w:pPr>
      <w:r>
        <w:t>Four months is counted as 120 calendar days</w:t>
      </w:r>
    </w:p>
    <w:p w14:paraId="1D4977FF" w14:textId="477A3C33" w:rsidR="00947A89" w:rsidRDefault="00947A89" w:rsidP="00947A89">
      <w:pPr>
        <w:pStyle w:val="Bullet1"/>
      </w:pPr>
      <w:r>
        <w:t>Six months is counted as 180 calendar days</w:t>
      </w:r>
    </w:p>
    <w:p w14:paraId="268D32E7" w14:textId="058C05CE" w:rsidR="00947A89" w:rsidRDefault="00947A89" w:rsidP="00947A89">
      <w:pPr>
        <w:pStyle w:val="Bullet1"/>
      </w:pPr>
      <w:r>
        <w:t>12 months is counted as 365 calendar days</w:t>
      </w:r>
    </w:p>
    <w:p w14:paraId="52D92A21" w14:textId="419497BF" w:rsidR="00E423CB" w:rsidRPr="00CA5AB8" w:rsidRDefault="00E70320" w:rsidP="00E70320">
      <w:pPr>
        <w:pStyle w:val="Heading3"/>
        <w:spacing w:after="240"/>
      </w:pPr>
      <w:bookmarkStart w:id="71" w:name="_Critical_Reporting_Judgements,"/>
      <w:bookmarkStart w:id="72" w:name="_Survey_measures"/>
      <w:bookmarkStart w:id="73" w:name="_Statement_of_Service"/>
      <w:bookmarkEnd w:id="69"/>
      <w:bookmarkEnd w:id="71"/>
      <w:bookmarkEnd w:id="72"/>
      <w:bookmarkEnd w:id="73"/>
      <w:r>
        <w:t xml:space="preserve">Statement of Service Performance Measures </w:t>
      </w:r>
    </w:p>
    <w:tbl>
      <w:tblPr>
        <w:tblStyle w:val="TableGridAnnualReport"/>
        <w:tblW w:w="9248" w:type="dxa"/>
        <w:tblInd w:w="-44"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20" w:firstRow="1" w:lastRow="0" w:firstColumn="0" w:lastColumn="0" w:noHBand="0" w:noVBand="1"/>
        <w:tblCaption w:val="Table for formatting purposes"/>
      </w:tblPr>
      <w:tblGrid>
        <w:gridCol w:w="5127"/>
        <w:gridCol w:w="1373"/>
        <w:gridCol w:w="1374"/>
        <w:gridCol w:w="1374"/>
      </w:tblGrid>
      <w:tr w:rsidR="00DD026E" w:rsidRPr="00CA5AB8" w14:paraId="7538D9B3" w14:textId="77777777" w:rsidTr="0097717D">
        <w:trPr>
          <w:cnfStyle w:val="100000000000" w:firstRow="1" w:lastRow="0" w:firstColumn="0" w:lastColumn="0" w:oddVBand="0" w:evenVBand="0" w:oddHBand="0" w:evenHBand="0" w:firstRowFirstColumn="0" w:firstRowLastColumn="0" w:lastRowFirstColumn="0" w:lastRowLastColumn="0"/>
          <w:trHeight w:val="60"/>
        </w:trPr>
        <w:tc>
          <w:tcPr>
            <w:tcW w:w="5127" w:type="dxa"/>
            <w:shd w:val="clear" w:color="auto" w:fill="017E5D"/>
          </w:tcPr>
          <w:p w14:paraId="36575D0D" w14:textId="77777777" w:rsidR="00DD026E" w:rsidRPr="00CA5AB8" w:rsidRDefault="00DD026E" w:rsidP="00D36C12">
            <w:pPr>
              <w:pStyle w:val="Tableheadingrow1"/>
              <w:rPr>
                <w:rStyle w:val="Emphasis"/>
              </w:rPr>
            </w:pPr>
            <w:bookmarkStart w:id="74" w:name="_Hlk238740451"/>
            <w:r>
              <w:t>Performance measures</w:t>
            </w:r>
          </w:p>
        </w:tc>
        <w:tc>
          <w:tcPr>
            <w:tcW w:w="1373" w:type="dxa"/>
            <w:shd w:val="clear" w:color="auto" w:fill="017E5D"/>
          </w:tcPr>
          <w:p w14:paraId="50999A0F" w14:textId="77777777" w:rsidR="00DD026E" w:rsidRPr="00CA5AB8" w:rsidRDefault="00DD026E" w:rsidP="00D36C12">
            <w:pPr>
              <w:pStyle w:val="Tableheadingrow1"/>
            </w:pPr>
            <w:r>
              <w:t>Budget Standard</w:t>
            </w:r>
          </w:p>
          <w:p w14:paraId="2FB7FF3A" w14:textId="77777777" w:rsidR="00DD026E" w:rsidRPr="00CA5AB8" w:rsidRDefault="00DD026E" w:rsidP="00D36C12">
            <w:pPr>
              <w:pStyle w:val="Tableheadingrow1"/>
              <w:rPr>
                <w:rStyle w:val="Emphasis"/>
              </w:rPr>
            </w:pPr>
            <w:r>
              <w:t>2025/26</w:t>
            </w:r>
          </w:p>
        </w:tc>
        <w:tc>
          <w:tcPr>
            <w:tcW w:w="1374" w:type="dxa"/>
            <w:shd w:val="clear" w:color="auto" w:fill="017E5D"/>
          </w:tcPr>
          <w:p w14:paraId="40C71C60" w14:textId="77777777" w:rsidR="00DD026E" w:rsidRPr="00CA5AB8" w:rsidRDefault="00DD026E" w:rsidP="00D36C12">
            <w:pPr>
              <w:pStyle w:val="Tableheadingrow1"/>
            </w:pPr>
            <w:r>
              <w:t>Actual</w:t>
            </w:r>
          </w:p>
          <w:p w14:paraId="31987394" w14:textId="77777777" w:rsidR="00DD026E" w:rsidRPr="00CA5AB8" w:rsidRDefault="00DD026E" w:rsidP="00D36C12">
            <w:pPr>
              <w:pStyle w:val="Tableheadingrow1"/>
              <w:rPr>
                <w:rStyle w:val="Emphasis"/>
              </w:rPr>
            </w:pPr>
            <w:r>
              <w:t>2025/26</w:t>
            </w:r>
          </w:p>
        </w:tc>
        <w:tc>
          <w:tcPr>
            <w:tcW w:w="1374" w:type="dxa"/>
            <w:shd w:val="clear" w:color="auto" w:fill="017E5D"/>
          </w:tcPr>
          <w:p w14:paraId="4096D366" w14:textId="77777777" w:rsidR="00DD026E" w:rsidRPr="00CA5AB8" w:rsidRDefault="00DD026E" w:rsidP="00D36C12">
            <w:pPr>
              <w:pStyle w:val="Tableheadingrow1"/>
              <w:rPr>
                <w:rStyle w:val="Emphasis"/>
              </w:rPr>
            </w:pPr>
            <w:r>
              <w:t>Actual</w:t>
            </w:r>
            <w:r>
              <w:br/>
              <w:t>2024/25</w:t>
            </w:r>
          </w:p>
        </w:tc>
      </w:tr>
      <w:tr w:rsidR="00B942EB" w:rsidRPr="00CA5AB8" w14:paraId="7DD9BA24"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shd w:val="clear" w:color="auto" w:fill="D3D3D3"/>
          </w:tcPr>
          <w:p w14:paraId="52604B6A" w14:textId="026483C6" w:rsidR="00B942EB" w:rsidRDefault="00022A78" w:rsidP="00D36C12">
            <w:pPr>
              <w:pStyle w:val="Tablebodytextnospaceafter"/>
              <w:rPr>
                <w:rStyle w:val="Emphasis"/>
              </w:rPr>
            </w:pPr>
            <w:r>
              <w:rPr>
                <w:rStyle w:val="Emphasis"/>
              </w:rPr>
              <w:t xml:space="preserve">Outcome measures </w:t>
            </w:r>
          </w:p>
        </w:tc>
        <w:tc>
          <w:tcPr>
            <w:tcW w:w="1373" w:type="dxa"/>
            <w:shd w:val="clear" w:color="auto" w:fill="D3D3D3"/>
          </w:tcPr>
          <w:p w14:paraId="533A065C" w14:textId="77777777" w:rsidR="00B942EB" w:rsidRPr="00CA5AB8" w:rsidRDefault="00B942EB" w:rsidP="00D36C12">
            <w:pPr>
              <w:pStyle w:val="Tablebodytextnospaceafter"/>
              <w:jc w:val="right"/>
            </w:pPr>
          </w:p>
        </w:tc>
        <w:tc>
          <w:tcPr>
            <w:tcW w:w="1374" w:type="dxa"/>
            <w:shd w:val="clear" w:color="auto" w:fill="D3D3D3"/>
          </w:tcPr>
          <w:p w14:paraId="7412E3FD" w14:textId="77777777" w:rsidR="00B942EB" w:rsidRPr="00CA5AB8" w:rsidRDefault="00B942EB" w:rsidP="00D36C12">
            <w:pPr>
              <w:pStyle w:val="Tablebodytextnospaceafter"/>
              <w:jc w:val="right"/>
              <w:rPr>
                <w:rStyle w:val="Emphasis"/>
              </w:rPr>
            </w:pPr>
          </w:p>
        </w:tc>
        <w:tc>
          <w:tcPr>
            <w:tcW w:w="1374" w:type="dxa"/>
            <w:shd w:val="clear" w:color="auto" w:fill="D3D3D3"/>
          </w:tcPr>
          <w:p w14:paraId="13C168AF" w14:textId="77777777" w:rsidR="00B942EB" w:rsidRPr="00CA5AB8" w:rsidRDefault="00B942EB" w:rsidP="00D36C12">
            <w:pPr>
              <w:pStyle w:val="Tablebodytextnospaceafter"/>
              <w:jc w:val="right"/>
              <w:rPr>
                <w:rStyle w:val="Emphasis"/>
                <w:b w:val="0"/>
              </w:rPr>
            </w:pPr>
          </w:p>
        </w:tc>
      </w:tr>
      <w:tr w:rsidR="00B942EB" w:rsidRPr="00CA5AB8" w14:paraId="26591885"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109616CE" w14:textId="00D4BF07" w:rsidR="00B942EB" w:rsidRDefault="00B942EB" w:rsidP="00B942EB">
            <w:pPr>
              <w:pStyle w:val="Tablebodytextnospaceafter"/>
              <w:rPr>
                <w:rStyle w:val="Emphasis"/>
              </w:rPr>
            </w:pPr>
            <w:r>
              <w:t>High trust in public sector brand based on personal service experience</w:t>
            </w:r>
            <w:r>
              <w:rPr>
                <w:rStyle w:val="FootnoteReference"/>
              </w:rPr>
              <w:footnoteReference w:id="22"/>
            </w:r>
          </w:p>
        </w:tc>
        <w:tc>
          <w:tcPr>
            <w:tcW w:w="1373" w:type="dxa"/>
          </w:tcPr>
          <w:p w14:paraId="68F59481" w14:textId="68FEE7EB" w:rsidR="00B942EB" w:rsidRPr="00CA5AB8" w:rsidRDefault="00B942EB" w:rsidP="00B942EB">
            <w:pPr>
              <w:pStyle w:val="Tablebodytextnospaceafter"/>
              <w:jc w:val="right"/>
            </w:pPr>
            <w:r>
              <w:t>60</w:t>
            </w:r>
            <w:r w:rsidR="0063790C">
              <w:t>%</w:t>
            </w:r>
            <w:r>
              <w:t xml:space="preserve"> or higher</w:t>
            </w:r>
          </w:p>
        </w:tc>
        <w:tc>
          <w:tcPr>
            <w:tcW w:w="1374" w:type="dxa"/>
          </w:tcPr>
          <w:p w14:paraId="304F177E" w14:textId="29D05689" w:rsidR="00B942EB" w:rsidRPr="00CA5AB8" w:rsidRDefault="00F87723" w:rsidP="00B942EB">
            <w:pPr>
              <w:pStyle w:val="Tablebodytextnospaceafter"/>
              <w:jc w:val="right"/>
              <w:rPr>
                <w:rStyle w:val="Emphasis"/>
              </w:rPr>
            </w:pPr>
            <w:r>
              <w:rPr>
                <w:rStyle w:val="Emphasis"/>
              </w:rPr>
              <w:t>62%</w:t>
            </w:r>
          </w:p>
        </w:tc>
        <w:tc>
          <w:tcPr>
            <w:tcW w:w="1374" w:type="dxa"/>
          </w:tcPr>
          <w:p w14:paraId="65451590" w14:textId="4A9935BE" w:rsidR="00B942EB" w:rsidRPr="00F83D9A" w:rsidRDefault="00B942EB" w:rsidP="00B942EB">
            <w:pPr>
              <w:pStyle w:val="Tablebodytextnospaceafter"/>
              <w:jc w:val="right"/>
              <w:rPr>
                <w:rStyle w:val="Emphasis"/>
                <w:b w:val="0"/>
                <w:bCs w:val="0"/>
              </w:rPr>
            </w:pPr>
            <w:r w:rsidRPr="00F83D9A">
              <w:rPr>
                <w:rStyle w:val="Emphasis"/>
                <w:b w:val="0"/>
                <w:bCs w:val="0"/>
              </w:rPr>
              <w:t>59</w:t>
            </w:r>
            <w:r w:rsidR="000F50A3">
              <w:rPr>
                <w:rStyle w:val="Emphasis"/>
                <w:b w:val="0"/>
                <w:bCs w:val="0"/>
              </w:rPr>
              <w:t>%</w:t>
            </w:r>
          </w:p>
        </w:tc>
      </w:tr>
      <w:tr w:rsidR="00B942EB" w:rsidRPr="00CA5AB8" w14:paraId="594BCB88"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2EA04852" w14:textId="2517F5E5" w:rsidR="00B942EB" w:rsidRDefault="00B942EB" w:rsidP="00B942EB">
            <w:pPr>
              <w:pStyle w:val="Tablebodytextnospaceafter"/>
              <w:rPr>
                <w:rStyle w:val="Emphasis"/>
              </w:rPr>
            </w:pPr>
            <w:r>
              <w:t>New Zealand public is able to participate in government</w:t>
            </w:r>
            <w:r>
              <w:rPr>
                <w:rStyle w:val="FootnoteReference"/>
              </w:rPr>
              <w:footnoteReference w:id="23"/>
            </w:r>
          </w:p>
        </w:tc>
        <w:tc>
          <w:tcPr>
            <w:tcW w:w="1373" w:type="dxa"/>
          </w:tcPr>
          <w:p w14:paraId="560350B9" w14:textId="13B95DCF" w:rsidR="00B942EB" w:rsidRPr="00CA5AB8" w:rsidRDefault="00B942EB" w:rsidP="00B942EB">
            <w:pPr>
              <w:pStyle w:val="Tablebodytextnospaceafter"/>
              <w:jc w:val="right"/>
            </w:pPr>
            <w:r>
              <w:t>Scores within fair or good range</w:t>
            </w:r>
            <w:r>
              <w:rPr>
                <w:rStyle w:val="FootnoteReference"/>
              </w:rPr>
              <w:footnoteReference w:id="24"/>
            </w:r>
          </w:p>
        </w:tc>
        <w:tc>
          <w:tcPr>
            <w:tcW w:w="1374" w:type="dxa"/>
          </w:tcPr>
          <w:p w14:paraId="583CA85D" w14:textId="139C23C0" w:rsidR="00B942EB" w:rsidRPr="00CA5AB8" w:rsidRDefault="00DA23DF" w:rsidP="00B942EB">
            <w:pPr>
              <w:pStyle w:val="Tablebodytextnospaceafter"/>
              <w:jc w:val="right"/>
              <w:rPr>
                <w:rStyle w:val="Emphasis"/>
              </w:rPr>
            </w:pPr>
            <w:r>
              <w:rPr>
                <w:rStyle w:val="Emphasis"/>
              </w:rPr>
              <w:t>7.6</w:t>
            </w:r>
          </w:p>
        </w:tc>
        <w:tc>
          <w:tcPr>
            <w:tcW w:w="1374" w:type="dxa"/>
          </w:tcPr>
          <w:p w14:paraId="2A13EBDA" w14:textId="24B8BFD8" w:rsidR="00B942EB" w:rsidRPr="00F83D9A" w:rsidRDefault="00B942EB" w:rsidP="00B942EB">
            <w:pPr>
              <w:pStyle w:val="Tablebodytextnospaceafter"/>
              <w:jc w:val="right"/>
              <w:rPr>
                <w:rStyle w:val="Emphasis"/>
                <w:b w:val="0"/>
                <w:bCs w:val="0"/>
              </w:rPr>
            </w:pPr>
            <w:r w:rsidRPr="00F83D9A">
              <w:rPr>
                <w:rStyle w:val="Emphasis"/>
                <w:b w:val="0"/>
                <w:bCs w:val="0"/>
              </w:rPr>
              <w:t>6.4 (fair)</w:t>
            </w:r>
            <w:r w:rsidR="0068541D">
              <w:rPr>
                <w:rStyle w:val="FootnoteReference"/>
                <w:iCs/>
              </w:rPr>
              <w:footnoteReference w:id="25"/>
            </w:r>
          </w:p>
        </w:tc>
      </w:tr>
      <w:tr w:rsidR="00F3691B" w:rsidRPr="00CA5AB8" w14:paraId="31FB3669"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7B76F5C8" w14:textId="5D393EEB" w:rsidR="00B942EB" w:rsidRDefault="00B942EB" w:rsidP="00B942EB">
            <w:pPr>
              <w:pStyle w:val="Tablebodytextnospaceafter"/>
              <w:rPr>
                <w:rStyle w:val="Emphasis"/>
              </w:rPr>
            </w:pPr>
            <w:r>
              <w:t>New Zealand is free from torture and ill treatment</w:t>
            </w:r>
            <w:r>
              <w:rPr>
                <w:rStyle w:val="FootnoteReference"/>
              </w:rPr>
              <w:footnoteReference w:id="26"/>
            </w:r>
          </w:p>
        </w:tc>
        <w:tc>
          <w:tcPr>
            <w:tcW w:w="1373" w:type="dxa"/>
          </w:tcPr>
          <w:p w14:paraId="1DBFE1A9" w14:textId="550DC12F" w:rsidR="00B942EB" w:rsidRPr="00CA5AB8" w:rsidRDefault="00B942EB" w:rsidP="00B942EB">
            <w:pPr>
              <w:pStyle w:val="Tablebodytextnospaceafter"/>
              <w:jc w:val="right"/>
            </w:pPr>
            <w:r>
              <w:t>Scores within fair or good range</w:t>
            </w:r>
            <w:r>
              <w:rPr>
                <w:rStyle w:val="FootnoteReference"/>
              </w:rPr>
              <w:footnoteReference w:id="27"/>
            </w:r>
          </w:p>
        </w:tc>
        <w:tc>
          <w:tcPr>
            <w:tcW w:w="1374" w:type="dxa"/>
          </w:tcPr>
          <w:p w14:paraId="6540D6C0" w14:textId="706762B9" w:rsidR="00B942EB" w:rsidRPr="00CA5AB8" w:rsidRDefault="00DA23DF" w:rsidP="00B942EB">
            <w:pPr>
              <w:pStyle w:val="Tablebodytextnospaceafter"/>
              <w:jc w:val="right"/>
              <w:rPr>
                <w:rStyle w:val="Emphasis"/>
              </w:rPr>
            </w:pPr>
            <w:r>
              <w:rPr>
                <w:rStyle w:val="Emphasis"/>
              </w:rPr>
              <w:t>6.8</w:t>
            </w:r>
          </w:p>
        </w:tc>
        <w:tc>
          <w:tcPr>
            <w:tcW w:w="1374" w:type="dxa"/>
          </w:tcPr>
          <w:p w14:paraId="037B7319" w14:textId="2EC5D787" w:rsidR="00B942EB" w:rsidRPr="00F83D9A" w:rsidRDefault="00B942EB" w:rsidP="00B942EB">
            <w:pPr>
              <w:pStyle w:val="Tablebodytextnospaceafter"/>
              <w:jc w:val="right"/>
              <w:rPr>
                <w:rStyle w:val="Emphasis"/>
                <w:b w:val="0"/>
                <w:bCs w:val="0"/>
              </w:rPr>
            </w:pPr>
            <w:r w:rsidRPr="00F83D9A">
              <w:rPr>
                <w:rStyle w:val="Emphasis"/>
                <w:b w:val="0"/>
                <w:bCs w:val="0"/>
              </w:rPr>
              <w:t>6.4 (fair)</w:t>
            </w:r>
            <w:r w:rsidR="0068541D">
              <w:rPr>
                <w:rStyle w:val="FootnoteReference"/>
                <w:iCs/>
              </w:rPr>
              <w:footnoteReference w:id="28"/>
            </w:r>
          </w:p>
        </w:tc>
      </w:tr>
      <w:bookmarkEnd w:id="74"/>
      <w:tr w:rsidR="00022A78" w:rsidRPr="00CA5AB8" w14:paraId="578077AD"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157E9035" w14:textId="72EFF195" w:rsidR="00022A78" w:rsidRDefault="00022A78" w:rsidP="00022A78">
            <w:pPr>
              <w:pStyle w:val="Tablebodytextnospaceafter"/>
              <w:rPr>
                <w:rStyle w:val="Emphasis"/>
              </w:rPr>
            </w:pPr>
            <w:r>
              <w:t>New Zealand</w:t>
            </w:r>
            <w:r w:rsidR="00FC5A6C">
              <w:t xml:space="preserve"> anti-corruption perception score</w:t>
            </w:r>
            <w:r w:rsidR="00547098">
              <w:t>*</w:t>
            </w:r>
            <w:r w:rsidR="00547098">
              <w:rPr>
                <w:rStyle w:val="FootnoteReference"/>
              </w:rPr>
              <w:footnoteReference w:id="29"/>
            </w:r>
          </w:p>
        </w:tc>
        <w:tc>
          <w:tcPr>
            <w:tcW w:w="1373" w:type="dxa"/>
          </w:tcPr>
          <w:p w14:paraId="336F0B0F" w14:textId="2C431327" w:rsidR="00022A78" w:rsidRPr="00CA5AB8" w:rsidRDefault="00FC5A6C" w:rsidP="00022A78">
            <w:pPr>
              <w:pStyle w:val="Tablebodytextnospaceafter"/>
              <w:jc w:val="right"/>
            </w:pPr>
            <w:r>
              <w:t>Maintain or improve trend</w:t>
            </w:r>
          </w:p>
        </w:tc>
        <w:tc>
          <w:tcPr>
            <w:tcW w:w="1374" w:type="dxa"/>
          </w:tcPr>
          <w:p w14:paraId="46081511" w14:textId="04A21176" w:rsidR="00022A78" w:rsidRPr="00CA5AB8" w:rsidRDefault="00F87723" w:rsidP="00022A78">
            <w:pPr>
              <w:pStyle w:val="Tablebodytextnospaceafter"/>
              <w:jc w:val="right"/>
              <w:rPr>
                <w:rStyle w:val="Emphasis"/>
              </w:rPr>
            </w:pPr>
            <w:r>
              <w:rPr>
                <w:rStyle w:val="Emphasis"/>
              </w:rPr>
              <w:t xml:space="preserve">81 </w:t>
            </w:r>
            <w:r w:rsidR="00AD42D2">
              <w:rPr>
                <w:rStyle w:val="Emphasis"/>
              </w:rPr>
              <w:br/>
            </w:r>
            <w:r>
              <w:rPr>
                <w:rStyle w:val="Emphasis"/>
              </w:rPr>
              <w:t>(NZ ranked fourth)</w:t>
            </w:r>
          </w:p>
        </w:tc>
        <w:tc>
          <w:tcPr>
            <w:tcW w:w="1374" w:type="dxa"/>
          </w:tcPr>
          <w:p w14:paraId="3F1D061E" w14:textId="2C26A70E" w:rsidR="00022A78" w:rsidRPr="00F83D9A" w:rsidRDefault="00FC5A6C" w:rsidP="00022A78">
            <w:pPr>
              <w:pStyle w:val="Tablebodytextnospaceafter"/>
              <w:jc w:val="right"/>
              <w:rPr>
                <w:rStyle w:val="Emphasis"/>
                <w:b w:val="0"/>
                <w:bCs w:val="0"/>
              </w:rPr>
            </w:pPr>
            <w:r w:rsidRPr="00F83D9A">
              <w:rPr>
                <w:rStyle w:val="Emphasis"/>
                <w:b w:val="0"/>
                <w:bCs w:val="0"/>
              </w:rPr>
              <w:t xml:space="preserve">83 </w:t>
            </w:r>
            <w:r w:rsidR="00AD42D2">
              <w:rPr>
                <w:rStyle w:val="Emphasis"/>
                <w:b w:val="0"/>
                <w:bCs w:val="0"/>
              </w:rPr>
              <w:br/>
            </w:r>
            <w:r w:rsidRPr="00F83D9A">
              <w:rPr>
                <w:rStyle w:val="Emphasis"/>
                <w:b w:val="0"/>
                <w:bCs w:val="0"/>
              </w:rPr>
              <w:t>(</w:t>
            </w:r>
            <w:r w:rsidR="00022A78" w:rsidRPr="00F83D9A">
              <w:rPr>
                <w:rStyle w:val="Emphasis"/>
                <w:b w:val="0"/>
                <w:bCs w:val="0"/>
              </w:rPr>
              <w:t>NZ ranked fourth</w:t>
            </w:r>
            <w:r w:rsidRPr="00F83D9A">
              <w:rPr>
                <w:rStyle w:val="Emphasis"/>
                <w:b w:val="0"/>
                <w:bCs w:val="0"/>
              </w:rPr>
              <w:t>)</w:t>
            </w:r>
          </w:p>
        </w:tc>
      </w:tr>
      <w:tr w:rsidR="00022A78" w:rsidRPr="00CA5AB8" w14:paraId="256E7F79"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D3D3D3"/>
          </w:tcPr>
          <w:p w14:paraId="2104AC94" w14:textId="77777777" w:rsidR="00022A78" w:rsidRPr="00CA5AB8" w:rsidRDefault="00022A78" w:rsidP="00022A78">
            <w:pPr>
              <w:pStyle w:val="Tablebodytextnospaceafter"/>
            </w:pPr>
            <w:r>
              <w:rPr>
                <w:rStyle w:val="Emphasis"/>
              </w:rPr>
              <w:t>Impact measures</w:t>
            </w:r>
          </w:p>
        </w:tc>
        <w:tc>
          <w:tcPr>
            <w:tcW w:w="1373" w:type="dxa"/>
            <w:shd w:val="clear" w:color="auto" w:fill="D3D3D3"/>
          </w:tcPr>
          <w:p w14:paraId="4B5D69AE" w14:textId="77777777" w:rsidR="00022A78" w:rsidRPr="00CA5AB8" w:rsidRDefault="00022A78" w:rsidP="00022A78">
            <w:pPr>
              <w:pStyle w:val="Tablebodytextnospaceafter"/>
              <w:jc w:val="right"/>
            </w:pPr>
          </w:p>
        </w:tc>
        <w:tc>
          <w:tcPr>
            <w:tcW w:w="1374" w:type="dxa"/>
            <w:shd w:val="clear" w:color="auto" w:fill="D3D3D3"/>
          </w:tcPr>
          <w:p w14:paraId="59AC0FBA" w14:textId="77777777" w:rsidR="00022A78" w:rsidRPr="00CA5AB8" w:rsidRDefault="00022A78" w:rsidP="00022A78">
            <w:pPr>
              <w:pStyle w:val="Tablebodytextnospaceafter"/>
              <w:jc w:val="right"/>
              <w:rPr>
                <w:rStyle w:val="Emphasis"/>
              </w:rPr>
            </w:pPr>
          </w:p>
        </w:tc>
        <w:tc>
          <w:tcPr>
            <w:tcW w:w="1374" w:type="dxa"/>
            <w:shd w:val="clear" w:color="auto" w:fill="D3D3D3"/>
          </w:tcPr>
          <w:p w14:paraId="38E43268" w14:textId="77777777" w:rsidR="00022A78" w:rsidRPr="00F83D9A" w:rsidRDefault="00022A78" w:rsidP="00022A78">
            <w:pPr>
              <w:pStyle w:val="Tablebodytextnospaceafter"/>
              <w:jc w:val="right"/>
              <w:rPr>
                <w:rStyle w:val="Emphasis"/>
                <w:b w:val="0"/>
                <w:bCs w:val="0"/>
              </w:rPr>
            </w:pPr>
          </w:p>
        </w:tc>
      </w:tr>
      <w:tr w:rsidR="00022A78" w:rsidRPr="00CA5AB8" w14:paraId="5339BADB"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1B1D0792" w14:textId="77777777" w:rsidR="00022A78" w:rsidRPr="00CA5AB8" w:rsidRDefault="00022A78" w:rsidP="00022A78">
            <w:pPr>
              <w:pStyle w:val="Tablebodytextnospaceafter"/>
            </w:pPr>
            <w:r>
              <w:t>% of members of the public who are aware of official information legislation</w:t>
            </w:r>
            <w:r>
              <w:rPr>
                <w:rStyle w:val="FootnoteReference"/>
              </w:rPr>
              <w:footnoteReference w:id="30"/>
            </w:r>
          </w:p>
        </w:tc>
        <w:tc>
          <w:tcPr>
            <w:tcW w:w="1373" w:type="dxa"/>
          </w:tcPr>
          <w:p w14:paraId="43B831DF" w14:textId="0370E933" w:rsidR="00022A78" w:rsidRPr="00CA5AB8" w:rsidRDefault="00022A78" w:rsidP="00022A78">
            <w:pPr>
              <w:pStyle w:val="Tablebodytextnospaceafter"/>
              <w:jc w:val="right"/>
            </w:pPr>
            <w:r>
              <w:t>47</w:t>
            </w:r>
          </w:p>
        </w:tc>
        <w:tc>
          <w:tcPr>
            <w:tcW w:w="1374" w:type="dxa"/>
          </w:tcPr>
          <w:p w14:paraId="0C5E1CF2" w14:textId="198CBAF3" w:rsidR="00022A78" w:rsidRPr="00CA5AB8" w:rsidRDefault="00F87723" w:rsidP="00022A78">
            <w:pPr>
              <w:pStyle w:val="Tablebodytextnospaceafter"/>
              <w:jc w:val="right"/>
              <w:rPr>
                <w:rStyle w:val="Emphasis"/>
              </w:rPr>
            </w:pPr>
            <w:r>
              <w:rPr>
                <w:rStyle w:val="Emphasis"/>
              </w:rPr>
              <w:t>46</w:t>
            </w:r>
          </w:p>
        </w:tc>
        <w:tc>
          <w:tcPr>
            <w:tcW w:w="1374" w:type="dxa"/>
          </w:tcPr>
          <w:p w14:paraId="118916BB" w14:textId="19076799" w:rsidR="00022A78" w:rsidRPr="00F83D9A" w:rsidRDefault="00022A78" w:rsidP="00022A78">
            <w:pPr>
              <w:pStyle w:val="Tablebodytextnospaceafter"/>
              <w:jc w:val="right"/>
              <w:rPr>
                <w:rStyle w:val="Emphasis"/>
                <w:b w:val="0"/>
                <w:bCs w:val="0"/>
              </w:rPr>
            </w:pPr>
            <w:r w:rsidRPr="00F83D9A">
              <w:rPr>
                <w:rStyle w:val="Emphasis"/>
                <w:b w:val="0"/>
                <w:bCs w:val="0"/>
              </w:rPr>
              <w:t>46</w:t>
            </w:r>
          </w:p>
        </w:tc>
      </w:tr>
      <w:tr w:rsidR="00022A78" w:rsidRPr="00CA5AB8" w14:paraId="213FA2A7"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68C242DD" w14:textId="77777777" w:rsidR="00022A78" w:rsidRPr="00CA5AB8" w:rsidRDefault="00022A78" w:rsidP="00022A78">
            <w:pPr>
              <w:pStyle w:val="Tablebodytextnospaceafter"/>
            </w:pPr>
            <w:r>
              <w:t>% of members of the public who received the information they asked for</w:t>
            </w:r>
            <w:r>
              <w:rPr>
                <w:rStyle w:val="FootnoteReference"/>
              </w:rPr>
              <w:footnoteReference w:id="31"/>
            </w:r>
          </w:p>
        </w:tc>
        <w:tc>
          <w:tcPr>
            <w:tcW w:w="1373" w:type="dxa"/>
          </w:tcPr>
          <w:p w14:paraId="7F8C1A48" w14:textId="1DAF0BC4" w:rsidR="00022A78" w:rsidRPr="00CA5AB8" w:rsidRDefault="00022A78" w:rsidP="00022A78">
            <w:pPr>
              <w:pStyle w:val="Tablebodytextnospaceafter"/>
              <w:jc w:val="right"/>
            </w:pPr>
            <w:r>
              <w:t>65</w:t>
            </w:r>
          </w:p>
        </w:tc>
        <w:tc>
          <w:tcPr>
            <w:tcW w:w="1374" w:type="dxa"/>
          </w:tcPr>
          <w:p w14:paraId="3CD941FB" w14:textId="02CE7D64" w:rsidR="00022A78" w:rsidRPr="00CA5AB8" w:rsidRDefault="00F87723" w:rsidP="00022A78">
            <w:pPr>
              <w:pStyle w:val="Tablebodytextnospaceafter"/>
              <w:jc w:val="right"/>
              <w:rPr>
                <w:rStyle w:val="Emphasis"/>
              </w:rPr>
            </w:pPr>
            <w:r>
              <w:rPr>
                <w:rStyle w:val="Emphasis"/>
              </w:rPr>
              <w:t>80</w:t>
            </w:r>
          </w:p>
        </w:tc>
        <w:tc>
          <w:tcPr>
            <w:tcW w:w="1374" w:type="dxa"/>
          </w:tcPr>
          <w:p w14:paraId="75C4FD8B" w14:textId="393A9F8B" w:rsidR="00022A78" w:rsidRPr="00F83D9A" w:rsidRDefault="00022A78" w:rsidP="00022A78">
            <w:pPr>
              <w:pStyle w:val="Tablebodytextnospaceafter"/>
              <w:jc w:val="right"/>
              <w:rPr>
                <w:rStyle w:val="Emphasis"/>
                <w:b w:val="0"/>
                <w:bCs w:val="0"/>
              </w:rPr>
            </w:pPr>
            <w:r w:rsidRPr="00F83D9A">
              <w:rPr>
                <w:rStyle w:val="Emphasis"/>
                <w:b w:val="0"/>
                <w:bCs w:val="0"/>
              </w:rPr>
              <w:t>56</w:t>
            </w:r>
          </w:p>
        </w:tc>
      </w:tr>
      <w:tr w:rsidR="00022A78" w:rsidRPr="00CA5AB8" w14:paraId="28213EDE"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19F43353" w14:textId="758E619F" w:rsidR="00022A78" w:rsidRDefault="00022A78" w:rsidP="00022A78">
            <w:pPr>
              <w:pStyle w:val="Tablebodytextnospaceafter"/>
            </w:pPr>
            <w:r w:rsidRPr="00B942EB">
              <w:t>% of members of</w:t>
            </w:r>
            <w:r>
              <w:t xml:space="preserve"> </w:t>
            </w:r>
            <w:r w:rsidRPr="00B942EB">
              <w:t>the public who are</w:t>
            </w:r>
            <w:r>
              <w:t xml:space="preserve"> </w:t>
            </w:r>
            <w:r w:rsidRPr="00B942EB">
              <w:t>aware of</w:t>
            </w:r>
            <w:r>
              <w:t xml:space="preserve"> </w:t>
            </w:r>
            <w:r w:rsidRPr="00B942EB">
              <w:t>protected</w:t>
            </w:r>
            <w:r>
              <w:t xml:space="preserve"> </w:t>
            </w:r>
            <w:r w:rsidRPr="00B942EB">
              <w:t>disclosures legislation</w:t>
            </w:r>
            <w:r w:rsidR="00F03FC4">
              <w:t xml:space="preserve"> (new measure)</w:t>
            </w:r>
            <w:r>
              <w:rPr>
                <w:rStyle w:val="FootnoteReference"/>
              </w:rPr>
              <w:footnoteReference w:id="32"/>
            </w:r>
          </w:p>
        </w:tc>
        <w:tc>
          <w:tcPr>
            <w:tcW w:w="1373" w:type="dxa"/>
          </w:tcPr>
          <w:p w14:paraId="4861B8B7" w14:textId="5F63278E" w:rsidR="00022A78" w:rsidRDefault="00022A78" w:rsidP="00022A78">
            <w:pPr>
              <w:pStyle w:val="Tablebodytextnospaceafter"/>
              <w:jc w:val="right"/>
            </w:pPr>
            <w:r>
              <w:t>38</w:t>
            </w:r>
          </w:p>
        </w:tc>
        <w:tc>
          <w:tcPr>
            <w:tcW w:w="1374" w:type="dxa"/>
          </w:tcPr>
          <w:p w14:paraId="67F81BD8" w14:textId="78E570C9" w:rsidR="00022A78" w:rsidRPr="00CA5AB8" w:rsidRDefault="00F87723" w:rsidP="00022A78">
            <w:pPr>
              <w:pStyle w:val="Tablebodytextnospaceafter"/>
              <w:jc w:val="right"/>
              <w:rPr>
                <w:rStyle w:val="Emphasis"/>
              </w:rPr>
            </w:pPr>
            <w:r>
              <w:rPr>
                <w:rStyle w:val="Emphasis"/>
              </w:rPr>
              <w:t>30</w:t>
            </w:r>
          </w:p>
        </w:tc>
        <w:tc>
          <w:tcPr>
            <w:tcW w:w="1374" w:type="dxa"/>
          </w:tcPr>
          <w:p w14:paraId="345125BB" w14:textId="03E3A43F" w:rsidR="00022A78" w:rsidRPr="00F83D9A" w:rsidRDefault="00AE5CC5" w:rsidP="00022A78">
            <w:pPr>
              <w:pStyle w:val="Tablebodytextnospaceafter"/>
              <w:jc w:val="right"/>
              <w:rPr>
                <w:rStyle w:val="Emphasis"/>
                <w:b w:val="0"/>
                <w:bCs w:val="0"/>
              </w:rPr>
            </w:pPr>
            <w:r>
              <w:rPr>
                <w:rStyle w:val="Emphasis"/>
                <w:b w:val="0"/>
                <w:bCs w:val="0"/>
              </w:rPr>
              <w:t>-</w:t>
            </w:r>
          </w:p>
        </w:tc>
      </w:tr>
      <w:tr w:rsidR="00022A78" w:rsidRPr="00CA5AB8" w14:paraId="4C655D3B"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214F9C8A" w14:textId="379F12EC" w:rsidR="00022A78" w:rsidRPr="00CA5AB8" w:rsidRDefault="00022A78" w:rsidP="00022A78">
            <w:pPr>
              <w:pStyle w:val="Tablebodytextnospaceafter"/>
            </w:pPr>
            <w:r>
              <w:t xml:space="preserve">% </w:t>
            </w:r>
            <w:r w:rsidRPr="00B942EB">
              <w:t>of members of the</w:t>
            </w:r>
            <w:r>
              <w:t xml:space="preserve"> </w:t>
            </w:r>
            <w:r w:rsidRPr="00B942EB">
              <w:t>public who made a</w:t>
            </w:r>
            <w:r>
              <w:t xml:space="preserve"> </w:t>
            </w:r>
            <w:r w:rsidRPr="00B942EB">
              <w:t>protected disclosure</w:t>
            </w:r>
            <w:r>
              <w:t xml:space="preserve"> </w:t>
            </w:r>
            <w:r w:rsidRPr="00B942EB">
              <w:t>after witnessing</w:t>
            </w:r>
            <w:r>
              <w:t xml:space="preserve"> </w:t>
            </w:r>
            <w:r w:rsidRPr="00B942EB">
              <w:t>serious wrongdoi</w:t>
            </w:r>
            <w:r>
              <w:t>ng</w:t>
            </w:r>
            <w:r w:rsidR="00F03FC4">
              <w:t xml:space="preserve"> (new measure)</w:t>
            </w:r>
            <w:r w:rsidR="00D93806">
              <w:rPr>
                <w:rStyle w:val="FootnoteReference"/>
              </w:rPr>
              <w:footnoteReference w:id="33"/>
            </w:r>
          </w:p>
        </w:tc>
        <w:tc>
          <w:tcPr>
            <w:tcW w:w="1373" w:type="dxa"/>
          </w:tcPr>
          <w:p w14:paraId="063512A2" w14:textId="79F16C1E" w:rsidR="00022A78" w:rsidRPr="00CA5AB8" w:rsidRDefault="00022A78" w:rsidP="00022A78">
            <w:pPr>
              <w:pStyle w:val="Tablebodytextnospaceafter"/>
              <w:jc w:val="right"/>
            </w:pPr>
            <w:r>
              <w:t>51</w:t>
            </w:r>
          </w:p>
        </w:tc>
        <w:tc>
          <w:tcPr>
            <w:tcW w:w="1374" w:type="dxa"/>
          </w:tcPr>
          <w:p w14:paraId="3D1882AE" w14:textId="3D1812F2" w:rsidR="00022A78" w:rsidRPr="00CA5AB8" w:rsidRDefault="00F87723" w:rsidP="00022A78">
            <w:pPr>
              <w:pStyle w:val="Tablebodytextnospaceafter"/>
              <w:jc w:val="right"/>
              <w:rPr>
                <w:rStyle w:val="Emphasis"/>
              </w:rPr>
            </w:pPr>
            <w:r>
              <w:rPr>
                <w:rStyle w:val="Emphasis"/>
              </w:rPr>
              <w:t>37</w:t>
            </w:r>
          </w:p>
        </w:tc>
        <w:tc>
          <w:tcPr>
            <w:tcW w:w="1374" w:type="dxa"/>
          </w:tcPr>
          <w:p w14:paraId="705A1F08" w14:textId="6F922F58" w:rsidR="00022A78" w:rsidRPr="00F83D9A" w:rsidRDefault="00AE5CC5" w:rsidP="00022A78">
            <w:pPr>
              <w:pStyle w:val="Tablebodytextnospaceafter"/>
              <w:jc w:val="right"/>
              <w:rPr>
                <w:rStyle w:val="Emphasis"/>
                <w:b w:val="0"/>
                <w:bCs w:val="0"/>
              </w:rPr>
            </w:pPr>
            <w:r>
              <w:rPr>
                <w:rStyle w:val="Emphasis"/>
                <w:b w:val="0"/>
                <w:bCs w:val="0"/>
              </w:rPr>
              <w:t>-</w:t>
            </w:r>
          </w:p>
        </w:tc>
      </w:tr>
      <w:tr w:rsidR="00022A78" w:rsidRPr="00CA5AB8" w14:paraId="1F10EF5C"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746D4CAF" w14:textId="2F9C7670" w:rsidR="00022A78" w:rsidRPr="00022A78" w:rsidRDefault="00022A78" w:rsidP="00022A78">
            <w:pPr>
              <w:pStyle w:val="Tablebodytextnospaceafter"/>
            </w:pPr>
            <w:r w:rsidRPr="00022A78">
              <w:t>% of agency</w:t>
            </w:r>
            <w:r w:rsidR="00D93806">
              <w:rPr>
                <w:rStyle w:val="FootnoteReference"/>
              </w:rPr>
              <w:footnoteReference w:id="34"/>
            </w:r>
            <w:r>
              <w:t xml:space="preserve"> </w:t>
            </w:r>
            <w:r w:rsidRPr="00022A78">
              <w:t>participants in our</w:t>
            </w:r>
            <w:r>
              <w:t xml:space="preserve"> </w:t>
            </w:r>
            <w:r w:rsidRPr="00022A78">
              <w:t>external learning who</w:t>
            </w:r>
          </w:p>
          <w:p w14:paraId="196E2963" w14:textId="63AB6729" w:rsidR="00022A78" w:rsidRPr="00022A78" w:rsidRDefault="00022A78" w:rsidP="00022A78">
            <w:pPr>
              <w:pStyle w:val="Tablebodytextnospaceafter"/>
            </w:pPr>
            <w:r w:rsidRPr="00022A78">
              <w:t>report the information</w:t>
            </w:r>
            <w:r>
              <w:t xml:space="preserve"> </w:t>
            </w:r>
            <w:r w:rsidRPr="00022A78">
              <w:t>provided will assist them</w:t>
            </w:r>
          </w:p>
          <w:p w14:paraId="67B68CDA" w14:textId="389BF48C" w:rsidR="00022A78" w:rsidRPr="00CA5AB8" w:rsidRDefault="00022A78" w:rsidP="00022A78">
            <w:pPr>
              <w:pStyle w:val="Tablebodytextnospaceafter"/>
            </w:pPr>
            <w:r w:rsidRPr="00022A78">
              <w:t>in their work</w:t>
            </w:r>
            <w:r w:rsidR="00D93806">
              <w:rPr>
                <w:rStyle w:val="FootnoteReference"/>
              </w:rPr>
              <w:footnoteReference w:id="35"/>
            </w:r>
          </w:p>
        </w:tc>
        <w:tc>
          <w:tcPr>
            <w:tcW w:w="1373" w:type="dxa"/>
          </w:tcPr>
          <w:p w14:paraId="61468107" w14:textId="3DCDAC91" w:rsidR="00022A78" w:rsidRPr="00CA5AB8" w:rsidRDefault="002D1D04" w:rsidP="00022A78">
            <w:pPr>
              <w:pStyle w:val="Tablebodytextnospaceafter"/>
              <w:jc w:val="right"/>
            </w:pPr>
            <w:r>
              <w:t>95</w:t>
            </w:r>
          </w:p>
        </w:tc>
        <w:tc>
          <w:tcPr>
            <w:tcW w:w="1374" w:type="dxa"/>
          </w:tcPr>
          <w:p w14:paraId="68D0D0B8" w14:textId="6ECAA7F3" w:rsidR="00022A78" w:rsidRPr="00CA5AB8" w:rsidRDefault="00F87723" w:rsidP="00022A78">
            <w:pPr>
              <w:pStyle w:val="Tablebodytextnospaceafter"/>
              <w:jc w:val="right"/>
              <w:rPr>
                <w:rStyle w:val="Emphasis"/>
              </w:rPr>
            </w:pPr>
            <w:r>
              <w:rPr>
                <w:rStyle w:val="Emphasis"/>
              </w:rPr>
              <w:t>93</w:t>
            </w:r>
          </w:p>
        </w:tc>
        <w:tc>
          <w:tcPr>
            <w:tcW w:w="1374" w:type="dxa"/>
          </w:tcPr>
          <w:p w14:paraId="2DE40141" w14:textId="1661FF49" w:rsidR="00022A78" w:rsidRPr="00F83D9A" w:rsidRDefault="002D1D04" w:rsidP="00022A78">
            <w:pPr>
              <w:pStyle w:val="Tablebodytextnospaceafter"/>
              <w:jc w:val="right"/>
              <w:rPr>
                <w:rStyle w:val="Emphasis"/>
                <w:b w:val="0"/>
                <w:bCs w:val="0"/>
              </w:rPr>
            </w:pPr>
            <w:r w:rsidRPr="00F83D9A">
              <w:rPr>
                <w:rStyle w:val="Emphasis"/>
                <w:b w:val="0"/>
                <w:bCs w:val="0"/>
              </w:rPr>
              <w:t>96</w:t>
            </w:r>
          </w:p>
        </w:tc>
      </w:tr>
      <w:tr w:rsidR="00022A78" w:rsidRPr="00CA5AB8" w14:paraId="7341AEC1"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269AF36D" w14:textId="0E250688" w:rsidR="00022A78" w:rsidRPr="00022A78" w:rsidRDefault="00022A78" w:rsidP="00022A78">
            <w:pPr>
              <w:pStyle w:val="Tablebodytextnospaceafter"/>
            </w:pPr>
            <w:bookmarkStart w:id="75" w:name="_Hlk240529028"/>
            <w:r w:rsidRPr="00022A78">
              <w:t>% of agencies which</w:t>
            </w:r>
            <w:r>
              <w:t xml:space="preserve"> </w:t>
            </w:r>
            <w:r w:rsidRPr="00022A78">
              <w:t>report our information</w:t>
            </w:r>
          </w:p>
          <w:p w14:paraId="67BB609B" w14:textId="4EC8B0E1" w:rsidR="00022A78" w:rsidRPr="00CA5AB8" w:rsidRDefault="00022A78" w:rsidP="00022A78">
            <w:pPr>
              <w:pStyle w:val="Tablebodytextnospaceafter"/>
            </w:pPr>
            <w:r w:rsidRPr="00022A78">
              <w:t>resources assist them in</w:t>
            </w:r>
            <w:r>
              <w:t xml:space="preserve"> </w:t>
            </w:r>
            <w:r w:rsidRPr="00022A78">
              <w:t>their work</w:t>
            </w:r>
            <w:bookmarkEnd w:id="75"/>
            <w:r w:rsidR="00D93806">
              <w:rPr>
                <w:rStyle w:val="FootnoteReference"/>
              </w:rPr>
              <w:footnoteReference w:id="36"/>
            </w:r>
          </w:p>
        </w:tc>
        <w:tc>
          <w:tcPr>
            <w:tcW w:w="1373" w:type="dxa"/>
          </w:tcPr>
          <w:p w14:paraId="1A75FF64" w14:textId="589A8983" w:rsidR="00022A78" w:rsidRPr="00CA5AB8" w:rsidRDefault="002D1D04" w:rsidP="00022A78">
            <w:pPr>
              <w:pStyle w:val="Tablebodytextnospaceafter"/>
              <w:jc w:val="right"/>
            </w:pPr>
            <w:r>
              <w:t>80</w:t>
            </w:r>
          </w:p>
        </w:tc>
        <w:tc>
          <w:tcPr>
            <w:tcW w:w="1374" w:type="dxa"/>
          </w:tcPr>
          <w:p w14:paraId="3BD35414" w14:textId="65DFF8B3" w:rsidR="00022A78" w:rsidRPr="00CA5AB8" w:rsidRDefault="00ED252A" w:rsidP="00022A78">
            <w:pPr>
              <w:pStyle w:val="Tablebodytextnospaceafter"/>
              <w:jc w:val="right"/>
              <w:rPr>
                <w:rStyle w:val="Emphasis"/>
              </w:rPr>
            </w:pPr>
            <w:r>
              <w:rPr>
                <w:rStyle w:val="Emphasis"/>
              </w:rPr>
              <w:t>82</w:t>
            </w:r>
          </w:p>
        </w:tc>
        <w:tc>
          <w:tcPr>
            <w:tcW w:w="1374" w:type="dxa"/>
          </w:tcPr>
          <w:p w14:paraId="354D584F" w14:textId="32288C49" w:rsidR="00022A78" w:rsidRPr="00F83D9A" w:rsidRDefault="002D1D04" w:rsidP="00022A78">
            <w:pPr>
              <w:pStyle w:val="Tablebodytextnospaceafter"/>
              <w:jc w:val="right"/>
              <w:rPr>
                <w:rStyle w:val="Emphasis"/>
                <w:b w:val="0"/>
                <w:bCs w:val="0"/>
              </w:rPr>
            </w:pPr>
            <w:r w:rsidRPr="00F83D9A">
              <w:rPr>
                <w:rStyle w:val="Emphasis"/>
                <w:b w:val="0"/>
                <w:bCs w:val="0"/>
              </w:rPr>
              <w:t>82</w:t>
            </w:r>
          </w:p>
        </w:tc>
      </w:tr>
      <w:tr w:rsidR="00022A78" w:rsidRPr="00CA5AB8" w14:paraId="5D2A5633"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39DA1D12" w14:textId="3E923BB9" w:rsidR="00022A78" w:rsidRPr="00CA5AB8" w:rsidRDefault="00022A78" w:rsidP="00022A78">
            <w:pPr>
              <w:pStyle w:val="Tablebodytextnospaceafter"/>
            </w:pPr>
            <w:r w:rsidRPr="00022A78">
              <w:t>% of OPCAT</w:t>
            </w:r>
            <w:r>
              <w:t xml:space="preserve"> </w:t>
            </w:r>
            <w:r w:rsidRPr="00022A78">
              <w:t>recommendations</w:t>
            </w:r>
            <w:r>
              <w:t xml:space="preserve"> </w:t>
            </w:r>
            <w:r w:rsidRPr="00022A78">
              <w:t>accepted</w:t>
            </w:r>
            <w:r w:rsidR="00D93806">
              <w:rPr>
                <w:rStyle w:val="FootnoteReference"/>
              </w:rPr>
              <w:footnoteReference w:id="37"/>
            </w:r>
          </w:p>
        </w:tc>
        <w:tc>
          <w:tcPr>
            <w:tcW w:w="1373" w:type="dxa"/>
          </w:tcPr>
          <w:p w14:paraId="7F9A1839" w14:textId="3B9A3AE3" w:rsidR="00022A78" w:rsidRPr="00CA5AB8" w:rsidRDefault="002D1D04" w:rsidP="00022A78">
            <w:pPr>
              <w:pStyle w:val="Tablebodytextnospaceafter"/>
              <w:jc w:val="right"/>
            </w:pPr>
            <w:r>
              <w:t>90</w:t>
            </w:r>
          </w:p>
        </w:tc>
        <w:tc>
          <w:tcPr>
            <w:tcW w:w="1374" w:type="dxa"/>
          </w:tcPr>
          <w:p w14:paraId="55A036FF" w14:textId="0481C982" w:rsidR="00022A78" w:rsidRPr="00CA5AB8" w:rsidRDefault="00F87723" w:rsidP="00022A78">
            <w:pPr>
              <w:pStyle w:val="Tablebodytextnospaceafter"/>
              <w:jc w:val="right"/>
              <w:rPr>
                <w:rStyle w:val="Emphasis"/>
              </w:rPr>
            </w:pPr>
            <w:r>
              <w:rPr>
                <w:rStyle w:val="Emphasis"/>
              </w:rPr>
              <w:t>96</w:t>
            </w:r>
          </w:p>
        </w:tc>
        <w:tc>
          <w:tcPr>
            <w:tcW w:w="1374" w:type="dxa"/>
          </w:tcPr>
          <w:p w14:paraId="7E6AAAE0" w14:textId="69886F73" w:rsidR="00022A78" w:rsidRPr="00F83D9A" w:rsidRDefault="002D1D04" w:rsidP="00022A78">
            <w:pPr>
              <w:pStyle w:val="Tablebodytextnospaceafter"/>
              <w:jc w:val="right"/>
              <w:rPr>
                <w:rStyle w:val="Emphasis"/>
                <w:b w:val="0"/>
                <w:bCs w:val="0"/>
              </w:rPr>
            </w:pPr>
            <w:r w:rsidRPr="00F83D9A">
              <w:rPr>
                <w:rStyle w:val="Emphasis"/>
                <w:b w:val="0"/>
                <w:bCs w:val="0"/>
              </w:rPr>
              <w:t>95</w:t>
            </w:r>
          </w:p>
        </w:tc>
      </w:tr>
      <w:tr w:rsidR="00022A78" w:rsidRPr="00CA5AB8" w14:paraId="08C0D97D"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3C39C210" w14:textId="24344DD2" w:rsidR="00022A78" w:rsidRPr="00CA5AB8" w:rsidRDefault="00022A78" w:rsidP="00022A78">
            <w:pPr>
              <w:pStyle w:val="Tablebodytextnospaceafter"/>
            </w:pPr>
            <w:r w:rsidRPr="00022A78">
              <w:t>% of OA and</w:t>
            </w:r>
            <w:r>
              <w:t xml:space="preserve"> </w:t>
            </w:r>
            <w:r w:rsidRPr="00022A78">
              <w:t>official information</w:t>
            </w:r>
            <w:r>
              <w:t xml:space="preserve"> r</w:t>
            </w:r>
            <w:r w:rsidRPr="00022A78">
              <w:t>ecommendations</w:t>
            </w:r>
            <w:r>
              <w:t xml:space="preserve"> </w:t>
            </w:r>
            <w:r w:rsidRPr="00022A78">
              <w:t>accepted</w:t>
            </w:r>
          </w:p>
        </w:tc>
        <w:tc>
          <w:tcPr>
            <w:tcW w:w="1373" w:type="dxa"/>
          </w:tcPr>
          <w:p w14:paraId="0ED6A9FF" w14:textId="26D1D734" w:rsidR="00022A78" w:rsidRPr="00CA5AB8" w:rsidRDefault="002D1D04" w:rsidP="00022A78">
            <w:pPr>
              <w:pStyle w:val="Tablebodytextnospaceafter"/>
              <w:jc w:val="right"/>
            </w:pPr>
            <w:r>
              <w:t>90</w:t>
            </w:r>
          </w:p>
        </w:tc>
        <w:tc>
          <w:tcPr>
            <w:tcW w:w="1374" w:type="dxa"/>
          </w:tcPr>
          <w:p w14:paraId="5C44485E" w14:textId="3EA920F0" w:rsidR="00022A78" w:rsidRPr="00CA5AB8" w:rsidRDefault="00F87723" w:rsidP="00022A78">
            <w:pPr>
              <w:pStyle w:val="Tablebodytextnospaceafter"/>
              <w:jc w:val="right"/>
              <w:rPr>
                <w:rStyle w:val="Emphasis"/>
              </w:rPr>
            </w:pPr>
            <w:r>
              <w:rPr>
                <w:rStyle w:val="Emphasis"/>
              </w:rPr>
              <w:t>9</w:t>
            </w:r>
            <w:r w:rsidR="00ED252A">
              <w:rPr>
                <w:rStyle w:val="Emphasis"/>
              </w:rPr>
              <w:t>8</w:t>
            </w:r>
          </w:p>
        </w:tc>
        <w:tc>
          <w:tcPr>
            <w:tcW w:w="1374" w:type="dxa"/>
          </w:tcPr>
          <w:p w14:paraId="429928D9" w14:textId="39616C67" w:rsidR="00022A78" w:rsidRPr="00F83D9A" w:rsidRDefault="002D1D04" w:rsidP="00022A78">
            <w:pPr>
              <w:pStyle w:val="Tablebodytextnospaceafter"/>
              <w:jc w:val="right"/>
              <w:rPr>
                <w:rStyle w:val="Emphasis"/>
                <w:b w:val="0"/>
                <w:bCs w:val="0"/>
              </w:rPr>
            </w:pPr>
            <w:r w:rsidRPr="00F83D9A">
              <w:rPr>
                <w:rStyle w:val="Emphasis"/>
                <w:b w:val="0"/>
                <w:bCs w:val="0"/>
              </w:rPr>
              <w:t>100</w:t>
            </w:r>
          </w:p>
        </w:tc>
      </w:tr>
      <w:tr w:rsidR="00D93806" w:rsidRPr="00CA5AB8" w14:paraId="4C1DD539"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0D01420F" w14:textId="5F83A8FE" w:rsidR="00D93806" w:rsidRPr="00022A78" w:rsidRDefault="00D93806" w:rsidP="00CB2FF9">
            <w:pPr>
              <w:pStyle w:val="Tablebodytextnospaceafter"/>
            </w:pPr>
            <w:r w:rsidRPr="00D93806">
              <w:t>% of external</w:t>
            </w:r>
            <w:r>
              <w:t xml:space="preserve"> </w:t>
            </w:r>
            <w:r w:rsidRPr="00D93806">
              <w:t>stakeholders satisfied</w:t>
            </w:r>
            <w:r>
              <w:t xml:space="preserve"> </w:t>
            </w:r>
            <w:r w:rsidRPr="00D93806">
              <w:t>we provide an effective</w:t>
            </w:r>
            <w:r>
              <w:t xml:space="preserve"> </w:t>
            </w:r>
            <w:r w:rsidRPr="00D93806">
              <w:t>contribution to Disability</w:t>
            </w:r>
            <w:r>
              <w:t xml:space="preserve"> </w:t>
            </w:r>
            <w:r w:rsidRPr="00D93806">
              <w:t>Convention monitoring</w:t>
            </w:r>
            <w:r>
              <w:t xml:space="preserve"> </w:t>
            </w:r>
            <w:r w:rsidRPr="00D93806">
              <w:t>activities</w:t>
            </w:r>
            <w:r w:rsidR="001B67CD">
              <w:t>*</w:t>
            </w:r>
            <w:r w:rsidR="001B67CD">
              <w:rPr>
                <w:rStyle w:val="FootnoteReference"/>
              </w:rPr>
              <w:footnoteReference w:id="38"/>
            </w:r>
            <w:r w:rsidRPr="00D93806">
              <w:t xml:space="preserve"> </w:t>
            </w:r>
          </w:p>
        </w:tc>
        <w:tc>
          <w:tcPr>
            <w:tcW w:w="1373" w:type="dxa"/>
          </w:tcPr>
          <w:p w14:paraId="044FE762" w14:textId="5B39BD55" w:rsidR="00D93806" w:rsidRPr="00CA5AB8" w:rsidRDefault="002D1D04" w:rsidP="00022A78">
            <w:pPr>
              <w:pStyle w:val="Tablebodytextnospaceafter"/>
              <w:jc w:val="right"/>
            </w:pPr>
            <w:r>
              <w:t>80</w:t>
            </w:r>
          </w:p>
        </w:tc>
        <w:tc>
          <w:tcPr>
            <w:tcW w:w="1374" w:type="dxa"/>
          </w:tcPr>
          <w:p w14:paraId="086C5B58" w14:textId="408B9005" w:rsidR="00D93806" w:rsidRPr="00CA5AB8" w:rsidRDefault="00ED252A" w:rsidP="00022A78">
            <w:pPr>
              <w:pStyle w:val="Tablebodytextnospaceafter"/>
              <w:jc w:val="right"/>
              <w:rPr>
                <w:rStyle w:val="Emphasis"/>
              </w:rPr>
            </w:pPr>
            <w:r>
              <w:rPr>
                <w:rStyle w:val="Emphasis"/>
              </w:rPr>
              <w:t>100</w:t>
            </w:r>
          </w:p>
        </w:tc>
        <w:tc>
          <w:tcPr>
            <w:tcW w:w="1374" w:type="dxa"/>
          </w:tcPr>
          <w:p w14:paraId="3FF8F00C" w14:textId="0A3549EB" w:rsidR="00D93806" w:rsidRPr="00F83D9A" w:rsidRDefault="002D1D04" w:rsidP="00022A78">
            <w:pPr>
              <w:pStyle w:val="Tablebodytextnospaceafter"/>
              <w:jc w:val="right"/>
              <w:rPr>
                <w:rStyle w:val="Emphasis"/>
                <w:b w:val="0"/>
                <w:bCs w:val="0"/>
              </w:rPr>
            </w:pPr>
            <w:r w:rsidRPr="00F83D9A">
              <w:rPr>
                <w:rStyle w:val="Emphasis"/>
                <w:b w:val="0"/>
                <w:bCs w:val="0"/>
              </w:rPr>
              <w:t>100</w:t>
            </w:r>
          </w:p>
        </w:tc>
      </w:tr>
      <w:tr w:rsidR="00D93806" w:rsidRPr="00CA5AB8" w14:paraId="1AC15070"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2F89D5E2" w14:textId="55DA9D00" w:rsidR="00D93806" w:rsidRPr="00022A78" w:rsidRDefault="00D93806" w:rsidP="00D93806">
            <w:pPr>
              <w:pStyle w:val="Tablebodytextnospaceafter"/>
            </w:pPr>
            <w:r w:rsidRPr="00D93806">
              <w:t>% of international</w:t>
            </w:r>
            <w:r>
              <w:t xml:space="preserve"> </w:t>
            </w:r>
            <w:r w:rsidRPr="00D93806">
              <w:t>ombudsmen and</w:t>
            </w:r>
            <w:r>
              <w:t xml:space="preserve"> </w:t>
            </w:r>
            <w:r w:rsidRPr="00D93806">
              <w:t>integrity</w:t>
            </w:r>
            <w:r>
              <w:t xml:space="preserve"> i</w:t>
            </w:r>
            <w:r w:rsidRPr="00D93806">
              <w:t>nstitutions</w:t>
            </w:r>
            <w:r>
              <w:t xml:space="preserve"> </w:t>
            </w:r>
            <w:r w:rsidRPr="00D93806">
              <w:t>who report that our</w:t>
            </w:r>
            <w:r>
              <w:t xml:space="preserve"> </w:t>
            </w:r>
            <w:r w:rsidRPr="00D93806">
              <w:t>relationship with them</w:t>
            </w:r>
            <w:r>
              <w:t xml:space="preserve"> </w:t>
            </w:r>
            <w:r w:rsidRPr="00D93806">
              <w:t>assists in their work</w:t>
            </w:r>
            <w:r w:rsidR="00233036">
              <w:t>*</w:t>
            </w:r>
            <w:r>
              <w:rPr>
                <w:rStyle w:val="FootnoteReference"/>
              </w:rPr>
              <w:footnoteReference w:id="39"/>
            </w:r>
          </w:p>
        </w:tc>
        <w:tc>
          <w:tcPr>
            <w:tcW w:w="1373" w:type="dxa"/>
          </w:tcPr>
          <w:p w14:paraId="55DF0156" w14:textId="51213EBE" w:rsidR="00D93806" w:rsidRPr="00CA5AB8" w:rsidRDefault="002D1D04" w:rsidP="00022A78">
            <w:pPr>
              <w:pStyle w:val="Tablebodytextnospaceafter"/>
              <w:jc w:val="right"/>
            </w:pPr>
            <w:r>
              <w:t>80</w:t>
            </w:r>
          </w:p>
        </w:tc>
        <w:tc>
          <w:tcPr>
            <w:tcW w:w="1374" w:type="dxa"/>
          </w:tcPr>
          <w:p w14:paraId="67432FF5" w14:textId="2AA94370" w:rsidR="00D93806" w:rsidRPr="00CA5AB8" w:rsidRDefault="00ED252A" w:rsidP="00022A78">
            <w:pPr>
              <w:pStyle w:val="Tablebodytextnospaceafter"/>
              <w:jc w:val="right"/>
              <w:rPr>
                <w:rStyle w:val="Emphasis"/>
              </w:rPr>
            </w:pPr>
            <w:r>
              <w:rPr>
                <w:rStyle w:val="Emphasis"/>
              </w:rPr>
              <w:t>100</w:t>
            </w:r>
          </w:p>
        </w:tc>
        <w:tc>
          <w:tcPr>
            <w:tcW w:w="1374" w:type="dxa"/>
          </w:tcPr>
          <w:p w14:paraId="1793C38A" w14:textId="1B78F3FF" w:rsidR="00D93806" w:rsidRPr="00F83D9A" w:rsidRDefault="002D1D04" w:rsidP="00022A78">
            <w:pPr>
              <w:pStyle w:val="Tablebodytextnospaceafter"/>
              <w:jc w:val="right"/>
              <w:rPr>
                <w:rStyle w:val="Emphasis"/>
                <w:b w:val="0"/>
                <w:bCs w:val="0"/>
              </w:rPr>
            </w:pPr>
            <w:r w:rsidRPr="00F83D9A">
              <w:rPr>
                <w:rStyle w:val="Emphasis"/>
                <w:b w:val="0"/>
                <w:bCs w:val="0"/>
              </w:rPr>
              <w:t>86</w:t>
            </w:r>
          </w:p>
        </w:tc>
      </w:tr>
      <w:tr w:rsidR="00022A78" w:rsidRPr="00CA5AB8" w14:paraId="4FF1D2B4"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shd w:val="clear" w:color="auto" w:fill="BFBFBF"/>
          </w:tcPr>
          <w:p w14:paraId="69643CEA" w14:textId="5C2C6364" w:rsidR="00022A78" w:rsidRPr="00CA5AB8" w:rsidRDefault="00022A78" w:rsidP="00022A78">
            <w:pPr>
              <w:pStyle w:val="Tablebodytextnospaceafter"/>
              <w:rPr>
                <w:rStyle w:val="Emphasis"/>
              </w:rPr>
            </w:pPr>
            <w:r>
              <w:rPr>
                <w:rStyle w:val="Emphasis"/>
              </w:rPr>
              <w:t xml:space="preserve">Output 1 – Inform the public to enable them to take constructive action </w:t>
            </w:r>
            <w:r w:rsidR="00A23153">
              <w:rPr>
                <w:rStyle w:val="Emphasis"/>
              </w:rPr>
              <w:t>when they have concerns</w:t>
            </w:r>
          </w:p>
        </w:tc>
        <w:tc>
          <w:tcPr>
            <w:tcW w:w="1373" w:type="dxa"/>
            <w:shd w:val="clear" w:color="auto" w:fill="BFBFBF"/>
          </w:tcPr>
          <w:p w14:paraId="4581D92A" w14:textId="77777777" w:rsidR="00022A78" w:rsidRPr="00CA5AB8" w:rsidRDefault="00022A78" w:rsidP="00022A78">
            <w:pPr>
              <w:pStyle w:val="Tablebodytextnospaceafter"/>
              <w:rPr>
                <w:rStyle w:val="Emphasis"/>
              </w:rPr>
            </w:pPr>
          </w:p>
        </w:tc>
        <w:tc>
          <w:tcPr>
            <w:tcW w:w="1374" w:type="dxa"/>
            <w:shd w:val="clear" w:color="auto" w:fill="BFBFBF"/>
          </w:tcPr>
          <w:p w14:paraId="2174F946" w14:textId="77777777" w:rsidR="00022A78" w:rsidRPr="00CA5AB8" w:rsidRDefault="00022A78" w:rsidP="00022A78">
            <w:pPr>
              <w:pStyle w:val="Tablebodytextnospaceafter"/>
              <w:rPr>
                <w:rStyle w:val="Emphasis"/>
              </w:rPr>
            </w:pPr>
          </w:p>
        </w:tc>
        <w:tc>
          <w:tcPr>
            <w:tcW w:w="1374" w:type="dxa"/>
            <w:shd w:val="clear" w:color="auto" w:fill="BFBFBF"/>
          </w:tcPr>
          <w:p w14:paraId="1F8BC42E" w14:textId="77777777" w:rsidR="00022A78" w:rsidRPr="00F83D9A" w:rsidRDefault="00022A78" w:rsidP="00022A78">
            <w:pPr>
              <w:pStyle w:val="Tablebodytextnospaceafter"/>
              <w:rPr>
                <w:rStyle w:val="Emphasis"/>
                <w:b w:val="0"/>
                <w:bCs w:val="0"/>
              </w:rPr>
            </w:pPr>
          </w:p>
        </w:tc>
      </w:tr>
      <w:tr w:rsidR="00022A78" w:rsidRPr="00CA5AB8" w14:paraId="0589FA75"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D3D3D3"/>
          </w:tcPr>
          <w:p w14:paraId="0B2D33DD" w14:textId="77777777" w:rsidR="00022A78" w:rsidRPr="00CA5AB8" w:rsidRDefault="00022A78" w:rsidP="00022A78">
            <w:pPr>
              <w:pStyle w:val="Tablebodytextnospaceafter"/>
              <w:rPr>
                <w:rStyle w:val="Emphasis"/>
              </w:rPr>
            </w:pPr>
            <w:r>
              <w:rPr>
                <w:rStyle w:val="Emphasis"/>
              </w:rPr>
              <w:t xml:space="preserve">Demand-driven measures </w:t>
            </w:r>
          </w:p>
        </w:tc>
        <w:tc>
          <w:tcPr>
            <w:tcW w:w="1373" w:type="dxa"/>
            <w:shd w:val="clear" w:color="auto" w:fill="D3D3D3"/>
          </w:tcPr>
          <w:p w14:paraId="602B4B0C" w14:textId="77777777" w:rsidR="00022A78" w:rsidRPr="00CA5AB8" w:rsidRDefault="00022A78" w:rsidP="00022A78">
            <w:pPr>
              <w:pStyle w:val="Tablebodytextnospaceafter"/>
            </w:pPr>
          </w:p>
        </w:tc>
        <w:tc>
          <w:tcPr>
            <w:tcW w:w="1374" w:type="dxa"/>
            <w:shd w:val="clear" w:color="auto" w:fill="D3D3D3"/>
          </w:tcPr>
          <w:p w14:paraId="77EAFA2D" w14:textId="77777777" w:rsidR="00022A78" w:rsidRPr="00CA5AB8" w:rsidRDefault="00022A78" w:rsidP="00022A78">
            <w:pPr>
              <w:pStyle w:val="Tablebodytextnospaceafter"/>
              <w:rPr>
                <w:rStyle w:val="Emphasis"/>
              </w:rPr>
            </w:pPr>
          </w:p>
        </w:tc>
        <w:tc>
          <w:tcPr>
            <w:tcW w:w="1374" w:type="dxa"/>
            <w:shd w:val="clear" w:color="auto" w:fill="D3D3D3"/>
          </w:tcPr>
          <w:p w14:paraId="0C8C82FE" w14:textId="77777777" w:rsidR="00022A78" w:rsidRPr="00F83D9A" w:rsidRDefault="00022A78" w:rsidP="00022A78">
            <w:pPr>
              <w:pStyle w:val="Tablebodytextnospaceafter"/>
              <w:rPr>
                <w:rStyle w:val="Emphasis"/>
                <w:b w:val="0"/>
                <w:bCs w:val="0"/>
              </w:rPr>
            </w:pPr>
          </w:p>
        </w:tc>
      </w:tr>
      <w:tr w:rsidR="00022A78" w:rsidRPr="00CA5AB8" w14:paraId="1B615FE0"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27334E99" w14:textId="1DFDE3DE" w:rsidR="0039347B" w:rsidRPr="0039347B" w:rsidRDefault="0039347B" w:rsidP="0039347B">
            <w:pPr>
              <w:pStyle w:val="Tablebodytextnospaceafter"/>
            </w:pPr>
            <w:r w:rsidRPr="0039347B">
              <w:t># of community</w:t>
            </w:r>
            <w:r>
              <w:t xml:space="preserve"> </w:t>
            </w:r>
            <w:r w:rsidRPr="0039347B">
              <w:t>engagements,</w:t>
            </w:r>
            <w:r>
              <w:t xml:space="preserve"> </w:t>
            </w:r>
            <w:r w:rsidRPr="0039347B">
              <w:t>presentations and</w:t>
            </w:r>
          </w:p>
          <w:p w14:paraId="195A061D" w14:textId="23439FBE" w:rsidR="00022A78" w:rsidRPr="00CA5AB8" w:rsidRDefault="0039347B" w:rsidP="00CB2FF9">
            <w:pPr>
              <w:pStyle w:val="Tablebodytextnospaceafter"/>
            </w:pPr>
            <w:r w:rsidRPr="0039347B">
              <w:t>new or updated</w:t>
            </w:r>
            <w:r>
              <w:t xml:space="preserve"> </w:t>
            </w:r>
            <w:r w:rsidRPr="0039347B">
              <w:t>resources for the</w:t>
            </w:r>
            <w:r>
              <w:t xml:space="preserve"> </w:t>
            </w:r>
            <w:r w:rsidRPr="0039347B">
              <w:t>public</w:t>
            </w:r>
            <w:r w:rsidR="007135C6">
              <w:t>*</w:t>
            </w:r>
            <w:r>
              <w:rPr>
                <w:rStyle w:val="FootnoteReference"/>
              </w:rPr>
              <w:footnoteReference w:id="40"/>
            </w:r>
          </w:p>
        </w:tc>
        <w:tc>
          <w:tcPr>
            <w:tcW w:w="1373" w:type="dxa"/>
          </w:tcPr>
          <w:p w14:paraId="2DA95570" w14:textId="6D75A2BE" w:rsidR="00022A78" w:rsidRPr="00CA5AB8" w:rsidRDefault="0039347B" w:rsidP="00022A78">
            <w:pPr>
              <w:pStyle w:val="Tablebodytextnospaceafter"/>
              <w:jc w:val="right"/>
            </w:pPr>
            <w:r>
              <w:t>200</w:t>
            </w:r>
          </w:p>
        </w:tc>
        <w:tc>
          <w:tcPr>
            <w:tcW w:w="1374" w:type="dxa"/>
          </w:tcPr>
          <w:p w14:paraId="543F676D" w14:textId="14A1F458" w:rsidR="00022A78" w:rsidRPr="00CA5AB8" w:rsidRDefault="00ED252A" w:rsidP="00022A78">
            <w:pPr>
              <w:pStyle w:val="Tablebodytextnospaceafter"/>
              <w:jc w:val="right"/>
              <w:rPr>
                <w:rStyle w:val="Emphasis"/>
              </w:rPr>
            </w:pPr>
            <w:r>
              <w:rPr>
                <w:rStyle w:val="Emphasis"/>
              </w:rPr>
              <w:t>614</w:t>
            </w:r>
          </w:p>
        </w:tc>
        <w:tc>
          <w:tcPr>
            <w:tcW w:w="1374" w:type="dxa"/>
          </w:tcPr>
          <w:p w14:paraId="1F6FB437" w14:textId="77777777" w:rsidR="00022A78" w:rsidRPr="00F83D9A" w:rsidRDefault="00022A78" w:rsidP="00022A78">
            <w:pPr>
              <w:pStyle w:val="Tablebodytextnospaceafter"/>
              <w:jc w:val="right"/>
              <w:rPr>
                <w:rStyle w:val="Emphasis"/>
                <w:b w:val="0"/>
                <w:bCs w:val="0"/>
              </w:rPr>
            </w:pPr>
            <w:r w:rsidRPr="00F83D9A">
              <w:rPr>
                <w:rStyle w:val="Emphasis"/>
                <w:b w:val="0"/>
                <w:bCs w:val="0"/>
              </w:rPr>
              <w:t>424</w:t>
            </w:r>
            <w:r w:rsidRPr="00F83D9A">
              <w:rPr>
                <w:rStyle w:val="FootnoteReference"/>
                <w:b/>
                <w:bCs/>
                <w:iCs/>
              </w:rPr>
              <w:footnoteReference w:id="41"/>
            </w:r>
          </w:p>
        </w:tc>
      </w:tr>
      <w:tr w:rsidR="00022A78" w:rsidRPr="00CA5AB8" w14:paraId="4CFF8E77"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01A7C934" w14:textId="70B375A9" w:rsidR="00022A78" w:rsidRPr="00CA5AB8" w:rsidRDefault="0039347B" w:rsidP="0039347B">
            <w:pPr>
              <w:pStyle w:val="Tablebodytextnospaceafter"/>
            </w:pPr>
            <w:r w:rsidRPr="0039347B">
              <w:t># of views on</w:t>
            </w:r>
            <w:r>
              <w:t xml:space="preserve"> </w:t>
            </w:r>
            <w:r w:rsidRPr="0039347B">
              <w:t>our social media</w:t>
            </w:r>
            <w:r>
              <w:t xml:space="preserve"> </w:t>
            </w:r>
            <w:r w:rsidRPr="0039347B">
              <w:t>platforms (new</w:t>
            </w:r>
            <w:r>
              <w:t xml:space="preserve"> </w:t>
            </w:r>
            <w:r w:rsidRPr="0039347B">
              <w:t>measure)</w:t>
            </w:r>
            <w:r>
              <w:rPr>
                <w:rStyle w:val="FootnoteReference"/>
              </w:rPr>
              <w:footnoteReference w:id="42"/>
            </w:r>
          </w:p>
        </w:tc>
        <w:tc>
          <w:tcPr>
            <w:tcW w:w="1373" w:type="dxa"/>
          </w:tcPr>
          <w:p w14:paraId="1CDE858B" w14:textId="278DC9EF" w:rsidR="00022A78" w:rsidRPr="00CA5AB8" w:rsidRDefault="0039347B" w:rsidP="00022A78">
            <w:pPr>
              <w:pStyle w:val="Tablebodytextnospaceafter"/>
              <w:jc w:val="right"/>
            </w:pPr>
            <w:r>
              <w:t>150,000</w:t>
            </w:r>
          </w:p>
        </w:tc>
        <w:tc>
          <w:tcPr>
            <w:tcW w:w="1374" w:type="dxa"/>
          </w:tcPr>
          <w:p w14:paraId="1FB5DB13" w14:textId="57E8BE2D" w:rsidR="00022A78" w:rsidRPr="00CA5AB8" w:rsidRDefault="00F87723" w:rsidP="00022A78">
            <w:pPr>
              <w:pStyle w:val="Tablebodytextnospaceafter"/>
              <w:jc w:val="right"/>
              <w:rPr>
                <w:rStyle w:val="Emphasis"/>
              </w:rPr>
            </w:pPr>
            <w:r>
              <w:rPr>
                <w:rStyle w:val="Emphasis"/>
              </w:rPr>
              <w:t>309,401</w:t>
            </w:r>
          </w:p>
        </w:tc>
        <w:tc>
          <w:tcPr>
            <w:tcW w:w="1374" w:type="dxa"/>
          </w:tcPr>
          <w:p w14:paraId="1EA22203" w14:textId="7C8EE40C" w:rsidR="00022A78" w:rsidRPr="00F83D9A" w:rsidRDefault="00A23153" w:rsidP="00022A78">
            <w:pPr>
              <w:pStyle w:val="Tablebodytextnospaceafter"/>
              <w:jc w:val="right"/>
              <w:rPr>
                <w:rStyle w:val="Emphasis"/>
                <w:b w:val="0"/>
                <w:bCs w:val="0"/>
              </w:rPr>
            </w:pPr>
            <w:r>
              <w:rPr>
                <w:rStyle w:val="Emphasis"/>
                <w:b w:val="0"/>
                <w:bCs w:val="0"/>
              </w:rPr>
              <w:t>140,852</w:t>
            </w:r>
          </w:p>
        </w:tc>
      </w:tr>
      <w:tr w:rsidR="00022A78" w:rsidRPr="00CA5AB8" w14:paraId="33C44296"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0309445D" w14:textId="77777777" w:rsidR="00022A78" w:rsidRPr="00CA5AB8" w:rsidRDefault="00022A78" w:rsidP="00022A78">
            <w:pPr>
              <w:pStyle w:val="Tablebodytextnospaceafter"/>
            </w:pPr>
            <w:r>
              <w:t xml:space="preserve"># of unique visitors to Ombudsman website </w:t>
            </w:r>
          </w:p>
        </w:tc>
        <w:tc>
          <w:tcPr>
            <w:tcW w:w="1373" w:type="dxa"/>
          </w:tcPr>
          <w:p w14:paraId="15904668" w14:textId="5873BB9B" w:rsidR="00022A78" w:rsidRPr="00CA5AB8" w:rsidRDefault="0039347B" w:rsidP="00022A78">
            <w:pPr>
              <w:pStyle w:val="Tablebodytextnospaceafter"/>
              <w:jc w:val="right"/>
            </w:pPr>
            <w:r>
              <w:t>185,000</w:t>
            </w:r>
          </w:p>
        </w:tc>
        <w:tc>
          <w:tcPr>
            <w:tcW w:w="1374" w:type="dxa"/>
          </w:tcPr>
          <w:p w14:paraId="5AE9B41C" w14:textId="43D3F1C4" w:rsidR="00022A78" w:rsidRPr="00CA5AB8" w:rsidRDefault="00F87723" w:rsidP="00022A78">
            <w:pPr>
              <w:pStyle w:val="Tablebodytextnospaceafter"/>
              <w:jc w:val="right"/>
              <w:rPr>
                <w:rStyle w:val="Emphasis"/>
              </w:rPr>
            </w:pPr>
            <w:r>
              <w:rPr>
                <w:rStyle w:val="Emphasis"/>
              </w:rPr>
              <w:t>180,956</w:t>
            </w:r>
          </w:p>
        </w:tc>
        <w:tc>
          <w:tcPr>
            <w:tcW w:w="1374" w:type="dxa"/>
          </w:tcPr>
          <w:p w14:paraId="52AF8D15" w14:textId="77777777" w:rsidR="00022A78" w:rsidRPr="00F83D9A" w:rsidRDefault="00022A78" w:rsidP="00022A78">
            <w:pPr>
              <w:pStyle w:val="Tablebodytextnospaceafter"/>
              <w:jc w:val="right"/>
              <w:rPr>
                <w:rStyle w:val="Emphasis"/>
                <w:b w:val="0"/>
                <w:bCs w:val="0"/>
              </w:rPr>
            </w:pPr>
            <w:r w:rsidRPr="00F83D9A">
              <w:rPr>
                <w:rStyle w:val="Emphasis"/>
                <w:b w:val="0"/>
                <w:bCs w:val="0"/>
              </w:rPr>
              <w:t>179,648</w:t>
            </w:r>
          </w:p>
        </w:tc>
      </w:tr>
      <w:tr w:rsidR="00022A78" w:rsidRPr="00CA5AB8" w14:paraId="6AFC8456"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D3D3D3"/>
          </w:tcPr>
          <w:p w14:paraId="0B3B33CF" w14:textId="77777777" w:rsidR="00022A78" w:rsidRPr="00CA5AB8" w:rsidRDefault="00022A78" w:rsidP="00022A78">
            <w:pPr>
              <w:pStyle w:val="Tablebodytextnospaceafter"/>
              <w:rPr>
                <w:b/>
              </w:rPr>
            </w:pPr>
            <w:r>
              <w:rPr>
                <w:b/>
              </w:rPr>
              <w:t xml:space="preserve">Proactive measures </w:t>
            </w:r>
          </w:p>
        </w:tc>
        <w:tc>
          <w:tcPr>
            <w:tcW w:w="1373" w:type="dxa"/>
            <w:shd w:val="clear" w:color="auto" w:fill="D3D3D3"/>
          </w:tcPr>
          <w:p w14:paraId="793F5254" w14:textId="77777777" w:rsidR="00022A78" w:rsidRPr="00CA5AB8" w:rsidRDefault="00022A78" w:rsidP="00022A78">
            <w:pPr>
              <w:pStyle w:val="Tablebodytextnospaceafter"/>
            </w:pPr>
          </w:p>
        </w:tc>
        <w:tc>
          <w:tcPr>
            <w:tcW w:w="1374" w:type="dxa"/>
            <w:shd w:val="clear" w:color="auto" w:fill="D3D3D3"/>
          </w:tcPr>
          <w:p w14:paraId="0D466152" w14:textId="77777777" w:rsidR="00022A78" w:rsidRPr="00CA5AB8" w:rsidRDefault="00022A78" w:rsidP="00022A78">
            <w:pPr>
              <w:pStyle w:val="Tablebodytextnospaceafter"/>
              <w:rPr>
                <w:rStyle w:val="Emphasis"/>
              </w:rPr>
            </w:pPr>
          </w:p>
        </w:tc>
        <w:tc>
          <w:tcPr>
            <w:tcW w:w="1374" w:type="dxa"/>
            <w:shd w:val="clear" w:color="auto" w:fill="D3D3D3"/>
          </w:tcPr>
          <w:p w14:paraId="6010438E" w14:textId="77777777" w:rsidR="00022A78" w:rsidRPr="00CA5AB8" w:rsidRDefault="00022A78" w:rsidP="00022A78">
            <w:pPr>
              <w:pStyle w:val="Tablebodytextnospaceafter"/>
              <w:rPr>
                <w:rStyle w:val="Emphasis"/>
                <w:b w:val="0"/>
              </w:rPr>
            </w:pPr>
          </w:p>
        </w:tc>
      </w:tr>
      <w:tr w:rsidR="00022A78" w:rsidRPr="00CA5AB8" w14:paraId="41B3C622"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746DCAB4" w14:textId="77777777" w:rsidR="00022A78" w:rsidRPr="00CA5AB8" w:rsidRDefault="00022A78" w:rsidP="00022A78">
            <w:pPr>
              <w:pStyle w:val="Tablebodytextnospaceafter"/>
            </w:pPr>
            <w:r>
              <w:t>% of members of the public who have heard of the Ombudsman</w:t>
            </w:r>
            <w:r>
              <w:rPr>
                <w:rStyle w:val="FootnoteReference"/>
              </w:rPr>
              <w:footnoteReference w:id="43"/>
            </w:r>
          </w:p>
        </w:tc>
        <w:tc>
          <w:tcPr>
            <w:tcW w:w="1373" w:type="dxa"/>
          </w:tcPr>
          <w:p w14:paraId="33065826" w14:textId="7A2D45C4" w:rsidR="00022A78" w:rsidRPr="00CA5AB8" w:rsidRDefault="00022A78" w:rsidP="00022A78">
            <w:pPr>
              <w:pStyle w:val="Tablebodytextnospaceafter"/>
              <w:jc w:val="right"/>
            </w:pPr>
            <w:r>
              <w:t>70</w:t>
            </w:r>
          </w:p>
        </w:tc>
        <w:tc>
          <w:tcPr>
            <w:tcW w:w="1374" w:type="dxa"/>
          </w:tcPr>
          <w:p w14:paraId="15706DEB" w14:textId="46BD6AD7" w:rsidR="00022A78" w:rsidRPr="00CA5AB8" w:rsidRDefault="00F87723" w:rsidP="00022A78">
            <w:pPr>
              <w:pStyle w:val="Tablebodytextnospaceafter"/>
              <w:jc w:val="right"/>
              <w:rPr>
                <w:rStyle w:val="Emphasis"/>
              </w:rPr>
            </w:pPr>
            <w:r>
              <w:rPr>
                <w:rStyle w:val="Emphasis"/>
              </w:rPr>
              <w:t>64</w:t>
            </w:r>
          </w:p>
        </w:tc>
        <w:tc>
          <w:tcPr>
            <w:tcW w:w="1374" w:type="dxa"/>
          </w:tcPr>
          <w:p w14:paraId="1535881F" w14:textId="4B65CD11" w:rsidR="00022A78" w:rsidRPr="00F83D9A" w:rsidRDefault="00022A78" w:rsidP="00022A78">
            <w:pPr>
              <w:pStyle w:val="Tablebodytextnospaceafter"/>
              <w:jc w:val="right"/>
              <w:rPr>
                <w:rStyle w:val="Emphasis"/>
                <w:b w:val="0"/>
                <w:bCs w:val="0"/>
              </w:rPr>
            </w:pPr>
            <w:r w:rsidRPr="00F83D9A">
              <w:rPr>
                <w:rStyle w:val="Emphasis"/>
                <w:b w:val="0"/>
                <w:bCs w:val="0"/>
              </w:rPr>
              <w:t>66</w:t>
            </w:r>
          </w:p>
        </w:tc>
      </w:tr>
      <w:tr w:rsidR="00022A78" w:rsidRPr="00CA5AB8" w14:paraId="0C89013F"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28C4DB06" w14:textId="77777777" w:rsidR="00022A78" w:rsidRPr="00CA5AB8" w:rsidRDefault="00022A78" w:rsidP="00022A78">
            <w:pPr>
              <w:pStyle w:val="Tablebodytextnospaceafter"/>
            </w:pPr>
            <w:r>
              <w:t>% of complainants who found the Ombudsman website useful</w:t>
            </w:r>
            <w:r>
              <w:rPr>
                <w:rStyle w:val="FootnoteReference"/>
                <w:szCs w:val="20"/>
              </w:rPr>
              <w:footnoteReference w:id="44"/>
            </w:r>
          </w:p>
        </w:tc>
        <w:tc>
          <w:tcPr>
            <w:tcW w:w="1373" w:type="dxa"/>
          </w:tcPr>
          <w:p w14:paraId="23133266" w14:textId="35DA713B" w:rsidR="00022A78" w:rsidRPr="00CA5AB8" w:rsidRDefault="00022A78" w:rsidP="00022A78">
            <w:pPr>
              <w:pStyle w:val="Tablebodytextnospaceafter"/>
              <w:jc w:val="right"/>
            </w:pPr>
            <w:r>
              <w:t>8</w:t>
            </w:r>
            <w:r w:rsidR="0039347B">
              <w:t>5</w:t>
            </w:r>
          </w:p>
        </w:tc>
        <w:tc>
          <w:tcPr>
            <w:tcW w:w="1374" w:type="dxa"/>
          </w:tcPr>
          <w:p w14:paraId="328135E4" w14:textId="2197D062" w:rsidR="00022A78" w:rsidRPr="00CA5AB8" w:rsidRDefault="00F87723" w:rsidP="00022A78">
            <w:pPr>
              <w:pStyle w:val="Tablebodytextnospaceafter"/>
              <w:jc w:val="right"/>
              <w:rPr>
                <w:rStyle w:val="Emphasis"/>
              </w:rPr>
            </w:pPr>
            <w:r>
              <w:rPr>
                <w:rStyle w:val="Emphasis"/>
              </w:rPr>
              <w:t>8</w:t>
            </w:r>
            <w:r w:rsidR="00ED252A">
              <w:rPr>
                <w:rStyle w:val="Emphasis"/>
              </w:rPr>
              <w:t>4</w:t>
            </w:r>
          </w:p>
        </w:tc>
        <w:tc>
          <w:tcPr>
            <w:tcW w:w="1374" w:type="dxa"/>
          </w:tcPr>
          <w:p w14:paraId="21FD4692" w14:textId="11CEF3A5" w:rsidR="00022A78" w:rsidRPr="00F83D9A" w:rsidRDefault="00022A78" w:rsidP="00022A78">
            <w:pPr>
              <w:pStyle w:val="Tablebodytextnospaceafter"/>
              <w:jc w:val="right"/>
              <w:rPr>
                <w:rStyle w:val="Emphasis"/>
                <w:b w:val="0"/>
                <w:bCs w:val="0"/>
              </w:rPr>
            </w:pPr>
            <w:r w:rsidRPr="00F83D9A">
              <w:rPr>
                <w:rStyle w:val="Emphasis"/>
                <w:b w:val="0"/>
                <w:bCs w:val="0"/>
              </w:rPr>
              <w:t>84</w:t>
            </w:r>
          </w:p>
        </w:tc>
      </w:tr>
      <w:tr w:rsidR="0039347B" w:rsidRPr="00CA5AB8" w14:paraId="09F6A58F"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47415BB3" w14:textId="182F94C7" w:rsidR="0039347B" w:rsidRDefault="0039347B" w:rsidP="0039347B">
            <w:pPr>
              <w:pStyle w:val="Tablebodytextnospaceafter"/>
            </w:pPr>
            <w:r w:rsidRPr="0039347B">
              <w:t>% of participants</w:t>
            </w:r>
            <w:r>
              <w:t xml:space="preserve"> </w:t>
            </w:r>
            <w:r w:rsidRPr="0039347B">
              <w:t>in community</w:t>
            </w:r>
            <w:r>
              <w:t xml:space="preserve"> </w:t>
            </w:r>
            <w:r w:rsidRPr="0039347B">
              <w:t>engagements</w:t>
            </w:r>
            <w:r>
              <w:t xml:space="preserve"> </w:t>
            </w:r>
            <w:r w:rsidRPr="0039347B">
              <w:t>confident in</w:t>
            </w:r>
            <w:r>
              <w:t xml:space="preserve"> </w:t>
            </w:r>
            <w:r w:rsidRPr="0039347B">
              <w:t>accessing our</w:t>
            </w:r>
            <w:r>
              <w:t xml:space="preserve"> </w:t>
            </w:r>
            <w:r w:rsidRPr="0039347B">
              <w:t>service</w:t>
            </w:r>
            <w:r>
              <w:rPr>
                <w:rStyle w:val="FootnoteReference"/>
              </w:rPr>
              <w:footnoteReference w:id="45"/>
            </w:r>
          </w:p>
        </w:tc>
        <w:tc>
          <w:tcPr>
            <w:tcW w:w="1373" w:type="dxa"/>
          </w:tcPr>
          <w:p w14:paraId="3167C72F" w14:textId="1836B62F" w:rsidR="0039347B" w:rsidRDefault="0063790C" w:rsidP="00022A78">
            <w:pPr>
              <w:pStyle w:val="Tablebodytextnospaceafter"/>
              <w:jc w:val="right"/>
            </w:pPr>
            <w:r>
              <w:t>80</w:t>
            </w:r>
          </w:p>
        </w:tc>
        <w:tc>
          <w:tcPr>
            <w:tcW w:w="1374" w:type="dxa"/>
          </w:tcPr>
          <w:p w14:paraId="755111CA" w14:textId="4E58ECEE" w:rsidR="0039347B" w:rsidRPr="00CA5AB8" w:rsidRDefault="00F87723" w:rsidP="00022A78">
            <w:pPr>
              <w:pStyle w:val="Tablebodytextnospaceafter"/>
              <w:jc w:val="right"/>
              <w:rPr>
                <w:rStyle w:val="Emphasis"/>
              </w:rPr>
            </w:pPr>
            <w:r>
              <w:rPr>
                <w:rStyle w:val="Emphasis"/>
              </w:rPr>
              <w:t>87</w:t>
            </w:r>
          </w:p>
        </w:tc>
        <w:tc>
          <w:tcPr>
            <w:tcW w:w="1374" w:type="dxa"/>
          </w:tcPr>
          <w:p w14:paraId="422469AB" w14:textId="553E26BB" w:rsidR="0039347B" w:rsidRPr="00F83D9A" w:rsidRDefault="00A23153" w:rsidP="00022A78">
            <w:pPr>
              <w:pStyle w:val="Tablebodytextnospaceafter"/>
              <w:jc w:val="right"/>
              <w:rPr>
                <w:rStyle w:val="Emphasis"/>
                <w:b w:val="0"/>
                <w:bCs w:val="0"/>
              </w:rPr>
            </w:pPr>
            <w:r>
              <w:rPr>
                <w:rStyle w:val="Emphasis"/>
                <w:b w:val="0"/>
                <w:bCs w:val="0"/>
              </w:rPr>
              <w:t>89</w:t>
            </w:r>
          </w:p>
        </w:tc>
      </w:tr>
      <w:tr w:rsidR="00022A78" w:rsidRPr="00CA5AB8" w14:paraId="00FCA7AC"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BFBFBF"/>
          </w:tcPr>
          <w:p w14:paraId="7F0175D2" w14:textId="77777777" w:rsidR="00022A78" w:rsidRPr="00CA5AB8" w:rsidRDefault="00022A78" w:rsidP="00022A78">
            <w:pPr>
              <w:pStyle w:val="Tablebodytextnospaceafter"/>
              <w:rPr>
                <w:rStyle w:val="Emphasis"/>
              </w:rPr>
            </w:pPr>
            <w:r>
              <w:rPr>
                <w:rStyle w:val="Emphasis"/>
              </w:rPr>
              <w:t>Output 2 – Improve public sector capability to do its work and make decisions</w:t>
            </w:r>
          </w:p>
        </w:tc>
        <w:tc>
          <w:tcPr>
            <w:tcW w:w="1373" w:type="dxa"/>
            <w:shd w:val="clear" w:color="auto" w:fill="BFBFBF"/>
          </w:tcPr>
          <w:p w14:paraId="7611F25F" w14:textId="77777777" w:rsidR="00022A78" w:rsidRPr="00CA5AB8" w:rsidRDefault="00022A78" w:rsidP="00022A78">
            <w:pPr>
              <w:pStyle w:val="Tablebodytextnospaceafter"/>
              <w:rPr>
                <w:rStyle w:val="Emphasis"/>
              </w:rPr>
            </w:pPr>
          </w:p>
        </w:tc>
        <w:tc>
          <w:tcPr>
            <w:tcW w:w="1374" w:type="dxa"/>
            <w:shd w:val="clear" w:color="auto" w:fill="BFBFBF"/>
          </w:tcPr>
          <w:p w14:paraId="298C14BC" w14:textId="77777777" w:rsidR="00022A78" w:rsidRPr="00CA5AB8" w:rsidRDefault="00022A78" w:rsidP="00022A78">
            <w:pPr>
              <w:pStyle w:val="Tablebodytextnospaceafter"/>
              <w:rPr>
                <w:rStyle w:val="Emphasis"/>
              </w:rPr>
            </w:pPr>
          </w:p>
        </w:tc>
        <w:tc>
          <w:tcPr>
            <w:tcW w:w="1374" w:type="dxa"/>
            <w:shd w:val="clear" w:color="auto" w:fill="BFBFBF"/>
          </w:tcPr>
          <w:p w14:paraId="7E042B43" w14:textId="77777777" w:rsidR="00022A78" w:rsidRPr="00F83D9A" w:rsidRDefault="00022A78" w:rsidP="00022A78">
            <w:pPr>
              <w:pStyle w:val="Tablebodytextnospaceafter"/>
              <w:rPr>
                <w:rStyle w:val="Emphasis"/>
                <w:b w:val="0"/>
                <w:bCs w:val="0"/>
              </w:rPr>
            </w:pPr>
          </w:p>
        </w:tc>
      </w:tr>
      <w:tr w:rsidR="00022A78" w:rsidRPr="00CA5AB8" w14:paraId="2CE1D7EE"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shd w:val="clear" w:color="auto" w:fill="D3D3D3"/>
          </w:tcPr>
          <w:p w14:paraId="77B92E8C" w14:textId="77777777" w:rsidR="00022A78" w:rsidRPr="00CA5AB8" w:rsidRDefault="00022A78" w:rsidP="00022A78">
            <w:pPr>
              <w:pStyle w:val="Tablebodytextnospaceafter"/>
              <w:rPr>
                <w:rStyle w:val="Emphasis"/>
              </w:rPr>
            </w:pPr>
            <w:r>
              <w:rPr>
                <w:rStyle w:val="Emphasis"/>
              </w:rPr>
              <w:t>Demand-driven measures</w:t>
            </w:r>
          </w:p>
        </w:tc>
        <w:tc>
          <w:tcPr>
            <w:tcW w:w="1373" w:type="dxa"/>
            <w:shd w:val="clear" w:color="auto" w:fill="D3D3D3"/>
          </w:tcPr>
          <w:p w14:paraId="163BB27D" w14:textId="77777777" w:rsidR="00022A78" w:rsidRPr="00CA5AB8" w:rsidRDefault="00022A78" w:rsidP="00022A78">
            <w:pPr>
              <w:pStyle w:val="Tablebodytextnospaceafter"/>
            </w:pPr>
          </w:p>
        </w:tc>
        <w:tc>
          <w:tcPr>
            <w:tcW w:w="1374" w:type="dxa"/>
            <w:shd w:val="clear" w:color="auto" w:fill="D3D3D3"/>
          </w:tcPr>
          <w:p w14:paraId="0B3B2D92" w14:textId="77777777" w:rsidR="00022A78" w:rsidRPr="00CA5AB8" w:rsidRDefault="00022A78" w:rsidP="00022A78">
            <w:pPr>
              <w:pStyle w:val="Tablebodytextnospaceafter"/>
            </w:pPr>
          </w:p>
        </w:tc>
        <w:tc>
          <w:tcPr>
            <w:tcW w:w="1374" w:type="dxa"/>
            <w:shd w:val="clear" w:color="auto" w:fill="D3D3D3"/>
          </w:tcPr>
          <w:p w14:paraId="784FEA71" w14:textId="77777777" w:rsidR="00022A78" w:rsidRPr="00F83D9A" w:rsidRDefault="00022A78" w:rsidP="00022A78">
            <w:pPr>
              <w:pStyle w:val="Tablebodytextnospaceafter"/>
            </w:pPr>
          </w:p>
        </w:tc>
      </w:tr>
      <w:tr w:rsidR="00022A78" w:rsidRPr="00CA5AB8" w14:paraId="427E8B2C"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6F258812" w14:textId="3B3AC1AE" w:rsidR="00022A78" w:rsidRPr="00CA5AB8" w:rsidRDefault="00022A78" w:rsidP="00022A78">
            <w:pPr>
              <w:pStyle w:val="Tablebodytextnospaceafter"/>
            </w:pPr>
            <w:r>
              <w:t># of requests for advice or comment</w:t>
            </w:r>
            <w:r>
              <w:rPr>
                <w:rStyle w:val="FootnoteReference"/>
              </w:rPr>
              <w:footnoteReference w:id="46"/>
            </w:r>
            <w:r>
              <w:rPr>
                <w:rStyle w:val="FootnoteReference"/>
              </w:rPr>
              <w:t xml:space="preserve"> </w:t>
            </w:r>
            <w:r>
              <w:t>from agencies</w:t>
            </w:r>
            <w:r>
              <w:rPr>
                <w:rStyle w:val="FootnoteReference"/>
              </w:rPr>
              <w:t xml:space="preserve"> </w:t>
            </w:r>
            <w:r>
              <w:t>responded to</w:t>
            </w:r>
          </w:p>
        </w:tc>
        <w:tc>
          <w:tcPr>
            <w:tcW w:w="1373" w:type="dxa"/>
          </w:tcPr>
          <w:p w14:paraId="0DE206BD" w14:textId="77777777" w:rsidR="00022A78" w:rsidRPr="00CA5AB8" w:rsidRDefault="00022A78" w:rsidP="00022A78">
            <w:pPr>
              <w:pStyle w:val="Tablebodytextnospaceafter"/>
              <w:jc w:val="right"/>
            </w:pPr>
            <w:r>
              <w:t>300</w:t>
            </w:r>
          </w:p>
        </w:tc>
        <w:tc>
          <w:tcPr>
            <w:tcW w:w="1374" w:type="dxa"/>
          </w:tcPr>
          <w:p w14:paraId="33293F3A" w14:textId="0F9DB16F" w:rsidR="00022A78" w:rsidRPr="00CA5AB8" w:rsidRDefault="00F87723" w:rsidP="00022A78">
            <w:pPr>
              <w:pStyle w:val="Tablebodytextnospaceafter"/>
              <w:jc w:val="right"/>
              <w:rPr>
                <w:b/>
              </w:rPr>
            </w:pPr>
            <w:r>
              <w:rPr>
                <w:b/>
              </w:rPr>
              <w:t>363</w:t>
            </w:r>
          </w:p>
        </w:tc>
        <w:tc>
          <w:tcPr>
            <w:tcW w:w="1374" w:type="dxa"/>
          </w:tcPr>
          <w:p w14:paraId="506B613F" w14:textId="77777777" w:rsidR="00022A78" w:rsidRPr="00F83D9A" w:rsidRDefault="00022A78" w:rsidP="00022A78">
            <w:pPr>
              <w:pStyle w:val="Tablebodytextnospaceafter"/>
              <w:jc w:val="right"/>
              <w:rPr>
                <w:rStyle w:val="Emphasis"/>
                <w:b w:val="0"/>
                <w:bCs w:val="0"/>
              </w:rPr>
            </w:pPr>
            <w:r w:rsidRPr="00F83D9A">
              <w:rPr>
                <w:rStyle w:val="Emphasis"/>
                <w:b w:val="0"/>
                <w:bCs w:val="0"/>
              </w:rPr>
              <w:t>359</w:t>
            </w:r>
          </w:p>
        </w:tc>
      </w:tr>
      <w:tr w:rsidR="00022A78" w:rsidRPr="00CA5AB8" w14:paraId="54F839E5"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0BADF64C" w14:textId="0939DAC8" w:rsidR="00022A78" w:rsidRPr="00CA5AB8" w:rsidRDefault="00022A78" w:rsidP="00022A78">
            <w:pPr>
              <w:pStyle w:val="Tablebodytextnospaceafter"/>
            </w:pPr>
            <w:r>
              <w:t xml:space="preserve"># of external speeches, presentations, and </w:t>
            </w:r>
            <w:r w:rsidR="004F781E">
              <w:t xml:space="preserve">in-person </w:t>
            </w:r>
            <w:r>
              <w:t>learning provided to agencies</w:t>
            </w:r>
            <w:r w:rsidR="007135C6">
              <w:t xml:space="preserve"> *</w:t>
            </w:r>
            <w:r w:rsidR="004F781E">
              <w:rPr>
                <w:rStyle w:val="FootnoteReference"/>
              </w:rPr>
              <w:footnoteReference w:id="47"/>
            </w:r>
          </w:p>
        </w:tc>
        <w:tc>
          <w:tcPr>
            <w:tcW w:w="1373" w:type="dxa"/>
          </w:tcPr>
          <w:p w14:paraId="2BCE76E3" w14:textId="77777777" w:rsidR="00022A78" w:rsidRPr="00CA5AB8" w:rsidRDefault="00022A78" w:rsidP="00022A78">
            <w:pPr>
              <w:pStyle w:val="Tablebodytextnospaceafter"/>
              <w:jc w:val="right"/>
            </w:pPr>
            <w:r>
              <w:t>30</w:t>
            </w:r>
          </w:p>
        </w:tc>
        <w:tc>
          <w:tcPr>
            <w:tcW w:w="1374" w:type="dxa"/>
          </w:tcPr>
          <w:p w14:paraId="2AB39B90" w14:textId="0C13EDFA" w:rsidR="00022A78" w:rsidRPr="00CA5AB8" w:rsidRDefault="00F87723" w:rsidP="00022A78">
            <w:pPr>
              <w:pStyle w:val="Tablebodytextnospaceafter"/>
              <w:jc w:val="right"/>
              <w:rPr>
                <w:b/>
              </w:rPr>
            </w:pPr>
            <w:r>
              <w:rPr>
                <w:b/>
              </w:rPr>
              <w:t>35</w:t>
            </w:r>
          </w:p>
        </w:tc>
        <w:tc>
          <w:tcPr>
            <w:tcW w:w="1374" w:type="dxa"/>
          </w:tcPr>
          <w:p w14:paraId="4763A686" w14:textId="77777777" w:rsidR="00022A78" w:rsidRPr="00F83D9A" w:rsidRDefault="00022A78" w:rsidP="00022A78">
            <w:pPr>
              <w:pStyle w:val="Tablebodytextnospaceafter"/>
              <w:jc w:val="right"/>
              <w:rPr>
                <w:rStyle w:val="Emphasis"/>
                <w:b w:val="0"/>
                <w:bCs w:val="0"/>
              </w:rPr>
            </w:pPr>
            <w:r w:rsidRPr="00F83D9A">
              <w:rPr>
                <w:rStyle w:val="Emphasis"/>
                <w:b w:val="0"/>
                <w:bCs w:val="0"/>
              </w:rPr>
              <w:t>30</w:t>
            </w:r>
          </w:p>
        </w:tc>
      </w:tr>
      <w:tr w:rsidR="00022A78" w:rsidRPr="00CA5AB8" w14:paraId="550B6247"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D3D3D3"/>
          </w:tcPr>
          <w:p w14:paraId="51D1F084" w14:textId="77777777" w:rsidR="00022A78" w:rsidRPr="00CA5AB8" w:rsidRDefault="00022A78" w:rsidP="00022A78">
            <w:pPr>
              <w:pStyle w:val="Tablebodytextnospaceafter"/>
              <w:keepNext/>
              <w:keepLines/>
              <w:rPr>
                <w:rStyle w:val="Emphasis"/>
              </w:rPr>
            </w:pPr>
            <w:r>
              <w:rPr>
                <w:rStyle w:val="Emphasis"/>
              </w:rPr>
              <w:t>Proactive measures</w:t>
            </w:r>
          </w:p>
        </w:tc>
        <w:tc>
          <w:tcPr>
            <w:tcW w:w="1373" w:type="dxa"/>
            <w:shd w:val="clear" w:color="auto" w:fill="D3D3D3"/>
          </w:tcPr>
          <w:p w14:paraId="7E04C81F" w14:textId="77777777" w:rsidR="00022A78" w:rsidRPr="00CA5AB8" w:rsidRDefault="00022A78" w:rsidP="00022A78">
            <w:pPr>
              <w:pStyle w:val="Tablebodytextnospaceafter"/>
            </w:pPr>
          </w:p>
        </w:tc>
        <w:tc>
          <w:tcPr>
            <w:tcW w:w="1374" w:type="dxa"/>
            <w:shd w:val="clear" w:color="auto" w:fill="D3D3D3"/>
          </w:tcPr>
          <w:p w14:paraId="187E5B1B" w14:textId="77777777" w:rsidR="00022A78" w:rsidRPr="00CA5AB8" w:rsidRDefault="00022A78" w:rsidP="00022A78">
            <w:pPr>
              <w:pStyle w:val="Tablebodytextnospaceafter"/>
              <w:rPr>
                <w:b/>
              </w:rPr>
            </w:pPr>
          </w:p>
        </w:tc>
        <w:tc>
          <w:tcPr>
            <w:tcW w:w="1374" w:type="dxa"/>
            <w:shd w:val="clear" w:color="auto" w:fill="D3D3D3"/>
          </w:tcPr>
          <w:p w14:paraId="4279C871" w14:textId="77777777" w:rsidR="00022A78" w:rsidRPr="00F83D9A" w:rsidRDefault="00022A78" w:rsidP="00022A78">
            <w:pPr>
              <w:pStyle w:val="Tablebodytextnospaceafter"/>
            </w:pPr>
          </w:p>
        </w:tc>
      </w:tr>
      <w:tr w:rsidR="00022A78" w:rsidRPr="00CA5AB8" w14:paraId="4858D88F"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5B4FF064" w14:textId="5851458D" w:rsidR="00022A78" w:rsidRPr="00CA5AB8" w:rsidRDefault="00022A78" w:rsidP="00022A78">
            <w:pPr>
              <w:pStyle w:val="Tablebodytextnospaceafter"/>
            </w:pPr>
            <w:r>
              <w:t># of guidance materials for agencies produced or updated</w:t>
            </w:r>
          </w:p>
        </w:tc>
        <w:tc>
          <w:tcPr>
            <w:tcW w:w="1373" w:type="dxa"/>
          </w:tcPr>
          <w:p w14:paraId="24C61441" w14:textId="77777777" w:rsidR="00022A78" w:rsidRPr="00CA5AB8" w:rsidRDefault="00022A78" w:rsidP="00022A78">
            <w:pPr>
              <w:pStyle w:val="Tablebodytextnospaceafter"/>
              <w:jc w:val="right"/>
            </w:pPr>
            <w:r>
              <w:t>30</w:t>
            </w:r>
          </w:p>
        </w:tc>
        <w:tc>
          <w:tcPr>
            <w:tcW w:w="1374" w:type="dxa"/>
          </w:tcPr>
          <w:p w14:paraId="5E03D8FA" w14:textId="740BC231" w:rsidR="00022A78" w:rsidRPr="00CA5AB8" w:rsidRDefault="00F87723" w:rsidP="00022A78">
            <w:pPr>
              <w:pStyle w:val="Tablebodytextnospaceafter"/>
              <w:jc w:val="right"/>
              <w:rPr>
                <w:b/>
              </w:rPr>
            </w:pPr>
            <w:r>
              <w:rPr>
                <w:b/>
              </w:rPr>
              <w:t>31</w:t>
            </w:r>
          </w:p>
        </w:tc>
        <w:tc>
          <w:tcPr>
            <w:tcW w:w="1374" w:type="dxa"/>
          </w:tcPr>
          <w:p w14:paraId="54A7E714" w14:textId="77777777" w:rsidR="00022A78" w:rsidRPr="00F83D9A" w:rsidRDefault="00022A78" w:rsidP="00022A78">
            <w:pPr>
              <w:pStyle w:val="Tablebodytextnospaceafter"/>
              <w:jc w:val="right"/>
              <w:rPr>
                <w:rStyle w:val="Emphasis"/>
                <w:b w:val="0"/>
                <w:bCs w:val="0"/>
              </w:rPr>
            </w:pPr>
            <w:r w:rsidRPr="00F83D9A">
              <w:rPr>
                <w:rStyle w:val="Emphasis"/>
                <w:b w:val="0"/>
                <w:bCs w:val="0"/>
              </w:rPr>
              <w:t>36</w:t>
            </w:r>
          </w:p>
        </w:tc>
      </w:tr>
      <w:tr w:rsidR="00022A78" w:rsidRPr="00CA5AB8" w14:paraId="596DBDE2"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02FC090E" w14:textId="447E9DE3" w:rsidR="00022A78" w:rsidRPr="00CA5AB8" w:rsidRDefault="00022A78" w:rsidP="00022A78">
            <w:pPr>
              <w:pStyle w:val="Tablebodytextnospaceafter"/>
            </w:pPr>
            <w:r>
              <w:t>% of agencies satisfied with our communication overall</w:t>
            </w:r>
            <w:r>
              <w:rPr>
                <w:rStyle w:val="FootnoteReference"/>
              </w:rPr>
              <w:footnoteReference w:id="48"/>
            </w:r>
          </w:p>
        </w:tc>
        <w:tc>
          <w:tcPr>
            <w:tcW w:w="1373" w:type="dxa"/>
          </w:tcPr>
          <w:p w14:paraId="19F400A1" w14:textId="700849F8" w:rsidR="00022A78" w:rsidRPr="00CA5AB8" w:rsidRDefault="00022A78" w:rsidP="00022A78">
            <w:pPr>
              <w:pStyle w:val="Tablebodytextnospaceafter"/>
              <w:jc w:val="right"/>
            </w:pPr>
            <w:r>
              <w:t>75</w:t>
            </w:r>
          </w:p>
        </w:tc>
        <w:tc>
          <w:tcPr>
            <w:tcW w:w="1374" w:type="dxa"/>
          </w:tcPr>
          <w:p w14:paraId="40C8F037" w14:textId="2C3FF7DE" w:rsidR="00022A78" w:rsidRPr="00CA5AB8" w:rsidRDefault="00ED252A" w:rsidP="00022A78">
            <w:pPr>
              <w:pStyle w:val="Tablebodytextnospaceafter"/>
              <w:jc w:val="right"/>
              <w:rPr>
                <w:b/>
              </w:rPr>
            </w:pPr>
            <w:r>
              <w:rPr>
                <w:b/>
              </w:rPr>
              <w:t>83</w:t>
            </w:r>
          </w:p>
        </w:tc>
        <w:tc>
          <w:tcPr>
            <w:tcW w:w="1374" w:type="dxa"/>
          </w:tcPr>
          <w:p w14:paraId="77B442A5" w14:textId="090AB0CC" w:rsidR="00022A78" w:rsidRPr="00F83D9A" w:rsidRDefault="00022A78" w:rsidP="00022A78">
            <w:pPr>
              <w:pStyle w:val="Tablebodytextnospaceafter"/>
              <w:jc w:val="right"/>
              <w:rPr>
                <w:rStyle w:val="Emphasis"/>
                <w:b w:val="0"/>
                <w:bCs w:val="0"/>
              </w:rPr>
            </w:pPr>
            <w:r w:rsidRPr="00F83D9A">
              <w:rPr>
                <w:rStyle w:val="Emphasis"/>
                <w:b w:val="0"/>
                <w:bCs w:val="0"/>
              </w:rPr>
              <w:t>87</w:t>
            </w:r>
          </w:p>
        </w:tc>
      </w:tr>
      <w:tr w:rsidR="0063790C" w:rsidRPr="00CA5AB8" w14:paraId="716D951D"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5BEBFEF1" w14:textId="0B8AD85E" w:rsidR="0063790C" w:rsidRDefault="0063790C" w:rsidP="0063790C">
            <w:pPr>
              <w:pStyle w:val="Tablebodytextnospaceafter"/>
            </w:pPr>
            <w:r w:rsidRPr="0063790C">
              <w:t>% of agencies</w:t>
            </w:r>
            <w:r>
              <w:t xml:space="preserve"> </w:t>
            </w:r>
            <w:r w:rsidRPr="0063790C">
              <w:t>satisfied the</w:t>
            </w:r>
            <w:r>
              <w:t xml:space="preserve"> </w:t>
            </w:r>
            <w:r w:rsidRPr="0063790C">
              <w:t>Ombudsman’s views</w:t>
            </w:r>
            <w:r>
              <w:t xml:space="preserve"> </w:t>
            </w:r>
            <w:r w:rsidRPr="0063790C">
              <w:t>are fair</w:t>
            </w:r>
            <w:r w:rsidR="007135C6">
              <w:t>*</w:t>
            </w:r>
          </w:p>
        </w:tc>
        <w:tc>
          <w:tcPr>
            <w:tcW w:w="1373" w:type="dxa"/>
          </w:tcPr>
          <w:p w14:paraId="07A05778" w14:textId="0704F607" w:rsidR="0063790C" w:rsidRDefault="0063790C" w:rsidP="00022A78">
            <w:pPr>
              <w:pStyle w:val="Tablebodytextnospaceafter"/>
              <w:jc w:val="right"/>
            </w:pPr>
            <w:r>
              <w:t>75</w:t>
            </w:r>
          </w:p>
        </w:tc>
        <w:tc>
          <w:tcPr>
            <w:tcW w:w="1374" w:type="dxa"/>
          </w:tcPr>
          <w:p w14:paraId="2D4849FF" w14:textId="10284D48" w:rsidR="0063790C" w:rsidRPr="00CA5AB8" w:rsidRDefault="00ED252A" w:rsidP="00022A78">
            <w:pPr>
              <w:pStyle w:val="Tablebodytextnospaceafter"/>
              <w:jc w:val="right"/>
              <w:rPr>
                <w:b/>
              </w:rPr>
            </w:pPr>
            <w:r>
              <w:rPr>
                <w:b/>
              </w:rPr>
              <w:t>79</w:t>
            </w:r>
          </w:p>
        </w:tc>
        <w:tc>
          <w:tcPr>
            <w:tcW w:w="1374" w:type="dxa"/>
          </w:tcPr>
          <w:p w14:paraId="494B8657" w14:textId="01930F17" w:rsidR="0063790C" w:rsidRPr="00F83D9A" w:rsidRDefault="004E034B" w:rsidP="00022A78">
            <w:pPr>
              <w:pStyle w:val="Tablebodytextnospaceafter"/>
              <w:jc w:val="right"/>
              <w:rPr>
                <w:rStyle w:val="Emphasis"/>
                <w:b w:val="0"/>
                <w:bCs w:val="0"/>
              </w:rPr>
            </w:pPr>
            <w:r w:rsidRPr="00F83D9A">
              <w:rPr>
                <w:rStyle w:val="Emphasis"/>
                <w:b w:val="0"/>
                <w:bCs w:val="0"/>
              </w:rPr>
              <w:t>73</w:t>
            </w:r>
          </w:p>
        </w:tc>
      </w:tr>
      <w:tr w:rsidR="00022A78" w:rsidRPr="00CA5AB8" w14:paraId="58EBB877"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BFBFBF"/>
          </w:tcPr>
          <w:p w14:paraId="621A7060" w14:textId="51F20F62" w:rsidR="00022A78" w:rsidRPr="00CA5AB8" w:rsidRDefault="00022A78" w:rsidP="00022A78">
            <w:pPr>
              <w:pStyle w:val="Tablebodytextnospaceafter"/>
              <w:keepNext/>
              <w:rPr>
                <w:rStyle w:val="Emphasis"/>
              </w:rPr>
            </w:pPr>
            <w:r>
              <w:rPr>
                <w:rStyle w:val="Emphasis"/>
              </w:rPr>
              <w:t>Outputs 3 &amp; 4 – Complaint</w:t>
            </w:r>
            <w:r w:rsidR="0041538E">
              <w:rPr>
                <w:rStyle w:val="Emphasis"/>
              </w:rPr>
              <w:t>s volume and timeliness</w:t>
            </w:r>
            <w:r>
              <w:rPr>
                <w:rStyle w:val="FootnoteReference"/>
                <w:b/>
                <w:bCs/>
                <w:iCs/>
              </w:rPr>
              <w:footnoteReference w:id="49"/>
            </w:r>
          </w:p>
        </w:tc>
        <w:tc>
          <w:tcPr>
            <w:tcW w:w="1373" w:type="dxa"/>
            <w:shd w:val="clear" w:color="auto" w:fill="BFBFBF"/>
          </w:tcPr>
          <w:p w14:paraId="2B55F495" w14:textId="77777777" w:rsidR="00022A78" w:rsidRPr="00CA5AB8" w:rsidRDefault="00022A78" w:rsidP="00022A78">
            <w:pPr>
              <w:pStyle w:val="Tablebodytextnospaceafter"/>
              <w:keepNext/>
              <w:rPr>
                <w:rStyle w:val="Emphasis"/>
              </w:rPr>
            </w:pPr>
          </w:p>
        </w:tc>
        <w:tc>
          <w:tcPr>
            <w:tcW w:w="1374" w:type="dxa"/>
            <w:shd w:val="clear" w:color="auto" w:fill="BFBFBF"/>
          </w:tcPr>
          <w:p w14:paraId="1B94CC93" w14:textId="77777777" w:rsidR="00022A78" w:rsidRPr="00CA5AB8" w:rsidRDefault="00022A78" w:rsidP="00022A78">
            <w:pPr>
              <w:pStyle w:val="Tablebodytextnospaceafter"/>
              <w:keepNext/>
              <w:rPr>
                <w:rStyle w:val="Emphasis"/>
              </w:rPr>
            </w:pPr>
          </w:p>
        </w:tc>
        <w:tc>
          <w:tcPr>
            <w:tcW w:w="1374" w:type="dxa"/>
            <w:shd w:val="clear" w:color="auto" w:fill="BFBFBF"/>
          </w:tcPr>
          <w:p w14:paraId="3678F214" w14:textId="77777777" w:rsidR="00022A78" w:rsidRPr="00F83D9A" w:rsidRDefault="00022A78" w:rsidP="00022A78">
            <w:pPr>
              <w:pStyle w:val="Tablebodytextnospaceafter"/>
              <w:keepNext/>
              <w:rPr>
                <w:rStyle w:val="Emphasis"/>
                <w:b w:val="0"/>
                <w:bCs w:val="0"/>
              </w:rPr>
            </w:pPr>
          </w:p>
        </w:tc>
      </w:tr>
      <w:tr w:rsidR="00022A78" w:rsidRPr="00CA5AB8" w14:paraId="21884C4A"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shd w:val="clear" w:color="auto" w:fill="D3D3D3"/>
          </w:tcPr>
          <w:p w14:paraId="661086D8" w14:textId="77777777" w:rsidR="00022A78" w:rsidRPr="00CA5AB8" w:rsidRDefault="00022A78" w:rsidP="00022A78">
            <w:pPr>
              <w:pStyle w:val="Tablebodytextnospaceafter"/>
              <w:keepNext/>
              <w:rPr>
                <w:rStyle w:val="Emphasis"/>
              </w:rPr>
            </w:pPr>
            <w:r>
              <w:rPr>
                <w:rStyle w:val="Emphasis"/>
              </w:rPr>
              <w:t>Demand-driven measures</w:t>
            </w:r>
          </w:p>
        </w:tc>
        <w:tc>
          <w:tcPr>
            <w:tcW w:w="1373" w:type="dxa"/>
            <w:shd w:val="clear" w:color="auto" w:fill="D3D3D3"/>
          </w:tcPr>
          <w:p w14:paraId="2311EF9A" w14:textId="77777777" w:rsidR="00022A78" w:rsidRPr="00CA5AB8" w:rsidRDefault="00022A78" w:rsidP="00022A78">
            <w:pPr>
              <w:pStyle w:val="Tablebodytextnospaceafter"/>
              <w:keepNext/>
              <w:rPr>
                <w:rStyle w:val="Emphasis"/>
              </w:rPr>
            </w:pPr>
          </w:p>
        </w:tc>
        <w:tc>
          <w:tcPr>
            <w:tcW w:w="1374" w:type="dxa"/>
            <w:shd w:val="clear" w:color="auto" w:fill="D3D3D3"/>
          </w:tcPr>
          <w:p w14:paraId="0221A657" w14:textId="77777777" w:rsidR="00022A78" w:rsidRPr="00CA5AB8" w:rsidRDefault="00022A78" w:rsidP="00022A78">
            <w:pPr>
              <w:pStyle w:val="Tablebodytextnospaceafter"/>
              <w:keepNext/>
              <w:rPr>
                <w:rStyle w:val="Emphasis"/>
              </w:rPr>
            </w:pPr>
          </w:p>
        </w:tc>
        <w:tc>
          <w:tcPr>
            <w:tcW w:w="1374" w:type="dxa"/>
            <w:shd w:val="clear" w:color="auto" w:fill="D3D3D3"/>
          </w:tcPr>
          <w:p w14:paraId="5FF6FE57" w14:textId="77777777" w:rsidR="00022A78" w:rsidRPr="00F83D9A" w:rsidRDefault="00022A78" w:rsidP="00022A78">
            <w:pPr>
              <w:pStyle w:val="Tablebodytextnospaceafter"/>
              <w:keepNext/>
              <w:rPr>
                <w:rStyle w:val="Emphasis"/>
                <w:b w:val="0"/>
                <w:bCs w:val="0"/>
              </w:rPr>
            </w:pPr>
          </w:p>
        </w:tc>
      </w:tr>
      <w:tr w:rsidR="00022A78" w:rsidRPr="00CA5AB8" w14:paraId="78F7D951"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04E386F5" w14:textId="77777777" w:rsidR="00022A78" w:rsidRPr="00CA5AB8" w:rsidRDefault="00022A78" w:rsidP="00022A78">
            <w:pPr>
              <w:pStyle w:val="Tablebodytextnospaceafter"/>
              <w:keepNext/>
              <w:rPr>
                <w:rStyle w:val="Italics"/>
                <w:sz w:val="24"/>
              </w:rPr>
            </w:pPr>
            <w:r>
              <w:t xml:space="preserve"># of official information complaints completed </w:t>
            </w:r>
          </w:p>
        </w:tc>
        <w:tc>
          <w:tcPr>
            <w:tcW w:w="1373" w:type="dxa"/>
          </w:tcPr>
          <w:p w14:paraId="27BD10D7" w14:textId="08D1A1C9" w:rsidR="00022A78" w:rsidRPr="00CA5AB8" w:rsidRDefault="004E034B" w:rsidP="00022A78">
            <w:pPr>
              <w:pStyle w:val="Tablebodytextnospaceafter"/>
              <w:jc w:val="right"/>
              <w:rPr>
                <w:rStyle w:val="Emphasis"/>
                <w:b w:val="0"/>
              </w:rPr>
            </w:pPr>
            <w:r>
              <w:t>3,000</w:t>
            </w:r>
          </w:p>
        </w:tc>
        <w:tc>
          <w:tcPr>
            <w:tcW w:w="1374" w:type="dxa"/>
          </w:tcPr>
          <w:p w14:paraId="1B3BC58D" w14:textId="775025D3" w:rsidR="00022A78" w:rsidRPr="00CA5AB8" w:rsidRDefault="00F87723" w:rsidP="00022A78">
            <w:pPr>
              <w:pStyle w:val="Tablebodytextnospaceafter"/>
              <w:jc w:val="right"/>
              <w:rPr>
                <w:rStyle w:val="Emphasis"/>
              </w:rPr>
            </w:pPr>
            <w:r>
              <w:rPr>
                <w:rStyle w:val="Emphasis"/>
              </w:rPr>
              <w:t>3,67</w:t>
            </w:r>
            <w:r w:rsidR="00301E0C">
              <w:rPr>
                <w:rStyle w:val="Emphasis"/>
              </w:rPr>
              <w:t>1</w:t>
            </w:r>
          </w:p>
        </w:tc>
        <w:tc>
          <w:tcPr>
            <w:tcW w:w="1374" w:type="dxa"/>
          </w:tcPr>
          <w:p w14:paraId="5F166399" w14:textId="77777777" w:rsidR="00022A78" w:rsidRPr="00F83D9A" w:rsidRDefault="00022A78" w:rsidP="00022A78">
            <w:pPr>
              <w:pStyle w:val="Tablebodytextnospaceafter"/>
              <w:jc w:val="right"/>
              <w:rPr>
                <w:rStyle w:val="Emphasis"/>
                <w:b w:val="0"/>
                <w:bCs w:val="0"/>
              </w:rPr>
            </w:pPr>
            <w:r w:rsidRPr="00F83D9A">
              <w:rPr>
                <w:rStyle w:val="Emphasis"/>
                <w:b w:val="0"/>
                <w:bCs w:val="0"/>
              </w:rPr>
              <w:t>2,858</w:t>
            </w:r>
          </w:p>
        </w:tc>
      </w:tr>
      <w:tr w:rsidR="00022A78" w:rsidRPr="00CA5AB8" w14:paraId="2EAAB29B"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5758F87A" w14:textId="77777777" w:rsidR="00022A78" w:rsidRPr="00CA5AB8" w:rsidRDefault="00022A78" w:rsidP="00022A78">
            <w:pPr>
              <w:pStyle w:val="Tablebodytextnospaceafter"/>
            </w:pPr>
            <w:r>
              <w:t># of official information other contacts</w:t>
            </w:r>
            <w:r>
              <w:rPr>
                <w:rStyle w:val="FootnoteReference"/>
              </w:rPr>
              <w:footnoteReference w:id="50"/>
            </w:r>
            <w:r>
              <w:t xml:space="preserve"> completed </w:t>
            </w:r>
          </w:p>
        </w:tc>
        <w:tc>
          <w:tcPr>
            <w:tcW w:w="1373" w:type="dxa"/>
          </w:tcPr>
          <w:p w14:paraId="0B414A7F" w14:textId="77777777" w:rsidR="00022A78" w:rsidRPr="00CA5AB8" w:rsidRDefault="00022A78" w:rsidP="00022A78">
            <w:pPr>
              <w:pStyle w:val="Tablebodytextnospaceafter"/>
              <w:jc w:val="right"/>
            </w:pPr>
            <w:r>
              <w:t>350</w:t>
            </w:r>
          </w:p>
        </w:tc>
        <w:tc>
          <w:tcPr>
            <w:tcW w:w="1374" w:type="dxa"/>
          </w:tcPr>
          <w:p w14:paraId="62D3AC5F" w14:textId="23C6EBF7" w:rsidR="00022A78" w:rsidRPr="00CA5AB8" w:rsidRDefault="005036C8" w:rsidP="00022A78">
            <w:pPr>
              <w:pStyle w:val="Tablebodytextnospaceafter"/>
              <w:jc w:val="right"/>
              <w:rPr>
                <w:rStyle w:val="Emphasis"/>
              </w:rPr>
            </w:pPr>
            <w:r>
              <w:rPr>
                <w:rStyle w:val="Emphasis"/>
              </w:rPr>
              <w:t>446</w:t>
            </w:r>
          </w:p>
        </w:tc>
        <w:tc>
          <w:tcPr>
            <w:tcW w:w="1374" w:type="dxa"/>
          </w:tcPr>
          <w:p w14:paraId="6D88A83A" w14:textId="77777777" w:rsidR="00022A78" w:rsidRPr="00F83D9A" w:rsidRDefault="00022A78" w:rsidP="00022A78">
            <w:pPr>
              <w:pStyle w:val="Tablebodytextnospaceafter"/>
              <w:jc w:val="right"/>
              <w:rPr>
                <w:rStyle w:val="Emphasis"/>
                <w:b w:val="0"/>
                <w:bCs w:val="0"/>
              </w:rPr>
            </w:pPr>
            <w:r w:rsidRPr="00F83D9A">
              <w:rPr>
                <w:rStyle w:val="Emphasis"/>
                <w:b w:val="0"/>
                <w:bCs w:val="0"/>
              </w:rPr>
              <w:t>364</w:t>
            </w:r>
          </w:p>
        </w:tc>
      </w:tr>
      <w:tr w:rsidR="00022A78" w:rsidRPr="00CA5AB8" w14:paraId="06C14EE1"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6592AFC2" w14:textId="77777777" w:rsidR="00022A78" w:rsidRPr="00CA5AB8" w:rsidRDefault="00022A78" w:rsidP="00022A78">
            <w:pPr>
              <w:pStyle w:val="Tablebodytextnospaceafter"/>
            </w:pPr>
            <w:r>
              <w:t># of Ombudsmen Act 1975 (OA) complaints completed</w:t>
            </w:r>
          </w:p>
        </w:tc>
        <w:tc>
          <w:tcPr>
            <w:tcW w:w="1373" w:type="dxa"/>
          </w:tcPr>
          <w:p w14:paraId="476DA24F" w14:textId="40A20D25" w:rsidR="00022A78" w:rsidRPr="00CA5AB8" w:rsidRDefault="004E034B" w:rsidP="00022A78">
            <w:pPr>
              <w:pStyle w:val="Tablebodytextnospaceafter"/>
              <w:jc w:val="right"/>
            </w:pPr>
            <w:r>
              <w:t>6,800</w:t>
            </w:r>
          </w:p>
        </w:tc>
        <w:tc>
          <w:tcPr>
            <w:tcW w:w="1374" w:type="dxa"/>
          </w:tcPr>
          <w:p w14:paraId="53F87BB4" w14:textId="56A18113" w:rsidR="00022A78" w:rsidRPr="00CA5AB8" w:rsidRDefault="005036C8" w:rsidP="00022A78">
            <w:pPr>
              <w:pStyle w:val="Tablebodytextnospaceafter"/>
              <w:jc w:val="right"/>
              <w:rPr>
                <w:rStyle w:val="Emphasis"/>
              </w:rPr>
            </w:pPr>
            <w:r>
              <w:rPr>
                <w:rStyle w:val="Emphasis"/>
              </w:rPr>
              <w:t>8,02</w:t>
            </w:r>
            <w:r w:rsidR="007D30FF">
              <w:rPr>
                <w:rStyle w:val="Emphasis"/>
              </w:rPr>
              <w:t>7</w:t>
            </w:r>
          </w:p>
        </w:tc>
        <w:tc>
          <w:tcPr>
            <w:tcW w:w="1374" w:type="dxa"/>
          </w:tcPr>
          <w:p w14:paraId="7EAE7B68" w14:textId="77777777" w:rsidR="00022A78" w:rsidRPr="00F83D9A" w:rsidRDefault="00022A78" w:rsidP="00022A78">
            <w:pPr>
              <w:pStyle w:val="Tablebodytextnospaceafter"/>
              <w:jc w:val="right"/>
              <w:rPr>
                <w:rStyle w:val="Emphasis"/>
                <w:b w:val="0"/>
                <w:bCs w:val="0"/>
              </w:rPr>
            </w:pPr>
            <w:r w:rsidRPr="00F83D9A">
              <w:rPr>
                <w:rStyle w:val="Emphasis"/>
                <w:b w:val="0"/>
                <w:bCs w:val="0"/>
              </w:rPr>
              <w:t>5,305</w:t>
            </w:r>
          </w:p>
        </w:tc>
      </w:tr>
      <w:tr w:rsidR="00022A78" w:rsidRPr="00CA5AB8" w14:paraId="47953952"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40FBB839" w14:textId="77777777" w:rsidR="00022A78" w:rsidRPr="00CA5AB8" w:rsidRDefault="00022A78" w:rsidP="00022A78">
            <w:pPr>
              <w:pStyle w:val="Tablebodytextnospaceafter"/>
            </w:pPr>
            <w:r>
              <w:t># of OA other contacts completed</w:t>
            </w:r>
          </w:p>
        </w:tc>
        <w:tc>
          <w:tcPr>
            <w:tcW w:w="1373" w:type="dxa"/>
          </w:tcPr>
          <w:p w14:paraId="13D73C2D" w14:textId="424BB9CF" w:rsidR="00022A78" w:rsidRPr="00CA5AB8" w:rsidRDefault="00022A78" w:rsidP="00022A78">
            <w:pPr>
              <w:pStyle w:val="Tablebodytextnospaceafter"/>
              <w:jc w:val="right"/>
            </w:pPr>
            <w:r>
              <w:t>5,</w:t>
            </w:r>
            <w:r w:rsidR="004E034B">
              <w:t>5</w:t>
            </w:r>
            <w:r>
              <w:t>00</w:t>
            </w:r>
          </w:p>
        </w:tc>
        <w:tc>
          <w:tcPr>
            <w:tcW w:w="1374" w:type="dxa"/>
          </w:tcPr>
          <w:p w14:paraId="432C392E" w14:textId="0F72B022" w:rsidR="00022A78" w:rsidRPr="00CA5AB8" w:rsidRDefault="005036C8" w:rsidP="00022A78">
            <w:pPr>
              <w:pStyle w:val="Tablebodytextnospaceafter"/>
              <w:jc w:val="right"/>
              <w:rPr>
                <w:rStyle w:val="Emphasis"/>
              </w:rPr>
            </w:pPr>
            <w:r>
              <w:rPr>
                <w:rStyle w:val="Emphasis"/>
              </w:rPr>
              <w:t>6,930</w:t>
            </w:r>
          </w:p>
        </w:tc>
        <w:tc>
          <w:tcPr>
            <w:tcW w:w="1374" w:type="dxa"/>
          </w:tcPr>
          <w:p w14:paraId="129A6158" w14:textId="77777777" w:rsidR="00022A78" w:rsidRPr="00F83D9A" w:rsidRDefault="00022A78" w:rsidP="00022A78">
            <w:pPr>
              <w:pStyle w:val="Tablebodytextnospaceafter"/>
              <w:jc w:val="right"/>
              <w:rPr>
                <w:rStyle w:val="Emphasis"/>
                <w:b w:val="0"/>
                <w:bCs w:val="0"/>
              </w:rPr>
            </w:pPr>
            <w:r w:rsidRPr="00F83D9A">
              <w:rPr>
                <w:rStyle w:val="Emphasis"/>
                <w:b w:val="0"/>
                <w:bCs w:val="0"/>
              </w:rPr>
              <w:t>4,935</w:t>
            </w:r>
          </w:p>
        </w:tc>
      </w:tr>
      <w:tr w:rsidR="00022A78" w:rsidRPr="00CA5AB8" w14:paraId="0A597B7C"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D3D3D3"/>
          </w:tcPr>
          <w:p w14:paraId="42C4DC26" w14:textId="77777777" w:rsidR="00022A78" w:rsidRPr="00CA5AB8" w:rsidRDefault="00022A78" w:rsidP="00022A78">
            <w:pPr>
              <w:pStyle w:val="Tablebodytextnospaceafter"/>
              <w:rPr>
                <w:rStyle w:val="Emphasis"/>
              </w:rPr>
            </w:pPr>
            <w:r>
              <w:rPr>
                <w:rStyle w:val="Emphasis"/>
              </w:rPr>
              <w:t>Proactive measures</w:t>
            </w:r>
          </w:p>
        </w:tc>
        <w:tc>
          <w:tcPr>
            <w:tcW w:w="1373" w:type="dxa"/>
            <w:shd w:val="clear" w:color="auto" w:fill="D3D3D3"/>
          </w:tcPr>
          <w:p w14:paraId="153E8416" w14:textId="77777777" w:rsidR="00022A78" w:rsidRPr="00CA5AB8" w:rsidRDefault="00022A78" w:rsidP="00022A78">
            <w:pPr>
              <w:pStyle w:val="Tablebodytextnospaceafter"/>
              <w:rPr>
                <w:rStyle w:val="Emphasis"/>
              </w:rPr>
            </w:pPr>
          </w:p>
        </w:tc>
        <w:tc>
          <w:tcPr>
            <w:tcW w:w="1374" w:type="dxa"/>
            <w:shd w:val="clear" w:color="auto" w:fill="D3D3D3"/>
          </w:tcPr>
          <w:p w14:paraId="1A5DF126" w14:textId="77777777" w:rsidR="00022A78" w:rsidRPr="00CA5AB8" w:rsidRDefault="00022A78" w:rsidP="00022A78">
            <w:pPr>
              <w:pStyle w:val="Tablebodytextnospaceafter"/>
              <w:rPr>
                <w:rStyle w:val="Emphasis"/>
              </w:rPr>
            </w:pPr>
          </w:p>
        </w:tc>
        <w:tc>
          <w:tcPr>
            <w:tcW w:w="1374" w:type="dxa"/>
            <w:shd w:val="clear" w:color="auto" w:fill="D3D3D3"/>
          </w:tcPr>
          <w:p w14:paraId="20F8F847" w14:textId="77777777" w:rsidR="00022A78" w:rsidRPr="00F83D9A" w:rsidRDefault="00022A78" w:rsidP="00022A78">
            <w:pPr>
              <w:pStyle w:val="Tablebodytextnospaceafter"/>
              <w:rPr>
                <w:rStyle w:val="Emphasis"/>
                <w:b w:val="0"/>
                <w:bCs w:val="0"/>
              </w:rPr>
            </w:pPr>
          </w:p>
        </w:tc>
      </w:tr>
      <w:tr w:rsidR="00022A78" w:rsidRPr="00CA5AB8" w14:paraId="6DD91765"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020C0EE8" w14:textId="77777777" w:rsidR="00022A78" w:rsidRPr="00CA5AB8" w:rsidRDefault="00022A78" w:rsidP="00022A78">
            <w:pPr>
              <w:pStyle w:val="Tablebodytextnospaceafter"/>
            </w:pPr>
            <w:r>
              <w:t>% net clearance rate</w:t>
            </w:r>
            <w:r>
              <w:rPr>
                <w:rStyle w:val="FootnoteReference"/>
              </w:rPr>
              <w:footnoteReference w:id="51"/>
            </w:r>
            <w:r>
              <w:t xml:space="preserve"> of complaints</w:t>
            </w:r>
          </w:p>
        </w:tc>
        <w:tc>
          <w:tcPr>
            <w:tcW w:w="1373" w:type="dxa"/>
          </w:tcPr>
          <w:p w14:paraId="23A48751" w14:textId="20E6D656" w:rsidR="00022A78" w:rsidRPr="00DD026E" w:rsidRDefault="00022A78" w:rsidP="00022A78">
            <w:pPr>
              <w:pStyle w:val="Tablebodytextnospaceafter"/>
              <w:jc w:val="right"/>
            </w:pPr>
            <w:r w:rsidRPr="00DD026E">
              <w:t>10</w:t>
            </w:r>
            <w:r w:rsidR="004E034B">
              <w:t>2</w:t>
            </w:r>
          </w:p>
        </w:tc>
        <w:tc>
          <w:tcPr>
            <w:tcW w:w="1374" w:type="dxa"/>
          </w:tcPr>
          <w:p w14:paraId="79E7E845" w14:textId="2F37FFDF" w:rsidR="00022A78" w:rsidRPr="00CA5AB8" w:rsidRDefault="005036C8" w:rsidP="00022A78">
            <w:pPr>
              <w:pStyle w:val="Tablebodytextnospaceafter"/>
              <w:jc w:val="right"/>
              <w:rPr>
                <w:rStyle w:val="Emphasis"/>
              </w:rPr>
            </w:pPr>
            <w:r>
              <w:rPr>
                <w:rStyle w:val="Emphasis"/>
              </w:rPr>
              <w:t>109</w:t>
            </w:r>
          </w:p>
        </w:tc>
        <w:tc>
          <w:tcPr>
            <w:tcW w:w="1374" w:type="dxa"/>
          </w:tcPr>
          <w:p w14:paraId="50C69899" w14:textId="21363B26" w:rsidR="00022A78" w:rsidRPr="00F83D9A" w:rsidRDefault="00022A78" w:rsidP="00022A78">
            <w:pPr>
              <w:pStyle w:val="Tablebodytextnospaceafter"/>
              <w:jc w:val="right"/>
              <w:rPr>
                <w:rStyle w:val="Emphasis"/>
                <w:b w:val="0"/>
                <w:bCs w:val="0"/>
              </w:rPr>
            </w:pPr>
            <w:r w:rsidRPr="00F83D9A">
              <w:rPr>
                <w:rStyle w:val="Emphasis"/>
                <w:b w:val="0"/>
                <w:bCs w:val="0"/>
              </w:rPr>
              <w:t>104</w:t>
            </w:r>
          </w:p>
        </w:tc>
      </w:tr>
      <w:tr w:rsidR="00022A78" w:rsidRPr="00CA5AB8" w14:paraId="78A7FE74"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3C637A86" w14:textId="77777777" w:rsidR="00022A78" w:rsidRPr="00CA5AB8" w:rsidRDefault="00022A78" w:rsidP="00022A78">
            <w:pPr>
              <w:pStyle w:val="Tablebodytextnospaceafter"/>
            </w:pPr>
            <w:r>
              <w:t>% net clearance rate of other contacts</w:t>
            </w:r>
          </w:p>
        </w:tc>
        <w:tc>
          <w:tcPr>
            <w:tcW w:w="1373" w:type="dxa"/>
          </w:tcPr>
          <w:p w14:paraId="4F6031D5" w14:textId="52B972B0" w:rsidR="00022A78" w:rsidRPr="00CA5AB8" w:rsidRDefault="00022A78" w:rsidP="00022A78">
            <w:pPr>
              <w:pStyle w:val="Tablebodytextnospaceafter"/>
              <w:jc w:val="right"/>
              <w:rPr>
                <w:color w:val="auto"/>
              </w:rPr>
            </w:pPr>
            <w:r>
              <w:rPr>
                <w:color w:val="auto"/>
              </w:rPr>
              <w:t>100</w:t>
            </w:r>
          </w:p>
        </w:tc>
        <w:tc>
          <w:tcPr>
            <w:tcW w:w="1374" w:type="dxa"/>
          </w:tcPr>
          <w:p w14:paraId="38649956" w14:textId="7A407FB9" w:rsidR="00022A78" w:rsidRPr="00CA5AB8" w:rsidRDefault="005036C8" w:rsidP="00022A78">
            <w:pPr>
              <w:pStyle w:val="Tablebodytextnospaceafter"/>
              <w:jc w:val="right"/>
              <w:rPr>
                <w:rStyle w:val="Emphasis"/>
              </w:rPr>
            </w:pPr>
            <w:r>
              <w:rPr>
                <w:rStyle w:val="Emphasis"/>
              </w:rPr>
              <w:t>100</w:t>
            </w:r>
          </w:p>
        </w:tc>
        <w:tc>
          <w:tcPr>
            <w:tcW w:w="1374" w:type="dxa"/>
          </w:tcPr>
          <w:p w14:paraId="065B53BC" w14:textId="3887DA93" w:rsidR="00022A78" w:rsidRPr="00F83D9A" w:rsidRDefault="00022A78" w:rsidP="00022A78">
            <w:pPr>
              <w:pStyle w:val="Tablebodytextnospaceafter"/>
              <w:jc w:val="right"/>
              <w:rPr>
                <w:rStyle w:val="Emphasis"/>
                <w:b w:val="0"/>
                <w:bCs w:val="0"/>
              </w:rPr>
            </w:pPr>
            <w:r w:rsidRPr="00F83D9A">
              <w:rPr>
                <w:rStyle w:val="Emphasis"/>
                <w:b w:val="0"/>
                <w:bCs w:val="0"/>
              </w:rPr>
              <w:t>100</w:t>
            </w:r>
          </w:p>
        </w:tc>
      </w:tr>
      <w:tr w:rsidR="00022A78" w:rsidRPr="00CA5AB8" w14:paraId="756CEFE5"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5FD999F5" w14:textId="451BB81B" w:rsidR="00022A78" w:rsidRPr="00CA5AB8" w:rsidRDefault="00022A78" w:rsidP="00022A78">
            <w:pPr>
              <w:pStyle w:val="Tablebodytextnospaceafter"/>
              <w:rPr>
                <w:color w:val="auto"/>
              </w:rPr>
            </w:pPr>
            <w:r>
              <w:t xml:space="preserve">% of complaints completed within 3 months of receipt </w:t>
            </w:r>
          </w:p>
        </w:tc>
        <w:tc>
          <w:tcPr>
            <w:tcW w:w="1373" w:type="dxa"/>
          </w:tcPr>
          <w:p w14:paraId="39F4228C" w14:textId="2F71B4C9" w:rsidR="00022A78" w:rsidRPr="00CA5AB8" w:rsidRDefault="00022A78" w:rsidP="00022A78">
            <w:pPr>
              <w:pStyle w:val="Tablebodytextnospaceafter"/>
              <w:jc w:val="right"/>
              <w:rPr>
                <w:color w:val="auto"/>
              </w:rPr>
            </w:pPr>
            <w:r>
              <w:rPr>
                <w:color w:val="auto"/>
              </w:rPr>
              <w:t>70</w:t>
            </w:r>
          </w:p>
        </w:tc>
        <w:tc>
          <w:tcPr>
            <w:tcW w:w="1374" w:type="dxa"/>
          </w:tcPr>
          <w:p w14:paraId="65DE26D4" w14:textId="5EB3661A" w:rsidR="00022A78" w:rsidRPr="00CA5AB8" w:rsidRDefault="005036C8" w:rsidP="00022A78">
            <w:pPr>
              <w:pStyle w:val="Tablebodytextnospaceafter"/>
              <w:jc w:val="right"/>
              <w:rPr>
                <w:rStyle w:val="Emphasis"/>
              </w:rPr>
            </w:pPr>
            <w:r>
              <w:rPr>
                <w:rStyle w:val="Emphasis"/>
              </w:rPr>
              <w:t>71</w:t>
            </w:r>
          </w:p>
        </w:tc>
        <w:tc>
          <w:tcPr>
            <w:tcW w:w="1374" w:type="dxa"/>
          </w:tcPr>
          <w:p w14:paraId="16848848" w14:textId="4ED914F7" w:rsidR="00022A78" w:rsidRPr="00F83D9A" w:rsidRDefault="00022A78" w:rsidP="00022A78">
            <w:pPr>
              <w:pStyle w:val="Tablebodytextnospaceafter"/>
              <w:jc w:val="right"/>
              <w:rPr>
                <w:rStyle w:val="Emphasis"/>
                <w:b w:val="0"/>
                <w:bCs w:val="0"/>
              </w:rPr>
            </w:pPr>
            <w:r w:rsidRPr="00F83D9A">
              <w:rPr>
                <w:rStyle w:val="Emphasis"/>
                <w:b w:val="0"/>
                <w:bCs w:val="0"/>
              </w:rPr>
              <w:t>56</w:t>
            </w:r>
          </w:p>
        </w:tc>
      </w:tr>
      <w:tr w:rsidR="00022A78" w:rsidRPr="00CA5AB8" w14:paraId="723AEC20"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6F3C17CE" w14:textId="5372C5E4" w:rsidR="00022A78" w:rsidRPr="00CA5AB8" w:rsidRDefault="00022A78" w:rsidP="00022A78">
            <w:pPr>
              <w:pStyle w:val="Tablebodytextnospaceafter"/>
            </w:pPr>
            <w:r>
              <w:t>% of complaints completed within 6 months</w:t>
            </w:r>
            <w:r>
              <w:rPr>
                <w:rStyle w:val="FootnoteReference"/>
              </w:rPr>
              <w:t xml:space="preserve"> </w:t>
            </w:r>
            <w:r>
              <w:t xml:space="preserve">of receipt </w:t>
            </w:r>
          </w:p>
        </w:tc>
        <w:tc>
          <w:tcPr>
            <w:tcW w:w="1373" w:type="dxa"/>
          </w:tcPr>
          <w:p w14:paraId="6F6A1E2A" w14:textId="38315D9C" w:rsidR="00022A78" w:rsidRPr="00CA5AB8" w:rsidRDefault="00022A78" w:rsidP="00022A78">
            <w:pPr>
              <w:pStyle w:val="Tablebodytextnospaceafter"/>
              <w:jc w:val="right"/>
            </w:pPr>
            <w:r>
              <w:t>80</w:t>
            </w:r>
          </w:p>
        </w:tc>
        <w:tc>
          <w:tcPr>
            <w:tcW w:w="1374" w:type="dxa"/>
          </w:tcPr>
          <w:p w14:paraId="5514137D" w14:textId="54CCCE63" w:rsidR="00022A78" w:rsidRPr="00CA5AB8" w:rsidRDefault="005036C8" w:rsidP="00022A78">
            <w:pPr>
              <w:pStyle w:val="Tablebodytextnospaceafter"/>
              <w:jc w:val="right"/>
              <w:rPr>
                <w:rStyle w:val="Emphasis"/>
              </w:rPr>
            </w:pPr>
            <w:r>
              <w:rPr>
                <w:rStyle w:val="Emphasis"/>
              </w:rPr>
              <w:t>82</w:t>
            </w:r>
          </w:p>
        </w:tc>
        <w:tc>
          <w:tcPr>
            <w:tcW w:w="1374" w:type="dxa"/>
          </w:tcPr>
          <w:p w14:paraId="7E3C8157" w14:textId="79062038" w:rsidR="00022A78" w:rsidRPr="00F83D9A" w:rsidRDefault="00022A78" w:rsidP="00022A78">
            <w:pPr>
              <w:pStyle w:val="Tablebodytextnospaceafter"/>
              <w:jc w:val="right"/>
              <w:rPr>
                <w:rStyle w:val="Emphasis"/>
                <w:b w:val="0"/>
                <w:bCs w:val="0"/>
              </w:rPr>
            </w:pPr>
            <w:r w:rsidRPr="00F83D9A">
              <w:rPr>
                <w:rStyle w:val="Emphasis"/>
                <w:b w:val="0"/>
                <w:bCs w:val="0"/>
              </w:rPr>
              <w:t>71</w:t>
            </w:r>
          </w:p>
        </w:tc>
      </w:tr>
      <w:tr w:rsidR="00022A78" w:rsidRPr="00CA5AB8" w14:paraId="740033F0"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59817BD6" w14:textId="751E8CBF" w:rsidR="00022A78" w:rsidRPr="00CA5AB8" w:rsidRDefault="00022A78" w:rsidP="00022A78">
            <w:pPr>
              <w:pStyle w:val="Tablebodytextnospaceafter"/>
            </w:pPr>
            <w:r>
              <w:t>% of complaints completed within 12 months</w:t>
            </w:r>
            <w:r>
              <w:rPr>
                <w:rStyle w:val="FootnoteReference"/>
              </w:rPr>
              <w:t xml:space="preserve"> </w:t>
            </w:r>
            <w:r>
              <w:t xml:space="preserve">of receipt </w:t>
            </w:r>
          </w:p>
        </w:tc>
        <w:tc>
          <w:tcPr>
            <w:tcW w:w="1373" w:type="dxa"/>
          </w:tcPr>
          <w:p w14:paraId="5778B674" w14:textId="58E0F44D" w:rsidR="00022A78" w:rsidRPr="00CA5AB8" w:rsidRDefault="00022A78" w:rsidP="00022A78">
            <w:pPr>
              <w:pStyle w:val="Tablebodytextnospaceafter"/>
              <w:jc w:val="right"/>
            </w:pPr>
            <w:r>
              <w:t>95</w:t>
            </w:r>
          </w:p>
        </w:tc>
        <w:tc>
          <w:tcPr>
            <w:tcW w:w="1374" w:type="dxa"/>
          </w:tcPr>
          <w:p w14:paraId="4CFC67B1" w14:textId="0D204A1A" w:rsidR="00022A78" w:rsidRPr="00CA5AB8" w:rsidRDefault="005036C8" w:rsidP="00022A78">
            <w:pPr>
              <w:pStyle w:val="Tablebodytextnospaceafter"/>
              <w:jc w:val="right"/>
              <w:rPr>
                <w:rStyle w:val="Emphasis"/>
              </w:rPr>
            </w:pPr>
            <w:r>
              <w:rPr>
                <w:rStyle w:val="Emphasis"/>
              </w:rPr>
              <w:t>89</w:t>
            </w:r>
          </w:p>
        </w:tc>
        <w:tc>
          <w:tcPr>
            <w:tcW w:w="1374" w:type="dxa"/>
          </w:tcPr>
          <w:p w14:paraId="0A22CC31" w14:textId="7B0EF209" w:rsidR="00022A78" w:rsidRPr="00F83D9A" w:rsidRDefault="00022A78" w:rsidP="00022A78">
            <w:pPr>
              <w:pStyle w:val="Tablebodytextnospaceafter"/>
              <w:jc w:val="right"/>
              <w:rPr>
                <w:rStyle w:val="Emphasis"/>
                <w:b w:val="0"/>
                <w:bCs w:val="0"/>
              </w:rPr>
            </w:pPr>
            <w:r w:rsidRPr="00F83D9A">
              <w:rPr>
                <w:rStyle w:val="Emphasis"/>
                <w:b w:val="0"/>
                <w:bCs w:val="0"/>
              </w:rPr>
              <w:t>82</w:t>
            </w:r>
          </w:p>
        </w:tc>
      </w:tr>
      <w:tr w:rsidR="00022A78" w:rsidRPr="00CA5AB8" w14:paraId="6668F120" w14:textId="77777777" w:rsidTr="0097717D">
        <w:trPr>
          <w:cnfStyle w:val="000000010000" w:firstRow="0" w:lastRow="0" w:firstColumn="0" w:lastColumn="0" w:oddVBand="0" w:evenVBand="0" w:oddHBand="0" w:evenHBand="1" w:firstRowFirstColumn="0" w:firstRowLastColumn="0" w:lastRowFirstColumn="0" w:lastRowLastColumn="0"/>
          <w:trHeight w:val="367"/>
        </w:trPr>
        <w:tc>
          <w:tcPr>
            <w:tcW w:w="5127" w:type="dxa"/>
          </w:tcPr>
          <w:p w14:paraId="46D56A9C" w14:textId="300A822F" w:rsidR="00022A78" w:rsidRPr="00CA5AB8" w:rsidRDefault="00022A78" w:rsidP="00022A78">
            <w:pPr>
              <w:pStyle w:val="Tablebodytextnospaceafter"/>
              <w:rPr>
                <w:sz w:val="20"/>
                <w:szCs w:val="20"/>
              </w:rPr>
            </w:pPr>
            <w:r>
              <w:t>% of other contacts completed within 1 month</w:t>
            </w:r>
            <w:r>
              <w:rPr>
                <w:rStyle w:val="FootnoteReference"/>
              </w:rPr>
              <w:t xml:space="preserve"> </w:t>
            </w:r>
            <w:r>
              <w:t xml:space="preserve">from date of receipt </w:t>
            </w:r>
          </w:p>
        </w:tc>
        <w:tc>
          <w:tcPr>
            <w:tcW w:w="1373" w:type="dxa"/>
          </w:tcPr>
          <w:p w14:paraId="0467B639" w14:textId="49090484" w:rsidR="00022A78" w:rsidRPr="00CA5AB8" w:rsidRDefault="00022A78" w:rsidP="00022A78">
            <w:pPr>
              <w:pStyle w:val="Tablebodytextnospaceafter"/>
              <w:jc w:val="right"/>
            </w:pPr>
            <w:r>
              <w:t>99</w:t>
            </w:r>
          </w:p>
        </w:tc>
        <w:tc>
          <w:tcPr>
            <w:tcW w:w="1374" w:type="dxa"/>
          </w:tcPr>
          <w:p w14:paraId="19C64A21" w14:textId="3305B3AB" w:rsidR="00022A78" w:rsidRPr="00CA5AB8" w:rsidRDefault="005036C8" w:rsidP="00022A78">
            <w:pPr>
              <w:pStyle w:val="Tablebodytextnospaceafter"/>
              <w:jc w:val="right"/>
              <w:rPr>
                <w:rStyle w:val="Emphasis"/>
              </w:rPr>
            </w:pPr>
            <w:r>
              <w:rPr>
                <w:rStyle w:val="Emphasis"/>
              </w:rPr>
              <w:t>100</w:t>
            </w:r>
          </w:p>
        </w:tc>
        <w:tc>
          <w:tcPr>
            <w:tcW w:w="1374" w:type="dxa"/>
          </w:tcPr>
          <w:p w14:paraId="671687E9" w14:textId="0768407A" w:rsidR="00022A78" w:rsidRPr="00F83D9A" w:rsidRDefault="00022A78" w:rsidP="00022A78">
            <w:pPr>
              <w:pStyle w:val="Tablebodytextnospaceafter"/>
              <w:jc w:val="right"/>
              <w:rPr>
                <w:rStyle w:val="Emphasis"/>
                <w:b w:val="0"/>
                <w:bCs w:val="0"/>
              </w:rPr>
            </w:pPr>
            <w:r w:rsidRPr="00F83D9A">
              <w:rPr>
                <w:rStyle w:val="Emphasis"/>
                <w:b w:val="0"/>
                <w:bCs w:val="0"/>
              </w:rPr>
              <w:t>96</w:t>
            </w:r>
          </w:p>
        </w:tc>
      </w:tr>
      <w:tr w:rsidR="00022A78" w:rsidRPr="00CA5AB8" w14:paraId="226673CC"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62F73FA6" w14:textId="77777777" w:rsidR="00022A78" w:rsidRPr="00CA5AB8" w:rsidRDefault="00022A78" w:rsidP="00022A78">
            <w:pPr>
              <w:pStyle w:val="Tablebodytextnospaceafter"/>
            </w:pPr>
            <w:r>
              <w:t>% of complaints resolved prior to formal opinion</w:t>
            </w:r>
            <w:r>
              <w:rPr>
                <w:rStyle w:val="FootnoteReference"/>
              </w:rPr>
              <w:footnoteReference w:id="52"/>
            </w:r>
            <w:r>
              <w:rPr>
                <w:rStyle w:val="FootnoteReference"/>
              </w:rPr>
              <w:t xml:space="preserve"> </w:t>
            </w:r>
          </w:p>
        </w:tc>
        <w:tc>
          <w:tcPr>
            <w:tcW w:w="1373" w:type="dxa"/>
          </w:tcPr>
          <w:p w14:paraId="4251BA24" w14:textId="79FF0DEC" w:rsidR="00022A78" w:rsidRPr="00CA5AB8" w:rsidRDefault="00022A78" w:rsidP="00022A78">
            <w:pPr>
              <w:pStyle w:val="Tablebodytextnospaceafter"/>
              <w:jc w:val="right"/>
            </w:pPr>
            <w:r>
              <w:t>40</w:t>
            </w:r>
          </w:p>
        </w:tc>
        <w:tc>
          <w:tcPr>
            <w:tcW w:w="1374" w:type="dxa"/>
          </w:tcPr>
          <w:p w14:paraId="545ED410" w14:textId="7C6F5551" w:rsidR="00022A78" w:rsidRPr="00CA5AB8" w:rsidRDefault="005036C8" w:rsidP="00022A78">
            <w:pPr>
              <w:pStyle w:val="Tablebodytextnospaceafter"/>
              <w:jc w:val="right"/>
              <w:rPr>
                <w:rStyle w:val="Emphasis"/>
              </w:rPr>
            </w:pPr>
            <w:r>
              <w:rPr>
                <w:rStyle w:val="Emphasis"/>
              </w:rPr>
              <w:t>48</w:t>
            </w:r>
          </w:p>
        </w:tc>
        <w:tc>
          <w:tcPr>
            <w:tcW w:w="1374" w:type="dxa"/>
          </w:tcPr>
          <w:p w14:paraId="54FA539C" w14:textId="457E4FE0" w:rsidR="00022A78" w:rsidRPr="00F83D9A" w:rsidRDefault="00022A78" w:rsidP="00022A78">
            <w:pPr>
              <w:pStyle w:val="Tablebodytextnospaceafter"/>
              <w:jc w:val="right"/>
              <w:rPr>
                <w:rStyle w:val="Emphasis"/>
                <w:b w:val="0"/>
                <w:bCs w:val="0"/>
              </w:rPr>
            </w:pPr>
            <w:r w:rsidRPr="00F83D9A">
              <w:rPr>
                <w:rStyle w:val="Emphasis"/>
                <w:b w:val="0"/>
                <w:bCs w:val="0"/>
              </w:rPr>
              <w:t>34</w:t>
            </w:r>
          </w:p>
        </w:tc>
      </w:tr>
      <w:tr w:rsidR="00022A78" w:rsidRPr="00CA5AB8" w14:paraId="71423473"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4F7510B5" w14:textId="77777777" w:rsidR="00022A78" w:rsidRPr="00CA5AB8" w:rsidRDefault="00022A78" w:rsidP="00022A78">
            <w:pPr>
              <w:pStyle w:val="Tablebodytextnospaceafter"/>
            </w:pPr>
            <w:r>
              <w:t>% of complainants satisfied with our service</w:t>
            </w:r>
            <w:r>
              <w:rPr>
                <w:rStyle w:val="FootnoteReference"/>
              </w:rPr>
              <w:footnoteReference w:id="53"/>
            </w:r>
          </w:p>
        </w:tc>
        <w:tc>
          <w:tcPr>
            <w:tcW w:w="1373" w:type="dxa"/>
          </w:tcPr>
          <w:p w14:paraId="590EC10D" w14:textId="48C60BFF" w:rsidR="00022A78" w:rsidRPr="00CA5AB8" w:rsidRDefault="00022A78" w:rsidP="00022A78">
            <w:pPr>
              <w:pStyle w:val="Tablebodytextnospaceafter"/>
              <w:jc w:val="right"/>
            </w:pPr>
            <w:r>
              <w:t>50</w:t>
            </w:r>
          </w:p>
        </w:tc>
        <w:tc>
          <w:tcPr>
            <w:tcW w:w="1374" w:type="dxa"/>
          </w:tcPr>
          <w:p w14:paraId="2610ECA3" w14:textId="7D6CF433" w:rsidR="00022A78" w:rsidRPr="00CA5AB8" w:rsidRDefault="005036C8" w:rsidP="00022A78">
            <w:pPr>
              <w:pStyle w:val="Tablebodytextnospaceafter"/>
              <w:jc w:val="right"/>
              <w:rPr>
                <w:rStyle w:val="Emphasis"/>
              </w:rPr>
            </w:pPr>
            <w:r>
              <w:rPr>
                <w:rStyle w:val="Emphasis"/>
              </w:rPr>
              <w:t>32</w:t>
            </w:r>
          </w:p>
        </w:tc>
        <w:tc>
          <w:tcPr>
            <w:tcW w:w="1374" w:type="dxa"/>
          </w:tcPr>
          <w:p w14:paraId="7252E5AE" w14:textId="19CB3020" w:rsidR="00022A78" w:rsidRPr="00F83D9A" w:rsidRDefault="00022A78" w:rsidP="00022A78">
            <w:pPr>
              <w:pStyle w:val="Tablebodytextnospaceafter"/>
              <w:jc w:val="right"/>
              <w:rPr>
                <w:rStyle w:val="Emphasis"/>
                <w:b w:val="0"/>
                <w:bCs w:val="0"/>
              </w:rPr>
            </w:pPr>
            <w:r w:rsidRPr="00F83D9A">
              <w:rPr>
                <w:rStyle w:val="Emphasis"/>
                <w:b w:val="0"/>
                <w:bCs w:val="0"/>
              </w:rPr>
              <w:t>36</w:t>
            </w:r>
          </w:p>
        </w:tc>
      </w:tr>
      <w:tr w:rsidR="00022A78" w:rsidRPr="00CA5AB8" w14:paraId="1F777702"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13E323E1" w14:textId="45B93B64" w:rsidR="00022A78" w:rsidRPr="00CA5AB8" w:rsidRDefault="00022A78" w:rsidP="00022A78">
            <w:pPr>
              <w:pStyle w:val="Tablebodytextnospaceafter"/>
            </w:pPr>
            <w:r>
              <w:t>% of completed complaints and other contacts meeting internal quality standards, following random quality assurance check</w:t>
            </w:r>
            <w:r>
              <w:rPr>
                <w:rStyle w:val="FootnoteReference"/>
              </w:rPr>
              <w:footnoteReference w:id="54"/>
            </w:r>
          </w:p>
        </w:tc>
        <w:tc>
          <w:tcPr>
            <w:tcW w:w="1373" w:type="dxa"/>
          </w:tcPr>
          <w:p w14:paraId="0BE42B35" w14:textId="70C719D0" w:rsidR="00022A78" w:rsidRPr="00CA5AB8" w:rsidRDefault="00022A78" w:rsidP="00022A78">
            <w:pPr>
              <w:pStyle w:val="Tablebodytextnospaceafter"/>
              <w:jc w:val="right"/>
            </w:pPr>
            <w:r>
              <w:t>85</w:t>
            </w:r>
          </w:p>
        </w:tc>
        <w:tc>
          <w:tcPr>
            <w:tcW w:w="1374" w:type="dxa"/>
          </w:tcPr>
          <w:p w14:paraId="4B5A5A22" w14:textId="4D04F335" w:rsidR="00022A78" w:rsidRPr="00CA5AB8" w:rsidRDefault="005036C8" w:rsidP="00022A78">
            <w:pPr>
              <w:pStyle w:val="Tablebodytextnospaceafter"/>
              <w:jc w:val="right"/>
              <w:rPr>
                <w:rStyle w:val="Emphasis"/>
              </w:rPr>
            </w:pPr>
            <w:r>
              <w:rPr>
                <w:rStyle w:val="Emphasis"/>
              </w:rPr>
              <w:t>9</w:t>
            </w:r>
            <w:r w:rsidR="004A166E">
              <w:rPr>
                <w:rStyle w:val="Emphasis"/>
              </w:rPr>
              <w:t>0</w:t>
            </w:r>
          </w:p>
        </w:tc>
        <w:tc>
          <w:tcPr>
            <w:tcW w:w="1374" w:type="dxa"/>
          </w:tcPr>
          <w:p w14:paraId="6440A7EF" w14:textId="2301F6BF" w:rsidR="00022A78" w:rsidRPr="00F83D9A" w:rsidRDefault="00022A78" w:rsidP="00022A78">
            <w:pPr>
              <w:pStyle w:val="Tablebodytextnospaceafter"/>
              <w:jc w:val="right"/>
              <w:rPr>
                <w:rStyle w:val="Emphasis"/>
                <w:b w:val="0"/>
                <w:bCs w:val="0"/>
              </w:rPr>
            </w:pPr>
            <w:r w:rsidRPr="00F83D9A">
              <w:rPr>
                <w:rStyle w:val="Emphasis"/>
                <w:b w:val="0"/>
                <w:bCs w:val="0"/>
              </w:rPr>
              <w:t>81</w:t>
            </w:r>
          </w:p>
        </w:tc>
      </w:tr>
      <w:tr w:rsidR="00022A78" w:rsidRPr="00CA5AB8" w14:paraId="5F0D68C1"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451D52E1" w14:textId="482FBA22" w:rsidR="00022A78" w:rsidRPr="00CA5AB8" w:rsidRDefault="00022A78" w:rsidP="00022A78">
            <w:pPr>
              <w:pStyle w:val="Tablebodytextnospaceafter"/>
            </w:pPr>
            <w:r>
              <w:t xml:space="preserve"># of </w:t>
            </w:r>
            <w:r w:rsidR="00901FC6">
              <w:t xml:space="preserve">self- initiated </w:t>
            </w:r>
            <w:r>
              <w:t xml:space="preserve">official information practice </w:t>
            </w:r>
            <w:r w:rsidR="00901FC6">
              <w:t>interventions</w:t>
            </w:r>
            <w:r>
              <w:t xml:space="preserve"> completed</w:t>
            </w:r>
            <w:r w:rsidR="00901FC6">
              <w:t xml:space="preserve"> </w:t>
            </w:r>
            <w:r w:rsidR="00CB2FF9">
              <w:t>*</w:t>
            </w:r>
          </w:p>
        </w:tc>
        <w:tc>
          <w:tcPr>
            <w:tcW w:w="1373" w:type="dxa"/>
          </w:tcPr>
          <w:p w14:paraId="110162B3" w14:textId="77777777" w:rsidR="00022A78" w:rsidRPr="00CA5AB8" w:rsidRDefault="00022A78" w:rsidP="00022A78">
            <w:pPr>
              <w:pStyle w:val="Tablebodytextnospaceafter"/>
              <w:jc w:val="right"/>
            </w:pPr>
            <w:r>
              <w:t>5–8</w:t>
            </w:r>
          </w:p>
        </w:tc>
        <w:tc>
          <w:tcPr>
            <w:tcW w:w="1374" w:type="dxa"/>
          </w:tcPr>
          <w:p w14:paraId="7D342226" w14:textId="2CC5113C" w:rsidR="00022A78" w:rsidRPr="00CA5AB8" w:rsidRDefault="005036C8" w:rsidP="00022A78">
            <w:pPr>
              <w:pStyle w:val="Tablebodytextnospaceafter"/>
              <w:jc w:val="right"/>
              <w:rPr>
                <w:rStyle w:val="Emphasis"/>
              </w:rPr>
            </w:pPr>
            <w:r>
              <w:rPr>
                <w:rStyle w:val="Emphasis"/>
              </w:rPr>
              <w:t>5</w:t>
            </w:r>
          </w:p>
        </w:tc>
        <w:tc>
          <w:tcPr>
            <w:tcW w:w="1374" w:type="dxa"/>
          </w:tcPr>
          <w:p w14:paraId="540F03B0" w14:textId="77777777" w:rsidR="00022A78" w:rsidRPr="00F83D9A" w:rsidRDefault="00022A78" w:rsidP="00022A78">
            <w:pPr>
              <w:pStyle w:val="Tablebodytextnospaceafter"/>
              <w:jc w:val="right"/>
              <w:rPr>
                <w:rStyle w:val="Emphasis"/>
                <w:b w:val="0"/>
                <w:bCs w:val="0"/>
              </w:rPr>
            </w:pPr>
            <w:r w:rsidRPr="00F83D9A">
              <w:rPr>
                <w:rStyle w:val="Emphasis"/>
                <w:b w:val="0"/>
                <w:bCs w:val="0"/>
              </w:rPr>
              <w:t>12</w:t>
            </w:r>
            <w:r w:rsidRPr="00F83D9A">
              <w:rPr>
                <w:rStyle w:val="FootnoteReference"/>
                <w:b/>
                <w:bCs/>
                <w:iCs/>
              </w:rPr>
              <w:footnoteReference w:id="55"/>
            </w:r>
          </w:p>
        </w:tc>
      </w:tr>
      <w:tr w:rsidR="00022A78" w:rsidRPr="00CA5AB8" w14:paraId="1217834D"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20788A95" w14:textId="77777777" w:rsidR="00022A78" w:rsidRPr="00CA5AB8" w:rsidRDefault="00022A78" w:rsidP="00022A78">
            <w:pPr>
              <w:pStyle w:val="Tablebodytextnospaceafter"/>
            </w:pPr>
            <w:r>
              <w:t># of self-initiated interventions for systemic improvement completed</w:t>
            </w:r>
          </w:p>
        </w:tc>
        <w:tc>
          <w:tcPr>
            <w:tcW w:w="1373" w:type="dxa"/>
          </w:tcPr>
          <w:p w14:paraId="4B694122" w14:textId="77777777" w:rsidR="00022A78" w:rsidRPr="00CA5AB8" w:rsidRDefault="00022A78" w:rsidP="00022A78">
            <w:pPr>
              <w:pStyle w:val="Tablebodytextnospaceafter"/>
              <w:jc w:val="right"/>
            </w:pPr>
            <w:r>
              <w:t>2–5</w:t>
            </w:r>
          </w:p>
        </w:tc>
        <w:tc>
          <w:tcPr>
            <w:tcW w:w="1374" w:type="dxa"/>
          </w:tcPr>
          <w:p w14:paraId="1FF48860" w14:textId="562E9505" w:rsidR="00022A78" w:rsidRPr="00CA5AB8" w:rsidRDefault="007D30FF" w:rsidP="00022A78">
            <w:pPr>
              <w:pStyle w:val="Tablebodytextnospaceafter"/>
              <w:jc w:val="right"/>
              <w:rPr>
                <w:rStyle w:val="Emphasis"/>
              </w:rPr>
            </w:pPr>
            <w:r>
              <w:rPr>
                <w:rStyle w:val="Emphasis"/>
              </w:rPr>
              <w:t>5</w:t>
            </w:r>
          </w:p>
        </w:tc>
        <w:tc>
          <w:tcPr>
            <w:tcW w:w="1374" w:type="dxa"/>
          </w:tcPr>
          <w:p w14:paraId="0320883F" w14:textId="77777777" w:rsidR="00022A78" w:rsidRPr="00F83D9A" w:rsidRDefault="00022A78" w:rsidP="00022A78">
            <w:pPr>
              <w:pStyle w:val="Tablebodytextnospaceafter"/>
              <w:jc w:val="right"/>
              <w:rPr>
                <w:rStyle w:val="Emphasis"/>
                <w:b w:val="0"/>
                <w:bCs w:val="0"/>
              </w:rPr>
            </w:pPr>
            <w:r w:rsidRPr="00F83D9A">
              <w:rPr>
                <w:rStyle w:val="Emphasis"/>
                <w:b w:val="0"/>
                <w:bCs w:val="0"/>
              </w:rPr>
              <w:t>4</w:t>
            </w:r>
          </w:p>
        </w:tc>
      </w:tr>
      <w:tr w:rsidR="00022A78" w:rsidRPr="00CA5AB8" w14:paraId="1C6BF397"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BFBFBF"/>
          </w:tcPr>
          <w:p w14:paraId="519A1AC2" w14:textId="727929E5" w:rsidR="00022A78" w:rsidRPr="00CA5AB8" w:rsidRDefault="00022A78" w:rsidP="00022A78">
            <w:pPr>
              <w:pStyle w:val="Tablebodytextnospaceafter"/>
              <w:rPr>
                <w:rStyle w:val="Emphasis"/>
              </w:rPr>
            </w:pPr>
            <w:r>
              <w:rPr>
                <w:rStyle w:val="Emphasis"/>
              </w:rPr>
              <w:t xml:space="preserve">Output </w:t>
            </w:r>
            <w:r w:rsidR="00464680">
              <w:rPr>
                <w:rStyle w:val="Emphasis"/>
              </w:rPr>
              <w:t>5</w:t>
            </w:r>
            <w:r>
              <w:rPr>
                <w:rStyle w:val="Emphasis"/>
              </w:rPr>
              <w:t xml:space="preserve"> – Enable serious wrongdoing to be disclosed and investigated and whistleblowers protected</w:t>
            </w:r>
          </w:p>
        </w:tc>
        <w:tc>
          <w:tcPr>
            <w:tcW w:w="1373" w:type="dxa"/>
            <w:shd w:val="clear" w:color="auto" w:fill="BFBFBF"/>
          </w:tcPr>
          <w:p w14:paraId="2001674F" w14:textId="77777777" w:rsidR="00022A78" w:rsidRPr="00CA5AB8" w:rsidRDefault="00022A78" w:rsidP="00022A78">
            <w:pPr>
              <w:pStyle w:val="Tablebodytextnospaceafter"/>
              <w:rPr>
                <w:rStyle w:val="Emphasis"/>
              </w:rPr>
            </w:pPr>
          </w:p>
        </w:tc>
        <w:tc>
          <w:tcPr>
            <w:tcW w:w="1374" w:type="dxa"/>
            <w:shd w:val="clear" w:color="auto" w:fill="BFBFBF"/>
          </w:tcPr>
          <w:p w14:paraId="70E50B93" w14:textId="77777777" w:rsidR="00022A78" w:rsidRPr="00CA5AB8" w:rsidRDefault="00022A78" w:rsidP="00022A78">
            <w:pPr>
              <w:pStyle w:val="Tablebodytextnospaceafter"/>
              <w:rPr>
                <w:rStyle w:val="Emphasis"/>
              </w:rPr>
            </w:pPr>
          </w:p>
        </w:tc>
        <w:tc>
          <w:tcPr>
            <w:tcW w:w="1374" w:type="dxa"/>
            <w:shd w:val="clear" w:color="auto" w:fill="BFBFBF"/>
          </w:tcPr>
          <w:p w14:paraId="1DFA0A5A" w14:textId="77777777" w:rsidR="00022A78" w:rsidRPr="00CA5AB8" w:rsidRDefault="00022A78" w:rsidP="00022A78">
            <w:pPr>
              <w:pStyle w:val="Tablebodytextnospaceafter"/>
              <w:rPr>
                <w:rStyle w:val="Emphasis"/>
              </w:rPr>
            </w:pPr>
          </w:p>
        </w:tc>
      </w:tr>
      <w:tr w:rsidR="00022A78" w:rsidRPr="00CA5AB8" w14:paraId="71DCD1E6"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shd w:val="clear" w:color="auto" w:fill="D3D3D3"/>
          </w:tcPr>
          <w:p w14:paraId="746CB9F9" w14:textId="77777777" w:rsidR="00022A78" w:rsidRPr="00CA5AB8" w:rsidRDefault="00022A78" w:rsidP="00022A78">
            <w:pPr>
              <w:pStyle w:val="Tablebodytextnospaceafter"/>
              <w:rPr>
                <w:rStyle w:val="Emphasis"/>
              </w:rPr>
            </w:pPr>
            <w:r>
              <w:rPr>
                <w:rStyle w:val="Emphasis"/>
              </w:rPr>
              <w:t>Demand-driven measure</w:t>
            </w:r>
          </w:p>
        </w:tc>
        <w:tc>
          <w:tcPr>
            <w:tcW w:w="1373" w:type="dxa"/>
            <w:shd w:val="clear" w:color="auto" w:fill="D3D3D3"/>
          </w:tcPr>
          <w:p w14:paraId="0A2788A9" w14:textId="77777777" w:rsidR="00022A78" w:rsidRPr="00CA5AB8" w:rsidRDefault="00022A78" w:rsidP="00022A78">
            <w:pPr>
              <w:pStyle w:val="Tablebodytextnospaceafter"/>
              <w:rPr>
                <w:rStyle w:val="Emphasis"/>
              </w:rPr>
            </w:pPr>
          </w:p>
        </w:tc>
        <w:tc>
          <w:tcPr>
            <w:tcW w:w="1374" w:type="dxa"/>
            <w:shd w:val="clear" w:color="auto" w:fill="D3D3D3"/>
          </w:tcPr>
          <w:p w14:paraId="29B270F8" w14:textId="77777777" w:rsidR="00022A78" w:rsidRPr="00CA5AB8" w:rsidRDefault="00022A78" w:rsidP="00022A78">
            <w:pPr>
              <w:pStyle w:val="Tablebodytextnospaceafter"/>
              <w:rPr>
                <w:rStyle w:val="Emphasis"/>
              </w:rPr>
            </w:pPr>
          </w:p>
        </w:tc>
        <w:tc>
          <w:tcPr>
            <w:tcW w:w="1374" w:type="dxa"/>
            <w:shd w:val="clear" w:color="auto" w:fill="D3D3D3"/>
          </w:tcPr>
          <w:p w14:paraId="3DA4AF10" w14:textId="77777777" w:rsidR="00022A78" w:rsidRPr="00CA5AB8" w:rsidRDefault="00022A78" w:rsidP="00022A78">
            <w:pPr>
              <w:pStyle w:val="Tablebodytextnospaceafter"/>
              <w:rPr>
                <w:rStyle w:val="Emphasis"/>
              </w:rPr>
            </w:pPr>
          </w:p>
        </w:tc>
      </w:tr>
      <w:tr w:rsidR="00022A78" w:rsidRPr="00CA5AB8" w14:paraId="3201008C"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3F6D63A2" w14:textId="4A86BB04" w:rsidR="00022A78" w:rsidRPr="00CA5AB8" w:rsidRDefault="00022A78" w:rsidP="00022A78">
            <w:pPr>
              <w:pStyle w:val="Tablebodytextnospaceafter"/>
              <w:rPr>
                <w:rStyle w:val="Italics"/>
              </w:rPr>
            </w:pPr>
            <w:r>
              <w:t># of requests</w:t>
            </w:r>
            <w:r w:rsidR="00F3691B">
              <w:t xml:space="preserve">, </w:t>
            </w:r>
            <w:r>
              <w:t>enquiries</w:t>
            </w:r>
            <w:r w:rsidR="00F3691B">
              <w:t xml:space="preserve"> and monitoring</w:t>
            </w:r>
            <w:r>
              <w:t xml:space="preserve"> completed</w:t>
            </w:r>
            <w:r w:rsidR="00CB2FF9">
              <w:t>*</w:t>
            </w:r>
          </w:p>
        </w:tc>
        <w:tc>
          <w:tcPr>
            <w:tcW w:w="1373" w:type="dxa"/>
          </w:tcPr>
          <w:p w14:paraId="62941A16" w14:textId="795293F1" w:rsidR="00022A78" w:rsidRPr="00CA5AB8" w:rsidRDefault="00F3691B" w:rsidP="00022A78">
            <w:pPr>
              <w:pStyle w:val="Tablebodytextnospaceafter"/>
              <w:jc w:val="right"/>
            </w:pPr>
            <w:r>
              <w:t>360</w:t>
            </w:r>
          </w:p>
        </w:tc>
        <w:tc>
          <w:tcPr>
            <w:tcW w:w="1374" w:type="dxa"/>
          </w:tcPr>
          <w:p w14:paraId="66B9AED5" w14:textId="6FFB66BA" w:rsidR="00022A78" w:rsidRPr="00CA5AB8" w:rsidRDefault="005036C8" w:rsidP="00022A78">
            <w:pPr>
              <w:pStyle w:val="Tablebodytextnospaceafter"/>
              <w:jc w:val="right"/>
              <w:rPr>
                <w:rStyle w:val="Italics"/>
                <w:b/>
                <w:i w:val="0"/>
              </w:rPr>
            </w:pPr>
            <w:r>
              <w:rPr>
                <w:rStyle w:val="Italics"/>
                <w:b/>
                <w:i w:val="0"/>
              </w:rPr>
              <w:t>353</w:t>
            </w:r>
          </w:p>
        </w:tc>
        <w:tc>
          <w:tcPr>
            <w:tcW w:w="1374" w:type="dxa"/>
          </w:tcPr>
          <w:p w14:paraId="7C751058" w14:textId="1F8ADBC5" w:rsidR="00022A78" w:rsidRPr="00F83D9A" w:rsidRDefault="00F3691B" w:rsidP="00022A78">
            <w:pPr>
              <w:pStyle w:val="Tablebodytextnospaceafter"/>
              <w:jc w:val="right"/>
              <w:rPr>
                <w:rStyle w:val="Emphasis"/>
                <w:b w:val="0"/>
                <w:bCs w:val="0"/>
              </w:rPr>
            </w:pPr>
            <w:r w:rsidRPr="00F83D9A">
              <w:rPr>
                <w:rStyle w:val="Emphasis"/>
                <w:b w:val="0"/>
                <w:bCs w:val="0"/>
              </w:rPr>
              <w:t>280</w:t>
            </w:r>
          </w:p>
        </w:tc>
      </w:tr>
      <w:tr w:rsidR="00022A78" w:rsidRPr="00CA5AB8" w14:paraId="74E06FEC"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shd w:val="clear" w:color="auto" w:fill="D3D3D3"/>
          </w:tcPr>
          <w:p w14:paraId="6B7EC902" w14:textId="77777777" w:rsidR="00022A78" w:rsidRPr="00CA5AB8" w:rsidRDefault="00022A78" w:rsidP="00022A78">
            <w:pPr>
              <w:pStyle w:val="Tablebodytextnospaceafter"/>
              <w:keepNext/>
              <w:rPr>
                <w:rStyle w:val="Emphasis"/>
              </w:rPr>
            </w:pPr>
            <w:r>
              <w:rPr>
                <w:rStyle w:val="Emphasis"/>
              </w:rPr>
              <w:t>Proactive measures</w:t>
            </w:r>
          </w:p>
        </w:tc>
        <w:tc>
          <w:tcPr>
            <w:tcW w:w="1373" w:type="dxa"/>
            <w:shd w:val="clear" w:color="auto" w:fill="D3D3D3"/>
          </w:tcPr>
          <w:p w14:paraId="79F23CDF" w14:textId="77777777" w:rsidR="00022A78" w:rsidRPr="00CA5AB8" w:rsidRDefault="00022A78" w:rsidP="00022A78">
            <w:pPr>
              <w:pStyle w:val="Tablebodytextnospaceafter"/>
              <w:rPr>
                <w:rStyle w:val="Emphasis"/>
              </w:rPr>
            </w:pPr>
          </w:p>
        </w:tc>
        <w:tc>
          <w:tcPr>
            <w:tcW w:w="1374" w:type="dxa"/>
            <w:shd w:val="clear" w:color="auto" w:fill="D3D3D3"/>
          </w:tcPr>
          <w:p w14:paraId="5D162D9F" w14:textId="77777777" w:rsidR="00022A78" w:rsidRPr="00CA5AB8" w:rsidRDefault="00022A78" w:rsidP="00022A78">
            <w:pPr>
              <w:pStyle w:val="Tablebodytextnospaceafter"/>
              <w:rPr>
                <w:rStyle w:val="Emphasis"/>
              </w:rPr>
            </w:pPr>
          </w:p>
        </w:tc>
        <w:tc>
          <w:tcPr>
            <w:tcW w:w="1374" w:type="dxa"/>
            <w:shd w:val="clear" w:color="auto" w:fill="D3D3D3"/>
          </w:tcPr>
          <w:p w14:paraId="36E11B48" w14:textId="77777777" w:rsidR="00022A78" w:rsidRPr="00F83D9A" w:rsidRDefault="00022A78" w:rsidP="00022A78">
            <w:pPr>
              <w:pStyle w:val="Tablebodytextnospaceafter"/>
              <w:rPr>
                <w:rStyle w:val="Emphasis"/>
                <w:b w:val="0"/>
                <w:bCs w:val="0"/>
              </w:rPr>
            </w:pPr>
          </w:p>
        </w:tc>
      </w:tr>
      <w:tr w:rsidR="00022A78" w:rsidRPr="00CA5AB8" w14:paraId="38D7481E"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6132979C" w14:textId="6FC9A827" w:rsidR="00022A78" w:rsidRPr="00CA5AB8" w:rsidRDefault="00022A78" w:rsidP="00022A78">
            <w:pPr>
              <w:pStyle w:val="Tablebodytextnospaceafter"/>
            </w:pPr>
            <w:r>
              <w:t xml:space="preserve">% of </w:t>
            </w:r>
            <w:r w:rsidR="00C96FF6">
              <w:t>requests, enquiries</w:t>
            </w:r>
            <w:r>
              <w:t xml:space="preserve"> </w:t>
            </w:r>
            <w:r w:rsidR="00C96FF6">
              <w:t xml:space="preserve">and monitoring </w:t>
            </w:r>
            <w:r>
              <w:t>completed within 3 months</w:t>
            </w:r>
            <w:r>
              <w:rPr>
                <w:rStyle w:val="FootnoteReference"/>
              </w:rPr>
              <w:t xml:space="preserve"> </w:t>
            </w:r>
            <w:r>
              <w:t>from date of receipt</w:t>
            </w:r>
            <w:r w:rsidR="00CB2FF9">
              <w:t>*</w:t>
            </w:r>
          </w:p>
        </w:tc>
        <w:tc>
          <w:tcPr>
            <w:tcW w:w="1373" w:type="dxa"/>
          </w:tcPr>
          <w:p w14:paraId="6CEF24A5" w14:textId="23848247" w:rsidR="00022A78" w:rsidRPr="00CA5AB8" w:rsidRDefault="00022A78" w:rsidP="00022A78">
            <w:pPr>
              <w:pStyle w:val="Tablebodytextnospaceafter"/>
              <w:jc w:val="right"/>
            </w:pPr>
            <w:r>
              <w:t>85</w:t>
            </w:r>
          </w:p>
        </w:tc>
        <w:tc>
          <w:tcPr>
            <w:tcW w:w="1374" w:type="dxa"/>
          </w:tcPr>
          <w:p w14:paraId="2D5DBA24" w14:textId="28D78D3C" w:rsidR="00022A78" w:rsidRPr="00CA5AB8" w:rsidRDefault="005036C8" w:rsidP="00022A78">
            <w:pPr>
              <w:pStyle w:val="Tablebodytextnospaceafter"/>
              <w:jc w:val="right"/>
              <w:rPr>
                <w:b/>
              </w:rPr>
            </w:pPr>
            <w:r>
              <w:rPr>
                <w:b/>
              </w:rPr>
              <w:t>90</w:t>
            </w:r>
          </w:p>
        </w:tc>
        <w:tc>
          <w:tcPr>
            <w:tcW w:w="1374" w:type="dxa"/>
          </w:tcPr>
          <w:p w14:paraId="7FBAB5A4" w14:textId="201243A3" w:rsidR="00022A78" w:rsidRPr="00F83D9A" w:rsidRDefault="00022A78" w:rsidP="00022A78">
            <w:pPr>
              <w:pStyle w:val="Tablebodytextnospaceafter"/>
              <w:jc w:val="right"/>
              <w:rPr>
                <w:rStyle w:val="Emphasis"/>
                <w:b w:val="0"/>
                <w:bCs w:val="0"/>
              </w:rPr>
            </w:pPr>
            <w:r w:rsidRPr="00F83D9A">
              <w:rPr>
                <w:rStyle w:val="Emphasis"/>
                <w:b w:val="0"/>
                <w:bCs w:val="0"/>
              </w:rPr>
              <w:t>83</w:t>
            </w:r>
          </w:p>
        </w:tc>
      </w:tr>
      <w:tr w:rsidR="00022A78" w:rsidRPr="00CA5AB8" w14:paraId="48A7D5B6"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35F68456" w14:textId="379D7982" w:rsidR="00022A78" w:rsidRPr="00CA5AB8" w:rsidRDefault="00022A78" w:rsidP="00022A78">
            <w:pPr>
              <w:pStyle w:val="Tablebodytextnospaceafter"/>
              <w:rPr>
                <w:sz w:val="20"/>
                <w:szCs w:val="20"/>
              </w:rPr>
            </w:pPr>
            <w:r>
              <w:t>% of completed requests</w:t>
            </w:r>
            <w:r w:rsidR="000F5314">
              <w:t xml:space="preserve">, </w:t>
            </w:r>
            <w:r>
              <w:t>enquiries</w:t>
            </w:r>
            <w:r w:rsidR="000F5314">
              <w:t xml:space="preserve"> and monitoring</w:t>
            </w:r>
            <w:r>
              <w:t xml:space="preserve"> meeting internal quality standards, following random quality assurance check</w:t>
            </w:r>
            <w:r w:rsidR="00CB2FF9">
              <w:t>*</w:t>
            </w:r>
          </w:p>
        </w:tc>
        <w:tc>
          <w:tcPr>
            <w:tcW w:w="1373" w:type="dxa"/>
          </w:tcPr>
          <w:p w14:paraId="4D3F9E20" w14:textId="2D869BC3" w:rsidR="00022A78" w:rsidRPr="00CA5AB8" w:rsidRDefault="00022A78" w:rsidP="00022A78">
            <w:pPr>
              <w:pStyle w:val="Tablebodytextnospaceafter"/>
              <w:jc w:val="right"/>
            </w:pPr>
            <w:r>
              <w:t>85</w:t>
            </w:r>
          </w:p>
        </w:tc>
        <w:tc>
          <w:tcPr>
            <w:tcW w:w="1374" w:type="dxa"/>
          </w:tcPr>
          <w:p w14:paraId="1CA20506" w14:textId="70A87FA0" w:rsidR="00022A78" w:rsidRPr="00CA5AB8" w:rsidRDefault="005036C8" w:rsidP="00022A78">
            <w:pPr>
              <w:pStyle w:val="Tablebodytextnospaceafter"/>
              <w:jc w:val="right"/>
              <w:rPr>
                <w:b/>
              </w:rPr>
            </w:pPr>
            <w:r>
              <w:rPr>
                <w:b/>
              </w:rPr>
              <w:t>9</w:t>
            </w:r>
            <w:r w:rsidR="004A166E">
              <w:rPr>
                <w:b/>
              </w:rPr>
              <w:t>5</w:t>
            </w:r>
          </w:p>
        </w:tc>
        <w:tc>
          <w:tcPr>
            <w:tcW w:w="1374" w:type="dxa"/>
          </w:tcPr>
          <w:p w14:paraId="0EA77107" w14:textId="77B975BD" w:rsidR="00022A78" w:rsidRPr="00F83D9A" w:rsidRDefault="00022A78" w:rsidP="00022A78">
            <w:pPr>
              <w:pStyle w:val="Tablebodytextnospaceafter"/>
              <w:jc w:val="right"/>
              <w:rPr>
                <w:rStyle w:val="Emphasis"/>
                <w:b w:val="0"/>
                <w:bCs w:val="0"/>
              </w:rPr>
            </w:pPr>
            <w:r w:rsidRPr="00F83D9A">
              <w:rPr>
                <w:rStyle w:val="Emphasis"/>
                <w:b w:val="0"/>
                <w:bCs w:val="0"/>
              </w:rPr>
              <w:t>92</w:t>
            </w:r>
          </w:p>
        </w:tc>
      </w:tr>
      <w:tr w:rsidR="00022A78" w:rsidRPr="00CA5AB8" w14:paraId="4800BFC8"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69BE7B7C" w14:textId="77777777" w:rsidR="00022A78" w:rsidRPr="00CA5AB8" w:rsidRDefault="00022A78" w:rsidP="00022A78">
            <w:pPr>
              <w:pStyle w:val="Tablebodytextnospaceafter"/>
            </w:pPr>
            <w:r>
              <w:t># of guidance materials and resources produced or updated that assist serious wrongdoing to be disclosed and investigated</w:t>
            </w:r>
          </w:p>
        </w:tc>
        <w:tc>
          <w:tcPr>
            <w:tcW w:w="1373" w:type="dxa"/>
          </w:tcPr>
          <w:p w14:paraId="4B94321E" w14:textId="77777777" w:rsidR="00022A78" w:rsidRPr="00CA5AB8" w:rsidRDefault="00022A78" w:rsidP="00022A78">
            <w:pPr>
              <w:pStyle w:val="Tablebodytextnospaceafter"/>
              <w:jc w:val="right"/>
            </w:pPr>
            <w:r>
              <w:t>2</w:t>
            </w:r>
          </w:p>
        </w:tc>
        <w:tc>
          <w:tcPr>
            <w:tcW w:w="1374" w:type="dxa"/>
          </w:tcPr>
          <w:p w14:paraId="0F537C39" w14:textId="412DDDD9" w:rsidR="00022A78" w:rsidRPr="00CA5AB8" w:rsidRDefault="005036C8" w:rsidP="00022A78">
            <w:pPr>
              <w:pStyle w:val="Tablebodytextnospaceafter"/>
              <w:jc w:val="right"/>
              <w:rPr>
                <w:b/>
              </w:rPr>
            </w:pPr>
            <w:r>
              <w:rPr>
                <w:b/>
              </w:rPr>
              <w:t>2</w:t>
            </w:r>
          </w:p>
        </w:tc>
        <w:tc>
          <w:tcPr>
            <w:tcW w:w="1374" w:type="dxa"/>
          </w:tcPr>
          <w:p w14:paraId="10D14996" w14:textId="77777777" w:rsidR="00022A78" w:rsidRPr="00F83D9A" w:rsidRDefault="00022A78" w:rsidP="00022A78">
            <w:pPr>
              <w:pStyle w:val="Tablebodytextnospaceafter"/>
              <w:jc w:val="right"/>
              <w:rPr>
                <w:rStyle w:val="Emphasis"/>
                <w:b w:val="0"/>
                <w:bCs w:val="0"/>
              </w:rPr>
            </w:pPr>
            <w:r w:rsidRPr="00F83D9A">
              <w:rPr>
                <w:rStyle w:val="Emphasis"/>
                <w:b w:val="0"/>
                <w:bCs w:val="0"/>
              </w:rPr>
              <w:t>2</w:t>
            </w:r>
          </w:p>
        </w:tc>
      </w:tr>
      <w:tr w:rsidR="00022A78" w:rsidRPr="00CA5AB8" w14:paraId="024E759B"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shd w:val="clear" w:color="auto" w:fill="BFBFBF"/>
          </w:tcPr>
          <w:p w14:paraId="5FCA2FA6" w14:textId="7A04295C" w:rsidR="00022A78" w:rsidRPr="00CA5AB8" w:rsidRDefault="00022A78" w:rsidP="00022A78">
            <w:pPr>
              <w:pStyle w:val="Tablebodytextnospaceafter"/>
              <w:keepNext/>
              <w:rPr>
                <w:rStyle w:val="Emphasis"/>
              </w:rPr>
            </w:pPr>
            <w:r>
              <w:rPr>
                <w:rStyle w:val="Emphasis"/>
              </w:rPr>
              <w:t xml:space="preserve">Output </w:t>
            </w:r>
            <w:r w:rsidR="00464680">
              <w:rPr>
                <w:rStyle w:val="Emphasis"/>
              </w:rPr>
              <w:t>6</w:t>
            </w:r>
            <w:r>
              <w:rPr>
                <w:rStyle w:val="Emphasis"/>
              </w:rPr>
              <w:t xml:space="preserve"> – Break down the barriers that prevent disabled</w:t>
            </w:r>
            <w:r w:rsidR="0041538E">
              <w:rPr>
                <w:rStyle w:val="Emphasis"/>
              </w:rPr>
              <w:t xml:space="preserve"> and </w:t>
            </w:r>
            <w:r w:rsidR="00B12A34">
              <w:rPr>
                <w:rStyle w:val="Emphasis"/>
              </w:rPr>
              <w:t>D</w:t>
            </w:r>
            <w:r w:rsidR="0041538E">
              <w:rPr>
                <w:rStyle w:val="Emphasis"/>
              </w:rPr>
              <w:t>eaf</w:t>
            </w:r>
            <w:r>
              <w:rPr>
                <w:rStyle w:val="Emphasis"/>
              </w:rPr>
              <w:t xml:space="preserve"> people from participating equally in society</w:t>
            </w:r>
          </w:p>
        </w:tc>
        <w:tc>
          <w:tcPr>
            <w:tcW w:w="1373" w:type="dxa"/>
            <w:shd w:val="clear" w:color="auto" w:fill="BFBFBF"/>
          </w:tcPr>
          <w:p w14:paraId="6A92E4E5" w14:textId="77777777" w:rsidR="00022A78" w:rsidRPr="00CA5AB8" w:rsidRDefault="00022A78" w:rsidP="00022A78">
            <w:pPr>
              <w:pStyle w:val="Tablebodytextnospaceafter"/>
              <w:keepNext/>
              <w:rPr>
                <w:rStyle w:val="Emphasis"/>
              </w:rPr>
            </w:pPr>
          </w:p>
        </w:tc>
        <w:tc>
          <w:tcPr>
            <w:tcW w:w="1374" w:type="dxa"/>
            <w:shd w:val="clear" w:color="auto" w:fill="BFBFBF"/>
          </w:tcPr>
          <w:p w14:paraId="20640D1F" w14:textId="77777777" w:rsidR="00022A78" w:rsidRPr="00CA5AB8" w:rsidRDefault="00022A78" w:rsidP="00022A78">
            <w:pPr>
              <w:pStyle w:val="Tablebodytextnospaceafter"/>
              <w:keepNext/>
              <w:rPr>
                <w:rStyle w:val="Emphasis"/>
              </w:rPr>
            </w:pPr>
          </w:p>
        </w:tc>
        <w:tc>
          <w:tcPr>
            <w:tcW w:w="1374" w:type="dxa"/>
            <w:shd w:val="clear" w:color="auto" w:fill="BFBFBF"/>
          </w:tcPr>
          <w:p w14:paraId="39580F44" w14:textId="77777777" w:rsidR="00022A78" w:rsidRPr="00F83D9A" w:rsidRDefault="00022A78" w:rsidP="00022A78">
            <w:pPr>
              <w:pStyle w:val="Tablebodytextnospaceafter"/>
              <w:keepNext/>
              <w:rPr>
                <w:rStyle w:val="Emphasis"/>
                <w:b w:val="0"/>
                <w:bCs w:val="0"/>
              </w:rPr>
            </w:pPr>
          </w:p>
        </w:tc>
      </w:tr>
      <w:tr w:rsidR="00022A78" w:rsidRPr="00CA5AB8" w14:paraId="07CB8B0B"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D3D3D3"/>
          </w:tcPr>
          <w:p w14:paraId="17025CE1" w14:textId="77777777" w:rsidR="00022A78" w:rsidRPr="00CA5AB8" w:rsidRDefault="00022A78" w:rsidP="00022A78">
            <w:pPr>
              <w:pStyle w:val="Tablebodytextnospaceafter"/>
              <w:keepNext/>
              <w:rPr>
                <w:rStyle w:val="Emphasis"/>
              </w:rPr>
            </w:pPr>
            <w:r>
              <w:rPr>
                <w:rStyle w:val="Emphasis"/>
              </w:rPr>
              <w:t xml:space="preserve">Proactive measures </w:t>
            </w:r>
          </w:p>
        </w:tc>
        <w:tc>
          <w:tcPr>
            <w:tcW w:w="1373" w:type="dxa"/>
            <w:shd w:val="clear" w:color="auto" w:fill="D3D3D3"/>
          </w:tcPr>
          <w:p w14:paraId="50B1E59A" w14:textId="77777777" w:rsidR="00022A78" w:rsidRPr="00CA5AB8" w:rsidRDefault="00022A78" w:rsidP="00022A78">
            <w:pPr>
              <w:pStyle w:val="Tablebodytextnospaceafter"/>
              <w:keepNext/>
              <w:rPr>
                <w:rStyle w:val="Emphasis"/>
              </w:rPr>
            </w:pPr>
          </w:p>
        </w:tc>
        <w:tc>
          <w:tcPr>
            <w:tcW w:w="1374" w:type="dxa"/>
            <w:shd w:val="clear" w:color="auto" w:fill="D3D3D3"/>
          </w:tcPr>
          <w:p w14:paraId="53C228D3" w14:textId="77777777" w:rsidR="00022A78" w:rsidRPr="00CA5AB8" w:rsidRDefault="00022A78" w:rsidP="00022A78">
            <w:pPr>
              <w:pStyle w:val="Tablebodytextnospaceafter"/>
              <w:keepNext/>
              <w:rPr>
                <w:rStyle w:val="Emphasis"/>
              </w:rPr>
            </w:pPr>
          </w:p>
        </w:tc>
        <w:tc>
          <w:tcPr>
            <w:tcW w:w="1374" w:type="dxa"/>
            <w:shd w:val="clear" w:color="auto" w:fill="D3D3D3"/>
          </w:tcPr>
          <w:p w14:paraId="5AA5055C" w14:textId="77777777" w:rsidR="00022A78" w:rsidRPr="00F83D9A" w:rsidRDefault="00022A78" w:rsidP="00022A78">
            <w:pPr>
              <w:pStyle w:val="Tablebodytextnospaceafter"/>
              <w:keepNext/>
              <w:rPr>
                <w:rStyle w:val="Emphasis"/>
                <w:b w:val="0"/>
                <w:bCs w:val="0"/>
              </w:rPr>
            </w:pPr>
          </w:p>
        </w:tc>
      </w:tr>
      <w:tr w:rsidR="00022A78" w:rsidRPr="00CA5AB8" w14:paraId="00113E98"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26A1D8B3" w14:textId="77777777" w:rsidR="00022A78" w:rsidRPr="00CA5AB8" w:rsidRDefault="00022A78" w:rsidP="00022A78">
            <w:pPr>
              <w:pStyle w:val="Tablebodytextnospaceafter"/>
              <w:keepNext/>
              <w:rPr>
                <w:rStyle w:val="Emphasis"/>
              </w:rPr>
            </w:pPr>
            <w:r>
              <w:t># of resources produced or updated that assist to break down the barriers that prevent disabled people from participating equally in society</w:t>
            </w:r>
          </w:p>
        </w:tc>
        <w:tc>
          <w:tcPr>
            <w:tcW w:w="1373" w:type="dxa"/>
          </w:tcPr>
          <w:p w14:paraId="2A030B3E" w14:textId="41F02E93" w:rsidR="00022A78" w:rsidRPr="00CA5AB8" w:rsidRDefault="000F5314" w:rsidP="00022A78">
            <w:pPr>
              <w:pStyle w:val="Tablebodytextnospaceafter"/>
              <w:keepNext/>
              <w:jc w:val="right"/>
              <w:rPr>
                <w:rStyle w:val="Emphasis"/>
              </w:rPr>
            </w:pPr>
            <w:r>
              <w:t>15</w:t>
            </w:r>
            <w:r w:rsidR="008167FC">
              <w:t>–</w:t>
            </w:r>
            <w:r>
              <w:t>30</w:t>
            </w:r>
            <w:r>
              <w:rPr>
                <w:rStyle w:val="FootnoteReference"/>
              </w:rPr>
              <w:footnoteReference w:id="56"/>
            </w:r>
            <w:r>
              <w:t xml:space="preserve"> </w:t>
            </w:r>
          </w:p>
        </w:tc>
        <w:tc>
          <w:tcPr>
            <w:tcW w:w="1374" w:type="dxa"/>
          </w:tcPr>
          <w:p w14:paraId="51D3168D" w14:textId="31152322" w:rsidR="00022A78" w:rsidRPr="00CA5AB8" w:rsidRDefault="005036C8" w:rsidP="00022A78">
            <w:pPr>
              <w:pStyle w:val="Tablebodytextnospaceafter"/>
              <w:keepNext/>
              <w:jc w:val="right"/>
              <w:rPr>
                <w:rStyle w:val="Emphasis"/>
              </w:rPr>
            </w:pPr>
            <w:r>
              <w:rPr>
                <w:rStyle w:val="Emphasis"/>
              </w:rPr>
              <w:t>22</w:t>
            </w:r>
          </w:p>
        </w:tc>
        <w:tc>
          <w:tcPr>
            <w:tcW w:w="1374" w:type="dxa"/>
          </w:tcPr>
          <w:p w14:paraId="2A14EE93" w14:textId="30A0ACC2" w:rsidR="00022A78" w:rsidRPr="00F83D9A" w:rsidRDefault="00022A78" w:rsidP="00022A78">
            <w:pPr>
              <w:pStyle w:val="Tablebodytextnospaceafter"/>
              <w:keepNext/>
              <w:jc w:val="right"/>
              <w:rPr>
                <w:rStyle w:val="Emphasis"/>
                <w:b w:val="0"/>
                <w:bCs w:val="0"/>
              </w:rPr>
            </w:pPr>
            <w:r w:rsidRPr="00F83D9A">
              <w:rPr>
                <w:rStyle w:val="Emphasis"/>
                <w:b w:val="0"/>
                <w:bCs w:val="0"/>
              </w:rPr>
              <w:t>36</w:t>
            </w:r>
          </w:p>
        </w:tc>
      </w:tr>
      <w:tr w:rsidR="00022A78" w:rsidRPr="00CA5AB8" w14:paraId="7B285D1E"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D3D3D3"/>
          </w:tcPr>
          <w:p w14:paraId="2A32FF77" w14:textId="0EADAEF3" w:rsidR="00022A78" w:rsidRPr="00CA5AB8" w:rsidRDefault="00022A78" w:rsidP="00022A78">
            <w:pPr>
              <w:pStyle w:val="Tablebodytextnospaceafter"/>
              <w:rPr>
                <w:rStyle w:val="Emphasis"/>
              </w:rPr>
            </w:pPr>
            <w:r>
              <w:rPr>
                <w:rStyle w:val="Emphasis"/>
              </w:rPr>
              <w:t xml:space="preserve">Output </w:t>
            </w:r>
            <w:r w:rsidR="00464680">
              <w:rPr>
                <w:rStyle w:val="Emphasis"/>
              </w:rPr>
              <w:t>7</w:t>
            </w:r>
            <w:r>
              <w:rPr>
                <w:rStyle w:val="Emphasis"/>
              </w:rPr>
              <w:t xml:space="preserve"> – Improve the conditions and treatment of people in detention</w:t>
            </w:r>
          </w:p>
        </w:tc>
        <w:tc>
          <w:tcPr>
            <w:tcW w:w="1373" w:type="dxa"/>
            <w:shd w:val="clear" w:color="auto" w:fill="D3D3D3"/>
          </w:tcPr>
          <w:p w14:paraId="017F38D3" w14:textId="77777777" w:rsidR="00022A78" w:rsidRPr="00CA5AB8" w:rsidRDefault="00022A78" w:rsidP="00022A78">
            <w:pPr>
              <w:pStyle w:val="Tablebodytextnospaceafter"/>
              <w:rPr>
                <w:rStyle w:val="Emphasis"/>
              </w:rPr>
            </w:pPr>
          </w:p>
        </w:tc>
        <w:tc>
          <w:tcPr>
            <w:tcW w:w="1374" w:type="dxa"/>
            <w:shd w:val="clear" w:color="auto" w:fill="D3D3D3"/>
          </w:tcPr>
          <w:p w14:paraId="08B399CC" w14:textId="77777777" w:rsidR="00022A78" w:rsidRPr="00CA5AB8" w:rsidRDefault="00022A78" w:rsidP="00022A78">
            <w:pPr>
              <w:pStyle w:val="Tablebodytextnospaceafter"/>
              <w:rPr>
                <w:rStyle w:val="Emphasis"/>
              </w:rPr>
            </w:pPr>
          </w:p>
        </w:tc>
        <w:tc>
          <w:tcPr>
            <w:tcW w:w="1374" w:type="dxa"/>
            <w:shd w:val="clear" w:color="auto" w:fill="D3D3D3"/>
          </w:tcPr>
          <w:p w14:paraId="6D1FE1DA" w14:textId="77777777" w:rsidR="00022A78" w:rsidRPr="00F83D9A" w:rsidRDefault="00022A78" w:rsidP="00022A78">
            <w:pPr>
              <w:pStyle w:val="Tablebodytextnospaceafter"/>
              <w:rPr>
                <w:rStyle w:val="Emphasis"/>
                <w:b w:val="0"/>
                <w:bCs w:val="0"/>
              </w:rPr>
            </w:pPr>
          </w:p>
        </w:tc>
      </w:tr>
      <w:tr w:rsidR="00022A78" w:rsidRPr="00CA5AB8" w14:paraId="66E88103"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shd w:val="clear" w:color="auto" w:fill="D3D3D3"/>
          </w:tcPr>
          <w:p w14:paraId="5689464D" w14:textId="77777777" w:rsidR="00022A78" w:rsidRPr="00CA5AB8" w:rsidRDefault="00022A78" w:rsidP="00022A78">
            <w:pPr>
              <w:pStyle w:val="Tablebodytextnospaceafter"/>
              <w:rPr>
                <w:rStyle w:val="Emphasis"/>
              </w:rPr>
            </w:pPr>
            <w:r>
              <w:rPr>
                <w:rStyle w:val="Emphasis"/>
              </w:rPr>
              <w:t xml:space="preserve">Proactive measures </w:t>
            </w:r>
          </w:p>
        </w:tc>
        <w:tc>
          <w:tcPr>
            <w:tcW w:w="1373" w:type="dxa"/>
            <w:shd w:val="clear" w:color="auto" w:fill="D3D3D3"/>
          </w:tcPr>
          <w:p w14:paraId="6B5AE24B" w14:textId="77777777" w:rsidR="00022A78" w:rsidRPr="00CA5AB8" w:rsidRDefault="00022A78" w:rsidP="00022A78">
            <w:pPr>
              <w:pStyle w:val="Tablebodytextnospaceafter"/>
              <w:rPr>
                <w:rStyle w:val="Emphasis"/>
              </w:rPr>
            </w:pPr>
          </w:p>
        </w:tc>
        <w:tc>
          <w:tcPr>
            <w:tcW w:w="1374" w:type="dxa"/>
            <w:shd w:val="clear" w:color="auto" w:fill="D3D3D3"/>
          </w:tcPr>
          <w:p w14:paraId="18A84DC9" w14:textId="77777777" w:rsidR="00022A78" w:rsidRPr="00CA5AB8" w:rsidRDefault="00022A78" w:rsidP="00022A78">
            <w:pPr>
              <w:pStyle w:val="Tablebodytextnospaceafter"/>
              <w:rPr>
                <w:rStyle w:val="Emphasis"/>
              </w:rPr>
            </w:pPr>
          </w:p>
        </w:tc>
        <w:tc>
          <w:tcPr>
            <w:tcW w:w="1374" w:type="dxa"/>
            <w:shd w:val="clear" w:color="auto" w:fill="D3D3D3"/>
          </w:tcPr>
          <w:p w14:paraId="0BBCD949" w14:textId="77777777" w:rsidR="00022A78" w:rsidRPr="00F83D9A" w:rsidRDefault="00022A78" w:rsidP="00022A78">
            <w:pPr>
              <w:pStyle w:val="Tablebodytextnospaceafter"/>
              <w:rPr>
                <w:rStyle w:val="Emphasis"/>
                <w:b w:val="0"/>
                <w:bCs w:val="0"/>
              </w:rPr>
            </w:pPr>
          </w:p>
        </w:tc>
      </w:tr>
      <w:tr w:rsidR="00022A78" w:rsidRPr="00CA5AB8" w14:paraId="1C387038"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00AA327A" w14:textId="77777777" w:rsidR="00022A78" w:rsidRPr="00CA5AB8" w:rsidRDefault="00022A78" w:rsidP="00022A78">
            <w:pPr>
              <w:pStyle w:val="Tablebodytextnospaceafter"/>
            </w:pPr>
            <w:r>
              <w:t xml:space="preserve"># of inspections and visits to places of detention </w:t>
            </w:r>
          </w:p>
        </w:tc>
        <w:tc>
          <w:tcPr>
            <w:tcW w:w="1373" w:type="dxa"/>
          </w:tcPr>
          <w:p w14:paraId="1C5F1264" w14:textId="440C20AF" w:rsidR="00022A78" w:rsidRPr="00CA5AB8" w:rsidRDefault="00AC6628" w:rsidP="00022A78">
            <w:pPr>
              <w:pStyle w:val="Tablebodytextnospaceafter"/>
              <w:jc w:val="right"/>
            </w:pPr>
            <w:r>
              <w:t>115</w:t>
            </w:r>
          </w:p>
        </w:tc>
        <w:tc>
          <w:tcPr>
            <w:tcW w:w="1374" w:type="dxa"/>
          </w:tcPr>
          <w:p w14:paraId="06515648" w14:textId="3EEC8CC6" w:rsidR="00022A78" w:rsidRPr="00CA5AB8" w:rsidRDefault="005036C8" w:rsidP="00022A78">
            <w:pPr>
              <w:pStyle w:val="Tablebodytextnospaceafter"/>
              <w:jc w:val="right"/>
              <w:rPr>
                <w:rStyle w:val="Emphasis"/>
              </w:rPr>
            </w:pPr>
            <w:r>
              <w:rPr>
                <w:rStyle w:val="Emphasis"/>
              </w:rPr>
              <w:t>113</w:t>
            </w:r>
          </w:p>
        </w:tc>
        <w:tc>
          <w:tcPr>
            <w:tcW w:w="1374" w:type="dxa"/>
          </w:tcPr>
          <w:p w14:paraId="7967BFDD" w14:textId="77777777" w:rsidR="00022A78" w:rsidRPr="00F83D9A" w:rsidRDefault="00022A78" w:rsidP="00022A78">
            <w:pPr>
              <w:pStyle w:val="Tablebodytextnospaceafter"/>
              <w:jc w:val="right"/>
              <w:rPr>
                <w:rStyle w:val="Emphasis"/>
                <w:b w:val="0"/>
                <w:bCs w:val="0"/>
                <w:color w:val="auto"/>
              </w:rPr>
            </w:pPr>
            <w:r w:rsidRPr="00F83D9A">
              <w:rPr>
                <w:rStyle w:val="Emphasis"/>
                <w:b w:val="0"/>
                <w:bCs w:val="0"/>
                <w:color w:val="auto"/>
              </w:rPr>
              <w:t>121</w:t>
            </w:r>
          </w:p>
        </w:tc>
      </w:tr>
      <w:tr w:rsidR="00022A78" w:rsidRPr="00CA5AB8" w14:paraId="169A86B8"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3C35D801" w14:textId="77777777" w:rsidR="00022A78" w:rsidRPr="00CA5AB8" w:rsidRDefault="00022A78" w:rsidP="00022A78">
            <w:pPr>
              <w:pStyle w:val="Tablebodytextnospaceafter"/>
            </w:pPr>
            <w:r>
              <w:t xml:space="preserve">% of unannounced inspections and visits </w:t>
            </w:r>
          </w:p>
        </w:tc>
        <w:tc>
          <w:tcPr>
            <w:tcW w:w="1373" w:type="dxa"/>
          </w:tcPr>
          <w:p w14:paraId="78AC7906" w14:textId="4A0BBD4F" w:rsidR="00022A78" w:rsidRPr="00CA5AB8" w:rsidRDefault="00D7543E" w:rsidP="000F5314">
            <w:pPr>
              <w:pStyle w:val="Tablebodytextnospaceafter"/>
              <w:tabs>
                <w:tab w:val="center" w:pos="813"/>
                <w:tab w:val="right" w:pos="1627"/>
              </w:tabs>
            </w:pPr>
            <w:r>
              <w:t xml:space="preserve"> </w:t>
            </w:r>
            <w:r w:rsidR="000F5314">
              <w:t xml:space="preserve">At least </w:t>
            </w:r>
            <w:r w:rsidR="00022A78">
              <w:t>40</w:t>
            </w:r>
            <w:r w:rsidR="00022A78">
              <w:rPr>
                <w:rStyle w:val="FootnoteReference"/>
                <w:bCs/>
                <w:iCs/>
                <w:color w:val="auto"/>
              </w:rPr>
              <w:footnoteReference w:id="57"/>
            </w:r>
          </w:p>
        </w:tc>
        <w:tc>
          <w:tcPr>
            <w:tcW w:w="1374" w:type="dxa"/>
          </w:tcPr>
          <w:p w14:paraId="0BABD325" w14:textId="2910205D" w:rsidR="00022A78" w:rsidRPr="00CA5AB8" w:rsidRDefault="00F41850" w:rsidP="00022A78">
            <w:pPr>
              <w:pStyle w:val="Tablebodytextnospaceafter"/>
              <w:jc w:val="right"/>
              <w:rPr>
                <w:rStyle w:val="Emphasis"/>
              </w:rPr>
            </w:pPr>
            <w:r>
              <w:rPr>
                <w:rStyle w:val="Emphasis"/>
              </w:rPr>
              <w:t>63</w:t>
            </w:r>
          </w:p>
        </w:tc>
        <w:tc>
          <w:tcPr>
            <w:tcW w:w="1374" w:type="dxa"/>
          </w:tcPr>
          <w:p w14:paraId="59CFDE93" w14:textId="5CE87B83" w:rsidR="00022A78" w:rsidRPr="00F83D9A" w:rsidRDefault="00022A78" w:rsidP="00022A78">
            <w:pPr>
              <w:pStyle w:val="Tablebodytextnospaceafter"/>
              <w:jc w:val="right"/>
              <w:rPr>
                <w:rStyle w:val="Emphasis"/>
                <w:b w:val="0"/>
                <w:bCs w:val="0"/>
                <w:color w:val="auto"/>
              </w:rPr>
            </w:pPr>
            <w:r w:rsidRPr="00F83D9A">
              <w:rPr>
                <w:rStyle w:val="Emphasis"/>
                <w:b w:val="0"/>
                <w:bCs w:val="0"/>
                <w:color w:val="auto"/>
              </w:rPr>
              <w:t>83</w:t>
            </w:r>
          </w:p>
        </w:tc>
      </w:tr>
      <w:tr w:rsidR="00022A78" w:rsidRPr="00CA5AB8" w14:paraId="7514DD0E"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412F081A" w14:textId="77777777" w:rsidR="00022A78" w:rsidRPr="00CA5AB8" w:rsidRDefault="00022A78" w:rsidP="00022A78">
            <w:pPr>
              <w:pStyle w:val="Tablebodytextnospaceafter"/>
            </w:pPr>
            <w:r>
              <w:t>% of feedback or reports sent to places of detention within 4 months</w:t>
            </w:r>
            <w:r>
              <w:rPr>
                <w:rStyle w:val="FootnoteReference"/>
              </w:rPr>
              <w:footnoteReference w:id="58"/>
            </w:r>
            <w:r>
              <w:rPr>
                <w:rStyle w:val="FootnoteReference"/>
              </w:rPr>
              <w:t xml:space="preserve"> </w:t>
            </w:r>
            <w:r>
              <w:t>of visit or inspection</w:t>
            </w:r>
          </w:p>
        </w:tc>
        <w:tc>
          <w:tcPr>
            <w:tcW w:w="1373" w:type="dxa"/>
          </w:tcPr>
          <w:p w14:paraId="44569D52" w14:textId="27157B00" w:rsidR="00022A78" w:rsidRPr="00CA5AB8" w:rsidRDefault="000F5314" w:rsidP="00022A78">
            <w:pPr>
              <w:pStyle w:val="Tablebodytextnospaceafter"/>
              <w:jc w:val="right"/>
            </w:pPr>
            <w:r>
              <w:t>9</w:t>
            </w:r>
            <w:r w:rsidR="00022A78">
              <w:t>0</w:t>
            </w:r>
          </w:p>
        </w:tc>
        <w:tc>
          <w:tcPr>
            <w:tcW w:w="1374" w:type="dxa"/>
          </w:tcPr>
          <w:p w14:paraId="49DE1E64" w14:textId="578472D8" w:rsidR="00022A78" w:rsidRPr="00CA5AB8" w:rsidRDefault="00F41850" w:rsidP="00022A78">
            <w:pPr>
              <w:pStyle w:val="Tablebodytextnospaceafter"/>
              <w:jc w:val="right"/>
              <w:rPr>
                <w:rStyle w:val="Emphasis"/>
              </w:rPr>
            </w:pPr>
            <w:r>
              <w:rPr>
                <w:rStyle w:val="Emphasis"/>
              </w:rPr>
              <w:t>100</w:t>
            </w:r>
          </w:p>
        </w:tc>
        <w:tc>
          <w:tcPr>
            <w:tcW w:w="1374" w:type="dxa"/>
          </w:tcPr>
          <w:p w14:paraId="6940C6BB" w14:textId="7E1C6CBD" w:rsidR="00022A78" w:rsidRPr="00F83D9A" w:rsidRDefault="00022A78" w:rsidP="00022A78">
            <w:pPr>
              <w:pStyle w:val="Tablebodytextnospaceafter"/>
              <w:jc w:val="right"/>
              <w:rPr>
                <w:rStyle w:val="Emphasis"/>
                <w:b w:val="0"/>
                <w:bCs w:val="0"/>
                <w:color w:val="auto"/>
              </w:rPr>
            </w:pPr>
            <w:r w:rsidRPr="00F83D9A">
              <w:rPr>
                <w:rStyle w:val="Emphasis"/>
                <w:b w:val="0"/>
                <w:bCs w:val="0"/>
                <w:color w:val="auto"/>
              </w:rPr>
              <w:t>100</w:t>
            </w:r>
          </w:p>
        </w:tc>
      </w:tr>
      <w:tr w:rsidR="00022A78" w:rsidRPr="00CA5AB8" w14:paraId="6365CEA0"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3C715C38" w14:textId="77777777" w:rsidR="00022A78" w:rsidRPr="00CA5AB8" w:rsidRDefault="00022A78" w:rsidP="00022A78">
            <w:pPr>
              <w:pStyle w:val="Tablebodytextnospaceafter"/>
            </w:pPr>
            <w:r>
              <w:t>% of reports reviewed against internal quality standards</w:t>
            </w:r>
          </w:p>
        </w:tc>
        <w:tc>
          <w:tcPr>
            <w:tcW w:w="1373" w:type="dxa"/>
          </w:tcPr>
          <w:p w14:paraId="63EBAD2E" w14:textId="57D6221C" w:rsidR="00022A78" w:rsidRPr="00CA5AB8" w:rsidRDefault="000F5314" w:rsidP="00022A78">
            <w:pPr>
              <w:pStyle w:val="Tablebodytextnospaceafter"/>
              <w:jc w:val="right"/>
            </w:pPr>
            <w:r>
              <w:t>5</w:t>
            </w:r>
            <w:r w:rsidR="00022A78">
              <w:t>0</w:t>
            </w:r>
            <w:r w:rsidR="00022A78">
              <w:rPr>
                <w:rStyle w:val="FootnoteReference"/>
              </w:rPr>
              <w:footnoteReference w:id="59"/>
            </w:r>
          </w:p>
        </w:tc>
        <w:tc>
          <w:tcPr>
            <w:tcW w:w="1374" w:type="dxa"/>
          </w:tcPr>
          <w:p w14:paraId="635F9992" w14:textId="46B787AA" w:rsidR="00022A78" w:rsidRPr="00CA5AB8" w:rsidRDefault="00F41850" w:rsidP="00022A78">
            <w:pPr>
              <w:pStyle w:val="Tablebodytextnospaceafter"/>
              <w:jc w:val="right"/>
              <w:rPr>
                <w:rStyle w:val="Emphasis"/>
              </w:rPr>
            </w:pPr>
            <w:r>
              <w:rPr>
                <w:rStyle w:val="Emphasis"/>
              </w:rPr>
              <w:t>100</w:t>
            </w:r>
          </w:p>
        </w:tc>
        <w:tc>
          <w:tcPr>
            <w:tcW w:w="1374" w:type="dxa"/>
          </w:tcPr>
          <w:p w14:paraId="65936A67" w14:textId="6E30BABD" w:rsidR="00022A78" w:rsidRPr="00F83D9A" w:rsidRDefault="00022A78" w:rsidP="00022A78">
            <w:pPr>
              <w:pStyle w:val="Tablebodytextnospaceafter"/>
              <w:jc w:val="right"/>
              <w:rPr>
                <w:rStyle w:val="Emphasis"/>
                <w:b w:val="0"/>
                <w:bCs w:val="0"/>
                <w:color w:val="auto"/>
              </w:rPr>
            </w:pPr>
            <w:r w:rsidRPr="00F83D9A">
              <w:rPr>
                <w:rStyle w:val="Emphasis"/>
                <w:b w:val="0"/>
                <w:bCs w:val="0"/>
              </w:rPr>
              <w:t>95</w:t>
            </w:r>
          </w:p>
        </w:tc>
      </w:tr>
      <w:tr w:rsidR="00022A78" w:rsidRPr="00CA5AB8" w14:paraId="756C3A77"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000000" w:fill="BFBFBF"/>
          </w:tcPr>
          <w:p w14:paraId="69D95FA4" w14:textId="79B3583F" w:rsidR="00022A78" w:rsidRPr="00CA5AB8" w:rsidRDefault="00022A78" w:rsidP="00022A78">
            <w:pPr>
              <w:pStyle w:val="Tablebodytextnospaceafter"/>
              <w:rPr>
                <w:rStyle w:val="Emphasis"/>
              </w:rPr>
            </w:pPr>
            <w:r>
              <w:rPr>
                <w:rStyle w:val="Emphasis"/>
              </w:rPr>
              <w:t xml:space="preserve">Output </w:t>
            </w:r>
            <w:r w:rsidR="00464680">
              <w:rPr>
                <w:rStyle w:val="Emphasis"/>
              </w:rPr>
              <w:t>8</w:t>
            </w:r>
            <w:r>
              <w:rPr>
                <w:rStyle w:val="Emphasis"/>
              </w:rPr>
              <w:t xml:space="preserve"> – Learn from, and assist to develop, international best practice</w:t>
            </w:r>
          </w:p>
        </w:tc>
        <w:tc>
          <w:tcPr>
            <w:tcW w:w="1373" w:type="dxa"/>
            <w:shd w:val="clear" w:color="000000" w:fill="BFBFBF"/>
          </w:tcPr>
          <w:p w14:paraId="533715A8" w14:textId="77777777" w:rsidR="00022A78" w:rsidRPr="00CA5AB8" w:rsidRDefault="00022A78" w:rsidP="00022A78">
            <w:pPr>
              <w:pStyle w:val="Tablebodytextnospaceafter"/>
              <w:rPr>
                <w:rStyle w:val="Emphasis"/>
              </w:rPr>
            </w:pPr>
          </w:p>
        </w:tc>
        <w:tc>
          <w:tcPr>
            <w:tcW w:w="1374" w:type="dxa"/>
            <w:shd w:val="clear" w:color="000000" w:fill="BFBFBF"/>
          </w:tcPr>
          <w:p w14:paraId="0346AA46" w14:textId="77777777" w:rsidR="00022A78" w:rsidRPr="00CA5AB8" w:rsidRDefault="00022A78" w:rsidP="00022A78">
            <w:pPr>
              <w:pStyle w:val="Tablebodytextnospaceafter"/>
              <w:rPr>
                <w:rStyle w:val="Emphasis"/>
              </w:rPr>
            </w:pPr>
          </w:p>
        </w:tc>
        <w:tc>
          <w:tcPr>
            <w:tcW w:w="1374" w:type="dxa"/>
            <w:shd w:val="clear" w:color="000000" w:fill="BFBFBF"/>
          </w:tcPr>
          <w:p w14:paraId="48FEE38B" w14:textId="77777777" w:rsidR="00022A78" w:rsidRPr="00F83D9A" w:rsidRDefault="00022A78" w:rsidP="00022A78">
            <w:pPr>
              <w:pStyle w:val="Tablebodytextnospaceafter"/>
              <w:rPr>
                <w:rStyle w:val="Emphasis"/>
                <w:b w:val="0"/>
                <w:bCs w:val="0"/>
              </w:rPr>
            </w:pPr>
          </w:p>
        </w:tc>
      </w:tr>
      <w:tr w:rsidR="00022A78" w:rsidRPr="00CA5AB8" w14:paraId="6B2DF7B8"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shd w:val="clear" w:color="auto" w:fill="D3D3D3"/>
          </w:tcPr>
          <w:p w14:paraId="540BD872" w14:textId="77777777" w:rsidR="00022A78" w:rsidRPr="00CA5AB8" w:rsidRDefault="00022A78" w:rsidP="00022A78">
            <w:pPr>
              <w:pStyle w:val="Tablebodytextnospaceafter"/>
              <w:rPr>
                <w:rStyle w:val="Emphasis"/>
              </w:rPr>
            </w:pPr>
            <w:r>
              <w:rPr>
                <w:rStyle w:val="Emphasis"/>
              </w:rPr>
              <w:t>Demand-driven measures</w:t>
            </w:r>
          </w:p>
        </w:tc>
        <w:tc>
          <w:tcPr>
            <w:tcW w:w="1373" w:type="dxa"/>
            <w:shd w:val="clear" w:color="auto" w:fill="D3D3D3"/>
          </w:tcPr>
          <w:p w14:paraId="657B78EF" w14:textId="77777777" w:rsidR="00022A78" w:rsidRPr="00CA5AB8" w:rsidRDefault="00022A78" w:rsidP="00022A78">
            <w:pPr>
              <w:pStyle w:val="Tablebodytextnospaceafter"/>
            </w:pPr>
          </w:p>
        </w:tc>
        <w:tc>
          <w:tcPr>
            <w:tcW w:w="1374" w:type="dxa"/>
            <w:shd w:val="clear" w:color="auto" w:fill="D3D3D3"/>
          </w:tcPr>
          <w:p w14:paraId="4CDB5BC4" w14:textId="77777777" w:rsidR="00022A78" w:rsidRPr="00CA5AB8" w:rsidRDefault="00022A78" w:rsidP="00022A78">
            <w:pPr>
              <w:pStyle w:val="Tablebodytextnospaceafter"/>
            </w:pPr>
          </w:p>
        </w:tc>
        <w:tc>
          <w:tcPr>
            <w:tcW w:w="1374" w:type="dxa"/>
            <w:shd w:val="clear" w:color="auto" w:fill="D3D3D3"/>
          </w:tcPr>
          <w:p w14:paraId="165C3A1C" w14:textId="77777777" w:rsidR="00022A78" w:rsidRPr="00F83D9A" w:rsidRDefault="00022A78" w:rsidP="00022A78">
            <w:pPr>
              <w:pStyle w:val="Tablebodytextnospaceafter"/>
            </w:pPr>
          </w:p>
        </w:tc>
      </w:tr>
      <w:tr w:rsidR="00022A78" w:rsidRPr="00CA5AB8" w14:paraId="1D4EB4CC"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5D854CD9" w14:textId="77777777" w:rsidR="00022A78" w:rsidRPr="00CA5AB8" w:rsidRDefault="00022A78" w:rsidP="00022A78">
            <w:pPr>
              <w:pStyle w:val="Tablebodytextnospaceafter"/>
            </w:pPr>
            <w:r>
              <w:t># of requests for collaboration with overseas Ombudsmen and integrity institutions responded to</w:t>
            </w:r>
            <w:r>
              <w:rPr>
                <w:rStyle w:val="FootnoteReference"/>
              </w:rPr>
              <w:footnoteReference w:id="60"/>
            </w:r>
            <w:r>
              <w:t xml:space="preserve"> </w:t>
            </w:r>
          </w:p>
        </w:tc>
        <w:tc>
          <w:tcPr>
            <w:tcW w:w="1373" w:type="dxa"/>
          </w:tcPr>
          <w:p w14:paraId="5DE1F62D" w14:textId="2EEFD520" w:rsidR="00022A78" w:rsidRPr="00CA5AB8" w:rsidRDefault="00084252" w:rsidP="00022A78">
            <w:pPr>
              <w:pStyle w:val="Tablebodytextnospaceafter"/>
              <w:jc w:val="right"/>
            </w:pPr>
            <w:r>
              <w:t>15</w:t>
            </w:r>
            <w:r w:rsidR="00610F1D">
              <w:t>–</w:t>
            </w:r>
            <w:r>
              <w:t>20</w:t>
            </w:r>
            <w:r>
              <w:rPr>
                <w:rStyle w:val="FootnoteReference"/>
              </w:rPr>
              <w:footnoteReference w:id="61"/>
            </w:r>
            <w:r>
              <w:t xml:space="preserve"> </w:t>
            </w:r>
          </w:p>
        </w:tc>
        <w:tc>
          <w:tcPr>
            <w:tcW w:w="1374" w:type="dxa"/>
          </w:tcPr>
          <w:p w14:paraId="40ADF1EB" w14:textId="67D231FB" w:rsidR="00022A78" w:rsidRPr="00CA5AB8" w:rsidRDefault="00F41850" w:rsidP="00F41850">
            <w:pPr>
              <w:pStyle w:val="Tablebodytextnospaceafter"/>
              <w:jc w:val="right"/>
              <w:rPr>
                <w:rStyle w:val="Emphasis"/>
              </w:rPr>
            </w:pPr>
            <w:r>
              <w:rPr>
                <w:rStyle w:val="Emphasis"/>
              </w:rPr>
              <w:t>27</w:t>
            </w:r>
          </w:p>
        </w:tc>
        <w:tc>
          <w:tcPr>
            <w:tcW w:w="1374" w:type="dxa"/>
          </w:tcPr>
          <w:p w14:paraId="6C26887B" w14:textId="34BD650E" w:rsidR="00022A78" w:rsidRPr="00F83D9A" w:rsidRDefault="00022A78" w:rsidP="00022A78">
            <w:pPr>
              <w:pStyle w:val="Tablebodytextnospaceafter"/>
              <w:jc w:val="right"/>
              <w:rPr>
                <w:rStyle w:val="Emphasis"/>
                <w:b w:val="0"/>
                <w:bCs w:val="0"/>
              </w:rPr>
            </w:pPr>
            <w:r w:rsidRPr="00F83D9A">
              <w:rPr>
                <w:rStyle w:val="Emphasis"/>
                <w:b w:val="0"/>
                <w:bCs w:val="0"/>
              </w:rPr>
              <w:t>65</w:t>
            </w:r>
          </w:p>
        </w:tc>
      </w:tr>
      <w:tr w:rsidR="00022A78" w:rsidRPr="00CA5AB8" w14:paraId="453D8282"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6F7AAEFA" w14:textId="77777777" w:rsidR="00022A78" w:rsidRPr="00CA5AB8" w:rsidRDefault="00022A78" w:rsidP="00022A78">
            <w:pPr>
              <w:pStyle w:val="Tablebodytextnospaceafter"/>
            </w:pPr>
            <w:r>
              <w:t xml:space="preserve"># of international initiatives facilitated or delegations and placements hosted </w:t>
            </w:r>
          </w:p>
        </w:tc>
        <w:tc>
          <w:tcPr>
            <w:tcW w:w="1373" w:type="dxa"/>
          </w:tcPr>
          <w:p w14:paraId="5097A7DA" w14:textId="60DA9756" w:rsidR="00022A78" w:rsidRPr="00CA5AB8" w:rsidRDefault="00022A78" w:rsidP="00022A78">
            <w:pPr>
              <w:pStyle w:val="Tablebodytextnospaceafter"/>
              <w:jc w:val="right"/>
            </w:pPr>
            <w:r>
              <w:t>2–10</w:t>
            </w:r>
            <w:r w:rsidR="00084252">
              <w:rPr>
                <w:rStyle w:val="FootnoteReference"/>
              </w:rPr>
              <w:footnoteReference w:id="62"/>
            </w:r>
          </w:p>
        </w:tc>
        <w:tc>
          <w:tcPr>
            <w:tcW w:w="1374" w:type="dxa"/>
          </w:tcPr>
          <w:p w14:paraId="650F39EC" w14:textId="40E84ACD" w:rsidR="00022A78" w:rsidRPr="00CA5AB8" w:rsidRDefault="00F41850" w:rsidP="00F41850">
            <w:pPr>
              <w:pStyle w:val="Tablebodytextnospaceafter"/>
              <w:jc w:val="right"/>
              <w:rPr>
                <w:rStyle w:val="Emphasis"/>
              </w:rPr>
            </w:pPr>
            <w:r>
              <w:rPr>
                <w:rStyle w:val="Emphasis"/>
              </w:rPr>
              <w:t>16</w:t>
            </w:r>
          </w:p>
        </w:tc>
        <w:tc>
          <w:tcPr>
            <w:tcW w:w="1374" w:type="dxa"/>
          </w:tcPr>
          <w:p w14:paraId="142E09E0" w14:textId="04D030F9" w:rsidR="00022A78" w:rsidRPr="00F83D9A" w:rsidRDefault="00022A78" w:rsidP="00022A78">
            <w:pPr>
              <w:pStyle w:val="Tablebodytextnospaceafter"/>
              <w:jc w:val="right"/>
              <w:rPr>
                <w:rStyle w:val="Emphasis"/>
                <w:b w:val="0"/>
                <w:bCs w:val="0"/>
              </w:rPr>
            </w:pPr>
            <w:r w:rsidRPr="00F83D9A">
              <w:rPr>
                <w:rStyle w:val="Emphasis"/>
                <w:b w:val="0"/>
                <w:bCs w:val="0"/>
              </w:rPr>
              <w:t>16</w:t>
            </w:r>
          </w:p>
        </w:tc>
      </w:tr>
      <w:tr w:rsidR="00022A78" w:rsidRPr="00CA5AB8" w14:paraId="7D970EFE"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shd w:val="clear" w:color="auto" w:fill="D3D3D3"/>
          </w:tcPr>
          <w:p w14:paraId="63C48E8A" w14:textId="77777777" w:rsidR="00022A78" w:rsidRPr="00CA5AB8" w:rsidRDefault="00022A78" w:rsidP="00022A78">
            <w:pPr>
              <w:pStyle w:val="Tablebodytextnospaceafter"/>
              <w:rPr>
                <w:rStyle w:val="Emphasis"/>
              </w:rPr>
            </w:pPr>
            <w:r>
              <w:rPr>
                <w:rStyle w:val="Emphasis"/>
              </w:rPr>
              <w:t xml:space="preserve">Proactive measures </w:t>
            </w:r>
          </w:p>
        </w:tc>
        <w:tc>
          <w:tcPr>
            <w:tcW w:w="1373" w:type="dxa"/>
            <w:shd w:val="clear" w:color="auto" w:fill="D3D3D3"/>
          </w:tcPr>
          <w:p w14:paraId="069D31C2" w14:textId="77777777" w:rsidR="00022A78" w:rsidRPr="00CA5AB8" w:rsidRDefault="00022A78" w:rsidP="00022A78">
            <w:pPr>
              <w:pStyle w:val="Tablebodytextnospaceafter"/>
            </w:pPr>
          </w:p>
        </w:tc>
        <w:tc>
          <w:tcPr>
            <w:tcW w:w="1374" w:type="dxa"/>
            <w:shd w:val="clear" w:color="auto" w:fill="D3D3D3"/>
          </w:tcPr>
          <w:p w14:paraId="578A88FC" w14:textId="77777777" w:rsidR="00022A78" w:rsidRPr="00CA5AB8" w:rsidRDefault="00022A78" w:rsidP="00F41850">
            <w:pPr>
              <w:pStyle w:val="Tablebodytextnospaceafter"/>
              <w:jc w:val="right"/>
              <w:rPr>
                <w:rStyle w:val="Emphasis"/>
              </w:rPr>
            </w:pPr>
          </w:p>
        </w:tc>
        <w:tc>
          <w:tcPr>
            <w:tcW w:w="1374" w:type="dxa"/>
            <w:shd w:val="clear" w:color="auto" w:fill="D3D3D3"/>
          </w:tcPr>
          <w:p w14:paraId="78B61D82" w14:textId="77777777" w:rsidR="00022A78" w:rsidRPr="00F83D9A" w:rsidRDefault="00022A78" w:rsidP="00022A78">
            <w:pPr>
              <w:pStyle w:val="Tablebodytextnospaceafter"/>
            </w:pPr>
          </w:p>
        </w:tc>
      </w:tr>
      <w:tr w:rsidR="00022A78" w:rsidRPr="00CA5AB8" w14:paraId="5DCF00DA" w14:textId="77777777" w:rsidTr="0097717D">
        <w:trPr>
          <w:cnfStyle w:val="000000100000" w:firstRow="0" w:lastRow="0" w:firstColumn="0" w:lastColumn="0" w:oddVBand="0" w:evenVBand="0" w:oddHBand="1" w:evenHBand="0" w:firstRowFirstColumn="0" w:firstRowLastColumn="0" w:lastRowFirstColumn="0" w:lastRowLastColumn="0"/>
          <w:trHeight w:val="60"/>
        </w:trPr>
        <w:tc>
          <w:tcPr>
            <w:tcW w:w="5127" w:type="dxa"/>
          </w:tcPr>
          <w:p w14:paraId="27270F66" w14:textId="77777777" w:rsidR="00022A78" w:rsidRPr="00CA5AB8" w:rsidRDefault="00022A78" w:rsidP="00022A78">
            <w:pPr>
              <w:pStyle w:val="Tablebodytextnospaceafter"/>
            </w:pPr>
            <w:r>
              <w:t xml:space="preserve"># of resources and publications for overseas stakeholders produced or updated </w:t>
            </w:r>
          </w:p>
        </w:tc>
        <w:tc>
          <w:tcPr>
            <w:tcW w:w="1373" w:type="dxa"/>
          </w:tcPr>
          <w:p w14:paraId="20868FE7" w14:textId="0CBCD100" w:rsidR="00022A78" w:rsidRPr="00CA5AB8" w:rsidRDefault="00084252" w:rsidP="00022A78">
            <w:pPr>
              <w:pStyle w:val="Tablebodytextnospaceafter"/>
              <w:jc w:val="right"/>
            </w:pPr>
            <w:r>
              <w:t>5</w:t>
            </w:r>
            <w:r>
              <w:rPr>
                <w:rStyle w:val="FootnoteReference"/>
              </w:rPr>
              <w:footnoteReference w:id="63"/>
            </w:r>
          </w:p>
        </w:tc>
        <w:tc>
          <w:tcPr>
            <w:tcW w:w="1374" w:type="dxa"/>
          </w:tcPr>
          <w:p w14:paraId="654B4E35" w14:textId="2A8A7297" w:rsidR="00022A78" w:rsidRPr="00CA5AB8" w:rsidRDefault="00F41850" w:rsidP="00F41850">
            <w:pPr>
              <w:pStyle w:val="Tablebodytextnospaceafter"/>
              <w:jc w:val="right"/>
              <w:rPr>
                <w:rStyle w:val="Emphasis"/>
              </w:rPr>
            </w:pPr>
            <w:r>
              <w:rPr>
                <w:rStyle w:val="Emphasis"/>
              </w:rPr>
              <w:t>5</w:t>
            </w:r>
          </w:p>
        </w:tc>
        <w:tc>
          <w:tcPr>
            <w:tcW w:w="1374" w:type="dxa"/>
          </w:tcPr>
          <w:p w14:paraId="1504376D" w14:textId="77777777" w:rsidR="00022A78" w:rsidRPr="00F83D9A" w:rsidRDefault="00022A78" w:rsidP="00022A78">
            <w:pPr>
              <w:pStyle w:val="Tablebodytextnospaceafter"/>
              <w:jc w:val="right"/>
              <w:rPr>
                <w:rStyle w:val="Emphasis"/>
                <w:b w:val="0"/>
                <w:bCs w:val="0"/>
              </w:rPr>
            </w:pPr>
            <w:r w:rsidRPr="00F83D9A">
              <w:rPr>
                <w:rStyle w:val="Emphasis"/>
                <w:b w:val="0"/>
                <w:bCs w:val="0"/>
              </w:rPr>
              <w:t>10</w:t>
            </w:r>
          </w:p>
        </w:tc>
      </w:tr>
      <w:tr w:rsidR="00022A78" w:rsidRPr="00CA5AB8" w14:paraId="2BBD719E" w14:textId="77777777" w:rsidTr="0097717D">
        <w:trPr>
          <w:cnfStyle w:val="000000010000" w:firstRow="0" w:lastRow="0" w:firstColumn="0" w:lastColumn="0" w:oddVBand="0" w:evenVBand="0" w:oddHBand="0" w:evenHBand="1" w:firstRowFirstColumn="0" w:firstRowLastColumn="0" w:lastRowFirstColumn="0" w:lastRowLastColumn="0"/>
          <w:trHeight w:val="60"/>
        </w:trPr>
        <w:tc>
          <w:tcPr>
            <w:tcW w:w="5127" w:type="dxa"/>
          </w:tcPr>
          <w:p w14:paraId="69608422" w14:textId="77777777" w:rsidR="00022A78" w:rsidRPr="00CA5AB8" w:rsidRDefault="00022A78" w:rsidP="00022A78">
            <w:pPr>
              <w:pStyle w:val="Tablebodytextnospaceafter"/>
            </w:pPr>
            <w:r>
              <w:t xml:space="preserve">% of overseas stakeholders who report value in collaboration </w:t>
            </w:r>
          </w:p>
        </w:tc>
        <w:tc>
          <w:tcPr>
            <w:tcW w:w="1373" w:type="dxa"/>
          </w:tcPr>
          <w:p w14:paraId="36B9FD7F" w14:textId="0FF8D312" w:rsidR="00022A78" w:rsidRPr="00CA5AB8" w:rsidRDefault="00022A78" w:rsidP="00022A78">
            <w:pPr>
              <w:pStyle w:val="Tablebodytextnospaceafter"/>
              <w:jc w:val="right"/>
            </w:pPr>
            <w:r>
              <w:t>95</w:t>
            </w:r>
          </w:p>
        </w:tc>
        <w:tc>
          <w:tcPr>
            <w:tcW w:w="1374" w:type="dxa"/>
          </w:tcPr>
          <w:p w14:paraId="183EAF41" w14:textId="4CD7A195" w:rsidR="00022A78" w:rsidRPr="00CA5AB8" w:rsidRDefault="007D30FF" w:rsidP="00022A78">
            <w:pPr>
              <w:pStyle w:val="Tablebodytextnospaceafter"/>
              <w:jc w:val="right"/>
              <w:rPr>
                <w:rStyle w:val="Emphasis"/>
              </w:rPr>
            </w:pPr>
            <w:r>
              <w:rPr>
                <w:rStyle w:val="Emphasis"/>
              </w:rPr>
              <w:t>100</w:t>
            </w:r>
          </w:p>
        </w:tc>
        <w:tc>
          <w:tcPr>
            <w:tcW w:w="1374" w:type="dxa"/>
          </w:tcPr>
          <w:p w14:paraId="37D61A58" w14:textId="6A44E903" w:rsidR="00022A78" w:rsidRPr="00F83D9A" w:rsidRDefault="00022A78" w:rsidP="00022A78">
            <w:pPr>
              <w:pStyle w:val="Tablebodytextnospaceafter"/>
              <w:jc w:val="right"/>
              <w:rPr>
                <w:rStyle w:val="Emphasis"/>
                <w:b w:val="0"/>
                <w:bCs w:val="0"/>
              </w:rPr>
            </w:pPr>
            <w:r w:rsidRPr="00F83D9A">
              <w:rPr>
                <w:rStyle w:val="Emphasis"/>
                <w:b w:val="0"/>
                <w:bCs w:val="0"/>
              </w:rPr>
              <w:t>100</w:t>
            </w:r>
          </w:p>
        </w:tc>
      </w:tr>
    </w:tbl>
    <w:p w14:paraId="2474752E" w14:textId="77777777" w:rsidR="00E423CB" w:rsidRPr="00CA5AB8" w:rsidRDefault="00E423CB" w:rsidP="00E423CB">
      <w:pPr>
        <w:pStyle w:val="Whitespace"/>
      </w:pPr>
    </w:p>
    <w:p w14:paraId="64B1764B" w14:textId="3E823471" w:rsidR="00E423CB" w:rsidRDefault="00E423CB" w:rsidP="00E423CB">
      <w:pPr>
        <w:pStyle w:val="BodyText"/>
      </w:pPr>
      <w:bookmarkStart w:id="77" w:name="_Statement_of_comprehensive"/>
      <w:bookmarkEnd w:id="77"/>
      <w:r w:rsidRPr="00CA5AB8">
        <w:t>The cost of delivery of</w:t>
      </w:r>
      <w:r>
        <w:t xml:space="preserve"> these </w:t>
      </w:r>
      <w:r w:rsidRPr="00CA5AB8">
        <w:t>results is detailed in the next section.</w:t>
      </w:r>
    </w:p>
    <w:p w14:paraId="2786A24E" w14:textId="172AEC21" w:rsidR="00E423CB" w:rsidRDefault="00E423CB" w:rsidP="00E423CB">
      <w:pPr>
        <w:pStyle w:val="Heading2"/>
      </w:pPr>
      <w:bookmarkStart w:id="78" w:name="_Appropriation_statements"/>
      <w:bookmarkEnd w:id="78"/>
      <w:r>
        <w:t xml:space="preserve">Appropriation statements </w:t>
      </w:r>
    </w:p>
    <w:p w14:paraId="2C839393" w14:textId="68BB7FED" w:rsidR="00623386" w:rsidRDefault="00623386" w:rsidP="00E423CB">
      <w:pPr>
        <w:pStyle w:val="BodyText"/>
      </w:pPr>
      <w:r w:rsidRPr="00FA2C1D">
        <w:t>The following statements report information about the expenses and capital expenditure incurred against each appropriation administered by the Office for the year ended 30 June 202</w:t>
      </w:r>
      <w:r>
        <w:t>6</w:t>
      </w:r>
      <w:r w:rsidRPr="00FA2C1D">
        <w:t xml:space="preserve">. </w:t>
      </w:r>
    </w:p>
    <w:tbl>
      <w:tblPr>
        <w:tblStyle w:val="TableGridAnnualReport221"/>
        <w:tblW w:w="5000" w:type="pct"/>
        <w:jc w:val="right"/>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1265"/>
        <w:gridCol w:w="2809"/>
        <w:gridCol w:w="1301"/>
        <w:gridCol w:w="1301"/>
        <w:gridCol w:w="1301"/>
        <w:gridCol w:w="1301"/>
      </w:tblGrid>
      <w:tr w:rsidR="0080790F" w:rsidRPr="00FA2C1D" w14:paraId="4E43068F" w14:textId="77777777" w:rsidTr="00F7082D">
        <w:trPr>
          <w:cnfStyle w:val="100000000000" w:firstRow="1" w:lastRow="0" w:firstColumn="0" w:lastColumn="0" w:oddVBand="0" w:evenVBand="0" w:oddHBand="0" w:evenHBand="0" w:firstRowFirstColumn="0" w:firstRowLastColumn="0" w:lastRowFirstColumn="0" w:lastRowLastColumn="0"/>
          <w:trHeight w:val="20"/>
          <w:tblHeader/>
          <w:jc w:val="right"/>
        </w:trPr>
        <w:tc>
          <w:tcPr>
            <w:cnfStyle w:val="001000000000" w:firstRow="0" w:lastRow="0" w:firstColumn="1" w:lastColumn="0" w:oddVBand="0" w:evenVBand="0" w:oddHBand="0" w:evenHBand="0" w:firstRowFirstColumn="0" w:firstRowLastColumn="0" w:lastRowFirstColumn="0" w:lastRowLastColumn="0"/>
            <w:tcW w:w="682" w:type="pct"/>
            <w:shd w:val="clear" w:color="auto" w:fill="017E5D"/>
            <w:hideMark/>
          </w:tcPr>
          <w:p w14:paraId="72A1727D" w14:textId="77777777" w:rsidR="0080790F" w:rsidRPr="00FE1D2E" w:rsidRDefault="0080790F" w:rsidP="0080790F">
            <w:pPr>
              <w:keepNext/>
              <w:spacing w:before="60" w:after="60" w:line="240" w:lineRule="auto"/>
              <w:jc w:val="right"/>
              <w:rPr>
                <w:color w:val="FFFFFF" w:themeColor="background1"/>
                <w:sz w:val="22"/>
              </w:rPr>
            </w:pPr>
            <w:r w:rsidRPr="00FE1D2E">
              <w:rPr>
                <w:color w:val="FFFFFF" w:themeColor="background1"/>
                <w:sz w:val="22"/>
              </w:rPr>
              <w:t>Actual</w:t>
            </w:r>
            <w:r w:rsidRPr="00FE1D2E">
              <w:rPr>
                <w:color w:val="FFFFFF" w:themeColor="background1"/>
                <w:sz w:val="22"/>
              </w:rPr>
              <w:br/>
              <w:t>2024/25</w:t>
            </w:r>
            <w:r w:rsidRPr="00FE1D2E">
              <w:rPr>
                <w:color w:val="FFFFFF" w:themeColor="background1"/>
                <w:sz w:val="22"/>
              </w:rPr>
              <w:br/>
            </w:r>
            <w:r w:rsidRPr="00FE1D2E">
              <w:rPr>
                <w:color w:val="FFFFFF" w:themeColor="background1"/>
                <w:sz w:val="22"/>
              </w:rPr>
              <w:br/>
              <w:t>$(000)</w:t>
            </w:r>
          </w:p>
        </w:tc>
        <w:tc>
          <w:tcPr>
            <w:tcW w:w="1514" w:type="pct"/>
            <w:shd w:val="clear" w:color="auto" w:fill="017E5D"/>
          </w:tcPr>
          <w:p w14:paraId="36B2252A" w14:textId="77777777" w:rsidR="0080790F" w:rsidRPr="00FE1D2E" w:rsidRDefault="0080790F" w:rsidP="0080790F">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p>
        </w:tc>
        <w:tc>
          <w:tcPr>
            <w:tcW w:w="701" w:type="pct"/>
            <w:shd w:val="clear" w:color="auto" w:fill="017E5D"/>
            <w:hideMark/>
          </w:tcPr>
          <w:p w14:paraId="18F85CE3" w14:textId="77777777" w:rsidR="0080790F" w:rsidRPr="00FE1D2E" w:rsidRDefault="0080790F" w:rsidP="0080790F">
            <w:pPr>
              <w:pStyle w:val="Tableheadingrow1"/>
              <w:cnfStyle w:val="100000000000" w:firstRow="1" w:lastRow="0" w:firstColumn="0" w:lastColumn="0" w:oddVBand="0" w:evenVBand="0" w:oddHBand="0" w:evenHBand="0" w:firstRowFirstColumn="0" w:firstRowLastColumn="0" w:lastRowFirstColumn="0" w:lastRowLastColumn="0"/>
              <w:rPr>
                <w:sz w:val="22"/>
              </w:rPr>
            </w:pPr>
            <w:r w:rsidRPr="00FE1D2E">
              <w:rPr>
                <w:sz w:val="22"/>
              </w:rPr>
              <w:t>Actual</w:t>
            </w:r>
          </w:p>
          <w:p w14:paraId="58F862AB" w14:textId="44AB39DB" w:rsidR="0080790F" w:rsidRPr="00FE1D2E" w:rsidRDefault="0080790F" w:rsidP="0080790F">
            <w:pPr>
              <w:pStyle w:val="Tableheadingrow1"/>
              <w:cnfStyle w:val="100000000000" w:firstRow="1" w:lastRow="0" w:firstColumn="0" w:lastColumn="0" w:oddVBand="0" w:evenVBand="0" w:oddHBand="0" w:evenHBand="0" w:firstRowFirstColumn="0" w:firstRowLastColumn="0" w:lastRowFirstColumn="0" w:lastRowLastColumn="0"/>
              <w:rPr>
                <w:sz w:val="22"/>
              </w:rPr>
            </w:pPr>
            <w:r w:rsidRPr="00FE1D2E">
              <w:rPr>
                <w:sz w:val="22"/>
              </w:rPr>
              <w:t>2025/26</w:t>
            </w:r>
            <w:r w:rsidRPr="00FE1D2E">
              <w:rPr>
                <w:sz w:val="22"/>
              </w:rPr>
              <w:br/>
            </w:r>
            <w:r w:rsidRPr="00FE1D2E">
              <w:rPr>
                <w:sz w:val="22"/>
              </w:rPr>
              <w:br/>
            </w:r>
            <w:r w:rsidRPr="00FE1D2E">
              <w:rPr>
                <w:sz w:val="22"/>
              </w:rPr>
              <w:br/>
              <w:t>$(000)</w:t>
            </w:r>
          </w:p>
        </w:tc>
        <w:tc>
          <w:tcPr>
            <w:tcW w:w="701" w:type="pct"/>
            <w:shd w:val="clear" w:color="auto" w:fill="017E5D"/>
            <w:hideMark/>
          </w:tcPr>
          <w:p w14:paraId="03A393A0" w14:textId="77777777" w:rsidR="0080790F" w:rsidRPr="00FE1D2E" w:rsidRDefault="0080790F" w:rsidP="0080790F">
            <w:pPr>
              <w:pStyle w:val="Tableheadingrow1"/>
              <w:cnfStyle w:val="100000000000" w:firstRow="1" w:lastRow="0" w:firstColumn="0" w:lastColumn="0" w:oddVBand="0" w:evenVBand="0" w:oddHBand="0" w:evenHBand="0" w:firstRowFirstColumn="0" w:firstRowLastColumn="0" w:lastRowFirstColumn="0" w:lastRowLastColumn="0"/>
              <w:rPr>
                <w:sz w:val="22"/>
              </w:rPr>
            </w:pPr>
            <w:r w:rsidRPr="00FE1D2E">
              <w:rPr>
                <w:sz w:val="22"/>
              </w:rPr>
              <w:t>Main</w:t>
            </w:r>
            <w:r w:rsidRPr="00FE1D2E">
              <w:rPr>
                <w:sz w:val="22"/>
              </w:rPr>
              <w:br/>
              <w:t>Estimates</w:t>
            </w:r>
          </w:p>
          <w:p w14:paraId="4BEE2857" w14:textId="09FB0274" w:rsidR="0080790F" w:rsidRPr="00FE1D2E" w:rsidRDefault="0080790F" w:rsidP="0080790F">
            <w:pPr>
              <w:pStyle w:val="Tableheadingrow1"/>
              <w:cnfStyle w:val="100000000000" w:firstRow="1" w:lastRow="0" w:firstColumn="0" w:lastColumn="0" w:oddVBand="0" w:evenVBand="0" w:oddHBand="0" w:evenHBand="0" w:firstRowFirstColumn="0" w:firstRowLastColumn="0" w:lastRowFirstColumn="0" w:lastRowLastColumn="0"/>
              <w:rPr>
                <w:sz w:val="22"/>
              </w:rPr>
            </w:pPr>
            <w:r w:rsidRPr="00FE1D2E">
              <w:rPr>
                <w:sz w:val="22"/>
              </w:rPr>
              <w:t>2025/26*</w:t>
            </w:r>
            <w:r w:rsidRPr="00FE1D2E">
              <w:rPr>
                <w:sz w:val="22"/>
              </w:rPr>
              <w:br/>
            </w:r>
            <w:r w:rsidRPr="00FE1D2E">
              <w:rPr>
                <w:sz w:val="22"/>
              </w:rPr>
              <w:br/>
              <w:t>$(000)</w:t>
            </w:r>
          </w:p>
        </w:tc>
        <w:tc>
          <w:tcPr>
            <w:tcW w:w="701" w:type="pct"/>
            <w:shd w:val="clear" w:color="auto" w:fill="017E5D"/>
            <w:hideMark/>
          </w:tcPr>
          <w:p w14:paraId="4061E7BB" w14:textId="77777777" w:rsidR="0080790F" w:rsidRPr="00FE1D2E" w:rsidRDefault="0080790F" w:rsidP="0080790F">
            <w:pPr>
              <w:pStyle w:val="Tableheadingrow1"/>
              <w:cnfStyle w:val="100000000000" w:firstRow="1" w:lastRow="0" w:firstColumn="0" w:lastColumn="0" w:oddVBand="0" w:evenVBand="0" w:oddHBand="0" w:evenHBand="0" w:firstRowFirstColumn="0" w:firstRowLastColumn="0" w:lastRowFirstColumn="0" w:lastRowLastColumn="0"/>
              <w:rPr>
                <w:sz w:val="22"/>
              </w:rPr>
            </w:pPr>
            <w:r w:rsidRPr="00FE1D2E">
              <w:rPr>
                <w:sz w:val="22"/>
              </w:rPr>
              <w:t>Supp.</w:t>
            </w:r>
            <w:r w:rsidRPr="00FE1D2E">
              <w:rPr>
                <w:sz w:val="22"/>
              </w:rPr>
              <w:br/>
              <w:t>Estimates</w:t>
            </w:r>
          </w:p>
          <w:p w14:paraId="0A8E72DE" w14:textId="14357E76" w:rsidR="0080790F" w:rsidRPr="00FE1D2E" w:rsidRDefault="0080790F" w:rsidP="0080790F">
            <w:pPr>
              <w:pStyle w:val="Tableheadingrow1"/>
              <w:cnfStyle w:val="100000000000" w:firstRow="1" w:lastRow="0" w:firstColumn="0" w:lastColumn="0" w:oddVBand="0" w:evenVBand="0" w:oddHBand="0" w:evenHBand="0" w:firstRowFirstColumn="0" w:firstRowLastColumn="0" w:lastRowFirstColumn="0" w:lastRowLastColumn="0"/>
              <w:rPr>
                <w:sz w:val="22"/>
              </w:rPr>
            </w:pPr>
            <w:r w:rsidRPr="00FE1D2E">
              <w:rPr>
                <w:sz w:val="22"/>
              </w:rPr>
              <w:t>2025/26*</w:t>
            </w:r>
            <w:r w:rsidRPr="00FE1D2E">
              <w:rPr>
                <w:sz w:val="22"/>
              </w:rPr>
              <w:br/>
            </w:r>
            <w:r w:rsidRPr="00FE1D2E">
              <w:rPr>
                <w:sz w:val="22"/>
              </w:rPr>
              <w:br/>
              <w:t>$(000)</w:t>
            </w:r>
          </w:p>
        </w:tc>
        <w:tc>
          <w:tcPr>
            <w:tcW w:w="701" w:type="pct"/>
            <w:shd w:val="clear" w:color="auto" w:fill="017E5D"/>
            <w:hideMark/>
          </w:tcPr>
          <w:p w14:paraId="50B62A6A" w14:textId="320A4757" w:rsidR="0080790F" w:rsidRPr="00FE1D2E" w:rsidRDefault="0080790F" w:rsidP="0080790F">
            <w:pPr>
              <w:pStyle w:val="Tableheadingrow1"/>
              <w:cnfStyle w:val="100000000000" w:firstRow="1" w:lastRow="0" w:firstColumn="0" w:lastColumn="0" w:oddVBand="0" w:evenVBand="0" w:oddHBand="0" w:evenHBand="0" w:firstRowFirstColumn="0" w:firstRowLastColumn="0" w:lastRowFirstColumn="0" w:lastRowLastColumn="0"/>
              <w:rPr>
                <w:sz w:val="22"/>
              </w:rPr>
            </w:pPr>
            <w:r w:rsidRPr="00FE1D2E">
              <w:rPr>
                <w:rStyle w:val="FootnoteReference"/>
                <w:sz w:val="22"/>
              </w:rPr>
              <w:footnoteReference w:id="64"/>
            </w:r>
            <w:r w:rsidRPr="00FE1D2E">
              <w:rPr>
                <w:sz w:val="22"/>
              </w:rPr>
              <w:t>Main</w:t>
            </w:r>
            <w:r w:rsidRPr="00FE1D2E">
              <w:rPr>
                <w:sz w:val="22"/>
              </w:rPr>
              <w:br/>
              <w:t>Estimates</w:t>
            </w:r>
          </w:p>
          <w:p w14:paraId="15D95949" w14:textId="019BC048" w:rsidR="0080790F" w:rsidRPr="00FE1D2E" w:rsidRDefault="0080790F" w:rsidP="0080790F">
            <w:pPr>
              <w:pStyle w:val="Tableheadingrow1"/>
              <w:cnfStyle w:val="100000000000" w:firstRow="1" w:lastRow="0" w:firstColumn="0" w:lastColumn="0" w:oddVBand="0" w:evenVBand="0" w:oddHBand="0" w:evenHBand="0" w:firstRowFirstColumn="0" w:firstRowLastColumn="0" w:lastRowFirstColumn="0" w:lastRowLastColumn="0"/>
              <w:rPr>
                <w:sz w:val="22"/>
              </w:rPr>
            </w:pPr>
            <w:r w:rsidRPr="00FE1D2E">
              <w:rPr>
                <w:sz w:val="22"/>
              </w:rPr>
              <w:t>2026/27*</w:t>
            </w:r>
            <w:r w:rsidRPr="00FE1D2E">
              <w:rPr>
                <w:sz w:val="22"/>
              </w:rPr>
              <w:br/>
            </w:r>
            <w:r w:rsidRPr="00FE1D2E">
              <w:rPr>
                <w:sz w:val="22"/>
              </w:rPr>
              <w:br/>
              <w:t>$(000)</w:t>
            </w:r>
          </w:p>
        </w:tc>
      </w:tr>
      <w:tr w:rsidR="007F7479" w:rsidRPr="00FA2C1D" w14:paraId="6B035B62" w14:textId="77777777" w:rsidTr="006E453B">
        <w:trPr>
          <w:cnfStyle w:val="000000100000" w:firstRow="0" w:lastRow="0" w:firstColumn="0" w:lastColumn="0" w:oddVBand="0" w:evenVBand="0" w:oddHBand="1" w:evenHBand="0" w:firstRowFirstColumn="0" w:firstRowLastColumn="0" w:lastRowFirstColumn="0" w:lastRowLastColumn="0"/>
          <w:trHeight w:val="60"/>
          <w:jc w:val="right"/>
        </w:trPr>
        <w:tc>
          <w:tcPr>
            <w:cnfStyle w:val="001000000000" w:firstRow="0" w:lastRow="0" w:firstColumn="1" w:lastColumn="0" w:oddVBand="0" w:evenVBand="0" w:oddHBand="0" w:evenHBand="0" w:firstRowFirstColumn="0" w:firstRowLastColumn="0" w:lastRowFirstColumn="0" w:lastRowLastColumn="0"/>
            <w:tcW w:w="682" w:type="pct"/>
            <w:tcBorders>
              <w:bottom w:val="single" w:sz="4" w:space="0" w:color="FFFFFF" w:themeColor="background1"/>
            </w:tcBorders>
            <w:shd w:val="clear" w:color="auto" w:fill="E9E9E9"/>
            <w:vAlign w:val="center"/>
            <w:hideMark/>
          </w:tcPr>
          <w:p w14:paraId="7C5F68E6" w14:textId="77777777" w:rsidR="003E79D4" w:rsidRPr="00FA2C1D" w:rsidRDefault="003E79D4" w:rsidP="00CC2FCA">
            <w:pPr>
              <w:rPr>
                <w:color w:val="FFFFFF" w:themeColor="background1"/>
              </w:rPr>
            </w:pPr>
          </w:p>
        </w:tc>
        <w:tc>
          <w:tcPr>
            <w:tcW w:w="1514" w:type="pct"/>
            <w:hideMark/>
          </w:tcPr>
          <w:p w14:paraId="73482E4C" w14:textId="77777777" w:rsidR="003E79D4" w:rsidRPr="00FA2C1D" w:rsidRDefault="003E79D4" w:rsidP="00CC2FCA">
            <w:pPr>
              <w:spacing w:before="40" w:after="40"/>
              <w:cnfStyle w:val="000000100000" w:firstRow="0" w:lastRow="0" w:firstColumn="0" w:lastColumn="0" w:oddVBand="0" w:evenVBand="0" w:oddHBand="1" w:evenHBand="0" w:firstRowFirstColumn="0" w:firstRowLastColumn="0" w:lastRowFirstColumn="0" w:lastRowLastColumn="0"/>
              <w:rPr>
                <w:b/>
                <w:bCs/>
                <w:iCs/>
                <w:sz w:val="22"/>
              </w:rPr>
            </w:pPr>
            <w:r w:rsidRPr="00FA2C1D">
              <w:rPr>
                <w:b/>
                <w:bCs/>
                <w:iCs/>
                <w:sz w:val="22"/>
              </w:rPr>
              <w:t>Vote Ombudsmen</w:t>
            </w:r>
          </w:p>
          <w:p w14:paraId="3325056F" w14:textId="77777777" w:rsidR="003E79D4" w:rsidRPr="00FA2C1D" w:rsidRDefault="003E79D4" w:rsidP="00CC2FCA">
            <w:pPr>
              <w:spacing w:before="40" w:after="40"/>
              <w:cnfStyle w:val="000000100000" w:firstRow="0" w:lastRow="0" w:firstColumn="0" w:lastColumn="0" w:oddVBand="0" w:evenVBand="0" w:oddHBand="1" w:evenHBand="0" w:firstRowFirstColumn="0" w:firstRowLastColumn="0" w:lastRowFirstColumn="0" w:lastRowLastColumn="0"/>
              <w:rPr>
                <w:b/>
                <w:bCs/>
                <w:iCs/>
                <w:sz w:val="22"/>
              </w:rPr>
            </w:pPr>
            <w:r w:rsidRPr="00FA2C1D">
              <w:rPr>
                <w:b/>
                <w:bCs/>
                <w:iCs/>
                <w:sz w:val="22"/>
              </w:rPr>
              <w:t>Appropriation for output expenses</w:t>
            </w:r>
          </w:p>
        </w:tc>
        <w:tc>
          <w:tcPr>
            <w:tcW w:w="701" w:type="pct"/>
            <w:vAlign w:val="center"/>
            <w:hideMark/>
          </w:tcPr>
          <w:p w14:paraId="2E4E357D" w14:textId="77777777" w:rsidR="003E79D4" w:rsidRPr="00FA2C1D" w:rsidRDefault="003E79D4" w:rsidP="00CC2FCA">
            <w:pPr>
              <w:cnfStyle w:val="000000100000" w:firstRow="0" w:lastRow="0" w:firstColumn="0" w:lastColumn="0" w:oddVBand="0" w:evenVBand="0" w:oddHBand="1" w:evenHBand="0" w:firstRowFirstColumn="0" w:firstRowLastColumn="0" w:lastRowFirstColumn="0" w:lastRowLastColumn="0"/>
              <w:rPr>
                <w:b/>
                <w:bCs/>
                <w:iCs/>
                <w:sz w:val="22"/>
              </w:rPr>
            </w:pPr>
          </w:p>
        </w:tc>
        <w:tc>
          <w:tcPr>
            <w:tcW w:w="701" w:type="pct"/>
            <w:vAlign w:val="center"/>
          </w:tcPr>
          <w:p w14:paraId="0966BECD" w14:textId="77777777" w:rsidR="003E79D4" w:rsidRPr="00FA2C1D" w:rsidRDefault="003E79D4"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701" w:type="pct"/>
            <w:vAlign w:val="center"/>
          </w:tcPr>
          <w:p w14:paraId="45B26F67" w14:textId="77777777" w:rsidR="003E79D4" w:rsidRPr="00FA2C1D" w:rsidRDefault="003E79D4"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701" w:type="pct"/>
            <w:vAlign w:val="center"/>
          </w:tcPr>
          <w:p w14:paraId="69688D58" w14:textId="77777777" w:rsidR="003E79D4" w:rsidRPr="00FA2C1D" w:rsidRDefault="003E79D4"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r>
      <w:tr w:rsidR="007F7479" w:rsidRPr="00FA2C1D" w14:paraId="765AB454" w14:textId="77777777" w:rsidTr="006E453B">
        <w:trPr>
          <w:cnfStyle w:val="000000010000" w:firstRow="0" w:lastRow="0" w:firstColumn="0" w:lastColumn="0" w:oddVBand="0" w:evenVBand="0" w:oddHBand="0" w:evenHBand="1" w:firstRowFirstColumn="0" w:firstRowLastColumn="0" w:lastRowFirstColumn="0" w:lastRowLastColumn="0"/>
          <w:trHeight w:val="60"/>
          <w:jc w:val="right"/>
        </w:trPr>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FFFFFF" w:themeColor="background1"/>
            </w:tcBorders>
            <w:shd w:val="clear" w:color="auto" w:fill="E9E9E9"/>
            <w:vAlign w:val="center"/>
            <w:hideMark/>
          </w:tcPr>
          <w:p w14:paraId="7AD5A673" w14:textId="77777777" w:rsidR="003E79D4" w:rsidRPr="00FA2C1D" w:rsidRDefault="003E79D4" w:rsidP="00CC2FCA">
            <w:pPr>
              <w:spacing w:before="40" w:after="40"/>
              <w:jc w:val="right"/>
              <w:rPr>
                <w:sz w:val="22"/>
              </w:rPr>
            </w:pPr>
            <w:r>
              <w:rPr>
                <w:sz w:val="22"/>
              </w:rPr>
              <w:t xml:space="preserve"> 46,607</w:t>
            </w:r>
          </w:p>
        </w:tc>
        <w:tc>
          <w:tcPr>
            <w:tcW w:w="1514" w:type="pct"/>
            <w:hideMark/>
          </w:tcPr>
          <w:p w14:paraId="715F80B0" w14:textId="2CF01678" w:rsidR="003E79D4" w:rsidRPr="00FA2C1D" w:rsidRDefault="003E79D4" w:rsidP="00CC2FCA">
            <w:pPr>
              <w:spacing w:before="40" w:after="40"/>
              <w:cnfStyle w:val="000000010000" w:firstRow="0" w:lastRow="0" w:firstColumn="0" w:lastColumn="0" w:oddVBand="0" w:evenVBand="0" w:oddHBand="0" w:evenHBand="1" w:firstRowFirstColumn="0" w:firstRowLastColumn="0" w:lastRowFirstColumn="0" w:lastRowLastColumn="0"/>
              <w:rPr>
                <w:b/>
                <w:bCs/>
                <w:iCs/>
                <w:sz w:val="22"/>
              </w:rPr>
            </w:pPr>
            <w:r w:rsidRPr="00FA2C1D">
              <w:rPr>
                <w:b/>
                <w:bCs/>
                <w:iCs/>
                <w:sz w:val="22"/>
              </w:rPr>
              <w:t xml:space="preserve">Investigations, Resolution, </w:t>
            </w:r>
            <w:r w:rsidR="009530FB" w:rsidRPr="00FA2C1D">
              <w:rPr>
                <w:b/>
                <w:bCs/>
                <w:iCs/>
                <w:sz w:val="22"/>
              </w:rPr>
              <w:t>Monitor</w:t>
            </w:r>
            <w:r w:rsidR="007F3F8F">
              <w:rPr>
                <w:b/>
                <w:bCs/>
                <w:iCs/>
                <w:sz w:val="22"/>
              </w:rPr>
              <w:t>y</w:t>
            </w:r>
            <w:r w:rsidRPr="00FA2C1D">
              <w:rPr>
                <w:b/>
                <w:bCs/>
                <w:iCs/>
                <w:sz w:val="22"/>
              </w:rPr>
              <w:t xml:space="preserve">, Advisory and Support Functions </w:t>
            </w:r>
          </w:p>
          <w:p w14:paraId="77D8C3F7" w14:textId="77777777" w:rsidR="003E79D4" w:rsidRPr="00FA2C1D" w:rsidRDefault="003E79D4" w:rsidP="00CC2FCA">
            <w:pPr>
              <w:spacing w:before="40" w:after="40"/>
              <w:cnfStyle w:val="000000010000" w:firstRow="0" w:lastRow="0" w:firstColumn="0" w:lastColumn="0" w:oddVBand="0" w:evenVBand="0" w:oddHBand="0" w:evenHBand="1" w:firstRowFirstColumn="0" w:firstRowLastColumn="0" w:lastRowFirstColumn="0" w:lastRowLastColumn="0"/>
              <w:rPr>
                <w:sz w:val="22"/>
              </w:rPr>
            </w:pPr>
            <w:r w:rsidRPr="00FA2C1D">
              <w:rPr>
                <w:sz w:val="22"/>
              </w:rPr>
              <w:t>This appropriation is limited to the investigation, resolution of complaints and the provision of advice relating to central and local government administrative actions, monitoring compliance with international conventions, and the provision of advice and support for international ombudsman communities and forums.</w:t>
            </w:r>
          </w:p>
        </w:tc>
        <w:tc>
          <w:tcPr>
            <w:tcW w:w="701" w:type="pct"/>
            <w:vAlign w:val="center"/>
          </w:tcPr>
          <w:p w14:paraId="51E2C773" w14:textId="7BA6AD09" w:rsidR="003E79D4" w:rsidRPr="00FA2C1D" w:rsidRDefault="0080790F" w:rsidP="00CC2FCA">
            <w:pPr>
              <w:spacing w:before="40" w:after="40"/>
              <w:jc w:val="right"/>
              <w:cnfStyle w:val="000000010000" w:firstRow="0" w:lastRow="0" w:firstColumn="0" w:lastColumn="0" w:oddVBand="0" w:evenVBand="0" w:oddHBand="0" w:evenHBand="1" w:firstRowFirstColumn="0" w:firstRowLastColumn="0" w:lastRowFirstColumn="0" w:lastRowLastColumn="0"/>
              <w:rPr>
                <w:bCs/>
                <w:iCs/>
                <w:sz w:val="22"/>
              </w:rPr>
            </w:pPr>
            <w:r>
              <w:rPr>
                <w:bCs/>
                <w:iCs/>
                <w:sz w:val="22"/>
              </w:rPr>
              <w:t>50,588</w:t>
            </w:r>
          </w:p>
        </w:tc>
        <w:tc>
          <w:tcPr>
            <w:tcW w:w="701" w:type="pct"/>
            <w:vAlign w:val="center"/>
            <w:hideMark/>
          </w:tcPr>
          <w:p w14:paraId="040A7633" w14:textId="77777777" w:rsidR="003E79D4" w:rsidRPr="00FA2C1D" w:rsidRDefault="003E79D4" w:rsidP="00CC2FCA">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52,659</w:t>
            </w:r>
          </w:p>
        </w:tc>
        <w:tc>
          <w:tcPr>
            <w:tcW w:w="701" w:type="pct"/>
            <w:vAlign w:val="center"/>
          </w:tcPr>
          <w:p w14:paraId="206539D4" w14:textId="77777777" w:rsidR="003E79D4" w:rsidRPr="00FA2C1D" w:rsidRDefault="003E79D4" w:rsidP="00CC2FCA">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52,659</w:t>
            </w:r>
          </w:p>
        </w:tc>
        <w:tc>
          <w:tcPr>
            <w:tcW w:w="701" w:type="pct"/>
            <w:vAlign w:val="center"/>
          </w:tcPr>
          <w:p w14:paraId="66682F70" w14:textId="77777777" w:rsidR="003E79D4" w:rsidRDefault="003E79D4" w:rsidP="00CC2FCA">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p w14:paraId="45F0C915" w14:textId="77777777" w:rsidR="003E79D4" w:rsidRDefault="003E79D4" w:rsidP="00CC2FCA">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60,192</w:t>
            </w:r>
          </w:p>
          <w:p w14:paraId="415F0BF6" w14:textId="77777777" w:rsidR="003E79D4" w:rsidRPr="00FA2C1D" w:rsidRDefault="003E79D4" w:rsidP="00CC2FCA">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r>
      <w:tr w:rsidR="003E79D4" w:rsidRPr="00FA2C1D" w14:paraId="68387997" w14:textId="77777777" w:rsidTr="006E453B">
        <w:trPr>
          <w:cnfStyle w:val="000000100000" w:firstRow="0" w:lastRow="0" w:firstColumn="0" w:lastColumn="0" w:oddVBand="0" w:evenVBand="0" w:oddHBand="1" w:evenHBand="0" w:firstRowFirstColumn="0" w:firstRowLastColumn="0" w:lastRowFirstColumn="0" w:lastRowLastColumn="0"/>
          <w:trHeight w:val="60"/>
          <w:jc w:val="right"/>
        </w:trPr>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FFFFFF" w:themeColor="background1"/>
              <w:bottom w:val="single" w:sz="4" w:space="0" w:color="FFFFFF" w:themeColor="background1"/>
            </w:tcBorders>
            <w:shd w:val="clear" w:color="auto" w:fill="E9E9E9"/>
            <w:vAlign w:val="center"/>
            <w:hideMark/>
          </w:tcPr>
          <w:p w14:paraId="10C50429" w14:textId="2E1CBE01" w:rsidR="003E79D4" w:rsidRDefault="003E79D4" w:rsidP="00CC2FCA">
            <w:pPr>
              <w:spacing w:before="40" w:after="40"/>
              <w:jc w:val="right"/>
              <w:rPr>
                <w:sz w:val="22"/>
              </w:rPr>
            </w:pPr>
          </w:p>
          <w:p w14:paraId="713D664B" w14:textId="61684258" w:rsidR="003E79D4" w:rsidRPr="00FA2C1D" w:rsidRDefault="003E79D4" w:rsidP="00CC2FCA">
            <w:pPr>
              <w:spacing w:before="40" w:after="40"/>
              <w:jc w:val="right"/>
              <w:rPr>
                <w:sz w:val="22"/>
              </w:rPr>
            </w:pPr>
            <w:r>
              <w:rPr>
                <w:sz w:val="22"/>
              </w:rPr>
              <w:t>632</w:t>
            </w:r>
            <w:r w:rsidRPr="00FA2C1D">
              <w:rPr>
                <w:sz w:val="22"/>
              </w:rPr>
              <w:t>*</w:t>
            </w:r>
            <w:r w:rsidR="0080790F">
              <w:rPr>
                <w:sz w:val="22"/>
              </w:rPr>
              <w:t>*</w:t>
            </w:r>
          </w:p>
        </w:tc>
        <w:tc>
          <w:tcPr>
            <w:tcW w:w="1514" w:type="pct"/>
            <w:hideMark/>
          </w:tcPr>
          <w:p w14:paraId="5B8A3D6F" w14:textId="77777777" w:rsidR="003E79D4" w:rsidRPr="00FA2C1D" w:rsidRDefault="003E79D4" w:rsidP="00CC2FCA">
            <w:pPr>
              <w:spacing w:before="40" w:after="40"/>
              <w:cnfStyle w:val="000000100000" w:firstRow="0" w:lastRow="0" w:firstColumn="0" w:lastColumn="0" w:oddVBand="0" w:evenVBand="0" w:oddHBand="1" w:evenHBand="0" w:firstRowFirstColumn="0" w:firstRowLastColumn="0" w:lastRowFirstColumn="0" w:lastRowLastColumn="0"/>
              <w:rPr>
                <w:b/>
                <w:bCs/>
                <w:iCs/>
                <w:sz w:val="22"/>
              </w:rPr>
            </w:pPr>
            <w:r w:rsidRPr="00FA2C1D">
              <w:rPr>
                <w:b/>
                <w:bCs/>
                <w:iCs/>
                <w:sz w:val="22"/>
              </w:rPr>
              <w:t>Remuneration of Ombudsmen (Permanent Legislative Authority)</w:t>
            </w:r>
          </w:p>
          <w:p w14:paraId="6163C4A2" w14:textId="77777777" w:rsidR="003E79D4" w:rsidRPr="00FA2C1D" w:rsidRDefault="003E79D4" w:rsidP="00CC2FCA">
            <w:pPr>
              <w:spacing w:before="40" w:after="40"/>
              <w:cnfStyle w:val="000000100000" w:firstRow="0" w:lastRow="0" w:firstColumn="0" w:lastColumn="0" w:oddVBand="0" w:evenVBand="0" w:oddHBand="1" w:evenHBand="0" w:firstRowFirstColumn="0" w:firstRowLastColumn="0" w:lastRowFirstColumn="0" w:lastRowLastColumn="0"/>
              <w:rPr>
                <w:b/>
                <w:sz w:val="22"/>
              </w:rPr>
            </w:pPr>
            <w:r w:rsidRPr="00FA2C1D">
              <w:rPr>
                <w:sz w:val="22"/>
              </w:rPr>
              <w:t>This appropriation is limited to remuneration expenses for the Ombudsmen as authorised by sections 8 and 9 of the Ombudsmen Act 1975</w:t>
            </w:r>
          </w:p>
        </w:tc>
        <w:tc>
          <w:tcPr>
            <w:tcW w:w="701" w:type="pct"/>
            <w:vAlign w:val="center"/>
          </w:tcPr>
          <w:p w14:paraId="4B7B579D" w14:textId="62A86B7D" w:rsidR="003E79D4" w:rsidRPr="00FA2C1D" w:rsidRDefault="006E453B" w:rsidP="00CC2FCA">
            <w:pPr>
              <w:spacing w:before="40" w:after="40"/>
              <w:jc w:val="right"/>
              <w:cnfStyle w:val="000000100000" w:firstRow="0" w:lastRow="0" w:firstColumn="0" w:lastColumn="0" w:oddVBand="0" w:evenVBand="0" w:oddHBand="1" w:evenHBand="0" w:firstRowFirstColumn="0" w:firstRowLastColumn="0" w:lastRowFirstColumn="0" w:lastRowLastColumn="0"/>
              <w:rPr>
                <w:bCs/>
                <w:iCs/>
                <w:sz w:val="22"/>
              </w:rPr>
            </w:pPr>
            <w:r>
              <w:rPr>
                <w:bCs/>
                <w:iCs/>
                <w:sz w:val="22"/>
              </w:rPr>
              <w:t>606</w:t>
            </w:r>
          </w:p>
        </w:tc>
        <w:tc>
          <w:tcPr>
            <w:tcW w:w="701" w:type="pct"/>
            <w:vAlign w:val="center"/>
          </w:tcPr>
          <w:p w14:paraId="55DCF6EE" w14:textId="77777777" w:rsidR="003E79D4" w:rsidRPr="00FA2C1D" w:rsidRDefault="003E79D4"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577</w:t>
            </w:r>
          </w:p>
        </w:tc>
        <w:tc>
          <w:tcPr>
            <w:tcW w:w="701" w:type="pct"/>
            <w:vAlign w:val="center"/>
          </w:tcPr>
          <w:p w14:paraId="18F9DA96" w14:textId="77777777" w:rsidR="003E79D4" w:rsidRPr="00FA2C1D" w:rsidRDefault="003E79D4"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606</w:t>
            </w:r>
          </w:p>
        </w:tc>
        <w:tc>
          <w:tcPr>
            <w:tcW w:w="701" w:type="pct"/>
            <w:vAlign w:val="center"/>
          </w:tcPr>
          <w:p w14:paraId="444362F7" w14:textId="77777777" w:rsidR="003E79D4" w:rsidRPr="00FA2C1D" w:rsidRDefault="003E79D4"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616</w:t>
            </w:r>
          </w:p>
        </w:tc>
      </w:tr>
      <w:tr w:rsidR="003E79D4" w:rsidRPr="00FA2C1D" w14:paraId="691F474E" w14:textId="77777777" w:rsidTr="006E453B">
        <w:trPr>
          <w:cnfStyle w:val="000000010000" w:firstRow="0" w:lastRow="0" w:firstColumn="0" w:lastColumn="0" w:oddVBand="0" w:evenVBand="0" w:oddHBand="0" w:evenHBand="1" w:firstRowFirstColumn="0" w:firstRowLastColumn="0" w:lastRowFirstColumn="0" w:lastRowLastColumn="0"/>
          <w:trHeight w:val="60"/>
          <w:jc w:val="right"/>
        </w:trPr>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FFFFFF" w:themeColor="background1"/>
              <w:bottom w:val="single" w:sz="4" w:space="0" w:color="FFFFFF" w:themeColor="background1"/>
            </w:tcBorders>
            <w:shd w:val="clear" w:color="auto" w:fill="BFBFBF" w:themeFill="background1" w:themeFillShade="BF"/>
            <w:hideMark/>
          </w:tcPr>
          <w:p w14:paraId="599D8A38" w14:textId="77777777" w:rsidR="003E79D4" w:rsidRPr="00FA2C1D" w:rsidRDefault="003E79D4" w:rsidP="00CC2FCA">
            <w:pPr>
              <w:spacing w:before="40" w:after="40"/>
              <w:jc w:val="right"/>
              <w:rPr>
                <w:b/>
                <w:sz w:val="22"/>
              </w:rPr>
            </w:pPr>
            <w:r>
              <w:rPr>
                <w:b/>
                <w:sz w:val="22"/>
              </w:rPr>
              <w:t>47,239</w:t>
            </w:r>
          </w:p>
        </w:tc>
        <w:tc>
          <w:tcPr>
            <w:tcW w:w="1514" w:type="pct"/>
            <w:shd w:val="clear" w:color="auto" w:fill="BFBFBF" w:themeFill="background1" w:themeFillShade="BF"/>
            <w:vAlign w:val="center"/>
            <w:hideMark/>
          </w:tcPr>
          <w:p w14:paraId="0BCC638F" w14:textId="77777777" w:rsidR="003E79D4" w:rsidRPr="00FA2C1D" w:rsidRDefault="003E79D4" w:rsidP="00CC2FCA">
            <w:pPr>
              <w:spacing w:before="40" w:after="40"/>
              <w:cnfStyle w:val="000000010000" w:firstRow="0" w:lastRow="0" w:firstColumn="0" w:lastColumn="0" w:oddVBand="0" w:evenVBand="0" w:oddHBand="0" w:evenHBand="1" w:firstRowFirstColumn="0" w:firstRowLastColumn="0" w:lastRowFirstColumn="0" w:lastRowLastColumn="0"/>
              <w:rPr>
                <w:sz w:val="22"/>
              </w:rPr>
            </w:pPr>
            <w:r w:rsidRPr="00FA2C1D">
              <w:rPr>
                <w:sz w:val="22"/>
              </w:rPr>
              <w:t>Sub total</w:t>
            </w:r>
          </w:p>
        </w:tc>
        <w:tc>
          <w:tcPr>
            <w:tcW w:w="701" w:type="pct"/>
            <w:shd w:val="clear" w:color="auto" w:fill="BFBFBF" w:themeFill="background1" w:themeFillShade="BF"/>
            <w:vAlign w:val="center"/>
          </w:tcPr>
          <w:p w14:paraId="3B1416ED" w14:textId="7990F72A" w:rsidR="003E79D4" w:rsidRPr="00FA2C1D" w:rsidRDefault="006E453B" w:rsidP="00CC2FCA">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53,265</w:t>
            </w:r>
          </w:p>
        </w:tc>
        <w:tc>
          <w:tcPr>
            <w:tcW w:w="701" w:type="pct"/>
            <w:shd w:val="clear" w:color="auto" w:fill="BFBFBF" w:themeFill="background1" w:themeFillShade="BF"/>
            <w:hideMark/>
          </w:tcPr>
          <w:p w14:paraId="0CC061DC" w14:textId="77777777" w:rsidR="003E79D4" w:rsidRPr="00FA2C1D" w:rsidRDefault="003E79D4" w:rsidP="00CC2FCA">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53,236</w:t>
            </w:r>
          </w:p>
        </w:tc>
        <w:tc>
          <w:tcPr>
            <w:tcW w:w="701" w:type="pct"/>
            <w:shd w:val="clear" w:color="auto" w:fill="BFBFBF" w:themeFill="background1" w:themeFillShade="BF"/>
          </w:tcPr>
          <w:p w14:paraId="4B76EDA4" w14:textId="77777777" w:rsidR="003E79D4" w:rsidRPr="00FA2C1D" w:rsidRDefault="003E79D4" w:rsidP="00CC2FCA">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53,265</w:t>
            </w:r>
          </w:p>
        </w:tc>
        <w:tc>
          <w:tcPr>
            <w:tcW w:w="701" w:type="pct"/>
            <w:shd w:val="clear" w:color="auto" w:fill="BFBFBF" w:themeFill="background1" w:themeFillShade="BF"/>
          </w:tcPr>
          <w:p w14:paraId="2C8799AD" w14:textId="77777777" w:rsidR="003E79D4" w:rsidRPr="00FA2C1D" w:rsidRDefault="003E79D4" w:rsidP="00CC2FCA">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60,808</w:t>
            </w:r>
          </w:p>
        </w:tc>
      </w:tr>
      <w:tr w:rsidR="003E79D4" w:rsidRPr="00FA2C1D" w14:paraId="16020803" w14:textId="77777777" w:rsidTr="006E453B">
        <w:trPr>
          <w:cnfStyle w:val="000000100000" w:firstRow="0" w:lastRow="0" w:firstColumn="0" w:lastColumn="0" w:oddVBand="0" w:evenVBand="0" w:oddHBand="1" w:evenHBand="0" w:firstRowFirstColumn="0" w:firstRowLastColumn="0" w:lastRowFirstColumn="0" w:lastRowLastColumn="0"/>
          <w:trHeight w:val="60"/>
          <w:jc w:val="right"/>
        </w:trPr>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FFFFFF" w:themeColor="background1"/>
              <w:bottom w:val="single" w:sz="4" w:space="0" w:color="FFFFFF" w:themeColor="background1"/>
            </w:tcBorders>
            <w:shd w:val="clear" w:color="auto" w:fill="F2F2F2" w:themeFill="background1" w:themeFillShade="F2"/>
            <w:vAlign w:val="center"/>
            <w:hideMark/>
          </w:tcPr>
          <w:p w14:paraId="6FFF63C9" w14:textId="282DC3DC" w:rsidR="003E79D4" w:rsidRPr="00FA2C1D" w:rsidRDefault="003E79D4" w:rsidP="00CC2FCA">
            <w:pPr>
              <w:spacing w:before="40" w:after="40"/>
              <w:jc w:val="right"/>
              <w:rPr>
                <w:sz w:val="22"/>
              </w:rPr>
            </w:pPr>
            <w:r>
              <w:rPr>
                <w:sz w:val="22"/>
              </w:rPr>
              <w:t>1,236*</w:t>
            </w:r>
            <w:r w:rsidR="0080790F">
              <w:rPr>
                <w:sz w:val="22"/>
              </w:rPr>
              <w:t>*</w:t>
            </w:r>
          </w:p>
        </w:tc>
        <w:tc>
          <w:tcPr>
            <w:tcW w:w="1514" w:type="pct"/>
            <w:shd w:val="clear" w:color="auto" w:fill="F2F2F2" w:themeFill="background1" w:themeFillShade="F2"/>
            <w:hideMark/>
          </w:tcPr>
          <w:p w14:paraId="33A3F7CD" w14:textId="77777777" w:rsidR="003E79D4" w:rsidRPr="00FA2C1D" w:rsidRDefault="003E79D4" w:rsidP="00CC2FCA">
            <w:pPr>
              <w:pStyle w:val="Tablebodytextnospaceafter"/>
              <w:cnfStyle w:val="000000100000" w:firstRow="0" w:lastRow="0" w:firstColumn="0" w:lastColumn="0" w:oddVBand="0" w:evenVBand="0" w:oddHBand="1" w:evenHBand="0" w:firstRowFirstColumn="0" w:firstRowLastColumn="0" w:lastRowFirstColumn="0" w:lastRowLastColumn="0"/>
              <w:rPr>
                <w:b/>
              </w:rPr>
            </w:pPr>
            <w:r w:rsidRPr="00FA2C1D">
              <w:rPr>
                <w:b/>
              </w:rPr>
              <w:t>Office of the Ombudsman - Capital Expenditure (Permanent Legislative Authority)</w:t>
            </w:r>
          </w:p>
          <w:p w14:paraId="34664EF6" w14:textId="77777777" w:rsidR="003E79D4" w:rsidRPr="00DB7856" w:rsidRDefault="003E79D4" w:rsidP="00CC2FCA">
            <w:pPr>
              <w:spacing w:before="40" w:after="40"/>
              <w:cnfStyle w:val="000000100000" w:firstRow="0" w:lastRow="0" w:firstColumn="0" w:lastColumn="0" w:oddVBand="0" w:evenVBand="0" w:oddHBand="1" w:evenHBand="0" w:firstRowFirstColumn="0" w:firstRowLastColumn="0" w:lastRowFirstColumn="0" w:lastRowLastColumn="0"/>
              <w:rPr>
                <w:sz w:val="22"/>
              </w:rPr>
            </w:pPr>
            <w:r w:rsidRPr="00DB7856">
              <w:rPr>
                <w:sz w:val="22"/>
              </w:rPr>
              <w:t>This appropriation is limited to the purchase or development of assets by and for the use of the Office of the Ombudsman, as authorised by section 24(1) of the Public Finance Act 1989.</w:t>
            </w:r>
          </w:p>
        </w:tc>
        <w:tc>
          <w:tcPr>
            <w:tcW w:w="701" w:type="pct"/>
            <w:shd w:val="clear" w:color="auto" w:fill="F2F2F2" w:themeFill="background1" w:themeFillShade="F2"/>
            <w:vAlign w:val="center"/>
          </w:tcPr>
          <w:p w14:paraId="53F004E3" w14:textId="34470671" w:rsidR="003E79D4" w:rsidRPr="00FA2C1D" w:rsidRDefault="006E453B"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w:t>
            </w:r>
            <w:r w:rsidR="0071462D">
              <w:rPr>
                <w:sz w:val="22"/>
              </w:rPr>
              <w:t>744</w:t>
            </w:r>
          </w:p>
        </w:tc>
        <w:tc>
          <w:tcPr>
            <w:tcW w:w="701" w:type="pct"/>
            <w:shd w:val="clear" w:color="auto" w:fill="F2F2F2" w:themeFill="background1" w:themeFillShade="F2"/>
            <w:vAlign w:val="center"/>
          </w:tcPr>
          <w:p w14:paraId="39F86A48" w14:textId="77777777" w:rsidR="003E79D4" w:rsidRPr="00FA2C1D" w:rsidRDefault="003E79D4"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2,844</w:t>
            </w:r>
          </w:p>
        </w:tc>
        <w:tc>
          <w:tcPr>
            <w:tcW w:w="701" w:type="pct"/>
            <w:shd w:val="clear" w:color="auto" w:fill="F2F2F2" w:themeFill="background1" w:themeFillShade="F2"/>
            <w:vAlign w:val="center"/>
            <w:hideMark/>
          </w:tcPr>
          <w:p w14:paraId="0A1222A1" w14:textId="53F9B44C" w:rsidR="003E79D4" w:rsidRPr="00FA2C1D" w:rsidRDefault="002F27DD"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 xml:space="preserve"> </w:t>
            </w:r>
            <w:r w:rsidR="003E79D4">
              <w:rPr>
                <w:sz w:val="22"/>
              </w:rPr>
              <w:t xml:space="preserve">1,853 </w:t>
            </w:r>
          </w:p>
        </w:tc>
        <w:tc>
          <w:tcPr>
            <w:tcW w:w="701" w:type="pct"/>
            <w:shd w:val="clear" w:color="auto" w:fill="F2F2F2" w:themeFill="background1" w:themeFillShade="F2"/>
            <w:vAlign w:val="center"/>
          </w:tcPr>
          <w:p w14:paraId="74C71F20" w14:textId="77777777" w:rsidR="003E79D4" w:rsidRPr="00FA2C1D" w:rsidRDefault="003E79D4" w:rsidP="00CC2FCA">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573</w:t>
            </w:r>
          </w:p>
        </w:tc>
      </w:tr>
      <w:tr w:rsidR="006E453B" w:rsidRPr="00FA2C1D" w14:paraId="3040B568" w14:textId="77777777" w:rsidTr="006E453B">
        <w:trPr>
          <w:cnfStyle w:val="000000010000" w:firstRow="0" w:lastRow="0" w:firstColumn="0" w:lastColumn="0" w:oddVBand="0" w:evenVBand="0" w:oddHBand="0" w:evenHBand="1" w:firstRowFirstColumn="0" w:firstRowLastColumn="0" w:lastRowFirstColumn="0" w:lastRowLastColumn="0"/>
          <w:trHeight w:val="60"/>
          <w:jc w:val="right"/>
        </w:trPr>
        <w:tc>
          <w:tcPr>
            <w:cnfStyle w:val="001000000000" w:firstRow="0" w:lastRow="0" w:firstColumn="1" w:lastColumn="0" w:oddVBand="0" w:evenVBand="0" w:oddHBand="0" w:evenHBand="0" w:firstRowFirstColumn="0" w:firstRowLastColumn="0" w:lastRowFirstColumn="0" w:lastRowLastColumn="0"/>
            <w:tcW w:w="682" w:type="pct"/>
            <w:tcBorders>
              <w:top w:val="single" w:sz="4" w:space="0" w:color="FFFFFF" w:themeColor="background1"/>
            </w:tcBorders>
            <w:shd w:val="clear" w:color="auto" w:fill="BFBFBF" w:themeFill="background1" w:themeFillShade="BF"/>
            <w:vAlign w:val="center"/>
            <w:hideMark/>
          </w:tcPr>
          <w:p w14:paraId="66FA1874" w14:textId="77777777" w:rsidR="006E453B" w:rsidRDefault="006E453B" w:rsidP="006E453B">
            <w:pPr>
              <w:spacing w:before="40" w:after="40"/>
              <w:jc w:val="right"/>
              <w:rPr>
                <w:b/>
                <w:sz w:val="22"/>
                <w:u w:val="single"/>
              </w:rPr>
            </w:pPr>
          </w:p>
          <w:p w14:paraId="23891147" w14:textId="77777777" w:rsidR="006E453B" w:rsidRPr="00FA2C1D" w:rsidRDefault="006E453B" w:rsidP="006E453B">
            <w:pPr>
              <w:spacing w:before="40" w:after="40"/>
              <w:jc w:val="right"/>
              <w:rPr>
                <w:b/>
                <w:sz w:val="22"/>
                <w:u w:val="single"/>
              </w:rPr>
            </w:pPr>
            <w:r>
              <w:rPr>
                <w:b/>
                <w:sz w:val="22"/>
                <w:u w:val="single"/>
              </w:rPr>
              <w:t>48,475</w:t>
            </w:r>
          </w:p>
        </w:tc>
        <w:tc>
          <w:tcPr>
            <w:tcW w:w="1514" w:type="pct"/>
            <w:shd w:val="clear" w:color="auto" w:fill="BFBFBF" w:themeFill="background1" w:themeFillShade="BF"/>
            <w:hideMark/>
          </w:tcPr>
          <w:p w14:paraId="5C68A34A" w14:textId="77777777" w:rsidR="006E453B" w:rsidRDefault="006E453B" w:rsidP="006E453B">
            <w:pPr>
              <w:spacing w:before="40" w:after="40"/>
              <w:cnfStyle w:val="000000010000" w:firstRow="0" w:lastRow="0" w:firstColumn="0" w:lastColumn="0" w:oddVBand="0" w:evenVBand="0" w:oddHBand="0" w:evenHBand="1" w:firstRowFirstColumn="0" w:firstRowLastColumn="0" w:lastRowFirstColumn="0" w:lastRowLastColumn="0"/>
              <w:rPr>
                <w:b/>
                <w:bCs/>
                <w:iCs/>
                <w:sz w:val="22"/>
              </w:rPr>
            </w:pPr>
          </w:p>
          <w:p w14:paraId="354D2733" w14:textId="77777777" w:rsidR="006E453B" w:rsidRPr="00FA2C1D" w:rsidRDefault="006E453B" w:rsidP="006E453B">
            <w:pPr>
              <w:spacing w:before="40" w:after="40"/>
              <w:cnfStyle w:val="000000010000" w:firstRow="0" w:lastRow="0" w:firstColumn="0" w:lastColumn="0" w:oddVBand="0" w:evenVBand="0" w:oddHBand="0" w:evenHBand="1" w:firstRowFirstColumn="0" w:firstRowLastColumn="0" w:lastRowFirstColumn="0" w:lastRowLastColumn="0"/>
              <w:rPr>
                <w:b/>
                <w:bCs/>
                <w:iCs/>
                <w:sz w:val="22"/>
              </w:rPr>
            </w:pPr>
            <w:r w:rsidRPr="00FA2C1D">
              <w:rPr>
                <w:b/>
                <w:bCs/>
                <w:iCs/>
                <w:sz w:val="22"/>
              </w:rPr>
              <w:t>Total</w:t>
            </w:r>
          </w:p>
        </w:tc>
        <w:tc>
          <w:tcPr>
            <w:tcW w:w="701" w:type="pct"/>
            <w:shd w:val="clear" w:color="auto" w:fill="BFBFBF" w:themeFill="background1" w:themeFillShade="BF"/>
            <w:vAlign w:val="center"/>
          </w:tcPr>
          <w:p w14:paraId="0D63E495" w14:textId="77777777" w:rsidR="006E453B" w:rsidRDefault="006E453B" w:rsidP="006E453B">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p>
          <w:p w14:paraId="6BE596C8" w14:textId="0CB4DC38" w:rsidR="006E453B" w:rsidRPr="00FA2C1D" w:rsidRDefault="006E453B" w:rsidP="006E453B">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u w:val="single"/>
              </w:rPr>
            </w:pPr>
            <w:r>
              <w:rPr>
                <w:b/>
                <w:sz w:val="22"/>
                <w:u w:val="single"/>
              </w:rPr>
              <w:t>5</w:t>
            </w:r>
            <w:r w:rsidR="0071462D">
              <w:rPr>
                <w:b/>
                <w:sz w:val="22"/>
                <w:u w:val="single"/>
              </w:rPr>
              <w:t>5</w:t>
            </w:r>
            <w:r>
              <w:rPr>
                <w:b/>
                <w:sz w:val="22"/>
                <w:u w:val="single"/>
              </w:rPr>
              <w:t>,</w:t>
            </w:r>
            <w:r w:rsidR="0071462D">
              <w:rPr>
                <w:b/>
                <w:sz w:val="22"/>
                <w:u w:val="single"/>
              </w:rPr>
              <w:t>0</w:t>
            </w:r>
            <w:r>
              <w:rPr>
                <w:b/>
                <w:sz w:val="22"/>
                <w:u w:val="single"/>
              </w:rPr>
              <w:t>0</w:t>
            </w:r>
            <w:r w:rsidR="0071462D">
              <w:rPr>
                <w:b/>
                <w:sz w:val="22"/>
                <w:u w:val="single"/>
              </w:rPr>
              <w:t>9</w:t>
            </w:r>
          </w:p>
        </w:tc>
        <w:tc>
          <w:tcPr>
            <w:tcW w:w="701" w:type="pct"/>
            <w:shd w:val="clear" w:color="auto" w:fill="BFBFBF" w:themeFill="background1" w:themeFillShade="BF"/>
            <w:vAlign w:val="center"/>
          </w:tcPr>
          <w:p w14:paraId="61D66CE4" w14:textId="77777777" w:rsidR="006E453B" w:rsidRDefault="006E453B" w:rsidP="006E453B">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p>
          <w:p w14:paraId="7A1C58F1" w14:textId="77777777" w:rsidR="006E453B" w:rsidRPr="00FA2C1D" w:rsidRDefault="006E453B" w:rsidP="006E453B">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r>
              <w:rPr>
                <w:b/>
                <w:sz w:val="22"/>
                <w:u w:val="single"/>
              </w:rPr>
              <w:t>56,080</w:t>
            </w:r>
          </w:p>
        </w:tc>
        <w:tc>
          <w:tcPr>
            <w:tcW w:w="701" w:type="pct"/>
            <w:shd w:val="clear" w:color="auto" w:fill="BFBFBF" w:themeFill="background1" w:themeFillShade="BF"/>
            <w:vAlign w:val="center"/>
          </w:tcPr>
          <w:p w14:paraId="2C8D07E5" w14:textId="77777777" w:rsidR="006E453B" w:rsidRDefault="006E453B" w:rsidP="006E453B">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p>
          <w:p w14:paraId="397496DC" w14:textId="77777777" w:rsidR="006E453B" w:rsidRPr="00FA2C1D" w:rsidRDefault="006E453B" w:rsidP="006E453B">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r>
              <w:rPr>
                <w:b/>
                <w:sz w:val="22"/>
                <w:u w:val="single"/>
              </w:rPr>
              <w:t>55,118</w:t>
            </w:r>
          </w:p>
        </w:tc>
        <w:tc>
          <w:tcPr>
            <w:tcW w:w="701" w:type="pct"/>
            <w:shd w:val="clear" w:color="auto" w:fill="BFBFBF" w:themeFill="background1" w:themeFillShade="BF"/>
            <w:vAlign w:val="center"/>
          </w:tcPr>
          <w:p w14:paraId="48CC5861" w14:textId="77777777" w:rsidR="006E453B" w:rsidRDefault="006E453B" w:rsidP="006E453B">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p>
          <w:p w14:paraId="62674EA3" w14:textId="77777777" w:rsidR="006E453B" w:rsidRPr="00FA2C1D" w:rsidRDefault="006E453B" w:rsidP="006E453B">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r>
              <w:rPr>
                <w:b/>
                <w:sz w:val="22"/>
                <w:u w:val="single"/>
              </w:rPr>
              <w:t>61,381</w:t>
            </w:r>
          </w:p>
        </w:tc>
      </w:tr>
    </w:tbl>
    <w:p w14:paraId="1319F490" w14:textId="77777777" w:rsidR="0080790F" w:rsidRDefault="0080790F" w:rsidP="002E3A29">
      <w:pPr>
        <w:spacing w:line="276" w:lineRule="auto"/>
        <w:rPr>
          <w:sz w:val="22"/>
        </w:rPr>
      </w:pPr>
      <w:r>
        <w:rPr>
          <w:sz w:val="22"/>
        </w:rPr>
        <w:t xml:space="preserve">* Unaudited </w:t>
      </w:r>
    </w:p>
    <w:p w14:paraId="14484DC9" w14:textId="6D348688" w:rsidR="002E3A29" w:rsidRPr="002E3A29" w:rsidRDefault="002E3A29" w:rsidP="002E3A29">
      <w:pPr>
        <w:spacing w:line="276" w:lineRule="auto"/>
        <w:rPr>
          <w:rFonts w:asciiTheme="minorHAnsi" w:hAnsiTheme="minorHAnsi" w:cstheme="minorHAnsi"/>
          <w:color w:val="00B050"/>
          <w:sz w:val="36"/>
          <w:szCs w:val="36"/>
        </w:rPr>
      </w:pPr>
      <w:r>
        <w:rPr>
          <w:sz w:val="22"/>
        </w:rPr>
        <w:t>*</w:t>
      </w:r>
      <w:r w:rsidR="0080790F">
        <w:rPr>
          <w:sz w:val="22"/>
        </w:rPr>
        <w:t>*</w:t>
      </w:r>
      <w:r>
        <w:rPr>
          <w:sz w:val="22"/>
        </w:rPr>
        <w:t xml:space="preserve"> </w:t>
      </w:r>
      <w:r w:rsidRPr="00FA2C1D">
        <w:rPr>
          <w:sz w:val="22"/>
        </w:rPr>
        <w:t>These are Permanent Legislative Authorities and not subject to breaches of appropriation.</w:t>
      </w:r>
    </w:p>
    <w:p w14:paraId="18C89543" w14:textId="38BAD576" w:rsidR="00E423CB" w:rsidRDefault="00E423CB" w:rsidP="00623386">
      <w:pPr>
        <w:pStyle w:val="Heading2"/>
      </w:pPr>
      <w:bookmarkStart w:id="79" w:name="_Statement_of_comprehensive_1"/>
      <w:bookmarkEnd w:id="79"/>
      <w:r>
        <w:t xml:space="preserve">Statement of comprehensive revenue and expense </w:t>
      </w:r>
      <w:r w:rsidR="0074015C">
        <w:t>for the year ended 30 June 2026</w:t>
      </w:r>
    </w:p>
    <w:tbl>
      <w:tblPr>
        <w:tblStyle w:val="TableGridAnnualReport1"/>
        <w:tblW w:w="9299" w:type="dxa"/>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20" w:firstRow="1" w:lastRow="0" w:firstColumn="0" w:lastColumn="0" w:noHBand="0" w:noVBand="1"/>
        <w:tblCaption w:val="Statement of comprehensive revenue and expense for the year ended 30 June 2017"/>
      </w:tblPr>
      <w:tblGrid>
        <w:gridCol w:w="1133"/>
        <w:gridCol w:w="2353"/>
        <w:gridCol w:w="792"/>
        <w:gridCol w:w="1164"/>
        <w:gridCol w:w="1330"/>
        <w:gridCol w:w="1283"/>
        <w:gridCol w:w="1244"/>
      </w:tblGrid>
      <w:tr w:rsidR="00291457" w14:paraId="0EDD1F47" w14:textId="77777777" w:rsidTr="00F7082D">
        <w:trPr>
          <w:cnfStyle w:val="100000000000" w:firstRow="1" w:lastRow="0" w:firstColumn="0" w:lastColumn="0" w:oddVBand="0" w:evenVBand="0" w:oddHBand="0" w:evenHBand="0" w:firstRowFirstColumn="0" w:firstRowLastColumn="0" w:lastRowFirstColumn="0" w:lastRowLastColumn="0"/>
          <w:trHeight w:val="60"/>
          <w:tblHeader/>
        </w:trPr>
        <w:tc>
          <w:tcPr>
            <w:tcW w:w="609" w:type="pct"/>
            <w:shd w:val="clear" w:color="auto" w:fill="017E5D"/>
            <w:hideMark/>
          </w:tcPr>
          <w:p w14:paraId="43F5681E" w14:textId="77777777" w:rsidR="00291457" w:rsidRPr="00423F55" w:rsidRDefault="00291457" w:rsidP="00E7301A">
            <w:pPr>
              <w:pStyle w:val="Tableheadingrow1"/>
              <w:jc w:val="right"/>
              <w:rPr>
                <w:sz w:val="22"/>
              </w:rPr>
            </w:pPr>
            <w:r w:rsidRPr="00423F55">
              <w:rPr>
                <w:sz w:val="22"/>
              </w:rPr>
              <w:t>Actual</w:t>
            </w:r>
          </w:p>
          <w:p w14:paraId="38A81F77" w14:textId="77777777" w:rsidR="00291457" w:rsidRPr="00423F55" w:rsidRDefault="00291457" w:rsidP="00E7301A">
            <w:pPr>
              <w:pStyle w:val="Tableheadingrow1"/>
              <w:jc w:val="right"/>
              <w:rPr>
                <w:sz w:val="22"/>
              </w:rPr>
            </w:pPr>
            <w:r w:rsidRPr="00423F55">
              <w:rPr>
                <w:sz w:val="22"/>
              </w:rPr>
              <w:t>202</w:t>
            </w:r>
            <w:r>
              <w:rPr>
                <w:sz w:val="22"/>
              </w:rPr>
              <w:t>4</w:t>
            </w:r>
            <w:r w:rsidRPr="00423F55">
              <w:rPr>
                <w:sz w:val="22"/>
              </w:rPr>
              <w:t>/2</w:t>
            </w:r>
            <w:r>
              <w:rPr>
                <w:sz w:val="22"/>
              </w:rPr>
              <w:t>5</w:t>
            </w:r>
            <w:r w:rsidRPr="00423F55">
              <w:rPr>
                <w:sz w:val="22"/>
              </w:rPr>
              <w:br/>
            </w:r>
            <w:r w:rsidRPr="00423F55">
              <w:rPr>
                <w:sz w:val="22"/>
              </w:rPr>
              <w:br/>
            </w:r>
            <w:r w:rsidRPr="00423F55">
              <w:rPr>
                <w:sz w:val="22"/>
              </w:rPr>
              <w:br/>
              <w:t>$(000)</w:t>
            </w:r>
          </w:p>
        </w:tc>
        <w:tc>
          <w:tcPr>
            <w:tcW w:w="1265" w:type="pct"/>
            <w:shd w:val="clear" w:color="auto" w:fill="017E5D"/>
          </w:tcPr>
          <w:p w14:paraId="24CBE688" w14:textId="77777777" w:rsidR="00291457" w:rsidRPr="00423F55" w:rsidRDefault="00291457" w:rsidP="00E7301A">
            <w:pPr>
              <w:pStyle w:val="Tableheadingrow1"/>
              <w:jc w:val="right"/>
              <w:rPr>
                <w:sz w:val="22"/>
              </w:rPr>
            </w:pPr>
          </w:p>
        </w:tc>
        <w:tc>
          <w:tcPr>
            <w:tcW w:w="426" w:type="pct"/>
            <w:shd w:val="clear" w:color="auto" w:fill="017E5D"/>
            <w:hideMark/>
          </w:tcPr>
          <w:p w14:paraId="3D57C221" w14:textId="77777777" w:rsidR="00291457" w:rsidRPr="00423F55" w:rsidRDefault="00291457" w:rsidP="00E7301A">
            <w:pPr>
              <w:pStyle w:val="Tableheadingrow1"/>
              <w:jc w:val="right"/>
              <w:rPr>
                <w:sz w:val="22"/>
              </w:rPr>
            </w:pPr>
            <w:r w:rsidRPr="00423F55">
              <w:rPr>
                <w:sz w:val="22"/>
              </w:rPr>
              <w:t>Notes</w:t>
            </w:r>
          </w:p>
        </w:tc>
        <w:tc>
          <w:tcPr>
            <w:tcW w:w="626" w:type="pct"/>
            <w:shd w:val="clear" w:color="auto" w:fill="017E5D"/>
            <w:hideMark/>
          </w:tcPr>
          <w:p w14:paraId="6ABF33D8" w14:textId="77777777" w:rsidR="00291457" w:rsidRPr="00423F55" w:rsidRDefault="00291457" w:rsidP="00E7301A">
            <w:pPr>
              <w:pStyle w:val="Tableheadingrow1"/>
              <w:jc w:val="right"/>
              <w:rPr>
                <w:sz w:val="22"/>
              </w:rPr>
            </w:pPr>
            <w:r w:rsidRPr="00423F55">
              <w:rPr>
                <w:sz w:val="22"/>
              </w:rPr>
              <w:t>Actual</w:t>
            </w:r>
          </w:p>
          <w:p w14:paraId="4434C6BA" w14:textId="77777777" w:rsidR="00291457" w:rsidRPr="00423F55" w:rsidRDefault="00291457" w:rsidP="00E7301A">
            <w:pPr>
              <w:pStyle w:val="Tableheadingrow1"/>
              <w:jc w:val="right"/>
              <w:rPr>
                <w:sz w:val="22"/>
              </w:rPr>
            </w:pPr>
            <w:r w:rsidRPr="00423F55">
              <w:rPr>
                <w:sz w:val="22"/>
              </w:rPr>
              <w:t>202</w:t>
            </w:r>
            <w:r>
              <w:rPr>
                <w:sz w:val="22"/>
              </w:rPr>
              <w:t>5</w:t>
            </w:r>
            <w:r w:rsidRPr="00423F55">
              <w:rPr>
                <w:sz w:val="22"/>
              </w:rPr>
              <w:t>/2</w:t>
            </w:r>
            <w:r>
              <w:rPr>
                <w:sz w:val="22"/>
              </w:rPr>
              <w:t>6</w:t>
            </w:r>
            <w:r w:rsidRPr="00423F55">
              <w:rPr>
                <w:sz w:val="22"/>
              </w:rPr>
              <w:br/>
            </w:r>
            <w:r w:rsidRPr="00423F55">
              <w:rPr>
                <w:sz w:val="22"/>
              </w:rPr>
              <w:br/>
            </w:r>
            <w:r w:rsidRPr="00423F55">
              <w:rPr>
                <w:sz w:val="22"/>
              </w:rPr>
              <w:br/>
              <w:t>$(000)</w:t>
            </w:r>
          </w:p>
        </w:tc>
        <w:tc>
          <w:tcPr>
            <w:tcW w:w="715" w:type="pct"/>
            <w:shd w:val="clear" w:color="auto" w:fill="017E5D"/>
            <w:hideMark/>
          </w:tcPr>
          <w:p w14:paraId="37B89E92" w14:textId="77777777" w:rsidR="00291457" w:rsidRPr="00423F55" w:rsidRDefault="00291457" w:rsidP="00E7301A">
            <w:pPr>
              <w:pStyle w:val="Tableheadingrow1"/>
              <w:jc w:val="right"/>
              <w:rPr>
                <w:sz w:val="22"/>
              </w:rPr>
            </w:pPr>
            <w:r w:rsidRPr="00423F55">
              <w:rPr>
                <w:sz w:val="22"/>
              </w:rPr>
              <w:t>Main</w:t>
            </w:r>
            <w:r w:rsidRPr="00423F55">
              <w:rPr>
                <w:sz w:val="22"/>
              </w:rPr>
              <w:br/>
              <w:t>Estimates</w:t>
            </w:r>
          </w:p>
          <w:p w14:paraId="40A80814" w14:textId="1E926912" w:rsidR="00291457" w:rsidRPr="00423F55" w:rsidRDefault="00291457" w:rsidP="00E7301A">
            <w:pPr>
              <w:pStyle w:val="Tableheadingrow1"/>
              <w:jc w:val="right"/>
              <w:rPr>
                <w:sz w:val="22"/>
              </w:rPr>
            </w:pPr>
            <w:r w:rsidRPr="00423F55">
              <w:rPr>
                <w:sz w:val="22"/>
              </w:rPr>
              <w:t>202</w:t>
            </w:r>
            <w:r>
              <w:rPr>
                <w:sz w:val="22"/>
              </w:rPr>
              <w:t>5</w:t>
            </w:r>
            <w:r w:rsidRPr="00423F55">
              <w:rPr>
                <w:sz w:val="22"/>
              </w:rPr>
              <w:t>/2</w:t>
            </w:r>
            <w:r>
              <w:rPr>
                <w:sz w:val="22"/>
              </w:rPr>
              <w:t>6</w:t>
            </w:r>
            <w:r w:rsidR="00FE1D2E">
              <w:rPr>
                <w:sz w:val="22"/>
              </w:rPr>
              <w:t>*</w:t>
            </w:r>
            <w:r w:rsidRPr="00423F55">
              <w:rPr>
                <w:sz w:val="22"/>
              </w:rPr>
              <w:br/>
            </w:r>
            <w:r w:rsidRPr="00423F55">
              <w:rPr>
                <w:sz w:val="22"/>
              </w:rPr>
              <w:br/>
              <w:t>$(000)</w:t>
            </w:r>
          </w:p>
        </w:tc>
        <w:tc>
          <w:tcPr>
            <w:tcW w:w="690" w:type="pct"/>
            <w:shd w:val="clear" w:color="auto" w:fill="017E5D"/>
            <w:hideMark/>
          </w:tcPr>
          <w:p w14:paraId="094AB438" w14:textId="77777777" w:rsidR="00291457" w:rsidRPr="00423F55" w:rsidRDefault="00291457" w:rsidP="00E7301A">
            <w:pPr>
              <w:pStyle w:val="Tableheadingrow1"/>
              <w:jc w:val="right"/>
              <w:rPr>
                <w:sz w:val="22"/>
              </w:rPr>
            </w:pPr>
            <w:r w:rsidRPr="00423F55">
              <w:rPr>
                <w:sz w:val="22"/>
              </w:rPr>
              <w:t>Supp.</w:t>
            </w:r>
            <w:r w:rsidRPr="00423F55">
              <w:rPr>
                <w:sz w:val="22"/>
              </w:rPr>
              <w:br/>
              <w:t>Estimates</w:t>
            </w:r>
          </w:p>
          <w:p w14:paraId="11F090BA" w14:textId="31AA15BC" w:rsidR="00291457" w:rsidRPr="00423F55" w:rsidRDefault="00291457" w:rsidP="00E7301A">
            <w:pPr>
              <w:pStyle w:val="Tableheadingrow1"/>
              <w:jc w:val="right"/>
              <w:rPr>
                <w:sz w:val="22"/>
              </w:rPr>
            </w:pPr>
            <w:r w:rsidRPr="00423F55">
              <w:rPr>
                <w:sz w:val="22"/>
              </w:rPr>
              <w:t>202</w:t>
            </w:r>
            <w:r>
              <w:rPr>
                <w:sz w:val="22"/>
              </w:rPr>
              <w:t>5</w:t>
            </w:r>
            <w:r w:rsidRPr="00423F55">
              <w:rPr>
                <w:sz w:val="22"/>
              </w:rPr>
              <w:t>/2</w:t>
            </w:r>
            <w:r>
              <w:rPr>
                <w:sz w:val="22"/>
              </w:rPr>
              <w:t>6</w:t>
            </w:r>
            <w:r w:rsidR="00FE1D2E">
              <w:rPr>
                <w:sz w:val="22"/>
              </w:rPr>
              <w:t>*</w:t>
            </w:r>
            <w:r w:rsidRPr="00423F55">
              <w:rPr>
                <w:sz w:val="22"/>
              </w:rPr>
              <w:br/>
            </w:r>
            <w:r w:rsidRPr="00423F55">
              <w:rPr>
                <w:sz w:val="22"/>
              </w:rPr>
              <w:br/>
              <w:t>$(000)</w:t>
            </w:r>
          </w:p>
        </w:tc>
        <w:tc>
          <w:tcPr>
            <w:tcW w:w="669" w:type="pct"/>
            <w:shd w:val="clear" w:color="auto" w:fill="017E5D"/>
            <w:hideMark/>
          </w:tcPr>
          <w:p w14:paraId="54ECF4E1" w14:textId="57A37852" w:rsidR="00291457" w:rsidRPr="00423F55" w:rsidRDefault="00FE1D2E" w:rsidP="00E7301A">
            <w:pPr>
              <w:pStyle w:val="Tableheadingrow1"/>
              <w:jc w:val="right"/>
              <w:rPr>
                <w:sz w:val="22"/>
              </w:rPr>
            </w:pPr>
            <w:r>
              <w:rPr>
                <w:rStyle w:val="FootnoteReference"/>
                <w:sz w:val="22"/>
              </w:rPr>
              <w:footnoteReference w:id="65"/>
            </w:r>
            <w:r w:rsidR="00291457" w:rsidRPr="00423F55">
              <w:rPr>
                <w:sz w:val="22"/>
              </w:rPr>
              <w:t>Main</w:t>
            </w:r>
            <w:r w:rsidR="00291457" w:rsidRPr="00423F55">
              <w:rPr>
                <w:sz w:val="22"/>
              </w:rPr>
              <w:br/>
              <w:t>Estimates</w:t>
            </w:r>
          </w:p>
          <w:p w14:paraId="217B3641" w14:textId="10AAEDEB" w:rsidR="00291457" w:rsidRPr="00423F55" w:rsidRDefault="00291457" w:rsidP="00E7301A">
            <w:pPr>
              <w:pStyle w:val="Tableheadingrow1"/>
              <w:jc w:val="right"/>
              <w:rPr>
                <w:sz w:val="22"/>
              </w:rPr>
            </w:pPr>
            <w:r w:rsidRPr="00423F55">
              <w:rPr>
                <w:sz w:val="22"/>
              </w:rPr>
              <w:t>202</w:t>
            </w:r>
            <w:r>
              <w:rPr>
                <w:sz w:val="22"/>
              </w:rPr>
              <w:t>6</w:t>
            </w:r>
            <w:r w:rsidRPr="00423F55">
              <w:rPr>
                <w:sz w:val="22"/>
              </w:rPr>
              <w:t>/2</w:t>
            </w:r>
            <w:r>
              <w:rPr>
                <w:sz w:val="22"/>
              </w:rPr>
              <w:t>7</w:t>
            </w:r>
            <w:r w:rsidR="00FE1D2E">
              <w:rPr>
                <w:sz w:val="22"/>
              </w:rPr>
              <w:t>*</w:t>
            </w:r>
            <w:r w:rsidRPr="00423F55">
              <w:rPr>
                <w:sz w:val="22"/>
              </w:rPr>
              <w:br/>
            </w:r>
            <w:r w:rsidRPr="00423F55">
              <w:rPr>
                <w:sz w:val="22"/>
              </w:rPr>
              <w:br/>
              <w:t>$(000)</w:t>
            </w:r>
          </w:p>
        </w:tc>
      </w:tr>
      <w:tr w:rsidR="00674B1E" w14:paraId="56A9F5A3" w14:textId="77777777" w:rsidTr="007F7479">
        <w:trPr>
          <w:cnfStyle w:val="000000100000" w:firstRow="0" w:lastRow="0" w:firstColumn="0" w:lastColumn="0" w:oddVBand="0" w:evenVBand="0" w:oddHBand="1" w:evenHBand="0" w:firstRowFirstColumn="0" w:firstRowLastColumn="0" w:lastRowFirstColumn="0" w:lastRowLastColumn="0"/>
          <w:trHeight w:val="60"/>
        </w:trPr>
        <w:tc>
          <w:tcPr>
            <w:tcW w:w="609" w:type="pct"/>
            <w:shd w:val="clear" w:color="auto" w:fill="BFBFBF"/>
          </w:tcPr>
          <w:p w14:paraId="1389CA23" w14:textId="77777777" w:rsidR="00674B1E" w:rsidRDefault="00674B1E" w:rsidP="00291457">
            <w:pPr>
              <w:pStyle w:val="Tablebodytextnospaceafter"/>
            </w:pPr>
          </w:p>
        </w:tc>
        <w:tc>
          <w:tcPr>
            <w:tcW w:w="1265" w:type="pct"/>
            <w:shd w:val="clear" w:color="auto" w:fill="BFBFBF"/>
          </w:tcPr>
          <w:p w14:paraId="281C65F3" w14:textId="09665CCD" w:rsidR="00674B1E" w:rsidRDefault="00674B1E" w:rsidP="00E7301A">
            <w:pPr>
              <w:pStyle w:val="Tablebodytextnospaceafter"/>
            </w:pPr>
            <w:r>
              <w:rPr>
                <w:rStyle w:val="Emphasis"/>
              </w:rPr>
              <w:t>Revenue</w:t>
            </w:r>
          </w:p>
        </w:tc>
        <w:tc>
          <w:tcPr>
            <w:tcW w:w="426" w:type="pct"/>
            <w:shd w:val="clear" w:color="auto" w:fill="BFBFBF"/>
          </w:tcPr>
          <w:p w14:paraId="647FEED2" w14:textId="77777777" w:rsidR="00674B1E" w:rsidRDefault="00674B1E" w:rsidP="00E7301A">
            <w:pPr>
              <w:pStyle w:val="Tablebodytextnospaceafter"/>
              <w:jc w:val="right"/>
            </w:pPr>
          </w:p>
        </w:tc>
        <w:tc>
          <w:tcPr>
            <w:tcW w:w="626" w:type="pct"/>
            <w:shd w:val="clear" w:color="auto" w:fill="BFBFBF"/>
          </w:tcPr>
          <w:p w14:paraId="1AF9DC70" w14:textId="77777777" w:rsidR="00674B1E" w:rsidRDefault="00674B1E" w:rsidP="00E7301A">
            <w:pPr>
              <w:pStyle w:val="Tablebodytextnospaceafter"/>
              <w:jc w:val="right"/>
              <w:rPr>
                <w:rStyle w:val="Emphasis"/>
                <w:b w:val="0"/>
              </w:rPr>
            </w:pPr>
          </w:p>
        </w:tc>
        <w:tc>
          <w:tcPr>
            <w:tcW w:w="715" w:type="pct"/>
            <w:shd w:val="clear" w:color="auto" w:fill="BFBFBF"/>
            <w:vAlign w:val="bottom"/>
          </w:tcPr>
          <w:p w14:paraId="7E8A689C" w14:textId="77777777" w:rsidR="00674B1E" w:rsidRDefault="00674B1E" w:rsidP="00291457">
            <w:pPr>
              <w:pStyle w:val="Tablebodytextnospaceafter"/>
            </w:pPr>
          </w:p>
        </w:tc>
        <w:tc>
          <w:tcPr>
            <w:tcW w:w="690" w:type="pct"/>
            <w:shd w:val="clear" w:color="auto" w:fill="BFBFBF"/>
          </w:tcPr>
          <w:p w14:paraId="1EDC2428" w14:textId="77777777" w:rsidR="00674B1E" w:rsidRDefault="00674B1E" w:rsidP="00291457">
            <w:pPr>
              <w:pStyle w:val="Tablebodytextnospaceafter"/>
            </w:pPr>
          </w:p>
        </w:tc>
        <w:tc>
          <w:tcPr>
            <w:tcW w:w="669" w:type="pct"/>
            <w:shd w:val="clear" w:color="auto" w:fill="BFBFBF"/>
          </w:tcPr>
          <w:p w14:paraId="7E63D331" w14:textId="77777777" w:rsidR="00674B1E" w:rsidRDefault="00674B1E" w:rsidP="00291457">
            <w:pPr>
              <w:pStyle w:val="Tablebodytextnospaceafter"/>
            </w:pPr>
          </w:p>
        </w:tc>
      </w:tr>
      <w:tr w:rsidR="007F7479" w14:paraId="01EE0C3B" w14:textId="77777777" w:rsidTr="00F7082D">
        <w:trPr>
          <w:cnfStyle w:val="000000010000" w:firstRow="0" w:lastRow="0" w:firstColumn="0" w:lastColumn="0" w:oddVBand="0" w:evenVBand="0" w:oddHBand="0" w:evenHBand="1" w:firstRowFirstColumn="0" w:firstRowLastColumn="0" w:lastRowFirstColumn="0" w:lastRowLastColumn="0"/>
          <w:trHeight w:val="60"/>
        </w:trPr>
        <w:tc>
          <w:tcPr>
            <w:tcW w:w="609" w:type="pct"/>
            <w:vAlign w:val="center"/>
            <w:hideMark/>
          </w:tcPr>
          <w:p w14:paraId="402152DB" w14:textId="3B8250AD" w:rsidR="007F7479" w:rsidRPr="00B6702A" w:rsidRDefault="007F7479" w:rsidP="007F7479">
            <w:pPr>
              <w:pStyle w:val="Tablebodytextnospaceafter"/>
            </w:pPr>
            <w:r>
              <w:t xml:space="preserve">      54,701</w:t>
            </w:r>
          </w:p>
        </w:tc>
        <w:tc>
          <w:tcPr>
            <w:tcW w:w="1265" w:type="pct"/>
            <w:hideMark/>
          </w:tcPr>
          <w:p w14:paraId="59746AAF" w14:textId="6754DC31" w:rsidR="007F7479" w:rsidRDefault="007F7479" w:rsidP="007F7479">
            <w:pPr>
              <w:pStyle w:val="Tablebodytextnospaceafter"/>
            </w:pPr>
            <w:r>
              <w:t>Revenue Crown</w:t>
            </w:r>
          </w:p>
        </w:tc>
        <w:tc>
          <w:tcPr>
            <w:tcW w:w="426" w:type="pct"/>
          </w:tcPr>
          <w:p w14:paraId="622D8E38" w14:textId="77777777" w:rsidR="007F7479" w:rsidRDefault="007F7479" w:rsidP="007F7479">
            <w:pPr>
              <w:pStyle w:val="Tablebodytextnospaceafter"/>
              <w:jc w:val="right"/>
            </w:pPr>
          </w:p>
        </w:tc>
        <w:tc>
          <w:tcPr>
            <w:tcW w:w="626" w:type="pct"/>
            <w:hideMark/>
          </w:tcPr>
          <w:p w14:paraId="08B5E199" w14:textId="3596ED80" w:rsidR="007F7479" w:rsidRDefault="00FE1D2E" w:rsidP="007F7479">
            <w:pPr>
              <w:pStyle w:val="Tablebodytextnospaceafter"/>
              <w:jc w:val="right"/>
              <w:rPr>
                <w:rStyle w:val="Emphasis"/>
                <w:b w:val="0"/>
              </w:rPr>
            </w:pPr>
            <w:r>
              <w:rPr>
                <w:rStyle w:val="Emphasis"/>
                <w:b w:val="0"/>
              </w:rPr>
              <w:t>53,265</w:t>
            </w:r>
          </w:p>
        </w:tc>
        <w:tc>
          <w:tcPr>
            <w:tcW w:w="715" w:type="pct"/>
            <w:vAlign w:val="center"/>
            <w:hideMark/>
          </w:tcPr>
          <w:p w14:paraId="449C6999" w14:textId="0334D1E0" w:rsidR="007F7479" w:rsidRDefault="00DC493C" w:rsidP="007F7479">
            <w:pPr>
              <w:pStyle w:val="Tablebodytextnospaceafter"/>
            </w:pPr>
            <w:r>
              <w:t xml:space="preserve">          </w:t>
            </w:r>
            <w:r w:rsidR="007F7479">
              <w:t>53,236</w:t>
            </w:r>
          </w:p>
        </w:tc>
        <w:tc>
          <w:tcPr>
            <w:tcW w:w="690" w:type="pct"/>
            <w:vAlign w:val="center"/>
            <w:hideMark/>
          </w:tcPr>
          <w:p w14:paraId="74982CCF" w14:textId="288602ED" w:rsidR="007F7479" w:rsidRDefault="00DC493C" w:rsidP="007F7479">
            <w:pPr>
              <w:pStyle w:val="Tablebodytextnospaceafter"/>
            </w:pPr>
            <w:r>
              <w:t xml:space="preserve">         </w:t>
            </w:r>
            <w:r w:rsidR="007F7479">
              <w:t>53,265</w:t>
            </w:r>
          </w:p>
        </w:tc>
        <w:tc>
          <w:tcPr>
            <w:tcW w:w="669" w:type="pct"/>
            <w:vAlign w:val="center"/>
          </w:tcPr>
          <w:p w14:paraId="3BF6B0EB" w14:textId="0735BC75" w:rsidR="007F7479" w:rsidRDefault="00DC493C" w:rsidP="007F7479">
            <w:pPr>
              <w:pStyle w:val="Tablebodytextnospaceafter"/>
            </w:pPr>
            <w:r>
              <w:t xml:space="preserve">        </w:t>
            </w:r>
            <w:r w:rsidR="007F7479">
              <w:t>60,808</w:t>
            </w:r>
          </w:p>
        </w:tc>
      </w:tr>
      <w:tr w:rsidR="007F7479" w14:paraId="3B7F47F2" w14:textId="77777777" w:rsidTr="00E7301A">
        <w:trPr>
          <w:cnfStyle w:val="000000100000" w:firstRow="0" w:lastRow="0" w:firstColumn="0" w:lastColumn="0" w:oddVBand="0" w:evenVBand="0" w:oddHBand="1" w:evenHBand="0" w:firstRowFirstColumn="0" w:firstRowLastColumn="0" w:lastRowFirstColumn="0" w:lastRowLastColumn="0"/>
          <w:trHeight w:val="60"/>
        </w:trPr>
        <w:tc>
          <w:tcPr>
            <w:tcW w:w="609" w:type="pct"/>
            <w:tcBorders>
              <w:bottom w:val="single" w:sz="4" w:space="0" w:color="FFFFFF" w:themeColor="background1"/>
            </w:tcBorders>
            <w:hideMark/>
          </w:tcPr>
          <w:p w14:paraId="2457D348" w14:textId="31BF4569" w:rsidR="007F7479" w:rsidRDefault="007F7479" w:rsidP="007F7479">
            <w:pPr>
              <w:pStyle w:val="Tablebodytextnospaceafter"/>
              <w:jc w:val="right"/>
            </w:pPr>
            <w:r>
              <w:t>-</w:t>
            </w:r>
          </w:p>
        </w:tc>
        <w:tc>
          <w:tcPr>
            <w:tcW w:w="1265" w:type="pct"/>
            <w:hideMark/>
          </w:tcPr>
          <w:p w14:paraId="58512C33" w14:textId="70753E60" w:rsidR="007F7479" w:rsidRDefault="007F7479" w:rsidP="007F7479">
            <w:pPr>
              <w:pStyle w:val="Tablebodytextnospaceafter"/>
            </w:pPr>
            <w:r>
              <w:t>Other revenue</w:t>
            </w:r>
          </w:p>
        </w:tc>
        <w:tc>
          <w:tcPr>
            <w:tcW w:w="426" w:type="pct"/>
          </w:tcPr>
          <w:p w14:paraId="3D199677" w14:textId="77777777" w:rsidR="007F7479" w:rsidRDefault="007F7479" w:rsidP="007F7479">
            <w:pPr>
              <w:pStyle w:val="Tablebodytextnospaceafter"/>
              <w:jc w:val="right"/>
              <w:rPr>
                <w:highlight w:val="yellow"/>
              </w:rPr>
            </w:pPr>
          </w:p>
        </w:tc>
        <w:tc>
          <w:tcPr>
            <w:tcW w:w="626" w:type="pct"/>
            <w:tcBorders>
              <w:bottom w:val="single" w:sz="4" w:space="0" w:color="FFFFFF" w:themeColor="background1"/>
            </w:tcBorders>
          </w:tcPr>
          <w:p w14:paraId="19AE2953" w14:textId="1EED9405" w:rsidR="007F7479" w:rsidRDefault="007F7479" w:rsidP="007F7479">
            <w:pPr>
              <w:pStyle w:val="Tablebodytextnospaceafter"/>
              <w:jc w:val="right"/>
              <w:rPr>
                <w:rStyle w:val="Emphasis"/>
                <w:b w:val="0"/>
              </w:rPr>
            </w:pPr>
            <w:r>
              <w:rPr>
                <w:rStyle w:val="Emphasis"/>
              </w:rPr>
              <w:t>-</w:t>
            </w:r>
          </w:p>
        </w:tc>
        <w:tc>
          <w:tcPr>
            <w:tcW w:w="715" w:type="pct"/>
            <w:tcBorders>
              <w:bottom w:val="single" w:sz="4" w:space="0" w:color="FFFFFF" w:themeColor="background1"/>
            </w:tcBorders>
            <w:hideMark/>
          </w:tcPr>
          <w:p w14:paraId="497423AD" w14:textId="096123D8" w:rsidR="007F7479" w:rsidRDefault="007F7479" w:rsidP="007F7479">
            <w:pPr>
              <w:pStyle w:val="Tablebodytextnospaceafter"/>
              <w:jc w:val="right"/>
            </w:pPr>
            <w:r>
              <w:t>-</w:t>
            </w:r>
          </w:p>
        </w:tc>
        <w:tc>
          <w:tcPr>
            <w:tcW w:w="690" w:type="pct"/>
            <w:tcBorders>
              <w:bottom w:val="single" w:sz="4" w:space="0" w:color="FFFFFF" w:themeColor="background1"/>
            </w:tcBorders>
            <w:hideMark/>
          </w:tcPr>
          <w:p w14:paraId="07898B7A" w14:textId="5BD8A198" w:rsidR="007F7479" w:rsidRDefault="007F7479" w:rsidP="007F7479">
            <w:pPr>
              <w:pStyle w:val="Tablebodytextnospaceafter"/>
              <w:jc w:val="right"/>
            </w:pPr>
            <w:r>
              <w:t>-</w:t>
            </w:r>
          </w:p>
        </w:tc>
        <w:tc>
          <w:tcPr>
            <w:tcW w:w="669" w:type="pct"/>
            <w:tcBorders>
              <w:bottom w:val="single" w:sz="4" w:space="0" w:color="FFFFFF" w:themeColor="background1"/>
            </w:tcBorders>
            <w:hideMark/>
          </w:tcPr>
          <w:p w14:paraId="42B882D0" w14:textId="6DB161E9" w:rsidR="007F7479" w:rsidRDefault="007F7479" w:rsidP="007F7479">
            <w:pPr>
              <w:pStyle w:val="Tablebodytextnospaceafter"/>
              <w:jc w:val="right"/>
            </w:pPr>
            <w:r>
              <w:t>-</w:t>
            </w:r>
          </w:p>
        </w:tc>
      </w:tr>
      <w:tr w:rsidR="007F7479" w14:paraId="0BFAA890" w14:textId="77777777" w:rsidTr="00E7301A">
        <w:trPr>
          <w:cnfStyle w:val="000000010000" w:firstRow="0" w:lastRow="0" w:firstColumn="0" w:lastColumn="0" w:oddVBand="0" w:evenVBand="0" w:oddHBand="0" w:evenHBand="1" w:firstRowFirstColumn="0" w:firstRowLastColumn="0" w:lastRowFirstColumn="0" w:lastRowLastColumn="0"/>
          <w:trHeight w:val="305"/>
        </w:trPr>
        <w:tc>
          <w:tcPr>
            <w:tcW w:w="609" w:type="pct"/>
            <w:tcBorders>
              <w:top w:val="single" w:sz="4" w:space="0" w:color="FFFFFF" w:themeColor="background1"/>
              <w:bottom w:val="single" w:sz="4" w:space="0" w:color="FFFFFF" w:themeColor="background1"/>
            </w:tcBorders>
            <w:shd w:val="clear" w:color="auto" w:fill="BFBFBF"/>
            <w:hideMark/>
          </w:tcPr>
          <w:p w14:paraId="1CF7D559" w14:textId="564E956F" w:rsidR="007F7479" w:rsidRPr="002F27DD" w:rsidRDefault="00E039F4" w:rsidP="00E039F4">
            <w:pPr>
              <w:pStyle w:val="Tablebodytextnospaceafter"/>
              <w:rPr>
                <w:u w:val="single"/>
              </w:rPr>
            </w:pPr>
            <w:r w:rsidRPr="00E039F4">
              <w:rPr>
                <w:rStyle w:val="Emphasis"/>
              </w:rPr>
              <w:t xml:space="preserve">      </w:t>
            </w:r>
            <w:r w:rsidR="007F7479" w:rsidRPr="002F27DD">
              <w:rPr>
                <w:rStyle w:val="Emphasis"/>
                <w:u w:val="single"/>
              </w:rPr>
              <w:t>54,701</w:t>
            </w:r>
          </w:p>
        </w:tc>
        <w:tc>
          <w:tcPr>
            <w:tcW w:w="1265" w:type="pct"/>
            <w:shd w:val="clear" w:color="auto" w:fill="BFBFBF"/>
            <w:hideMark/>
          </w:tcPr>
          <w:p w14:paraId="6AC08747" w14:textId="21D3C444" w:rsidR="007F7479" w:rsidRDefault="007F7479" w:rsidP="007F7479">
            <w:pPr>
              <w:pStyle w:val="Tablebodytextnospaceafter"/>
              <w:rPr>
                <w:rStyle w:val="EmphasisItalics"/>
              </w:rPr>
            </w:pPr>
            <w:r>
              <w:rPr>
                <w:rStyle w:val="EmphasisItalics"/>
              </w:rPr>
              <w:t>Total revenue</w:t>
            </w:r>
          </w:p>
        </w:tc>
        <w:tc>
          <w:tcPr>
            <w:tcW w:w="426" w:type="pct"/>
            <w:shd w:val="clear" w:color="auto" w:fill="BFBFBF"/>
          </w:tcPr>
          <w:p w14:paraId="7712A7B9" w14:textId="77777777" w:rsidR="007F7479" w:rsidRDefault="007F7479" w:rsidP="007F7479">
            <w:pPr>
              <w:pStyle w:val="Tablebodytextnospaceafter"/>
              <w:jc w:val="right"/>
              <w:rPr>
                <w:highlight w:val="yellow"/>
              </w:rPr>
            </w:pPr>
          </w:p>
        </w:tc>
        <w:tc>
          <w:tcPr>
            <w:tcW w:w="626" w:type="pct"/>
            <w:tcBorders>
              <w:top w:val="single" w:sz="4" w:space="0" w:color="FFFFFF" w:themeColor="background1"/>
              <w:bottom w:val="single" w:sz="4" w:space="0" w:color="FFFFFF" w:themeColor="background1"/>
            </w:tcBorders>
            <w:shd w:val="clear" w:color="auto" w:fill="BFBFBF"/>
            <w:hideMark/>
          </w:tcPr>
          <w:p w14:paraId="21B96ADB" w14:textId="0446503A" w:rsidR="007F7479" w:rsidRPr="00B6702A" w:rsidRDefault="00FE1D2E" w:rsidP="00E039F4">
            <w:pPr>
              <w:pStyle w:val="Tablebodytextnospaceafter"/>
              <w:rPr>
                <w:rStyle w:val="Emphasis"/>
                <w:u w:val="single"/>
              </w:rPr>
            </w:pPr>
            <w:r w:rsidRPr="00DC493C">
              <w:rPr>
                <w:b/>
              </w:rPr>
              <w:t xml:space="preserve">    </w:t>
            </w:r>
            <w:r w:rsidR="00E039F4">
              <w:rPr>
                <w:b/>
              </w:rPr>
              <w:t xml:space="preserve">  </w:t>
            </w:r>
            <w:r>
              <w:rPr>
                <w:b/>
                <w:u w:val="single"/>
              </w:rPr>
              <w:t>53,265</w:t>
            </w:r>
          </w:p>
        </w:tc>
        <w:tc>
          <w:tcPr>
            <w:tcW w:w="715" w:type="pct"/>
            <w:tcBorders>
              <w:top w:val="single" w:sz="4" w:space="0" w:color="FFFFFF" w:themeColor="background1"/>
              <w:bottom w:val="single" w:sz="4" w:space="0" w:color="FFFFFF" w:themeColor="background1"/>
            </w:tcBorders>
            <w:shd w:val="clear" w:color="auto" w:fill="BFBFBF"/>
            <w:hideMark/>
          </w:tcPr>
          <w:p w14:paraId="32875AC9" w14:textId="2EE911A0" w:rsidR="007F7479" w:rsidRPr="00B6702A" w:rsidRDefault="00DC493C" w:rsidP="007F7479">
            <w:pPr>
              <w:pStyle w:val="Tablebodytextnospaceafter"/>
              <w:rPr>
                <w:b/>
              </w:rPr>
            </w:pPr>
            <w:r w:rsidRPr="00DC493C">
              <w:rPr>
                <w:b/>
              </w:rPr>
              <w:t xml:space="preserve">   </w:t>
            </w:r>
            <w:r w:rsidR="00E039F4">
              <w:rPr>
                <w:b/>
              </w:rPr>
              <w:t xml:space="preserve">       </w:t>
            </w:r>
            <w:r w:rsidR="007F7479">
              <w:rPr>
                <w:b/>
                <w:u w:val="single"/>
              </w:rPr>
              <w:t>53,236</w:t>
            </w:r>
          </w:p>
        </w:tc>
        <w:tc>
          <w:tcPr>
            <w:tcW w:w="690" w:type="pct"/>
            <w:tcBorders>
              <w:top w:val="single" w:sz="4" w:space="0" w:color="FFFFFF" w:themeColor="background1"/>
              <w:bottom w:val="single" w:sz="4" w:space="0" w:color="FFFFFF" w:themeColor="background1"/>
            </w:tcBorders>
            <w:shd w:val="clear" w:color="auto" w:fill="BFBFBF"/>
            <w:hideMark/>
          </w:tcPr>
          <w:p w14:paraId="170A315C" w14:textId="32EE5ADB" w:rsidR="007F7479" w:rsidRPr="00B6702A" w:rsidRDefault="00DC493C" w:rsidP="007F7479">
            <w:pPr>
              <w:pStyle w:val="Tablebodytextnospaceafter"/>
              <w:rPr>
                <w:b/>
                <w:u w:val="single"/>
              </w:rPr>
            </w:pPr>
            <w:r w:rsidRPr="00DC493C">
              <w:rPr>
                <w:b/>
              </w:rPr>
              <w:t xml:space="preserve">       </w:t>
            </w:r>
            <w:r w:rsidR="00E039F4">
              <w:rPr>
                <w:b/>
              </w:rPr>
              <w:t xml:space="preserve">  </w:t>
            </w:r>
            <w:r w:rsidR="007F7479">
              <w:rPr>
                <w:b/>
                <w:u w:val="single"/>
              </w:rPr>
              <w:t>53,265</w:t>
            </w:r>
          </w:p>
        </w:tc>
        <w:tc>
          <w:tcPr>
            <w:tcW w:w="669" w:type="pct"/>
            <w:tcBorders>
              <w:top w:val="single" w:sz="4" w:space="0" w:color="FFFFFF" w:themeColor="background1"/>
              <w:bottom w:val="single" w:sz="4" w:space="0" w:color="FFFFFF" w:themeColor="background1"/>
            </w:tcBorders>
            <w:shd w:val="clear" w:color="auto" w:fill="BFBFBF"/>
          </w:tcPr>
          <w:p w14:paraId="106EF6B1" w14:textId="3F334236" w:rsidR="007F7479" w:rsidRPr="00B6702A" w:rsidRDefault="00DC493C" w:rsidP="007F7479">
            <w:pPr>
              <w:pStyle w:val="Tablebodytextnospaceafter"/>
              <w:rPr>
                <w:b/>
                <w:u w:val="single"/>
              </w:rPr>
            </w:pPr>
            <w:r w:rsidRPr="00DC493C">
              <w:rPr>
                <w:b/>
              </w:rPr>
              <w:t xml:space="preserve"> </w:t>
            </w:r>
            <w:r w:rsidR="00E039F4">
              <w:rPr>
                <w:b/>
              </w:rPr>
              <w:t xml:space="preserve">     </w:t>
            </w:r>
            <w:r w:rsidRPr="00DC493C">
              <w:rPr>
                <w:b/>
              </w:rPr>
              <w:t xml:space="preserve">  </w:t>
            </w:r>
            <w:r w:rsidR="007F7479">
              <w:rPr>
                <w:b/>
                <w:u w:val="single"/>
              </w:rPr>
              <w:t>60,808</w:t>
            </w:r>
          </w:p>
        </w:tc>
      </w:tr>
      <w:tr w:rsidR="007F7479" w14:paraId="152C334B" w14:textId="77777777" w:rsidTr="00E7301A">
        <w:trPr>
          <w:cnfStyle w:val="000000100000" w:firstRow="0" w:lastRow="0" w:firstColumn="0" w:lastColumn="0" w:oddVBand="0" w:evenVBand="0" w:oddHBand="1" w:evenHBand="0" w:firstRowFirstColumn="0" w:firstRowLastColumn="0" w:lastRowFirstColumn="0" w:lastRowLastColumn="0"/>
          <w:trHeight w:val="305"/>
        </w:trPr>
        <w:tc>
          <w:tcPr>
            <w:tcW w:w="609" w:type="pct"/>
            <w:tcBorders>
              <w:top w:val="single" w:sz="4" w:space="0" w:color="FFFFFF" w:themeColor="background1"/>
            </w:tcBorders>
            <w:shd w:val="clear" w:color="auto" w:fill="BFBFBF"/>
          </w:tcPr>
          <w:p w14:paraId="2A2161FF" w14:textId="77777777" w:rsidR="007F7479" w:rsidRDefault="007F7479" w:rsidP="007F7479">
            <w:pPr>
              <w:pStyle w:val="Tablebodytextnospaceafter"/>
              <w:jc w:val="right"/>
            </w:pPr>
          </w:p>
        </w:tc>
        <w:tc>
          <w:tcPr>
            <w:tcW w:w="1265" w:type="pct"/>
            <w:shd w:val="clear" w:color="auto" w:fill="BFBFBF"/>
            <w:hideMark/>
          </w:tcPr>
          <w:p w14:paraId="5DB94AA1" w14:textId="04BCE146" w:rsidR="007F7479" w:rsidRDefault="007F7479" w:rsidP="007F7479">
            <w:pPr>
              <w:pStyle w:val="Tablebodytextnospaceafter"/>
              <w:rPr>
                <w:rStyle w:val="Emphasis"/>
              </w:rPr>
            </w:pPr>
            <w:r>
              <w:rPr>
                <w:rStyle w:val="Emphasis"/>
              </w:rPr>
              <w:t>Expenses</w:t>
            </w:r>
          </w:p>
        </w:tc>
        <w:tc>
          <w:tcPr>
            <w:tcW w:w="426" w:type="pct"/>
            <w:shd w:val="clear" w:color="auto" w:fill="BFBFBF"/>
          </w:tcPr>
          <w:p w14:paraId="2870D7E9" w14:textId="77777777" w:rsidR="007F7479" w:rsidRDefault="007F7479" w:rsidP="007F7479">
            <w:pPr>
              <w:pStyle w:val="Tablebodytextnospaceafter"/>
              <w:jc w:val="right"/>
              <w:rPr>
                <w:highlight w:val="yellow"/>
              </w:rPr>
            </w:pPr>
          </w:p>
        </w:tc>
        <w:tc>
          <w:tcPr>
            <w:tcW w:w="626" w:type="pct"/>
            <w:tcBorders>
              <w:top w:val="single" w:sz="4" w:space="0" w:color="FFFFFF" w:themeColor="background1"/>
            </w:tcBorders>
            <w:shd w:val="clear" w:color="auto" w:fill="BFBFBF"/>
          </w:tcPr>
          <w:p w14:paraId="0C17BBD2" w14:textId="77777777" w:rsidR="007F7479" w:rsidRDefault="007F7479" w:rsidP="007F7479">
            <w:pPr>
              <w:pStyle w:val="Tablebodytextnospaceafter"/>
              <w:jc w:val="right"/>
              <w:rPr>
                <w:rStyle w:val="Emphasis"/>
              </w:rPr>
            </w:pPr>
          </w:p>
        </w:tc>
        <w:tc>
          <w:tcPr>
            <w:tcW w:w="715" w:type="pct"/>
            <w:tcBorders>
              <w:top w:val="single" w:sz="4" w:space="0" w:color="FFFFFF" w:themeColor="background1"/>
            </w:tcBorders>
            <w:shd w:val="clear" w:color="auto" w:fill="BFBFBF"/>
            <w:hideMark/>
          </w:tcPr>
          <w:p w14:paraId="058D2748" w14:textId="77777777" w:rsidR="007F7479" w:rsidRDefault="007F7479" w:rsidP="007F7479">
            <w:pPr>
              <w:rPr>
                <w:rStyle w:val="Emphasis"/>
              </w:rPr>
            </w:pPr>
          </w:p>
        </w:tc>
        <w:tc>
          <w:tcPr>
            <w:tcW w:w="690" w:type="pct"/>
            <w:tcBorders>
              <w:top w:val="single" w:sz="4" w:space="0" w:color="FFFFFF" w:themeColor="background1"/>
            </w:tcBorders>
            <w:shd w:val="clear" w:color="auto" w:fill="BFBFBF"/>
            <w:hideMark/>
          </w:tcPr>
          <w:p w14:paraId="1328AD48" w14:textId="77777777" w:rsidR="007F7479" w:rsidRDefault="007F7479" w:rsidP="007F7479">
            <w:pPr>
              <w:spacing w:line="240" w:lineRule="auto"/>
              <w:rPr>
                <w:rFonts w:asciiTheme="minorHAnsi" w:hAnsiTheme="minorHAnsi"/>
                <w:color w:val="auto"/>
                <w:sz w:val="20"/>
                <w:szCs w:val="20"/>
                <w:lang w:eastAsia="en-NZ"/>
              </w:rPr>
            </w:pPr>
          </w:p>
        </w:tc>
        <w:tc>
          <w:tcPr>
            <w:tcW w:w="669" w:type="pct"/>
            <w:tcBorders>
              <w:top w:val="single" w:sz="4" w:space="0" w:color="FFFFFF" w:themeColor="background1"/>
            </w:tcBorders>
            <w:shd w:val="clear" w:color="auto" w:fill="BFBFBF"/>
          </w:tcPr>
          <w:p w14:paraId="1A8C5882" w14:textId="77777777" w:rsidR="007F7479" w:rsidRDefault="007F7479" w:rsidP="007F7479">
            <w:pPr>
              <w:pStyle w:val="Tablebodytextnospaceafter"/>
              <w:jc w:val="right"/>
            </w:pPr>
          </w:p>
        </w:tc>
      </w:tr>
      <w:tr w:rsidR="00FE1D2E" w14:paraId="25DFE4AB" w14:textId="77777777" w:rsidTr="009C2F0D">
        <w:trPr>
          <w:cnfStyle w:val="000000010000" w:firstRow="0" w:lastRow="0" w:firstColumn="0" w:lastColumn="0" w:oddVBand="0" w:evenVBand="0" w:oddHBand="0" w:evenHBand="1" w:firstRowFirstColumn="0" w:firstRowLastColumn="0" w:lastRowFirstColumn="0" w:lastRowLastColumn="0"/>
          <w:trHeight w:val="419"/>
        </w:trPr>
        <w:tc>
          <w:tcPr>
            <w:tcW w:w="609" w:type="pct"/>
          </w:tcPr>
          <w:p w14:paraId="5BB88356" w14:textId="6C50F885" w:rsidR="007F7479" w:rsidRDefault="007F7479" w:rsidP="007F7479">
            <w:pPr>
              <w:pStyle w:val="Tablebodytextnospaceafter"/>
              <w:jc w:val="right"/>
            </w:pPr>
            <w:r>
              <w:t>33,854</w:t>
            </w:r>
          </w:p>
        </w:tc>
        <w:tc>
          <w:tcPr>
            <w:tcW w:w="1265" w:type="pct"/>
            <w:hideMark/>
          </w:tcPr>
          <w:p w14:paraId="509351D5" w14:textId="33B9F234" w:rsidR="007F7479" w:rsidRDefault="007F7479" w:rsidP="007F7479">
            <w:pPr>
              <w:pStyle w:val="Tablebodytextnospaceafter"/>
            </w:pPr>
            <w:r>
              <w:t>Personnel costs</w:t>
            </w:r>
          </w:p>
        </w:tc>
        <w:tc>
          <w:tcPr>
            <w:tcW w:w="426" w:type="pct"/>
            <w:hideMark/>
          </w:tcPr>
          <w:p w14:paraId="3EB73F2E" w14:textId="726A8778" w:rsidR="007F7479" w:rsidRDefault="007F7479" w:rsidP="007F7479">
            <w:pPr>
              <w:pStyle w:val="Tablebodytextnospaceafter"/>
              <w:jc w:val="right"/>
            </w:pPr>
            <w:r>
              <w:t>2</w:t>
            </w:r>
          </w:p>
        </w:tc>
        <w:tc>
          <w:tcPr>
            <w:tcW w:w="626" w:type="pct"/>
          </w:tcPr>
          <w:p w14:paraId="16FFA9A5" w14:textId="218F2CE6" w:rsidR="007F7479" w:rsidRDefault="00FE1D2E" w:rsidP="007F7479">
            <w:pPr>
              <w:pStyle w:val="Tablebodytextnospaceafter"/>
              <w:jc w:val="right"/>
              <w:rPr>
                <w:rStyle w:val="Emphasis"/>
                <w:b w:val="0"/>
              </w:rPr>
            </w:pPr>
            <w:r>
              <w:rPr>
                <w:rStyle w:val="Emphasis"/>
                <w:b w:val="0"/>
              </w:rPr>
              <w:t>37,704</w:t>
            </w:r>
          </w:p>
        </w:tc>
        <w:tc>
          <w:tcPr>
            <w:tcW w:w="715" w:type="pct"/>
            <w:vAlign w:val="center"/>
          </w:tcPr>
          <w:p w14:paraId="691BE1ED" w14:textId="610ABBBB" w:rsidR="007F7479" w:rsidRDefault="00DC493C" w:rsidP="007F7479">
            <w:pPr>
              <w:pStyle w:val="Tablebodytextnospaceafter"/>
            </w:pPr>
            <w:r>
              <w:t xml:space="preserve">          </w:t>
            </w:r>
            <w:r w:rsidR="007F7479">
              <w:t>33,446</w:t>
            </w:r>
          </w:p>
        </w:tc>
        <w:tc>
          <w:tcPr>
            <w:tcW w:w="690" w:type="pct"/>
            <w:vAlign w:val="center"/>
          </w:tcPr>
          <w:p w14:paraId="26CA6141" w14:textId="3A18815E" w:rsidR="007F7479" w:rsidRDefault="00DC493C" w:rsidP="007F7479">
            <w:pPr>
              <w:pStyle w:val="Tablebodytextnospaceafter"/>
            </w:pPr>
            <w:r>
              <w:t xml:space="preserve">         </w:t>
            </w:r>
            <w:r w:rsidR="007F7479">
              <w:t>35,857</w:t>
            </w:r>
          </w:p>
        </w:tc>
        <w:tc>
          <w:tcPr>
            <w:tcW w:w="669" w:type="pct"/>
            <w:vAlign w:val="center"/>
          </w:tcPr>
          <w:p w14:paraId="550E6FB2" w14:textId="4B521101" w:rsidR="007F7479" w:rsidRDefault="007F7479" w:rsidP="007F7479">
            <w:pPr>
              <w:pStyle w:val="Tablebodytextnospaceafter"/>
              <w:jc w:val="right"/>
            </w:pPr>
            <w:r>
              <w:t>40,306</w:t>
            </w:r>
          </w:p>
        </w:tc>
      </w:tr>
      <w:tr w:rsidR="00FE1D2E" w14:paraId="407A7D5F" w14:textId="77777777" w:rsidTr="009C2F0D">
        <w:trPr>
          <w:cnfStyle w:val="000000100000" w:firstRow="0" w:lastRow="0" w:firstColumn="0" w:lastColumn="0" w:oddVBand="0" w:evenVBand="0" w:oddHBand="1" w:evenHBand="0" w:firstRowFirstColumn="0" w:firstRowLastColumn="0" w:lastRowFirstColumn="0" w:lastRowLastColumn="0"/>
          <w:trHeight w:val="283"/>
        </w:trPr>
        <w:tc>
          <w:tcPr>
            <w:tcW w:w="609" w:type="pct"/>
          </w:tcPr>
          <w:p w14:paraId="19544845" w14:textId="46932C82" w:rsidR="007F7479" w:rsidRDefault="007F7479" w:rsidP="007F7479">
            <w:pPr>
              <w:pStyle w:val="Tablebodytextnospaceafter"/>
              <w:jc w:val="right"/>
            </w:pPr>
            <w:r>
              <w:t>11,208</w:t>
            </w:r>
          </w:p>
        </w:tc>
        <w:tc>
          <w:tcPr>
            <w:tcW w:w="1265" w:type="pct"/>
            <w:hideMark/>
          </w:tcPr>
          <w:p w14:paraId="516531DE" w14:textId="2A27ABD0" w:rsidR="007F7479" w:rsidRDefault="007F7479" w:rsidP="007F7479">
            <w:pPr>
              <w:pStyle w:val="Tablebodytextnospaceafter"/>
            </w:pPr>
            <w:r>
              <w:t>Other operating costs</w:t>
            </w:r>
          </w:p>
        </w:tc>
        <w:tc>
          <w:tcPr>
            <w:tcW w:w="426" w:type="pct"/>
            <w:hideMark/>
          </w:tcPr>
          <w:p w14:paraId="3236F155" w14:textId="75AD4998" w:rsidR="007F7479" w:rsidRDefault="007F7479" w:rsidP="007F7479">
            <w:pPr>
              <w:pStyle w:val="Tablebodytextnospaceafter"/>
              <w:jc w:val="right"/>
            </w:pPr>
            <w:r>
              <w:t>3</w:t>
            </w:r>
          </w:p>
        </w:tc>
        <w:tc>
          <w:tcPr>
            <w:tcW w:w="626" w:type="pct"/>
          </w:tcPr>
          <w:p w14:paraId="00D52200" w14:textId="431595D3" w:rsidR="007F7479" w:rsidRDefault="00FE1D2E" w:rsidP="007F7479">
            <w:pPr>
              <w:pStyle w:val="Tablebodytextnospaceafter"/>
              <w:jc w:val="right"/>
              <w:rPr>
                <w:rStyle w:val="Emphasis"/>
                <w:b w:val="0"/>
              </w:rPr>
            </w:pPr>
            <w:r>
              <w:rPr>
                <w:rStyle w:val="Emphasis"/>
                <w:b w:val="0"/>
              </w:rPr>
              <w:t>11,282</w:t>
            </w:r>
          </w:p>
        </w:tc>
        <w:tc>
          <w:tcPr>
            <w:tcW w:w="715" w:type="pct"/>
            <w:vAlign w:val="center"/>
          </w:tcPr>
          <w:p w14:paraId="0B85FE7E" w14:textId="43F52453" w:rsidR="007F7479" w:rsidRPr="00B52681" w:rsidRDefault="00DC493C" w:rsidP="007F7479">
            <w:pPr>
              <w:pStyle w:val="Tablebodytextnospaceafter"/>
              <w:jc w:val="both"/>
            </w:pPr>
            <w:r>
              <w:t xml:space="preserve">          </w:t>
            </w:r>
            <w:r w:rsidR="007F7479">
              <w:t>17,266</w:t>
            </w:r>
          </w:p>
        </w:tc>
        <w:tc>
          <w:tcPr>
            <w:tcW w:w="690" w:type="pct"/>
            <w:vAlign w:val="center"/>
          </w:tcPr>
          <w:p w14:paraId="230B8509" w14:textId="0B413CCB" w:rsidR="007F7479" w:rsidRPr="00B52681" w:rsidRDefault="00DC493C" w:rsidP="007F7479">
            <w:pPr>
              <w:pStyle w:val="Tablebodytextnospaceafter"/>
            </w:pPr>
            <w:r>
              <w:t xml:space="preserve">         </w:t>
            </w:r>
            <w:r w:rsidR="007F7479">
              <w:t>15,197</w:t>
            </w:r>
          </w:p>
        </w:tc>
        <w:tc>
          <w:tcPr>
            <w:tcW w:w="669" w:type="pct"/>
            <w:vAlign w:val="center"/>
          </w:tcPr>
          <w:p w14:paraId="47A5D8C9" w14:textId="77FE9A3C" w:rsidR="007F7479" w:rsidRPr="00B52681" w:rsidRDefault="007F7479" w:rsidP="007F7479">
            <w:pPr>
              <w:pStyle w:val="Tablebodytextnospaceafter"/>
              <w:jc w:val="right"/>
            </w:pPr>
            <w:r>
              <w:t>18,641</w:t>
            </w:r>
          </w:p>
        </w:tc>
      </w:tr>
      <w:tr w:rsidR="00FE1D2E" w14:paraId="611B7918" w14:textId="77777777" w:rsidTr="00E7301A">
        <w:trPr>
          <w:cnfStyle w:val="000000010000" w:firstRow="0" w:lastRow="0" w:firstColumn="0" w:lastColumn="0" w:oddVBand="0" w:evenVBand="0" w:oddHBand="0" w:evenHBand="1" w:firstRowFirstColumn="0" w:firstRowLastColumn="0" w:lastRowFirstColumn="0" w:lastRowLastColumn="0"/>
          <w:trHeight w:val="305"/>
        </w:trPr>
        <w:tc>
          <w:tcPr>
            <w:tcW w:w="609" w:type="pct"/>
            <w:vAlign w:val="center"/>
          </w:tcPr>
          <w:p w14:paraId="362883FF" w14:textId="46B96B64" w:rsidR="007F7479" w:rsidRDefault="007F7479" w:rsidP="007F7479">
            <w:pPr>
              <w:pStyle w:val="Tablebodytextnospaceafter"/>
              <w:jc w:val="right"/>
            </w:pPr>
            <w:r>
              <w:t>1,426</w:t>
            </w:r>
          </w:p>
        </w:tc>
        <w:tc>
          <w:tcPr>
            <w:tcW w:w="1265" w:type="pct"/>
            <w:vAlign w:val="center"/>
            <w:hideMark/>
          </w:tcPr>
          <w:p w14:paraId="4B5CA959" w14:textId="55295412" w:rsidR="007F7479" w:rsidRDefault="007F7479" w:rsidP="007F7479">
            <w:pPr>
              <w:pStyle w:val="Tablebodytextnospaceafter"/>
            </w:pPr>
            <w:r>
              <w:t>Depreciation and amortisation</w:t>
            </w:r>
          </w:p>
        </w:tc>
        <w:tc>
          <w:tcPr>
            <w:tcW w:w="426" w:type="pct"/>
            <w:vAlign w:val="center"/>
            <w:hideMark/>
          </w:tcPr>
          <w:p w14:paraId="3CD9A1C2" w14:textId="4B8A24B4" w:rsidR="007F7479" w:rsidRDefault="007F7479" w:rsidP="007F7479">
            <w:pPr>
              <w:pStyle w:val="Tablebodytextnospaceafter"/>
              <w:jc w:val="right"/>
            </w:pPr>
            <w:r>
              <w:t>4</w:t>
            </w:r>
          </w:p>
        </w:tc>
        <w:tc>
          <w:tcPr>
            <w:tcW w:w="626" w:type="pct"/>
            <w:vAlign w:val="center"/>
          </w:tcPr>
          <w:p w14:paraId="041F74EF" w14:textId="7FAD5327" w:rsidR="007F7479" w:rsidRDefault="00FE1D2E" w:rsidP="007F7479">
            <w:pPr>
              <w:pStyle w:val="Tablebodytextnospaceafter"/>
              <w:jc w:val="right"/>
              <w:rPr>
                <w:rStyle w:val="Emphasis"/>
                <w:b w:val="0"/>
              </w:rPr>
            </w:pPr>
            <w:r>
              <w:rPr>
                <w:rStyle w:val="Emphasis"/>
                <w:b w:val="0"/>
              </w:rPr>
              <w:t>1,457</w:t>
            </w:r>
          </w:p>
        </w:tc>
        <w:tc>
          <w:tcPr>
            <w:tcW w:w="715" w:type="pct"/>
            <w:vAlign w:val="center"/>
          </w:tcPr>
          <w:p w14:paraId="45D5A60D" w14:textId="131AFE0F" w:rsidR="007F7479" w:rsidRDefault="00DC493C" w:rsidP="007F7479">
            <w:pPr>
              <w:pStyle w:val="Tablebodytextnospaceafter"/>
            </w:pPr>
            <w:r>
              <w:t xml:space="preserve">            </w:t>
            </w:r>
            <w:r w:rsidR="007F7479">
              <w:t>1,773</w:t>
            </w:r>
          </w:p>
        </w:tc>
        <w:tc>
          <w:tcPr>
            <w:tcW w:w="690" w:type="pct"/>
            <w:vAlign w:val="center"/>
          </w:tcPr>
          <w:p w14:paraId="0E09219D" w14:textId="36F7FCCF" w:rsidR="007F7479" w:rsidRDefault="00DC493C" w:rsidP="007F7479">
            <w:pPr>
              <w:pStyle w:val="Tablebodytextnospaceafter"/>
            </w:pPr>
            <w:r>
              <w:t xml:space="preserve">           </w:t>
            </w:r>
            <w:r w:rsidR="007F7479">
              <w:t>1,460</w:t>
            </w:r>
          </w:p>
        </w:tc>
        <w:tc>
          <w:tcPr>
            <w:tcW w:w="669" w:type="pct"/>
            <w:vAlign w:val="center"/>
          </w:tcPr>
          <w:p w14:paraId="3BC0737E" w14:textId="598A160D" w:rsidR="007F7479" w:rsidRDefault="00DC493C" w:rsidP="007F7479">
            <w:pPr>
              <w:pStyle w:val="Tablebodytextnospaceafter"/>
            </w:pPr>
            <w:r>
              <w:t xml:space="preserve">          </w:t>
            </w:r>
            <w:r w:rsidR="007F7479">
              <w:t>1,460</w:t>
            </w:r>
          </w:p>
        </w:tc>
      </w:tr>
      <w:tr w:rsidR="00FE1D2E" w14:paraId="21BB4324" w14:textId="77777777" w:rsidTr="00E7301A">
        <w:trPr>
          <w:cnfStyle w:val="000000100000" w:firstRow="0" w:lastRow="0" w:firstColumn="0" w:lastColumn="0" w:oddVBand="0" w:evenVBand="0" w:oddHBand="1" w:evenHBand="0" w:firstRowFirstColumn="0" w:firstRowLastColumn="0" w:lastRowFirstColumn="0" w:lastRowLastColumn="0"/>
          <w:trHeight w:val="254"/>
        </w:trPr>
        <w:tc>
          <w:tcPr>
            <w:tcW w:w="609" w:type="pct"/>
            <w:tcBorders>
              <w:bottom w:val="single" w:sz="4" w:space="0" w:color="FFFFFF" w:themeColor="background1"/>
            </w:tcBorders>
          </w:tcPr>
          <w:p w14:paraId="76018321" w14:textId="3A298C9F" w:rsidR="007F7479" w:rsidRDefault="007F7479" w:rsidP="007F7479">
            <w:pPr>
              <w:pStyle w:val="Tablebodytextnospaceafter"/>
              <w:jc w:val="right"/>
            </w:pPr>
            <w:r>
              <w:t>751</w:t>
            </w:r>
          </w:p>
        </w:tc>
        <w:tc>
          <w:tcPr>
            <w:tcW w:w="1265" w:type="pct"/>
            <w:hideMark/>
          </w:tcPr>
          <w:p w14:paraId="33107B08" w14:textId="32AFBB2C" w:rsidR="007F7479" w:rsidRDefault="007F7479" w:rsidP="007F7479">
            <w:pPr>
              <w:pStyle w:val="Tablebodytextnospaceafter"/>
            </w:pPr>
            <w:r>
              <w:t>Capital charge</w:t>
            </w:r>
          </w:p>
        </w:tc>
        <w:tc>
          <w:tcPr>
            <w:tcW w:w="426" w:type="pct"/>
            <w:hideMark/>
          </w:tcPr>
          <w:p w14:paraId="1A4CA711" w14:textId="608A21A7" w:rsidR="007F7479" w:rsidRDefault="007F7479" w:rsidP="007F7479">
            <w:pPr>
              <w:pStyle w:val="Tablebodytextnospaceafter"/>
              <w:jc w:val="right"/>
            </w:pPr>
            <w:r>
              <w:t>5</w:t>
            </w:r>
          </w:p>
        </w:tc>
        <w:tc>
          <w:tcPr>
            <w:tcW w:w="626" w:type="pct"/>
            <w:tcBorders>
              <w:bottom w:val="single" w:sz="4" w:space="0" w:color="FFFFFF" w:themeColor="background1"/>
            </w:tcBorders>
          </w:tcPr>
          <w:p w14:paraId="09B203C2" w14:textId="6D347B66" w:rsidR="007F7479" w:rsidRDefault="00FE1D2E" w:rsidP="007F7479">
            <w:pPr>
              <w:pStyle w:val="Tablebodytextnospaceafter"/>
              <w:jc w:val="right"/>
              <w:rPr>
                <w:rStyle w:val="Emphasis"/>
                <w:b w:val="0"/>
              </w:rPr>
            </w:pPr>
            <w:r>
              <w:rPr>
                <w:rStyle w:val="Emphasis"/>
                <w:b w:val="0"/>
              </w:rPr>
              <w:t>751</w:t>
            </w:r>
          </w:p>
        </w:tc>
        <w:tc>
          <w:tcPr>
            <w:tcW w:w="715" w:type="pct"/>
            <w:tcBorders>
              <w:bottom w:val="single" w:sz="4" w:space="0" w:color="FFFFFF" w:themeColor="background1"/>
            </w:tcBorders>
          </w:tcPr>
          <w:p w14:paraId="0D46CF05" w14:textId="7F26FC8C" w:rsidR="007F7479" w:rsidRDefault="007F7479" w:rsidP="007F7479">
            <w:pPr>
              <w:pStyle w:val="Tablebodytextnospaceafter"/>
              <w:jc w:val="right"/>
            </w:pPr>
            <w:r>
              <w:t>751</w:t>
            </w:r>
          </w:p>
        </w:tc>
        <w:tc>
          <w:tcPr>
            <w:tcW w:w="690" w:type="pct"/>
            <w:tcBorders>
              <w:bottom w:val="single" w:sz="4" w:space="0" w:color="FFFFFF" w:themeColor="background1"/>
            </w:tcBorders>
          </w:tcPr>
          <w:p w14:paraId="7080A65D" w14:textId="22EF86F5" w:rsidR="007F7479" w:rsidRDefault="007F7479" w:rsidP="007F7479">
            <w:pPr>
              <w:pStyle w:val="Tablebodytextnospaceafter"/>
              <w:jc w:val="right"/>
            </w:pPr>
            <w:r>
              <w:t>751</w:t>
            </w:r>
          </w:p>
        </w:tc>
        <w:tc>
          <w:tcPr>
            <w:tcW w:w="669" w:type="pct"/>
            <w:tcBorders>
              <w:bottom w:val="single" w:sz="4" w:space="0" w:color="FFFFFF" w:themeColor="background1"/>
            </w:tcBorders>
          </w:tcPr>
          <w:p w14:paraId="1CD7E6BB" w14:textId="148721EA" w:rsidR="007F7479" w:rsidRDefault="007F7479" w:rsidP="007F7479">
            <w:pPr>
              <w:pStyle w:val="Tablebodytextnospaceafter"/>
              <w:jc w:val="right"/>
            </w:pPr>
            <w:r>
              <w:t>401</w:t>
            </w:r>
          </w:p>
        </w:tc>
      </w:tr>
      <w:tr w:rsidR="007F7479" w14:paraId="645B55A5" w14:textId="77777777" w:rsidTr="00E7301A">
        <w:trPr>
          <w:cnfStyle w:val="000000010000" w:firstRow="0" w:lastRow="0" w:firstColumn="0" w:lastColumn="0" w:oddVBand="0" w:evenVBand="0" w:oddHBand="0" w:evenHBand="1" w:firstRowFirstColumn="0" w:firstRowLastColumn="0" w:lastRowFirstColumn="0" w:lastRowLastColumn="0"/>
          <w:trHeight w:val="60"/>
        </w:trPr>
        <w:tc>
          <w:tcPr>
            <w:tcW w:w="609" w:type="pct"/>
            <w:tcBorders>
              <w:top w:val="single" w:sz="4" w:space="0" w:color="FFFFFF" w:themeColor="background1"/>
              <w:bottom w:val="single" w:sz="4" w:space="0" w:color="FFFFFF" w:themeColor="background1"/>
            </w:tcBorders>
            <w:shd w:val="clear" w:color="auto" w:fill="BFBFBF"/>
            <w:hideMark/>
          </w:tcPr>
          <w:p w14:paraId="280B8031" w14:textId="11ABB35F" w:rsidR="007F7479" w:rsidRDefault="007F7479" w:rsidP="007F7479">
            <w:pPr>
              <w:pStyle w:val="Tablebodytextnospaceafter"/>
              <w:jc w:val="right"/>
              <w:rPr>
                <w:u w:val="single"/>
              </w:rPr>
            </w:pPr>
            <w:r>
              <w:rPr>
                <w:rStyle w:val="Emphasis"/>
                <w:u w:val="single"/>
              </w:rPr>
              <w:t>47,239</w:t>
            </w:r>
          </w:p>
        </w:tc>
        <w:tc>
          <w:tcPr>
            <w:tcW w:w="1265" w:type="pct"/>
            <w:tcBorders>
              <w:top w:val="single" w:sz="4" w:space="0" w:color="FFFFFF" w:themeColor="background1"/>
            </w:tcBorders>
            <w:shd w:val="clear" w:color="auto" w:fill="BFBFBF"/>
            <w:hideMark/>
          </w:tcPr>
          <w:p w14:paraId="5C418F8C" w14:textId="2357FA7D" w:rsidR="007F7479" w:rsidRDefault="007F7479" w:rsidP="007F7479">
            <w:pPr>
              <w:pStyle w:val="Tablebodytextnospaceafter"/>
              <w:rPr>
                <w:rStyle w:val="EmphasisItalics"/>
              </w:rPr>
            </w:pPr>
            <w:r>
              <w:rPr>
                <w:rStyle w:val="EmphasisItalics"/>
              </w:rPr>
              <w:t>Total expenses</w:t>
            </w:r>
          </w:p>
        </w:tc>
        <w:tc>
          <w:tcPr>
            <w:tcW w:w="426" w:type="pct"/>
            <w:tcBorders>
              <w:top w:val="single" w:sz="4" w:space="0" w:color="FFFFFF" w:themeColor="background1"/>
            </w:tcBorders>
            <w:shd w:val="clear" w:color="auto" w:fill="BFBFBF"/>
          </w:tcPr>
          <w:p w14:paraId="5A2CCD18" w14:textId="77777777" w:rsidR="007F7479" w:rsidRDefault="007F7479" w:rsidP="007F7479">
            <w:pPr>
              <w:pStyle w:val="Tablebodytextnospaceafter"/>
              <w:jc w:val="right"/>
            </w:pPr>
          </w:p>
        </w:tc>
        <w:tc>
          <w:tcPr>
            <w:tcW w:w="626" w:type="pct"/>
            <w:tcBorders>
              <w:top w:val="single" w:sz="4" w:space="0" w:color="FFFFFF" w:themeColor="background1"/>
              <w:bottom w:val="single" w:sz="4" w:space="0" w:color="FFFFFF" w:themeColor="background1"/>
            </w:tcBorders>
            <w:shd w:val="clear" w:color="auto" w:fill="BFBFBF"/>
          </w:tcPr>
          <w:p w14:paraId="03C4E664" w14:textId="4EF4CB72" w:rsidR="007F7479" w:rsidRPr="006E6720" w:rsidRDefault="00FE1D2E" w:rsidP="007F7479">
            <w:pPr>
              <w:pStyle w:val="Tablebodytextnospaceafter"/>
              <w:jc w:val="right"/>
              <w:rPr>
                <w:rStyle w:val="Emphasis"/>
                <w:u w:val="single"/>
              </w:rPr>
            </w:pPr>
            <w:r>
              <w:rPr>
                <w:rStyle w:val="Emphasis"/>
                <w:u w:val="single"/>
              </w:rPr>
              <w:t>51,194</w:t>
            </w:r>
          </w:p>
        </w:tc>
        <w:tc>
          <w:tcPr>
            <w:tcW w:w="715" w:type="pct"/>
            <w:tcBorders>
              <w:top w:val="single" w:sz="4" w:space="0" w:color="FFFFFF" w:themeColor="background1"/>
              <w:bottom w:val="single" w:sz="4" w:space="0" w:color="FFFFFF" w:themeColor="background1"/>
            </w:tcBorders>
            <w:shd w:val="clear" w:color="auto" w:fill="BFBFBF"/>
            <w:hideMark/>
          </w:tcPr>
          <w:p w14:paraId="7F1088B1" w14:textId="496C1F4D" w:rsidR="007F7479" w:rsidRPr="00B6702A" w:rsidRDefault="002F27DD" w:rsidP="007F7479">
            <w:pPr>
              <w:pStyle w:val="Tablebodytextnospaceafter"/>
              <w:rPr>
                <w:b/>
              </w:rPr>
            </w:pPr>
            <w:r w:rsidRPr="002F27DD">
              <w:rPr>
                <w:b/>
              </w:rPr>
              <w:t xml:space="preserve">          </w:t>
            </w:r>
            <w:r w:rsidR="007F7479">
              <w:rPr>
                <w:b/>
                <w:u w:val="single"/>
              </w:rPr>
              <w:t>53,236</w:t>
            </w:r>
          </w:p>
        </w:tc>
        <w:tc>
          <w:tcPr>
            <w:tcW w:w="690" w:type="pct"/>
            <w:tcBorders>
              <w:top w:val="single" w:sz="4" w:space="0" w:color="FFFFFF" w:themeColor="background1"/>
              <w:bottom w:val="single" w:sz="4" w:space="0" w:color="FFFFFF" w:themeColor="background1"/>
            </w:tcBorders>
            <w:shd w:val="clear" w:color="auto" w:fill="BFBFBF"/>
          </w:tcPr>
          <w:p w14:paraId="46E51B0F" w14:textId="37EE8C86" w:rsidR="007F7479" w:rsidRPr="00B6702A" w:rsidRDefault="002F27DD" w:rsidP="007F7479">
            <w:pPr>
              <w:pStyle w:val="Tablebodytextnospaceafter"/>
              <w:rPr>
                <w:b/>
                <w:u w:val="single"/>
              </w:rPr>
            </w:pPr>
            <w:r w:rsidRPr="002F27DD">
              <w:rPr>
                <w:b/>
              </w:rPr>
              <w:t xml:space="preserve">         </w:t>
            </w:r>
            <w:r w:rsidR="007F7479">
              <w:rPr>
                <w:b/>
                <w:u w:val="single"/>
              </w:rPr>
              <w:t>53,265</w:t>
            </w:r>
          </w:p>
        </w:tc>
        <w:tc>
          <w:tcPr>
            <w:tcW w:w="669" w:type="pct"/>
            <w:tcBorders>
              <w:top w:val="single" w:sz="4" w:space="0" w:color="FFFFFF" w:themeColor="background1"/>
              <w:bottom w:val="single" w:sz="4" w:space="0" w:color="FFFFFF" w:themeColor="background1"/>
            </w:tcBorders>
            <w:shd w:val="clear" w:color="auto" w:fill="BFBFBF"/>
          </w:tcPr>
          <w:p w14:paraId="206BD872" w14:textId="5F37B5E9" w:rsidR="007F7479" w:rsidRPr="00B6702A" w:rsidRDefault="002F27DD" w:rsidP="007F7479">
            <w:pPr>
              <w:pStyle w:val="Tablebodytextnospaceafter"/>
              <w:rPr>
                <w:b/>
                <w:u w:val="single"/>
              </w:rPr>
            </w:pPr>
            <w:r w:rsidRPr="002F27DD">
              <w:rPr>
                <w:b/>
              </w:rPr>
              <w:t xml:space="preserve">        </w:t>
            </w:r>
            <w:r w:rsidR="007F7479">
              <w:rPr>
                <w:b/>
                <w:u w:val="single"/>
              </w:rPr>
              <w:t>60,808</w:t>
            </w:r>
          </w:p>
        </w:tc>
      </w:tr>
      <w:tr w:rsidR="007F7479" w14:paraId="11F799D1" w14:textId="77777777" w:rsidTr="00E7301A">
        <w:trPr>
          <w:cnfStyle w:val="000000100000" w:firstRow="0" w:lastRow="0" w:firstColumn="0" w:lastColumn="0" w:oddVBand="0" w:evenVBand="0" w:oddHBand="1" w:evenHBand="0" w:firstRowFirstColumn="0" w:firstRowLastColumn="0" w:lastRowFirstColumn="0" w:lastRowLastColumn="0"/>
          <w:trHeight w:val="60"/>
        </w:trPr>
        <w:tc>
          <w:tcPr>
            <w:tcW w:w="609" w:type="pct"/>
            <w:tcBorders>
              <w:top w:val="single" w:sz="4" w:space="0" w:color="FFFFFF" w:themeColor="background1"/>
            </w:tcBorders>
            <w:shd w:val="clear" w:color="auto" w:fill="BFBFBF"/>
            <w:hideMark/>
          </w:tcPr>
          <w:p w14:paraId="1EF178AE" w14:textId="22B8B5C3" w:rsidR="007F7479" w:rsidRDefault="007F7479" w:rsidP="007F7479">
            <w:pPr>
              <w:pStyle w:val="Tablebodytextnospaceafter"/>
              <w:jc w:val="right"/>
            </w:pPr>
            <w:r>
              <w:rPr>
                <w:rStyle w:val="Emphasis"/>
              </w:rPr>
              <w:t>7,462</w:t>
            </w:r>
          </w:p>
        </w:tc>
        <w:tc>
          <w:tcPr>
            <w:tcW w:w="1265" w:type="pct"/>
            <w:shd w:val="clear" w:color="auto" w:fill="BFBFBF"/>
            <w:hideMark/>
          </w:tcPr>
          <w:p w14:paraId="30AF679B" w14:textId="5DEBCF21" w:rsidR="007F7479" w:rsidRDefault="007F7479" w:rsidP="007F7479">
            <w:pPr>
              <w:pStyle w:val="Tablebodytextnospaceafter"/>
              <w:rPr>
                <w:rStyle w:val="Emphasis"/>
              </w:rPr>
            </w:pPr>
            <w:r>
              <w:rPr>
                <w:rStyle w:val="Emphasis"/>
              </w:rPr>
              <w:t>Surplus/(deficit)</w:t>
            </w:r>
          </w:p>
        </w:tc>
        <w:tc>
          <w:tcPr>
            <w:tcW w:w="426" w:type="pct"/>
            <w:shd w:val="clear" w:color="auto" w:fill="BFBFBF"/>
          </w:tcPr>
          <w:p w14:paraId="54266838" w14:textId="77777777" w:rsidR="007F7479" w:rsidRDefault="007F7479" w:rsidP="007F7479">
            <w:pPr>
              <w:pStyle w:val="Tablebodytextnospaceafter"/>
              <w:jc w:val="right"/>
            </w:pPr>
          </w:p>
        </w:tc>
        <w:tc>
          <w:tcPr>
            <w:tcW w:w="626" w:type="pct"/>
            <w:tcBorders>
              <w:top w:val="single" w:sz="4" w:space="0" w:color="FFFFFF" w:themeColor="background1"/>
            </w:tcBorders>
            <w:shd w:val="clear" w:color="auto" w:fill="BFBFBF"/>
          </w:tcPr>
          <w:p w14:paraId="60790E0C" w14:textId="42C8027C" w:rsidR="007F7479" w:rsidRPr="006E6720" w:rsidRDefault="00FE1D2E" w:rsidP="007F7479">
            <w:pPr>
              <w:pStyle w:val="Tablebodytextnospaceafter"/>
              <w:jc w:val="right"/>
              <w:rPr>
                <w:rStyle w:val="Emphasis"/>
              </w:rPr>
            </w:pPr>
            <w:r>
              <w:rPr>
                <w:rStyle w:val="Emphasis"/>
              </w:rPr>
              <w:t>2,071</w:t>
            </w:r>
          </w:p>
        </w:tc>
        <w:tc>
          <w:tcPr>
            <w:tcW w:w="715" w:type="pct"/>
            <w:tcBorders>
              <w:top w:val="single" w:sz="4" w:space="0" w:color="FFFFFF" w:themeColor="background1"/>
            </w:tcBorders>
            <w:shd w:val="clear" w:color="auto" w:fill="BFBFBF"/>
            <w:hideMark/>
          </w:tcPr>
          <w:p w14:paraId="1F1CDD2B" w14:textId="609D648F" w:rsidR="007F7479" w:rsidRDefault="007F7479" w:rsidP="007F7479">
            <w:pPr>
              <w:pStyle w:val="Tablebodytextnospaceafter"/>
              <w:jc w:val="right"/>
            </w:pPr>
            <w:r>
              <w:t>-</w:t>
            </w:r>
          </w:p>
        </w:tc>
        <w:tc>
          <w:tcPr>
            <w:tcW w:w="690" w:type="pct"/>
            <w:tcBorders>
              <w:top w:val="single" w:sz="4" w:space="0" w:color="FFFFFF" w:themeColor="background1"/>
            </w:tcBorders>
            <w:shd w:val="clear" w:color="auto" w:fill="BFBFBF"/>
            <w:hideMark/>
          </w:tcPr>
          <w:p w14:paraId="315D894C" w14:textId="39ACCDBE" w:rsidR="007F7479" w:rsidRDefault="007F7479" w:rsidP="007F7479">
            <w:pPr>
              <w:pStyle w:val="Tablebodytextnospaceafter"/>
              <w:jc w:val="right"/>
            </w:pPr>
            <w:r>
              <w:t>-</w:t>
            </w:r>
          </w:p>
        </w:tc>
        <w:tc>
          <w:tcPr>
            <w:tcW w:w="669" w:type="pct"/>
            <w:tcBorders>
              <w:top w:val="single" w:sz="4" w:space="0" w:color="FFFFFF" w:themeColor="background1"/>
            </w:tcBorders>
            <w:shd w:val="clear" w:color="auto" w:fill="BFBFBF"/>
            <w:hideMark/>
          </w:tcPr>
          <w:p w14:paraId="6C68F7CE" w14:textId="6931FCAA" w:rsidR="007F7479" w:rsidRDefault="007F7479" w:rsidP="007F7479">
            <w:pPr>
              <w:pStyle w:val="Tablebodytextnospaceafter"/>
              <w:jc w:val="right"/>
            </w:pPr>
            <w:r>
              <w:t>-</w:t>
            </w:r>
          </w:p>
        </w:tc>
      </w:tr>
      <w:tr w:rsidR="00FE1D2E" w14:paraId="1F1E6352" w14:textId="77777777" w:rsidTr="00E7301A">
        <w:trPr>
          <w:cnfStyle w:val="000000010000" w:firstRow="0" w:lastRow="0" w:firstColumn="0" w:lastColumn="0" w:oddVBand="0" w:evenVBand="0" w:oddHBand="0" w:evenHBand="1" w:firstRowFirstColumn="0" w:firstRowLastColumn="0" w:lastRowFirstColumn="0" w:lastRowLastColumn="0"/>
          <w:trHeight w:val="60"/>
        </w:trPr>
        <w:tc>
          <w:tcPr>
            <w:tcW w:w="609" w:type="pct"/>
            <w:hideMark/>
          </w:tcPr>
          <w:p w14:paraId="62D4A3B1" w14:textId="2DD4A96D" w:rsidR="007F7479" w:rsidRDefault="007F7479" w:rsidP="007F7479">
            <w:pPr>
              <w:pStyle w:val="Tablebodytextnospaceafter"/>
              <w:jc w:val="right"/>
            </w:pPr>
            <w:r>
              <w:t>-</w:t>
            </w:r>
          </w:p>
        </w:tc>
        <w:tc>
          <w:tcPr>
            <w:tcW w:w="1265" w:type="pct"/>
            <w:hideMark/>
          </w:tcPr>
          <w:p w14:paraId="1298A30E" w14:textId="59C64885" w:rsidR="007F7479" w:rsidRDefault="007F7479" w:rsidP="007F7479">
            <w:pPr>
              <w:pStyle w:val="Tablebodytextnospaceafter"/>
            </w:pPr>
            <w:r>
              <w:t>Other comprehensive revenue and expense</w:t>
            </w:r>
          </w:p>
        </w:tc>
        <w:tc>
          <w:tcPr>
            <w:tcW w:w="426" w:type="pct"/>
          </w:tcPr>
          <w:p w14:paraId="04B41D31" w14:textId="77777777" w:rsidR="007F7479" w:rsidRDefault="007F7479" w:rsidP="007F7479">
            <w:pPr>
              <w:pStyle w:val="Tablebodytextnospaceafter"/>
              <w:jc w:val="right"/>
            </w:pPr>
          </w:p>
        </w:tc>
        <w:tc>
          <w:tcPr>
            <w:tcW w:w="626" w:type="pct"/>
          </w:tcPr>
          <w:p w14:paraId="0CD090C2" w14:textId="6B8D7FAF" w:rsidR="007F7479" w:rsidRDefault="007F7479" w:rsidP="007F7479">
            <w:pPr>
              <w:pStyle w:val="Tablebodytextnospaceafter"/>
              <w:jc w:val="right"/>
            </w:pPr>
            <w:r>
              <w:t>-</w:t>
            </w:r>
          </w:p>
        </w:tc>
        <w:tc>
          <w:tcPr>
            <w:tcW w:w="715" w:type="pct"/>
            <w:hideMark/>
          </w:tcPr>
          <w:p w14:paraId="384E1F8B" w14:textId="72326D44" w:rsidR="007F7479" w:rsidRDefault="007F7479" w:rsidP="007F7479">
            <w:pPr>
              <w:pStyle w:val="Tablebodytextnospaceafter"/>
              <w:jc w:val="right"/>
            </w:pPr>
            <w:r>
              <w:t>-</w:t>
            </w:r>
          </w:p>
        </w:tc>
        <w:tc>
          <w:tcPr>
            <w:tcW w:w="690" w:type="pct"/>
            <w:hideMark/>
          </w:tcPr>
          <w:p w14:paraId="281CF2C3" w14:textId="179F1F8E" w:rsidR="007F7479" w:rsidRDefault="007F7479" w:rsidP="007F7479">
            <w:pPr>
              <w:pStyle w:val="Tablebodytextnospaceafter"/>
              <w:jc w:val="right"/>
            </w:pPr>
            <w:r>
              <w:t>-</w:t>
            </w:r>
          </w:p>
        </w:tc>
        <w:tc>
          <w:tcPr>
            <w:tcW w:w="669" w:type="pct"/>
            <w:hideMark/>
          </w:tcPr>
          <w:p w14:paraId="7999DF74" w14:textId="2AB7C3C0" w:rsidR="007F7479" w:rsidRDefault="007F7479" w:rsidP="007F7479">
            <w:pPr>
              <w:pStyle w:val="Tablebodytextnospaceafter"/>
              <w:jc w:val="right"/>
            </w:pPr>
            <w:r>
              <w:t>-</w:t>
            </w:r>
          </w:p>
        </w:tc>
      </w:tr>
      <w:tr w:rsidR="007F7479" w14:paraId="0EE16A31" w14:textId="77777777" w:rsidTr="00E7301A">
        <w:trPr>
          <w:cnfStyle w:val="000000100000" w:firstRow="0" w:lastRow="0" w:firstColumn="0" w:lastColumn="0" w:oddVBand="0" w:evenVBand="0" w:oddHBand="1" w:evenHBand="0" w:firstRowFirstColumn="0" w:firstRowLastColumn="0" w:lastRowFirstColumn="0" w:lastRowLastColumn="0"/>
          <w:trHeight w:val="60"/>
        </w:trPr>
        <w:tc>
          <w:tcPr>
            <w:tcW w:w="609" w:type="pct"/>
            <w:shd w:val="clear" w:color="auto" w:fill="BFBFBF"/>
            <w:hideMark/>
          </w:tcPr>
          <w:p w14:paraId="6BD51621" w14:textId="56DF4A43" w:rsidR="007F7479" w:rsidRDefault="007F7479" w:rsidP="007F7479">
            <w:pPr>
              <w:pStyle w:val="Tablebodytextnospaceafter"/>
              <w:jc w:val="right"/>
              <w:rPr>
                <w:b/>
              </w:rPr>
            </w:pPr>
            <w:r>
              <w:rPr>
                <w:b/>
              </w:rPr>
              <w:t xml:space="preserve"> 7,462</w:t>
            </w:r>
          </w:p>
        </w:tc>
        <w:tc>
          <w:tcPr>
            <w:tcW w:w="1265" w:type="pct"/>
            <w:shd w:val="clear" w:color="auto" w:fill="BFBFBF"/>
            <w:hideMark/>
          </w:tcPr>
          <w:p w14:paraId="68BEEBEB" w14:textId="1F492C33" w:rsidR="007F7479" w:rsidRDefault="007F7479" w:rsidP="007F7479">
            <w:pPr>
              <w:pStyle w:val="Tablebodytextnospaceafter"/>
              <w:rPr>
                <w:b/>
              </w:rPr>
            </w:pPr>
            <w:r>
              <w:rPr>
                <w:b/>
              </w:rPr>
              <w:t>Total comprehensive revenue and expense</w:t>
            </w:r>
          </w:p>
        </w:tc>
        <w:tc>
          <w:tcPr>
            <w:tcW w:w="426" w:type="pct"/>
            <w:shd w:val="clear" w:color="auto" w:fill="BFBFBF"/>
          </w:tcPr>
          <w:p w14:paraId="7F6D80FE" w14:textId="77777777" w:rsidR="007F7479" w:rsidRDefault="007F7479" w:rsidP="007F7479">
            <w:pPr>
              <w:pStyle w:val="Tablebodytextnospaceafter"/>
              <w:jc w:val="right"/>
            </w:pPr>
          </w:p>
        </w:tc>
        <w:tc>
          <w:tcPr>
            <w:tcW w:w="626" w:type="pct"/>
            <w:shd w:val="clear" w:color="auto" w:fill="BFBFBF"/>
          </w:tcPr>
          <w:p w14:paraId="26FA7C52" w14:textId="411190DC" w:rsidR="007F7479" w:rsidRPr="00FE1D2E" w:rsidRDefault="00FE1D2E" w:rsidP="007F7479">
            <w:pPr>
              <w:pStyle w:val="Tablebodytextnospaceafter"/>
              <w:jc w:val="right"/>
              <w:rPr>
                <w:b/>
              </w:rPr>
            </w:pPr>
            <w:r w:rsidRPr="00FE1D2E">
              <w:rPr>
                <w:b/>
              </w:rPr>
              <w:t>2,071</w:t>
            </w:r>
          </w:p>
        </w:tc>
        <w:tc>
          <w:tcPr>
            <w:tcW w:w="715" w:type="pct"/>
            <w:shd w:val="clear" w:color="auto" w:fill="BFBFBF"/>
            <w:hideMark/>
          </w:tcPr>
          <w:p w14:paraId="72802CEE" w14:textId="659DA06A" w:rsidR="007F7479" w:rsidRDefault="007F7479" w:rsidP="007F7479">
            <w:pPr>
              <w:pStyle w:val="Tablebodytextnospaceafter"/>
              <w:jc w:val="right"/>
            </w:pPr>
            <w:r>
              <w:t>-</w:t>
            </w:r>
          </w:p>
        </w:tc>
        <w:tc>
          <w:tcPr>
            <w:tcW w:w="690" w:type="pct"/>
            <w:shd w:val="clear" w:color="auto" w:fill="BFBFBF"/>
            <w:hideMark/>
          </w:tcPr>
          <w:p w14:paraId="3A4889D1" w14:textId="43041518" w:rsidR="007F7479" w:rsidRDefault="007F7479" w:rsidP="007F7479">
            <w:pPr>
              <w:pStyle w:val="Tablebodytextnospaceafter"/>
              <w:jc w:val="right"/>
            </w:pPr>
            <w:r>
              <w:t>-</w:t>
            </w:r>
          </w:p>
        </w:tc>
        <w:tc>
          <w:tcPr>
            <w:tcW w:w="669" w:type="pct"/>
            <w:shd w:val="clear" w:color="auto" w:fill="BFBFBF"/>
            <w:hideMark/>
          </w:tcPr>
          <w:p w14:paraId="0BDBEB60" w14:textId="2F8ED1AC" w:rsidR="007F7479" w:rsidRDefault="007F7479" w:rsidP="007F7479">
            <w:pPr>
              <w:pStyle w:val="Tablebodytextnospaceafter"/>
              <w:jc w:val="right"/>
            </w:pPr>
            <w:r>
              <w:t>-</w:t>
            </w:r>
          </w:p>
        </w:tc>
      </w:tr>
    </w:tbl>
    <w:p w14:paraId="5F061D18" w14:textId="77777777" w:rsidR="0074015C" w:rsidRPr="000F14F7" w:rsidRDefault="0074015C" w:rsidP="0074015C">
      <w:pPr>
        <w:rPr>
          <w:sz w:val="22"/>
        </w:rPr>
      </w:pPr>
      <w:r w:rsidRPr="000F14F7">
        <w:rPr>
          <w:rStyle w:val="BodyTextChar"/>
          <w:sz w:val="22"/>
        </w:rPr>
        <w:t xml:space="preserve">Explanations of major variances against the original 2025/26 budget are provided in Note 17. </w:t>
      </w:r>
    </w:p>
    <w:p w14:paraId="60DD0234" w14:textId="1C77811C" w:rsidR="00E423CB" w:rsidRPr="00AF63CE" w:rsidRDefault="00E423CB" w:rsidP="00623386">
      <w:pPr>
        <w:pStyle w:val="Heading2"/>
      </w:pPr>
      <w:bookmarkStart w:id="80" w:name="_Statement_of_financial"/>
      <w:bookmarkEnd w:id="80"/>
      <w:r w:rsidRPr="00AF63CE">
        <w:t xml:space="preserve">Statement of financial position </w:t>
      </w:r>
      <w:r w:rsidR="0074015C" w:rsidRPr="00AF63CE">
        <w:t xml:space="preserve">as </w:t>
      </w:r>
      <w:proofErr w:type="gramStart"/>
      <w:r w:rsidR="0074015C" w:rsidRPr="00AF63CE">
        <w:t>at</w:t>
      </w:r>
      <w:proofErr w:type="gramEnd"/>
      <w:r w:rsidR="0074015C" w:rsidRPr="00AF63CE">
        <w:t xml:space="preserve"> 30 June 2026 </w:t>
      </w:r>
    </w:p>
    <w:tbl>
      <w:tblPr>
        <w:tblStyle w:val="TableGridAnnualReport2"/>
        <w:tblW w:w="9301" w:type="dxa"/>
        <w:jc w:val="right"/>
        <w:tblInd w:w="0" w:type="dxa"/>
        <w:tblLayout w:type="fixed"/>
        <w:tblLook w:val="0420" w:firstRow="1" w:lastRow="0" w:firstColumn="0" w:lastColumn="0" w:noHBand="0" w:noVBand="1"/>
        <w:tblCaption w:val="Statement of financial position as at 30 June 2017"/>
      </w:tblPr>
      <w:tblGrid>
        <w:gridCol w:w="1316"/>
        <w:gridCol w:w="2219"/>
        <w:gridCol w:w="850"/>
        <w:gridCol w:w="1135"/>
        <w:gridCol w:w="1274"/>
        <w:gridCol w:w="1326"/>
        <w:gridCol w:w="1181"/>
      </w:tblGrid>
      <w:tr w:rsidR="00FE1D2E" w14:paraId="3EBA6E27" w14:textId="77777777" w:rsidTr="00464173">
        <w:trPr>
          <w:cnfStyle w:val="100000000000" w:firstRow="1" w:lastRow="0" w:firstColumn="0" w:lastColumn="0" w:oddVBand="0" w:evenVBand="0" w:oddHBand="0" w:evenHBand="0" w:firstRowFirstColumn="0" w:firstRowLastColumn="0" w:lastRowFirstColumn="0" w:lastRowLastColumn="0"/>
          <w:trHeight w:val="960"/>
          <w:tblHeader/>
          <w:jc w:val="right"/>
        </w:trPr>
        <w:tc>
          <w:tcPr>
            <w:tcW w:w="707" w:type="pct"/>
            <w:shd w:val="clear" w:color="auto" w:fill="017E5D"/>
            <w:hideMark/>
          </w:tcPr>
          <w:p w14:paraId="6D2253D0" w14:textId="77777777" w:rsidR="00FE1D2E" w:rsidRPr="00FE1D2E" w:rsidRDefault="00FE1D2E" w:rsidP="00FE1D2E">
            <w:pPr>
              <w:pStyle w:val="Tableheadingrow1"/>
              <w:jc w:val="right"/>
              <w:rPr>
                <w:sz w:val="22"/>
              </w:rPr>
            </w:pPr>
            <w:r w:rsidRPr="00FE1D2E">
              <w:rPr>
                <w:sz w:val="22"/>
              </w:rPr>
              <w:t>Actual</w:t>
            </w:r>
          </w:p>
          <w:p w14:paraId="58F64E45" w14:textId="77777777" w:rsidR="00FE1D2E" w:rsidRPr="00FE1D2E" w:rsidRDefault="00FE1D2E" w:rsidP="00FE1D2E">
            <w:pPr>
              <w:pStyle w:val="Tableheadingrow1"/>
              <w:jc w:val="right"/>
              <w:rPr>
                <w:sz w:val="22"/>
              </w:rPr>
            </w:pPr>
            <w:r w:rsidRPr="00FE1D2E">
              <w:rPr>
                <w:sz w:val="22"/>
              </w:rPr>
              <w:t>2024/25</w:t>
            </w:r>
            <w:r w:rsidRPr="00FE1D2E">
              <w:rPr>
                <w:sz w:val="22"/>
              </w:rPr>
              <w:br/>
            </w:r>
            <w:r w:rsidRPr="00FE1D2E">
              <w:rPr>
                <w:sz w:val="22"/>
              </w:rPr>
              <w:br/>
            </w:r>
            <w:r w:rsidRPr="00FE1D2E">
              <w:rPr>
                <w:sz w:val="22"/>
              </w:rPr>
              <w:br/>
              <w:t>$(000)</w:t>
            </w:r>
          </w:p>
        </w:tc>
        <w:tc>
          <w:tcPr>
            <w:tcW w:w="1193" w:type="pct"/>
            <w:shd w:val="clear" w:color="auto" w:fill="017E5D"/>
          </w:tcPr>
          <w:p w14:paraId="7C2582B5" w14:textId="77777777" w:rsidR="00FE1D2E" w:rsidRPr="00FE1D2E" w:rsidRDefault="00FE1D2E" w:rsidP="00FE1D2E">
            <w:pPr>
              <w:pStyle w:val="Tableheadingrow1"/>
              <w:jc w:val="right"/>
              <w:rPr>
                <w:sz w:val="22"/>
              </w:rPr>
            </w:pPr>
          </w:p>
        </w:tc>
        <w:tc>
          <w:tcPr>
            <w:tcW w:w="457" w:type="pct"/>
            <w:shd w:val="clear" w:color="auto" w:fill="017E5D"/>
            <w:hideMark/>
          </w:tcPr>
          <w:p w14:paraId="46144B32" w14:textId="77777777" w:rsidR="00FE1D2E" w:rsidRPr="00FE1D2E" w:rsidRDefault="00FE1D2E" w:rsidP="00FE1D2E">
            <w:pPr>
              <w:pStyle w:val="Tableheadingrow1"/>
              <w:jc w:val="right"/>
              <w:rPr>
                <w:sz w:val="22"/>
              </w:rPr>
            </w:pPr>
            <w:r w:rsidRPr="00FE1D2E">
              <w:rPr>
                <w:sz w:val="22"/>
              </w:rPr>
              <w:t>Notes</w:t>
            </w:r>
          </w:p>
        </w:tc>
        <w:tc>
          <w:tcPr>
            <w:tcW w:w="610" w:type="pct"/>
            <w:shd w:val="clear" w:color="auto" w:fill="017E5D"/>
            <w:hideMark/>
          </w:tcPr>
          <w:p w14:paraId="3A327099" w14:textId="77777777" w:rsidR="00FE1D2E" w:rsidRPr="00FE1D2E" w:rsidRDefault="00FE1D2E" w:rsidP="00FE1D2E">
            <w:pPr>
              <w:pStyle w:val="Tableheadingrow1"/>
              <w:jc w:val="right"/>
              <w:rPr>
                <w:sz w:val="22"/>
              </w:rPr>
            </w:pPr>
            <w:r w:rsidRPr="00FE1D2E">
              <w:rPr>
                <w:sz w:val="22"/>
              </w:rPr>
              <w:t>Actual</w:t>
            </w:r>
          </w:p>
          <w:p w14:paraId="6CDA5284" w14:textId="3C166F8E" w:rsidR="00FE1D2E" w:rsidRPr="00FE1D2E" w:rsidRDefault="00FE1D2E" w:rsidP="00FE1D2E">
            <w:pPr>
              <w:pStyle w:val="Tableheadingrow1"/>
              <w:jc w:val="right"/>
              <w:rPr>
                <w:sz w:val="22"/>
              </w:rPr>
            </w:pPr>
            <w:r w:rsidRPr="00FE1D2E">
              <w:rPr>
                <w:sz w:val="22"/>
              </w:rPr>
              <w:t>2025/26</w:t>
            </w:r>
            <w:r w:rsidRPr="00FE1D2E">
              <w:rPr>
                <w:sz w:val="22"/>
              </w:rPr>
              <w:br/>
            </w:r>
            <w:r w:rsidRPr="00FE1D2E">
              <w:rPr>
                <w:sz w:val="22"/>
              </w:rPr>
              <w:br/>
            </w:r>
            <w:r w:rsidRPr="00FE1D2E">
              <w:rPr>
                <w:sz w:val="22"/>
              </w:rPr>
              <w:br/>
              <w:t>$(000)</w:t>
            </w:r>
          </w:p>
        </w:tc>
        <w:tc>
          <w:tcPr>
            <w:tcW w:w="685" w:type="pct"/>
            <w:shd w:val="clear" w:color="auto" w:fill="017E5D"/>
            <w:hideMark/>
          </w:tcPr>
          <w:p w14:paraId="14559E27" w14:textId="77777777" w:rsidR="00FE1D2E" w:rsidRPr="00FE1D2E" w:rsidRDefault="00FE1D2E" w:rsidP="00FE1D2E">
            <w:pPr>
              <w:pStyle w:val="Tableheadingrow1"/>
              <w:jc w:val="right"/>
              <w:rPr>
                <w:sz w:val="22"/>
              </w:rPr>
            </w:pPr>
            <w:r w:rsidRPr="00FE1D2E">
              <w:rPr>
                <w:sz w:val="22"/>
              </w:rPr>
              <w:t>Main</w:t>
            </w:r>
            <w:r w:rsidRPr="00FE1D2E">
              <w:rPr>
                <w:sz w:val="22"/>
              </w:rPr>
              <w:br/>
              <w:t>Estimates</w:t>
            </w:r>
          </w:p>
          <w:p w14:paraId="25163782" w14:textId="33A10B6C" w:rsidR="00FE1D2E" w:rsidRPr="00FE1D2E" w:rsidRDefault="00FE1D2E" w:rsidP="00FE1D2E">
            <w:pPr>
              <w:pStyle w:val="Tableheadingrow1"/>
              <w:jc w:val="right"/>
              <w:rPr>
                <w:sz w:val="22"/>
              </w:rPr>
            </w:pPr>
            <w:r w:rsidRPr="00FE1D2E">
              <w:rPr>
                <w:sz w:val="22"/>
              </w:rPr>
              <w:t>2025/26*</w:t>
            </w:r>
            <w:r w:rsidRPr="00FE1D2E">
              <w:rPr>
                <w:sz w:val="22"/>
              </w:rPr>
              <w:br/>
            </w:r>
            <w:r w:rsidRPr="00FE1D2E">
              <w:rPr>
                <w:sz w:val="22"/>
              </w:rPr>
              <w:br/>
              <w:t>$(000)</w:t>
            </w:r>
          </w:p>
        </w:tc>
        <w:tc>
          <w:tcPr>
            <w:tcW w:w="713" w:type="pct"/>
            <w:shd w:val="clear" w:color="auto" w:fill="017E5D"/>
            <w:hideMark/>
          </w:tcPr>
          <w:p w14:paraId="635262D0" w14:textId="77777777" w:rsidR="00FE1D2E" w:rsidRPr="00FE1D2E" w:rsidRDefault="00FE1D2E" w:rsidP="00FE1D2E">
            <w:pPr>
              <w:pStyle w:val="Tableheadingrow1"/>
              <w:jc w:val="right"/>
              <w:rPr>
                <w:sz w:val="22"/>
              </w:rPr>
            </w:pPr>
            <w:r w:rsidRPr="00FE1D2E">
              <w:rPr>
                <w:sz w:val="22"/>
              </w:rPr>
              <w:t>Supp.</w:t>
            </w:r>
            <w:r w:rsidRPr="00FE1D2E">
              <w:rPr>
                <w:sz w:val="22"/>
              </w:rPr>
              <w:br/>
              <w:t>Estimates</w:t>
            </w:r>
          </w:p>
          <w:p w14:paraId="4D4AF272" w14:textId="6AA5A192" w:rsidR="00FE1D2E" w:rsidRPr="00FE1D2E" w:rsidRDefault="00FE1D2E" w:rsidP="00FE1D2E">
            <w:pPr>
              <w:pStyle w:val="Tableheadingrow1"/>
              <w:jc w:val="right"/>
              <w:rPr>
                <w:sz w:val="22"/>
              </w:rPr>
            </w:pPr>
            <w:r w:rsidRPr="00FE1D2E">
              <w:rPr>
                <w:sz w:val="22"/>
              </w:rPr>
              <w:t>2025/26*</w:t>
            </w:r>
            <w:r w:rsidRPr="00FE1D2E">
              <w:rPr>
                <w:sz w:val="22"/>
              </w:rPr>
              <w:br/>
            </w:r>
            <w:r w:rsidRPr="00FE1D2E">
              <w:rPr>
                <w:sz w:val="22"/>
              </w:rPr>
              <w:br/>
              <w:t>$(000)</w:t>
            </w:r>
          </w:p>
        </w:tc>
        <w:tc>
          <w:tcPr>
            <w:tcW w:w="635" w:type="pct"/>
            <w:shd w:val="clear" w:color="auto" w:fill="017E5D"/>
            <w:hideMark/>
          </w:tcPr>
          <w:p w14:paraId="6FB28A1F" w14:textId="77777777" w:rsidR="00FE1D2E" w:rsidRPr="00FE1D2E" w:rsidRDefault="00FE1D2E" w:rsidP="00FE1D2E">
            <w:pPr>
              <w:pStyle w:val="Tableheadingrow1"/>
              <w:jc w:val="right"/>
              <w:rPr>
                <w:sz w:val="22"/>
              </w:rPr>
            </w:pPr>
            <w:r w:rsidRPr="00FE1D2E">
              <w:rPr>
                <w:rStyle w:val="FootnoteReference"/>
                <w:sz w:val="22"/>
              </w:rPr>
              <w:footnoteReference w:id="66"/>
            </w:r>
            <w:r w:rsidRPr="00FE1D2E">
              <w:rPr>
                <w:sz w:val="22"/>
              </w:rPr>
              <w:t>Main</w:t>
            </w:r>
            <w:r w:rsidRPr="00FE1D2E">
              <w:rPr>
                <w:sz w:val="22"/>
              </w:rPr>
              <w:br/>
              <w:t>Estimates</w:t>
            </w:r>
          </w:p>
          <w:p w14:paraId="7B2E6A8C" w14:textId="2F69CB5D" w:rsidR="00FE1D2E" w:rsidRPr="00FE1D2E" w:rsidRDefault="00FE1D2E" w:rsidP="00FE1D2E">
            <w:pPr>
              <w:pStyle w:val="Tableheadingrow1"/>
              <w:jc w:val="right"/>
              <w:rPr>
                <w:sz w:val="22"/>
              </w:rPr>
            </w:pPr>
            <w:r w:rsidRPr="00FE1D2E">
              <w:rPr>
                <w:sz w:val="22"/>
              </w:rPr>
              <w:t>2026/27*</w:t>
            </w:r>
            <w:r w:rsidRPr="00FE1D2E">
              <w:rPr>
                <w:sz w:val="22"/>
              </w:rPr>
              <w:br/>
            </w:r>
            <w:r w:rsidRPr="00FE1D2E">
              <w:rPr>
                <w:sz w:val="22"/>
              </w:rPr>
              <w:br/>
              <w:t>$(000)</w:t>
            </w:r>
          </w:p>
        </w:tc>
      </w:tr>
      <w:tr w:rsidR="002F27DD" w:rsidRPr="00F10D5C" w14:paraId="353249B8" w14:textId="77777777" w:rsidTr="00E039F4">
        <w:trPr>
          <w:cnfStyle w:val="000000100000" w:firstRow="0" w:lastRow="0" w:firstColumn="0" w:lastColumn="0" w:oddVBand="0" w:evenVBand="0" w:oddHBand="1" w:evenHBand="0" w:firstRowFirstColumn="0" w:firstRowLastColumn="0" w:lastRowFirstColumn="0" w:lastRowLastColumn="0"/>
          <w:trHeight w:val="260"/>
          <w:jc w:val="right"/>
        </w:trPr>
        <w:tc>
          <w:tcPr>
            <w:tcW w:w="707" w:type="pct"/>
            <w:shd w:val="clear" w:color="auto" w:fill="BFBFBF"/>
          </w:tcPr>
          <w:p w14:paraId="11209A39" w14:textId="77777777" w:rsidR="002F27DD" w:rsidRPr="00F10D5C" w:rsidRDefault="002F27DD" w:rsidP="007A0718">
            <w:pPr>
              <w:pStyle w:val="Tablebodytextnospaceafter"/>
            </w:pPr>
          </w:p>
        </w:tc>
        <w:tc>
          <w:tcPr>
            <w:tcW w:w="1193" w:type="pct"/>
            <w:shd w:val="clear" w:color="auto" w:fill="BFBFBF"/>
            <w:hideMark/>
          </w:tcPr>
          <w:p w14:paraId="2AC93E32" w14:textId="77777777" w:rsidR="002F27DD" w:rsidRPr="00F10D5C" w:rsidRDefault="002F27DD" w:rsidP="007A0718">
            <w:pPr>
              <w:pStyle w:val="Tablebodytextnospaceafter"/>
              <w:rPr>
                <w:rStyle w:val="Emphasis"/>
                <w:b w:val="0"/>
              </w:rPr>
            </w:pPr>
            <w:r>
              <w:rPr>
                <w:rStyle w:val="Emphasis"/>
              </w:rPr>
              <w:t>Assets</w:t>
            </w:r>
          </w:p>
        </w:tc>
        <w:tc>
          <w:tcPr>
            <w:tcW w:w="457" w:type="pct"/>
            <w:shd w:val="clear" w:color="auto" w:fill="BFBFBF"/>
          </w:tcPr>
          <w:p w14:paraId="0563D491" w14:textId="77777777" w:rsidR="002F27DD" w:rsidRPr="00F10D5C" w:rsidRDefault="002F27DD" w:rsidP="007A0718">
            <w:pPr>
              <w:pStyle w:val="Tablebodytextnospaceafter"/>
              <w:rPr>
                <w:rStyle w:val="Emphasis"/>
                <w:b w:val="0"/>
              </w:rPr>
            </w:pPr>
          </w:p>
        </w:tc>
        <w:tc>
          <w:tcPr>
            <w:tcW w:w="610" w:type="pct"/>
            <w:shd w:val="clear" w:color="auto" w:fill="BFBFBF"/>
          </w:tcPr>
          <w:p w14:paraId="61DE6E54" w14:textId="77777777" w:rsidR="002F27DD" w:rsidRPr="00F10D5C" w:rsidRDefault="002F27DD" w:rsidP="007A0718">
            <w:pPr>
              <w:pStyle w:val="Tablebodytextnospaceafter"/>
              <w:rPr>
                <w:rStyle w:val="Emphasis"/>
                <w:b w:val="0"/>
              </w:rPr>
            </w:pPr>
          </w:p>
        </w:tc>
        <w:tc>
          <w:tcPr>
            <w:tcW w:w="685" w:type="pct"/>
            <w:shd w:val="clear" w:color="auto" w:fill="BFBFBF"/>
          </w:tcPr>
          <w:p w14:paraId="2D3B7A70" w14:textId="77777777" w:rsidR="002F27DD" w:rsidRPr="00F10D5C" w:rsidRDefault="002F27DD" w:rsidP="007A0718">
            <w:pPr>
              <w:pStyle w:val="Tablebodytextnospaceafter"/>
              <w:rPr>
                <w:rStyle w:val="Emphasis"/>
                <w:b w:val="0"/>
              </w:rPr>
            </w:pPr>
          </w:p>
        </w:tc>
        <w:tc>
          <w:tcPr>
            <w:tcW w:w="713" w:type="pct"/>
            <w:shd w:val="clear" w:color="auto" w:fill="BFBFBF"/>
          </w:tcPr>
          <w:p w14:paraId="5DD4E012" w14:textId="77777777" w:rsidR="002F27DD" w:rsidRPr="00F10D5C" w:rsidRDefault="002F27DD" w:rsidP="007A0718">
            <w:pPr>
              <w:pStyle w:val="Tablebodytextnospaceafter"/>
              <w:rPr>
                <w:rStyle w:val="Emphasis"/>
                <w:b w:val="0"/>
              </w:rPr>
            </w:pPr>
          </w:p>
        </w:tc>
        <w:tc>
          <w:tcPr>
            <w:tcW w:w="635" w:type="pct"/>
            <w:shd w:val="clear" w:color="auto" w:fill="BFBFBF"/>
          </w:tcPr>
          <w:p w14:paraId="4AA4F405" w14:textId="77777777" w:rsidR="002F27DD" w:rsidRPr="00F10D5C" w:rsidRDefault="002F27DD" w:rsidP="007A0718">
            <w:pPr>
              <w:pStyle w:val="Tablebodytextnospaceafter"/>
            </w:pPr>
          </w:p>
        </w:tc>
      </w:tr>
      <w:tr w:rsidR="002F27DD" w:rsidRPr="00F10D5C" w14:paraId="607DD088" w14:textId="77777777" w:rsidTr="00E039F4">
        <w:trPr>
          <w:cnfStyle w:val="000000010000" w:firstRow="0" w:lastRow="0" w:firstColumn="0" w:lastColumn="0" w:oddVBand="0" w:evenVBand="0" w:oddHBand="0" w:evenHBand="1" w:firstRowFirstColumn="0" w:firstRowLastColumn="0" w:lastRowFirstColumn="0" w:lastRowLastColumn="0"/>
          <w:trHeight w:val="260"/>
          <w:jc w:val="right"/>
        </w:trPr>
        <w:tc>
          <w:tcPr>
            <w:tcW w:w="707" w:type="pct"/>
            <w:tcBorders>
              <w:bottom w:val="single" w:sz="4" w:space="0" w:color="FFFFFF" w:themeColor="background1"/>
            </w:tcBorders>
            <w:shd w:val="clear" w:color="auto" w:fill="BFBFBF"/>
          </w:tcPr>
          <w:p w14:paraId="6542F2E1" w14:textId="77777777" w:rsidR="002F27DD" w:rsidRPr="00F10D5C" w:rsidRDefault="002F27DD" w:rsidP="007A0718">
            <w:pPr>
              <w:pStyle w:val="Tablebodytextnospaceafter"/>
              <w:jc w:val="right"/>
            </w:pPr>
          </w:p>
        </w:tc>
        <w:tc>
          <w:tcPr>
            <w:tcW w:w="1193" w:type="pct"/>
            <w:shd w:val="clear" w:color="auto" w:fill="BFBFBF"/>
            <w:hideMark/>
          </w:tcPr>
          <w:p w14:paraId="546C962D" w14:textId="77777777" w:rsidR="002F27DD" w:rsidRPr="00F10D5C" w:rsidRDefault="002F27DD" w:rsidP="007A0718">
            <w:pPr>
              <w:pStyle w:val="Tablebodytextnospaceafter"/>
              <w:rPr>
                <w:rStyle w:val="Italics"/>
              </w:rPr>
            </w:pPr>
            <w:r>
              <w:rPr>
                <w:rStyle w:val="Italics"/>
              </w:rPr>
              <w:t>Current assets</w:t>
            </w:r>
          </w:p>
        </w:tc>
        <w:tc>
          <w:tcPr>
            <w:tcW w:w="457" w:type="pct"/>
            <w:shd w:val="clear" w:color="auto" w:fill="BFBFBF"/>
          </w:tcPr>
          <w:p w14:paraId="64CA2086" w14:textId="77777777" w:rsidR="002F27DD" w:rsidRPr="00F10D5C" w:rsidRDefault="002F27DD" w:rsidP="007A0718">
            <w:pPr>
              <w:pStyle w:val="Tablebodytextnospaceafter"/>
              <w:rPr>
                <w:rStyle w:val="Italics"/>
              </w:rPr>
            </w:pPr>
          </w:p>
        </w:tc>
        <w:tc>
          <w:tcPr>
            <w:tcW w:w="610" w:type="pct"/>
            <w:shd w:val="clear" w:color="auto" w:fill="BFBFBF"/>
          </w:tcPr>
          <w:p w14:paraId="394EAF43" w14:textId="77777777" w:rsidR="002F27DD" w:rsidRPr="00F10D5C" w:rsidRDefault="002F27DD" w:rsidP="007A0718">
            <w:pPr>
              <w:pStyle w:val="Tablebodytextnospaceafter"/>
              <w:rPr>
                <w:rStyle w:val="Italics"/>
              </w:rPr>
            </w:pPr>
          </w:p>
        </w:tc>
        <w:tc>
          <w:tcPr>
            <w:tcW w:w="685" w:type="pct"/>
            <w:shd w:val="clear" w:color="auto" w:fill="BFBFBF"/>
          </w:tcPr>
          <w:p w14:paraId="1AA67D7A" w14:textId="77777777" w:rsidR="002F27DD" w:rsidRPr="00F10D5C" w:rsidRDefault="002F27DD" w:rsidP="007A0718">
            <w:pPr>
              <w:pStyle w:val="Tablebodytextnospaceafter"/>
              <w:rPr>
                <w:rStyle w:val="Italics"/>
              </w:rPr>
            </w:pPr>
          </w:p>
        </w:tc>
        <w:tc>
          <w:tcPr>
            <w:tcW w:w="713" w:type="pct"/>
            <w:shd w:val="clear" w:color="auto" w:fill="BFBFBF"/>
          </w:tcPr>
          <w:p w14:paraId="00286686" w14:textId="77777777" w:rsidR="002F27DD" w:rsidRPr="00F10D5C" w:rsidRDefault="002F27DD" w:rsidP="007A0718">
            <w:pPr>
              <w:pStyle w:val="Tablebodytextnospaceafter"/>
              <w:rPr>
                <w:rStyle w:val="Italics"/>
              </w:rPr>
            </w:pPr>
          </w:p>
        </w:tc>
        <w:tc>
          <w:tcPr>
            <w:tcW w:w="635" w:type="pct"/>
            <w:shd w:val="clear" w:color="auto" w:fill="BFBFBF"/>
          </w:tcPr>
          <w:p w14:paraId="28F1D4CF" w14:textId="77777777" w:rsidR="002F27DD" w:rsidRPr="00F10D5C" w:rsidRDefault="002F27DD" w:rsidP="007A0718">
            <w:pPr>
              <w:pStyle w:val="Tablebodytextnospaceafter"/>
            </w:pPr>
          </w:p>
        </w:tc>
      </w:tr>
      <w:tr w:rsidR="002F27DD" w:rsidRPr="00F10D5C" w14:paraId="31A760C7" w14:textId="77777777" w:rsidTr="00E039F4">
        <w:trPr>
          <w:cnfStyle w:val="000000100000" w:firstRow="0" w:lastRow="0" w:firstColumn="0" w:lastColumn="0" w:oddVBand="0" w:evenVBand="0" w:oddHBand="1" w:evenHBand="0" w:firstRowFirstColumn="0" w:firstRowLastColumn="0" w:lastRowFirstColumn="0" w:lastRowLastColumn="0"/>
          <w:trHeight w:val="60"/>
          <w:jc w:val="right"/>
        </w:trPr>
        <w:tc>
          <w:tcPr>
            <w:tcW w:w="707" w:type="pct"/>
            <w:tcBorders>
              <w:top w:val="nil"/>
              <w:bottom w:val="single" w:sz="4" w:space="0" w:color="FFFFFF" w:themeColor="background1"/>
            </w:tcBorders>
          </w:tcPr>
          <w:p w14:paraId="55B5D6A2" w14:textId="4F94FB35" w:rsidR="002F27DD" w:rsidRPr="00B6702A" w:rsidRDefault="002F27DD" w:rsidP="007A0718">
            <w:pPr>
              <w:pStyle w:val="Tablebodytextnospaceafter"/>
              <w:jc w:val="right"/>
            </w:pPr>
            <w:r w:rsidRPr="00AF63CE">
              <w:t>20</w:t>
            </w:r>
            <w:r w:rsidR="00AF63CE">
              <w:t>,</w:t>
            </w:r>
            <w:r w:rsidRPr="00AF63CE">
              <w:t>060</w:t>
            </w:r>
          </w:p>
        </w:tc>
        <w:tc>
          <w:tcPr>
            <w:tcW w:w="1193" w:type="pct"/>
            <w:tcBorders>
              <w:bottom w:val="single" w:sz="4" w:space="0" w:color="FFFFFF" w:themeColor="background1"/>
            </w:tcBorders>
            <w:hideMark/>
          </w:tcPr>
          <w:p w14:paraId="3BF7EDE7" w14:textId="77777777" w:rsidR="002F27DD" w:rsidRPr="00F10D5C" w:rsidRDefault="002F27DD" w:rsidP="007A0718">
            <w:pPr>
              <w:pStyle w:val="Tablebodytextnospaceafter"/>
            </w:pPr>
            <w:r>
              <w:t>Cash and cash equivalents</w:t>
            </w:r>
          </w:p>
        </w:tc>
        <w:tc>
          <w:tcPr>
            <w:tcW w:w="457" w:type="pct"/>
            <w:tcBorders>
              <w:bottom w:val="single" w:sz="4" w:space="0" w:color="FFFFFF" w:themeColor="background1"/>
            </w:tcBorders>
          </w:tcPr>
          <w:p w14:paraId="316E83B8" w14:textId="77777777" w:rsidR="002F27DD" w:rsidRPr="00F10D5C" w:rsidRDefault="002F27DD" w:rsidP="007A0718">
            <w:pPr>
              <w:pStyle w:val="Tablebodytextnospaceafter"/>
              <w:jc w:val="right"/>
            </w:pPr>
          </w:p>
        </w:tc>
        <w:tc>
          <w:tcPr>
            <w:tcW w:w="610" w:type="pct"/>
            <w:tcBorders>
              <w:bottom w:val="single" w:sz="4" w:space="0" w:color="FFFFFF" w:themeColor="background1"/>
            </w:tcBorders>
          </w:tcPr>
          <w:p w14:paraId="77C00AA6" w14:textId="54ABB0BB" w:rsidR="002F27DD" w:rsidRPr="00F10D5C" w:rsidRDefault="00FE1D2E" w:rsidP="007A0718">
            <w:pPr>
              <w:pStyle w:val="Tablebodytextnospaceafter"/>
              <w:jc w:val="right"/>
              <w:rPr>
                <w:rStyle w:val="Emphasis"/>
                <w:b w:val="0"/>
              </w:rPr>
            </w:pPr>
            <w:r>
              <w:rPr>
                <w:rStyle w:val="Emphasis"/>
                <w:b w:val="0"/>
              </w:rPr>
              <w:t>13,500</w:t>
            </w:r>
          </w:p>
        </w:tc>
        <w:tc>
          <w:tcPr>
            <w:tcW w:w="685" w:type="pct"/>
            <w:tcBorders>
              <w:bottom w:val="single" w:sz="4" w:space="0" w:color="FFFFFF" w:themeColor="background1"/>
            </w:tcBorders>
          </w:tcPr>
          <w:p w14:paraId="1D657639" w14:textId="77777777" w:rsidR="002F27DD" w:rsidRPr="00F10D5C" w:rsidRDefault="002F27DD" w:rsidP="007A0718">
            <w:pPr>
              <w:pStyle w:val="Tablebodytextnospaceafter"/>
              <w:jc w:val="right"/>
            </w:pPr>
            <w:r>
              <w:t>9,948</w:t>
            </w:r>
          </w:p>
        </w:tc>
        <w:tc>
          <w:tcPr>
            <w:tcW w:w="713" w:type="pct"/>
            <w:tcBorders>
              <w:bottom w:val="single" w:sz="4" w:space="0" w:color="FFFFFF" w:themeColor="background1"/>
            </w:tcBorders>
          </w:tcPr>
          <w:p w14:paraId="58751C2E" w14:textId="77777777" w:rsidR="002F27DD" w:rsidRPr="00F10D5C" w:rsidRDefault="002F27DD" w:rsidP="007A0718">
            <w:pPr>
              <w:pStyle w:val="Tablebodytextnospaceafter"/>
              <w:jc w:val="right"/>
            </w:pPr>
            <w:r>
              <w:t>10,661</w:t>
            </w:r>
          </w:p>
        </w:tc>
        <w:tc>
          <w:tcPr>
            <w:tcW w:w="635" w:type="pct"/>
            <w:tcBorders>
              <w:bottom w:val="single" w:sz="4" w:space="0" w:color="FFFFFF" w:themeColor="background1"/>
            </w:tcBorders>
          </w:tcPr>
          <w:p w14:paraId="1FC708C0" w14:textId="77777777" w:rsidR="002F27DD" w:rsidRPr="00F10D5C" w:rsidRDefault="002F27DD" w:rsidP="007A0718">
            <w:pPr>
              <w:pStyle w:val="Tablebodytextnospaceafter"/>
              <w:jc w:val="right"/>
            </w:pPr>
            <w:r>
              <w:t>4,505</w:t>
            </w:r>
          </w:p>
        </w:tc>
      </w:tr>
      <w:tr w:rsidR="002F27DD" w14:paraId="725B9163" w14:textId="77777777" w:rsidTr="00E039F4">
        <w:trPr>
          <w:cnfStyle w:val="000000010000" w:firstRow="0" w:lastRow="0" w:firstColumn="0" w:lastColumn="0" w:oddVBand="0" w:evenVBand="0" w:oddHBand="0" w:evenHBand="1" w:firstRowFirstColumn="0" w:firstRowLastColumn="0" w:lastRowFirstColumn="0" w:lastRowLastColumn="0"/>
          <w:trHeight w:val="60"/>
          <w:jc w:val="right"/>
        </w:trPr>
        <w:tc>
          <w:tcPr>
            <w:tcW w:w="707" w:type="pct"/>
            <w:tcBorders>
              <w:top w:val="single" w:sz="4" w:space="0" w:color="FFFFFF" w:themeColor="background1"/>
              <w:bottom w:val="single" w:sz="4" w:space="0" w:color="FFFFFF" w:themeColor="background1"/>
            </w:tcBorders>
          </w:tcPr>
          <w:p w14:paraId="7D388084" w14:textId="77777777" w:rsidR="002F27DD" w:rsidRPr="00AF63CE" w:rsidRDefault="002F27DD" w:rsidP="007A0718">
            <w:pPr>
              <w:pStyle w:val="Tablebodytextnospaceafter"/>
              <w:jc w:val="right"/>
              <w:rPr>
                <w:rStyle w:val="Emphasis"/>
                <w:b w:val="0"/>
                <w:bCs w:val="0"/>
              </w:rPr>
            </w:pPr>
            <w:r w:rsidRPr="00AF63CE">
              <w:rPr>
                <w:rStyle w:val="Emphasis"/>
                <w:b w:val="0"/>
                <w:bCs w:val="0"/>
              </w:rPr>
              <w:t>510</w:t>
            </w:r>
          </w:p>
        </w:tc>
        <w:tc>
          <w:tcPr>
            <w:tcW w:w="1193" w:type="pct"/>
            <w:tcBorders>
              <w:top w:val="single" w:sz="4" w:space="0" w:color="FFFFFF" w:themeColor="background1"/>
              <w:bottom w:val="single" w:sz="4" w:space="0" w:color="FFFFFF" w:themeColor="background1"/>
              <w:right w:val="single" w:sz="4" w:space="0" w:color="FFFFFF" w:themeColor="background1"/>
            </w:tcBorders>
            <w:hideMark/>
          </w:tcPr>
          <w:p w14:paraId="7BA73A11" w14:textId="77777777" w:rsidR="002F27DD" w:rsidRDefault="002F27DD" w:rsidP="007A0718">
            <w:pPr>
              <w:pStyle w:val="Tablebodytextnospaceafter"/>
            </w:pPr>
            <w:r>
              <w:t>Other current assets</w:t>
            </w:r>
          </w:p>
        </w:tc>
        <w:tc>
          <w:tcPr>
            <w:tcW w:w="457" w:type="pct"/>
            <w:tcBorders>
              <w:top w:val="single" w:sz="4" w:space="0" w:color="FFFFFF" w:themeColor="background1"/>
              <w:left w:val="single" w:sz="4" w:space="0" w:color="FFFFFF" w:themeColor="background1"/>
              <w:bottom w:val="single" w:sz="4" w:space="0" w:color="FFFFFF" w:themeColor="background1"/>
            </w:tcBorders>
            <w:hideMark/>
          </w:tcPr>
          <w:p w14:paraId="596B9097" w14:textId="77777777" w:rsidR="002F27DD" w:rsidRDefault="002F27DD" w:rsidP="007A0718">
            <w:pPr>
              <w:pStyle w:val="Tablebodytextnospaceafter"/>
              <w:jc w:val="right"/>
            </w:pPr>
            <w:r>
              <w:t>6</w:t>
            </w:r>
          </w:p>
        </w:tc>
        <w:tc>
          <w:tcPr>
            <w:tcW w:w="610" w:type="pct"/>
            <w:tcBorders>
              <w:top w:val="single" w:sz="4" w:space="0" w:color="FFFFFF" w:themeColor="background1"/>
              <w:bottom w:val="single" w:sz="4" w:space="0" w:color="FFFFFF" w:themeColor="background1"/>
            </w:tcBorders>
          </w:tcPr>
          <w:p w14:paraId="0E96D8C9" w14:textId="298AF4BB" w:rsidR="002F27DD" w:rsidRDefault="00FE1D2E" w:rsidP="007A0718">
            <w:pPr>
              <w:pStyle w:val="Tablebodytextnospaceafter"/>
              <w:jc w:val="right"/>
              <w:rPr>
                <w:rStyle w:val="Emphasis"/>
                <w:b w:val="0"/>
              </w:rPr>
            </w:pPr>
            <w:r>
              <w:rPr>
                <w:rStyle w:val="Emphasis"/>
                <w:b w:val="0"/>
              </w:rPr>
              <w:t>762</w:t>
            </w:r>
          </w:p>
        </w:tc>
        <w:tc>
          <w:tcPr>
            <w:tcW w:w="685" w:type="pct"/>
            <w:tcBorders>
              <w:top w:val="single" w:sz="4" w:space="0" w:color="FFFFFF" w:themeColor="background1"/>
              <w:bottom w:val="single" w:sz="4" w:space="0" w:color="FFFFFF" w:themeColor="background1"/>
            </w:tcBorders>
          </w:tcPr>
          <w:p w14:paraId="4C074806" w14:textId="77777777" w:rsidR="002F27DD" w:rsidRDefault="002F27DD" w:rsidP="007A0718">
            <w:pPr>
              <w:pStyle w:val="Tablebodytextnospaceafter"/>
              <w:jc w:val="right"/>
            </w:pPr>
            <w:r>
              <w:t>491</w:t>
            </w:r>
          </w:p>
        </w:tc>
        <w:tc>
          <w:tcPr>
            <w:tcW w:w="713" w:type="pct"/>
            <w:tcBorders>
              <w:top w:val="single" w:sz="4" w:space="0" w:color="FFFFFF" w:themeColor="background1"/>
              <w:bottom w:val="single" w:sz="4" w:space="0" w:color="FFFFFF" w:themeColor="background1"/>
            </w:tcBorders>
          </w:tcPr>
          <w:p w14:paraId="4E62E013" w14:textId="77777777" w:rsidR="002F27DD" w:rsidRDefault="002F27DD" w:rsidP="007A0718">
            <w:pPr>
              <w:pStyle w:val="Tablebodytextnospaceafter"/>
              <w:jc w:val="right"/>
            </w:pPr>
            <w:r>
              <w:t>545</w:t>
            </w:r>
          </w:p>
        </w:tc>
        <w:tc>
          <w:tcPr>
            <w:tcW w:w="635" w:type="pct"/>
            <w:tcBorders>
              <w:top w:val="single" w:sz="4" w:space="0" w:color="FFFFFF" w:themeColor="background1"/>
              <w:bottom w:val="single" w:sz="4" w:space="0" w:color="FFFFFF" w:themeColor="background1"/>
            </w:tcBorders>
          </w:tcPr>
          <w:p w14:paraId="423B2732" w14:textId="77777777" w:rsidR="002F27DD" w:rsidRDefault="002F27DD" w:rsidP="007A0718">
            <w:pPr>
              <w:pStyle w:val="Tablebodytextnospaceafter"/>
              <w:jc w:val="right"/>
            </w:pPr>
            <w:r>
              <w:t>545</w:t>
            </w:r>
          </w:p>
        </w:tc>
      </w:tr>
      <w:tr w:rsidR="002F27DD" w14:paraId="7059995D" w14:textId="77777777" w:rsidTr="00E039F4">
        <w:trPr>
          <w:cnfStyle w:val="000000100000" w:firstRow="0" w:lastRow="0" w:firstColumn="0" w:lastColumn="0" w:oddVBand="0" w:evenVBand="0" w:oddHBand="1" w:evenHBand="0" w:firstRowFirstColumn="0" w:firstRowLastColumn="0" w:lastRowFirstColumn="0" w:lastRowLastColumn="0"/>
          <w:trHeight w:val="60"/>
          <w:jc w:val="right"/>
        </w:trPr>
        <w:tc>
          <w:tcPr>
            <w:tcW w:w="707" w:type="pct"/>
            <w:tcBorders>
              <w:top w:val="single" w:sz="4" w:space="0" w:color="FFFFFF" w:themeColor="background1"/>
              <w:left w:val="single" w:sz="4" w:space="0" w:color="FFFFFF" w:themeColor="background1"/>
              <w:bottom w:val="single" w:sz="4" w:space="0" w:color="FFFFFF" w:themeColor="background1"/>
            </w:tcBorders>
            <w:shd w:val="clear" w:color="auto" w:fill="BFBFBF"/>
          </w:tcPr>
          <w:p w14:paraId="3DE57634" w14:textId="77777777" w:rsidR="002F27DD" w:rsidRPr="00E21CFA" w:rsidRDefault="002F27DD" w:rsidP="007A0718">
            <w:pPr>
              <w:pStyle w:val="Tablebodytextnospaceafter"/>
              <w:jc w:val="right"/>
              <w:rPr>
                <w:b/>
                <w:u w:val="single"/>
              </w:rPr>
            </w:pPr>
            <w:r>
              <w:rPr>
                <w:b/>
                <w:u w:val="single"/>
              </w:rPr>
              <w:t>20,570</w:t>
            </w:r>
          </w:p>
        </w:tc>
        <w:tc>
          <w:tcPr>
            <w:tcW w:w="119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hideMark/>
          </w:tcPr>
          <w:p w14:paraId="26F490D1" w14:textId="77777777" w:rsidR="002F27DD" w:rsidRDefault="002F27DD" w:rsidP="007A0718">
            <w:pPr>
              <w:pStyle w:val="Tablebodytextnospaceafter"/>
              <w:rPr>
                <w:i/>
              </w:rPr>
            </w:pPr>
            <w:r>
              <w:rPr>
                <w:i/>
              </w:rPr>
              <w:t>Total current assets</w:t>
            </w:r>
          </w:p>
        </w:tc>
        <w:tc>
          <w:tcPr>
            <w:tcW w:w="4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cPr>
          <w:p w14:paraId="0F64794C" w14:textId="77777777" w:rsidR="002F27DD" w:rsidRDefault="002F27DD" w:rsidP="007A0718">
            <w:pPr>
              <w:pStyle w:val="Tablebodytextnospaceafter"/>
              <w:jc w:val="right"/>
            </w:pPr>
          </w:p>
        </w:tc>
        <w:tc>
          <w:tcPr>
            <w:tcW w:w="610" w:type="pct"/>
            <w:tcBorders>
              <w:top w:val="single" w:sz="4" w:space="0" w:color="FFFFFF" w:themeColor="background1"/>
              <w:bottom w:val="single" w:sz="4" w:space="0" w:color="FFFFFF" w:themeColor="background1"/>
            </w:tcBorders>
            <w:shd w:val="clear" w:color="auto" w:fill="BFBFBF"/>
            <w:hideMark/>
          </w:tcPr>
          <w:p w14:paraId="1C8E0425" w14:textId="66B97247" w:rsidR="002F27DD" w:rsidRPr="006E6720" w:rsidRDefault="00FE1D2E" w:rsidP="007A0718">
            <w:pPr>
              <w:pStyle w:val="Tablebodytextnospaceafter"/>
              <w:jc w:val="right"/>
              <w:rPr>
                <w:rStyle w:val="Emphasis"/>
                <w:u w:val="single"/>
              </w:rPr>
            </w:pPr>
            <w:r>
              <w:rPr>
                <w:rStyle w:val="Emphasis"/>
                <w:u w:val="single"/>
              </w:rPr>
              <w:t>14,262</w:t>
            </w:r>
          </w:p>
        </w:tc>
        <w:tc>
          <w:tcPr>
            <w:tcW w:w="685" w:type="pct"/>
            <w:tcBorders>
              <w:top w:val="single" w:sz="4" w:space="0" w:color="FFFFFF" w:themeColor="background1"/>
              <w:bottom w:val="single" w:sz="4" w:space="0" w:color="FFFFFF" w:themeColor="background1"/>
            </w:tcBorders>
            <w:shd w:val="clear" w:color="auto" w:fill="BFBFBF"/>
          </w:tcPr>
          <w:p w14:paraId="0F41C760" w14:textId="77777777" w:rsidR="002F27DD" w:rsidRPr="00B6702A" w:rsidRDefault="002F27DD" w:rsidP="007A0718">
            <w:pPr>
              <w:pStyle w:val="Tablebodytextnospaceafter"/>
              <w:jc w:val="right"/>
              <w:rPr>
                <w:b/>
                <w:u w:val="single"/>
              </w:rPr>
            </w:pPr>
            <w:r>
              <w:rPr>
                <w:b/>
                <w:u w:val="single"/>
              </w:rPr>
              <w:t>10,439</w:t>
            </w:r>
          </w:p>
        </w:tc>
        <w:tc>
          <w:tcPr>
            <w:tcW w:w="713" w:type="pct"/>
            <w:tcBorders>
              <w:top w:val="single" w:sz="4" w:space="0" w:color="FFFFFF" w:themeColor="background1"/>
              <w:bottom w:val="single" w:sz="4" w:space="0" w:color="FFFFFF" w:themeColor="background1"/>
            </w:tcBorders>
            <w:shd w:val="clear" w:color="auto" w:fill="BFBFBF"/>
          </w:tcPr>
          <w:p w14:paraId="698A6FBC" w14:textId="77777777" w:rsidR="002F27DD" w:rsidRPr="00B6702A" w:rsidRDefault="002F27DD" w:rsidP="007A0718">
            <w:pPr>
              <w:pStyle w:val="Tablebodytextnospaceafter"/>
              <w:jc w:val="right"/>
              <w:rPr>
                <w:b/>
                <w:u w:val="single"/>
              </w:rPr>
            </w:pPr>
            <w:r>
              <w:rPr>
                <w:b/>
                <w:u w:val="single"/>
              </w:rPr>
              <w:t>11,206</w:t>
            </w:r>
          </w:p>
        </w:tc>
        <w:tc>
          <w:tcPr>
            <w:tcW w:w="635" w:type="pct"/>
            <w:tcBorders>
              <w:top w:val="single" w:sz="4" w:space="0" w:color="FFFFFF" w:themeColor="background1"/>
              <w:bottom w:val="single" w:sz="4" w:space="0" w:color="FFFFFF" w:themeColor="background1"/>
            </w:tcBorders>
            <w:shd w:val="clear" w:color="auto" w:fill="BFBFBF"/>
          </w:tcPr>
          <w:p w14:paraId="764FD98B" w14:textId="1BB3096B" w:rsidR="002F27DD" w:rsidRPr="00B6702A" w:rsidRDefault="00E039F4" w:rsidP="007A0718">
            <w:pPr>
              <w:pStyle w:val="Tablebodytextnospaceafter"/>
              <w:jc w:val="right"/>
              <w:rPr>
                <w:b/>
                <w:u w:val="single"/>
              </w:rPr>
            </w:pPr>
            <w:r>
              <w:rPr>
                <w:b/>
                <w:u w:val="single"/>
              </w:rPr>
              <w:t>5,050</w:t>
            </w:r>
          </w:p>
        </w:tc>
      </w:tr>
      <w:tr w:rsidR="002F27DD" w14:paraId="78F9CAA5" w14:textId="77777777" w:rsidTr="00E039F4">
        <w:trPr>
          <w:cnfStyle w:val="000000010000" w:firstRow="0" w:lastRow="0" w:firstColumn="0" w:lastColumn="0" w:oddVBand="0" w:evenVBand="0" w:oddHBand="0" w:evenHBand="1" w:firstRowFirstColumn="0" w:firstRowLastColumn="0" w:lastRowFirstColumn="0" w:lastRowLastColumn="0"/>
          <w:trHeight w:val="60"/>
          <w:jc w:val="right"/>
        </w:trPr>
        <w:tc>
          <w:tcPr>
            <w:tcW w:w="707" w:type="pct"/>
            <w:hideMark/>
          </w:tcPr>
          <w:p w14:paraId="137AC388" w14:textId="77777777" w:rsidR="002F27DD" w:rsidRPr="00D34DE2" w:rsidRDefault="002F27DD" w:rsidP="007A0718">
            <w:pPr>
              <w:pStyle w:val="Tablebodytextnospaceafter"/>
              <w:jc w:val="right"/>
              <w:rPr>
                <w:b/>
                <w:bCs/>
              </w:rPr>
            </w:pPr>
            <w:r w:rsidRPr="00D34DE2">
              <w:rPr>
                <w:rStyle w:val="Emphasis"/>
                <w:b w:val="0"/>
                <w:bCs w:val="0"/>
              </w:rPr>
              <w:t>3,427</w:t>
            </w:r>
          </w:p>
        </w:tc>
        <w:tc>
          <w:tcPr>
            <w:tcW w:w="1193" w:type="pct"/>
            <w:hideMark/>
          </w:tcPr>
          <w:p w14:paraId="67ABF82B" w14:textId="77777777" w:rsidR="002F27DD" w:rsidRDefault="002F27DD" w:rsidP="007A0718">
            <w:pPr>
              <w:pStyle w:val="Tablebodytextnospaceafter"/>
            </w:pPr>
            <w:r>
              <w:t>Property, plant and equipment</w:t>
            </w:r>
          </w:p>
        </w:tc>
        <w:tc>
          <w:tcPr>
            <w:tcW w:w="457" w:type="pct"/>
            <w:tcBorders>
              <w:top w:val="single" w:sz="4" w:space="0" w:color="FFFFFF" w:themeColor="background1"/>
            </w:tcBorders>
            <w:hideMark/>
          </w:tcPr>
          <w:p w14:paraId="4B5C7990" w14:textId="77777777" w:rsidR="002F27DD" w:rsidRDefault="002F27DD" w:rsidP="007A0718">
            <w:pPr>
              <w:pStyle w:val="Tablebodytextnospaceafter"/>
              <w:jc w:val="right"/>
            </w:pPr>
            <w:r>
              <w:t>7</w:t>
            </w:r>
          </w:p>
        </w:tc>
        <w:tc>
          <w:tcPr>
            <w:tcW w:w="610" w:type="pct"/>
          </w:tcPr>
          <w:p w14:paraId="35B07164" w14:textId="70D2A1B2" w:rsidR="002F27DD" w:rsidRPr="003359B2" w:rsidRDefault="0071462D" w:rsidP="007A0718">
            <w:pPr>
              <w:pStyle w:val="Tablebodytextnospaceafter"/>
              <w:jc w:val="right"/>
              <w:rPr>
                <w:rStyle w:val="Emphasis"/>
                <w:b w:val="0"/>
              </w:rPr>
            </w:pPr>
            <w:r>
              <w:rPr>
                <w:rStyle w:val="Emphasis"/>
                <w:b w:val="0"/>
              </w:rPr>
              <w:t>4,318</w:t>
            </w:r>
          </w:p>
        </w:tc>
        <w:tc>
          <w:tcPr>
            <w:tcW w:w="685" w:type="pct"/>
          </w:tcPr>
          <w:p w14:paraId="4CFAC844" w14:textId="77777777" w:rsidR="002F27DD" w:rsidRDefault="002F27DD" w:rsidP="007A0718">
            <w:pPr>
              <w:pStyle w:val="Tablebodytextnospaceafter"/>
              <w:jc w:val="right"/>
            </w:pPr>
            <w:r>
              <w:t>5,350</w:t>
            </w:r>
          </w:p>
        </w:tc>
        <w:tc>
          <w:tcPr>
            <w:tcW w:w="713" w:type="pct"/>
          </w:tcPr>
          <w:p w14:paraId="4BE1C8B8" w14:textId="77777777" w:rsidR="002F27DD" w:rsidRDefault="002F27DD" w:rsidP="007A0718">
            <w:pPr>
              <w:pStyle w:val="Tablebodytextnospaceafter"/>
              <w:jc w:val="right"/>
            </w:pPr>
            <w:r>
              <w:t>4,427</w:t>
            </w:r>
          </w:p>
        </w:tc>
        <w:tc>
          <w:tcPr>
            <w:tcW w:w="635" w:type="pct"/>
          </w:tcPr>
          <w:p w14:paraId="2FDE29E4" w14:textId="77777777" w:rsidR="002F27DD" w:rsidRDefault="002F27DD" w:rsidP="007A0718">
            <w:pPr>
              <w:pStyle w:val="Tablebodytextnospaceafter"/>
              <w:jc w:val="right"/>
            </w:pPr>
            <w:r>
              <w:t>4,144</w:t>
            </w:r>
          </w:p>
        </w:tc>
      </w:tr>
      <w:tr w:rsidR="002F27DD" w14:paraId="496F826E" w14:textId="77777777" w:rsidTr="00E039F4">
        <w:trPr>
          <w:cnfStyle w:val="000000100000" w:firstRow="0" w:lastRow="0" w:firstColumn="0" w:lastColumn="0" w:oddVBand="0" w:evenVBand="0" w:oddHBand="1" w:evenHBand="0" w:firstRowFirstColumn="0" w:firstRowLastColumn="0" w:lastRowFirstColumn="0" w:lastRowLastColumn="0"/>
          <w:trHeight w:val="60"/>
          <w:jc w:val="right"/>
        </w:trPr>
        <w:tc>
          <w:tcPr>
            <w:tcW w:w="707" w:type="pct"/>
            <w:tcBorders>
              <w:bottom w:val="single" w:sz="4" w:space="0" w:color="FFFFFF" w:themeColor="background1"/>
            </w:tcBorders>
            <w:hideMark/>
          </w:tcPr>
          <w:p w14:paraId="21E00C56" w14:textId="77777777" w:rsidR="002F27DD" w:rsidRPr="00D34DE2" w:rsidRDefault="002F27DD" w:rsidP="007A0718">
            <w:pPr>
              <w:pStyle w:val="Tablebodytextnospaceafter"/>
              <w:jc w:val="right"/>
              <w:rPr>
                <w:b/>
                <w:bCs/>
              </w:rPr>
            </w:pPr>
            <w:r w:rsidRPr="00D34DE2">
              <w:rPr>
                <w:rStyle w:val="Emphasis"/>
                <w:b w:val="0"/>
                <w:bCs w:val="0"/>
              </w:rPr>
              <w:t>3,565</w:t>
            </w:r>
          </w:p>
        </w:tc>
        <w:tc>
          <w:tcPr>
            <w:tcW w:w="1193" w:type="pct"/>
            <w:hideMark/>
          </w:tcPr>
          <w:p w14:paraId="2B460467" w14:textId="77777777" w:rsidR="002F27DD" w:rsidRDefault="002F27DD" w:rsidP="007A0718">
            <w:pPr>
              <w:pStyle w:val="Tablebodytextnospaceafter"/>
            </w:pPr>
            <w:r>
              <w:t>Intangible assets – Software &amp; Trademarks</w:t>
            </w:r>
          </w:p>
        </w:tc>
        <w:tc>
          <w:tcPr>
            <w:tcW w:w="457" w:type="pct"/>
            <w:tcBorders>
              <w:bottom w:val="single" w:sz="4" w:space="0" w:color="FFFFFF" w:themeColor="background1"/>
            </w:tcBorders>
            <w:hideMark/>
          </w:tcPr>
          <w:p w14:paraId="3823AFFF" w14:textId="77777777" w:rsidR="002F27DD" w:rsidRDefault="002F27DD" w:rsidP="007A0718">
            <w:pPr>
              <w:pStyle w:val="Tablebodytextnospaceafter"/>
              <w:jc w:val="right"/>
            </w:pPr>
            <w:r>
              <w:t>8</w:t>
            </w:r>
          </w:p>
        </w:tc>
        <w:tc>
          <w:tcPr>
            <w:tcW w:w="610" w:type="pct"/>
            <w:tcBorders>
              <w:bottom w:val="single" w:sz="4" w:space="0" w:color="FFFFFF" w:themeColor="background1"/>
            </w:tcBorders>
          </w:tcPr>
          <w:p w14:paraId="4C23958A" w14:textId="19FBCE39" w:rsidR="002F27DD" w:rsidRPr="003359B2" w:rsidRDefault="00E039F4" w:rsidP="007A0718">
            <w:pPr>
              <w:pStyle w:val="Tablebodytextnospaceafter"/>
              <w:jc w:val="right"/>
              <w:rPr>
                <w:rStyle w:val="Emphasis"/>
                <w:b w:val="0"/>
              </w:rPr>
            </w:pPr>
            <w:r>
              <w:rPr>
                <w:rStyle w:val="Emphasis"/>
                <w:b w:val="0"/>
              </w:rPr>
              <w:t>2,962</w:t>
            </w:r>
          </w:p>
        </w:tc>
        <w:tc>
          <w:tcPr>
            <w:tcW w:w="685" w:type="pct"/>
            <w:tcBorders>
              <w:bottom w:val="single" w:sz="4" w:space="0" w:color="FFFFFF" w:themeColor="background1"/>
            </w:tcBorders>
          </w:tcPr>
          <w:p w14:paraId="0C2CA90D" w14:textId="77777777" w:rsidR="002F27DD" w:rsidRDefault="002F27DD" w:rsidP="007A0718">
            <w:pPr>
              <w:pStyle w:val="Tablebodytextnospaceafter"/>
              <w:jc w:val="right"/>
            </w:pPr>
            <w:r>
              <w:t>2,619</w:t>
            </w:r>
          </w:p>
        </w:tc>
        <w:tc>
          <w:tcPr>
            <w:tcW w:w="713" w:type="pct"/>
            <w:tcBorders>
              <w:bottom w:val="single" w:sz="4" w:space="0" w:color="FFFFFF" w:themeColor="background1"/>
            </w:tcBorders>
          </w:tcPr>
          <w:p w14:paraId="285E0A00" w14:textId="77777777" w:rsidR="002F27DD" w:rsidRDefault="002F27DD" w:rsidP="007A0718">
            <w:pPr>
              <w:pStyle w:val="Tablebodytextnospaceafter"/>
              <w:jc w:val="right"/>
            </w:pPr>
            <w:r>
              <w:t>2,956</w:t>
            </w:r>
          </w:p>
          <w:p w14:paraId="3AB27745" w14:textId="77777777" w:rsidR="002F27DD" w:rsidRDefault="002F27DD" w:rsidP="007A0718">
            <w:pPr>
              <w:pStyle w:val="Tablebodytextnospaceafter"/>
              <w:jc w:val="right"/>
            </w:pPr>
          </w:p>
          <w:p w14:paraId="6B9660AA" w14:textId="77777777" w:rsidR="002F27DD" w:rsidRDefault="002F27DD" w:rsidP="007A0718">
            <w:pPr>
              <w:pStyle w:val="Tablebodytextnospaceafter"/>
              <w:jc w:val="right"/>
            </w:pPr>
          </w:p>
        </w:tc>
        <w:tc>
          <w:tcPr>
            <w:tcW w:w="635" w:type="pct"/>
            <w:tcBorders>
              <w:bottom w:val="single" w:sz="4" w:space="0" w:color="FFFFFF" w:themeColor="background1"/>
            </w:tcBorders>
          </w:tcPr>
          <w:p w14:paraId="0307485B" w14:textId="77777777" w:rsidR="002F27DD" w:rsidRDefault="002F27DD" w:rsidP="007A0718">
            <w:pPr>
              <w:pStyle w:val="Tablebodytextnospaceafter"/>
              <w:jc w:val="right"/>
            </w:pPr>
            <w:r>
              <w:t>2,352</w:t>
            </w:r>
          </w:p>
        </w:tc>
      </w:tr>
      <w:tr w:rsidR="002F27DD" w:rsidRPr="00B6702A" w14:paraId="6411ADE3" w14:textId="77777777" w:rsidTr="00E039F4">
        <w:trPr>
          <w:cnfStyle w:val="000000010000" w:firstRow="0" w:lastRow="0" w:firstColumn="0" w:lastColumn="0" w:oddVBand="0" w:evenVBand="0" w:oddHBand="0" w:evenHBand="1" w:firstRowFirstColumn="0" w:firstRowLastColumn="0" w:lastRowFirstColumn="0" w:lastRowLastColumn="0"/>
          <w:trHeight w:val="60"/>
          <w:jc w:val="right"/>
        </w:trPr>
        <w:tc>
          <w:tcPr>
            <w:tcW w:w="707" w:type="pct"/>
            <w:tcBorders>
              <w:top w:val="single" w:sz="4" w:space="0" w:color="FFFFFF" w:themeColor="background1"/>
              <w:bottom w:val="single" w:sz="4" w:space="0" w:color="FFFFFF" w:themeColor="background1"/>
            </w:tcBorders>
            <w:shd w:val="clear" w:color="auto" w:fill="BFBFBF"/>
            <w:hideMark/>
          </w:tcPr>
          <w:p w14:paraId="55EB98B8" w14:textId="77777777" w:rsidR="002F27DD" w:rsidRPr="00E21CFA" w:rsidRDefault="002F27DD" w:rsidP="007A0718">
            <w:pPr>
              <w:pStyle w:val="Tablebodytextnospaceafter"/>
              <w:jc w:val="right"/>
              <w:rPr>
                <w:u w:val="single"/>
              </w:rPr>
            </w:pPr>
            <w:r>
              <w:rPr>
                <w:rStyle w:val="Emphasis"/>
                <w:u w:val="single"/>
              </w:rPr>
              <w:t>6,992</w:t>
            </w:r>
          </w:p>
        </w:tc>
        <w:tc>
          <w:tcPr>
            <w:tcW w:w="1193" w:type="pct"/>
            <w:tcBorders>
              <w:bottom w:val="single" w:sz="4" w:space="0" w:color="FFFFFF" w:themeColor="background1"/>
            </w:tcBorders>
            <w:shd w:val="clear" w:color="auto" w:fill="BFBFBF"/>
            <w:hideMark/>
          </w:tcPr>
          <w:p w14:paraId="4A4EA4C2" w14:textId="77777777" w:rsidR="002F27DD" w:rsidRDefault="002F27DD" w:rsidP="007A0718">
            <w:pPr>
              <w:pStyle w:val="Tablebodytextnospaceafter"/>
              <w:rPr>
                <w:i/>
              </w:rPr>
            </w:pPr>
            <w:r>
              <w:rPr>
                <w:i/>
              </w:rPr>
              <w:t>Total non-current assets</w:t>
            </w:r>
          </w:p>
        </w:tc>
        <w:tc>
          <w:tcPr>
            <w:tcW w:w="457" w:type="pct"/>
            <w:tcBorders>
              <w:top w:val="single" w:sz="4" w:space="0" w:color="FFFFFF" w:themeColor="background1"/>
              <w:bottom w:val="single" w:sz="4" w:space="0" w:color="FFFFFF" w:themeColor="background1"/>
            </w:tcBorders>
            <w:shd w:val="clear" w:color="auto" w:fill="BFBFBF"/>
          </w:tcPr>
          <w:p w14:paraId="46137F1E" w14:textId="77777777" w:rsidR="002F27DD" w:rsidRDefault="002F27DD" w:rsidP="007A0718">
            <w:pPr>
              <w:pStyle w:val="Tablebodytextnospaceafter"/>
            </w:pPr>
          </w:p>
        </w:tc>
        <w:tc>
          <w:tcPr>
            <w:tcW w:w="610" w:type="pct"/>
            <w:tcBorders>
              <w:top w:val="single" w:sz="4" w:space="0" w:color="FFFFFF" w:themeColor="background1"/>
              <w:bottom w:val="single" w:sz="4" w:space="0" w:color="FFFFFF" w:themeColor="background1"/>
            </w:tcBorders>
            <w:shd w:val="clear" w:color="auto" w:fill="BFBFBF"/>
          </w:tcPr>
          <w:p w14:paraId="7500772A" w14:textId="18FCC6D8" w:rsidR="002F27DD" w:rsidRPr="006E6720" w:rsidRDefault="00E039F4" w:rsidP="007A0718">
            <w:pPr>
              <w:pStyle w:val="Tablebodytextnospaceafter"/>
              <w:jc w:val="right"/>
              <w:rPr>
                <w:rStyle w:val="Emphasis"/>
                <w:u w:val="single"/>
              </w:rPr>
            </w:pPr>
            <w:r>
              <w:rPr>
                <w:rStyle w:val="Emphasis"/>
                <w:u w:val="single"/>
              </w:rPr>
              <w:t>7,280</w:t>
            </w:r>
          </w:p>
        </w:tc>
        <w:tc>
          <w:tcPr>
            <w:tcW w:w="685" w:type="pct"/>
            <w:tcBorders>
              <w:top w:val="single" w:sz="4" w:space="0" w:color="FFFFFF" w:themeColor="background1"/>
              <w:bottom w:val="single" w:sz="4" w:space="0" w:color="FFFFFF" w:themeColor="background1"/>
            </w:tcBorders>
            <w:shd w:val="clear" w:color="auto" w:fill="BFBFBF"/>
            <w:hideMark/>
          </w:tcPr>
          <w:p w14:paraId="2DE87B39" w14:textId="77777777" w:rsidR="002F27DD" w:rsidRPr="008C0635" w:rsidRDefault="002F27DD" w:rsidP="007A0718">
            <w:pPr>
              <w:pStyle w:val="Tablebodytextnospaceafter"/>
              <w:jc w:val="right"/>
              <w:rPr>
                <w:rStyle w:val="Emphasis"/>
                <w:u w:val="single"/>
              </w:rPr>
            </w:pPr>
            <w:r w:rsidRPr="008C0635">
              <w:rPr>
                <w:rStyle w:val="Emphasis"/>
                <w:u w:val="single"/>
              </w:rPr>
              <w:t>7,969</w:t>
            </w:r>
          </w:p>
        </w:tc>
        <w:tc>
          <w:tcPr>
            <w:tcW w:w="713" w:type="pct"/>
            <w:tcBorders>
              <w:top w:val="single" w:sz="4" w:space="0" w:color="FFFFFF" w:themeColor="background1"/>
              <w:bottom w:val="single" w:sz="4" w:space="0" w:color="FFFFFF" w:themeColor="background1"/>
            </w:tcBorders>
            <w:shd w:val="clear" w:color="auto" w:fill="BFBFBF"/>
          </w:tcPr>
          <w:p w14:paraId="4ACC0203" w14:textId="77777777" w:rsidR="002F27DD" w:rsidRPr="00B6702A" w:rsidRDefault="002F27DD" w:rsidP="007A0718">
            <w:pPr>
              <w:pStyle w:val="Tablebodytextnospaceafter"/>
              <w:jc w:val="right"/>
              <w:rPr>
                <w:b/>
                <w:u w:val="single"/>
              </w:rPr>
            </w:pPr>
            <w:r>
              <w:rPr>
                <w:b/>
                <w:u w:val="single"/>
              </w:rPr>
              <w:t>7,383</w:t>
            </w:r>
          </w:p>
        </w:tc>
        <w:tc>
          <w:tcPr>
            <w:tcW w:w="635" w:type="pct"/>
            <w:tcBorders>
              <w:top w:val="single" w:sz="4" w:space="0" w:color="FFFFFF" w:themeColor="background1"/>
              <w:bottom w:val="single" w:sz="4" w:space="0" w:color="FFFFFF" w:themeColor="background1"/>
            </w:tcBorders>
            <w:shd w:val="clear" w:color="auto" w:fill="BFBFBF"/>
          </w:tcPr>
          <w:p w14:paraId="0F7611CC" w14:textId="77777777" w:rsidR="002F27DD" w:rsidRDefault="002F27DD" w:rsidP="007A0718">
            <w:pPr>
              <w:pStyle w:val="Tablebodytextnospaceafter"/>
              <w:jc w:val="right"/>
              <w:rPr>
                <w:b/>
                <w:u w:val="single"/>
              </w:rPr>
            </w:pPr>
            <w:r>
              <w:rPr>
                <w:b/>
                <w:u w:val="single"/>
              </w:rPr>
              <w:t>6,496</w:t>
            </w:r>
          </w:p>
          <w:p w14:paraId="3F957762" w14:textId="77777777" w:rsidR="002F27DD" w:rsidRPr="00B6702A" w:rsidRDefault="002F27DD" w:rsidP="007A0718">
            <w:pPr>
              <w:pStyle w:val="Tablebodytextnospaceafter"/>
              <w:jc w:val="right"/>
              <w:rPr>
                <w:b/>
                <w:u w:val="single"/>
              </w:rPr>
            </w:pPr>
          </w:p>
        </w:tc>
      </w:tr>
      <w:tr w:rsidR="00AF63CE" w:rsidRPr="00B6702A" w14:paraId="570C700F" w14:textId="77777777" w:rsidTr="00E039F4">
        <w:trPr>
          <w:cnfStyle w:val="000000100000" w:firstRow="0" w:lastRow="0" w:firstColumn="0" w:lastColumn="0" w:oddVBand="0" w:evenVBand="0" w:oddHBand="1" w:evenHBand="0" w:firstRowFirstColumn="0" w:firstRowLastColumn="0" w:lastRowFirstColumn="0" w:lastRowLastColumn="0"/>
          <w:trHeight w:val="60"/>
          <w:jc w:val="right"/>
        </w:trPr>
        <w:tc>
          <w:tcPr>
            <w:tcW w:w="707" w:type="pct"/>
            <w:tcBorders>
              <w:top w:val="single" w:sz="4" w:space="0" w:color="FFFFFF" w:themeColor="background1"/>
              <w:left w:val="single" w:sz="4" w:space="0" w:color="FFFFFF" w:themeColor="background1"/>
              <w:bottom w:val="single" w:sz="4" w:space="0" w:color="FFFFFF" w:themeColor="background1"/>
            </w:tcBorders>
            <w:shd w:val="clear" w:color="auto" w:fill="BFBFBF"/>
            <w:hideMark/>
          </w:tcPr>
          <w:p w14:paraId="1548BBA7" w14:textId="77777777" w:rsidR="002F27DD" w:rsidRPr="00E21CFA" w:rsidRDefault="002F27DD" w:rsidP="007A0718">
            <w:pPr>
              <w:pStyle w:val="Tablebodytextnospaceafter"/>
              <w:jc w:val="right"/>
              <w:rPr>
                <w:u w:val="single"/>
              </w:rPr>
            </w:pPr>
            <w:r>
              <w:rPr>
                <w:rStyle w:val="Emphasis"/>
                <w:u w:val="single"/>
              </w:rPr>
              <w:t>27,562</w:t>
            </w:r>
          </w:p>
        </w:tc>
        <w:tc>
          <w:tcPr>
            <w:tcW w:w="1193" w:type="pct"/>
            <w:tcBorders>
              <w:top w:val="single" w:sz="4" w:space="0" w:color="FFFFFF" w:themeColor="background1"/>
              <w:bottom w:val="single" w:sz="4" w:space="0" w:color="FFFFFF" w:themeColor="background1"/>
              <w:right w:val="single" w:sz="4" w:space="0" w:color="FFFFFF" w:themeColor="background1"/>
            </w:tcBorders>
            <w:shd w:val="clear" w:color="auto" w:fill="BFBFBF"/>
            <w:hideMark/>
          </w:tcPr>
          <w:p w14:paraId="2253B582" w14:textId="77777777" w:rsidR="002F27DD" w:rsidRDefault="002F27DD" w:rsidP="007A0718">
            <w:pPr>
              <w:pStyle w:val="Tablebodytextnospaceafter"/>
              <w:rPr>
                <w:rStyle w:val="Emphasis"/>
              </w:rPr>
            </w:pPr>
            <w:r>
              <w:rPr>
                <w:rStyle w:val="Emphasis"/>
              </w:rPr>
              <w:t>Total assets</w:t>
            </w:r>
          </w:p>
        </w:tc>
        <w:tc>
          <w:tcPr>
            <w:tcW w:w="4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cPr>
          <w:p w14:paraId="00670CC7" w14:textId="77777777" w:rsidR="002F27DD" w:rsidRDefault="002F27DD" w:rsidP="007A0718">
            <w:pPr>
              <w:pStyle w:val="Tablebodytextnospaceafter"/>
            </w:pPr>
          </w:p>
        </w:tc>
        <w:tc>
          <w:tcPr>
            <w:tcW w:w="610" w:type="pct"/>
            <w:tcBorders>
              <w:top w:val="single" w:sz="4" w:space="0" w:color="FFFFFF" w:themeColor="background1"/>
              <w:bottom w:val="single" w:sz="4" w:space="0" w:color="FFFFFF" w:themeColor="background1"/>
            </w:tcBorders>
            <w:shd w:val="clear" w:color="auto" w:fill="BFBFBF"/>
          </w:tcPr>
          <w:p w14:paraId="0C61EBE3" w14:textId="4546BB41" w:rsidR="002F27DD" w:rsidRPr="006E6720" w:rsidRDefault="00E039F4" w:rsidP="007A0718">
            <w:pPr>
              <w:pStyle w:val="Tablebodytextnospaceafter"/>
              <w:jc w:val="right"/>
              <w:rPr>
                <w:rStyle w:val="Emphasis"/>
                <w:u w:val="single"/>
              </w:rPr>
            </w:pPr>
            <w:r>
              <w:rPr>
                <w:rStyle w:val="Emphasis"/>
                <w:u w:val="single"/>
              </w:rPr>
              <w:t>21,541</w:t>
            </w:r>
          </w:p>
        </w:tc>
        <w:tc>
          <w:tcPr>
            <w:tcW w:w="685" w:type="pct"/>
            <w:tcBorders>
              <w:top w:val="single" w:sz="4" w:space="0" w:color="FFFFFF" w:themeColor="background1"/>
              <w:bottom w:val="single" w:sz="4" w:space="0" w:color="FFFFFF" w:themeColor="background1"/>
            </w:tcBorders>
            <w:shd w:val="clear" w:color="auto" w:fill="BFBFBF"/>
            <w:hideMark/>
          </w:tcPr>
          <w:p w14:paraId="23A322C8" w14:textId="77777777" w:rsidR="002F27DD" w:rsidRPr="008C0635" w:rsidRDefault="002F27DD" w:rsidP="007A0718">
            <w:pPr>
              <w:pStyle w:val="Tablebodytextnospaceafter"/>
              <w:jc w:val="right"/>
              <w:rPr>
                <w:rStyle w:val="Emphasis"/>
                <w:u w:val="single"/>
              </w:rPr>
            </w:pPr>
            <w:r w:rsidRPr="008C0635">
              <w:rPr>
                <w:rStyle w:val="Emphasis"/>
                <w:u w:val="single"/>
              </w:rPr>
              <w:t>18,408</w:t>
            </w:r>
          </w:p>
        </w:tc>
        <w:tc>
          <w:tcPr>
            <w:tcW w:w="713" w:type="pct"/>
            <w:tcBorders>
              <w:top w:val="single" w:sz="4" w:space="0" w:color="FFFFFF" w:themeColor="background1"/>
              <w:bottom w:val="single" w:sz="4" w:space="0" w:color="FFFFFF" w:themeColor="background1"/>
            </w:tcBorders>
            <w:shd w:val="clear" w:color="auto" w:fill="BFBFBF"/>
          </w:tcPr>
          <w:p w14:paraId="447A272B" w14:textId="77777777" w:rsidR="002F27DD" w:rsidRPr="00B6702A" w:rsidRDefault="002F27DD" w:rsidP="007A0718">
            <w:pPr>
              <w:pStyle w:val="Tablebodytextnospaceafter"/>
              <w:jc w:val="right"/>
              <w:rPr>
                <w:b/>
                <w:u w:val="single"/>
              </w:rPr>
            </w:pPr>
            <w:r>
              <w:rPr>
                <w:b/>
                <w:u w:val="single"/>
              </w:rPr>
              <w:t>18,589</w:t>
            </w:r>
          </w:p>
        </w:tc>
        <w:tc>
          <w:tcPr>
            <w:tcW w:w="635" w:type="pct"/>
            <w:tcBorders>
              <w:top w:val="single" w:sz="4" w:space="0" w:color="FFFFFF" w:themeColor="background1"/>
              <w:bottom w:val="single" w:sz="4" w:space="0" w:color="FFFFFF" w:themeColor="background1"/>
            </w:tcBorders>
            <w:shd w:val="clear" w:color="auto" w:fill="BFBFBF"/>
          </w:tcPr>
          <w:p w14:paraId="1D3D6305" w14:textId="77777777" w:rsidR="002F27DD" w:rsidRPr="00B6702A" w:rsidRDefault="002F27DD" w:rsidP="007A0718">
            <w:pPr>
              <w:pStyle w:val="Tablebodytextnospaceafter"/>
              <w:jc w:val="right"/>
              <w:rPr>
                <w:b/>
                <w:u w:val="single"/>
              </w:rPr>
            </w:pPr>
            <w:r>
              <w:rPr>
                <w:b/>
                <w:u w:val="single"/>
              </w:rPr>
              <w:t>11,546</w:t>
            </w:r>
          </w:p>
        </w:tc>
      </w:tr>
      <w:tr w:rsidR="002F27DD" w14:paraId="038D0407" w14:textId="77777777" w:rsidTr="00E039F4">
        <w:trPr>
          <w:cnfStyle w:val="000000010000" w:firstRow="0" w:lastRow="0" w:firstColumn="0" w:lastColumn="0" w:oddVBand="0" w:evenVBand="0" w:oddHBand="0" w:evenHBand="1" w:firstRowFirstColumn="0" w:firstRowLastColumn="0" w:lastRowFirstColumn="0" w:lastRowLastColumn="0"/>
          <w:trHeight w:val="60"/>
          <w:jc w:val="right"/>
        </w:trPr>
        <w:tc>
          <w:tcPr>
            <w:tcW w:w="707" w:type="pct"/>
          </w:tcPr>
          <w:p w14:paraId="1333E6F7" w14:textId="77777777" w:rsidR="002F27DD" w:rsidRPr="00D34DE2" w:rsidRDefault="002F27DD" w:rsidP="007A0718">
            <w:pPr>
              <w:pStyle w:val="Tablebodytextnospaceafter"/>
              <w:jc w:val="right"/>
              <w:rPr>
                <w:b/>
                <w:bCs/>
              </w:rPr>
            </w:pPr>
            <w:r w:rsidRPr="00D34DE2">
              <w:rPr>
                <w:rStyle w:val="Emphasis"/>
                <w:b w:val="0"/>
                <w:bCs w:val="0"/>
              </w:rPr>
              <w:t>2,187</w:t>
            </w:r>
          </w:p>
        </w:tc>
        <w:tc>
          <w:tcPr>
            <w:tcW w:w="1193" w:type="pct"/>
            <w:hideMark/>
          </w:tcPr>
          <w:p w14:paraId="49303A57" w14:textId="77777777" w:rsidR="002F27DD" w:rsidRDefault="002F27DD" w:rsidP="007A0718">
            <w:pPr>
              <w:pStyle w:val="Tablebodytextnospaceafter"/>
            </w:pPr>
            <w:r>
              <w:t>Creditors and other payables</w:t>
            </w:r>
          </w:p>
        </w:tc>
        <w:tc>
          <w:tcPr>
            <w:tcW w:w="457" w:type="pct"/>
            <w:hideMark/>
          </w:tcPr>
          <w:p w14:paraId="5A3B06AD" w14:textId="77777777" w:rsidR="002F27DD" w:rsidRDefault="002F27DD" w:rsidP="007A0718">
            <w:pPr>
              <w:pStyle w:val="Tablebodytextnospaceafter"/>
              <w:jc w:val="right"/>
            </w:pPr>
            <w:r>
              <w:t>9</w:t>
            </w:r>
          </w:p>
        </w:tc>
        <w:tc>
          <w:tcPr>
            <w:tcW w:w="610" w:type="pct"/>
          </w:tcPr>
          <w:p w14:paraId="257C0A58" w14:textId="2F65188D" w:rsidR="002F27DD" w:rsidRDefault="00EF78BE" w:rsidP="007A0718">
            <w:pPr>
              <w:pStyle w:val="Tablebodytextnospaceafter"/>
              <w:jc w:val="right"/>
              <w:rPr>
                <w:rStyle w:val="Emphasis"/>
                <w:b w:val="0"/>
              </w:rPr>
            </w:pPr>
            <w:r>
              <w:rPr>
                <w:rStyle w:val="Emphasis"/>
                <w:b w:val="0"/>
              </w:rPr>
              <w:t>1,641</w:t>
            </w:r>
          </w:p>
        </w:tc>
        <w:tc>
          <w:tcPr>
            <w:tcW w:w="685" w:type="pct"/>
            <w:hideMark/>
          </w:tcPr>
          <w:p w14:paraId="22A5903C" w14:textId="77777777" w:rsidR="002F27DD" w:rsidRDefault="002F27DD" w:rsidP="007A0718">
            <w:pPr>
              <w:pStyle w:val="Tablebodytextnospaceafter"/>
              <w:jc w:val="right"/>
            </w:pPr>
            <w:r>
              <w:t>1,404</w:t>
            </w:r>
          </w:p>
        </w:tc>
        <w:tc>
          <w:tcPr>
            <w:tcW w:w="713" w:type="pct"/>
          </w:tcPr>
          <w:p w14:paraId="449B2577" w14:textId="77777777" w:rsidR="002F27DD" w:rsidRDefault="002F27DD" w:rsidP="007A0718">
            <w:pPr>
              <w:pStyle w:val="Tablebodytextnospaceafter"/>
              <w:jc w:val="right"/>
            </w:pPr>
            <w:r>
              <w:t>875</w:t>
            </w:r>
          </w:p>
        </w:tc>
        <w:tc>
          <w:tcPr>
            <w:tcW w:w="635" w:type="pct"/>
          </w:tcPr>
          <w:p w14:paraId="0EF90DA4" w14:textId="77777777" w:rsidR="002F27DD" w:rsidRDefault="002F27DD" w:rsidP="007A0718">
            <w:pPr>
              <w:pStyle w:val="Tablebodytextnospaceafter"/>
              <w:jc w:val="right"/>
            </w:pPr>
            <w:r>
              <w:t>1,387</w:t>
            </w:r>
          </w:p>
        </w:tc>
      </w:tr>
      <w:tr w:rsidR="002F27DD" w14:paraId="52239A67" w14:textId="77777777" w:rsidTr="00E039F4">
        <w:trPr>
          <w:cnfStyle w:val="000000100000" w:firstRow="0" w:lastRow="0" w:firstColumn="0" w:lastColumn="0" w:oddVBand="0" w:evenVBand="0" w:oddHBand="1" w:evenHBand="0" w:firstRowFirstColumn="0" w:firstRowLastColumn="0" w:lastRowFirstColumn="0" w:lastRowLastColumn="0"/>
          <w:trHeight w:val="60"/>
          <w:jc w:val="right"/>
        </w:trPr>
        <w:tc>
          <w:tcPr>
            <w:tcW w:w="707" w:type="pct"/>
            <w:hideMark/>
          </w:tcPr>
          <w:p w14:paraId="53E043E7" w14:textId="77777777" w:rsidR="002F27DD" w:rsidRPr="00B6702A" w:rsidRDefault="002F27DD" w:rsidP="007A0718">
            <w:pPr>
              <w:pStyle w:val="Tablebodytextnospaceafter"/>
              <w:jc w:val="right"/>
            </w:pPr>
            <w:r>
              <w:t>53</w:t>
            </w:r>
          </w:p>
        </w:tc>
        <w:tc>
          <w:tcPr>
            <w:tcW w:w="1193" w:type="pct"/>
            <w:hideMark/>
          </w:tcPr>
          <w:p w14:paraId="5D99DA12" w14:textId="77777777" w:rsidR="002F27DD" w:rsidRPr="0072231C" w:rsidRDefault="002F27DD" w:rsidP="007A0718">
            <w:pPr>
              <w:pStyle w:val="Tablebodytextnospaceafter"/>
              <w:rPr>
                <w:color w:val="auto"/>
              </w:rPr>
            </w:pPr>
            <w:r>
              <w:rPr>
                <w:color w:val="auto"/>
              </w:rPr>
              <w:t>Leasehold incentive – current portion^</w:t>
            </w:r>
          </w:p>
        </w:tc>
        <w:tc>
          <w:tcPr>
            <w:tcW w:w="457" w:type="pct"/>
          </w:tcPr>
          <w:p w14:paraId="724FC69E" w14:textId="77777777" w:rsidR="002F27DD" w:rsidRPr="0072231C" w:rsidRDefault="002F27DD" w:rsidP="007A0718">
            <w:pPr>
              <w:pStyle w:val="Tablebodytextnospaceafter"/>
              <w:jc w:val="right"/>
              <w:rPr>
                <w:color w:val="auto"/>
              </w:rPr>
            </w:pPr>
          </w:p>
        </w:tc>
        <w:tc>
          <w:tcPr>
            <w:tcW w:w="610" w:type="pct"/>
          </w:tcPr>
          <w:p w14:paraId="798392AE" w14:textId="6E42085B" w:rsidR="002F27DD" w:rsidRPr="0072231C" w:rsidRDefault="00E039F4" w:rsidP="007A0718">
            <w:pPr>
              <w:pStyle w:val="Tablebodytextnospaceafter"/>
              <w:jc w:val="right"/>
              <w:rPr>
                <w:rStyle w:val="Emphasis"/>
                <w:b w:val="0"/>
                <w:color w:val="auto"/>
              </w:rPr>
            </w:pPr>
            <w:r>
              <w:rPr>
                <w:rStyle w:val="Emphasis"/>
                <w:b w:val="0"/>
                <w:color w:val="auto"/>
              </w:rPr>
              <w:t>38</w:t>
            </w:r>
          </w:p>
        </w:tc>
        <w:tc>
          <w:tcPr>
            <w:tcW w:w="685" w:type="pct"/>
            <w:hideMark/>
          </w:tcPr>
          <w:p w14:paraId="479F2402" w14:textId="77777777" w:rsidR="002F27DD" w:rsidRDefault="002F27DD" w:rsidP="007A0718">
            <w:pPr>
              <w:pStyle w:val="Tablebodytextnospaceafter"/>
              <w:jc w:val="right"/>
            </w:pPr>
            <w:r>
              <w:t>-</w:t>
            </w:r>
          </w:p>
        </w:tc>
        <w:tc>
          <w:tcPr>
            <w:tcW w:w="713" w:type="pct"/>
          </w:tcPr>
          <w:p w14:paraId="3F3531E0" w14:textId="77777777" w:rsidR="002F27DD" w:rsidRDefault="002F27DD" w:rsidP="007A0718">
            <w:pPr>
              <w:pStyle w:val="Tablebodytextnospaceafter"/>
              <w:jc w:val="right"/>
            </w:pPr>
            <w:r>
              <w:t>43</w:t>
            </w:r>
          </w:p>
        </w:tc>
        <w:tc>
          <w:tcPr>
            <w:tcW w:w="635" w:type="pct"/>
            <w:hideMark/>
          </w:tcPr>
          <w:p w14:paraId="76C72D59" w14:textId="77777777" w:rsidR="002F27DD" w:rsidRDefault="002F27DD" w:rsidP="007A0718">
            <w:pPr>
              <w:pStyle w:val="Tablebodytextnospaceafter"/>
              <w:jc w:val="right"/>
            </w:pPr>
            <w:r>
              <w:t>-</w:t>
            </w:r>
          </w:p>
        </w:tc>
      </w:tr>
      <w:tr w:rsidR="002F27DD" w14:paraId="44F34B85" w14:textId="77777777" w:rsidTr="00E039F4">
        <w:trPr>
          <w:cnfStyle w:val="000000010000" w:firstRow="0" w:lastRow="0" w:firstColumn="0" w:lastColumn="0" w:oddVBand="0" w:evenVBand="0" w:oddHBand="0" w:evenHBand="1" w:firstRowFirstColumn="0" w:firstRowLastColumn="0" w:lastRowFirstColumn="0" w:lastRowLastColumn="0"/>
          <w:trHeight w:val="60"/>
          <w:jc w:val="right"/>
        </w:trPr>
        <w:tc>
          <w:tcPr>
            <w:tcW w:w="707" w:type="pct"/>
            <w:hideMark/>
          </w:tcPr>
          <w:p w14:paraId="3AE750FD" w14:textId="77777777" w:rsidR="002F27DD" w:rsidRPr="00D34DE2" w:rsidRDefault="002F27DD" w:rsidP="007A0718">
            <w:pPr>
              <w:pStyle w:val="Tablebodytextnospaceafter"/>
              <w:jc w:val="right"/>
            </w:pPr>
            <w:r w:rsidRPr="00D34DE2">
              <w:rPr>
                <w:rStyle w:val="Emphasis"/>
                <w:b w:val="0"/>
                <w:bCs w:val="0"/>
              </w:rPr>
              <w:t>7,462</w:t>
            </w:r>
          </w:p>
        </w:tc>
        <w:tc>
          <w:tcPr>
            <w:tcW w:w="1193" w:type="pct"/>
            <w:hideMark/>
          </w:tcPr>
          <w:p w14:paraId="571ABF25" w14:textId="77777777" w:rsidR="002F27DD" w:rsidRPr="00D34DE2" w:rsidRDefault="002F27DD" w:rsidP="007A0718">
            <w:pPr>
              <w:pStyle w:val="Tablebodytextnospaceafter"/>
            </w:pPr>
            <w:r w:rsidRPr="00D34DE2">
              <w:t>Return of operating surplus</w:t>
            </w:r>
          </w:p>
        </w:tc>
        <w:tc>
          <w:tcPr>
            <w:tcW w:w="457" w:type="pct"/>
            <w:hideMark/>
          </w:tcPr>
          <w:p w14:paraId="3823C1FD" w14:textId="77777777" w:rsidR="002F27DD" w:rsidRDefault="002F27DD" w:rsidP="007A0718">
            <w:pPr>
              <w:pStyle w:val="Tablebodytextnospaceafter"/>
              <w:jc w:val="right"/>
            </w:pPr>
            <w:r>
              <w:t>10</w:t>
            </w:r>
          </w:p>
        </w:tc>
        <w:tc>
          <w:tcPr>
            <w:tcW w:w="610" w:type="pct"/>
            <w:hideMark/>
          </w:tcPr>
          <w:p w14:paraId="4ED5CEB1" w14:textId="15CA0A58" w:rsidR="002F27DD" w:rsidRDefault="00E039F4" w:rsidP="007A0718">
            <w:pPr>
              <w:pStyle w:val="Tablebodytextnospaceafter"/>
              <w:jc w:val="right"/>
              <w:rPr>
                <w:rStyle w:val="Emphasis"/>
                <w:b w:val="0"/>
              </w:rPr>
            </w:pPr>
            <w:r>
              <w:rPr>
                <w:rStyle w:val="Emphasis"/>
                <w:b w:val="0"/>
              </w:rPr>
              <w:t>2,071</w:t>
            </w:r>
          </w:p>
        </w:tc>
        <w:tc>
          <w:tcPr>
            <w:tcW w:w="685" w:type="pct"/>
            <w:hideMark/>
          </w:tcPr>
          <w:p w14:paraId="7B673696" w14:textId="77777777" w:rsidR="002F27DD" w:rsidRDefault="002F27DD" w:rsidP="007A0718">
            <w:pPr>
              <w:pStyle w:val="Tablebodytextnospaceafter"/>
              <w:jc w:val="right"/>
            </w:pPr>
            <w:r>
              <w:t>-</w:t>
            </w:r>
          </w:p>
        </w:tc>
        <w:tc>
          <w:tcPr>
            <w:tcW w:w="713" w:type="pct"/>
          </w:tcPr>
          <w:p w14:paraId="41A613F9" w14:textId="77777777" w:rsidR="002F27DD" w:rsidRDefault="002F27DD" w:rsidP="007A0718">
            <w:pPr>
              <w:pStyle w:val="Tablebodytextnospaceafter"/>
              <w:jc w:val="right"/>
            </w:pPr>
            <w:r>
              <w:t>-</w:t>
            </w:r>
          </w:p>
        </w:tc>
        <w:tc>
          <w:tcPr>
            <w:tcW w:w="635" w:type="pct"/>
            <w:hideMark/>
          </w:tcPr>
          <w:p w14:paraId="1B591E7C" w14:textId="77777777" w:rsidR="002F27DD" w:rsidRDefault="002F27DD" w:rsidP="007A0718">
            <w:pPr>
              <w:pStyle w:val="Tablebodytextnospaceafter"/>
              <w:jc w:val="right"/>
            </w:pPr>
            <w:r>
              <w:t>-</w:t>
            </w:r>
          </w:p>
        </w:tc>
      </w:tr>
      <w:tr w:rsidR="002F27DD" w14:paraId="2387E45A" w14:textId="77777777" w:rsidTr="00E039F4">
        <w:trPr>
          <w:cnfStyle w:val="000000100000" w:firstRow="0" w:lastRow="0" w:firstColumn="0" w:lastColumn="0" w:oddVBand="0" w:evenVBand="0" w:oddHBand="1" w:evenHBand="0" w:firstRowFirstColumn="0" w:firstRowLastColumn="0" w:lastRowFirstColumn="0" w:lastRowLastColumn="0"/>
          <w:trHeight w:val="60"/>
          <w:jc w:val="right"/>
        </w:trPr>
        <w:tc>
          <w:tcPr>
            <w:tcW w:w="707" w:type="pct"/>
            <w:tcBorders>
              <w:left w:val="single" w:sz="4" w:space="0" w:color="FFFFFF" w:themeColor="background1"/>
              <w:bottom w:val="single" w:sz="4" w:space="0" w:color="FFFFFF" w:themeColor="background1"/>
            </w:tcBorders>
            <w:hideMark/>
          </w:tcPr>
          <w:p w14:paraId="44A50A4D" w14:textId="77777777" w:rsidR="002F27DD" w:rsidRPr="00F903D8" w:rsidRDefault="002F27DD" w:rsidP="007A0718">
            <w:pPr>
              <w:pStyle w:val="Tablebodytextnospaceafter"/>
              <w:jc w:val="right"/>
              <w:rPr>
                <w:b/>
              </w:rPr>
            </w:pPr>
            <w:r w:rsidRPr="00A07A0C">
              <w:rPr>
                <w:rStyle w:val="Emphasis"/>
                <w:b w:val="0"/>
                <w:bCs w:val="0"/>
              </w:rPr>
              <w:t>2,798</w:t>
            </w:r>
          </w:p>
        </w:tc>
        <w:tc>
          <w:tcPr>
            <w:tcW w:w="1193" w:type="pct"/>
            <w:tcBorders>
              <w:bottom w:val="single" w:sz="4" w:space="0" w:color="FFFFFF" w:themeColor="background1"/>
            </w:tcBorders>
            <w:hideMark/>
          </w:tcPr>
          <w:p w14:paraId="0A8915C6" w14:textId="77777777" w:rsidR="002F27DD" w:rsidRDefault="002F27DD" w:rsidP="007A0718">
            <w:pPr>
              <w:pStyle w:val="Tablebodytextnospaceafter"/>
            </w:pPr>
            <w:r>
              <w:t>Employee entitlements</w:t>
            </w:r>
          </w:p>
        </w:tc>
        <w:tc>
          <w:tcPr>
            <w:tcW w:w="457" w:type="pct"/>
            <w:tcBorders>
              <w:bottom w:val="single" w:sz="4" w:space="0" w:color="FFFFFF" w:themeColor="background1"/>
              <w:right w:val="single" w:sz="4" w:space="0" w:color="FFFFFF" w:themeColor="background1"/>
            </w:tcBorders>
            <w:hideMark/>
          </w:tcPr>
          <w:p w14:paraId="481512B0" w14:textId="77777777" w:rsidR="002F27DD" w:rsidRDefault="002F27DD" w:rsidP="007A0718">
            <w:pPr>
              <w:pStyle w:val="Tablebodytextnospaceafter"/>
              <w:jc w:val="right"/>
            </w:pPr>
            <w:r>
              <w:t>11</w:t>
            </w:r>
          </w:p>
        </w:tc>
        <w:tc>
          <w:tcPr>
            <w:tcW w:w="610" w:type="pct"/>
            <w:tcBorders>
              <w:bottom w:val="single" w:sz="4" w:space="0" w:color="FFFFFF" w:themeColor="background1"/>
            </w:tcBorders>
            <w:hideMark/>
          </w:tcPr>
          <w:p w14:paraId="6B7AC7E5" w14:textId="546B97C9" w:rsidR="002F27DD" w:rsidRDefault="00EF78BE" w:rsidP="007A0718">
            <w:pPr>
              <w:pStyle w:val="Tablebodytextnospaceafter"/>
              <w:jc w:val="right"/>
              <w:rPr>
                <w:rStyle w:val="Emphasis"/>
                <w:b w:val="0"/>
              </w:rPr>
            </w:pPr>
            <w:r>
              <w:rPr>
                <w:rStyle w:val="Emphasis"/>
                <w:b w:val="0"/>
              </w:rPr>
              <w:t>2,768</w:t>
            </w:r>
          </w:p>
        </w:tc>
        <w:tc>
          <w:tcPr>
            <w:tcW w:w="685" w:type="pct"/>
            <w:tcBorders>
              <w:bottom w:val="single" w:sz="4" w:space="0" w:color="FFFFFF" w:themeColor="background1"/>
            </w:tcBorders>
            <w:hideMark/>
          </w:tcPr>
          <w:p w14:paraId="605393DA" w14:textId="77777777" w:rsidR="002F27DD" w:rsidRDefault="002F27DD" w:rsidP="007A0718">
            <w:pPr>
              <w:pStyle w:val="Tablebodytextnospaceafter"/>
              <w:jc w:val="right"/>
            </w:pPr>
            <w:r>
              <w:t>1,934</w:t>
            </w:r>
          </w:p>
        </w:tc>
        <w:tc>
          <w:tcPr>
            <w:tcW w:w="713" w:type="pct"/>
            <w:tcBorders>
              <w:bottom w:val="single" w:sz="4" w:space="0" w:color="FFFFFF" w:themeColor="background1"/>
            </w:tcBorders>
          </w:tcPr>
          <w:p w14:paraId="015BEF2F" w14:textId="77777777" w:rsidR="002F27DD" w:rsidRDefault="002F27DD" w:rsidP="007A0718">
            <w:pPr>
              <w:pStyle w:val="Tablebodytextnospaceafter"/>
              <w:jc w:val="right"/>
            </w:pPr>
            <w:r>
              <w:t>2,136</w:t>
            </w:r>
          </w:p>
        </w:tc>
        <w:tc>
          <w:tcPr>
            <w:tcW w:w="635" w:type="pct"/>
            <w:tcBorders>
              <w:bottom w:val="single" w:sz="4" w:space="0" w:color="FFFFFF" w:themeColor="background1"/>
            </w:tcBorders>
          </w:tcPr>
          <w:p w14:paraId="3EF3A183" w14:textId="77777777" w:rsidR="002F27DD" w:rsidRDefault="002F27DD" w:rsidP="007A0718">
            <w:pPr>
              <w:pStyle w:val="Tablebodytextnospaceafter"/>
              <w:jc w:val="right"/>
            </w:pPr>
            <w:r>
              <w:t>2,136</w:t>
            </w:r>
          </w:p>
        </w:tc>
      </w:tr>
      <w:tr w:rsidR="00AF63CE" w14:paraId="48F58A3F" w14:textId="77777777" w:rsidTr="00E039F4">
        <w:trPr>
          <w:cnfStyle w:val="000000010000" w:firstRow="0" w:lastRow="0" w:firstColumn="0" w:lastColumn="0" w:oddVBand="0" w:evenVBand="0" w:oddHBand="0" w:evenHBand="1" w:firstRowFirstColumn="0" w:firstRowLastColumn="0" w:lastRowFirstColumn="0" w:lastRowLastColumn="0"/>
          <w:trHeight w:val="60"/>
          <w:jc w:val="right"/>
        </w:trPr>
        <w:tc>
          <w:tcPr>
            <w:tcW w:w="707" w:type="pct"/>
            <w:tcBorders>
              <w:top w:val="single" w:sz="4" w:space="0" w:color="FFFFFF" w:themeColor="background1"/>
              <w:left w:val="single" w:sz="4" w:space="0" w:color="FFFFFF" w:themeColor="background1"/>
              <w:bottom w:val="single" w:sz="4" w:space="0" w:color="FFFFFF" w:themeColor="background1"/>
            </w:tcBorders>
            <w:shd w:val="clear" w:color="auto" w:fill="BFBFBF"/>
            <w:hideMark/>
          </w:tcPr>
          <w:p w14:paraId="2F5013C2" w14:textId="77777777" w:rsidR="002F27DD" w:rsidRPr="00E21CFA" w:rsidRDefault="002F27DD" w:rsidP="007A0718">
            <w:pPr>
              <w:pStyle w:val="Tablebodytextnospaceafter"/>
              <w:jc w:val="right"/>
              <w:rPr>
                <w:u w:val="single"/>
              </w:rPr>
            </w:pPr>
            <w:r>
              <w:rPr>
                <w:rStyle w:val="Emphasis"/>
                <w:u w:val="single"/>
              </w:rPr>
              <w:t>12,500</w:t>
            </w:r>
          </w:p>
        </w:tc>
        <w:tc>
          <w:tcPr>
            <w:tcW w:w="1193" w:type="pct"/>
            <w:tcBorders>
              <w:top w:val="single" w:sz="4" w:space="0" w:color="FFFFFF" w:themeColor="background1"/>
              <w:bottom w:val="single" w:sz="4" w:space="0" w:color="FFFFFF" w:themeColor="background1"/>
              <w:right w:val="single" w:sz="4" w:space="0" w:color="FFFFFF" w:themeColor="background1"/>
            </w:tcBorders>
            <w:shd w:val="clear" w:color="auto" w:fill="BFBFBF"/>
            <w:hideMark/>
          </w:tcPr>
          <w:p w14:paraId="2E12C2C2" w14:textId="77777777" w:rsidR="002F27DD" w:rsidRDefault="002F27DD" w:rsidP="007A0718">
            <w:pPr>
              <w:pStyle w:val="Tablebodytextnospaceafter"/>
              <w:rPr>
                <w:i/>
              </w:rPr>
            </w:pPr>
            <w:r>
              <w:rPr>
                <w:i/>
              </w:rPr>
              <w:t>Total current liabilities</w:t>
            </w:r>
          </w:p>
        </w:tc>
        <w:tc>
          <w:tcPr>
            <w:tcW w:w="4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cPr>
          <w:p w14:paraId="20C658AE" w14:textId="77777777" w:rsidR="002F27DD" w:rsidRDefault="002F27DD" w:rsidP="007A0718">
            <w:pPr>
              <w:pStyle w:val="Tablebodytextnospaceafter"/>
              <w:jc w:val="right"/>
            </w:pPr>
          </w:p>
        </w:tc>
        <w:tc>
          <w:tcPr>
            <w:tcW w:w="610" w:type="pct"/>
            <w:tcBorders>
              <w:top w:val="single" w:sz="4" w:space="0" w:color="FFFFFF" w:themeColor="background1"/>
              <w:bottom w:val="single" w:sz="4" w:space="0" w:color="FFFFFF" w:themeColor="background1"/>
            </w:tcBorders>
            <w:shd w:val="clear" w:color="auto" w:fill="BFBFBF"/>
          </w:tcPr>
          <w:p w14:paraId="10846760" w14:textId="35A01A40" w:rsidR="002F27DD" w:rsidRDefault="00E039F4" w:rsidP="007A0718">
            <w:pPr>
              <w:pStyle w:val="Tablebodytextnospaceafter"/>
              <w:jc w:val="right"/>
              <w:rPr>
                <w:rStyle w:val="Emphasis"/>
                <w:b w:val="0"/>
                <w:u w:val="single"/>
              </w:rPr>
            </w:pPr>
            <w:r>
              <w:rPr>
                <w:b/>
                <w:u w:val="single"/>
              </w:rPr>
              <w:t>6,518</w:t>
            </w:r>
          </w:p>
        </w:tc>
        <w:tc>
          <w:tcPr>
            <w:tcW w:w="685" w:type="pct"/>
            <w:tcBorders>
              <w:top w:val="single" w:sz="4" w:space="0" w:color="FFFFFF" w:themeColor="background1"/>
              <w:bottom w:val="single" w:sz="4" w:space="0" w:color="FFFFFF" w:themeColor="background1"/>
            </w:tcBorders>
            <w:shd w:val="clear" w:color="auto" w:fill="BFBFBF"/>
            <w:hideMark/>
          </w:tcPr>
          <w:p w14:paraId="427E7E5B" w14:textId="77777777" w:rsidR="002F27DD" w:rsidRPr="00B6702A" w:rsidRDefault="002F27DD" w:rsidP="007A0718">
            <w:pPr>
              <w:pStyle w:val="Tablebodytextnospaceafter"/>
              <w:jc w:val="right"/>
              <w:rPr>
                <w:b/>
              </w:rPr>
            </w:pPr>
            <w:r>
              <w:rPr>
                <w:b/>
                <w:u w:val="single"/>
              </w:rPr>
              <w:t>3,338</w:t>
            </w:r>
          </w:p>
        </w:tc>
        <w:tc>
          <w:tcPr>
            <w:tcW w:w="713" w:type="pct"/>
            <w:tcBorders>
              <w:top w:val="single" w:sz="4" w:space="0" w:color="FFFFFF" w:themeColor="background1"/>
              <w:bottom w:val="single" w:sz="4" w:space="0" w:color="FFFFFF" w:themeColor="background1"/>
            </w:tcBorders>
            <w:shd w:val="clear" w:color="auto" w:fill="BFBFBF"/>
          </w:tcPr>
          <w:p w14:paraId="09C2308B" w14:textId="72AA40BA" w:rsidR="002F27DD" w:rsidRPr="00B6702A" w:rsidRDefault="002F27DD" w:rsidP="007A0718">
            <w:pPr>
              <w:pStyle w:val="Tablebodytextnospaceafter"/>
              <w:jc w:val="right"/>
              <w:rPr>
                <w:b/>
                <w:u w:val="single"/>
              </w:rPr>
            </w:pPr>
            <w:r>
              <w:rPr>
                <w:b/>
                <w:u w:val="single"/>
              </w:rPr>
              <w:t>3</w:t>
            </w:r>
            <w:r w:rsidR="00D34DE2">
              <w:rPr>
                <w:b/>
                <w:u w:val="single"/>
              </w:rPr>
              <w:t>,</w:t>
            </w:r>
            <w:r>
              <w:rPr>
                <w:b/>
                <w:u w:val="single"/>
              </w:rPr>
              <w:t>054</w:t>
            </w:r>
          </w:p>
        </w:tc>
        <w:tc>
          <w:tcPr>
            <w:tcW w:w="635" w:type="pct"/>
            <w:tcBorders>
              <w:top w:val="single" w:sz="4" w:space="0" w:color="FFFFFF" w:themeColor="background1"/>
              <w:bottom w:val="single" w:sz="4" w:space="0" w:color="FFFFFF" w:themeColor="background1"/>
            </w:tcBorders>
            <w:shd w:val="clear" w:color="auto" w:fill="BFBFBF"/>
          </w:tcPr>
          <w:p w14:paraId="79CD02E8" w14:textId="77777777" w:rsidR="002F27DD" w:rsidRPr="00B6702A" w:rsidRDefault="002F27DD" w:rsidP="007A0718">
            <w:pPr>
              <w:pStyle w:val="Tablebodytextnospaceafter"/>
              <w:jc w:val="right"/>
              <w:rPr>
                <w:b/>
                <w:u w:val="single"/>
              </w:rPr>
            </w:pPr>
            <w:r>
              <w:rPr>
                <w:b/>
                <w:u w:val="single"/>
              </w:rPr>
              <w:t>3,523</w:t>
            </w:r>
          </w:p>
        </w:tc>
      </w:tr>
      <w:tr w:rsidR="002F27DD" w14:paraId="6068528D" w14:textId="77777777" w:rsidTr="00E039F4">
        <w:trPr>
          <w:cnfStyle w:val="000000100000" w:firstRow="0" w:lastRow="0" w:firstColumn="0" w:lastColumn="0" w:oddVBand="0" w:evenVBand="0" w:oddHBand="1" w:evenHBand="0" w:firstRowFirstColumn="0" w:firstRowLastColumn="0" w:lastRowFirstColumn="0" w:lastRowLastColumn="0"/>
          <w:trHeight w:val="60"/>
          <w:jc w:val="right"/>
        </w:trPr>
        <w:tc>
          <w:tcPr>
            <w:tcW w:w="707" w:type="pct"/>
            <w:tcBorders>
              <w:bottom w:val="single" w:sz="4" w:space="0" w:color="FFFFFF" w:themeColor="background1"/>
            </w:tcBorders>
            <w:hideMark/>
          </w:tcPr>
          <w:p w14:paraId="77371DDC" w14:textId="77777777" w:rsidR="002F27DD" w:rsidRPr="00D34DE2" w:rsidRDefault="002F27DD" w:rsidP="007A0718">
            <w:pPr>
              <w:pStyle w:val="Tablebodytextnospaceafter"/>
              <w:jc w:val="right"/>
              <w:rPr>
                <w:b/>
                <w:bCs/>
              </w:rPr>
            </w:pPr>
            <w:r w:rsidRPr="00D34DE2">
              <w:rPr>
                <w:rStyle w:val="Emphasis"/>
                <w:b w:val="0"/>
                <w:bCs w:val="0"/>
              </w:rPr>
              <w:t>39</w:t>
            </w:r>
          </w:p>
        </w:tc>
        <w:tc>
          <w:tcPr>
            <w:tcW w:w="1193" w:type="pct"/>
            <w:hideMark/>
          </w:tcPr>
          <w:p w14:paraId="188175AA" w14:textId="77777777" w:rsidR="002F27DD" w:rsidRPr="0072231C" w:rsidRDefault="002F27DD" w:rsidP="007A0718">
            <w:pPr>
              <w:pStyle w:val="Tablebodytextnospaceafter"/>
              <w:rPr>
                <w:color w:val="auto"/>
              </w:rPr>
            </w:pPr>
            <w:r>
              <w:rPr>
                <w:color w:val="auto"/>
              </w:rPr>
              <w:t>Leasehold Incentives</w:t>
            </w:r>
          </w:p>
        </w:tc>
        <w:tc>
          <w:tcPr>
            <w:tcW w:w="457" w:type="pct"/>
            <w:hideMark/>
          </w:tcPr>
          <w:p w14:paraId="398BAE3C" w14:textId="77777777" w:rsidR="002F27DD" w:rsidRPr="0072231C" w:rsidRDefault="002F27DD" w:rsidP="007A0718">
            <w:pPr>
              <w:rPr>
                <w:color w:val="auto"/>
              </w:rPr>
            </w:pPr>
          </w:p>
        </w:tc>
        <w:tc>
          <w:tcPr>
            <w:tcW w:w="610" w:type="pct"/>
            <w:tcBorders>
              <w:bottom w:val="single" w:sz="4" w:space="0" w:color="FFFFFF" w:themeColor="background1"/>
            </w:tcBorders>
          </w:tcPr>
          <w:p w14:paraId="3EA80578" w14:textId="7E9AD693" w:rsidR="002F27DD" w:rsidRPr="0072231C" w:rsidRDefault="005446C8" w:rsidP="007A0718">
            <w:pPr>
              <w:pStyle w:val="Tablebodytextnospaceafter"/>
              <w:jc w:val="right"/>
              <w:rPr>
                <w:rStyle w:val="Emphasis"/>
                <w:b w:val="0"/>
                <w:color w:val="auto"/>
                <w:sz w:val="24"/>
              </w:rPr>
            </w:pPr>
            <w:r>
              <w:rPr>
                <w:rStyle w:val="Emphasis"/>
                <w:b w:val="0"/>
                <w:color w:val="auto"/>
                <w:sz w:val="24"/>
              </w:rPr>
              <w:t>-</w:t>
            </w:r>
          </w:p>
        </w:tc>
        <w:tc>
          <w:tcPr>
            <w:tcW w:w="685" w:type="pct"/>
            <w:tcBorders>
              <w:bottom w:val="single" w:sz="4" w:space="0" w:color="FFFFFF" w:themeColor="background1"/>
            </w:tcBorders>
            <w:shd w:val="clear" w:color="000000" w:fill="E9E9E9"/>
            <w:hideMark/>
          </w:tcPr>
          <w:p w14:paraId="4EE6A5FC" w14:textId="77777777" w:rsidR="002F27DD" w:rsidRPr="00D34DE2" w:rsidRDefault="002F27DD" w:rsidP="007A0718">
            <w:pPr>
              <w:pStyle w:val="Tablebodytextnospaceafter"/>
              <w:jc w:val="right"/>
            </w:pPr>
            <w:r w:rsidRPr="00D34DE2">
              <w:t>47</w:t>
            </w:r>
          </w:p>
        </w:tc>
        <w:tc>
          <w:tcPr>
            <w:tcW w:w="713" w:type="pct"/>
            <w:tcBorders>
              <w:bottom w:val="single" w:sz="4" w:space="0" w:color="FFFFFF" w:themeColor="background1"/>
            </w:tcBorders>
            <w:shd w:val="clear" w:color="000000" w:fill="E9E9E9"/>
          </w:tcPr>
          <w:p w14:paraId="017A82C7" w14:textId="77777777" w:rsidR="002F27DD" w:rsidRPr="00D34DE2" w:rsidRDefault="002F27DD" w:rsidP="007A0718">
            <w:pPr>
              <w:pStyle w:val="Tablebodytextnospaceafter"/>
              <w:jc w:val="right"/>
            </w:pPr>
            <w:r w:rsidRPr="00D34DE2">
              <w:t>512</w:t>
            </w:r>
          </w:p>
        </w:tc>
        <w:tc>
          <w:tcPr>
            <w:tcW w:w="635" w:type="pct"/>
            <w:tcBorders>
              <w:bottom w:val="single" w:sz="4" w:space="0" w:color="FFFFFF" w:themeColor="background1"/>
            </w:tcBorders>
          </w:tcPr>
          <w:p w14:paraId="53F7B1AE" w14:textId="56BF39C9" w:rsidR="002F27DD" w:rsidRDefault="0017697E" w:rsidP="007A0718">
            <w:pPr>
              <w:pStyle w:val="Tablebodytextnospaceafter"/>
              <w:jc w:val="right"/>
            </w:pPr>
            <w:r>
              <w:t>-</w:t>
            </w:r>
          </w:p>
        </w:tc>
      </w:tr>
      <w:tr w:rsidR="002F27DD" w14:paraId="3D1F1FBA" w14:textId="77777777" w:rsidTr="00E039F4">
        <w:trPr>
          <w:cnfStyle w:val="000000010000" w:firstRow="0" w:lastRow="0" w:firstColumn="0" w:lastColumn="0" w:oddVBand="0" w:evenVBand="0" w:oddHBand="0" w:evenHBand="1" w:firstRowFirstColumn="0" w:firstRowLastColumn="0" w:lastRowFirstColumn="0" w:lastRowLastColumn="0"/>
          <w:trHeight w:val="60"/>
          <w:jc w:val="right"/>
        </w:trPr>
        <w:tc>
          <w:tcPr>
            <w:tcW w:w="707" w:type="pct"/>
            <w:tcBorders>
              <w:top w:val="single" w:sz="4" w:space="0" w:color="FFFFFF" w:themeColor="background1"/>
              <w:bottom w:val="single" w:sz="4" w:space="0" w:color="FFFFFF" w:themeColor="background1"/>
            </w:tcBorders>
            <w:hideMark/>
          </w:tcPr>
          <w:p w14:paraId="1D33D792" w14:textId="77777777" w:rsidR="002F27DD" w:rsidRPr="00D34DE2" w:rsidRDefault="002F27DD" w:rsidP="007A0718">
            <w:pPr>
              <w:pStyle w:val="Tablebodytextnospaceafter"/>
              <w:jc w:val="right"/>
              <w:rPr>
                <w:b/>
                <w:bCs/>
              </w:rPr>
            </w:pPr>
            <w:r w:rsidRPr="00D34DE2">
              <w:rPr>
                <w:rStyle w:val="Emphasis"/>
                <w:b w:val="0"/>
                <w:bCs w:val="0"/>
              </w:rPr>
              <w:t>39</w:t>
            </w:r>
          </w:p>
        </w:tc>
        <w:tc>
          <w:tcPr>
            <w:tcW w:w="1193" w:type="pct"/>
            <w:tcBorders>
              <w:bottom w:val="single" w:sz="2" w:space="0" w:color="FFFFFF" w:themeColor="background1"/>
            </w:tcBorders>
            <w:hideMark/>
          </w:tcPr>
          <w:p w14:paraId="68E1C88A" w14:textId="77777777" w:rsidR="002F27DD" w:rsidRPr="0072231C" w:rsidRDefault="002F27DD" w:rsidP="007A0718">
            <w:pPr>
              <w:pStyle w:val="Tablebodytextnospaceafter"/>
              <w:rPr>
                <w:i/>
                <w:color w:val="auto"/>
              </w:rPr>
            </w:pPr>
            <w:r>
              <w:rPr>
                <w:i/>
                <w:color w:val="auto"/>
              </w:rPr>
              <w:t>Total non-current liabilities</w:t>
            </w:r>
          </w:p>
        </w:tc>
        <w:tc>
          <w:tcPr>
            <w:tcW w:w="457" w:type="pct"/>
            <w:tcBorders>
              <w:bottom w:val="single" w:sz="2" w:space="0" w:color="FFFFFF" w:themeColor="background1"/>
            </w:tcBorders>
            <w:hideMark/>
          </w:tcPr>
          <w:p w14:paraId="38D7416E" w14:textId="77777777" w:rsidR="002F27DD" w:rsidRPr="0072231C" w:rsidRDefault="002F27DD" w:rsidP="007A0718">
            <w:pPr>
              <w:rPr>
                <w:i/>
                <w:color w:val="auto"/>
              </w:rPr>
            </w:pPr>
          </w:p>
        </w:tc>
        <w:tc>
          <w:tcPr>
            <w:tcW w:w="610" w:type="pct"/>
            <w:tcBorders>
              <w:top w:val="single" w:sz="4" w:space="0" w:color="FFFFFF" w:themeColor="background1"/>
              <w:bottom w:val="single" w:sz="4" w:space="0" w:color="FFFFFF" w:themeColor="background1"/>
            </w:tcBorders>
          </w:tcPr>
          <w:p w14:paraId="34F5F6FF" w14:textId="30461B69" w:rsidR="002F27DD" w:rsidRPr="005446C8" w:rsidRDefault="005446C8" w:rsidP="007A0718">
            <w:pPr>
              <w:pStyle w:val="Tablebodytextnospaceafter"/>
              <w:jc w:val="right"/>
              <w:rPr>
                <w:rStyle w:val="Emphasis"/>
                <w:b w:val="0"/>
                <w:bCs w:val="0"/>
                <w:color w:val="auto"/>
                <w:sz w:val="24"/>
              </w:rPr>
            </w:pPr>
            <w:r w:rsidRPr="005446C8">
              <w:rPr>
                <w:rStyle w:val="Emphasis"/>
                <w:b w:val="0"/>
                <w:bCs w:val="0"/>
                <w:color w:val="auto"/>
                <w:sz w:val="24"/>
              </w:rPr>
              <w:t>-</w:t>
            </w:r>
          </w:p>
        </w:tc>
        <w:tc>
          <w:tcPr>
            <w:tcW w:w="685" w:type="pct"/>
            <w:tcBorders>
              <w:top w:val="single" w:sz="4" w:space="0" w:color="FFFFFF" w:themeColor="background1"/>
              <w:bottom w:val="single" w:sz="4" w:space="0" w:color="FFFFFF" w:themeColor="background1"/>
            </w:tcBorders>
          </w:tcPr>
          <w:p w14:paraId="5B116CE7" w14:textId="77777777" w:rsidR="002F27DD" w:rsidRPr="00D34DE2" w:rsidRDefault="002F27DD" w:rsidP="007A0718">
            <w:pPr>
              <w:pStyle w:val="Tablebodytextnospaceafter"/>
              <w:jc w:val="right"/>
            </w:pPr>
            <w:r w:rsidRPr="00D34DE2">
              <w:t>47</w:t>
            </w:r>
          </w:p>
        </w:tc>
        <w:tc>
          <w:tcPr>
            <w:tcW w:w="713" w:type="pct"/>
            <w:tcBorders>
              <w:top w:val="single" w:sz="4" w:space="0" w:color="FFFFFF" w:themeColor="background1"/>
              <w:bottom w:val="single" w:sz="4" w:space="0" w:color="FFFFFF" w:themeColor="background1"/>
            </w:tcBorders>
          </w:tcPr>
          <w:p w14:paraId="468BB2B5" w14:textId="6FD60039" w:rsidR="002F27DD" w:rsidRPr="00C625CB" w:rsidRDefault="00C625CB" w:rsidP="007A0718">
            <w:pPr>
              <w:pStyle w:val="Tablebodytextnospaceafter"/>
              <w:jc w:val="right"/>
              <w:rPr>
                <w:bCs/>
              </w:rPr>
            </w:pPr>
            <w:r>
              <w:rPr>
                <w:bCs/>
              </w:rPr>
              <w:t>-</w:t>
            </w:r>
          </w:p>
        </w:tc>
        <w:tc>
          <w:tcPr>
            <w:tcW w:w="635" w:type="pct"/>
            <w:tcBorders>
              <w:top w:val="single" w:sz="4" w:space="0" w:color="FFFFFF" w:themeColor="background1"/>
              <w:bottom w:val="single" w:sz="4" w:space="0" w:color="FFFFFF" w:themeColor="background1"/>
            </w:tcBorders>
          </w:tcPr>
          <w:p w14:paraId="7853ACF5" w14:textId="4DFFE2D7" w:rsidR="002F27DD" w:rsidRPr="00C625CB" w:rsidRDefault="00C625CB" w:rsidP="007A0718">
            <w:pPr>
              <w:pStyle w:val="Tablebodytextnospaceafter"/>
              <w:jc w:val="right"/>
              <w:rPr>
                <w:bCs/>
              </w:rPr>
            </w:pPr>
            <w:r>
              <w:rPr>
                <w:bCs/>
              </w:rPr>
              <w:t>-</w:t>
            </w:r>
          </w:p>
        </w:tc>
      </w:tr>
      <w:tr w:rsidR="002F27DD" w14:paraId="07CE8010" w14:textId="77777777" w:rsidTr="00E039F4">
        <w:trPr>
          <w:cnfStyle w:val="000000100000" w:firstRow="0" w:lastRow="0" w:firstColumn="0" w:lastColumn="0" w:oddVBand="0" w:evenVBand="0" w:oddHBand="1" w:evenHBand="0" w:firstRowFirstColumn="0" w:firstRowLastColumn="0" w:lastRowFirstColumn="0" w:lastRowLastColumn="0"/>
          <w:trHeight w:val="60"/>
          <w:jc w:val="right"/>
        </w:trPr>
        <w:tc>
          <w:tcPr>
            <w:tcW w:w="707" w:type="pct"/>
            <w:tcBorders>
              <w:top w:val="single" w:sz="4" w:space="0" w:color="FFFFFF" w:themeColor="background1"/>
              <w:bottom w:val="single" w:sz="4" w:space="0" w:color="FFFFFF" w:themeColor="background1"/>
            </w:tcBorders>
            <w:shd w:val="clear" w:color="auto" w:fill="BFBFBF"/>
            <w:hideMark/>
          </w:tcPr>
          <w:p w14:paraId="6E10EB9F" w14:textId="77777777" w:rsidR="002F27DD" w:rsidRPr="00E21CFA" w:rsidRDefault="002F27DD" w:rsidP="007A0718">
            <w:pPr>
              <w:pStyle w:val="Tablebodytextnospaceafter"/>
              <w:jc w:val="right"/>
              <w:rPr>
                <w:u w:val="single"/>
              </w:rPr>
            </w:pPr>
            <w:r>
              <w:rPr>
                <w:rStyle w:val="Emphasis"/>
                <w:u w:val="single"/>
              </w:rPr>
              <w:t>12,539</w:t>
            </w:r>
          </w:p>
        </w:tc>
        <w:tc>
          <w:tcPr>
            <w:tcW w:w="1193" w:type="pct"/>
            <w:shd w:val="clear" w:color="auto" w:fill="BFBFBF"/>
            <w:hideMark/>
          </w:tcPr>
          <w:p w14:paraId="1A2C36CA" w14:textId="77777777" w:rsidR="002F27DD" w:rsidRDefault="002F27DD" w:rsidP="007A0718">
            <w:pPr>
              <w:pStyle w:val="Tablebodytextnospaceafter"/>
              <w:rPr>
                <w:rStyle w:val="Emphasis"/>
              </w:rPr>
            </w:pPr>
            <w:r>
              <w:rPr>
                <w:rStyle w:val="Emphasis"/>
              </w:rPr>
              <w:t>Total liabilities</w:t>
            </w:r>
          </w:p>
        </w:tc>
        <w:tc>
          <w:tcPr>
            <w:tcW w:w="457" w:type="pct"/>
            <w:shd w:val="clear" w:color="auto" w:fill="BFBFBF"/>
          </w:tcPr>
          <w:p w14:paraId="2D3E98F5" w14:textId="77777777" w:rsidR="002F27DD" w:rsidRDefault="002F27DD" w:rsidP="007A0718">
            <w:pPr>
              <w:pStyle w:val="Tablebodytextnospaceafter"/>
              <w:jc w:val="right"/>
            </w:pPr>
          </w:p>
        </w:tc>
        <w:tc>
          <w:tcPr>
            <w:tcW w:w="610" w:type="pct"/>
            <w:tcBorders>
              <w:top w:val="single" w:sz="4" w:space="0" w:color="FFFFFF" w:themeColor="background1"/>
              <w:bottom w:val="single" w:sz="4" w:space="0" w:color="FFFFFF" w:themeColor="background1"/>
            </w:tcBorders>
            <w:shd w:val="clear" w:color="auto" w:fill="BFBFBF"/>
          </w:tcPr>
          <w:p w14:paraId="557EC3F9" w14:textId="3FB8DD94" w:rsidR="002F27DD" w:rsidRPr="006E6720" w:rsidRDefault="005446C8" w:rsidP="007A0718">
            <w:pPr>
              <w:pStyle w:val="Tablebodytextnospaceafter"/>
              <w:jc w:val="right"/>
              <w:rPr>
                <w:rStyle w:val="Emphasis"/>
                <w:u w:val="single"/>
              </w:rPr>
            </w:pPr>
            <w:r>
              <w:rPr>
                <w:rStyle w:val="Emphasis"/>
                <w:u w:val="single"/>
              </w:rPr>
              <w:t>6,518</w:t>
            </w:r>
          </w:p>
        </w:tc>
        <w:tc>
          <w:tcPr>
            <w:tcW w:w="685" w:type="pct"/>
            <w:tcBorders>
              <w:top w:val="single" w:sz="4" w:space="0" w:color="FFFFFF" w:themeColor="background1"/>
              <w:bottom w:val="single" w:sz="4" w:space="0" w:color="FFFFFF" w:themeColor="background1"/>
            </w:tcBorders>
            <w:shd w:val="clear" w:color="auto" w:fill="BFBFBF"/>
            <w:hideMark/>
          </w:tcPr>
          <w:p w14:paraId="7B31008B" w14:textId="77777777" w:rsidR="002F27DD" w:rsidRPr="00337783" w:rsidRDefault="002F27DD" w:rsidP="007A0718">
            <w:pPr>
              <w:pStyle w:val="Tablebodytextnospaceafter"/>
              <w:jc w:val="right"/>
              <w:rPr>
                <w:b/>
                <w:u w:val="single"/>
              </w:rPr>
            </w:pPr>
            <w:r w:rsidRPr="00337783">
              <w:rPr>
                <w:b/>
                <w:u w:val="single"/>
              </w:rPr>
              <w:t>3,385</w:t>
            </w:r>
          </w:p>
        </w:tc>
        <w:tc>
          <w:tcPr>
            <w:tcW w:w="713" w:type="pct"/>
            <w:tcBorders>
              <w:top w:val="single" w:sz="4" w:space="0" w:color="FFFFFF" w:themeColor="background1"/>
              <w:bottom w:val="single" w:sz="4" w:space="0" w:color="FFFFFF" w:themeColor="background1"/>
            </w:tcBorders>
            <w:shd w:val="clear" w:color="auto" w:fill="BFBFBF"/>
          </w:tcPr>
          <w:p w14:paraId="21EED394" w14:textId="77777777" w:rsidR="002F27DD" w:rsidRPr="00B6702A" w:rsidRDefault="002F27DD" w:rsidP="007A0718">
            <w:pPr>
              <w:pStyle w:val="Tablebodytextnospaceafter"/>
              <w:jc w:val="right"/>
              <w:rPr>
                <w:b/>
                <w:u w:val="single"/>
              </w:rPr>
            </w:pPr>
            <w:r>
              <w:rPr>
                <w:b/>
                <w:u w:val="single"/>
              </w:rPr>
              <w:t>3,566</w:t>
            </w:r>
          </w:p>
        </w:tc>
        <w:tc>
          <w:tcPr>
            <w:tcW w:w="635" w:type="pct"/>
            <w:tcBorders>
              <w:top w:val="single" w:sz="4" w:space="0" w:color="FFFFFF" w:themeColor="background1"/>
              <w:bottom w:val="single" w:sz="4" w:space="0" w:color="FFFFFF" w:themeColor="background1"/>
            </w:tcBorders>
            <w:shd w:val="clear" w:color="auto" w:fill="BFBFBF"/>
          </w:tcPr>
          <w:p w14:paraId="62378AA3" w14:textId="77777777" w:rsidR="002F27DD" w:rsidRPr="00B6702A" w:rsidRDefault="002F27DD" w:rsidP="007A0718">
            <w:pPr>
              <w:pStyle w:val="Tablebodytextnospaceafter"/>
              <w:jc w:val="right"/>
              <w:rPr>
                <w:b/>
                <w:u w:val="single"/>
              </w:rPr>
            </w:pPr>
            <w:r>
              <w:rPr>
                <w:b/>
                <w:u w:val="single"/>
              </w:rPr>
              <w:t>3,523</w:t>
            </w:r>
          </w:p>
        </w:tc>
      </w:tr>
      <w:tr w:rsidR="002F27DD" w14:paraId="63A62467" w14:textId="77777777" w:rsidTr="00E039F4">
        <w:trPr>
          <w:cnfStyle w:val="000000010000" w:firstRow="0" w:lastRow="0" w:firstColumn="0" w:lastColumn="0" w:oddVBand="0" w:evenVBand="0" w:oddHBand="0" w:evenHBand="1" w:firstRowFirstColumn="0" w:firstRowLastColumn="0" w:lastRowFirstColumn="0" w:lastRowLastColumn="0"/>
          <w:trHeight w:val="60"/>
          <w:jc w:val="right"/>
        </w:trPr>
        <w:tc>
          <w:tcPr>
            <w:tcW w:w="707" w:type="pct"/>
            <w:tcBorders>
              <w:top w:val="single" w:sz="4" w:space="0" w:color="FFFFFF" w:themeColor="background1"/>
              <w:bottom w:val="single" w:sz="4" w:space="0" w:color="FFFFFF" w:themeColor="background1"/>
            </w:tcBorders>
            <w:shd w:val="clear" w:color="auto" w:fill="BFBFBF"/>
            <w:hideMark/>
          </w:tcPr>
          <w:p w14:paraId="1813880F" w14:textId="77777777" w:rsidR="002F27DD" w:rsidRPr="00E21CFA" w:rsidRDefault="002F27DD" w:rsidP="007A0718">
            <w:pPr>
              <w:pStyle w:val="Tablebodytextnospaceafter"/>
              <w:jc w:val="right"/>
              <w:rPr>
                <w:u w:val="single"/>
              </w:rPr>
            </w:pPr>
            <w:r>
              <w:rPr>
                <w:rStyle w:val="Emphasis"/>
                <w:u w:val="single"/>
              </w:rPr>
              <w:t>15,023</w:t>
            </w:r>
          </w:p>
        </w:tc>
        <w:tc>
          <w:tcPr>
            <w:tcW w:w="1193" w:type="pct"/>
            <w:tcBorders>
              <w:bottom w:val="single" w:sz="4" w:space="0" w:color="FFFFFF" w:themeColor="background1"/>
            </w:tcBorders>
            <w:shd w:val="clear" w:color="auto" w:fill="BFBFBF"/>
            <w:hideMark/>
          </w:tcPr>
          <w:p w14:paraId="40575B4D" w14:textId="77777777" w:rsidR="002F27DD" w:rsidRDefault="002F27DD" w:rsidP="007A0718">
            <w:pPr>
              <w:pStyle w:val="Tablebodytextnospaceafter"/>
              <w:rPr>
                <w:rStyle w:val="Emphasis"/>
              </w:rPr>
            </w:pPr>
            <w:r>
              <w:rPr>
                <w:rStyle w:val="Emphasis"/>
              </w:rPr>
              <w:t>Net assets</w:t>
            </w:r>
          </w:p>
        </w:tc>
        <w:tc>
          <w:tcPr>
            <w:tcW w:w="457" w:type="pct"/>
            <w:tcBorders>
              <w:bottom w:val="single" w:sz="4" w:space="0" w:color="FFFFFF" w:themeColor="background1"/>
            </w:tcBorders>
            <w:shd w:val="clear" w:color="auto" w:fill="BFBFBF"/>
          </w:tcPr>
          <w:p w14:paraId="7256671F" w14:textId="77777777" w:rsidR="002F27DD" w:rsidRDefault="002F27DD" w:rsidP="007A0718">
            <w:pPr>
              <w:pStyle w:val="Tablebodytextnospaceafter"/>
              <w:jc w:val="right"/>
            </w:pPr>
          </w:p>
        </w:tc>
        <w:tc>
          <w:tcPr>
            <w:tcW w:w="610" w:type="pct"/>
            <w:tcBorders>
              <w:top w:val="single" w:sz="4" w:space="0" w:color="FFFFFF" w:themeColor="background1"/>
              <w:bottom w:val="single" w:sz="4" w:space="0" w:color="FFFFFF" w:themeColor="background1"/>
            </w:tcBorders>
            <w:shd w:val="clear" w:color="auto" w:fill="BFBFBF"/>
            <w:hideMark/>
          </w:tcPr>
          <w:p w14:paraId="77BEFB68" w14:textId="77777777" w:rsidR="002F27DD" w:rsidRPr="006E6720" w:rsidRDefault="002F27DD" w:rsidP="007A0718">
            <w:pPr>
              <w:pStyle w:val="Tablebodytextnospaceafter"/>
              <w:jc w:val="right"/>
              <w:rPr>
                <w:rStyle w:val="Emphasis"/>
                <w:u w:val="single"/>
              </w:rPr>
            </w:pPr>
            <w:r>
              <w:rPr>
                <w:rStyle w:val="Emphasis"/>
                <w:u w:val="single"/>
              </w:rPr>
              <w:t>15,023</w:t>
            </w:r>
          </w:p>
        </w:tc>
        <w:tc>
          <w:tcPr>
            <w:tcW w:w="685" w:type="pct"/>
            <w:tcBorders>
              <w:top w:val="single" w:sz="4" w:space="0" w:color="FFFFFF" w:themeColor="background1"/>
              <w:bottom w:val="single" w:sz="4" w:space="0" w:color="FFFFFF" w:themeColor="background1"/>
            </w:tcBorders>
            <w:shd w:val="clear" w:color="auto" w:fill="BFBFBF"/>
            <w:hideMark/>
          </w:tcPr>
          <w:p w14:paraId="74BFBB64" w14:textId="77777777" w:rsidR="002F27DD" w:rsidRPr="00B6702A" w:rsidRDefault="002F27DD" w:rsidP="007A0718">
            <w:pPr>
              <w:pStyle w:val="Tablebodytextnospaceafter"/>
              <w:jc w:val="right"/>
              <w:rPr>
                <w:b/>
                <w:highlight w:val="yellow"/>
              </w:rPr>
            </w:pPr>
            <w:r>
              <w:rPr>
                <w:b/>
                <w:u w:val="single"/>
              </w:rPr>
              <w:t>15,023</w:t>
            </w:r>
          </w:p>
        </w:tc>
        <w:tc>
          <w:tcPr>
            <w:tcW w:w="713" w:type="pct"/>
            <w:tcBorders>
              <w:top w:val="single" w:sz="4" w:space="0" w:color="FFFFFF" w:themeColor="background1"/>
              <w:bottom w:val="single" w:sz="4" w:space="0" w:color="FFFFFF" w:themeColor="background1"/>
            </w:tcBorders>
            <w:shd w:val="clear" w:color="auto" w:fill="BFBFBF"/>
          </w:tcPr>
          <w:p w14:paraId="7A84D9D8" w14:textId="77777777" w:rsidR="002F27DD" w:rsidRPr="00B6702A" w:rsidRDefault="002F27DD" w:rsidP="007A0718">
            <w:pPr>
              <w:pStyle w:val="Tablebodytextnospaceafter"/>
              <w:jc w:val="right"/>
              <w:rPr>
                <w:b/>
                <w:u w:val="single"/>
              </w:rPr>
            </w:pPr>
            <w:r>
              <w:rPr>
                <w:b/>
                <w:u w:val="single"/>
              </w:rPr>
              <w:t>15,023</w:t>
            </w:r>
          </w:p>
        </w:tc>
        <w:tc>
          <w:tcPr>
            <w:tcW w:w="635" w:type="pct"/>
            <w:tcBorders>
              <w:top w:val="single" w:sz="4" w:space="0" w:color="FFFFFF" w:themeColor="background1"/>
              <w:bottom w:val="single" w:sz="4" w:space="0" w:color="FFFFFF" w:themeColor="background1"/>
            </w:tcBorders>
            <w:shd w:val="clear" w:color="auto" w:fill="BFBFBF"/>
          </w:tcPr>
          <w:p w14:paraId="55A630AC" w14:textId="77777777" w:rsidR="002F27DD" w:rsidRPr="00B6702A" w:rsidRDefault="002F27DD" w:rsidP="007A0718">
            <w:pPr>
              <w:pStyle w:val="Tablebodytextnospaceafter"/>
              <w:jc w:val="right"/>
              <w:rPr>
                <w:b/>
                <w:u w:val="single"/>
              </w:rPr>
            </w:pPr>
            <w:r>
              <w:rPr>
                <w:b/>
                <w:u w:val="single"/>
              </w:rPr>
              <w:t>8,023</w:t>
            </w:r>
          </w:p>
        </w:tc>
      </w:tr>
      <w:tr w:rsidR="002F27DD" w14:paraId="41669C97" w14:textId="77777777" w:rsidTr="00E039F4">
        <w:trPr>
          <w:cnfStyle w:val="000000100000" w:firstRow="0" w:lastRow="0" w:firstColumn="0" w:lastColumn="0" w:oddVBand="0" w:evenVBand="0" w:oddHBand="1" w:evenHBand="0" w:firstRowFirstColumn="0" w:firstRowLastColumn="0" w:lastRowFirstColumn="0" w:lastRowLastColumn="0"/>
          <w:trHeight w:val="295"/>
          <w:jc w:val="right"/>
        </w:trPr>
        <w:tc>
          <w:tcPr>
            <w:tcW w:w="707" w:type="pct"/>
            <w:tcBorders>
              <w:bottom w:val="single" w:sz="4" w:space="0" w:color="FFFFFF" w:themeColor="background1"/>
              <w:right w:val="single" w:sz="4" w:space="0" w:color="FFFFFF" w:themeColor="background1"/>
            </w:tcBorders>
            <w:hideMark/>
          </w:tcPr>
          <w:p w14:paraId="77CF6F29" w14:textId="77777777" w:rsidR="002F27DD" w:rsidRPr="00D34DE2" w:rsidRDefault="002F27DD" w:rsidP="007A0718">
            <w:pPr>
              <w:pStyle w:val="Tablebodytextnospaceafter"/>
              <w:jc w:val="right"/>
            </w:pPr>
            <w:r w:rsidRPr="00D34DE2">
              <w:rPr>
                <w:rStyle w:val="Emphasis"/>
                <w:b w:val="0"/>
                <w:bCs w:val="0"/>
              </w:rPr>
              <w:t>15,023</w:t>
            </w:r>
          </w:p>
        </w:tc>
        <w:tc>
          <w:tcPr>
            <w:tcW w:w="119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BE87FBD" w14:textId="77777777" w:rsidR="002F27DD" w:rsidRPr="00D34DE2" w:rsidRDefault="002F27DD" w:rsidP="007A0718">
            <w:pPr>
              <w:pStyle w:val="Tablebodytextnospaceafter"/>
            </w:pPr>
            <w:r w:rsidRPr="00D34DE2">
              <w:t>General funds</w:t>
            </w:r>
          </w:p>
        </w:tc>
        <w:tc>
          <w:tcPr>
            <w:tcW w:w="4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1795BA3" w14:textId="77777777" w:rsidR="002F27DD" w:rsidRPr="00D34DE2" w:rsidRDefault="002F27DD" w:rsidP="007A0718">
            <w:pPr>
              <w:pStyle w:val="Tablebodytextnospaceafter"/>
              <w:jc w:val="right"/>
            </w:pPr>
            <w:r w:rsidRPr="00D34DE2">
              <w:t>12</w:t>
            </w:r>
          </w:p>
        </w:tc>
        <w:tc>
          <w:tcPr>
            <w:tcW w:w="610" w:type="pct"/>
            <w:tcBorders>
              <w:top w:val="single" w:sz="4" w:space="0" w:color="FFFFFF" w:themeColor="background1"/>
              <w:left w:val="single" w:sz="4" w:space="0" w:color="FFFFFF" w:themeColor="background1"/>
              <w:bottom w:val="single" w:sz="4" w:space="0" w:color="FFFFFF" w:themeColor="background1"/>
            </w:tcBorders>
          </w:tcPr>
          <w:p w14:paraId="37BD5E4C" w14:textId="77777777" w:rsidR="002F27DD" w:rsidRPr="00D34DE2" w:rsidRDefault="002F27DD" w:rsidP="007A0718">
            <w:pPr>
              <w:pStyle w:val="Tablebodytextnospaceafter"/>
              <w:jc w:val="right"/>
              <w:rPr>
                <w:rStyle w:val="Emphasis"/>
                <w:b w:val="0"/>
                <w:bCs w:val="0"/>
              </w:rPr>
            </w:pPr>
            <w:r w:rsidRPr="00D34DE2">
              <w:rPr>
                <w:rStyle w:val="Emphasis"/>
                <w:b w:val="0"/>
                <w:bCs w:val="0"/>
              </w:rPr>
              <w:t>15,023</w:t>
            </w:r>
          </w:p>
        </w:tc>
        <w:tc>
          <w:tcPr>
            <w:tcW w:w="685" w:type="pct"/>
            <w:tcBorders>
              <w:left w:val="nil"/>
              <w:bottom w:val="single" w:sz="4" w:space="0" w:color="FFFFFF" w:themeColor="background1"/>
            </w:tcBorders>
            <w:hideMark/>
          </w:tcPr>
          <w:p w14:paraId="76D75A87" w14:textId="77777777" w:rsidR="002F27DD" w:rsidRPr="00D34DE2" w:rsidRDefault="002F27DD" w:rsidP="007A0718">
            <w:pPr>
              <w:pStyle w:val="Tablebodytextnospaceafter"/>
              <w:jc w:val="right"/>
            </w:pPr>
            <w:r w:rsidRPr="00D34DE2">
              <w:t>15,023</w:t>
            </w:r>
          </w:p>
        </w:tc>
        <w:tc>
          <w:tcPr>
            <w:tcW w:w="713" w:type="pct"/>
            <w:tcBorders>
              <w:bottom w:val="single" w:sz="4" w:space="0" w:color="FFFFFF" w:themeColor="background1"/>
            </w:tcBorders>
          </w:tcPr>
          <w:p w14:paraId="3EB8F3D7" w14:textId="77777777" w:rsidR="002F27DD" w:rsidRPr="00D34DE2" w:rsidRDefault="002F27DD" w:rsidP="007A0718">
            <w:pPr>
              <w:pStyle w:val="Tablebodytextnospaceafter"/>
              <w:jc w:val="right"/>
            </w:pPr>
            <w:r w:rsidRPr="00D34DE2">
              <w:t>15,023</w:t>
            </w:r>
          </w:p>
        </w:tc>
        <w:tc>
          <w:tcPr>
            <w:tcW w:w="635" w:type="pct"/>
            <w:tcBorders>
              <w:bottom w:val="single" w:sz="4" w:space="0" w:color="FFFFFF" w:themeColor="background1"/>
            </w:tcBorders>
          </w:tcPr>
          <w:p w14:paraId="586F5040" w14:textId="77777777" w:rsidR="002F27DD" w:rsidRPr="00D34DE2" w:rsidRDefault="002F27DD" w:rsidP="007A0718">
            <w:pPr>
              <w:pStyle w:val="Tablebodytextnospaceafter"/>
              <w:jc w:val="right"/>
            </w:pPr>
            <w:r w:rsidRPr="00D34DE2">
              <w:t>8,023</w:t>
            </w:r>
          </w:p>
        </w:tc>
      </w:tr>
      <w:tr w:rsidR="00AF63CE" w14:paraId="2399CBB2" w14:textId="77777777" w:rsidTr="00E039F4">
        <w:trPr>
          <w:cnfStyle w:val="000000010000" w:firstRow="0" w:lastRow="0" w:firstColumn="0" w:lastColumn="0" w:oddVBand="0" w:evenVBand="0" w:oddHBand="0" w:evenHBand="1" w:firstRowFirstColumn="0" w:firstRowLastColumn="0" w:lastRowFirstColumn="0" w:lastRowLastColumn="0"/>
          <w:trHeight w:val="295"/>
          <w:jc w:val="right"/>
        </w:trPr>
        <w:tc>
          <w:tcPr>
            <w:tcW w:w="707" w:type="pct"/>
            <w:tcBorders>
              <w:top w:val="single" w:sz="4" w:space="0" w:color="FFFFFF" w:themeColor="background1"/>
              <w:bottom w:val="single" w:sz="4" w:space="0" w:color="FFFFFF" w:themeColor="background1"/>
              <w:right w:val="single" w:sz="4" w:space="0" w:color="FFFFFF" w:themeColor="background1"/>
            </w:tcBorders>
            <w:shd w:val="clear" w:color="auto" w:fill="BFBFBF"/>
            <w:hideMark/>
          </w:tcPr>
          <w:p w14:paraId="18921191" w14:textId="77777777" w:rsidR="002F27DD" w:rsidRPr="00E21CFA" w:rsidRDefault="002F27DD" w:rsidP="007A0718">
            <w:pPr>
              <w:pStyle w:val="Tablebodytextnospaceafter"/>
              <w:jc w:val="right"/>
              <w:rPr>
                <w:u w:val="single"/>
              </w:rPr>
            </w:pPr>
            <w:r>
              <w:rPr>
                <w:rStyle w:val="Emphasis"/>
                <w:u w:val="single"/>
              </w:rPr>
              <w:t>15,023</w:t>
            </w:r>
          </w:p>
        </w:tc>
        <w:tc>
          <w:tcPr>
            <w:tcW w:w="119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hideMark/>
          </w:tcPr>
          <w:p w14:paraId="36B8B0CF" w14:textId="77777777" w:rsidR="002F27DD" w:rsidRDefault="002F27DD" w:rsidP="007A0718">
            <w:pPr>
              <w:pStyle w:val="Tablebodytextnospaceafter"/>
              <w:rPr>
                <w:i/>
              </w:rPr>
            </w:pPr>
            <w:r>
              <w:rPr>
                <w:i/>
              </w:rPr>
              <w:t>Total Equity</w:t>
            </w:r>
          </w:p>
        </w:tc>
        <w:tc>
          <w:tcPr>
            <w:tcW w:w="4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cPr>
          <w:p w14:paraId="6663B376" w14:textId="77777777" w:rsidR="002F27DD" w:rsidRDefault="002F27DD" w:rsidP="007A0718">
            <w:pPr>
              <w:pStyle w:val="Tablebodytextnospaceafter"/>
              <w:jc w:val="right"/>
            </w:pPr>
          </w:p>
        </w:tc>
        <w:tc>
          <w:tcPr>
            <w:tcW w:w="610" w:type="pct"/>
            <w:tcBorders>
              <w:top w:val="single" w:sz="4" w:space="0" w:color="FFFFFF" w:themeColor="background1"/>
              <w:left w:val="single" w:sz="4" w:space="0" w:color="FFFFFF" w:themeColor="background1"/>
              <w:bottom w:val="single" w:sz="4" w:space="0" w:color="FFFFFF" w:themeColor="background1"/>
            </w:tcBorders>
            <w:shd w:val="clear" w:color="auto" w:fill="BFBFBF"/>
          </w:tcPr>
          <w:p w14:paraId="19E8B3E6" w14:textId="77777777" w:rsidR="002F27DD" w:rsidRDefault="002F27DD" w:rsidP="007A0718">
            <w:pPr>
              <w:pStyle w:val="Tablebodytextnospaceafter"/>
              <w:jc w:val="right"/>
              <w:rPr>
                <w:rStyle w:val="Emphasis"/>
                <w:u w:val="single"/>
              </w:rPr>
            </w:pPr>
            <w:r>
              <w:rPr>
                <w:rStyle w:val="Emphasis"/>
                <w:u w:val="single"/>
              </w:rPr>
              <w:t>15,023</w:t>
            </w:r>
          </w:p>
        </w:tc>
        <w:tc>
          <w:tcPr>
            <w:tcW w:w="685" w:type="pct"/>
            <w:tcBorders>
              <w:top w:val="single" w:sz="4" w:space="0" w:color="FFFFFF" w:themeColor="background1"/>
              <w:bottom w:val="single" w:sz="4" w:space="0" w:color="FFFFFF" w:themeColor="background1"/>
            </w:tcBorders>
            <w:shd w:val="clear" w:color="auto" w:fill="BFBFBF"/>
            <w:hideMark/>
          </w:tcPr>
          <w:p w14:paraId="0F4A45F7" w14:textId="77777777" w:rsidR="002F27DD" w:rsidRPr="00B6702A" w:rsidRDefault="002F27DD" w:rsidP="007A0718">
            <w:pPr>
              <w:pStyle w:val="Tablebodytextnospaceafter"/>
              <w:jc w:val="right"/>
              <w:rPr>
                <w:b/>
              </w:rPr>
            </w:pPr>
            <w:r>
              <w:rPr>
                <w:b/>
                <w:u w:val="single"/>
              </w:rPr>
              <w:t>15,023</w:t>
            </w:r>
          </w:p>
        </w:tc>
        <w:tc>
          <w:tcPr>
            <w:tcW w:w="713" w:type="pct"/>
            <w:tcBorders>
              <w:top w:val="single" w:sz="4" w:space="0" w:color="FFFFFF" w:themeColor="background1"/>
              <w:bottom w:val="single" w:sz="4" w:space="0" w:color="FFFFFF" w:themeColor="background1"/>
            </w:tcBorders>
            <w:shd w:val="clear" w:color="auto" w:fill="BFBFBF"/>
          </w:tcPr>
          <w:p w14:paraId="2F6ACC2E" w14:textId="77777777" w:rsidR="002F27DD" w:rsidRPr="00B6702A" w:rsidRDefault="002F27DD" w:rsidP="007A0718">
            <w:pPr>
              <w:pStyle w:val="Tablebodytextnospaceafter"/>
              <w:jc w:val="right"/>
              <w:rPr>
                <w:b/>
                <w:u w:val="single"/>
              </w:rPr>
            </w:pPr>
            <w:r>
              <w:rPr>
                <w:b/>
                <w:u w:val="single"/>
              </w:rPr>
              <w:t>15,023</w:t>
            </w:r>
          </w:p>
        </w:tc>
        <w:tc>
          <w:tcPr>
            <w:tcW w:w="635" w:type="pct"/>
            <w:tcBorders>
              <w:top w:val="single" w:sz="4" w:space="0" w:color="FFFFFF" w:themeColor="background1"/>
              <w:bottom w:val="single" w:sz="4" w:space="0" w:color="FFFFFF" w:themeColor="background1"/>
            </w:tcBorders>
            <w:shd w:val="clear" w:color="auto" w:fill="BFBFBF"/>
          </w:tcPr>
          <w:p w14:paraId="2F27C413" w14:textId="77777777" w:rsidR="002F27DD" w:rsidRPr="00B6702A" w:rsidRDefault="002F27DD" w:rsidP="007A0718">
            <w:pPr>
              <w:pStyle w:val="Tablebodytextnospaceafter"/>
              <w:jc w:val="right"/>
              <w:rPr>
                <w:b/>
                <w:u w:val="single"/>
              </w:rPr>
            </w:pPr>
            <w:r>
              <w:rPr>
                <w:b/>
                <w:u w:val="single"/>
              </w:rPr>
              <w:t>8,023</w:t>
            </w:r>
          </w:p>
        </w:tc>
      </w:tr>
    </w:tbl>
    <w:p w14:paraId="6C24D3F1" w14:textId="3DC89AC3" w:rsidR="00D673D9" w:rsidRPr="000F14F7" w:rsidRDefault="00D673D9" w:rsidP="002F27DD">
      <w:pPr>
        <w:pStyle w:val="BodyText"/>
        <w:rPr>
          <w:rStyle w:val="Italics"/>
          <w:i w:val="0"/>
          <w:iCs/>
          <w:sz w:val="22"/>
        </w:rPr>
      </w:pPr>
      <w:r w:rsidRPr="000F14F7">
        <w:rPr>
          <w:rStyle w:val="Italics"/>
          <w:i w:val="0"/>
          <w:iCs/>
          <w:sz w:val="22"/>
        </w:rPr>
        <w:t>* Unaudited.</w:t>
      </w:r>
    </w:p>
    <w:p w14:paraId="16AB4D82" w14:textId="21238EAA" w:rsidR="002F27DD" w:rsidRPr="000F14F7" w:rsidRDefault="002F27DD" w:rsidP="002F27DD">
      <w:pPr>
        <w:pStyle w:val="BodyText"/>
        <w:rPr>
          <w:i/>
          <w:iCs/>
          <w:sz w:val="22"/>
        </w:rPr>
      </w:pPr>
      <w:r w:rsidRPr="000F14F7">
        <w:rPr>
          <w:rStyle w:val="Italics"/>
          <w:i w:val="0"/>
          <w:iCs/>
          <w:sz w:val="22"/>
        </w:rPr>
        <w:t>^ This current liability has no liquidity impact.</w:t>
      </w:r>
    </w:p>
    <w:p w14:paraId="4567B15B" w14:textId="30F69211" w:rsidR="00623386" w:rsidRPr="000F14F7" w:rsidRDefault="002F27DD" w:rsidP="00E423CB">
      <w:pPr>
        <w:pStyle w:val="BodyText"/>
        <w:rPr>
          <w:sz w:val="22"/>
        </w:rPr>
      </w:pPr>
      <w:r w:rsidRPr="000F14F7">
        <w:rPr>
          <w:sz w:val="22"/>
        </w:rPr>
        <w:t xml:space="preserve">Explanations of major variances against the original 2025/26 budget are provided in Note 17. </w:t>
      </w:r>
      <w:bookmarkStart w:id="81" w:name="_Statement_of_changes"/>
      <w:bookmarkEnd w:id="81"/>
    </w:p>
    <w:p w14:paraId="57763858" w14:textId="00436DA9" w:rsidR="00E423CB" w:rsidRDefault="00E423CB" w:rsidP="00623386">
      <w:pPr>
        <w:pStyle w:val="Heading2"/>
      </w:pPr>
      <w:bookmarkStart w:id="82" w:name="_Statement_of_changes_1"/>
      <w:bookmarkEnd w:id="82"/>
      <w:r>
        <w:t xml:space="preserve">Statement of changes in equity </w:t>
      </w:r>
      <w:r w:rsidR="007A480D">
        <w:t xml:space="preserve">as </w:t>
      </w:r>
      <w:proofErr w:type="gramStart"/>
      <w:r w:rsidR="007A480D">
        <w:t>at</w:t>
      </w:r>
      <w:proofErr w:type="gramEnd"/>
      <w:r w:rsidR="007A480D">
        <w:t xml:space="preserve"> 30 June 2026</w:t>
      </w:r>
    </w:p>
    <w:tbl>
      <w:tblPr>
        <w:tblStyle w:val="TableGridAnnualReport3"/>
        <w:tblW w:w="9299" w:type="dxa"/>
        <w:jc w:val="center"/>
        <w:tblInd w:w="0" w:type="dxa"/>
        <w:tblLayout w:type="fixed"/>
        <w:tblLook w:val="04A0" w:firstRow="1" w:lastRow="0" w:firstColumn="1" w:lastColumn="0" w:noHBand="0" w:noVBand="1"/>
      </w:tblPr>
      <w:tblGrid>
        <w:gridCol w:w="1133"/>
        <w:gridCol w:w="2401"/>
        <w:gridCol w:w="852"/>
        <w:gridCol w:w="1134"/>
        <w:gridCol w:w="1274"/>
        <w:gridCol w:w="1278"/>
        <w:gridCol w:w="1227"/>
      </w:tblGrid>
      <w:tr w:rsidR="00D673D9" w:rsidRPr="005A7924" w14:paraId="0A94C949" w14:textId="77777777" w:rsidTr="00D673D9">
        <w:trPr>
          <w:cnfStyle w:val="100000000000" w:firstRow="1" w:lastRow="0" w:firstColumn="0" w:lastColumn="0" w:oddVBand="0" w:evenVBand="0" w:oddHBand="0" w:evenHBand="0" w:firstRowFirstColumn="0" w:firstRowLastColumn="0" w:lastRowFirstColumn="0" w:lastRowLastColumn="0"/>
          <w:trHeight w:val="960"/>
          <w:jc w:val="center"/>
        </w:trPr>
        <w:tc>
          <w:tcPr>
            <w:cnfStyle w:val="001000000000" w:firstRow="0" w:lastRow="0" w:firstColumn="1" w:lastColumn="0" w:oddVBand="0" w:evenVBand="0" w:oddHBand="0" w:evenHBand="0" w:firstRowFirstColumn="0" w:firstRowLastColumn="0" w:lastRowFirstColumn="0" w:lastRowLastColumn="0"/>
            <w:tcW w:w="609" w:type="pct"/>
            <w:shd w:val="clear" w:color="auto" w:fill="017E5D"/>
            <w:hideMark/>
          </w:tcPr>
          <w:p w14:paraId="14A8BEE8" w14:textId="77777777" w:rsidR="00D673D9" w:rsidRPr="00D673D9" w:rsidRDefault="00D673D9" w:rsidP="00D673D9">
            <w:pPr>
              <w:pStyle w:val="Tableheadingrow1"/>
              <w:jc w:val="right"/>
              <w:rPr>
                <w:sz w:val="22"/>
              </w:rPr>
            </w:pPr>
            <w:bookmarkStart w:id="83" w:name="_Statement_of_cash"/>
            <w:bookmarkEnd w:id="83"/>
            <w:r w:rsidRPr="00D673D9">
              <w:rPr>
                <w:sz w:val="22"/>
              </w:rPr>
              <w:t>Actual</w:t>
            </w:r>
          </w:p>
          <w:p w14:paraId="28B09596" w14:textId="77777777" w:rsidR="00D673D9" w:rsidRPr="00D673D9" w:rsidRDefault="00D673D9" w:rsidP="00D673D9">
            <w:pPr>
              <w:pStyle w:val="Tableheadingrow1"/>
              <w:jc w:val="right"/>
              <w:rPr>
                <w:sz w:val="22"/>
              </w:rPr>
            </w:pPr>
            <w:r w:rsidRPr="00D673D9">
              <w:rPr>
                <w:sz w:val="22"/>
              </w:rPr>
              <w:t>2024/25</w:t>
            </w:r>
            <w:r w:rsidRPr="00D673D9">
              <w:rPr>
                <w:sz w:val="22"/>
              </w:rPr>
              <w:br/>
            </w:r>
            <w:r w:rsidRPr="00D673D9">
              <w:rPr>
                <w:sz w:val="22"/>
              </w:rPr>
              <w:br/>
            </w:r>
            <w:r w:rsidRPr="00D673D9">
              <w:rPr>
                <w:sz w:val="22"/>
              </w:rPr>
              <w:br/>
              <w:t>$(000)</w:t>
            </w:r>
          </w:p>
        </w:tc>
        <w:tc>
          <w:tcPr>
            <w:tcW w:w="1291" w:type="pct"/>
            <w:shd w:val="clear" w:color="auto" w:fill="017E5D"/>
          </w:tcPr>
          <w:p w14:paraId="19676407"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p>
        </w:tc>
        <w:tc>
          <w:tcPr>
            <w:tcW w:w="458" w:type="pct"/>
            <w:shd w:val="clear" w:color="auto" w:fill="017E5D"/>
            <w:hideMark/>
          </w:tcPr>
          <w:p w14:paraId="2E750D6D"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Notes</w:t>
            </w:r>
          </w:p>
        </w:tc>
        <w:tc>
          <w:tcPr>
            <w:tcW w:w="610" w:type="pct"/>
            <w:shd w:val="clear" w:color="auto" w:fill="017E5D"/>
            <w:hideMark/>
          </w:tcPr>
          <w:p w14:paraId="02F66131"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Actual</w:t>
            </w:r>
          </w:p>
          <w:p w14:paraId="600F8F6B" w14:textId="40FB54F1"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2025/26</w:t>
            </w:r>
            <w:r w:rsidRPr="00D673D9">
              <w:rPr>
                <w:sz w:val="22"/>
              </w:rPr>
              <w:br/>
            </w:r>
            <w:r w:rsidRPr="00D673D9">
              <w:rPr>
                <w:sz w:val="22"/>
              </w:rPr>
              <w:br/>
            </w:r>
            <w:r w:rsidRPr="00D673D9">
              <w:rPr>
                <w:sz w:val="22"/>
              </w:rPr>
              <w:br/>
              <w:t>$(000)</w:t>
            </w:r>
          </w:p>
        </w:tc>
        <w:tc>
          <w:tcPr>
            <w:tcW w:w="685" w:type="pct"/>
            <w:shd w:val="clear" w:color="auto" w:fill="017E5D"/>
            <w:hideMark/>
          </w:tcPr>
          <w:p w14:paraId="7BF1B624"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Main</w:t>
            </w:r>
            <w:r w:rsidRPr="00D673D9">
              <w:rPr>
                <w:sz w:val="22"/>
              </w:rPr>
              <w:br/>
              <w:t>Estimates</w:t>
            </w:r>
          </w:p>
          <w:p w14:paraId="5CCDA14F" w14:textId="02E5878E"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2025/26*</w:t>
            </w:r>
            <w:r w:rsidRPr="00D673D9">
              <w:rPr>
                <w:sz w:val="22"/>
              </w:rPr>
              <w:br/>
            </w:r>
            <w:r w:rsidRPr="00D673D9">
              <w:rPr>
                <w:sz w:val="22"/>
              </w:rPr>
              <w:br/>
              <w:t>$(000)</w:t>
            </w:r>
          </w:p>
        </w:tc>
        <w:tc>
          <w:tcPr>
            <w:tcW w:w="687" w:type="pct"/>
            <w:shd w:val="clear" w:color="auto" w:fill="017E5D"/>
            <w:hideMark/>
          </w:tcPr>
          <w:p w14:paraId="765A5C2C"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Supp.</w:t>
            </w:r>
            <w:r w:rsidRPr="00D673D9">
              <w:rPr>
                <w:sz w:val="22"/>
              </w:rPr>
              <w:br/>
              <w:t>Estimates</w:t>
            </w:r>
          </w:p>
          <w:p w14:paraId="68FCFF24" w14:textId="038EFE92"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2025/26*</w:t>
            </w:r>
            <w:r w:rsidRPr="00D673D9">
              <w:rPr>
                <w:sz w:val="22"/>
              </w:rPr>
              <w:br/>
            </w:r>
            <w:r w:rsidRPr="00D673D9">
              <w:rPr>
                <w:sz w:val="22"/>
              </w:rPr>
              <w:br/>
              <w:t>$(000)</w:t>
            </w:r>
          </w:p>
        </w:tc>
        <w:tc>
          <w:tcPr>
            <w:tcW w:w="660" w:type="pct"/>
            <w:shd w:val="clear" w:color="auto" w:fill="017E5D"/>
            <w:hideMark/>
          </w:tcPr>
          <w:p w14:paraId="5460AE33"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rStyle w:val="FootnoteReference"/>
                <w:sz w:val="22"/>
              </w:rPr>
              <w:footnoteReference w:id="67"/>
            </w:r>
            <w:r w:rsidRPr="00D673D9">
              <w:rPr>
                <w:sz w:val="22"/>
              </w:rPr>
              <w:t>Main</w:t>
            </w:r>
            <w:r w:rsidRPr="00D673D9">
              <w:rPr>
                <w:sz w:val="22"/>
              </w:rPr>
              <w:br/>
              <w:t>Estimates</w:t>
            </w:r>
          </w:p>
          <w:p w14:paraId="1F5E955D" w14:textId="1C07CF1E"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2026/27*</w:t>
            </w:r>
            <w:r w:rsidRPr="00D673D9">
              <w:rPr>
                <w:sz w:val="22"/>
              </w:rPr>
              <w:br/>
            </w:r>
            <w:r w:rsidRPr="00D673D9">
              <w:rPr>
                <w:sz w:val="22"/>
              </w:rPr>
              <w:br/>
              <w:t>$(000)</w:t>
            </w:r>
          </w:p>
        </w:tc>
      </w:tr>
      <w:tr w:rsidR="00D02861" w14:paraId="53CDDF04" w14:textId="77777777" w:rsidTr="00D673D9">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609" w:type="pct"/>
            <w:tcBorders>
              <w:top w:val="single" w:sz="8" w:space="0" w:color="FFFFFF" w:themeColor="background1"/>
              <w:bottom w:val="single" w:sz="4" w:space="0" w:color="FFFFFF" w:themeColor="background1"/>
            </w:tcBorders>
            <w:hideMark/>
          </w:tcPr>
          <w:p w14:paraId="08FAA75A" w14:textId="77777777" w:rsidR="00C1082F" w:rsidRPr="009C7FCC" w:rsidRDefault="00C1082F" w:rsidP="007A0718">
            <w:pPr>
              <w:pStyle w:val="Tablebodytextnospaceafter"/>
              <w:jc w:val="right"/>
              <w:rPr>
                <w:b/>
                <w:bCs/>
              </w:rPr>
            </w:pPr>
            <w:r w:rsidRPr="009C7FCC">
              <w:rPr>
                <w:rStyle w:val="Emphasis"/>
                <w:b w:val="0"/>
                <w:bCs w:val="0"/>
              </w:rPr>
              <w:t>15,023</w:t>
            </w:r>
          </w:p>
        </w:tc>
        <w:tc>
          <w:tcPr>
            <w:tcW w:w="1291" w:type="pct"/>
            <w:tcBorders>
              <w:bottom w:val="single" w:sz="4" w:space="0" w:color="FFFFFF" w:themeColor="background1"/>
            </w:tcBorders>
            <w:shd w:val="clear" w:color="auto" w:fill="BFBFBF"/>
            <w:hideMark/>
          </w:tcPr>
          <w:p w14:paraId="12F2D328" w14:textId="77777777" w:rsidR="00C1082F" w:rsidRDefault="00C1082F"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r>
              <w:rPr>
                <w:rStyle w:val="Emphasis"/>
              </w:rPr>
              <w:t xml:space="preserve">Balance </w:t>
            </w:r>
            <w:proofErr w:type="gramStart"/>
            <w:r>
              <w:rPr>
                <w:rStyle w:val="Emphasis"/>
              </w:rPr>
              <w:t>at</w:t>
            </w:r>
            <w:proofErr w:type="gramEnd"/>
            <w:r>
              <w:rPr>
                <w:rStyle w:val="Emphasis"/>
              </w:rPr>
              <w:t xml:space="preserve"> 1 July</w:t>
            </w:r>
          </w:p>
        </w:tc>
        <w:tc>
          <w:tcPr>
            <w:tcW w:w="458" w:type="pct"/>
            <w:tcBorders>
              <w:bottom w:val="single" w:sz="4" w:space="0" w:color="FFFFFF" w:themeColor="background1"/>
            </w:tcBorders>
            <w:shd w:val="clear" w:color="auto" w:fill="BFBFBF"/>
          </w:tcPr>
          <w:p w14:paraId="089B667F"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p>
        </w:tc>
        <w:tc>
          <w:tcPr>
            <w:tcW w:w="610" w:type="pct"/>
            <w:tcBorders>
              <w:bottom w:val="single" w:sz="4" w:space="0" w:color="FFFFFF" w:themeColor="background1"/>
            </w:tcBorders>
            <w:shd w:val="clear" w:color="auto" w:fill="BFBFBF"/>
          </w:tcPr>
          <w:p w14:paraId="4CB7DC1F" w14:textId="77777777" w:rsidR="00C1082F" w:rsidRPr="009C7FCC"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bCs w:val="0"/>
              </w:rPr>
            </w:pPr>
            <w:r w:rsidRPr="009C7FCC">
              <w:rPr>
                <w:rStyle w:val="Emphasis"/>
                <w:b w:val="0"/>
                <w:bCs w:val="0"/>
              </w:rPr>
              <w:t>15,023</w:t>
            </w:r>
          </w:p>
        </w:tc>
        <w:tc>
          <w:tcPr>
            <w:tcW w:w="685" w:type="pct"/>
            <w:tcBorders>
              <w:bottom w:val="single" w:sz="4" w:space="0" w:color="FFFFFF" w:themeColor="background1"/>
            </w:tcBorders>
            <w:shd w:val="clear" w:color="auto" w:fill="BFBFBF"/>
            <w:hideMark/>
          </w:tcPr>
          <w:p w14:paraId="44845DC3"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15,023</w:t>
            </w:r>
          </w:p>
        </w:tc>
        <w:tc>
          <w:tcPr>
            <w:tcW w:w="687" w:type="pct"/>
            <w:tcBorders>
              <w:bottom w:val="single" w:sz="4" w:space="0" w:color="FFFFFF" w:themeColor="background1"/>
            </w:tcBorders>
            <w:shd w:val="clear" w:color="auto" w:fill="BFBFBF"/>
          </w:tcPr>
          <w:p w14:paraId="250DED24"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15,023</w:t>
            </w:r>
          </w:p>
        </w:tc>
        <w:tc>
          <w:tcPr>
            <w:tcW w:w="660" w:type="pct"/>
            <w:tcBorders>
              <w:bottom w:val="single" w:sz="4" w:space="0" w:color="FFFFFF" w:themeColor="background1"/>
            </w:tcBorders>
            <w:shd w:val="clear" w:color="auto" w:fill="BFBFBF"/>
          </w:tcPr>
          <w:p w14:paraId="224F35C1"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15,023</w:t>
            </w:r>
          </w:p>
        </w:tc>
      </w:tr>
      <w:tr w:rsidR="00C1082F" w14:paraId="35E491A3" w14:textId="77777777" w:rsidTr="00D673D9">
        <w:trPr>
          <w:cnfStyle w:val="000000010000" w:firstRow="0" w:lastRow="0" w:firstColumn="0" w:lastColumn="0" w:oddVBand="0" w:evenVBand="0" w:oddHBand="0" w:evenHBand="1"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609" w:type="pct"/>
            <w:tcBorders>
              <w:top w:val="single" w:sz="4" w:space="0" w:color="FFFFFF" w:themeColor="background1"/>
              <w:bottom w:val="single" w:sz="8" w:space="0" w:color="FFFFFF" w:themeColor="background1"/>
            </w:tcBorders>
            <w:shd w:val="clear" w:color="auto" w:fill="E9E9E9"/>
            <w:hideMark/>
          </w:tcPr>
          <w:p w14:paraId="1BF1753F" w14:textId="77777777" w:rsidR="00C1082F" w:rsidRPr="009C7FCC" w:rsidRDefault="00C1082F" w:rsidP="007A0718">
            <w:pPr>
              <w:pStyle w:val="Tablebodytextnospaceafter"/>
              <w:jc w:val="right"/>
              <w:rPr>
                <w:b/>
                <w:bCs/>
              </w:rPr>
            </w:pPr>
            <w:r w:rsidRPr="009C7FCC">
              <w:rPr>
                <w:rStyle w:val="Emphasis"/>
                <w:b w:val="0"/>
                <w:bCs w:val="0"/>
              </w:rPr>
              <w:t>7,462</w:t>
            </w:r>
          </w:p>
        </w:tc>
        <w:tc>
          <w:tcPr>
            <w:tcW w:w="1291" w:type="pct"/>
            <w:tcBorders>
              <w:top w:val="single" w:sz="4" w:space="0" w:color="FFFFFF" w:themeColor="background1"/>
            </w:tcBorders>
            <w:hideMark/>
          </w:tcPr>
          <w:p w14:paraId="192BAEBB" w14:textId="77777777" w:rsidR="00C1082F" w:rsidRDefault="00C1082F" w:rsidP="007A0718">
            <w:pPr>
              <w:pStyle w:val="Tablebodytextnospaceafter"/>
              <w:cnfStyle w:val="000000010000" w:firstRow="0" w:lastRow="0" w:firstColumn="0" w:lastColumn="0" w:oddVBand="0" w:evenVBand="0" w:oddHBand="0" w:evenHBand="1" w:firstRowFirstColumn="0" w:firstRowLastColumn="0" w:lastRowFirstColumn="0" w:lastRowLastColumn="0"/>
            </w:pPr>
            <w:r>
              <w:t>Total comprehensive revenue and expense for the year</w:t>
            </w:r>
          </w:p>
        </w:tc>
        <w:tc>
          <w:tcPr>
            <w:tcW w:w="458" w:type="pct"/>
            <w:tcBorders>
              <w:top w:val="single" w:sz="4" w:space="0" w:color="FFFFFF" w:themeColor="background1"/>
            </w:tcBorders>
          </w:tcPr>
          <w:p w14:paraId="3BDB024B"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p>
        </w:tc>
        <w:tc>
          <w:tcPr>
            <w:tcW w:w="610" w:type="pct"/>
            <w:tcBorders>
              <w:top w:val="single" w:sz="4" w:space="0" w:color="FFFFFF" w:themeColor="background1"/>
            </w:tcBorders>
          </w:tcPr>
          <w:p w14:paraId="5BF3C03A" w14:textId="03C0C194" w:rsidR="00C1082F" w:rsidRDefault="005446C8"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Pr>
                <w:rStyle w:val="Emphasis"/>
                <w:b w:val="0"/>
              </w:rPr>
              <w:t>2,071</w:t>
            </w:r>
          </w:p>
        </w:tc>
        <w:tc>
          <w:tcPr>
            <w:tcW w:w="685" w:type="pct"/>
            <w:tcBorders>
              <w:top w:val="single" w:sz="4" w:space="0" w:color="FFFFFF" w:themeColor="background1"/>
            </w:tcBorders>
            <w:hideMark/>
          </w:tcPr>
          <w:p w14:paraId="312247C3"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w:t>
            </w:r>
          </w:p>
        </w:tc>
        <w:tc>
          <w:tcPr>
            <w:tcW w:w="687" w:type="pct"/>
            <w:tcBorders>
              <w:top w:val="single" w:sz="4" w:space="0" w:color="FFFFFF" w:themeColor="background1"/>
            </w:tcBorders>
          </w:tcPr>
          <w:p w14:paraId="0B27E3C0"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w:t>
            </w:r>
          </w:p>
        </w:tc>
        <w:tc>
          <w:tcPr>
            <w:tcW w:w="660" w:type="pct"/>
            <w:tcBorders>
              <w:top w:val="single" w:sz="4" w:space="0" w:color="FFFFFF" w:themeColor="background1"/>
            </w:tcBorders>
          </w:tcPr>
          <w:p w14:paraId="14590369"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w:t>
            </w:r>
          </w:p>
        </w:tc>
      </w:tr>
      <w:tr w:rsidR="00C1082F" w14:paraId="1E3EF498" w14:textId="77777777" w:rsidTr="00D673D9">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609" w:type="pct"/>
            <w:tcBorders>
              <w:bottom w:val="single" w:sz="8" w:space="0" w:color="FFFFFF" w:themeColor="background1"/>
            </w:tcBorders>
            <w:shd w:val="clear" w:color="auto" w:fill="E9E9E9"/>
          </w:tcPr>
          <w:p w14:paraId="1CB3E06D" w14:textId="77777777" w:rsidR="00C1082F" w:rsidRPr="003A0074" w:rsidRDefault="00C1082F" w:rsidP="007A0718">
            <w:pPr>
              <w:pStyle w:val="Tablebodytextnospaceafter"/>
              <w:jc w:val="right"/>
            </w:pPr>
          </w:p>
        </w:tc>
        <w:tc>
          <w:tcPr>
            <w:tcW w:w="1291" w:type="pct"/>
            <w:hideMark/>
          </w:tcPr>
          <w:p w14:paraId="3BB570A4" w14:textId="77777777" w:rsidR="00C1082F" w:rsidRDefault="00C1082F"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r>
              <w:rPr>
                <w:rStyle w:val="Emphasis"/>
              </w:rPr>
              <w:t xml:space="preserve">Owner transactions </w:t>
            </w:r>
          </w:p>
        </w:tc>
        <w:tc>
          <w:tcPr>
            <w:tcW w:w="458" w:type="pct"/>
          </w:tcPr>
          <w:p w14:paraId="3AAF2283"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p>
        </w:tc>
        <w:tc>
          <w:tcPr>
            <w:tcW w:w="610" w:type="pct"/>
          </w:tcPr>
          <w:p w14:paraId="6BCBDABF"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p>
        </w:tc>
        <w:tc>
          <w:tcPr>
            <w:tcW w:w="685" w:type="pct"/>
          </w:tcPr>
          <w:p w14:paraId="0693C574"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p>
        </w:tc>
        <w:tc>
          <w:tcPr>
            <w:tcW w:w="687" w:type="pct"/>
          </w:tcPr>
          <w:p w14:paraId="6E0AB48D"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p>
        </w:tc>
        <w:tc>
          <w:tcPr>
            <w:tcW w:w="660" w:type="pct"/>
          </w:tcPr>
          <w:p w14:paraId="2BBD7504"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p>
        </w:tc>
      </w:tr>
      <w:tr w:rsidR="00C1082F" w14:paraId="2CF4F395" w14:textId="77777777" w:rsidTr="00D673D9">
        <w:trPr>
          <w:cnfStyle w:val="000000010000" w:firstRow="0" w:lastRow="0" w:firstColumn="0" w:lastColumn="0" w:oddVBand="0" w:evenVBand="0" w:oddHBand="0" w:evenHBand="1"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609" w:type="pct"/>
            <w:tcBorders>
              <w:top w:val="single" w:sz="8" w:space="0" w:color="FFFFFF" w:themeColor="background1"/>
              <w:bottom w:val="single" w:sz="4" w:space="0" w:color="FFFFFF" w:themeColor="background1"/>
            </w:tcBorders>
            <w:shd w:val="clear" w:color="auto" w:fill="E9E9E9"/>
            <w:hideMark/>
          </w:tcPr>
          <w:p w14:paraId="703A3266" w14:textId="77777777" w:rsidR="00C1082F" w:rsidRPr="006E6720" w:rsidRDefault="00C1082F" w:rsidP="007A0718">
            <w:pPr>
              <w:pStyle w:val="Tablebodytextnospaceafter"/>
              <w:jc w:val="right"/>
            </w:pPr>
            <w:r>
              <w:t>-</w:t>
            </w:r>
          </w:p>
        </w:tc>
        <w:tc>
          <w:tcPr>
            <w:tcW w:w="1291" w:type="pct"/>
            <w:tcBorders>
              <w:bottom w:val="single" w:sz="4" w:space="0" w:color="FFFFFF" w:themeColor="background1"/>
            </w:tcBorders>
            <w:hideMark/>
          </w:tcPr>
          <w:p w14:paraId="03AC6254" w14:textId="76FCB45F" w:rsidR="00C1082F" w:rsidRDefault="00DB7856" w:rsidP="007A0718">
            <w:pPr>
              <w:pStyle w:val="Tablebodytextnospaceafter"/>
              <w:cnfStyle w:val="000000010000" w:firstRow="0" w:lastRow="0" w:firstColumn="0" w:lastColumn="0" w:oddVBand="0" w:evenVBand="0" w:oddHBand="0" w:evenHBand="1" w:firstRowFirstColumn="0" w:firstRowLastColumn="0" w:lastRowFirstColumn="0" w:lastRowLastColumn="0"/>
            </w:pPr>
            <w:r>
              <w:t>Capital transfer</w:t>
            </w:r>
          </w:p>
        </w:tc>
        <w:tc>
          <w:tcPr>
            <w:tcW w:w="458" w:type="pct"/>
            <w:tcBorders>
              <w:bottom w:val="single" w:sz="4" w:space="0" w:color="FFFFFF" w:themeColor="background1"/>
            </w:tcBorders>
          </w:tcPr>
          <w:p w14:paraId="0744D9F4"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p>
        </w:tc>
        <w:tc>
          <w:tcPr>
            <w:tcW w:w="610" w:type="pct"/>
            <w:tcBorders>
              <w:bottom w:val="single" w:sz="4" w:space="0" w:color="FFFFFF" w:themeColor="background1"/>
            </w:tcBorders>
          </w:tcPr>
          <w:p w14:paraId="776A2A46"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t>-</w:t>
            </w:r>
          </w:p>
        </w:tc>
        <w:tc>
          <w:tcPr>
            <w:tcW w:w="685" w:type="pct"/>
            <w:tcBorders>
              <w:bottom w:val="single" w:sz="4" w:space="0" w:color="FFFFFF" w:themeColor="background1"/>
            </w:tcBorders>
            <w:hideMark/>
          </w:tcPr>
          <w:p w14:paraId="3EE4A7F4"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w:t>
            </w:r>
          </w:p>
        </w:tc>
        <w:tc>
          <w:tcPr>
            <w:tcW w:w="687" w:type="pct"/>
            <w:tcBorders>
              <w:bottom w:val="single" w:sz="4" w:space="0" w:color="FFFFFF" w:themeColor="background1"/>
            </w:tcBorders>
          </w:tcPr>
          <w:p w14:paraId="650C2477"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w:t>
            </w:r>
          </w:p>
        </w:tc>
        <w:tc>
          <w:tcPr>
            <w:tcW w:w="660" w:type="pct"/>
            <w:tcBorders>
              <w:bottom w:val="single" w:sz="4" w:space="0" w:color="FFFFFF" w:themeColor="background1"/>
            </w:tcBorders>
          </w:tcPr>
          <w:p w14:paraId="1DDFC77E"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(7,000)</w:t>
            </w:r>
          </w:p>
        </w:tc>
      </w:tr>
      <w:tr w:rsidR="00C1082F" w14:paraId="15244463" w14:textId="77777777" w:rsidTr="00D673D9">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609" w:type="pct"/>
            <w:tcBorders>
              <w:top w:val="single" w:sz="4" w:space="0" w:color="FFFFFF" w:themeColor="background1"/>
              <w:bottom w:val="single" w:sz="8" w:space="0" w:color="FFFFFF" w:themeColor="background1"/>
            </w:tcBorders>
            <w:shd w:val="clear" w:color="auto" w:fill="E9E9E9"/>
            <w:hideMark/>
          </w:tcPr>
          <w:p w14:paraId="4C31678E" w14:textId="77777777" w:rsidR="00C1082F" w:rsidRPr="006E6720" w:rsidRDefault="00C1082F" w:rsidP="007A0718">
            <w:pPr>
              <w:pStyle w:val="Tablebodytextnospaceafter"/>
              <w:jc w:val="right"/>
              <w:rPr>
                <w:b/>
              </w:rPr>
            </w:pPr>
            <w:r>
              <w:t>(7,462)</w:t>
            </w:r>
          </w:p>
        </w:tc>
        <w:tc>
          <w:tcPr>
            <w:tcW w:w="1291" w:type="pct"/>
            <w:tcBorders>
              <w:top w:val="single" w:sz="4" w:space="0" w:color="FFFFFF" w:themeColor="background1"/>
            </w:tcBorders>
            <w:hideMark/>
          </w:tcPr>
          <w:p w14:paraId="1E5E96EB" w14:textId="77777777" w:rsidR="00C1082F" w:rsidRDefault="00C1082F" w:rsidP="007A0718">
            <w:pPr>
              <w:pStyle w:val="Tablebodytextnospaceafter"/>
              <w:cnfStyle w:val="000000100000" w:firstRow="0" w:lastRow="0" w:firstColumn="0" w:lastColumn="0" w:oddVBand="0" w:evenVBand="0" w:oddHBand="1" w:evenHBand="0" w:firstRowFirstColumn="0" w:firstRowLastColumn="0" w:lastRowFirstColumn="0" w:lastRowLastColumn="0"/>
            </w:pPr>
            <w:r>
              <w:t>Return of operating surplus to the Crown</w:t>
            </w:r>
          </w:p>
        </w:tc>
        <w:tc>
          <w:tcPr>
            <w:tcW w:w="458" w:type="pct"/>
            <w:tcBorders>
              <w:top w:val="single" w:sz="4" w:space="0" w:color="FFFFFF" w:themeColor="background1"/>
            </w:tcBorders>
          </w:tcPr>
          <w:p w14:paraId="2DD0712A"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p>
        </w:tc>
        <w:tc>
          <w:tcPr>
            <w:tcW w:w="610" w:type="pct"/>
            <w:tcBorders>
              <w:top w:val="single" w:sz="4" w:space="0" w:color="FFFFFF" w:themeColor="background1"/>
            </w:tcBorders>
          </w:tcPr>
          <w:p w14:paraId="30923026" w14:textId="2944AE7B" w:rsidR="00C1082F" w:rsidRPr="00B6702A" w:rsidRDefault="005446C8"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Pr>
                <w:rStyle w:val="Emphasis"/>
                <w:b w:val="0"/>
              </w:rPr>
              <w:t>(2,071)</w:t>
            </w:r>
          </w:p>
        </w:tc>
        <w:tc>
          <w:tcPr>
            <w:tcW w:w="685" w:type="pct"/>
            <w:tcBorders>
              <w:top w:val="single" w:sz="4" w:space="0" w:color="FFFFFF" w:themeColor="background1"/>
            </w:tcBorders>
            <w:hideMark/>
          </w:tcPr>
          <w:p w14:paraId="734DFE1D"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87" w:type="pct"/>
            <w:tcBorders>
              <w:top w:val="single" w:sz="4" w:space="0" w:color="FFFFFF" w:themeColor="background1"/>
            </w:tcBorders>
          </w:tcPr>
          <w:p w14:paraId="121A9659"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60" w:type="pct"/>
            <w:tcBorders>
              <w:top w:val="single" w:sz="4" w:space="0" w:color="FFFFFF" w:themeColor="background1"/>
            </w:tcBorders>
          </w:tcPr>
          <w:p w14:paraId="210698E5" w14:textId="77777777" w:rsidR="00C1082F" w:rsidRDefault="00C1082F"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r>
      <w:tr w:rsidR="00D02861" w14:paraId="66D8A937" w14:textId="77777777" w:rsidTr="00D673D9">
        <w:trPr>
          <w:cnfStyle w:val="000000010000" w:firstRow="0" w:lastRow="0" w:firstColumn="0" w:lastColumn="0" w:oddVBand="0" w:evenVBand="0" w:oddHBand="0" w:evenHBand="1"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609" w:type="pct"/>
            <w:tcBorders>
              <w:top w:val="single" w:sz="8" w:space="0" w:color="FFFFFF" w:themeColor="background1"/>
              <w:bottom w:val="single" w:sz="4" w:space="0" w:color="FFFFFF" w:themeColor="background1"/>
            </w:tcBorders>
            <w:hideMark/>
          </w:tcPr>
          <w:p w14:paraId="2B605079" w14:textId="77777777" w:rsidR="00C1082F" w:rsidRDefault="00C1082F" w:rsidP="007A0718">
            <w:pPr>
              <w:pStyle w:val="Tablebodytextnospaceafter"/>
              <w:jc w:val="right"/>
            </w:pPr>
            <w:r>
              <w:rPr>
                <w:rStyle w:val="Emphasis"/>
                <w:u w:val="single"/>
              </w:rPr>
              <w:t>15,023</w:t>
            </w:r>
          </w:p>
        </w:tc>
        <w:tc>
          <w:tcPr>
            <w:tcW w:w="1291" w:type="pct"/>
            <w:tcBorders>
              <w:bottom w:val="single" w:sz="4" w:space="0" w:color="FFFFFF" w:themeColor="background1"/>
            </w:tcBorders>
            <w:shd w:val="clear" w:color="auto" w:fill="BFBFBF"/>
            <w:hideMark/>
          </w:tcPr>
          <w:p w14:paraId="28FC08E0" w14:textId="77777777" w:rsidR="00C1082F" w:rsidRDefault="00C1082F" w:rsidP="007A0718">
            <w:pPr>
              <w:pStyle w:val="Tablebodytextnospaceafter"/>
              <w:cnfStyle w:val="000000010000" w:firstRow="0" w:lastRow="0" w:firstColumn="0" w:lastColumn="0" w:oddVBand="0" w:evenVBand="0" w:oddHBand="0" w:evenHBand="1" w:firstRowFirstColumn="0" w:firstRowLastColumn="0" w:lastRowFirstColumn="0" w:lastRowLastColumn="0"/>
              <w:rPr>
                <w:rStyle w:val="Emphasis"/>
              </w:rPr>
            </w:pPr>
            <w:r>
              <w:rPr>
                <w:rStyle w:val="Emphasis"/>
              </w:rPr>
              <w:t xml:space="preserve">Balance </w:t>
            </w:r>
            <w:proofErr w:type="gramStart"/>
            <w:r>
              <w:rPr>
                <w:rStyle w:val="Emphasis"/>
              </w:rPr>
              <w:t>at</w:t>
            </w:r>
            <w:proofErr w:type="gramEnd"/>
            <w:r>
              <w:rPr>
                <w:rStyle w:val="Emphasis"/>
              </w:rPr>
              <w:t xml:space="preserve"> 30 June</w:t>
            </w:r>
          </w:p>
        </w:tc>
        <w:tc>
          <w:tcPr>
            <w:tcW w:w="458" w:type="pct"/>
            <w:tcBorders>
              <w:bottom w:val="single" w:sz="4" w:space="0" w:color="FFFFFF" w:themeColor="background1"/>
            </w:tcBorders>
            <w:shd w:val="clear" w:color="auto" w:fill="BFBFBF"/>
            <w:hideMark/>
          </w:tcPr>
          <w:p w14:paraId="67ED47D3" w14:textId="77777777" w:rsidR="00C1082F"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12</w:t>
            </w:r>
          </w:p>
        </w:tc>
        <w:tc>
          <w:tcPr>
            <w:tcW w:w="610" w:type="pct"/>
            <w:tcBorders>
              <w:bottom w:val="single" w:sz="4" w:space="0" w:color="FFFFFF" w:themeColor="background1"/>
            </w:tcBorders>
            <w:shd w:val="clear" w:color="auto" w:fill="BFBFBF"/>
          </w:tcPr>
          <w:p w14:paraId="14E94A50" w14:textId="77777777" w:rsidR="00C1082F" w:rsidRPr="006E6720"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u w:val="single"/>
              </w:rPr>
            </w:pPr>
            <w:r>
              <w:rPr>
                <w:rStyle w:val="Emphasis"/>
                <w:u w:val="single"/>
              </w:rPr>
              <w:t>15,023</w:t>
            </w:r>
          </w:p>
        </w:tc>
        <w:tc>
          <w:tcPr>
            <w:tcW w:w="685" w:type="pct"/>
            <w:tcBorders>
              <w:bottom w:val="single" w:sz="4" w:space="0" w:color="FFFFFF" w:themeColor="background1"/>
            </w:tcBorders>
            <w:shd w:val="clear" w:color="auto" w:fill="BFBFBF"/>
            <w:hideMark/>
          </w:tcPr>
          <w:p w14:paraId="54D49EAD" w14:textId="77777777" w:rsidR="00C1082F" w:rsidRPr="00B6702A"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rPr>
            </w:pPr>
            <w:r>
              <w:rPr>
                <w:b/>
                <w:u w:val="single"/>
              </w:rPr>
              <w:t>15,023</w:t>
            </w:r>
          </w:p>
        </w:tc>
        <w:tc>
          <w:tcPr>
            <w:tcW w:w="687" w:type="pct"/>
            <w:tcBorders>
              <w:bottom w:val="single" w:sz="4" w:space="0" w:color="FFFFFF" w:themeColor="background1"/>
            </w:tcBorders>
            <w:shd w:val="clear" w:color="auto" w:fill="BFBFBF"/>
          </w:tcPr>
          <w:p w14:paraId="7BD834DA" w14:textId="77777777" w:rsidR="00C1082F" w:rsidRPr="00B6702A"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15,023</w:t>
            </w:r>
          </w:p>
        </w:tc>
        <w:tc>
          <w:tcPr>
            <w:tcW w:w="660" w:type="pct"/>
            <w:tcBorders>
              <w:bottom w:val="single" w:sz="4" w:space="0" w:color="FFFFFF" w:themeColor="background1"/>
            </w:tcBorders>
            <w:shd w:val="clear" w:color="auto" w:fill="BFBFBF"/>
            <w:hideMark/>
          </w:tcPr>
          <w:p w14:paraId="30707F84" w14:textId="77777777" w:rsidR="00C1082F" w:rsidRPr="00B6702A" w:rsidRDefault="00C1082F"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 xml:space="preserve"> 8,023</w:t>
            </w:r>
          </w:p>
        </w:tc>
      </w:tr>
    </w:tbl>
    <w:p w14:paraId="13269BFB" w14:textId="214ECD34" w:rsidR="000F14F7" w:rsidRDefault="000F14F7" w:rsidP="000F14F7">
      <w:pPr>
        <w:pStyle w:val="BodyText"/>
      </w:pPr>
      <w:r>
        <w:rPr>
          <w:rStyle w:val="Italics"/>
          <w:i w:val="0"/>
          <w:iCs/>
          <w:sz w:val="22"/>
        </w:rPr>
        <w:t>* Unaudited.</w:t>
      </w:r>
    </w:p>
    <w:p w14:paraId="2403B482" w14:textId="19E57783" w:rsidR="00E423CB" w:rsidRDefault="00E423CB" w:rsidP="00623386">
      <w:pPr>
        <w:pStyle w:val="Heading2"/>
      </w:pPr>
      <w:bookmarkStart w:id="84" w:name="_Statement_of_cash_1"/>
      <w:bookmarkEnd w:id="84"/>
      <w:r>
        <w:t xml:space="preserve">Statement of cash flows </w:t>
      </w:r>
      <w:r w:rsidR="007A480D">
        <w:t xml:space="preserve">as </w:t>
      </w:r>
      <w:proofErr w:type="gramStart"/>
      <w:r w:rsidR="007A480D">
        <w:t>at</w:t>
      </w:r>
      <w:proofErr w:type="gramEnd"/>
      <w:r w:rsidR="007A480D">
        <w:t xml:space="preserve"> 30 June 2026</w:t>
      </w:r>
    </w:p>
    <w:tbl>
      <w:tblPr>
        <w:tblStyle w:val="TableGridAnnualReport4"/>
        <w:tblW w:w="9299" w:type="dxa"/>
        <w:tblInd w:w="20" w:type="dxa"/>
        <w:tblLayout w:type="fixed"/>
        <w:tblLook w:val="04A0" w:firstRow="1" w:lastRow="0" w:firstColumn="1" w:lastColumn="0" w:noHBand="0" w:noVBand="1"/>
        <w:tblCaption w:val="Statement of cash flows for the year ended 30 June 2017"/>
      </w:tblPr>
      <w:tblGrid>
        <w:gridCol w:w="1254"/>
        <w:gridCol w:w="2269"/>
        <w:gridCol w:w="852"/>
        <w:gridCol w:w="1133"/>
        <w:gridCol w:w="1285"/>
        <w:gridCol w:w="1267"/>
        <w:gridCol w:w="1239"/>
      </w:tblGrid>
      <w:tr w:rsidR="00D673D9" w14:paraId="3DCC3A46" w14:textId="77777777" w:rsidTr="00D673D9">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674" w:type="pct"/>
            <w:shd w:val="clear" w:color="auto" w:fill="017E5D"/>
            <w:hideMark/>
          </w:tcPr>
          <w:p w14:paraId="607B5144" w14:textId="77777777" w:rsidR="00D673D9" w:rsidRPr="00D673D9" w:rsidRDefault="00D673D9" w:rsidP="00D673D9">
            <w:pPr>
              <w:pStyle w:val="Tableheadingrow1"/>
              <w:jc w:val="right"/>
              <w:rPr>
                <w:sz w:val="22"/>
              </w:rPr>
            </w:pPr>
            <w:r w:rsidRPr="00D673D9">
              <w:rPr>
                <w:sz w:val="22"/>
              </w:rPr>
              <w:t>Actual</w:t>
            </w:r>
          </w:p>
          <w:p w14:paraId="75E98434" w14:textId="77777777" w:rsidR="00D673D9" w:rsidRPr="00D673D9" w:rsidRDefault="00D673D9" w:rsidP="00D673D9">
            <w:pPr>
              <w:pStyle w:val="Tableheadingrow1"/>
              <w:jc w:val="right"/>
              <w:rPr>
                <w:sz w:val="22"/>
              </w:rPr>
            </w:pPr>
            <w:r w:rsidRPr="00D673D9">
              <w:rPr>
                <w:sz w:val="22"/>
              </w:rPr>
              <w:t>2024/25</w:t>
            </w:r>
            <w:r w:rsidRPr="00D673D9">
              <w:rPr>
                <w:sz w:val="22"/>
              </w:rPr>
              <w:br/>
            </w:r>
            <w:r w:rsidRPr="00D673D9">
              <w:rPr>
                <w:sz w:val="22"/>
              </w:rPr>
              <w:br/>
            </w:r>
            <w:r w:rsidRPr="00D673D9">
              <w:rPr>
                <w:sz w:val="22"/>
              </w:rPr>
              <w:br/>
              <w:t>$(000)</w:t>
            </w:r>
          </w:p>
        </w:tc>
        <w:tc>
          <w:tcPr>
            <w:tcW w:w="1220" w:type="pct"/>
            <w:shd w:val="clear" w:color="auto" w:fill="017E5D"/>
          </w:tcPr>
          <w:p w14:paraId="1A81AB51"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p>
        </w:tc>
        <w:tc>
          <w:tcPr>
            <w:tcW w:w="458" w:type="pct"/>
            <w:shd w:val="clear" w:color="auto" w:fill="017E5D"/>
            <w:hideMark/>
          </w:tcPr>
          <w:p w14:paraId="7B95EF9B"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Notes</w:t>
            </w:r>
          </w:p>
        </w:tc>
        <w:tc>
          <w:tcPr>
            <w:tcW w:w="609" w:type="pct"/>
            <w:shd w:val="clear" w:color="auto" w:fill="017E5D"/>
            <w:hideMark/>
          </w:tcPr>
          <w:p w14:paraId="0A4DBEC0"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Actual</w:t>
            </w:r>
          </w:p>
          <w:p w14:paraId="605C6B94" w14:textId="639B7466"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2025/26</w:t>
            </w:r>
            <w:r w:rsidRPr="00D673D9">
              <w:rPr>
                <w:sz w:val="22"/>
              </w:rPr>
              <w:br/>
            </w:r>
            <w:r w:rsidRPr="00D673D9">
              <w:rPr>
                <w:sz w:val="22"/>
              </w:rPr>
              <w:br/>
            </w:r>
            <w:r w:rsidRPr="00D673D9">
              <w:rPr>
                <w:sz w:val="22"/>
              </w:rPr>
              <w:br/>
              <w:t>$(000)</w:t>
            </w:r>
          </w:p>
        </w:tc>
        <w:tc>
          <w:tcPr>
            <w:tcW w:w="691" w:type="pct"/>
            <w:shd w:val="clear" w:color="auto" w:fill="017E5D"/>
            <w:hideMark/>
          </w:tcPr>
          <w:p w14:paraId="27607E2D"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Main</w:t>
            </w:r>
            <w:r w:rsidRPr="00D673D9">
              <w:rPr>
                <w:sz w:val="22"/>
              </w:rPr>
              <w:br/>
              <w:t>Estimates</w:t>
            </w:r>
          </w:p>
          <w:p w14:paraId="63D82A12" w14:textId="3BD55280"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2025/26*</w:t>
            </w:r>
            <w:r w:rsidRPr="00D673D9">
              <w:rPr>
                <w:sz w:val="22"/>
              </w:rPr>
              <w:br/>
            </w:r>
            <w:r w:rsidRPr="00D673D9">
              <w:rPr>
                <w:sz w:val="22"/>
              </w:rPr>
              <w:br/>
              <w:t>$(000)</w:t>
            </w:r>
          </w:p>
        </w:tc>
        <w:tc>
          <w:tcPr>
            <w:tcW w:w="681" w:type="pct"/>
            <w:shd w:val="clear" w:color="auto" w:fill="017E5D"/>
            <w:hideMark/>
          </w:tcPr>
          <w:p w14:paraId="59CC699E" w14:textId="77777777"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Supp.</w:t>
            </w:r>
            <w:r w:rsidRPr="00D673D9">
              <w:rPr>
                <w:sz w:val="22"/>
              </w:rPr>
              <w:br/>
              <w:t>Estimates</w:t>
            </w:r>
          </w:p>
          <w:p w14:paraId="14B95D92" w14:textId="11FCB2E9" w:rsidR="00D673D9" w:rsidRP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D673D9">
              <w:rPr>
                <w:sz w:val="22"/>
              </w:rPr>
              <w:t>2025/26*</w:t>
            </w:r>
            <w:r w:rsidRPr="00D673D9">
              <w:rPr>
                <w:sz w:val="22"/>
              </w:rPr>
              <w:br/>
            </w:r>
            <w:r w:rsidRPr="00D673D9">
              <w:rPr>
                <w:sz w:val="22"/>
              </w:rPr>
              <w:br/>
              <w:t>$(000)</w:t>
            </w:r>
          </w:p>
        </w:tc>
        <w:tc>
          <w:tcPr>
            <w:tcW w:w="666" w:type="pct"/>
            <w:shd w:val="clear" w:color="auto" w:fill="017E5D"/>
            <w:hideMark/>
          </w:tcPr>
          <w:p w14:paraId="452B4ADB" w14:textId="77777777" w:rsidR="00D673D9" w:rsidRPr="00FE1D2E"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FE1D2E">
              <w:rPr>
                <w:rStyle w:val="FootnoteReference"/>
                <w:sz w:val="22"/>
              </w:rPr>
              <w:footnoteReference w:id="68"/>
            </w:r>
            <w:r w:rsidRPr="00FE1D2E">
              <w:rPr>
                <w:sz w:val="22"/>
              </w:rPr>
              <w:t>Main</w:t>
            </w:r>
            <w:r w:rsidRPr="00FE1D2E">
              <w:rPr>
                <w:sz w:val="22"/>
              </w:rPr>
              <w:br/>
              <w:t>Estimates</w:t>
            </w:r>
          </w:p>
          <w:p w14:paraId="1CD54BDE" w14:textId="28E391AC" w:rsidR="00D673D9" w:rsidRDefault="00D673D9" w:rsidP="00D673D9">
            <w:pPr>
              <w:pStyle w:val="Tableheadingrow1"/>
              <w:jc w:val="right"/>
              <w:cnfStyle w:val="100000000000" w:firstRow="1" w:lastRow="0" w:firstColumn="0" w:lastColumn="0" w:oddVBand="0" w:evenVBand="0" w:oddHBand="0" w:evenHBand="0" w:firstRowFirstColumn="0" w:firstRowLastColumn="0" w:lastRowFirstColumn="0" w:lastRowLastColumn="0"/>
            </w:pPr>
            <w:r w:rsidRPr="00FE1D2E">
              <w:rPr>
                <w:sz w:val="22"/>
              </w:rPr>
              <w:t>2026/27*</w:t>
            </w:r>
            <w:r w:rsidRPr="00FE1D2E">
              <w:rPr>
                <w:sz w:val="22"/>
              </w:rPr>
              <w:br/>
            </w:r>
            <w:r w:rsidRPr="00FE1D2E">
              <w:rPr>
                <w:sz w:val="22"/>
              </w:rPr>
              <w:br/>
              <w:t>$(000)</w:t>
            </w:r>
          </w:p>
        </w:tc>
      </w:tr>
      <w:tr w:rsidR="00BB4E33" w14:paraId="309BD1CC"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bottom w:val="single" w:sz="8" w:space="0" w:color="FFFFFF" w:themeColor="background1"/>
            </w:tcBorders>
          </w:tcPr>
          <w:p w14:paraId="5EE452DD" w14:textId="77777777" w:rsidR="00BB4E33" w:rsidRDefault="00BB4E33" w:rsidP="007A0718">
            <w:pPr>
              <w:pStyle w:val="Tablebodytextnospaceafter"/>
            </w:pPr>
          </w:p>
        </w:tc>
        <w:tc>
          <w:tcPr>
            <w:tcW w:w="1220" w:type="pct"/>
            <w:shd w:val="clear" w:color="auto" w:fill="BFBFBF"/>
            <w:hideMark/>
          </w:tcPr>
          <w:p w14:paraId="784BD467"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r>
              <w:rPr>
                <w:rStyle w:val="Emphasis"/>
              </w:rPr>
              <w:t>Cash flows from operating activities</w:t>
            </w:r>
          </w:p>
        </w:tc>
        <w:tc>
          <w:tcPr>
            <w:tcW w:w="458" w:type="pct"/>
            <w:shd w:val="clear" w:color="auto" w:fill="BFBFBF"/>
          </w:tcPr>
          <w:p w14:paraId="102077BF"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p>
        </w:tc>
        <w:tc>
          <w:tcPr>
            <w:tcW w:w="609" w:type="pct"/>
            <w:shd w:val="clear" w:color="auto" w:fill="BFBFBF"/>
          </w:tcPr>
          <w:p w14:paraId="489E8578"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p>
        </w:tc>
        <w:tc>
          <w:tcPr>
            <w:tcW w:w="691" w:type="pct"/>
            <w:shd w:val="clear" w:color="auto" w:fill="BFBFBF"/>
          </w:tcPr>
          <w:p w14:paraId="04733772"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p>
        </w:tc>
        <w:tc>
          <w:tcPr>
            <w:tcW w:w="681" w:type="pct"/>
            <w:shd w:val="clear" w:color="auto" w:fill="BFBFBF"/>
          </w:tcPr>
          <w:p w14:paraId="5322C4A3"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p>
        </w:tc>
        <w:tc>
          <w:tcPr>
            <w:tcW w:w="666" w:type="pct"/>
            <w:shd w:val="clear" w:color="auto" w:fill="BFBFBF"/>
          </w:tcPr>
          <w:p w14:paraId="77DE9234"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p>
        </w:tc>
      </w:tr>
      <w:tr w:rsidR="00BB4E33" w14:paraId="1448366A" w14:textId="77777777" w:rsidTr="00D673D9">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bottom w:val="single" w:sz="8" w:space="0" w:color="FFFFFF" w:themeColor="background1"/>
            </w:tcBorders>
            <w:shd w:val="clear" w:color="auto" w:fill="E9E9E9"/>
            <w:hideMark/>
          </w:tcPr>
          <w:p w14:paraId="64CC5127" w14:textId="77777777" w:rsidR="00BB4E33" w:rsidRPr="009C7FCC" w:rsidRDefault="00BB4E33" w:rsidP="007A0718">
            <w:pPr>
              <w:pStyle w:val="Tablebodytextnospaceafter"/>
              <w:jc w:val="right"/>
            </w:pPr>
            <w:r w:rsidRPr="009C7FCC">
              <w:rPr>
                <w:rStyle w:val="Emphasis"/>
                <w:b w:val="0"/>
                <w:bCs w:val="0"/>
              </w:rPr>
              <w:t>54,701</w:t>
            </w:r>
          </w:p>
        </w:tc>
        <w:tc>
          <w:tcPr>
            <w:tcW w:w="1220" w:type="pct"/>
            <w:hideMark/>
          </w:tcPr>
          <w:p w14:paraId="0D524167" w14:textId="77777777" w:rsidR="00BB4E33" w:rsidRPr="009C7FCC"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r w:rsidRPr="009C7FCC">
              <w:t>Receipts from Crown</w:t>
            </w:r>
          </w:p>
        </w:tc>
        <w:tc>
          <w:tcPr>
            <w:tcW w:w="458" w:type="pct"/>
          </w:tcPr>
          <w:p w14:paraId="27A3C60A"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p>
        </w:tc>
        <w:tc>
          <w:tcPr>
            <w:tcW w:w="609" w:type="pct"/>
          </w:tcPr>
          <w:p w14:paraId="50F13B42" w14:textId="2EF6840E" w:rsidR="00BB4E33" w:rsidRPr="00B6702A" w:rsidRDefault="005446C8"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Pr>
                <w:rStyle w:val="Emphasis"/>
                <w:b w:val="0"/>
              </w:rPr>
              <w:t>53,265</w:t>
            </w:r>
          </w:p>
        </w:tc>
        <w:tc>
          <w:tcPr>
            <w:tcW w:w="691" w:type="pct"/>
          </w:tcPr>
          <w:p w14:paraId="517B33B5"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53,236</w:t>
            </w:r>
          </w:p>
        </w:tc>
        <w:tc>
          <w:tcPr>
            <w:tcW w:w="681" w:type="pct"/>
          </w:tcPr>
          <w:p w14:paraId="7E7B93B2"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53,265</w:t>
            </w:r>
          </w:p>
        </w:tc>
        <w:tc>
          <w:tcPr>
            <w:tcW w:w="666" w:type="pct"/>
          </w:tcPr>
          <w:p w14:paraId="65DE17E9"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60,808</w:t>
            </w:r>
          </w:p>
        </w:tc>
      </w:tr>
      <w:tr w:rsidR="00BB4E33" w14:paraId="772A164F"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bottom w:val="single" w:sz="8" w:space="0" w:color="FFFFFF" w:themeColor="background1"/>
            </w:tcBorders>
            <w:shd w:val="clear" w:color="auto" w:fill="E9E9E9"/>
            <w:hideMark/>
          </w:tcPr>
          <w:p w14:paraId="5815BDB2" w14:textId="77777777" w:rsidR="00BB4E33" w:rsidRDefault="00BB4E33" w:rsidP="007A0718">
            <w:pPr>
              <w:pStyle w:val="Tablebodytextnospaceafter"/>
              <w:jc w:val="right"/>
            </w:pPr>
            <w:r>
              <w:t>-</w:t>
            </w:r>
          </w:p>
        </w:tc>
        <w:tc>
          <w:tcPr>
            <w:tcW w:w="1220" w:type="pct"/>
            <w:hideMark/>
          </w:tcPr>
          <w:p w14:paraId="551B4C93"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r>
              <w:t xml:space="preserve">Receipts funded from Capital withdrawal </w:t>
            </w:r>
          </w:p>
          <w:p w14:paraId="1355875C"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r>
              <w:t xml:space="preserve"> </w:t>
            </w:r>
          </w:p>
        </w:tc>
        <w:tc>
          <w:tcPr>
            <w:tcW w:w="458" w:type="pct"/>
          </w:tcPr>
          <w:p w14:paraId="533693BC"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p>
        </w:tc>
        <w:tc>
          <w:tcPr>
            <w:tcW w:w="609" w:type="pct"/>
          </w:tcPr>
          <w:p w14:paraId="6FCE7FCA" w14:textId="77777777" w:rsidR="00BB4E33" w:rsidRPr="00B6702A"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Pr>
                <w:rStyle w:val="Emphasis"/>
              </w:rPr>
              <w:t>-</w:t>
            </w:r>
          </w:p>
        </w:tc>
        <w:tc>
          <w:tcPr>
            <w:tcW w:w="691" w:type="pct"/>
          </w:tcPr>
          <w:p w14:paraId="6009692F"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81" w:type="pct"/>
          </w:tcPr>
          <w:p w14:paraId="64151334"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66" w:type="pct"/>
          </w:tcPr>
          <w:p w14:paraId="178E97A5" w14:textId="4111BFC3" w:rsidR="00BB4E33" w:rsidRDefault="00F1436C"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p w14:paraId="545C620B" w14:textId="77777777" w:rsidR="00BB4E33" w:rsidRDefault="00BB4E33" w:rsidP="007A0718">
            <w:pPr>
              <w:pStyle w:val="Tablebodytextnospaceafter"/>
              <w:jc w:val="center"/>
              <w:cnfStyle w:val="000000100000" w:firstRow="0" w:lastRow="0" w:firstColumn="0" w:lastColumn="0" w:oddVBand="0" w:evenVBand="0" w:oddHBand="1" w:evenHBand="0" w:firstRowFirstColumn="0" w:firstRowLastColumn="0" w:lastRowFirstColumn="0" w:lastRowLastColumn="0"/>
            </w:pPr>
          </w:p>
        </w:tc>
      </w:tr>
      <w:tr w:rsidR="00BB4E33" w14:paraId="4CBE23AB" w14:textId="77777777" w:rsidTr="00D673D9">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bottom w:val="single" w:sz="8" w:space="0" w:color="FFFFFF" w:themeColor="background1"/>
            </w:tcBorders>
            <w:shd w:val="clear" w:color="auto" w:fill="E9E9E9"/>
          </w:tcPr>
          <w:p w14:paraId="24A6DE7F" w14:textId="77777777" w:rsidR="00BB4E33" w:rsidRPr="006E6720" w:rsidDel="00646C2C" w:rsidRDefault="00BB4E33" w:rsidP="007A0718">
            <w:pPr>
              <w:pStyle w:val="Tablebodytextnospaceafter"/>
              <w:jc w:val="right"/>
              <w:rPr>
                <w:rStyle w:val="Emphasis"/>
                <w:b w:val="0"/>
              </w:rPr>
            </w:pPr>
          </w:p>
        </w:tc>
        <w:tc>
          <w:tcPr>
            <w:tcW w:w="1220" w:type="pct"/>
          </w:tcPr>
          <w:p w14:paraId="30B2631D" w14:textId="77777777" w:rsidR="00BB4E33" w:rsidRPr="006079F9"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rPr>
                <w:b/>
                <w:bCs/>
                <w:color w:val="auto"/>
              </w:rPr>
            </w:pPr>
            <w:r>
              <w:rPr>
                <w:b/>
                <w:bCs/>
                <w:color w:val="auto"/>
              </w:rPr>
              <w:t>Total Revenue</w:t>
            </w:r>
          </w:p>
        </w:tc>
        <w:tc>
          <w:tcPr>
            <w:tcW w:w="458" w:type="pct"/>
          </w:tcPr>
          <w:p w14:paraId="4691131F" w14:textId="77777777" w:rsidR="00BB4E33" w:rsidRPr="006079F9"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rPr>
                <w:b/>
                <w:bCs/>
                <w:color w:val="auto"/>
              </w:rPr>
            </w:pPr>
          </w:p>
        </w:tc>
        <w:tc>
          <w:tcPr>
            <w:tcW w:w="609" w:type="pct"/>
          </w:tcPr>
          <w:p w14:paraId="46975FF5" w14:textId="7D371112" w:rsidR="00BB4E33" w:rsidRPr="006079F9" w:rsidDel="00646C2C" w:rsidRDefault="005446C8"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color w:val="auto"/>
              </w:rPr>
            </w:pPr>
            <w:r>
              <w:rPr>
                <w:rStyle w:val="Emphasis"/>
                <w:color w:val="auto"/>
              </w:rPr>
              <w:t>53,265</w:t>
            </w:r>
          </w:p>
        </w:tc>
        <w:tc>
          <w:tcPr>
            <w:tcW w:w="691" w:type="pct"/>
          </w:tcPr>
          <w:p w14:paraId="38490FB9" w14:textId="33E83A89" w:rsidR="00BB4E33" w:rsidRPr="006079F9" w:rsidDel="00646C2C" w:rsidRDefault="007165EB"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bCs/>
                <w:color w:val="auto"/>
              </w:rPr>
            </w:pPr>
            <w:r>
              <w:rPr>
                <w:b/>
                <w:bCs/>
                <w:color w:val="auto"/>
              </w:rPr>
              <w:t>-</w:t>
            </w:r>
          </w:p>
        </w:tc>
        <w:tc>
          <w:tcPr>
            <w:tcW w:w="681" w:type="pct"/>
          </w:tcPr>
          <w:p w14:paraId="65ECFE40" w14:textId="5CF5B63A" w:rsidR="00BB4E33" w:rsidRPr="006079F9" w:rsidDel="00646C2C" w:rsidRDefault="007165EB"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bCs/>
                <w:color w:val="auto"/>
              </w:rPr>
            </w:pPr>
            <w:r>
              <w:rPr>
                <w:b/>
                <w:bCs/>
                <w:color w:val="auto"/>
              </w:rPr>
              <w:t>-</w:t>
            </w:r>
          </w:p>
        </w:tc>
        <w:tc>
          <w:tcPr>
            <w:tcW w:w="666" w:type="pct"/>
          </w:tcPr>
          <w:p w14:paraId="4FE2D97B" w14:textId="77777777" w:rsidR="00BB4E33" w:rsidRPr="006079F9" w:rsidDel="00646C2C"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bCs/>
                <w:color w:val="auto"/>
              </w:rPr>
            </w:pPr>
            <w:r>
              <w:rPr>
                <w:b/>
                <w:bCs/>
                <w:color w:val="auto"/>
              </w:rPr>
              <w:t>60,808</w:t>
            </w:r>
          </w:p>
        </w:tc>
      </w:tr>
      <w:tr w:rsidR="00BB4E33" w14:paraId="65DC011E"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bottom w:val="single" w:sz="8" w:space="0" w:color="FFFFFF" w:themeColor="background1"/>
            </w:tcBorders>
            <w:shd w:val="clear" w:color="auto" w:fill="E9E9E9"/>
            <w:hideMark/>
          </w:tcPr>
          <w:p w14:paraId="356B24BF" w14:textId="77777777" w:rsidR="00BB4E33" w:rsidRPr="006E6720" w:rsidRDefault="00BB4E33" w:rsidP="007A0718">
            <w:pPr>
              <w:pStyle w:val="Tablebodytextnospaceafter"/>
              <w:jc w:val="right"/>
              <w:rPr>
                <w:b/>
              </w:rPr>
            </w:pPr>
            <w:r>
              <w:t>(33,222)</w:t>
            </w:r>
          </w:p>
        </w:tc>
        <w:tc>
          <w:tcPr>
            <w:tcW w:w="1220" w:type="pct"/>
            <w:hideMark/>
          </w:tcPr>
          <w:p w14:paraId="6A6D941E"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r>
              <w:t>Payments to employees</w:t>
            </w:r>
          </w:p>
        </w:tc>
        <w:tc>
          <w:tcPr>
            <w:tcW w:w="458" w:type="pct"/>
          </w:tcPr>
          <w:p w14:paraId="08D82FD9"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p>
        </w:tc>
        <w:tc>
          <w:tcPr>
            <w:tcW w:w="609" w:type="pct"/>
          </w:tcPr>
          <w:p w14:paraId="68B04F5A" w14:textId="3EAAED8F" w:rsidR="00BB4E33" w:rsidRPr="00B6702A" w:rsidRDefault="005446C8"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color w:val="auto"/>
              </w:rPr>
            </w:pPr>
            <w:r>
              <w:rPr>
                <w:rStyle w:val="Emphasis"/>
                <w:b w:val="0"/>
                <w:color w:val="auto"/>
              </w:rPr>
              <w:t>(37,</w:t>
            </w:r>
            <w:r w:rsidR="00EF78BE">
              <w:rPr>
                <w:rStyle w:val="Emphasis"/>
                <w:b w:val="0"/>
                <w:color w:val="auto"/>
              </w:rPr>
              <w:t>734</w:t>
            </w:r>
            <w:r>
              <w:rPr>
                <w:rStyle w:val="Emphasis"/>
                <w:b w:val="0"/>
                <w:color w:val="auto"/>
              </w:rPr>
              <w:t>)</w:t>
            </w:r>
          </w:p>
        </w:tc>
        <w:tc>
          <w:tcPr>
            <w:tcW w:w="691" w:type="pct"/>
          </w:tcPr>
          <w:p w14:paraId="4EE12063"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(33,446)</w:t>
            </w:r>
          </w:p>
        </w:tc>
        <w:tc>
          <w:tcPr>
            <w:tcW w:w="681" w:type="pct"/>
          </w:tcPr>
          <w:p w14:paraId="2DA45700" w14:textId="77777777" w:rsidR="00BB4E33" w:rsidRPr="007C1638"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(36,520)</w:t>
            </w:r>
          </w:p>
        </w:tc>
        <w:tc>
          <w:tcPr>
            <w:tcW w:w="666" w:type="pct"/>
          </w:tcPr>
          <w:p w14:paraId="14AA5718" w14:textId="77777777" w:rsidR="00BB4E33" w:rsidRPr="007C1638"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(40,306)</w:t>
            </w:r>
          </w:p>
        </w:tc>
      </w:tr>
      <w:tr w:rsidR="00BB4E33" w14:paraId="67A6411E" w14:textId="77777777" w:rsidTr="00D673D9">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bottom w:val="single" w:sz="8" w:space="0" w:color="FFFFFF" w:themeColor="background1"/>
            </w:tcBorders>
            <w:shd w:val="clear" w:color="auto" w:fill="E9E9E9"/>
            <w:hideMark/>
          </w:tcPr>
          <w:p w14:paraId="4423CE17" w14:textId="77777777" w:rsidR="00BB4E33" w:rsidRPr="009C7FCC" w:rsidRDefault="00BB4E33" w:rsidP="007A0718">
            <w:pPr>
              <w:pStyle w:val="Tablebodytextnospaceafter"/>
              <w:jc w:val="right"/>
            </w:pPr>
            <w:r w:rsidRPr="009C7FCC">
              <w:rPr>
                <w:rStyle w:val="Emphasis"/>
                <w:b w:val="0"/>
                <w:bCs w:val="0"/>
              </w:rPr>
              <w:t>(12,398)</w:t>
            </w:r>
          </w:p>
        </w:tc>
        <w:tc>
          <w:tcPr>
            <w:tcW w:w="1220" w:type="pct"/>
            <w:hideMark/>
          </w:tcPr>
          <w:p w14:paraId="2CA61B4D" w14:textId="77777777" w:rsidR="00BB4E33" w:rsidRPr="009C7FCC"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r w:rsidRPr="009C7FCC">
              <w:t>Payments to suppliers</w:t>
            </w:r>
          </w:p>
        </w:tc>
        <w:tc>
          <w:tcPr>
            <w:tcW w:w="458" w:type="pct"/>
          </w:tcPr>
          <w:p w14:paraId="7B7235BB"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p>
        </w:tc>
        <w:tc>
          <w:tcPr>
            <w:tcW w:w="609" w:type="pct"/>
          </w:tcPr>
          <w:p w14:paraId="67844230" w14:textId="3E68643C" w:rsidR="00BB4E33" w:rsidRPr="00B6702A" w:rsidRDefault="005446C8"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color w:val="auto"/>
              </w:rPr>
            </w:pPr>
            <w:r>
              <w:rPr>
                <w:rStyle w:val="Emphasis"/>
                <w:b w:val="0"/>
                <w:color w:val="auto"/>
              </w:rPr>
              <w:t>(</w:t>
            </w:r>
            <w:r w:rsidR="0071462D">
              <w:rPr>
                <w:rStyle w:val="Emphasis"/>
                <w:b w:val="0"/>
                <w:color w:val="auto"/>
              </w:rPr>
              <w:t>11</w:t>
            </w:r>
            <w:r w:rsidR="0071462D">
              <w:rPr>
                <w:rStyle w:val="Emphasis"/>
                <w:b w:val="0"/>
              </w:rPr>
              <w:t>,99</w:t>
            </w:r>
            <w:r w:rsidR="00EF78BE">
              <w:rPr>
                <w:rStyle w:val="Emphasis"/>
                <w:b w:val="0"/>
              </w:rPr>
              <w:t>1</w:t>
            </w:r>
            <w:r>
              <w:rPr>
                <w:rStyle w:val="Emphasis"/>
                <w:b w:val="0"/>
                <w:color w:val="auto"/>
              </w:rPr>
              <w:t>)</w:t>
            </w:r>
          </w:p>
        </w:tc>
        <w:tc>
          <w:tcPr>
            <w:tcW w:w="691" w:type="pct"/>
          </w:tcPr>
          <w:p w14:paraId="57EC23FF"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(17,226)</w:t>
            </w:r>
          </w:p>
        </w:tc>
        <w:tc>
          <w:tcPr>
            <w:tcW w:w="681" w:type="pct"/>
          </w:tcPr>
          <w:p w14:paraId="192DD172"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(16,081)</w:t>
            </w:r>
          </w:p>
        </w:tc>
        <w:tc>
          <w:tcPr>
            <w:tcW w:w="666" w:type="pct"/>
          </w:tcPr>
          <w:p w14:paraId="0DC8B3CC"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(18,684)</w:t>
            </w:r>
          </w:p>
        </w:tc>
      </w:tr>
      <w:tr w:rsidR="00BB4E33" w14:paraId="2F78C819"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8" w:space="0" w:color="FFFFFF" w:themeColor="background1"/>
              <w:bottom w:val="single" w:sz="4" w:space="0" w:color="FFFFFF" w:themeColor="background1"/>
            </w:tcBorders>
            <w:shd w:val="clear" w:color="auto" w:fill="E9E9E9"/>
            <w:hideMark/>
          </w:tcPr>
          <w:p w14:paraId="701D1BF3" w14:textId="77777777" w:rsidR="00BB4E33" w:rsidRPr="006E6720" w:rsidRDefault="00BB4E33" w:rsidP="007A0718">
            <w:pPr>
              <w:pStyle w:val="Tablebodytextnospaceafter"/>
              <w:jc w:val="right"/>
            </w:pPr>
            <w:r>
              <w:t>460</w:t>
            </w:r>
          </w:p>
        </w:tc>
        <w:tc>
          <w:tcPr>
            <w:tcW w:w="1220" w:type="pct"/>
            <w:tcBorders>
              <w:bottom w:val="single" w:sz="4" w:space="0" w:color="FFFFFF" w:themeColor="background1"/>
            </w:tcBorders>
            <w:hideMark/>
          </w:tcPr>
          <w:p w14:paraId="27C62361"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r>
              <w:t>Goods and services tax (net)</w:t>
            </w:r>
          </w:p>
        </w:tc>
        <w:tc>
          <w:tcPr>
            <w:tcW w:w="458" w:type="pct"/>
            <w:tcBorders>
              <w:bottom w:val="single" w:sz="4" w:space="0" w:color="FFFFFF" w:themeColor="background1"/>
              <w:right w:val="single" w:sz="4" w:space="0" w:color="FFFFFF" w:themeColor="background1"/>
            </w:tcBorders>
          </w:tcPr>
          <w:p w14:paraId="7747FB81"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p>
        </w:tc>
        <w:tc>
          <w:tcPr>
            <w:tcW w:w="60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8877B4" w14:textId="45DA311B" w:rsidR="00BB4E33" w:rsidRPr="005446C8" w:rsidRDefault="00EF78BE"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bCs w:val="0"/>
                <w:color w:val="auto"/>
              </w:rPr>
            </w:pPr>
            <w:r>
              <w:rPr>
                <w:rStyle w:val="Emphasis"/>
                <w:b w:val="0"/>
                <w:bCs w:val="0"/>
                <w:color w:val="auto"/>
              </w:rPr>
              <w:t>(143)</w:t>
            </w:r>
          </w:p>
        </w:tc>
        <w:tc>
          <w:tcPr>
            <w:tcW w:w="69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1650756"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BD74B01"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653A41"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r>
      <w:tr w:rsidR="009C7FCC" w14:paraId="762984D0" w14:textId="77777777" w:rsidTr="00D673D9">
        <w:tblPrEx>
          <w:tblCellMar>
            <w:left w:w="92" w:type="dxa"/>
            <w:right w:w="92" w:type="dxa"/>
          </w:tblCellMar>
        </w:tblPrEx>
        <w:trPr>
          <w:cnfStyle w:val="000000010000" w:firstRow="0" w:lastRow="0" w:firstColumn="0" w:lastColumn="0" w:oddVBand="0" w:evenVBand="0" w:oddHBand="0" w:evenHBand="1"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674" w:type="pct"/>
            <w:tcBorders>
              <w:top w:val="single" w:sz="3" w:space="0" w:color="FFFFFF" w:themeColor="background1"/>
              <w:bottom w:val="single" w:sz="3" w:space="0" w:color="FFFFFF" w:themeColor="background1"/>
              <w:right w:val="single" w:sz="3" w:space="0" w:color="FFFFFF" w:themeColor="background1"/>
            </w:tcBorders>
            <w:hideMark/>
          </w:tcPr>
          <w:p w14:paraId="47A143EB" w14:textId="77777777" w:rsidR="00BB4E33" w:rsidRPr="00B6702A" w:rsidRDefault="00BB4E33" w:rsidP="007A0718">
            <w:pPr>
              <w:pStyle w:val="Tablebodytextnospaceafter"/>
              <w:jc w:val="right"/>
              <w:rPr>
                <w:u w:val="single"/>
              </w:rPr>
            </w:pPr>
            <w:r>
              <w:rPr>
                <w:rStyle w:val="Emphasis"/>
                <w:u w:val="single"/>
              </w:rPr>
              <w:t>9,541</w:t>
            </w:r>
          </w:p>
        </w:tc>
        <w:tc>
          <w:tcPr>
            <w:tcW w:w="1220" w:type="pct"/>
            <w:tcBorders>
              <w:top w:val="single" w:sz="3" w:space="0" w:color="FFFFFF" w:themeColor="background1"/>
              <w:left w:val="single" w:sz="3" w:space="0" w:color="FFFFFF" w:themeColor="background1"/>
              <w:bottom w:val="single" w:sz="3" w:space="0" w:color="FFFFFF" w:themeColor="background1"/>
              <w:right w:val="single" w:sz="3" w:space="0" w:color="FFFFFF" w:themeColor="background1"/>
            </w:tcBorders>
            <w:shd w:val="clear" w:color="auto" w:fill="BFBFBF"/>
            <w:hideMark/>
          </w:tcPr>
          <w:p w14:paraId="10B76A3D"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rPr>
                <w:rStyle w:val="Italics"/>
              </w:rPr>
            </w:pPr>
            <w:r>
              <w:rPr>
                <w:rStyle w:val="Italics"/>
              </w:rPr>
              <w:t xml:space="preserve">Net cash from operating activities </w:t>
            </w:r>
          </w:p>
        </w:tc>
        <w:tc>
          <w:tcPr>
            <w:tcW w:w="458" w:type="pct"/>
            <w:tcBorders>
              <w:top w:val="single" w:sz="3" w:space="0" w:color="FFFFFF" w:themeColor="background1"/>
              <w:left w:val="single" w:sz="3" w:space="0" w:color="FFFFFF" w:themeColor="background1"/>
              <w:bottom w:val="single" w:sz="3" w:space="0" w:color="FFFFFF" w:themeColor="background1"/>
              <w:right w:val="single" w:sz="3" w:space="0" w:color="FFFFFF" w:themeColor="background1"/>
            </w:tcBorders>
            <w:shd w:val="clear" w:color="auto" w:fill="BFBFBF"/>
            <w:hideMark/>
          </w:tcPr>
          <w:p w14:paraId="67734DCC" w14:textId="77777777" w:rsidR="00BB4E33" w:rsidRDefault="00BB4E33" w:rsidP="007A0718">
            <w:pPr>
              <w:cnfStyle w:val="000000010000" w:firstRow="0" w:lastRow="0" w:firstColumn="0" w:lastColumn="0" w:oddVBand="0" w:evenVBand="0" w:oddHBand="0" w:evenHBand="1" w:firstRowFirstColumn="0" w:firstRowLastColumn="0" w:lastRowFirstColumn="0" w:lastRowLastColumn="0"/>
              <w:rPr>
                <w:rStyle w:val="Italics"/>
              </w:rPr>
            </w:pPr>
          </w:p>
        </w:tc>
        <w:tc>
          <w:tcPr>
            <w:tcW w:w="609" w:type="pct"/>
            <w:tcBorders>
              <w:top w:val="single" w:sz="3" w:space="0" w:color="FFFFFF" w:themeColor="background1"/>
              <w:left w:val="single" w:sz="3" w:space="0" w:color="FFFFFF" w:themeColor="background1"/>
              <w:bottom w:val="single" w:sz="3" w:space="0" w:color="FFFFFF" w:themeColor="background1"/>
            </w:tcBorders>
            <w:shd w:val="clear" w:color="auto" w:fill="BFBFBF"/>
          </w:tcPr>
          <w:p w14:paraId="4D7C6852" w14:textId="700958DF" w:rsidR="00BB4E33" w:rsidRPr="005446C8" w:rsidRDefault="00EF78BE"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u w:val="single"/>
              </w:rPr>
            </w:pPr>
            <w:r>
              <w:rPr>
                <w:rStyle w:val="Emphasis"/>
                <w:u w:val="single"/>
              </w:rPr>
              <w:t>3</w:t>
            </w:r>
            <w:r w:rsidR="005446C8" w:rsidRPr="005446C8">
              <w:rPr>
                <w:rStyle w:val="Emphasis"/>
                <w:u w:val="single"/>
              </w:rPr>
              <w:t>,</w:t>
            </w:r>
            <w:r>
              <w:rPr>
                <w:rStyle w:val="Emphasis"/>
                <w:u w:val="single"/>
              </w:rPr>
              <w:t>397</w:t>
            </w:r>
          </w:p>
        </w:tc>
        <w:tc>
          <w:tcPr>
            <w:tcW w:w="691" w:type="pct"/>
            <w:tcBorders>
              <w:top w:val="single" w:sz="3" w:space="0" w:color="FFFFFF" w:themeColor="background1"/>
              <w:bottom w:val="single" w:sz="3" w:space="0" w:color="FFFFFF" w:themeColor="background1"/>
            </w:tcBorders>
            <w:shd w:val="clear" w:color="auto" w:fill="BFBFBF"/>
            <w:hideMark/>
          </w:tcPr>
          <w:p w14:paraId="38BAEA21" w14:textId="77777777" w:rsidR="00BB4E33" w:rsidRPr="00B6702A"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rPr>
            </w:pPr>
            <w:r>
              <w:rPr>
                <w:b/>
                <w:u w:val="single"/>
              </w:rPr>
              <w:t>2,564</w:t>
            </w:r>
          </w:p>
        </w:tc>
        <w:tc>
          <w:tcPr>
            <w:tcW w:w="681" w:type="pct"/>
            <w:tcBorders>
              <w:top w:val="single" w:sz="3" w:space="0" w:color="FFFFFF" w:themeColor="background1"/>
              <w:bottom w:val="single" w:sz="3" w:space="0" w:color="FFFFFF" w:themeColor="background1"/>
            </w:tcBorders>
            <w:shd w:val="clear" w:color="auto" w:fill="BFBFBF"/>
          </w:tcPr>
          <w:p w14:paraId="75B4D3BE"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(664)</w:t>
            </w:r>
          </w:p>
          <w:p w14:paraId="352C2579" w14:textId="77777777" w:rsidR="00BB4E33" w:rsidRPr="00B6702A"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p>
        </w:tc>
        <w:tc>
          <w:tcPr>
            <w:tcW w:w="666" w:type="pct"/>
            <w:tcBorders>
              <w:top w:val="single" w:sz="3" w:space="0" w:color="FFFFFF" w:themeColor="background1"/>
              <w:bottom w:val="single" w:sz="3" w:space="0" w:color="FFFFFF" w:themeColor="background1"/>
            </w:tcBorders>
            <w:shd w:val="clear" w:color="auto" w:fill="BFBFBF"/>
          </w:tcPr>
          <w:p w14:paraId="79A659C3"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1,818</w:t>
            </w:r>
          </w:p>
          <w:p w14:paraId="7DCE80A0" w14:textId="77777777" w:rsidR="00BB4E33" w:rsidRPr="00B6702A"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p>
        </w:tc>
      </w:tr>
      <w:tr w:rsidR="00BB4E33" w14:paraId="16BF5AC4"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4" w:space="0" w:color="FFFFFF" w:themeColor="background1"/>
            </w:tcBorders>
          </w:tcPr>
          <w:p w14:paraId="31D92828" w14:textId="77777777" w:rsidR="00BB4E33" w:rsidRPr="003A0074" w:rsidRDefault="00BB4E33" w:rsidP="007A0718">
            <w:pPr>
              <w:pStyle w:val="Tablebodytextnospaceafter"/>
              <w:jc w:val="right"/>
            </w:pPr>
          </w:p>
        </w:tc>
        <w:tc>
          <w:tcPr>
            <w:tcW w:w="1220" w:type="pct"/>
            <w:tcBorders>
              <w:top w:val="single" w:sz="4" w:space="0" w:color="FFFFFF" w:themeColor="background1"/>
            </w:tcBorders>
            <w:shd w:val="clear" w:color="auto" w:fill="BFBFBF"/>
            <w:hideMark/>
          </w:tcPr>
          <w:p w14:paraId="72E66576"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r>
              <w:rPr>
                <w:rStyle w:val="Emphasis"/>
              </w:rPr>
              <w:t>Cash flows from investing activities</w:t>
            </w:r>
          </w:p>
        </w:tc>
        <w:tc>
          <w:tcPr>
            <w:tcW w:w="458" w:type="pct"/>
            <w:tcBorders>
              <w:top w:val="single" w:sz="4" w:space="0" w:color="FFFFFF" w:themeColor="background1"/>
            </w:tcBorders>
            <w:shd w:val="clear" w:color="auto" w:fill="BFBFBF"/>
          </w:tcPr>
          <w:p w14:paraId="0BCF6565"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p>
        </w:tc>
        <w:tc>
          <w:tcPr>
            <w:tcW w:w="609" w:type="pct"/>
            <w:tcBorders>
              <w:top w:val="single" w:sz="4" w:space="0" w:color="FFFFFF" w:themeColor="background1"/>
            </w:tcBorders>
            <w:shd w:val="clear" w:color="auto" w:fill="BFBFBF"/>
          </w:tcPr>
          <w:p w14:paraId="2E717B2E"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p>
        </w:tc>
        <w:tc>
          <w:tcPr>
            <w:tcW w:w="691" w:type="pct"/>
            <w:tcBorders>
              <w:top w:val="single" w:sz="4" w:space="0" w:color="FFFFFF" w:themeColor="background1"/>
            </w:tcBorders>
            <w:shd w:val="clear" w:color="auto" w:fill="BFBFBF"/>
          </w:tcPr>
          <w:p w14:paraId="528F62FC"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p>
        </w:tc>
        <w:tc>
          <w:tcPr>
            <w:tcW w:w="681" w:type="pct"/>
            <w:tcBorders>
              <w:top w:val="single" w:sz="4" w:space="0" w:color="FFFFFF" w:themeColor="background1"/>
            </w:tcBorders>
            <w:shd w:val="clear" w:color="auto" w:fill="BFBFBF"/>
          </w:tcPr>
          <w:p w14:paraId="61D53E21"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p>
        </w:tc>
        <w:tc>
          <w:tcPr>
            <w:tcW w:w="666" w:type="pct"/>
            <w:tcBorders>
              <w:top w:val="single" w:sz="4" w:space="0" w:color="FFFFFF" w:themeColor="background1"/>
            </w:tcBorders>
            <w:shd w:val="clear" w:color="auto" w:fill="BFBFBF"/>
          </w:tcPr>
          <w:p w14:paraId="4CBD56FF"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r>
              <w:t>`</w:t>
            </w:r>
          </w:p>
        </w:tc>
      </w:tr>
      <w:tr w:rsidR="00BB4E33" w14:paraId="4503743E" w14:textId="77777777" w:rsidTr="00D673D9">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bottom w:val="single" w:sz="4" w:space="0" w:color="FFFFFF" w:themeColor="background1"/>
            </w:tcBorders>
            <w:shd w:val="clear" w:color="auto" w:fill="E9E9E9"/>
          </w:tcPr>
          <w:p w14:paraId="4609DAC8" w14:textId="77777777" w:rsidR="00BB4E33" w:rsidRPr="009C7FCC" w:rsidRDefault="00BB4E33" w:rsidP="007A0718">
            <w:pPr>
              <w:pStyle w:val="Tablebodytextnospaceafter"/>
              <w:jc w:val="right"/>
              <w:rPr>
                <w:b/>
                <w:bCs/>
              </w:rPr>
            </w:pPr>
            <w:r w:rsidRPr="009C7FCC">
              <w:rPr>
                <w:rStyle w:val="Emphasis"/>
                <w:b w:val="0"/>
                <w:bCs w:val="0"/>
              </w:rPr>
              <w:t>(510)</w:t>
            </w:r>
          </w:p>
        </w:tc>
        <w:tc>
          <w:tcPr>
            <w:tcW w:w="1220" w:type="pct"/>
            <w:hideMark/>
          </w:tcPr>
          <w:p w14:paraId="031B12BC"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r>
              <w:t>Purchase of property, plant and equipment</w:t>
            </w:r>
          </w:p>
        </w:tc>
        <w:tc>
          <w:tcPr>
            <w:tcW w:w="458" w:type="pct"/>
            <w:hideMark/>
          </w:tcPr>
          <w:p w14:paraId="40AA753D"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7</w:t>
            </w:r>
          </w:p>
        </w:tc>
        <w:tc>
          <w:tcPr>
            <w:tcW w:w="609" w:type="pct"/>
            <w:tcBorders>
              <w:bottom w:val="nil"/>
            </w:tcBorders>
          </w:tcPr>
          <w:p w14:paraId="66606ED1" w14:textId="5ACFD1CF" w:rsidR="00BB4E33" w:rsidRPr="00B6702A" w:rsidRDefault="005446C8"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Pr>
                <w:rStyle w:val="Emphasis"/>
                <w:b w:val="0"/>
              </w:rPr>
              <w:t>(1,</w:t>
            </w:r>
            <w:r w:rsidR="0071462D">
              <w:rPr>
                <w:rStyle w:val="Emphasis"/>
                <w:b w:val="0"/>
              </w:rPr>
              <w:t>743</w:t>
            </w:r>
            <w:r>
              <w:rPr>
                <w:rStyle w:val="Emphasis"/>
                <w:b w:val="0"/>
              </w:rPr>
              <w:t>)</w:t>
            </w:r>
          </w:p>
        </w:tc>
        <w:tc>
          <w:tcPr>
            <w:tcW w:w="691" w:type="pct"/>
            <w:tcBorders>
              <w:bottom w:val="nil"/>
            </w:tcBorders>
            <w:hideMark/>
          </w:tcPr>
          <w:p w14:paraId="1C88279D"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(2,634)</w:t>
            </w:r>
          </w:p>
        </w:tc>
        <w:tc>
          <w:tcPr>
            <w:tcW w:w="681" w:type="pct"/>
            <w:tcBorders>
              <w:bottom w:val="nil"/>
            </w:tcBorders>
          </w:tcPr>
          <w:p w14:paraId="2E6463CA" w14:textId="77F199AB"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(1</w:t>
            </w:r>
            <w:r w:rsidR="00AC6F69">
              <w:t>,</w:t>
            </w:r>
            <w:r>
              <w:t>850)</w:t>
            </w:r>
          </w:p>
        </w:tc>
        <w:tc>
          <w:tcPr>
            <w:tcW w:w="666" w:type="pct"/>
            <w:tcBorders>
              <w:bottom w:val="nil"/>
            </w:tcBorders>
          </w:tcPr>
          <w:p w14:paraId="5C55073C"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(573)</w:t>
            </w:r>
          </w:p>
        </w:tc>
      </w:tr>
      <w:tr w:rsidR="00BB4E33" w14:paraId="1557476E"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4" w:space="0" w:color="FFFFFF" w:themeColor="background1"/>
              <w:bottom w:val="single" w:sz="4" w:space="0" w:color="FFFFFF" w:themeColor="background1"/>
            </w:tcBorders>
            <w:shd w:val="clear" w:color="auto" w:fill="E9E9E9"/>
            <w:hideMark/>
          </w:tcPr>
          <w:p w14:paraId="308F5A7F" w14:textId="77777777" w:rsidR="00BB4E33" w:rsidRPr="009C7FCC" w:rsidRDefault="00BB4E33" w:rsidP="007A0718">
            <w:pPr>
              <w:pStyle w:val="Tablebodytextnospaceafter"/>
              <w:jc w:val="right"/>
              <w:rPr>
                <w:b/>
                <w:bCs/>
              </w:rPr>
            </w:pPr>
            <w:r w:rsidRPr="009C7FCC">
              <w:rPr>
                <w:rStyle w:val="Emphasis"/>
                <w:b w:val="0"/>
                <w:bCs w:val="0"/>
              </w:rPr>
              <w:t>(726)</w:t>
            </w:r>
          </w:p>
        </w:tc>
        <w:tc>
          <w:tcPr>
            <w:tcW w:w="1220" w:type="pct"/>
            <w:tcBorders>
              <w:bottom w:val="single" w:sz="4" w:space="0" w:color="FFFFFF" w:themeColor="background1"/>
            </w:tcBorders>
            <w:hideMark/>
          </w:tcPr>
          <w:p w14:paraId="068F8A2A"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r>
              <w:t>Purchase of intangible assets – software</w:t>
            </w:r>
          </w:p>
        </w:tc>
        <w:tc>
          <w:tcPr>
            <w:tcW w:w="458" w:type="pct"/>
            <w:hideMark/>
          </w:tcPr>
          <w:p w14:paraId="4BB4206F"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8</w:t>
            </w:r>
          </w:p>
        </w:tc>
        <w:tc>
          <w:tcPr>
            <w:tcW w:w="609" w:type="pct"/>
            <w:tcBorders>
              <w:bottom w:val="single" w:sz="4" w:space="0" w:color="FFFFFF" w:themeColor="background1"/>
            </w:tcBorders>
          </w:tcPr>
          <w:p w14:paraId="584D1E7C" w14:textId="349D60B6" w:rsidR="00BB4E33" w:rsidRPr="00B6702A" w:rsidRDefault="005446C8"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Pr>
                <w:rStyle w:val="Emphasis"/>
                <w:b w:val="0"/>
              </w:rPr>
              <w:t>(1)</w:t>
            </w:r>
          </w:p>
        </w:tc>
        <w:tc>
          <w:tcPr>
            <w:tcW w:w="691" w:type="pct"/>
            <w:tcBorders>
              <w:bottom w:val="single" w:sz="4" w:space="0" w:color="FFFFFF" w:themeColor="background1"/>
            </w:tcBorders>
            <w:hideMark/>
          </w:tcPr>
          <w:p w14:paraId="219764EC"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(210)</w:t>
            </w:r>
          </w:p>
        </w:tc>
        <w:tc>
          <w:tcPr>
            <w:tcW w:w="681" w:type="pct"/>
            <w:tcBorders>
              <w:bottom w:val="single" w:sz="4" w:space="0" w:color="FFFFFF" w:themeColor="background1"/>
            </w:tcBorders>
          </w:tcPr>
          <w:p w14:paraId="48077E76" w14:textId="1FE4A7AA" w:rsidR="00BB4E33" w:rsidRDefault="00C72D4C"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66" w:type="pct"/>
            <w:tcBorders>
              <w:bottom w:val="single" w:sz="4" w:space="0" w:color="FFFFFF" w:themeColor="background1"/>
            </w:tcBorders>
          </w:tcPr>
          <w:p w14:paraId="628B4EB4" w14:textId="2FC00A9F" w:rsidR="00BB4E33" w:rsidRDefault="00C72D4C"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r>
      <w:tr w:rsidR="00BB4E33" w:rsidRPr="00996E74" w14:paraId="4007126D" w14:textId="77777777" w:rsidTr="00D673D9">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4" w:space="0" w:color="FFFFFF" w:themeColor="background1"/>
              <w:bottom w:val="single" w:sz="4" w:space="0" w:color="FFFFFF" w:themeColor="background1"/>
            </w:tcBorders>
            <w:shd w:val="clear" w:color="auto" w:fill="E9E9E9"/>
            <w:hideMark/>
          </w:tcPr>
          <w:p w14:paraId="505BF9FD" w14:textId="77777777" w:rsidR="00BB4E33" w:rsidRPr="009C7FCC" w:rsidRDefault="00BB4E33" w:rsidP="007A0718">
            <w:pPr>
              <w:pStyle w:val="Tablebodytextnospaceafter"/>
              <w:jc w:val="right"/>
              <w:rPr>
                <w:rStyle w:val="Emphasis"/>
                <w:b w:val="0"/>
                <w:bCs w:val="0"/>
              </w:rPr>
            </w:pPr>
            <w:r w:rsidRPr="009C7FCC">
              <w:rPr>
                <w:rStyle w:val="Emphasis"/>
                <w:b w:val="0"/>
                <w:bCs w:val="0"/>
              </w:rPr>
              <w:t>1</w:t>
            </w:r>
          </w:p>
        </w:tc>
        <w:tc>
          <w:tcPr>
            <w:tcW w:w="1220" w:type="pct"/>
            <w:tcBorders>
              <w:bottom w:val="single" w:sz="4" w:space="0" w:color="FFFFFF" w:themeColor="background1"/>
            </w:tcBorders>
            <w:hideMark/>
          </w:tcPr>
          <w:p w14:paraId="73922D22"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r>
              <w:t>Sale/disposal of Property, plant and equipment and Leasehold Improvements</w:t>
            </w:r>
          </w:p>
        </w:tc>
        <w:tc>
          <w:tcPr>
            <w:tcW w:w="458" w:type="pct"/>
          </w:tcPr>
          <w:p w14:paraId="49DA6378" w14:textId="0E84C1F4"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p>
        </w:tc>
        <w:tc>
          <w:tcPr>
            <w:tcW w:w="609" w:type="pct"/>
            <w:tcBorders>
              <w:bottom w:val="single" w:sz="4" w:space="0" w:color="FFFFFF" w:themeColor="background1"/>
            </w:tcBorders>
          </w:tcPr>
          <w:p w14:paraId="5A26BEA5" w14:textId="4E226B51" w:rsidR="00BB4E33" w:rsidRPr="00B6702A" w:rsidRDefault="00C72D4C"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Pr>
                <w:rStyle w:val="Emphasis"/>
                <w:b w:val="0"/>
              </w:rPr>
              <w:t>-</w:t>
            </w:r>
          </w:p>
        </w:tc>
        <w:tc>
          <w:tcPr>
            <w:tcW w:w="691" w:type="pct"/>
            <w:tcBorders>
              <w:bottom w:val="single" w:sz="4" w:space="0" w:color="FFFFFF" w:themeColor="background1"/>
            </w:tcBorders>
            <w:hideMark/>
          </w:tcPr>
          <w:p w14:paraId="1B6CA7CB" w14:textId="77777777" w:rsidR="00BB4E33" w:rsidRPr="009C7FCC"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rsidRPr="009C7FCC">
              <w:t>(88)</w:t>
            </w:r>
          </w:p>
        </w:tc>
        <w:tc>
          <w:tcPr>
            <w:tcW w:w="681" w:type="pct"/>
            <w:tcBorders>
              <w:bottom w:val="single" w:sz="4" w:space="0" w:color="FFFFFF" w:themeColor="background1"/>
            </w:tcBorders>
            <w:hideMark/>
          </w:tcPr>
          <w:p w14:paraId="326DE725" w14:textId="77777777" w:rsidR="00BB4E33" w:rsidRPr="009C7FCC"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rsidRPr="009C7FCC">
              <w:t>-</w:t>
            </w:r>
          </w:p>
        </w:tc>
        <w:tc>
          <w:tcPr>
            <w:tcW w:w="666" w:type="pct"/>
            <w:tcBorders>
              <w:bottom w:val="single" w:sz="4" w:space="0" w:color="FFFFFF" w:themeColor="background1"/>
            </w:tcBorders>
          </w:tcPr>
          <w:p w14:paraId="3D494C76"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w:t>
            </w:r>
          </w:p>
        </w:tc>
      </w:tr>
      <w:tr w:rsidR="004A166E" w14:paraId="2EE38B96"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4" w:space="0" w:color="FFFFFF" w:themeColor="background1"/>
              <w:bottom w:val="single" w:sz="4" w:space="0" w:color="FFFFFF" w:themeColor="background1"/>
              <w:right w:val="single" w:sz="4" w:space="0" w:color="FFFFFF" w:themeColor="background1"/>
            </w:tcBorders>
            <w:hideMark/>
          </w:tcPr>
          <w:p w14:paraId="6A5AA4FB" w14:textId="77777777" w:rsidR="00BB4E33" w:rsidRPr="00B6702A" w:rsidRDefault="00BB4E33" w:rsidP="007A0718">
            <w:pPr>
              <w:pStyle w:val="Tablebodytextnospaceafter"/>
              <w:jc w:val="right"/>
              <w:rPr>
                <w:u w:val="single"/>
              </w:rPr>
            </w:pPr>
            <w:r>
              <w:rPr>
                <w:rStyle w:val="Emphasis"/>
                <w:u w:val="single"/>
              </w:rPr>
              <w:t>(1,235)</w:t>
            </w:r>
          </w:p>
        </w:tc>
        <w:tc>
          <w:tcPr>
            <w:tcW w:w="122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hideMark/>
          </w:tcPr>
          <w:p w14:paraId="327812AB"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Italics"/>
              </w:rPr>
            </w:pPr>
            <w:r>
              <w:rPr>
                <w:rStyle w:val="Italics"/>
              </w:rPr>
              <w:t>Net cash from investing activities</w:t>
            </w:r>
          </w:p>
        </w:tc>
        <w:tc>
          <w:tcPr>
            <w:tcW w:w="458" w:type="pct"/>
            <w:tcBorders>
              <w:left w:val="single" w:sz="4" w:space="0" w:color="FFFFFF" w:themeColor="background1"/>
              <w:bottom w:val="single" w:sz="4" w:space="0" w:color="FFFFFF" w:themeColor="background1"/>
              <w:right w:val="single" w:sz="4" w:space="0" w:color="FFFFFF" w:themeColor="background1"/>
            </w:tcBorders>
            <w:shd w:val="clear" w:color="auto" w:fill="BFBFBF"/>
          </w:tcPr>
          <w:p w14:paraId="4370E9A9"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p>
        </w:tc>
        <w:tc>
          <w:tcPr>
            <w:tcW w:w="609" w:type="pct"/>
            <w:tcBorders>
              <w:top w:val="single" w:sz="4" w:space="0" w:color="FFFFFF" w:themeColor="background1"/>
              <w:left w:val="single" w:sz="4" w:space="0" w:color="FFFFFF" w:themeColor="background1"/>
              <w:bottom w:val="single" w:sz="4" w:space="0" w:color="FFFFFF" w:themeColor="background1"/>
            </w:tcBorders>
            <w:shd w:val="clear" w:color="auto" w:fill="BFBFBF"/>
          </w:tcPr>
          <w:p w14:paraId="5DC0D36E" w14:textId="27AF34FC" w:rsidR="00BB4E33" w:rsidRDefault="005446C8"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u w:val="single"/>
              </w:rPr>
            </w:pPr>
            <w:r>
              <w:rPr>
                <w:rStyle w:val="Emphasis"/>
                <w:u w:val="single"/>
              </w:rPr>
              <w:t>(1,</w:t>
            </w:r>
            <w:r w:rsidR="0071462D">
              <w:rPr>
                <w:rStyle w:val="Emphasis"/>
                <w:u w:val="single"/>
              </w:rPr>
              <w:t>744</w:t>
            </w:r>
            <w:r>
              <w:rPr>
                <w:rStyle w:val="Emphasis"/>
                <w:u w:val="single"/>
              </w:rPr>
              <w:t>)</w:t>
            </w:r>
          </w:p>
        </w:tc>
        <w:tc>
          <w:tcPr>
            <w:tcW w:w="691" w:type="pct"/>
            <w:tcBorders>
              <w:top w:val="single" w:sz="4" w:space="0" w:color="FFFFFF" w:themeColor="background1"/>
              <w:bottom w:val="single" w:sz="4" w:space="0" w:color="FFFFFF" w:themeColor="background1"/>
            </w:tcBorders>
            <w:shd w:val="clear" w:color="auto" w:fill="BFBFBF"/>
            <w:hideMark/>
          </w:tcPr>
          <w:p w14:paraId="497C1766" w14:textId="77777777" w:rsidR="00BB4E33" w:rsidRPr="00B6702A"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b/>
              </w:rPr>
            </w:pPr>
            <w:r>
              <w:rPr>
                <w:b/>
                <w:u w:val="single"/>
              </w:rPr>
              <w:t>(2,932)</w:t>
            </w:r>
          </w:p>
        </w:tc>
        <w:tc>
          <w:tcPr>
            <w:tcW w:w="681" w:type="pct"/>
            <w:tcBorders>
              <w:top w:val="single" w:sz="4" w:space="0" w:color="FFFFFF" w:themeColor="background1"/>
              <w:bottom w:val="single" w:sz="4" w:space="0" w:color="FFFFFF" w:themeColor="background1"/>
            </w:tcBorders>
            <w:shd w:val="clear" w:color="auto" w:fill="BFBFBF"/>
          </w:tcPr>
          <w:p w14:paraId="389A883C" w14:textId="7AA07341" w:rsidR="00BB4E33" w:rsidRPr="00B6702A"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b/>
                <w:u w:val="single"/>
              </w:rPr>
            </w:pPr>
            <w:r>
              <w:rPr>
                <w:b/>
                <w:u w:val="single"/>
              </w:rPr>
              <w:t>(1</w:t>
            </w:r>
            <w:r w:rsidR="00B53233">
              <w:rPr>
                <w:b/>
                <w:u w:val="single"/>
              </w:rPr>
              <w:t>,</w:t>
            </w:r>
            <w:r>
              <w:rPr>
                <w:b/>
                <w:u w:val="single"/>
              </w:rPr>
              <w:t>850)</w:t>
            </w:r>
          </w:p>
        </w:tc>
        <w:tc>
          <w:tcPr>
            <w:tcW w:w="666" w:type="pct"/>
            <w:tcBorders>
              <w:top w:val="single" w:sz="4" w:space="0" w:color="FFFFFF" w:themeColor="background1"/>
              <w:bottom w:val="single" w:sz="4" w:space="0" w:color="FFFFFF" w:themeColor="background1"/>
            </w:tcBorders>
            <w:shd w:val="clear" w:color="auto" w:fill="BFBFBF"/>
          </w:tcPr>
          <w:p w14:paraId="1B693A05" w14:textId="77777777" w:rsidR="00BB4E33" w:rsidRPr="00B6702A"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b/>
                <w:u w:val="single"/>
              </w:rPr>
            </w:pPr>
            <w:r>
              <w:rPr>
                <w:b/>
                <w:u w:val="single"/>
              </w:rPr>
              <w:t>(573)</w:t>
            </w:r>
          </w:p>
        </w:tc>
      </w:tr>
      <w:tr w:rsidR="00BB4E33" w14:paraId="3FBA01B5" w14:textId="77777777" w:rsidTr="00D673D9">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4" w:space="0" w:color="FFFFFF" w:themeColor="background1"/>
              <w:bottom w:val="single" w:sz="8" w:space="0" w:color="FFFFFF" w:themeColor="background1"/>
            </w:tcBorders>
          </w:tcPr>
          <w:p w14:paraId="6A6ED50D" w14:textId="77777777" w:rsidR="00BB4E33" w:rsidRPr="003A0074" w:rsidRDefault="00BB4E33" w:rsidP="007A0718">
            <w:pPr>
              <w:pStyle w:val="Tablebodytextnospaceafter"/>
              <w:jc w:val="right"/>
            </w:pPr>
          </w:p>
        </w:tc>
        <w:tc>
          <w:tcPr>
            <w:tcW w:w="1220" w:type="pct"/>
            <w:tcBorders>
              <w:top w:val="single" w:sz="4" w:space="0" w:color="FFFFFF" w:themeColor="background1"/>
            </w:tcBorders>
            <w:shd w:val="clear" w:color="auto" w:fill="BFBFBF"/>
            <w:hideMark/>
          </w:tcPr>
          <w:p w14:paraId="38F05294"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rPr>
                <w:rStyle w:val="Emphasis"/>
              </w:rPr>
            </w:pPr>
            <w:r>
              <w:rPr>
                <w:rStyle w:val="Emphasis"/>
              </w:rPr>
              <w:t>Cash flows from financing activities</w:t>
            </w:r>
          </w:p>
        </w:tc>
        <w:tc>
          <w:tcPr>
            <w:tcW w:w="458" w:type="pct"/>
            <w:tcBorders>
              <w:top w:val="single" w:sz="4" w:space="0" w:color="FFFFFF" w:themeColor="background1"/>
            </w:tcBorders>
            <w:shd w:val="clear" w:color="auto" w:fill="BFBFBF"/>
          </w:tcPr>
          <w:p w14:paraId="769CBF18"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rPr>
                <w:rStyle w:val="Emphasis"/>
              </w:rPr>
            </w:pPr>
          </w:p>
        </w:tc>
        <w:tc>
          <w:tcPr>
            <w:tcW w:w="609" w:type="pct"/>
            <w:tcBorders>
              <w:top w:val="single" w:sz="4" w:space="0" w:color="FFFFFF" w:themeColor="background1"/>
            </w:tcBorders>
            <w:shd w:val="clear" w:color="auto" w:fill="BFBFBF"/>
          </w:tcPr>
          <w:p w14:paraId="765BF8EC"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rPr>
                <w:rStyle w:val="Emphasis"/>
              </w:rPr>
            </w:pPr>
          </w:p>
        </w:tc>
        <w:tc>
          <w:tcPr>
            <w:tcW w:w="691" w:type="pct"/>
            <w:tcBorders>
              <w:top w:val="single" w:sz="4" w:space="0" w:color="FFFFFF" w:themeColor="background1"/>
            </w:tcBorders>
            <w:shd w:val="clear" w:color="auto" w:fill="BFBFBF"/>
          </w:tcPr>
          <w:p w14:paraId="416963A8"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rPr>
                <w:rStyle w:val="Emphasis"/>
              </w:rPr>
            </w:pPr>
          </w:p>
        </w:tc>
        <w:tc>
          <w:tcPr>
            <w:tcW w:w="681" w:type="pct"/>
            <w:tcBorders>
              <w:top w:val="single" w:sz="4" w:space="0" w:color="FFFFFF" w:themeColor="background1"/>
            </w:tcBorders>
            <w:shd w:val="clear" w:color="auto" w:fill="BFBFBF"/>
          </w:tcPr>
          <w:p w14:paraId="0320E97E"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rPr>
                <w:rStyle w:val="Emphasis"/>
              </w:rPr>
            </w:pPr>
          </w:p>
        </w:tc>
        <w:tc>
          <w:tcPr>
            <w:tcW w:w="666" w:type="pct"/>
            <w:tcBorders>
              <w:top w:val="single" w:sz="4" w:space="0" w:color="FFFFFF" w:themeColor="background1"/>
            </w:tcBorders>
            <w:shd w:val="clear" w:color="auto" w:fill="BFBFBF"/>
          </w:tcPr>
          <w:p w14:paraId="20AA48DD"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p>
        </w:tc>
      </w:tr>
      <w:tr w:rsidR="00BB4E33" w14:paraId="72080D07"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bottom w:val="single" w:sz="8" w:space="0" w:color="FFFFFF" w:themeColor="background1"/>
            </w:tcBorders>
            <w:shd w:val="clear" w:color="auto" w:fill="E9E9E9"/>
            <w:hideMark/>
          </w:tcPr>
          <w:p w14:paraId="5DE048CE" w14:textId="77777777" w:rsidR="00BB4E33" w:rsidRPr="006E6720" w:rsidRDefault="00BB4E33" w:rsidP="007A0718">
            <w:pPr>
              <w:pStyle w:val="Tablebodytextnospaceafter"/>
              <w:jc w:val="right"/>
              <w:rPr>
                <w:b/>
              </w:rPr>
            </w:pPr>
            <w:r>
              <w:rPr>
                <w:rStyle w:val="Emphasis"/>
              </w:rPr>
              <w:t>-</w:t>
            </w:r>
          </w:p>
        </w:tc>
        <w:tc>
          <w:tcPr>
            <w:tcW w:w="1220" w:type="pct"/>
            <w:hideMark/>
          </w:tcPr>
          <w:p w14:paraId="0055EEB1" w14:textId="72F9F7B3" w:rsidR="00BB4E33" w:rsidRDefault="00B53233" w:rsidP="007A0718">
            <w:pPr>
              <w:pStyle w:val="Tablebodytextnospaceafter"/>
              <w:cnfStyle w:val="000000100000" w:firstRow="0" w:lastRow="0" w:firstColumn="0" w:lastColumn="0" w:oddVBand="0" w:evenVBand="0" w:oddHBand="1" w:evenHBand="0" w:firstRowFirstColumn="0" w:firstRowLastColumn="0" w:lastRowFirstColumn="0" w:lastRowLastColumn="0"/>
            </w:pPr>
            <w:r>
              <w:t>Capital withdrawal</w:t>
            </w:r>
            <w:r w:rsidR="00BB4E33">
              <w:t xml:space="preserve"> </w:t>
            </w:r>
          </w:p>
        </w:tc>
        <w:tc>
          <w:tcPr>
            <w:tcW w:w="458" w:type="pct"/>
          </w:tcPr>
          <w:p w14:paraId="7BB2A655"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p>
        </w:tc>
        <w:tc>
          <w:tcPr>
            <w:tcW w:w="609" w:type="pct"/>
          </w:tcPr>
          <w:p w14:paraId="0FA40744"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rPr>
            </w:pPr>
            <w:r>
              <w:rPr>
                <w:rStyle w:val="Emphasis"/>
              </w:rPr>
              <w:t>-</w:t>
            </w:r>
          </w:p>
        </w:tc>
        <w:tc>
          <w:tcPr>
            <w:tcW w:w="691" w:type="pct"/>
            <w:hideMark/>
          </w:tcPr>
          <w:p w14:paraId="22B76B49"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81" w:type="pct"/>
          </w:tcPr>
          <w:p w14:paraId="719B901B"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66" w:type="pct"/>
          </w:tcPr>
          <w:p w14:paraId="77F44BAC" w14:textId="78726DBC"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(7</w:t>
            </w:r>
            <w:r w:rsidR="00B53233">
              <w:t>,</w:t>
            </w:r>
            <w:r>
              <w:t>000)</w:t>
            </w:r>
          </w:p>
        </w:tc>
      </w:tr>
      <w:tr w:rsidR="00BB4E33" w14:paraId="3F59F79F" w14:textId="77777777" w:rsidTr="00D673D9">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8" w:space="0" w:color="FFFFFF" w:themeColor="background1"/>
              <w:bottom w:val="single" w:sz="4" w:space="0" w:color="FFFFFF" w:themeColor="background1"/>
            </w:tcBorders>
            <w:shd w:val="clear" w:color="auto" w:fill="E9E9E9"/>
            <w:hideMark/>
          </w:tcPr>
          <w:p w14:paraId="39E8B603" w14:textId="77777777" w:rsidR="00BB4E33" w:rsidRPr="00B53233" w:rsidRDefault="00BB4E33" w:rsidP="007A0718">
            <w:pPr>
              <w:pStyle w:val="Tablebodytextnospaceafter"/>
              <w:jc w:val="right"/>
              <w:rPr>
                <w:b/>
                <w:bCs/>
              </w:rPr>
            </w:pPr>
            <w:r w:rsidRPr="00B53233">
              <w:rPr>
                <w:rStyle w:val="Emphasis"/>
                <w:b w:val="0"/>
                <w:bCs w:val="0"/>
              </w:rPr>
              <w:t>(9,603)</w:t>
            </w:r>
          </w:p>
        </w:tc>
        <w:tc>
          <w:tcPr>
            <w:tcW w:w="1220" w:type="pct"/>
            <w:tcBorders>
              <w:bottom w:val="single" w:sz="2" w:space="0" w:color="FFFFFF" w:themeColor="background1"/>
            </w:tcBorders>
            <w:hideMark/>
          </w:tcPr>
          <w:p w14:paraId="2F9B5D4B"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r>
              <w:t>Return of operating surplus</w:t>
            </w:r>
          </w:p>
        </w:tc>
        <w:tc>
          <w:tcPr>
            <w:tcW w:w="458" w:type="pct"/>
            <w:tcBorders>
              <w:bottom w:val="single" w:sz="2" w:space="0" w:color="FFFFFF" w:themeColor="background1"/>
            </w:tcBorders>
          </w:tcPr>
          <w:p w14:paraId="7656D5AB"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p>
        </w:tc>
        <w:tc>
          <w:tcPr>
            <w:tcW w:w="609" w:type="pct"/>
            <w:tcBorders>
              <w:bottom w:val="single" w:sz="4" w:space="0" w:color="FFFFFF" w:themeColor="background1"/>
            </w:tcBorders>
          </w:tcPr>
          <w:p w14:paraId="7C4FEFA3" w14:textId="06A779E3" w:rsidR="00BB4E33" w:rsidRPr="00B6702A" w:rsidRDefault="005446C8"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Pr>
                <w:rStyle w:val="Emphasis"/>
                <w:b w:val="0"/>
              </w:rPr>
              <w:t>(7,462)</w:t>
            </w:r>
          </w:p>
        </w:tc>
        <w:tc>
          <w:tcPr>
            <w:tcW w:w="691" w:type="pct"/>
            <w:tcBorders>
              <w:bottom w:val="single" w:sz="4" w:space="0" w:color="FFFFFF" w:themeColor="background1"/>
            </w:tcBorders>
            <w:hideMark/>
          </w:tcPr>
          <w:p w14:paraId="21A93D6C"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w:t>
            </w:r>
          </w:p>
        </w:tc>
        <w:tc>
          <w:tcPr>
            <w:tcW w:w="681" w:type="pct"/>
            <w:tcBorders>
              <w:bottom w:val="single" w:sz="4" w:space="0" w:color="FFFFFF" w:themeColor="background1"/>
            </w:tcBorders>
          </w:tcPr>
          <w:p w14:paraId="74A61FCA"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(7,462)</w:t>
            </w:r>
          </w:p>
        </w:tc>
        <w:tc>
          <w:tcPr>
            <w:tcW w:w="666" w:type="pct"/>
            <w:tcBorders>
              <w:bottom w:val="single" w:sz="4" w:space="0" w:color="FFFFFF" w:themeColor="background1"/>
            </w:tcBorders>
          </w:tcPr>
          <w:p w14:paraId="241E7422"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w:t>
            </w:r>
          </w:p>
        </w:tc>
      </w:tr>
      <w:tr w:rsidR="00BB4E33" w14:paraId="511380AC"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8" w:space="0" w:color="FFFFFF" w:themeColor="background1"/>
              <w:bottom w:val="single" w:sz="4" w:space="0" w:color="FFFFFF" w:themeColor="background1"/>
            </w:tcBorders>
            <w:shd w:val="clear" w:color="auto" w:fill="E9E9E9"/>
          </w:tcPr>
          <w:p w14:paraId="797D5C3C" w14:textId="77777777" w:rsidR="00BB4E33" w:rsidRPr="00B53233" w:rsidRDefault="00BB4E33" w:rsidP="007A0718">
            <w:pPr>
              <w:pStyle w:val="Tablebodytextnospaceafter"/>
              <w:jc w:val="right"/>
              <w:rPr>
                <w:rStyle w:val="Emphasis"/>
                <w:b w:val="0"/>
                <w:bCs w:val="0"/>
              </w:rPr>
            </w:pPr>
            <w:r w:rsidRPr="00B53233">
              <w:rPr>
                <w:rStyle w:val="Emphasis"/>
                <w:b w:val="0"/>
                <w:bCs w:val="0"/>
              </w:rPr>
              <w:t>(751)</w:t>
            </w:r>
          </w:p>
        </w:tc>
        <w:tc>
          <w:tcPr>
            <w:tcW w:w="1220" w:type="pct"/>
            <w:tcBorders>
              <w:bottom w:val="single" w:sz="2" w:space="0" w:color="FFFFFF" w:themeColor="background1"/>
            </w:tcBorders>
          </w:tcPr>
          <w:p w14:paraId="594862F4"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r>
              <w:t>Payment for capital charge</w:t>
            </w:r>
          </w:p>
        </w:tc>
        <w:tc>
          <w:tcPr>
            <w:tcW w:w="458" w:type="pct"/>
            <w:tcBorders>
              <w:bottom w:val="single" w:sz="2" w:space="0" w:color="FFFFFF" w:themeColor="background1"/>
            </w:tcBorders>
          </w:tcPr>
          <w:p w14:paraId="49091FE7"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p>
        </w:tc>
        <w:tc>
          <w:tcPr>
            <w:tcW w:w="609" w:type="pct"/>
            <w:tcBorders>
              <w:bottom w:val="single" w:sz="4" w:space="0" w:color="FFFFFF" w:themeColor="background1"/>
            </w:tcBorders>
          </w:tcPr>
          <w:p w14:paraId="7E19C505" w14:textId="6ED706C6" w:rsidR="00BB4E33" w:rsidRPr="00B6702A" w:rsidRDefault="005446C8"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Pr>
                <w:rStyle w:val="Emphasis"/>
                <w:b w:val="0"/>
              </w:rPr>
              <w:t>(751)</w:t>
            </w:r>
          </w:p>
        </w:tc>
        <w:tc>
          <w:tcPr>
            <w:tcW w:w="691" w:type="pct"/>
            <w:tcBorders>
              <w:bottom w:val="single" w:sz="4" w:space="0" w:color="FFFFFF" w:themeColor="background1"/>
            </w:tcBorders>
          </w:tcPr>
          <w:p w14:paraId="3DA8446E"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(751)</w:t>
            </w:r>
          </w:p>
        </w:tc>
        <w:tc>
          <w:tcPr>
            <w:tcW w:w="681" w:type="pct"/>
            <w:tcBorders>
              <w:bottom w:val="single" w:sz="4" w:space="0" w:color="FFFFFF" w:themeColor="background1"/>
            </w:tcBorders>
          </w:tcPr>
          <w:p w14:paraId="7B561449" w14:textId="77777777" w:rsidR="00BB4E33" w:rsidRPr="006079F9"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color w:val="FF0000"/>
              </w:rPr>
            </w:pPr>
            <w:r>
              <w:rPr>
                <w:color w:val="auto"/>
              </w:rPr>
              <w:t>(751)</w:t>
            </w:r>
          </w:p>
        </w:tc>
        <w:tc>
          <w:tcPr>
            <w:tcW w:w="666" w:type="pct"/>
            <w:tcBorders>
              <w:bottom w:val="single" w:sz="4" w:space="0" w:color="FFFFFF" w:themeColor="background1"/>
            </w:tcBorders>
          </w:tcPr>
          <w:p w14:paraId="30553D0A"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(401)</w:t>
            </w:r>
          </w:p>
        </w:tc>
      </w:tr>
      <w:tr w:rsidR="00BB4E33" w14:paraId="526E0C2C" w14:textId="77777777" w:rsidTr="00D673D9">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4" w:space="0" w:color="FFFFFF" w:themeColor="background1"/>
              <w:bottom w:val="single" w:sz="4" w:space="0" w:color="FFFFFF" w:themeColor="background1"/>
            </w:tcBorders>
            <w:hideMark/>
          </w:tcPr>
          <w:p w14:paraId="743C30BB" w14:textId="77777777" w:rsidR="00BB4E33" w:rsidRPr="00B6702A" w:rsidRDefault="00BB4E33" w:rsidP="007A0718">
            <w:pPr>
              <w:pStyle w:val="Tablebodytextnospaceafter"/>
              <w:jc w:val="right"/>
              <w:rPr>
                <w:u w:val="single"/>
              </w:rPr>
            </w:pPr>
            <w:r>
              <w:rPr>
                <w:rStyle w:val="Emphasis"/>
                <w:u w:val="single"/>
              </w:rPr>
              <w:t>(10,354)</w:t>
            </w:r>
          </w:p>
        </w:tc>
        <w:tc>
          <w:tcPr>
            <w:tcW w:w="1220" w:type="pct"/>
            <w:tcBorders>
              <w:bottom w:val="single" w:sz="4" w:space="0" w:color="FFFFFF" w:themeColor="background1"/>
            </w:tcBorders>
            <w:shd w:val="clear" w:color="auto" w:fill="BFBFBF"/>
            <w:hideMark/>
          </w:tcPr>
          <w:p w14:paraId="44266580"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rPr>
                <w:i/>
              </w:rPr>
            </w:pPr>
            <w:r>
              <w:rPr>
                <w:i/>
              </w:rPr>
              <w:t>Net cash from financing activities</w:t>
            </w:r>
          </w:p>
        </w:tc>
        <w:tc>
          <w:tcPr>
            <w:tcW w:w="458" w:type="pct"/>
            <w:shd w:val="clear" w:color="auto" w:fill="BFBFBF"/>
          </w:tcPr>
          <w:p w14:paraId="1010CB2D"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p>
        </w:tc>
        <w:tc>
          <w:tcPr>
            <w:tcW w:w="609" w:type="pct"/>
            <w:tcBorders>
              <w:top w:val="single" w:sz="4" w:space="0" w:color="FFFFFF" w:themeColor="background1"/>
              <w:bottom w:val="single" w:sz="4" w:space="0" w:color="FFFFFF" w:themeColor="background1"/>
            </w:tcBorders>
            <w:shd w:val="clear" w:color="auto" w:fill="BFBFBF"/>
          </w:tcPr>
          <w:p w14:paraId="6F4F317F" w14:textId="718D9604" w:rsidR="00BB4E33" w:rsidRPr="003D7A86" w:rsidRDefault="005446C8"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highlight w:val="yellow"/>
                <w:u w:val="single"/>
              </w:rPr>
            </w:pPr>
            <w:r w:rsidRPr="005446C8">
              <w:rPr>
                <w:rStyle w:val="Emphasis"/>
                <w:u w:val="single"/>
              </w:rPr>
              <w:t>(8,213)</w:t>
            </w:r>
          </w:p>
        </w:tc>
        <w:tc>
          <w:tcPr>
            <w:tcW w:w="691" w:type="pct"/>
            <w:tcBorders>
              <w:top w:val="single" w:sz="4" w:space="0" w:color="FFFFFF" w:themeColor="background1"/>
              <w:bottom w:val="single" w:sz="4" w:space="0" w:color="FFFFFF" w:themeColor="background1"/>
            </w:tcBorders>
            <w:shd w:val="clear" w:color="auto" w:fill="BFBFBF"/>
            <w:hideMark/>
          </w:tcPr>
          <w:p w14:paraId="4C2ABF29" w14:textId="77777777" w:rsidR="00BB4E33" w:rsidRPr="00B6702A"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rPr>
            </w:pPr>
            <w:r>
              <w:rPr>
                <w:b/>
                <w:u w:val="single"/>
              </w:rPr>
              <w:t>(751)</w:t>
            </w:r>
          </w:p>
        </w:tc>
        <w:tc>
          <w:tcPr>
            <w:tcW w:w="681" w:type="pct"/>
            <w:tcBorders>
              <w:top w:val="single" w:sz="4" w:space="0" w:color="FFFFFF" w:themeColor="background1"/>
              <w:bottom w:val="single" w:sz="4" w:space="0" w:color="FFFFFF" w:themeColor="background1"/>
            </w:tcBorders>
            <w:shd w:val="clear" w:color="auto" w:fill="BFBFBF"/>
          </w:tcPr>
          <w:p w14:paraId="1EF462A3" w14:textId="77777777" w:rsidR="00BB4E33" w:rsidRPr="00B6702A"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(8,213)</w:t>
            </w:r>
          </w:p>
        </w:tc>
        <w:tc>
          <w:tcPr>
            <w:tcW w:w="666" w:type="pct"/>
            <w:tcBorders>
              <w:top w:val="single" w:sz="4" w:space="0" w:color="FFFFFF" w:themeColor="background1"/>
              <w:bottom w:val="single" w:sz="4" w:space="0" w:color="FFFFFF" w:themeColor="background1"/>
            </w:tcBorders>
            <w:shd w:val="clear" w:color="auto" w:fill="BFBFBF"/>
          </w:tcPr>
          <w:p w14:paraId="2078B96B" w14:textId="58E8BF81" w:rsidR="00BB4E33" w:rsidRPr="00B6702A"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(7</w:t>
            </w:r>
            <w:r w:rsidR="00B53233">
              <w:rPr>
                <w:b/>
                <w:u w:val="single"/>
              </w:rPr>
              <w:t>,</w:t>
            </w:r>
            <w:r>
              <w:rPr>
                <w:b/>
                <w:u w:val="single"/>
              </w:rPr>
              <w:t>401)</w:t>
            </w:r>
          </w:p>
        </w:tc>
      </w:tr>
      <w:tr w:rsidR="00BB4E33" w14:paraId="49AD012B"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E9E9"/>
            <w:hideMark/>
          </w:tcPr>
          <w:p w14:paraId="62D5C6B4" w14:textId="77777777" w:rsidR="00BB4E33" w:rsidRPr="00B53233" w:rsidRDefault="00BB4E33" w:rsidP="007A0718">
            <w:pPr>
              <w:pStyle w:val="Tablebodytextnospaceafter"/>
              <w:jc w:val="right"/>
              <w:rPr>
                <w:b/>
                <w:bCs/>
              </w:rPr>
            </w:pPr>
            <w:r w:rsidRPr="00B53233">
              <w:rPr>
                <w:rStyle w:val="Emphasis"/>
                <w:b w:val="0"/>
                <w:bCs w:val="0"/>
              </w:rPr>
              <w:t>(2,048)</w:t>
            </w:r>
          </w:p>
        </w:tc>
        <w:tc>
          <w:tcPr>
            <w:tcW w:w="1220" w:type="pct"/>
            <w:tcBorders>
              <w:top w:val="single" w:sz="4" w:space="0" w:color="FFFFFF" w:themeColor="background1"/>
              <w:left w:val="single" w:sz="4" w:space="0" w:color="FFFFFF" w:themeColor="background1"/>
            </w:tcBorders>
            <w:hideMark/>
          </w:tcPr>
          <w:p w14:paraId="3E34D59C"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r>
              <w:t>Net increase /(decrease) in cash</w:t>
            </w:r>
          </w:p>
        </w:tc>
        <w:tc>
          <w:tcPr>
            <w:tcW w:w="458" w:type="pct"/>
          </w:tcPr>
          <w:p w14:paraId="0BF3A2EF"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p>
        </w:tc>
        <w:tc>
          <w:tcPr>
            <w:tcW w:w="609" w:type="pct"/>
            <w:tcBorders>
              <w:top w:val="single" w:sz="4" w:space="0" w:color="FFFFFF" w:themeColor="background1"/>
            </w:tcBorders>
          </w:tcPr>
          <w:p w14:paraId="1CBE5576" w14:textId="61A5B292" w:rsidR="00BB4E33" w:rsidRPr="00B6702A" w:rsidRDefault="00517DFA"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Pr>
                <w:rStyle w:val="Emphasis"/>
                <w:b w:val="0"/>
              </w:rPr>
              <w:t>(6,560)</w:t>
            </w:r>
          </w:p>
        </w:tc>
        <w:tc>
          <w:tcPr>
            <w:tcW w:w="691" w:type="pct"/>
            <w:tcBorders>
              <w:top w:val="single" w:sz="4" w:space="0" w:color="FFFFFF" w:themeColor="background1"/>
            </w:tcBorders>
            <w:hideMark/>
          </w:tcPr>
          <w:p w14:paraId="4CE150E8"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(1,119)</w:t>
            </w:r>
          </w:p>
        </w:tc>
        <w:tc>
          <w:tcPr>
            <w:tcW w:w="681" w:type="pct"/>
            <w:tcBorders>
              <w:top w:val="single" w:sz="4" w:space="0" w:color="FFFFFF" w:themeColor="background1"/>
            </w:tcBorders>
          </w:tcPr>
          <w:p w14:paraId="7AE9A13B" w14:textId="74079B9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(9,399</w:t>
            </w:r>
            <w:r w:rsidR="00B53233">
              <w:t>)</w:t>
            </w:r>
          </w:p>
        </w:tc>
        <w:tc>
          <w:tcPr>
            <w:tcW w:w="666" w:type="pct"/>
            <w:tcBorders>
              <w:top w:val="single" w:sz="4" w:space="0" w:color="FFFFFF" w:themeColor="background1"/>
            </w:tcBorders>
          </w:tcPr>
          <w:p w14:paraId="6FDB432D" w14:textId="77777777" w:rsidR="00BB4E33"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(6,156)</w:t>
            </w:r>
          </w:p>
        </w:tc>
      </w:tr>
      <w:tr w:rsidR="00BB4E33" w14:paraId="4774CE03" w14:textId="77777777" w:rsidTr="00D673D9">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4" w:space="0" w:color="FFFFFF" w:themeColor="background1"/>
              <w:bottom w:val="single" w:sz="4" w:space="0" w:color="FFFFFF" w:themeColor="background1"/>
              <w:right w:val="single" w:sz="4" w:space="0" w:color="FFFFFF" w:themeColor="background1"/>
            </w:tcBorders>
            <w:shd w:val="clear" w:color="auto" w:fill="E9E9E9"/>
            <w:hideMark/>
          </w:tcPr>
          <w:p w14:paraId="0D12B726" w14:textId="77777777" w:rsidR="00BB4E33" w:rsidRPr="00B53233" w:rsidRDefault="00BB4E33" w:rsidP="007A0718">
            <w:pPr>
              <w:pStyle w:val="Tablebodytextnospaceafter"/>
              <w:jc w:val="right"/>
              <w:rPr>
                <w:b/>
                <w:bCs/>
              </w:rPr>
            </w:pPr>
            <w:r w:rsidRPr="00B53233">
              <w:rPr>
                <w:rStyle w:val="Emphasis"/>
                <w:b w:val="0"/>
                <w:bCs w:val="0"/>
              </w:rPr>
              <w:t>22,108</w:t>
            </w:r>
          </w:p>
        </w:tc>
        <w:tc>
          <w:tcPr>
            <w:tcW w:w="1220" w:type="pct"/>
            <w:tcBorders>
              <w:left w:val="single" w:sz="4" w:space="0" w:color="FFFFFF" w:themeColor="background1"/>
            </w:tcBorders>
            <w:hideMark/>
          </w:tcPr>
          <w:p w14:paraId="2208EF31"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r>
              <w:t>Cash at beginning of the year</w:t>
            </w:r>
          </w:p>
        </w:tc>
        <w:tc>
          <w:tcPr>
            <w:tcW w:w="458" w:type="pct"/>
          </w:tcPr>
          <w:p w14:paraId="4BCD0218" w14:textId="77777777" w:rsidR="00BB4E33" w:rsidRDefault="00BB4E33" w:rsidP="007A0718">
            <w:pPr>
              <w:pStyle w:val="Tablebodytextnospaceafter"/>
              <w:cnfStyle w:val="000000010000" w:firstRow="0" w:lastRow="0" w:firstColumn="0" w:lastColumn="0" w:oddVBand="0" w:evenVBand="0" w:oddHBand="0" w:evenHBand="1" w:firstRowFirstColumn="0" w:firstRowLastColumn="0" w:lastRowFirstColumn="0" w:lastRowLastColumn="0"/>
            </w:pPr>
          </w:p>
        </w:tc>
        <w:tc>
          <w:tcPr>
            <w:tcW w:w="609" w:type="pct"/>
            <w:tcBorders>
              <w:bottom w:val="single" w:sz="4" w:space="0" w:color="FFFFFF" w:themeColor="background1"/>
            </w:tcBorders>
          </w:tcPr>
          <w:p w14:paraId="12D61DA6" w14:textId="689E18AA" w:rsidR="00BB4E33" w:rsidRPr="00B6702A" w:rsidRDefault="00517DFA"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Pr>
                <w:rStyle w:val="Emphasis"/>
                <w:b w:val="0"/>
              </w:rPr>
              <w:t>20,060</w:t>
            </w:r>
          </w:p>
        </w:tc>
        <w:tc>
          <w:tcPr>
            <w:tcW w:w="691" w:type="pct"/>
            <w:tcBorders>
              <w:bottom w:val="single" w:sz="4" w:space="0" w:color="FFFFFF" w:themeColor="background1"/>
            </w:tcBorders>
            <w:hideMark/>
          </w:tcPr>
          <w:p w14:paraId="3B3C355C"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11,067</w:t>
            </w:r>
          </w:p>
        </w:tc>
        <w:tc>
          <w:tcPr>
            <w:tcW w:w="681" w:type="pct"/>
            <w:tcBorders>
              <w:bottom w:val="single" w:sz="4" w:space="0" w:color="FFFFFF" w:themeColor="background1"/>
            </w:tcBorders>
          </w:tcPr>
          <w:p w14:paraId="0FD7CBEA" w14:textId="77777777" w:rsidR="00BB4E33" w:rsidRPr="00970601"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20,060</w:t>
            </w:r>
          </w:p>
        </w:tc>
        <w:tc>
          <w:tcPr>
            <w:tcW w:w="666" w:type="pct"/>
            <w:tcBorders>
              <w:bottom w:val="single" w:sz="4" w:space="0" w:color="FFFFFF" w:themeColor="background1"/>
            </w:tcBorders>
          </w:tcPr>
          <w:p w14:paraId="64B67A0A" w14:textId="77777777" w:rsidR="00BB4E33" w:rsidRDefault="00BB4E33"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10,661</w:t>
            </w:r>
          </w:p>
        </w:tc>
      </w:tr>
      <w:tr w:rsidR="00BB4E33" w14:paraId="79145BB0" w14:textId="77777777" w:rsidTr="00D673D9">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674" w:type="pct"/>
            <w:tcBorders>
              <w:top w:val="single" w:sz="4" w:space="0" w:color="FFFFFF" w:themeColor="background1"/>
              <w:bottom w:val="single" w:sz="4" w:space="0" w:color="FFFFFF" w:themeColor="background1"/>
            </w:tcBorders>
            <w:hideMark/>
          </w:tcPr>
          <w:p w14:paraId="67103702" w14:textId="77777777" w:rsidR="00BB4E33" w:rsidRPr="00B53233" w:rsidRDefault="00BB4E33" w:rsidP="007A0718">
            <w:pPr>
              <w:pStyle w:val="Tablebodytextnospaceafter"/>
              <w:jc w:val="right"/>
              <w:rPr>
                <w:b/>
                <w:u w:val="single"/>
              </w:rPr>
            </w:pPr>
            <w:r w:rsidRPr="00B53233">
              <w:rPr>
                <w:rStyle w:val="Emphasis"/>
                <w:u w:val="single"/>
              </w:rPr>
              <w:t>20,060</w:t>
            </w:r>
          </w:p>
        </w:tc>
        <w:tc>
          <w:tcPr>
            <w:tcW w:w="1220" w:type="pct"/>
            <w:shd w:val="clear" w:color="auto" w:fill="BFBFBF"/>
            <w:hideMark/>
          </w:tcPr>
          <w:p w14:paraId="741B3378"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rPr>
                <w:rStyle w:val="Emphasis"/>
              </w:rPr>
            </w:pPr>
            <w:r>
              <w:rPr>
                <w:rStyle w:val="Emphasis"/>
              </w:rPr>
              <w:t>Cash at end of the year</w:t>
            </w:r>
          </w:p>
        </w:tc>
        <w:tc>
          <w:tcPr>
            <w:tcW w:w="458" w:type="pct"/>
            <w:shd w:val="clear" w:color="auto" w:fill="BFBFBF"/>
          </w:tcPr>
          <w:p w14:paraId="52928A70" w14:textId="77777777" w:rsidR="00BB4E33" w:rsidRDefault="00BB4E33" w:rsidP="007A0718">
            <w:pPr>
              <w:pStyle w:val="Tablebodytextnospaceafter"/>
              <w:cnfStyle w:val="000000100000" w:firstRow="0" w:lastRow="0" w:firstColumn="0" w:lastColumn="0" w:oddVBand="0" w:evenVBand="0" w:oddHBand="1" w:evenHBand="0" w:firstRowFirstColumn="0" w:firstRowLastColumn="0" w:lastRowFirstColumn="0" w:lastRowLastColumn="0"/>
            </w:pPr>
          </w:p>
        </w:tc>
        <w:tc>
          <w:tcPr>
            <w:tcW w:w="609" w:type="pct"/>
            <w:tcBorders>
              <w:top w:val="single" w:sz="4" w:space="0" w:color="FFFFFF" w:themeColor="background1"/>
              <w:bottom w:val="single" w:sz="4" w:space="0" w:color="FFFFFF" w:themeColor="background1"/>
            </w:tcBorders>
            <w:shd w:val="clear" w:color="auto" w:fill="BFBFBF"/>
          </w:tcPr>
          <w:p w14:paraId="5AD5D0AA" w14:textId="41D78C24" w:rsidR="00BB4E33" w:rsidRPr="00C2590A" w:rsidRDefault="00517DFA"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u w:val="single"/>
              </w:rPr>
            </w:pPr>
            <w:r>
              <w:rPr>
                <w:rStyle w:val="Emphasis"/>
                <w:u w:val="single"/>
              </w:rPr>
              <w:t>13,500</w:t>
            </w:r>
          </w:p>
        </w:tc>
        <w:tc>
          <w:tcPr>
            <w:tcW w:w="691" w:type="pct"/>
            <w:tcBorders>
              <w:top w:val="single" w:sz="4" w:space="0" w:color="FFFFFF" w:themeColor="background1"/>
              <w:bottom w:val="single" w:sz="4" w:space="0" w:color="FFFFFF" w:themeColor="background1"/>
            </w:tcBorders>
            <w:shd w:val="clear" w:color="auto" w:fill="BFBFBF"/>
            <w:hideMark/>
          </w:tcPr>
          <w:p w14:paraId="57B2EBC3" w14:textId="77777777" w:rsidR="00BB4E33" w:rsidRPr="00B6702A"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b/>
              </w:rPr>
            </w:pPr>
            <w:r>
              <w:rPr>
                <w:b/>
                <w:u w:val="single"/>
              </w:rPr>
              <w:t>9,948</w:t>
            </w:r>
          </w:p>
        </w:tc>
        <w:tc>
          <w:tcPr>
            <w:tcW w:w="681" w:type="pct"/>
            <w:tcBorders>
              <w:top w:val="single" w:sz="4" w:space="0" w:color="FFFFFF" w:themeColor="background1"/>
              <w:bottom w:val="single" w:sz="4" w:space="0" w:color="FFFFFF" w:themeColor="background1"/>
            </w:tcBorders>
            <w:shd w:val="clear" w:color="auto" w:fill="BFBFBF"/>
          </w:tcPr>
          <w:p w14:paraId="060B8829" w14:textId="77777777" w:rsidR="00BB4E33" w:rsidRPr="00B6702A"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b/>
                <w:u w:val="single"/>
              </w:rPr>
            </w:pPr>
            <w:r>
              <w:rPr>
                <w:b/>
                <w:u w:val="single"/>
              </w:rPr>
              <w:t>10,661</w:t>
            </w:r>
          </w:p>
        </w:tc>
        <w:tc>
          <w:tcPr>
            <w:tcW w:w="666" w:type="pct"/>
            <w:tcBorders>
              <w:top w:val="single" w:sz="4" w:space="0" w:color="FFFFFF" w:themeColor="background1"/>
              <w:bottom w:val="single" w:sz="4" w:space="0" w:color="FFFFFF" w:themeColor="background1"/>
            </w:tcBorders>
            <w:shd w:val="clear" w:color="auto" w:fill="BFBFBF"/>
          </w:tcPr>
          <w:p w14:paraId="03734B17" w14:textId="77777777" w:rsidR="00BB4E33" w:rsidRPr="00B6702A" w:rsidRDefault="00BB4E33"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b/>
                <w:u w:val="single"/>
              </w:rPr>
            </w:pPr>
            <w:r>
              <w:rPr>
                <w:b/>
                <w:u w:val="single"/>
              </w:rPr>
              <w:t>4,505</w:t>
            </w:r>
          </w:p>
        </w:tc>
      </w:tr>
    </w:tbl>
    <w:p w14:paraId="7AE3618F" w14:textId="2D012B26" w:rsidR="000F14F7" w:rsidRPr="000F14F7" w:rsidRDefault="000F14F7" w:rsidP="000F14F7">
      <w:pPr>
        <w:pStyle w:val="Tablesinglespacedparagraph"/>
      </w:pPr>
      <w:bookmarkStart w:id="85" w:name="_Reconciliation_of_net"/>
      <w:bookmarkEnd w:id="85"/>
      <w:r w:rsidRPr="000F14F7">
        <w:rPr>
          <w:rStyle w:val="Italics"/>
          <w:i w:val="0"/>
          <w:iCs/>
          <w:color w:val="auto"/>
        </w:rPr>
        <w:t>* Unaudited.</w:t>
      </w:r>
    </w:p>
    <w:p w14:paraId="3C602ED8" w14:textId="12B312C2" w:rsidR="00E423CB" w:rsidRDefault="00E423CB" w:rsidP="00623386">
      <w:pPr>
        <w:pStyle w:val="Heading2"/>
      </w:pPr>
      <w:bookmarkStart w:id="86" w:name="_Reconciliation_of_net_1"/>
      <w:bookmarkEnd w:id="86"/>
      <w:r>
        <w:t xml:space="preserve">Reconciliation of net surplus to net cash flow from operating activities </w:t>
      </w:r>
      <w:r w:rsidR="007A480D">
        <w:t xml:space="preserve">as </w:t>
      </w:r>
      <w:proofErr w:type="gramStart"/>
      <w:r w:rsidR="007A480D">
        <w:t>at</w:t>
      </w:r>
      <w:proofErr w:type="gramEnd"/>
      <w:r w:rsidR="007A480D">
        <w:t xml:space="preserve"> 30 June 2026</w:t>
      </w:r>
    </w:p>
    <w:tbl>
      <w:tblPr>
        <w:tblStyle w:val="TableGridAnnualReport4"/>
        <w:tblW w:w="9336" w:type="dxa"/>
        <w:tblInd w:w="0" w:type="dxa"/>
        <w:tblLayout w:type="fixed"/>
        <w:tblLook w:val="04A0" w:firstRow="1" w:lastRow="0" w:firstColumn="1" w:lastColumn="0" w:noHBand="0" w:noVBand="1"/>
        <w:tblCaption w:val="Statement of cash flows for the year ended 30 June 2017"/>
      </w:tblPr>
      <w:tblGrid>
        <w:gridCol w:w="1383"/>
        <w:gridCol w:w="6821"/>
        <w:gridCol w:w="1132"/>
      </w:tblGrid>
      <w:tr w:rsidR="005828D0" w14:paraId="007F82FA" w14:textId="77777777" w:rsidTr="00D76AEF">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741" w:type="pct"/>
            <w:shd w:val="clear" w:color="auto" w:fill="017E5D"/>
            <w:hideMark/>
          </w:tcPr>
          <w:p w14:paraId="30D611B1" w14:textId="77777777" w:rsidR="005828D0" w:rsidRPr="005A7924" w:rsidRDefault="005828D0" w:rsidP="007A0718">
            <w:pPr>
              <w:pStyle w:val="Tableheadingrow1"/>
              <w:jc w:val="right"/>
              <w:rPr>
                <w:sz w:val="22"/>
              </w:rPr>
            </w:pPr>
            <w:r w:rsidRPr="005A7924">
              <w:rPr>
                <w:sz w:val="22"/>
              </w:rPr>
              <w:t>Actual</w:t>
            </w:r>
          </w:p>
          <w:p w14:paraId="1F718B7E" w14:textId="77777777" w:rsidR="005828D0" w:rsidRDefault="005828D0" w:rsidP="007A0718">
            <w:pPr>
              <w:pStyle w:val="Tableheadingrow1"/>
              <w:jc w:val="right"/>
            </w:pPr>
            <w:r w:rsidRPr="005A7924">
              <w:rPr>
                <w:sz w:val="22"/>
              </w:rPr>
              <w:t>202</w:t>
            </w:r>
            <w:r>
              <w:rPr>
                <w:sz w:val="22"/>
              </w:rPr>
              <w:t>4</w:t>
            </w:r>
            <w:r w:rsidRPr="005A7924">
              <w:rPr>
                <w:sz w:val="22"/>
              </w:rPr>
              <w:t>/2</w:t>
            </w:r>
            <w:r>
              <w:rPr>
                <w:sz w:val="22"/>
              </w:rPr>
              <w:t>5</w:t>
            </w:r>
            <w:r w:rsidRPr="005A7924">
              <w:rPr>
                <w:sz w:val="22"/>
              </w:rPr>
              <w:br/>
              <w:t>$(000)</w:t>
            </w:r>
          </w:p>
        </w:tc>
        <w:tc>
          <w:tcPr>
            <w:tcW w:w="3653" w:type="pct"/>
            <w:shd w:val="clear" w:color="auto" w:fill="017E5D"/>
          </w:tcPr>
          <w:p w14:paraId="62013298" w14:textId="77777777" w:rsidR="005828D0" w:rsidRDefault="005828D0" w:rsidP="007A0718">
            <w:pPr>
              <w:pStyle w:val="Tableheadingrow1"/>
              <w:jc w:val="right"/>
              <w:cnfStyle w:val="100000000000" w:firstRow="1" w:lastRow="0" w:firstColumn="0" w:lastColumn="0" w:oddVBand="0" w:evenVBand="0" w:oddHBand="0" w:evenHBand="0" w:firstRowFirstColumn="0" w:firstRowLastColumn="0" w:lastRowFirstColumn="0" w:lastRowLastColumn="0"/>
            </w:pPr>
          </w:p>
        </w:tc>
        <w:tc>
          <w:tcPr>
            <w:tcW w:w="606" w:type="pct"/>
            <w:shd w:val="clear" w:color="auto" w:fill="017E5D"/>
            <w:hideMark/>
          </w:tcPr>
          <w:p w14:paraId="62FED88B" w14:textId="77777777" w:rsidR="005828D0" w:rsidRPr="005A7924" w:rsidRDefault="005828D0" w:rsidP="007A0718">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sidRPr="005A7924">
              <w:rPr>
                <w:sz w:val="22"/>
              </w:rPr>
              <w:t>Actual</w:t>
            </w:r>
          </w:p>
          <w:p w14:paraId="65C638D7" w14:textId="62E8E6FD" w:rsidR="005828D0" w:rsidRDefault="005828D0" w:rsidP="007A0718">
            <w:pPr>
              <w:pStyle w:val="Tableheadingrow1"/>
              <w:jc w:val="right"/>
              <w:cnfStyle w:val="100000000000" w:firstRow="1" w:lastRow="0" w:firstColumn="0" w:lastColumn="0" w:oddVBand="0" w:evenVBand="0" w:oddHBand="0" w:evenHBand="0" w:firstRowFirstColumn="0" w:firstRowLastColumn="0" w:lastRowFirstColumn="0" w:lastRowLastColumn="0"/>
            </w:pPr>
            <w:r w:rsidRPr="005A7924">
              <w:rPr>
                <w:sz w:val="22"/>
              </w:rPr>
              <w:t>202</w:t>
            </w:r>
            <w:r>
              <w:rPr>
                <w:sz w:val="22"/>
              </w:rPr>
              <w:t>5</w:t>
            </w:r>
            <w:r w:rsidRPr="005A7924">
              <w:rPr>
                <w:sz w:val="22"/>
              </w:rPr>
              <w:t>/2</w:t>
            </w:r>
            <w:r>
              <w:rPr>
                <w:sz w:val="22"/>
              </w:rPr>
              <w:t>6</w:t>
            </w:r>
            <w:r w:rsidRPr="005A7924">
              <w:rPr>
                <w:sz w:val="22"/>
              </w:rPr>
              <w:br/>
              <w:t>$(000)</w:t>
            </w:r>
          </w:p>
        </w:tc>
      </w:tr>
      <w:tr w:rsidR="005828D0" w14:paraId="5ACAF4CD" w14:textId="77777777" w:rsidTr="00D76AEF">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bottom w:val="single" w:sz="8" w:space="0" w:color="FFFFFF" w:themeColor="background1"/>
            </w:tcBorders>
            <w:shd w:val="clear" w:color="auto" w:fill="E9E9E9"/>
          </w:tcPr>
          <w:p w14:paraId="36D04F64" w14:textId="77777777" w:rsidR="005828D0" w:rsidRPr="00DC3BC9" w:rsidRDefault="005828D0" w:rsidP="007A0718">
            <w:pPr>
              <w:pStyle w:val="Tablebodytextnospaceafter"/>
              <w:jc w:val="right"/>
            </w:pPr>
            <w:r>
              <w:t>7,462</w:t>
            </w:r>
          </w:p>
        </w:tc>
        <w:tc>
          <w:tcPr>
            <w:tcW w:w="3653" w:type="pct"/>
            <w:hideMark/>
          </w:tcPr>
          <w:p w14:paraId="70828D5D" w14:textId="77777777" w:rsidR="005828D0" w:rsidRPr="00171B99" w:rsidRDefault="005828D0" w:rsidP="007A0718">
            <w:pPr>
              <w:pStyle w:val="Tablebodytextnospaceafter"/>
              <w:cnfStyle w:val="000000100000" w:firstRow="0" w:lastRow="0" w:firstColumn="0" w:lastColumn="0" w:oddVBand="0" w:evenVBand="0" w:oddHBand="1" w:evenHBand="0" w:firstRowFirstColumn="0" w:firstRowLastColumn="0" w:lastRowFirstColumn="0" w:lastRowLastColumn="0"/>
              <w:rPr>
                <w:b/>
              </w:rPr>
            </w:pPr>
            <w:r>
              <w:rPr>
                <w:b/>
              </w:rPr>
              <w:t>Net surplus</w:t>
            </w:r>
          </w:p>
        </w:tc>
        <w:tc>
          <w:tcPr>
            <w:tcW w:w="606" w:type="pct"/>
          </w:tcPr>
          <w:p w14:paraId="5B760C83" w14:textId="0896C375" w:rsidR="005828D0" w:rsidRPr="00DC3BC9" w:rsidRDefault="009F5A2D"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2,071</w:t>
            </w:r>
          </w:p>
        </w:tc>
      </w:tr>
      <w:tr w:rsidR="005828D0" w14:paraId="77A53A25" w14:textId="77777777" w:rsidTr="00D76AEF">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bottom w:val="single" w:sz="8" w:space="0" w:color="FFFFFF" w:themeColor="background1"/>
            </w:tcBorders>
            <w:shd w:val="clear" w:color="auto" w:fill="E9E9E9"/>
          </w:tcPr>
          <w:p w14:paraId="371E35F0" w14:textId="77777777" w:rsidR="005828D0" w:rsidRPr="00DC3BC9" w:rsidRDefault="005828D0" w:rsidP="007A0718">
            <w:pPr>
              <w:pStyle w:val="Tablebodytextnospaceafter"/>
              <w:jc w:val="right"/>
            </w:pPr>
          </w:p>
        </w:tc>
        <w:tc>
          <w:tcPr>
            <w:tcW w:w="3653" w:type="pct"/>
            <w:hideMark/>
          </w:tcPr>
          <w:p w14:paraId="1D080D62" w14:textId="77777777" w:rsidR="005828D0" w:rsidRPr="00171B99" w:rsidRDefault="005828D0" w:rsidP="007A0718">
            <w:pPr>
              <w:pStyle w:val="Tablebodytextnospaceafter"/>
              <w:cnfStyle w:val="000000010000" w:firstRow="0" w:lastRow="0" w:firstColumn="0" w:lastColumn="0" w:oddVBand="0" w:evenVBand="0" w:oddHBand="0" w:evenHBand="1" w:firstRowFirstColumn="0" w:firstRowLastColumn="0" w:lastRowFirstColumn="0" w:lastRowLastColumn="0"/>
              <w:rPr>
                <w:b/>
              </w:rPr>
            </w:pPr>
            <w:r>
              <w:rPr>
                <w:b/>
              </w:rPr>
              <w:t>Add/(less) non-cash items</w:t>
            </w:r>
          </w:p>
        </w:tc>
        <w:tc>
          <w:tcPr>
            <w:tcW w:w="606" w:type="pct"/>
          </w:tcPr>
          <w:p w14:paraId="58F6303B" w14:textId="77777777" w:rsidR="005828D0" w:rsidRPr="00DC3BC9" w:rsidRDefault="005828D0"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p>
        </w:tc>
      </w:tr>
      <w:tr w:rsidR="005828D0" w14:paraId="0F6BC523" w14:textId="77777777" w:rsidTr="00D76AEF">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bottom w:val="single" w:sz="8" w:space="0" w:color="FFFFFF" w:themeColor="background1"/>
            </w:tcBorders>
            <w:shd w:val="clear" w:color="auto" w:fill="E9E9E9"/>
          </w:tcPr>
          <w:p w14:paraId="18B4A12B" w14:textId="77777777" w:rsidR="005828D0" w:rsidRPr="00DC3BC9" w:rsidRDefault="005828D0" w:rsidP="007A0718">
            <w:pPr>
              <w:pStyle w:val="Tablebodytextnospaceafter"/>
              <w:jc w:val="right"/>
            </w:pPr>
            <w:r>
              <w:t>1,426</w:t>
            </w:r>
          </w:p>
        </w:tc>
        <w:tc>
          <w:tcPr>
            <w:tcW w:w="3653" w:type="pct"/>
            <w:hideMark/>
          </w:tcPr>
          <w:p w14:paraId="6497AEAF" w14:textId="77777777" w:rsidR="005828D0" w:rsidRDefault="005828D0" w:rsidP="007A0718">
            <w:pPr>
              <w:pStyle w:val="Tablebodytextnospaceafter"/>
              <w:cnfStyle w:val="000000100000" w:firstRow="0" w:lastRow="0" w:firstColumn="0" w:lastColumn="0" w:oddVBand="0" w:evenVBand="0" w:oddHBand="1" w:evenHBand="0" w:firstRowFirstColumn="0" w:firstRowLastColumn="0" w:lastRowFirstColumn="0" w:lastRowLastColumn="0"/>
            </w:pPr>
            <w:r>
              <w:t>Depreciation and amortisation expense</w:t>
            </w:r>
          </w:p>
        </w:tc>
        <w:tc>
          <w:tcPr>
            <w:tcW w:w="606" w:type="pct"/>
          </w:tcPr>
          <w:p w14:paraId="2A155507" w14:textId="5D8A079F" w:rsidR="005828D0" w:rsidRPr="00DC3BC9" w:rsidRDefault="009F5A2D"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1,457</w:t>
            </w:r>
          </w:p>
        </w:tc>
      </w:tr>
      <w:tr w:rsidR="005828D0" w14:paraId="1AF146A3" w14:textId="77777777" w:rsidTr="00D76AEF">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bottom w:val="single" w:sz="8" w:space="0" w:color="FFFFFF" w:themeColor="background1"/>
            </w:tcBorders>
            <w:shd w:val="clear" w:color="auto" w:fill="BFBFBF" w:themeFill="background1" w:themeFillShade="BF"/>
          </w:tcPr>
          <w:p w14:paraId="34769027" w14:textId="77777777" w:rsidR="005828D0" w:rsidRPr="00980877" w:rsidRDefault="005828D0" w:rsidP="007A0718">
            <w:pPr>
              <w:pStyle w:val="Tablebodytextnospaceafter"/>
              <w:jc w:val="right"/>
              <w:rPr>
                <w:b/>
                <w:u w:val="single"/>
              </w:rPr>
            </w:pPr>
            <w:r>
              <w:rPr>
                <w:b/>
                <w:u w:val="single"/>
              </w:rPr>
              <w:t>8,888</w:t>
            </w:r>
          </w:p>
        </w:tc>
        <w:tc>
          <w:tcPr>
            <w:tcW w:w="3653" w:type="pct"/>
            <w:shd w:val="clear" w:color="auto" w:fill="BFBFBF" w:themeFill="background1" w:themeFillShade="BF"/>
          </w:tcPr>
          <w:p w14:paraId="43850A19" w14:textId="77777777" w:rsidR="005828D0" w:rsidRDefault="005828D0" w:rsidP="007A0718">
            <w:pPr>
              <w:pStyle w:val="Tablebodytextnospaceafter"/>
              <w:cnfStyle w:val="000000010000" w:firstRow="0" w:lastRow="0" w:firstColumn="0" w:lastColumn="0" w:oddVBand="0" w:evenVBand="0" w:oddHBand="0" w:evenHBand="1" w:firstRowFirstColumn="0" w:firstRowLastColumn="0" w:lastRowFirstColumn="0" w:lastRowLastColumn="0"/>
              <w:rPr>
                <w:b/>
                <w:i/>
              </w:rPr>
            </w:pPr>
            <w:r>
              <w:rPr>
                <w:b/>
                <w:i/>
              </w:rPr>
              <w:t>Total non-cash items</w:t>
            </w:r>
          </w:p>
        </w:tc>
        <w:tc>
          <w:tcPr>
            <w:tcW w:w="606" w:type="pct"/>
            <w:shd w:val="clear" w:color="auto" w:fill="BFBFBF" w:themeFill="background1" w:themeFillShade="BF"/>
          </w:tcPr>
          <w:p w14:paraId="61E14A6E" w14:textId="28F54D4D" w:rsidR="005828D0" w:rsidRPr="00980877" w:rsidRDefault="009F5A2D"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3,528</w:t>
            </w:r>
          </w:p>
        </w:tc>
      </w:tr>
      <w:tr w:rsidR="005828D0" w14:paraId="653CEB1F" w14:textId="77777777" w:rsidTr="00D76AEF">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8" w:space="0" w:color="FFFFFF" w:themeColor="background1"/>
              <w:bottom w:val="single" w:sz="4" w:space="0" w:color="FFFFFF" w:themeColor="background1"/>
            </w:tcBorders>
            <w:shd w:val="clear" w:color="auto" w:fill="E9E9E9"/>
            <w:hideMark/>
          </w:tcPr>
          <w:p w14:paraId="352FAB8A" w14:textId="77777777" w:rsidR="005828D0" w:rsidRDefault="005828D0" w:rsidP="007A0718">
            <w:pPr>
              <w:pStyle w:val="Tablebodytextnospaceafter"/>
              <w:jc w:val="center"/>
              <w:rPr>
                <w:b/>
              </w:rPr>
            </w:pPr>
          </w:p>
        </w:tc>
        <w:tc>
          <w:tcPr>
            <w:tcW w:w="3653" w:type="pct"/>
            <w:tcBorders>
              <w:bottom w:val="single" w:sz="4" w:space="0" w:color="FFFFFF" w:themeColor="background1"/>
            </w:tcBorders>
          </w:tcPr>
          <w:p w14:paraId="00D49C30" w14:textId="77777777" w:rsidR="005828D0" w:rsidRPr="006567A0" w:rsidRDefault="005828D0" w:rsidP="007A0718">
            <w:pPr>
              <w:pStyle w:val="Tablebodytextnospaceafter"/>
              <w:cnfStyle w:val="000000100000" w:firstRow="0" w:lastRow="0" w:firstColumn="0" w:lastColumn="0" w:oddVBand="0" w:evenVBand="0" w:oddHBand="1" w:evenHBand="0" w:firstRowFirstColumn="0" w:firstRowLastColumn="0" w:lastRowFirstColumn="0" w:lastRowLastColumn="0"/>
              <w:rPr>
                <w:b/>
              </w:rPr>
            </w:pPr>
            <w:r>
              <w:rPr>
                <w:b/>
              </w:rPr>
              <w:t xml:space="preserve">Add/(less) items classified as investing or financing activities </w:t>
            </w:r>
          </w:p>
        </w:tc>
        <w:tc>
          <w:tcPr>
            <w:tcW w:w="606" w:type="pct"/>
            <w:tcBorders>
              <w:bottom w:val="single" w:sz="4" w:space="0" w:color="FFFFFF" w:themeColor="background1"/>
              <w:right w:val="single" w:sz="4" w:space="0" w:color="FFFFFF" w:themeColor="background1"/>
            </w:tcBorders>
          </w:tcPr>
          <w:p w14:paraId="777882C0" w14:textId="77777777" w:rsidR="005828D0" w:rsidRPr="0065211D" w:rsidRDefault="005828D0"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p>
        </w:tc>
      </w:tr>
      <w:tr w:rsidR="005828D0" w14:paraId="772CDF7D" w14:textId="77777777" w:rsidTr="00D76AEF">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bottom w:val="single" w:sz="4" w:space="0" w:color="FFFFFF" w:themeColor="background1"/>
            </w:tcBorders>
            <w:shd w:val="clear" w:color="auto" w:fill="E9E9E9"/>
          </w:tcPr>
          <w:p w14:paraId="6D14F4E0" w14:textId="77777777" w:rsidR="005828D0" w:rsidRDefault="005828D0" w:rsidP="007A0718">
            <w:pPr>
              <w:pStyle w:val="Tablebodytextnospaceafter"/>
              <w:jc w:val="right"/>
            </w:pPr>
            <w:r>
              <w:t xml:space="preserve">              1</w:t>
            </w:r>
          </w:p>
        </w:tc>
        <w:tc>
          <w:tcPr>
            <w:tcW w:w="3653" w:type="pct"/>
            <w:tcBorders>
              <w:bottom w:val="single" w:sz="4" w:space="0" w:color="FFFFFF" w:themeColor="background1"/>
            </w:tcBorders>
            <w:hideMark/>
          </w:tcPr>
          <w:p w14:paraId="580335CD" w14:textId="77777777" w:rsidR="005828D0" w:rsidRDefault="005828D0" w:rsidP="007A0718">
            <w:pPr>
              <w:pStyle w:val="Tablebodytextnospaceafter"/>
              <w:cnfStyle w:val="000000010000" w:firstRow="0" w:lastRow="0" w:firstColumn="0" w:lastColumn="0" w:oddVBand="0" w:evenVBand="0" w:oddHBand="0" w:evenHBand="1" w:firstRowFirstColumn="0" w:firstRowLastColumn="0" w:lastRowFirstColumn="0" w:lastRowLastColumn="0"/>
            </w:pPr>
            <w:r>
              <w:t>Net (gains)/losses on disposal of property, plants and equipment</w:t>
            </w:r>
          </w:p>
        </w:tc>
        <w:tc>
          <w:tcPr>
            <w:tcW w:w="606" w:type="pct"/>
          </w:tcPr>
          <w:p w14:paraId="0E33E034" w14:textId="7F71D33E" w:rsidR="005828D0" w:rsidRPr="0065211D" w:rsidRDefault="00C72D4C"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w:t>
            </w:r>
          </w:p>
        </w:tc>
      </w:tr>
      <w:tr w:rsidR="005828D0" w14:paraId="15E0B3DE" w14:textId="77777777" w:rsidTr="00D76AEF">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bottom w:val="single" w:sz="4" w:space="0" w:color="FFFFFF" w:themeColor="background1"/>
            </w:tcBorders>
            <w:shd w:val="clear" w:color="auto" w:fill="E9E9E9"/>
          </w:tcPr>
          <w:p w14:paraId="0F86ABE2" w14:textId="77777777" w:rsidR="005828D0" w:rsidRDefault="005828D0" w:rsidP="007A0718">
            <w:pPr>
              <w:pStyle w:val="Tablebodytextnospaceafter"/>
              <w:jc w:val="right"/>
            </w:pPr>
            <w:r>
              <w:t>751</w:t>
            </w:r>
          </w:p>
        </w:tc>
        <w:tc>
          <w:tcPr>
            <w:tcW w:w="3653" w:type="pct"/>
            <w:tcBorders>
              <w:bottom w:val="single" w:sz="4" w:space="0" w:color="FFFFFF" w:themeColor="background1"/>
            </w:tcBorders>
          </w:tcPr>
          <w:p w14:paraId="3C7CBF1D" w14:textId="77777777" w:rsidR="005828D0" w:rsidRDefault="005828D0" w:rsidP="007A0718">
            <w:pPr>
              <w:pStyle w:val="Tablebodytextnospaceafter"/>
              <w:cnfStyle w:val="000000100000" w:firstRow="0" w:lastRow="0" w:firstColumn="0" w:lastColumn="0" w:oddVBand="0" w:evenVBand="0" w:oddHBand="1" w:evenHBand="0" w:firstRowFirstColumn="0" w:firstRowLastColumn="0" w:lastRowFirstColumn="0" w:lastRowLastColumn="0"/>
            </w:pPr>
            <w:r w:rsidRPr="00F32A74">
              <w:t>Increase/(decrease) in payment of capital charge</w:t>
            </w:r>
          </w:p>
        </w:tc>
        <w:tc>
          <w:tcPr>
            <w:tcW w:w="606" w:type="pct"/>
          </w:tcPr>
          <w:p w14:paraId="18BC965A" w14:textId="74226FC1" w:rsidR="005828D0" w:rsidRPr="0065211D" w:rsidRDefault="009F5A2D"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751</w:t>
            </w:r>
          </w:p>
        </w:tc>
      </w:tr>
      <w:tr w:rsidR="005828D0" w14:paraId="561624AA" w14:textId="77777777" w:rsidTr="00D76AEF">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8"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686115D3" w14:textId="77777777" w:rsidR="005828D0" w:rsidRPr="00980877" w:rsidRDefault="005828D0" w:rsidP="007A0718">
            <w:pPr>
              <w:pStyle w:val="Tablebodytextnospaceafter"/>
              <w:jc w:val="right"/>
              <w:rPr>
                <w:rStyle w:val="Emphasis"/>
                <w:u w:val="single"/>
              </w:rPr>
            </w:pPr>
            <w:r>
              <w:rPr>
                <w:rStyle w:val="Emphasis"/>
              </w:rPr>
              <w:t>752</w:t>
            </w:r>
          </w:p>
        </w:tc>
        <w:tc>
          <w:tcPr>
            <w:tcW w:w="36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6F8F391C" w14:textId="77777777" w:rsidR="005828D0" w:rsidRDefault="005828D0" w:rsidP="007A0718">
            <w:pPr>
              <w:pStyle w:val="Tablebodytextnospaceafter"/>
              <w:cnfStyle w:val="000000010000" w:firstRow="0" w:lastRow="0" w:firstColumn="0" w:lastColumn="0" w:oddVBand="0" w:evenVBand="0" w:oddHBand="0" w:evenHBand="1" w:firstRowFirstColumn="0" w:firstRowLastColumn="0" w:lastRowFirstColumn="0" w:lastRowLastColumn="0"/>
            </w:pPr>
            <w:r>
              <w:rPr>
                <w:b/>
                <w:i/>
              </w:rPr>
              <w:t>Total items classified as investing or financing activities</w:t>
            </w:r>
          </w:p>
        </w:tc>
        <w:tc>
          <w:tcPr>
            <w:tcW w:w="606" w:type="pct"/>
            <w:tcBorders>
              <w:left w:val="single" w:sz="4" w:space="0" w:color="FFFFFF" w:themeColor="background1"/>
              <w:bottom w:val="single" w:sz="2" w:space="0" w:color="FFFFFF" w:themeColor="background1"/>
            </w:tcBorders>
            <w:shd w:val="clear" w:color="auto" w:fill="BFBFBF" w:themeFill="background1" w:themeFillShade="BF"/>
          </w:tcPr>
          <w:p w14:paraId="648ED1DE" w14:textId="0BBECCB2" w:rsidR="005828D0" w:rsidRPr="009F5A2D" w:rsidRDefault="009F5A2D"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bCs/>
                <w:u w:val="single"/>
              </w:rPr>
            </w:pPr>
            <w:r w:rsidRPr="009F5A2D">
              <w:rPr>
                <w:b/>
                <w:bCs/>
                <w:u w:val="single"/>
              </w:rPr>
              <w:t>751</w:t>
            </w:r>
          </w:p>
        </w:tc>
      </w:tr>
      <w:tr w:rsidR="005828D0" w14:paraId="602DA6BB" w14:textId="77777777" w:rsidTr="00D76AEF">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E9E9"/>
          </w:tcPr>
          <w:p w14:paraId="2A8960A1" w14:textId="77777777" w:rsidR="005828D0" w:rsidRDefault="005828D0" w:rsidP="007A0718">
            <w:pPr>
              <w:pStyle w:val="Tablebodytextnospaceafter"/>
              <w:jc w:val="right"/>
            </w:pPr>
          </w:p>
        </w:tc>
        <w:tc>
          <w:tcPr>
            <w:tcW w:w="36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4CD647" w14:textId="77777777" w:rsidR="005828D0" w:rsidRPr="00B53233" w:rsidRDefault="005828D0" w:rsidP="007A0718">
            <w:pPr>
              <w:pStyle w:val="Tablebodytextnospaceafter"/>
              <w:cnfStyle w:val="000000100000" w:firstRow="0" w:lastRow="0" w:firstColumn="0" w:lastColumn="0" w:oddVBand="0" w:evenVBand="0" w:oddHBand="1" w:evenHBand="0" w:firstRowFirstColumn="0" w:firstRowLastColumn="0" w:lastRowFirstColumn="0" w:lastRowLastColumn="0"/>
              <w:rPr>
                <w:b/>
                <w:i/>
              </w:rPr>
            </w:pPr>
            <w:r w:rsidRPr="00B53233">
              <w:rPr>
                <w:b/>
              </w:rPr>
              <w:t>Add/(less) movements in statement of financial positions items</w:t>
            </w:r>
          </w:p>
        </w:tc>
        <w:tc>
          <w:tcPr>
            <w:tcW w:w="606" w:type="pct"/>
            <w:tcBorders>
              <w:left w:val="single" w:sz="4" w:space="0" w:color="FFFFFF" w:themeColor="background1"/>
              <w:bottom w:val="none" w:sz="0" w:space="0" w:color="auto"/>
            </w:tcBorders>
          </w:tcPr>
          <w:p w14:paraId="65C5612B" w14:textId="77777777" w:rsidR="005828D0" w:rsidRPr="00F018CA" w:rsidRDefault="005828D0"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highlight w:val="yellow"/>
              </w:rPr>
            </w:pPr>
          </w:p>
        </w:tc>
      </w:tr>
      <w:tr w:rsidR="005828D0" w14:paraId="46FC121C" w14:textId="77777777" w:rsidTr="00D76AEF">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bottom w:val="single" w:sz="4" w:space="0" w:color="FFFFFF" w:themeColor="background1"/>
              <w:right w:val="single" w:sz="4" w:space="0" w:color="FFFFFF" w:themeColor="background1"/>
            </w:tcBorders>
            <w:shd w:val="clear" w:color="auto" w:fill="E9E9E9"/>
          </w:tcPr>
          <w:p w14:paraId="5262344A" w14:textId="77777777" w:rsidR="005828D0" w:rsidRDefault="005828D0" w:rsidP="007A0718">
            <w:pPr>
              <w:pStyle w:val="Tablebodytextnospaceafter"/>
              <w:jc w:val="right"/>
            </w:pPr>
            <w:r>
              <w:t>15</w:t>
            </w:r>
          </w:p>
        </w:tc>
        <w:tc>
          <w:tcPr>
            <w:tcW w:w="36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C7CEB5A" w14:textId="77777777" w:rsidR="005828D0" w:rsidRPr="003F72D2" w:rsidRDefault="005828D0" w:rsidP="007A0718">
            <w:pPr>
              <w:pStyle w:val="Tablebodytextnospaceafter"/>
              <w:cnfStyle w:val="000000010000" w:firstRow="0" w:lastRow="0" w:firstColumn="0" w:lastColumn="0" w:oddVBand="0" w:evenVBand="0" w:oddHBand="0" w:evenHBand="1" w:firstRowFirstColumn="0" w:firstRowLastColumn="0" w:lastRowFirstColumn="0" w:lastRowLastColumn="0"/>
              <w:rPr>
                <w:b/>
              </w:rPr>
            </w:pPr>
            <w:r>
              <w:t xml:space="preserve">(Increase)/decrease in Debtors and Receivables                                  </w:t>
            </w:r>
          </w:p>
        </w:tc>
        <w:tc>
          <w:tcPr>
            <w:tcW w:w="606" w:type="pct"/>
            <w:tcBorders>
              <w:left w:val="single" w:sz="4" w:space="0" w:color="FFFFFF" w:themeColor="background1"/>
            </w:tcBorders>
          </w:tcPr>
          <w:p w14:paraId="7F5DA7D2" w14:textId="0E32EE0A" w:rsidR="005828D0" w:rsidRPr="0065211D" w:rsidRDefault="009F5A2D"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(19)</w:t>
            </w:r>
          </w:p>
        </w:tc>
      </w:tr>
      <w:tr w:rsidR="005828D0" w14:paraId="06BE1D2A" w14:textId="77777777" w:rsidTr="00D76AEF">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bottom w:val="single" w:sz="4" w:space="0" w:color="FFFFFF" w:themeColor="background1"/>
              <w:right w:val="single" w:sz="4" w:space="0" w:color="FFFFFF" w:themeColor="background1"/>
            </w:tcBorders>
            <w:shd w:val="clear" w:color="auto" w:fill="E9E9E9"/>
          </w:tcPr>
          <w:p w14:paraId="4F4F8886" w14:textId="77777777" w:rsidR="005828D0" w:rsidRDefault="005828D0" w:rsidP="007A0718">
            <w:pPr>
              <w:pStyle w:val="Tablebodytextnospaceafter"/>
              <w:jc w:val="right"/>
            </w:pPr>
            <w:r>
              <w:t xml:space="preserve"> (49)</w:t>
            </w:r>
          </w:p>
        </w:tc>
        <w:tc>
          <w:tcPr>
            <w:tcW w:w="36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355A0B" w14:textId="77777777" w:rsidR="005828D0" w:rsidRDefault="005828D0" w:rsidP="007A0718">
            <w:pPr>
              <w:pStyle w:val="Tablebodytextnospaceafter"/>
              <w:cnfStyle w:val="000000100000" w:firstRow="0" w:lastRow="0" w:firstColumn="0" w:lastColumn="0" w:oddVBand="0" w:evenVBand="0" w:oddHBand="1" w:evenHBand="0" w:firstRowFirstColumn="0" w:firstRowLastColumn="0" w:lastRowFirstColumn="0" w:lastRowLastColumn="0"/>
            </w:pPr>
            <w:r>
              <w:t>(Increase)/decrease in Prepayments</w:t>
            </w:r>
          </w:p>
        </w:tc>
        <w:tc>
          <w:tcPr>
            <w:tcW w:w="606" w:type="pct"/>
            <w:tcBorders>
              <w:left w:val="single" w:sz="4" w:space="0" w:color="FFFFFF" w:themeColor="background1"/>
            </w:tcBorders>
          </w:tcPr>
          <w:p w14:paraId="4ECC17E9" w14:textId="517C4C5D" w:rsidR="005828D0" w:rsidRPr="0065211D" w:rsidRDefault="009F5A2D"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(233)</w:t>
            </w:r>
          </w:p>
        </w:tc>
      </w:tr>
      <w:tr w:rsidR="005828D0" w14:paraId="203CD27F" w14:textId="77777777" w:rsidTr="00D76AEF">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bottom w:val="single" w:sz="4" w:space="0" w:color="FFFFFF" w:themeColor="background1"/>
              <w:right w:val="single" w:sz="4" w:space="0" w:color="FFFFFF" w:themeColor="background1"/>
            </w:tcBorders>
            <w:shd w:val="clear" w:color="auto" w:fill="E9E9E9"/>
          </w:tcPr>
          <w:p w14:paraId="46718DBA" w14:textId="77777777" w:rsidR="005828D0" w:rsidRDefault="005828D0" w:rsidP="007A0718">
            <w:pPr>
              <w:pStyle w:val="Tablebodytextnospaceafter"/>
              <w:jc w:val="right"/>
            </w:pPr>
            <w:r>
              <w:t>(518)</w:t>
            </w:r>
          </w:p>
        </w:tc>
        <w:tc>
          <w:tcPr>
            <w:tcW w:w="365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D56FEA0" w14:textId="314B2B4A" w:rsidR="005828D0" w:rsidRDefault="005828D0" w:rsidP="007A0718">
            <w:pPr>
              <w:pStyle w:val="Tablebodytextnospaceafter"/>
              <w:cnfStyle w:val="000000010000" w:firstRow="0" w:lastRow="0" w:firstColumn="0" w:lastColumn="0" w:oddVBand="0" w:evenVBand="0" w:oddHBand="0" w:evenHBand="1" w:firstRowFirstColumn="0" w:firstRowLastColumn="0" w:lastRowFirstColumn="0" w:lastRowLastColumn="0"/>
            </w:pPr>
            <w:r>
              <w:t>Increase/(decrease) in Creditors</w:t>
            </w:r>
            <w:r w:rsidR="00ED16E4">
              <w:t>,</w:t>
            </w:r>
            <w:r>
              <w:t xml:space="preserve"> Payables</w:t>
            </w:r>
            <w:r w:rsidR="00ED16E4">
              <w:t xml:space="preserve"> and Other </w:t>
            </w:r>
            <w:proofErr w:type="gramStart"/>
            <w:r w:rsidR="00ED16E4">
              <w:t>Short Term</w:t>
            </w:r>
            <w:proofErr w:type="gramEnd"/>
            <w:r w:rsidR="00ED16E4">
              <w:t xml:space="preserve"> Liabilities</w:t>
            </w:r>
          </w:p>
        </w:tc>
        <w:tc>
          <w:tcPr>
            <w:tcW w:w="606" w:type="pct"/>
            <w:tcBorders>
              <w:left w:val="single" w:sz="4" w:space="0" w:color="FFFFFF" w:themeColor="background1"/>
            </w:tcBorders>
          </w:tcPr>
          <w:p w14:paraId="5D7302BC" w14:textId="69BB4B3F" w:rsidR="005828D0" w:rsidRPr="0065211D" w:rsidRDefault="00ED16E4"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(404)</w:t>
            </w:r>
          </w:p>
        </w:tc>
      </w:tr>
      <w:tr w:rsidR="005828D0" w14:paraId="19095DAE" w14:textId="77777777" w:rsidTr="00D76AEF">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bottom w:val="single" w:sz="4" w:space="0" w:color="FFFFFF" w:themeColor="background1"/>
              <w:right w:val="single" w:sz="4" w:space="0" w:color="FFFFFF" w:themeColor="background1"/>
            </w:tcBorders>
            <w:shd w:val="clear" w:color="auto" w:fill="E9E9E9"/>
          </w:tcPr>
          <w:p w14:paraId="586410B3" w14:textId="77777777" w:rsidR="005828D0" w:rsidRPr="0065211D" w:rsidRDefault="005828D0" w:rsidP="007A0718">
            <w:pPr>
              <w:pStyle w:val="Tablebodytextnospaceafter"/>
              <w:jc w:val="right"/>
            </w:pPr>
            <w:r>
              <w:t>(7)</w:t>
            </w:r>
          </w:p>
        </w:tc>
        <w:tc>
          <w:tcPr>
            <w:tcW w:w="3653" w:type="pct"/>
            <w:tcBorders>
              <w:top w:val="single" w:sz="4" w:space="0" w:color="FFFFFF" w:themeColor="background1"/>
              <w:left w:val="single" w:sz="4" w:space="0" w:color="FFFFFF" w:themeColor="background1"/>
            </w:tcBorders>
          </w:tcPr>
          <w:p w14:paraId="11E19692" w14:textId="77777777" w:rsidR="005828D0" w:rsidRDefault="005828D0" w:rsidP="007A0718">
            <w:pPr>
              <w:pStyle w:val="Tablebodytextnospaceafter"/>
              <w:cnfStyle w:val="000000100000" w:firstRow="0" w:lastRow="0" w:firstColumn="0" w:lastColumn="0" w:oddVBand="0" w:evenVBand="0" w:oddHBand="1" w:evenHBand="0" w:firstRowFirstColumn="0" w:firstRowLastColumn="0" w:lastRowFirstColumn="0" w:lastRowLastColumn="0"/>
            </w:pPr>
            <w:r>
              <w:t>Increase/(decrease) in Short Term Liabilities (Leasehold Incentive)</w:t>
            </w:r>
          </w:p>
        </w:tc>
        <w:tc>
          <w:tcPr>
            <w:tcW w:w="606" w:type="pct"/>
          </w:tcPr>
          <w:p w14:paraId="165A15F7" w14:textId="12F7D2C2" w:rsidR="005828D0" w:rsidRDefault="000438D5"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(15)</w:t>
            </w:r>
          </w:p>
        </w:tc>
      </w:tr>
      <w:tr w:rsidR="005828D0" w14:paraId="50700EE7" w14:textId="77777777" w:rsidTr="00D76AEF">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bottom w:val="single" w:sz="4" w:space="0" w:color="FFFFFF" w:themeColor="background1"/>
              <w:right w:val="single" w:sz="4" w:space="0" w:color="FFFFFF" w:themeColor="background1"/>
            </w:tcBorders>
            <w:shd w:val="clear" w:color="auto" w:fill="E9E9E9"/>
          </w:tcPr>
          <w:p w14:paraId="175B917D" w14:textId="77777777" w:rsidR="005828D0" w:rsidRDefault="005828D0" w:rsidP="007A0718">
            <w:pPr>
              <w:pStyle w:val="Tablebodytextnospaceafter"/>
              <w:jc w:val="right"/>
            </w:pPr>
            <w:r>
              <w:t>(44)</w:t>
            </w:r>
          </w:p>
        </w:tc>
        <w:tc>
          <w:tcPr>
            <w:tcW w:w="3653" w:type="pct"/>
            <w:tcBorders>
              <w:left w:val="single" w:sz="4" w:space="0" w:color="FFFFFF" w:themeColor="background1"/>
            </w:tcBorders>
          </w:tcPr>
          <w:p w14:paraId="2EE92182" w14:textId="77777777" w:rsidR="005828D0" w:rsidRDefault="005828D0" w:rsidP="007A0718">
            <w:pPr>
              <w:pStyle w:val="Tablebodytextnospaceafter"/>
              <w:cnfStyle w:val="000000010000" w:firstRow="0" w:lastRow="0" w:firstColumn="0" w:lastColumn="0" w:oddVBand="0" w:evenVBand="0" w:oddHBand="0" w:evenHBand="1" w:firstRowFirstColumn="0" w:firstRowLastColumn="0" w:lastRowFirstColumn="0" w:lastRowLastColumn="0"/>
            </w:pPr>
            <w:r>
              <w:t xml:space="preserve">Increase/(decrease) in Long Term </w:t>
            </w:r>
            <w:r w:rsidRPr="0072231C">
              <w:rPr>
                <w:color w:val="auto"/>
              </w:rPr>
              <w:t>Liabilities (leasehold Incentive)</w:t>
            </w:r>
          </w:p>
        </w:tc>
        <w:tc>
          <w:tcPr>
            <w:tcW w:w="606" w:type="pct"/>
          </w:tcPr>
          <w:p w14:paraId="40B73B70" w14:textId="56DC9FBB" w:rsidR="005828D0" w:rsidRPr="0065211D" w:rsidRDefault="000438D5"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(38)</w:t>
            </w:r>
          </w:p>
        </w:tc>
      </w:tr>
      <w:tr w:rsidR="005828D0" w14:paraId="17483CBE" w14:textId="77777777" w:rsidTr="00D76AEF">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bottom w:val="single" w:sz="4" w:space="0" w:color="FFFFFF" w:themeColor="background1"/>
              <w:right w:val="single" w:sz="4" w:space="0" w:color="FFFFFF" w:themeColor="background1"/>
            </w:tcBorders>
            <w:shd w:val="clear" w:color="auto" w:fill="E9E9E9"/>
          </w:tcPr>
          <w:p w14:paraId="75F89E3D" w14:textId="77777777" w:rsidR="005828D0" w:rsidRDefault="005828D0" w:rsidP="007A0718">
            <w:pPr>
              <w:pStyle w:val="Tablebodytextnospaceafter"/>
              <w:jc w:val="right"/>
            </w:pPr>
            <w:r>
              <w:t>91</w:t>
            </w:r>
          </w:p>
        </w:tc>
        <w:tc>
          <w:tcPr>
            <w:tcW w:w="3653" w:type="pct"/>
            <w:tcBorders>
              <w:left w:val="single" w:sz="4" w:space="0" w:color="FFFFFF" w:themeColor="background1"/>
            </w:tcBorders>
          </w:tcPr>
          <w:p w14:paraId="5DDB80B2" w14:textId="77777777" w:rsidR="005828D0" w:rsidRDefault="005828D0" w:rsidP="007A0718">
            <w:pPr>
              <w:pStyle w:val="Tablebodytextnospaceafter"/>
              <w:cnfStyle w:val="000000100000" w:firstRow="0" w:lastRow="0" w:firstColumn="0" w:lastColumn="0" w:oddVBand="0" w:evenVBand="0" w:oddHBand="1" w:evenHBand="0" w:firstRowFirstColumn="0" w:firstRowLastColumn="0" w:lastRowFirstColumn="0" w:lastRowLastColumn="0"/>
            </w:pPr>
            <w:r>
              <w:t>Increase/(decrease) in GST</w:t>
            </w:r>
          </w:p>
        </w:tc>
        <w:tc>
          <w:tcPr>
            <w:tcW w:w="606" w:type="pct"/>
          </w:tcPr>
          <w:p w14:paraId="48E5144A" w14:textId="4EB2324B" w:rsidR="005828D0" w:rsidRPr="0065211D" w:rsidRDefault="000438D5" w:rsidP="007A0718">
            <w:pPr>
              <w:pStyle w:val="Tablebodytextnospaceafter"/>
              <w:jc w:val="right"/>
              <w:cnfStyle w:val="000000100000" w:firstRow="0" w:lastRow="0" w:firstColumn="0" w:lastColumn="0" w:oddVBand="0" w:evenVBand="0" w:oddHBand="1" w:evenHBand="0" w:firstRowFirstColumn="0" w:firstRowLastColumn="0" w:lastRowFirstColumn="0" w:lastRowLastColumn="0"/>
            </w:pPr>
            <w:r>
              <w:t>(143)</w:t>
            </w:r>
          </w:p>
        </w:tc>
      </w:tr>
      <w:tr w:rsidR="005828D0" w14:paraId="4057CD4A" w14:textId="77777777" w:rsidTr="00D76AEF">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bottom w:val="single" w:sz="4" w:space="0" w:color="FFFFFF" w:themeColor="background1"/>
              <w:right w:val="single" w:sz="4" w:space="0" w:color="FFFFFF" w:themeColor="background1"/>
            </w:tcBorders>
            <w:shd w:val="clear" w:color="auto" w:fill="E9E9E9"/>
          </w:tcPr>
          <w:p w14:paraId="494F010A" w14:textId="77777777" w:rsidR="005828D0" w:rsidRDefault="005828D0" w:rsidP="007A0718">
            <w:pPr>
              <w:pStyle w:val="Tablebodytextnospaceafter"/>
              <w:jc w:val="right"/>
            </w:pPr>
            <w:r>
              <w:t>413</w:t>
            </w:r>
          </w:p>
        </w:tc>
        <w:tc>
          <w:tcPr>
            <w:tcW w:w="3653" w:type="pct"/>
            <w:tcBorders>
              <w:left w:val="single" w:sz="4" w:space="0" w:color="FFFFFF" w:themeColor="background1"/>
            </w:tcBorders>
          </w:tcPr>
          <w:p w14:paraId="76E7C96D" w14:textId="77777777" w:rsidR="005828D0" w:rsidRDefault="005828D0" w:rsidP="007A0718">
            <w:pPr>
              <w:pStyle w:val="Tablebodytextnospaceafter"/>
              <w:cnfStyle w:val="000000010000" w:firstRow="0" w:lastRow="0" w:firstColumn="0" w:lastColumn="0" w:oddVBand="0" w:evenVBand="0" w:oddHBand="0" w:evenHBand="1" w:firstRowFirstColumn="0" w:firstRowLastColumn="0" w:lastRowFirstColumn="0" w:lastRowLastColumn="0"/>
            </w:pPr>
            <w:r>
              <w:t xml:space="preserve">Increase/(decrease) in Employee Entitlements </w:t>
            </w:r>
          </w:p>
        </w:tc>
        <w:tc>
          <w:tcPr>
            <w:tcW w:w="606" w:type="pct"/>
          </w:tcPr>
          <w:p w14:paraId="352750E9" w14:textId="665A5B98" w:rsidR="005828D0" w:rsidRPr="0065211D" w:rsidRDefault="00C0006D" w:rsidP="007A0718">
            <w:pPr>
              <w:pStyle w:val="Tablebodytextnospaceafter"/>
              <w:jc w:val="right"/>
              <w:cnfStyle w:val="000000010000" w:firstRow="0" w:lastRow="0" w:firstColumn="0" w:lastColumn="0" w:oddVBand="0" w:evenVBand="0" w:oddHBand="0" w:evenHBand="1" w:firstRowFirstColumn="0" w:firstRowLastColumn="0" w:lastRowFirstColumn="0" w:lastRowLastColumn="0"/>
            </w:pPr>
            <w:r>
              <w:t>(30)</w:t>
            </w:r>
          </w:p>
        </w:tc>
      </w:tr>
      <w:tr w:rsidR="005828D0" w14:paraId="6FB5E882" w14:textId="77777777" w:rsidTr="00D76AEF">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036B7723" w14:textId="77777777" w:rsidR="005828D0" w:rsidRPr="00B53233" w:rsidRDefault="005828D0" w:rsidP="007A0718">
            <w:pPr>
              <w:pStyle w:val="Tablebodytextnospaceafter"/>
              <w:jc w:val="right"/>
              <w:rPr>
                <w:b/>
                <w:u w:val="single"/>
              </w:rPr>
            </w:pPr>
            <w:r w:rsidRPr="00B53233">
              <w:rPr>
                <w:b/>
                <w:u w:val="single"/>
              </w:rPr>
              <w:t>(99)</w:t>
            </w:r>
          </w:p>
        </w:tc>
        <w:tc>
          <w:tcPr>
            <w:tcW w:w="3653" w:type="pct"/>
            <w:tcBorders>
              <w:left w:val="single" w:sz="4" w:space="0" w:color="FFFFFF" w:themeColor="background1"/>
            </w:tcBorders>
            <w:shd w:val="clear" w:color="auto" w:fill="BFBFBF" w:themeFill="background1" w:themeFillShade="BF"/>
          </w:tcPr>
          <w:p w14:paraId="4CC638BB" w14:textId="77777777" w:rsidR="005828D0" w:rsidRPr="003F72D2" w:rsidRDefault="005828D0" w:rsidP="007A0718">
            <w:pPr>
              <w:pStyle w:val="Tablebodytextnospaceafter"/>
              <w:cnfStyle w:val="000000100000" w:firstRow="0" w:lastRow="0" w:firstColumn="0" w:lastColumn="0" w:oddVBand="0" w:evenVBand="0" w:oddHBand="1" w:evenHBand="0" w:firstRowFirstColumn="0" w:firstRowLastColumn="0" w:lastRowFirstColumn="0" w:lastRowLastColumn="0"/>
              <w:rPr>
                <w:b/>
                <w:i/>
              </w:rPr>
            </w:pPr>
            <w:r>
              <w:rPr>
                <w:b/>
                <w:i/>
              </w:rPr>
              <w:t>Total net movement in statement of financial position items</w:t>
            </w:r>
          </w:p>
        </w:tc>
        <w:tc>
          <w:tcPr>
            <w:tcW w:w="606" w:type="pct"/>
            <w:shd w:val="clear" w:color="auto" w:fill="BFBFBF" w:themeFill="background1" w:themeFillShade="BF"/>
          </w:tcPr>
          <w:p w14:paraId="6B7B2E8E" w14:textId="561E8ED0" w:rsidR="005828D0" w:rsidRPr="00980877" w:rsidRDefault="00C0006D" w:rsidP="007A0718">
            <w:pPr>
              <w:pStyle w:val="Tablebodytextnospaceafter"/>
              <w:jc w:val="right"/>
              <w:cnfStyle w:val="000000100000" w:firstRow="0" w:lastRow="0" w:firstColumn="0" w:lastColumn="0" w:oddVBand="0" w:evenVBand="0" w:oddHBand="1" w:evenHBand="0" w:firstRowFirstColumn="0" w:firstRowLastColumn="0" w:lastRowFirstColumn="0" w:lastRowLastColumn="0"/>
              <w:rPr>
                <w:b/>
              </w:rPr>
            </w:pPr>
            <w:r>
              <w:rPr>
                <w:b/>
              </w:rPr>
              <w:t>(882)</w:t>
            </w:r>
          </w:p>
        </w:tc>
      </w:tr>
      <w:tr w:rsidR="005828D0" w:rsidRPr="009316AF" w14:paraId="326893E9" w14:textId="77777777" w:rsidTr="00D76AEF">
        <w:trPr>
          <w:cnfStyle w:val="000000010000" w:firstRow="0" w:lastRow="0" w:firstColumn="0" w:lastColumn="0" w:oddVBand="0" w:evenVBand="0" w:oddHBand="0" w:evenHBand="1"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741" w:type="pct"/>
            <w:tcBorders>
              <w:top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30A5A4DC" w14:textId="77777777" w:rsidR="005828D0" w:rsidRPr="00B53233" w:rsidRDefault="005828D0" w:rsidP="007A0718">
            <w:pPr>
              <w:pStyle w:val="Tablebodytextnospaceafter"/>
              <w:jc w:val="right"/>
              <w:rPr>
                <w:b/>
              </w:rPr>
            </w:pPr>
            <w:r w:rsidRPr="00B53233">
              <w:rPr>
                <w:b/>
              </w:rPr>
              <w:t>9,541</w:t>
            </w:r>
          </w:p>
        </w:tc>
        <w:tc>
          <w:tcPr>
            <w:tcW w:w="3653" w:type="pct"/>
            <w:tcBorders>
              <w:left w:val="single" w:sz="4" w:space="0" w:color="FFFFFF" w:themeColor="background1"/>
            </w:tcBorders>
            <w:shd w:val="clear" w:color="auto" w:fill="BFBFBF" w:themeFill="background1" w:themeFillShade="BF"/>
          </w:tcPr>
          <w:p w14:paraId="5DB25979" w14:textId="77777777" w:rsidR="005828D0" w:rsidRPr="003F72D2" w:rsidRDefault="005828D0" w:rsidP="007A0718">
            <w:pPr>
              <w:pStyle w:val="Tablebodytextnospaceafter"/>
              <w:cnfStyle w:val="000000010000" w:firstRow="0" w:lastRow="0" w:firstColumn="0" w:lastColumn="0" w:oddVBand="0" w:evenVBand="0" w:oddHBand="0" w:evenHBand="1" w:firstRowFirstColumn="0" w:firstRowLastColumn="0" w:lastRowFirstColumn="0" w:lastRowLastColumn="0"/>
              <w:rPr>
                <w:b/>
              </w:rPr>
            </w:pPr>
            <w:r>
              <w:rPr>
                <w:b/>
              </w:rPr>
              <w:t>Net cash flows from operating activities</w:t>
            </w:r>
          </w:p>
        </w:tc>
        <w:tc>
          <w:tcPr>
            <w:tcW w:w="606" w:type="pct"/>
            <w:shd w:val="clear" w:color="auto" w:fill="BFBFBF" w:themeFill="background1" w:themeFillShade="BF"/>
          </w:tcPr>
          <w:p w14:paraId="1E1F50B9" w14:textId="22D3A2C5" w:rsidR="005828D0" w:rsidRPr="00423F55" w:rsidRDefault="00C0006D" w:rsidP="007A071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3,397</w:t>
            </w:r>
          </w:p>
        </w:tc>
      </w:tr>
    </w:tbl>
    <w:p w14:paraId="46A486D9" w14:textId="77777777" w:rsidR="005828D0" w:rsidRPr="005828D0" w:rsidRDefault="005828D0" w:rsidP="005828D0">
      <w:pPr>
        <w:pStyle w:val="BodyText"/>
      </w:pPr>
    </w:p>
    <w:p w14:paraId="6A415463" w14:textId="0E17988B" w:rsidR="00E423CB" w:rsidRDefault="00E423CB" w:rsidP="00261F5B">
      <w:pPr>
        <w:pStyle w:val="Heading2"/>
        <w:spacing w:after="240"/>
      </w:pPr>
      <w:bookmarkStart w:id="87" w:name="_Statement_of_commitments"/>
      <w:bookmarkStart w:id="88" w:name="_Hlk241246810"/>
      <w:bookmarkEnd w:id="87"/>
      <w:r>
        <w:t xml:space="preserve">Statement of commitments </w:t>
      </w:r>
      <w:r w:rsidR="007A480D">
        <w:t xml:space="preserve">as </w:t>
      </w:r>
      <w:proofErr w:type="gramStart"/>
      <w:r w:rsidR="007A480D">
        <w:t>at</w:t>
      </w:r>
      <w:proofErr w:type="gramEnd"/>
      <w:r w:rsidR="007A480D">
        <w:t xml:space="preserve"> 30 June 2026</w:t>
      </w:r>
    </w:p>
    <w:p w14:paraId="6DF29534" w14:textId="62F9B948" w:rsidR="00261F5B" w:rsidRDefault="00261F5B" w:rsidP="00261F5B">
      <w:pPr>
        <w:pStyle w:val="Heading3"/>
        <w:spacing w:before="240"/>
      </w:pPr>
      <w:bookmarkStart w:id="89" w:name="_Statement_of_contingent"/>
      <w:bookmarkEnd w:id="88"/>
      <w:bookmarkEnd w:id="89"/>
      <w:r>
        <w:t>Non-cancellable operating lease commitments</w:t>
      </w:r>
    </w:p>
    <w:p w14:paraId="2E1D661B" w14:textId="52F0762E" w:rsidR="00F018CA" w:rsidRDefault="00F018CA" w:rsidP="00F018CA">
      <w:pPr>
        <w:pStyle w:val="BodyText"/>
      </w:pPr>
      <w:r>
        <w:t xml:space="preserve">The Office leases accommodation space and photocopiers as a normal part of its business in Auckland and Wellington. There are no operating or unusual restrictions placed on the Office by any of its leasing arrangements. </w:t>
      </w:r>
    </w:p>
    <w:p w14:paraId="38E2EAE2" w14:textId="77777777" w:rsidR="00F018CA" w:rsidRDefault="00F018CA" w:rsidP="00F018CA">
      <w:pPr>
        <w:pStyle w:val="BodyText"/>
      </w:pPr>
      <w:r>
        <w:t xml:space="preserve">The agreements for the photocopiers have a non-cancellable period, generally of five years. The accommodation leases are long-term and non-cancellable until expiry except if the premises become untenable under the terms of the lease agreement. The annual lease payments are subject to three-yearly reviews which are </w:t>
      </w:r>
      <w:r w:rsidRPr="004449F4">
        <w:t xml:space="preserve">due </w:t>
      </w:r>
      <w:r w:rsidRPr="006E6720">
        <w:t>after 2027</w:t>
      </w:r>
      <w:r>
        <w:t xml:space="preserve">. The amounts disclosed below as future commitments are based on the current rental rate for each of the leased premises. </w:t>
      </w:r>
    </w:p>
    <w:tbl>
      <w:tblPr>
        <w:tblStyle w:val="TableGridAnnualReport5"/>
        <w:tblW w:w="9299" w:type="dxa"/>
        <w:tblInd w:w="10" w:type="dxa"/>
        <w:tblLayout w:type="fixed"/>
        <w:tblLook w:val="0420" w:firstRow="1" w:lastRow="0" w:firstColumn="0" w:lastColumn="0" w:noHBand="0" w:noVBand="1"/>
        <w:tblCaption w:val="Non-cancellable operating lease commitments"/>
      </w:tblPr>
      <w:tblGrid>
        <w:gridCol w:w="1681"/>
        <w:gridCol w:w="5830"/>
        <w:gridCol w:w="1788"/>
      </w:tblGrid>
      <w:tr w:rsidR="00F018CA" w14:paraId="0CBC7E23" w14:textId="77777777" w:rsidTr="008B51F6">
        <w:trPr>
          <w:cnfStyle w:val="100000000000" w:firstRow="1" w:lastRow="0" w:firstColumn="0" w:lastColumn="0" w:oddVBand="0" w:evenVBand="0" w:oddHBand="0" w:evenHBand="0" w:firstRowFirstColumn="0" w:firstRowLastColumn="0" w:lastRowFirstColumn="0" w:lastRowLastColumn="0"/>
          <w:trHeight w:val="60"/>
        </w:trPr>
        <w:tc>
          <w:tcPr>
            <w:tcW w:w="1681" w:type="dxa"/>
            <w:shd w:val="clear" w:color="auto" w:fill="017E5D"/>
            <w:hideMark/>
          </w:tcPr>
          <w:p w14:paraId="78C0FBC9" w14:textId="77777777" w:rsidR="00F018CA" w:rsidRPr="005A7924" w:rsidRDefault="00F018CA" w:rsidP="007A0718">
            <w:pPr>
              <w:pStyle w:val="Tableheadingrow1"/>
              <w:jc w:val="right"/>
              <w:rPr>
                <w:sz w:val="22"/>
              </w:rPr>
            </w:pPr>
            <w:r w:rsidRPr="005A7924">
              <w:rPr>
                <w:sz w:val="22"/>
              </w:rPr>
              <w:t>Actual</w:t>
            </w:r>
          </w:p>
          <w:p w14:paraId="1E884263" w14:textId="6D3E8FF4" w:rsidR="00F018CA" w:rsidRDefault="00F018CA" w:rsidP="007A0718">
            <w:pPr>
              <w:pStyle w:val="Tableheadingrow1"/>
              <w:jc w:val="right"/>
            </w:pPr>
            <w:r w:rsidRPr="005A7924">
              <w:rPr>
                <w:sz w:val="22"/>
              </w:rPr>
              <w:t>202</w:t>
            </w:r>
            <w:r>
              <w:rPr>
                <w:sz w:val="22"/>
              </w:rPr>
              <w:t>4</w:t>
            </w:r>
            <w:r w:rsidRPr="005A7924">
              <w:rPr>
                <w:sz w:val="22"/>
              </w:rPr>
              <w:t>/2</w:t>
            </w:r>
            <w:r>
              <w:rPr>
                <w:sz w:val="22"/>
              </w:rPr>
              <w:t>5</w:t>
            </w:r>
            <w:r w:rsidRPr="005A7924">
              <w:rPr>
                <w:sz w:val="22"/>
              </w:rPr>
              <w:br/>
              <w:t>$(000)</w:t>
            </w:r>
          </w:p>
        </w:tc>
        <w:tc>
          <w:tcPr>
            <w:tcW w:w="5830" w:type="dxa"/>
            <w:shd w:val="clear" w:color="auto" w:fill="017E5D"/>
          </w:tcPr>
          <w:p w14:paraId="6C6786E3" w14:textId="77777777" w:rsidR="00F018CA" w:rsidRDefault="00F018CA" w:rsidP="007A0718">
            <w:pPr>
              <w:pStyle w:val="Tableheadingrow1"/>
            </w:pPr>
          </w:p>
        </w:tc>
        <w:tc>
          <w:tcPr>
            <w:tcW w:w="1788" w:type="dxa"/>
            <w:shd w:val="clear" w:color="auto" w:fill="017E5D"/>
            <w:hideMark/>
          </w:tcPr>
          <w:p w14:paraId="5AAE91C6" w14:textId="77777777" w:rsidR="00F018CA" w:rsidRPr="005A7924" w:rsidRDefault="00F018CA" w:rsidP="007A0718">
            <w:pPr>
              <w:pStyle w:val="Tableheadingrow1"/>
              <w:jc w:val="right"/>
              <w:rPr>
                <w:sz w:val="22"/>
              </w:rPr>
            </w:pPr>
            <w:r w:rsidRPr="005A7924">
              <w:rPr>
                <w:sz w:val="22"/>
              </w:rPr>
              <w:t>Actual</w:t>
            </w:r>
          </w:p>
          <w:p w14:paraId="761B3490" w14:textId="6C3763C5" w:rsidR="00F018CA" w:rsidRDefault="00F018CA" w:rsidP="007A0718">
            <w:pPr>
              <w:pStyle w:val="Tableheadingrow1"/>
              <w:jc w:val="right"/>
            </w:pPr>
            <w:r w:rsidRPr="005A7924">
              <w:rPr>
                <w:sz w:val="22"/>
              </w:rPr>
              <w:t>202</w:t>
            </w:r>
            <w:r>
              <w:rPr>
                <w:sz w:val="22"/>
              </w:rPr>
              <w:t>5</w:t>
            </w:r>
            <w:r w:rsidRPr="005A7924">
              <w:rPr>
                <w:sz w:val="22"/>
              </w:rPr>
              <w:t>/2</w:t>
            </w:r>
            <w:r>
              <w:rPr>
                <w:sz w:val="22"/>
              </w:rPr>
              <w:t>6</w:t>
            </w:r>
            <w:r w:rsidRPr="005A7924">
              <w:rPr>
                <w:sz w:val="22"/>
              </w:rPr>
              <w:br/>
              <w:t>$(000)</w:t>
            </w:r>
          </w:p>
        </w:tc>
      </w:tr>
      <w:tr w:rsidR="00F018CA" w14:paraId="04E7878C" w14:textId="77777777" w:rsidTr="008B51F6">
        <w:trPr>
          <w:cnfStyle w:val="000000100000" w:firstRow="0" w:lastRow="0" w:firstColumn="0" w:lastColumn="0" w:oddVBand="0" w:evenVBand="0" w:oddHBand="1" w:evenHBand="0" w:firstRowFirstColumn="0" w:firstRowLastColumn="0" w:lastRowFirstColumn="0" w:lastRowLastColumn="0"/>
          <w:trHeight w:val="60"/>
        </w:trPr>
        <w:tc>
          <w:tcPr>
            <w:tcW w:w="1681" w:type="dxa"/>
            <w:shd w:val="clear" w:color="auto" w:fill="BFBFBF"/>
          </w:tcPr>
          <w:p w14:paraId="363FC814" w14:textId="77777777" w:rsidR="00F018CA" w:rsidRDefault="00F018CA" w:rsidP="007A0718">
            <w:pPr>
              <w:pStyle w:val="Tablebodytextnospaceafter"/>
            </w:pPr>
          </w:p>
        </w:tc>
        <w:tc>
          <w:tcPr>
            <w:tcW w:w="5830" w:type="dxa"/>
            <w:shd w:val="clear" w:color="auto" w:fill="BFBFBF"/>
            <w:hideMark/>
          </w:tcPr>
          <w:p w14:paraId="47EB660E" w14:textId="77777777" w:rsidR="00F018CA" w:rsidRDefault="00F018CA" w:rsidP="007A0718">
            <w:pPr>
              <w:pStyle w:val="Tablebodytextnospaceafter"/>
            </w:pPr>
            <w:r>
              <w:t>Non-cancellable operating lease commitments</w:t>
            </w:r>
          </w:p>
        </w:tc>
        <w:tc>
          <w:tcPr>
            <w:tcW w:w="1788" w:type="dxa"/>
            <w:tcBorders>
              <w:bottom w:val="single" w:sz="2" w:space="0" w:color="FFFFFF" w:themeColor="background1"/>
            </w:tcBorders>
            <w:shd w:val="clear" w:color="auto" w:fill="BFBFBF"/>
          </w:tcPr>
          <w:p w14:paraId="2CB7092B" w14:textId="77777777" w:rsidR="00F018CA" w:rsidRDefault="00F018CA" w:rsidP="007A0718">
            <w:pPr>
              <w:pStyle w:val="Tablebodytextnospaceafter"/>
            </w:pPr>
          </w:p>
        </w:tc>
      </w:tr>
      <w:tr w:rsidR="00F018CA" w14:paraId="117C9C34" w14:textId="77777777" w:rsidTr="008B51F6">
        <w:trPr>
          <w:cnfStyle w:val="000000010000" w:firstRow="0" w:lastRow="0" w:firstColumn="0" w:lastColumn="0" w:oddVBand="0" w:evenVBand="0" w:oddHBand="0" w:evenHBand="1" w:firstRowFirstColumn="0" w:firstRowLastColumn="0" w:lastRowFirstColumn="0" w:lastRowLastColumn="0"/>
          <w:trHeight w:val="60"/>
        </w:trPr>
        <w:tc>
          <w:tcPr>
            <w:tcW w:w="1681" w:type="dxa"/>
          </w:tcPr>
          <w:p w14:paraId="4147BFEE" w14:textId="77777777" w:rsidR="00F018CA" w:rsidRPr="00B53233" w:rsidRDefault="00F018CA" w:rsidP="007A0718">
            <w:pPr>
              <w:pStyle w:val="Tablebodytextnospaceafter"/>
              <w:jc w:val="right"/>
              <w:rPr>
                <w:b/>
                <w:bCs/>
              </w:rPr>
            </w:pPr>
            <w:r w:rsidRPr="00B53233">
              <w:rPr>
                <w:rStyle w:val="Emphasis"/>
                <w:b w:val="0"/>
                <w:bCs w:val="0"/>
              </w:rPr>
              <w:t>2,557</w:t>
            </w:r>
          </w:p>
        </w:tc>
        <w:tc>
          <w:tcPr>
            <w:tcW w:w="5830" w:type="dxa"/>
            <w:hideMark/>
          </w:tcPr>
          <w:p w14:paraId="789ADE88" w14:textId="77777777" w:rsidR="00F018CA" w:rsidRDefault="00F018CA" w:rsidP="007A0718">
            <w:pPr>
              <w:pStyle w:val="Tablebodytextnospaceafter"/>
            </w:pPr>
            <w:r>
              <w:t>Less than one year</w:t>
            </w:r>
          </w:p>
        </w:tc>
        <w:tc>
          <w:tcPr>
            <w:tcW w:w="1788" w:type="dxa"/>
          </w:tcPr>
          <w:p w14:paraId="6857F5C6" w14:textId="0DA8D55A" w:rsidR="00F018CA" w:rsidRPr="00980877" w:rsidRDefault="000438D5" w:rsidP="007A0718">
            <w:pPr>
              <w:pStyle w:val="Tablebodytextnospaceafter"/>
              <w:jc w:val="right"/>
              <w:rPr>
                <w:rStyle w:val="Emphasis"/>
                <w:b w:val="0"/>
              </w:rPr>
            </w:pPr>
            <w:r>
              <w:rPr>
                <w:rStyle w:val="Emphasis"/>
                <w:b w:val="0"/>
              </w:rPr>
              <w:t>2,442</w:t>
            </w:r>
          </w:p>
        </w:tc>
      </w:tr>
      <w:tr w:rsidR="00F018CA" w14:paraId="1C0B13F0" w14:textId="77777777" w:rsidTr="008B51F6">
        <w:trPr>
          <w:cnfStyle w:val="000000100000" w:firstRow="0" w:lastRow="0" w:firstColumn="0" w:lastColumn="0" w:oddVBand="0" w:evenVBand="0" w:oddHBand="1" w:evenHBand="0" w:firstRowFirstColumn="0" w:firstRowLastColumn="0" w:lastRowFirstColumn="0" w:lastRowLastColumn="0"/>
          <w:trHeight w:val="60"/>
        </w:trPr>
        <w:tc>
          <w:tcPr>
            <w:tcW w:w="1681" w:type="dxa"/>
          </w:tcPr>
          <w:p w14:paraId="74812040" w14:textId="77777777" w:rsidR="00F018CA" w:rsidRPr="00B53233" w:rsidRDefault="00F018CA" w:rsidP="007A0718">
            <w:pPr>
              <w:pStyle w:val="Tablebodytextnospaceafter"/>
              <w:jc w:val="right"/>
              <w:rPr>
                <w:b/>
                <w:bCs/>
              </w:rPr>
            </w:pPr>
            <w:r w:rsidRPr="00B53233">
              <w:rPr>
                <w:rStyle w:val="Emphasis"/>
                <w:b w:val="0"/>
                <w:bCs w:val="0"/>
              </w:rPr>
              <w:t>2,389</w:t>
            </w:r>
          </w:p>
        </w:tc>
        <w:tc>
          <w:tcPr>
            <w:tcW w:w="5830" w:type="dxa"/>
            <w:hideMark/>
          </w:tcPr>
          <w:p w14:paraId="18BF1B48" w14:textId="77777777" w:rsidR="00F018CA" w:rsidRDefault="00F018CA" w:rsidP="007A0718">
            <w:pPr>
              <w:pStyle w:val="Tablebodytextnospaceafter"/>
            </w:pPr>
            <w:r>
              <w:t>One to two years</w:t>
            </w:r>
          </w:p>
        </w:tc>
        <w:tc>
          <w:tcPr>
            <w:tcW w:w="1788" w:type="dxa"/>
          </w:tcPr>
          <w:p w14:paraId="76865F83" w14:textId="04B12D2B" w:rsidR="00F018CA" w:rsidRPr="00980877" w:rsidRDefault="000438D5" w:rsidP="007A0718">
            <w:pPr>
              <w:pStyle w:val="Tablebodytextnospaceafter"/>
              <w:jc w:val="right"/>
              <w:rPr>
                <w:rStyle w:val="Emphasis"/>
                <w:b w:val="0"/>
              </w:rPr>
            </w:pPr>
            <w:r>
              <w:rPr>
                <w:rStyle w:val="Emphasis"/>
                <w:b w:val="0"/>
              </w:rPr>
              <w:t>2,431</w:t>
            </w:r>
          </w:p>
        </w:tc>
      </w:tr>
      <w:tr w:rsidR="00F018CA" w14:paraId="3B5C1B8D" w14:textId="77777777" w:rsidTr="008B51F6">
        <w:trPr>
          <w:cnfStyle w:val="000000010000" w:firstRow="0" w:lastRow="0" w:firstColumn="0" w:lastColumn="0" w:oddVBand="0" w:evenVBand="0" w:oddHBand="0" w:evenHBand="1" w:firstRowFirstColumn="0" w:firstRowLastColumn="0" w:lastRowFirstColumn="0" w:lastRowLastColumn="0"/>
          <w:trHeight w:val="60"/>
        </w:trPr>
        <w:tc>
          <w:tcPr>
            <w:tcW w:w="1681" w:type="dxa"/>
          </w:tcPr>
          <w:p w14:paraId="70088EAA" w14:textId="522B26C4" w:rsidR="00F018CA" w:rsidRPr="00B53233" w:rsidRDefault="00F018CA" w:rsidP="007A0718">
            <w:pPr>
              <w:pStyle w:val="Tablebodytextnospaceafter"/>
              <w:jc w:val="right"/>
              <w:rPr>
                <w:b/>
                <w:bCs/>
              </w:rPr>
            </w:pPr>
            <w:r w:rsidRPr="00B53233">
              <w:rPr>
                <w:rStyle w:val="Emphasis"/>
                <w:b w:val="0"/>
                <w:bCs w:val="0"/>
              </w:rPr>
              <w:t>6</w:t>
            </w:r>
            <w:r w:rsidR="00B53233">
              <w:rPr>
                <w:rStyle w:val="Emphasis"/>
                <w:b w:val="0"/>
                <w:bCs w:val="0"/>
              </w:rPr>
              <w:t>,</w:t>
            </w:r>
            <w:r w:rsidRPr="00B53233">
              <w:rPr>
                <w:rStyle w:val="Emphasis"/>
                <w:b w:val="0"/>
                <w:bCs w:val="0"/>
              </w:rPr>
              <w:t>034</w:t>
            </w:r>
          </w:p>
        </w:tc>
        <w:tc>
          <w:tcPr>
            <w:tcW w:w="5830" w:type="dxa"/>
            <w:hideMark/>
          </w:tcPr>
          <w:p w14:paraId="1355FD9B" w14:textId="77777777" w:rsidR="00F018CA" w:rsidRDefault="00F018CA" w:rsidP="007A0718">
            <w:pPr>
              <w:pStyle w:val="Tablebodytextnospaceafter"/>
            </w:pPr>
            <w:r>
              <w:t>Three to five years</w:t>
            </w:r>
          </w:p>
        </w:tc>
        <w:tc>
          <w:tcPr>
            <w:tcW w:w="1788" w:type="dxa"/>
          </w:tcPr>
          <w:p w14:paraId="64EEE1DF" w14:textId="64148DFD" w:rsidR="00F018CA" w:rsidRPr="00980877" w:rsidRDefault="00C0006D" w:rsidP="007A0718">
            <w:pPr>
              <w:pStyle w:val="Tablebodytextnospaceafter"/>
              <w:jc w:val="right"/>
              <w:rPr>
                <w:rStyle w:val="Emphasis"/>
                <w:b w:val="0"/>
              </w:rPr>
            </w:pPr>
            <w:r>
              <w:rPr>
                <w:rStyle w:val="Emphasis"/>
                <w:b w:val="0"/>
              </w:rPr>
              <w:t>4,</w:t>
            </w:r>
            <w:r w:rsidR="00BF175F">
              <w:rPr>
                <w:rStyle w:val="Emphasis"/>
                <w:b w:val="0"/>
              </w:rPr>
              <w:t>572</w:t>
            </w:r>
          </w:p>
        </w:tc>
      </w:tr>
      <w:tr w:rsidR="00F018CA" w14:paraId="14F1173E" w14:textId="77777777" w:rsidTr="008B51F6">
        <w:trPr>
          <w:cnfStyle w:val="000000100000" w:firstRow="0" w:lastRow="0" w:firstColumn="0" w:lastColumn="0" w:oddVBand="0" w:evenVBand="0" w:oddHBand="1" w:evenHBand="0" w:firstRowFirstColumn="0" w:firstRowLastColumn="0" w:lastRowFirstColumn="0" w:lastRowLastColumn="0"/>
          <w:trHeight w:val="60"/>
        </w:trPr>
        <w:tc>
          <w:tcPr>
            <w:tcW w:w="1681" w:type="dxa"/>
          </w:tcPr>
          <w:p w14:paraId="5799CD82" w14:textId="77777777" w:rsidR="00F018CA" w:rsidRDefault="00F018CA" w:rsidP="007A0718">
            <w:pPr>
              <w:pStyle w:val="Tablebodytextnospaceafter"/>
              <w:jc w:val="right"/>
              <w:rPr>
                <w:highlight w:val="red"/>
              </w:rPr>
            </w:pPr>
            <w:r>
              <w:rPr>
                <w:color w:val="auto"/>
              </w:rPr>
              <w:t>831</w:t>
            </w:r>
          </w:p>
        </w:tc>
        <w:tc>
          <w:tcPr>
            <w:tcW w:w="5830" w:type="dxa"/>
            <w:hideMark/>
          </w:tcPr>
          <w:p w14:paraId="426DD389" w14:textId="4C8A9B90" w:rsidR="00F018CA" w:rsidRDefault="00FE0BE5" w:rsidP="007A0718">
            <w:pPr>
              <w:pStyle w:val="Tablebodytextnospaceafter"/>
            </w:pPr>
            <w:r>
              <w:t>More than five years</w:t>
            </w:r>
          </w:p>
        </w:tc>
        <w:tc>
          <w:tcPr>
            <w:tcW w:w="1788" w:type="dxa"/>
            <w:tcBorders>
              <w:bottom w:val="single" w:sz="2" w:space="0" w:color="FFFFFF" w:themeColor="background1"/>
            </w:tcBorders>
          </w:tcPr>
          <w:p w14:paraId="0A590A69" w14:textId="26393197" w:rsidR="00F018CA" w:rsidRPr="00980877" w:rsidRDefault="00C72D4C" w:rsidP="007A0718">
            <w:pPr>
              <w:pStyle w:val="Tablebodytextnospaceafter"/>
              <w:jc w:val="right"/>
              <w:rPr>
                <w:rStyle w:val="Emphasis"/>
                <w:b w:val="0"/>
              </w:rPr>
            </w:pPr>
            <w:r>
              <w:rPr>
                <w:rStyle w:val="Emphasis"/>
                <w:b w:val="0"/>
              </w:rPr>
              <w:t>-</w:t>
            </w:r>
          </w:p>
        </w:tc>
      </w:tr>
      <w:tr w:rsidR="00F018CA" w14:paraId="13B9D0D2" w14:textId="77777777" w:rsidTr="008B51F6">
        <w:trPr>
          <w:cnfStyle w:val="000000010000" w:firstRow="0" w:lastRow="0" w:firstColumn="0" w:lastColumn="0" w:oddVBand="0" w:evenVBand="0" w:oddHBand="0" w:evenHBand="1" w:firstRowFirstColumn="0" w:firstRowLastColumn="0" w:lastRowFirstColumn="0" w:lastRowLastColumn="0"/>
          <w:trHeight w:val="60"/>
        </w:trPr>
        <w:tc>
          <w:tcPr>
            <w:tcW w:w="1681" w:type="dxa"/>
            <w:shd w:val="clear" w:color="auto" w:fill="BFBFBF"/>
            <w:hideMark/>
          </w:tcPr>
          <w:p w14:paraId="001568BD" w14:textId="77777777" w:rsidR="00F018CA" w:rsidRPr="0009252F" w:rsidRDefault="00F018CA" w:rsidP="007A0718">
            <w:pPr>
              <w:pStyle w:val="Tablebodytextnospaceafter"/>
              <w:jc w:val="right"/>
              <w:rPr>
                <w:b/>
                <w:bCs/>
              </w:rPr>
            </w:pPr>
            <w:bookmarkStart w:id="90" w:name="TMB253904771" w:colFirst="2" w:colLast="2"/>
            <w:r>
              <w:rPr>
                <w:rStyle w:val="Emphasis"/>
              </w:rPr>
              <w:t>11,811</w:t>
            </w:r>
          </w:p>
        </w:tc>
        <w:tc>
          <w:tcPr>
            <w:tcW w:w="5830" w:type="dxa"/>
            <w:shd w:val="clear" w:color="auto" w:fill="BFBFBF"/>
            <w:hideMark/>
          </w:tcPr>
          <w:p w14:paraId="505FCB83" w14:textId="77777777" w:rsidR="00F018CA" w:rsidRDefault="00F018CA" w:rsidP="007A0718">
            <w:pPr>
              <w:pStyle w:val="Tablebodytextnospaceafter"/>
              <w:rPr>
                <w:rStyle w:val="Emphasis"/>
              </w:rPr>
            </w:pPr>
            <w:r>
              <w:rPr>
                <w:rStyle w:val="Emphasis"/>
              </w:rPr>
              <w:t>Total non-cancellable operating lease commitments</w:t>
            </w:r>
          </w:p>
        </w:tc>
        <w:tc>
          <w:tcPr>
            <w:tcW w:w="1788" w:type="dxa"/>
            <w:shd w:val="clear" w:color="auto" w:fill="BFBFBF"/>
          </w:tcPr>
          <w:p w14:paraId="060F4AEB" w14:textId="294CE78A" w:rsidR="00F018CA" w:rsidRDefault="000438D5" w:rsidP="007A0718">
            <w:pPr>
              <w:pStyle w:val="Tablebodytextnospaceafter"/>
              <w:jc w:val="right"/>
              <w:rPr>
                <w:rStyle w:val="Emphasis"/>
              </w:rPr>
            </w:pPr>
            <w:r>
              <w:rPr>
                <w:rStyle w:val="Emphasis"/>
              </w:rPr>
              <w:t>9,445</w:t>
            </w:r>
          </w:p>
        </w:tc>
      </w:tr>
    </w:tbl>
    <w:p w14:paraId="12A7BD86" w14:textId="1085652A" w:rsidR="00261F5B" w:rsidRDefault="00261F5B" w:rsidP="00261F5B">
      <w:pPr>
        <w:pStyle w:val="Heading3"/>
      </w:pPr>
      <w:bookmarkStart w:id="91" w:name="_Hlk238724578"/>
      <w:bookmarkEnd w:id="90"/>
      <w:r>
        <w:t xml:space="preserve">Capital commitments </w:t>
      </w:r>
    </w:p>
    <w:p w14:paraId="02A10206" w14:textId="1DB3DE7F" w:rsidR="000261EF" w:rsidRDefault="000261EF" w:rsidP="000261EF">
      <w:pPr>
        <w:pStyle w:val="BodyText"/>
        <w:rPr>
          <w:bCs/>
        </w:rPr>
      </w:pPr>
      <w:bookmarkStart w:id="92" w:name="_Hlk237523558"/>
      <w:bookmarkEnd w:id="91"/>
      <w:r w:rsidRPr="000261EF">
        <w:t>During 2</w:t>
      </w:r>
      <w:r w:rsidR="00AC6F69">
        <w:t>02</w:t>
      </w:r>
      <w:r w:rsidRPr="000261EF">
        <w:t>5/26 the Office completed fit out of Wellington Level 8 and Level 11. Apart from the technology equipment replacement, the Office is not expected to incur other capital expenditure during 2026/27</w:t>
      </w:r>
      <w:r>
        <w:t>.</w:t>
      </w:r>
    </w:p>
    <w:p w14:paraId="42EA9592" w14:textId="71D139BD" w:rsidR="00E423CB" w:rsidRDefault="00E423CB" w:rsidP="00C1082F">
      <w:pPr>
        <w:pStyle w:val="Heading2"/>
        <w:spacing w:after="240"/>
      </w:pPr>
      <w:bookmarkStart w:id="93" w:name="_Statement_of_contingent_1"/>
      <w:bookmarkEnd w:id="93"/>
      <w:r>
        <w:t xml:space="preserve">Statement of contingent liabilities and contingent assets </w:t>
      </w:r>
    </w:p>
    <w:p w14:paraId="4208DD0F" w14:textId="713EC42E" w:rsidR="00623386" w:rsidRDefault="00C1082F" w:rsidP="00C1082F">
      <w:pPr>
        <w:pStyle w:val="Heading3"/>
        <w:spacing w:before="240"/>
      </w:pPr>
      <w:r>
        <w:t xml:space="preserve">Unquantifiable contingent liabilities </w:t>
      </w:r>
    </w:p>
    <w:p w14:paraId="327C01F0" w14:textId="494C35ED" w:rsidR="000438D5" w:rsidRPr="002B18FE" w:rsidRDefault="00C1082F" w:rsidP="000438D5">
      <w:pPr>
        <w:spacing w:after="0"/>
      </w:pPr>
      <w:r w:rsidRPr="000438D5">
        <w:t xml:space="preserve">As </w:t>
      </w:r>
      <w:proofErr w:type="gramStart"/>
      <w:r w:rsidRPr="000438D5">
        <w:t>at</w:t>
      </w:r>
      <w:proofErr w:type="gramEnd"/>
      <w:r w:rsidRPr="000438D5">
        <w:t xml:space="preserve"> 30 June 202</w:t>
      </w:r>
      <w:r w:rsidR="00607426" w:rsidRPr="000438D5">
        <w:t>6</w:t>
      </w:r>
      <w:r w:rsidRPr="000438D5">
        <w:t>, the Office</w:t>
      </w:r>
      <w:r w:rsidR="000438D5">
        <w:t xml:space="preserve"> </w:t>
      </w:r>
      <w:r w:rsidR="000438D5" w:rsidRPr="002B18FE">
        <w:t>has recorded the following unquantifiable contingent liabilities</w:t>
      </w:r>
      <w:r w:rsidR="00AC6F69">
        <w:t>.</w:t>
      </w:r>
    </w:p>
    <w:p w14:paraId="499B59D2" w14:textId="3BCBC266" w:rsidR="00C1082F" w:rsidRDefault="000438D5" w:rsidP="00C1082F">
      <w:pPr>
        <w:spacing w:after="0"/>
      </w:pPr>
      <w:r w:rsidRPr="002B18FE">
        <w:t>There are two judicial review proceedings in which we have been named as a party. Neither have been set down for hearing, nor will they result in damages awards, and there is only a very low risk of costs being awarded against us in each.</w:t>
      </w:r>
    </w:p>
    <w:p w14:paraId="3A28F7FC" w14:textId="77777777" w:rsidR="00C1082F" w:rsidRDefault="00C1082F" w:rsidP="00C1082F">
      <w:pPr>
        <w:spacing w:after="0"/>
      </w:pPr>
    </w:p>
    <w:p w14:paraId="7D8D23AE" w14:textId="1AC8DD7B" w:rsidR="00C1082F" w:rsidRPr="00C1082F" w:rsidRDefault="00C1082F" w:rsidP="00607426">
      <w:pPr>
        <w:spacing w:after="0"/>
      </w:pPr>
      <w:r>
        <w:t>(In November 2024, the Office was served with a notice of a judicial review proceeding</w:t>
      </w:r>
      <w:r w:rsidR="00497EAD">
        <w:t xml:space="preserve">. </w:t>
      </w:r>
      <w:r>
        <w:t>This is not expected to result in damages or compensation, and there is a remote chance of the Office being liable for costs</w:t>
      </w:r>
      <w:r w:rsidR="00607426">
        <w:t>)</w:t>
      </w:r>
      <w:r w:rsidR="00497EAD">
        <w:t xml:space="preserve">. </w:t>
      </w:r>
    </w:p>
    <w:bookmarkEnd w:id="92"/>
    <w:p w14:paraId="57E86C1D" w14:textId="5BB9DA32" w:rsidR="00C1082F" w:rsidRDefault="00C1082F" w:rsidP="00C1082F">
      <w:pPr>
        <w:pStyle w:val="Heading3"/>
        <w:spacing w:before="240"/>
      </w:pPr>
      <w:r>
        <w:t xml:space="preserve">Quantifiable contingent liabilities </w:t>
      </w:r>
    </w:p>
    <w:p w14:paraId="06328A9F" w14:textId="77777777" w:rsidR="00607426" w:rsidRDefault="00607426" w:rsidP="00607426">
      <w:pPr>
        <w:pStyle w:val="Whitespace"/>
      </w:pPr>
    </w:p>
    <w:p w14:paraId="5BFCA3FE" w14:textId="0BEE08B7" w:rsidR="00607426" w:rsidRPr="00E05145" w:rsidRDefault="00607426" w:rsidP="00607426">
      <w:pPr>
        <w:pStyle w:val="BodyText"/>
      </w:pPr>
      <w:r w:rsidRPr="00E71AC5">
        <w:t xml:space="preserve">As </w:t>
      </w:r>
      <w:proofErr w:type="gramStart"/>
      <w:r w:rsidRPr="00E71AC5">
        <w:t>at</w:t>
      </w:r>
      <w:proofErr w:type="gramEnd"/>
      <w:r w:rsidRPr="00E71AC5">
        <w:t xml:space="preserve"> 30 June 2026, the Office does not have any quantifiable contingent liabilities.</w:t>
      </w:r>
    </w:p>
    <w:p w14:paraId="53F8ADDB" w14:textId="379EF2A4" w:rsidR="00607426" w:rsidRPr="00607426" w:rsidRDefault="00607426" w:rsidP="00607426">
      <w:pPr>
        <w:pStyle w:val="BodyText"/>
      </w:pPr>
      <w:r>
        <w:t>(2025 Nil).</w:t>
      </w:r>
    </w:p>
    <w:p w14:paraId="5BB4A81D" w14:textId="2F8DB815" w:rsidR="00C1082F" w:rsidRDefault="00C1082F" w:rsidP="00C1082F">
      <w:pPr>
        <w:pStyle w:val="Heading3"/>
        <w:spacing w:before="240"/>
      </w:pPr>
      <w:r>
        <w:t xml:space="preserve">Unquantified contingent assets </w:t>
      </w:r>
    </w:p>
    <w:p w14:paraId="6AE80BF5" w14:textId="77777777" w:rsidR="00607426" w:rsidRDefault="00607426" w:rsidP="00607426">
      <w:pPr>
        <w:pStyle w:val="BodyText"/>
        <w:spacing w:after="0"/>
      </w:pPr>
      <w:r>
        <w:t xml:space="preserve">As </w:t>
      </w:r>
      <w:proofErr w:type="gramStart"/>
      <w:r>
        <w:t>at</w:t>
      </w:r>
      <w:proofErr w:type="gramEnd"/>
      <w:r>
        <w:t xml:space="preserve"> 30 June 2026, the Office does not have any unquantifiable contingent assets.</w:t>
      </w:r>
    </w:p>
    <w:p w14:paraId="0665A2E6" w14:textId="77777777" w:rsidR="00607426" w:rsidRDefault="00607426" w:rsidP="00607426">
      <w:pPr>
        <w:pStyle w:val="BodyText"/>
        <w:spacing w:after="0"/>
      </w:pPr>
      <w:r>
        <w:t>(2025 Nil).</w:t>
      </w:r>
    </w:p>
    <w:p w14:paraId="2F1F9D73" w14:textId="77777777" w:rsidR="00607426" w:rsidRPr="00607426" w:rsidRDefault="00607426" w:rsidP="00607426">
      <w:pPr>
        <w:pStyle w:val="BodyText"/>
      </w:pPr>
    </w:p>
    <w:p w14:paraId="0BB44881" w14:textId="327BBAC2" w:rsidR="00C1082F" w:rsidRDefault="00C1082F" w:rsidP="00C1082F">
      <w:pPr>
        <w:pStyle w:val="Heading3"/>
        <w:spacing w:before="240"/>
      </w:pPr>
      <w:r>
        <w:t xml:space="preserve">Quantified contingent assets </w:t>
      </w:r>
    </w:p>
    <w:p w14:paraId="401F2FC9" w14:textId="77777777" w:rsidR="00607426" w:rsidRDefault="00607426" w:rsidP="00607426">
      <w:pPr>
        <w:pStyle w:val="BodyText"/>
        <w:spacing w:after="0"/>
      </w:pPr>
      <w:r>
        <w:t xml:space="preserve">As </w:t>
      </w:r>
      <w:proofErr w:type="gramStart"/>
      <w:r>
        <w:t>at</w:t>
      </w:r>
      <w:proofErr w:type="gramEnd"/>
      <w:r>
        <w:t xml:space="preserve"> 30 June 2026, the Office does not have any quantifiable contingent assets.</w:t>
      </w:r>
    </w:p>
    <w:p w14:paraId="4FB3CF29" w14:textId="07790E56" w:rsidR="00607426" w:rsidRPr="00607426" w:rsidRDefault="00607426" w:rsidP="00607426">
      <w:pPr>
        <w:pStyle w:val="BodyText"/>
      </w:pPr>
      <w:r>
        <w:t>(2025 Nil).</w:t>
      </w:r>
    </w:p>
    <w:p w14:paraId="6F138B3D" w14:textId="4900E2C8" w:rsidR="00E423CB" w:rsidRDefault="00E423CB" w:rsidP="007B7B82">
      <w:pPr>
        <w:pStyle w:val="Heading2"/>
        <w:spacing w:after="240"/>
      </w:pPr>
      <w:bookmarkStart w:id="94" w:name="_Notes_to_the"/>
      <w:bookmarkEnd w:id="94"/>
      <w:r>
        <w:t xml:space="preserve">Notes to the financial statements </w:t>
      </w:r>
    </w:p>
    <w:p w14:paraId="37E1B21F" w14:textId="77777777" w:rsidR="009D7FD7" w:rsidRPr="00D35AAA" w:rsidRDefault="009D7FD7" w:rsidP="007B7B82">
      <w:pPr>
        <w:pStyle w:val="Heading3"/>
        <w:spacing w:before="240" w:after="240"/>
      </w:pPr>
      <w:r>
        <w:t>1</w:t>
      </w:r>
      <w:r w:rsidRPr="00D35AAA">
        <w:t>. Statement of accounting policies for the year ended 30 Ju</w:t>
      </w:r>
      <w:r>
        <w:t>ne 2026</w:t>
      </w:r>
    </w:p>
    <w:p w14:paraId="547AC36E" w14:textId="6CE0FBFB" w:rsidR="009D7FD7" w:rsidRPr="007B7B82" w:rsidRDefault="009D7FD7" w:rsidP="007B7B82">
      <w:pPr>
        <w:pStyle w:val="Heading4"/>
        <w:spacing w:before="240"/>
        <w:rPr>
          <w:i/>
        </w:rPr>
      </w:pPr>
      <w:r w:rsidRPr="000E30F0">
        <w:t>Reporting entity</w:t>
      </w:r>
    </w:p>
    <w:p w14:paraId="04A84588" w14:textId="51F3CA8E" w:rsidR="009D7FD7" w:rsidRDefault="009D7FD7" w:rsidP="009D7FD7">
      <w:pPr>
        <w:pStyle w:val="BodyText"/>
      </w:pPr>
      <w:r>
        <w:t xml:space="preserve">The financial statements of the Office are for the year ended 30 June 2026. The financial statements were authorised for distribution by the Chief Ombudsman on </w:t>
      </w:r>
      <w:r w:rsidR="00CE3A5B">
        <w:t>30</w:t>
      </w:r>
      <w:r w:rsidR="00805420">
        <w:t xml:space="preserve"> </w:t>
      </w:r>
      <w:r>
        <w:t xml:space="preserve">September 2026. </w:t>
      </w:r>
    </w:p>
    <w:p w14:paraId="46801B78" w14:textId="77777777" w:rsidR="009D7FD7" w:rsidRPr="000E30F0" w:rsidRDefault="009D7FD7" w:rsidP="007B7B82">
      <w:pPr>
        <w:pStyle w:val="Heading4"/>
        <w:rPr>
          <w:i/>
        </w:rPr>
      </w:pPr>
      <w:r w:rsidRPr="000E30F0">
        <w:t>Basis of preparation</w:t>
      </w:r>
    </w:p>
    <w:p w14:paraId="3BAA92C0" w14:textId="2E7853A0" w:rsidR="009D7FD7" w:rsidRDefault="009D7FD7" w:rsidP="009D7FD7">
      <w:pPr>
        <w:pStyle w:val="BodyText"/>
      </w:pPr>
      <w:r>
        <w:t xml:space="preserve">The financial statements have been prepared on a going concern </w:t>
      </w:r>
      <w:r w:rsidR="007B7B82">
        <w:t>basis,</w:t>
      </w:r>
      <w:r>
        <w:t xml:space="preserve"> and the accounting policies have been applied consistently throughout the year.</w:t>
      </w:r>
    </w:p>
    <w:p w14:paraId="19CCA685" w14:textId="77777777" w:rsidR="009D7FD7" w:rsidRPr="000E30F0" w:rsidRDefault="009D7FD7" w:rsidP="007B7B82">
      <w:pPr>
        <w:pStyle w:val="Heading4"/>
        <w:rPr>
          <w:i/>
        </w:rPr>
      </w:pPr>
      <w:r w:rsidRPr="000E30F0">
        <w:t xml:space="preserve">Changes in accounting policy </w:t>
      </w:r>
    </w:p>
    <w:p w14:paraId="5B1CFCD4" w14:textId="77777777" w:rsidR="009D7FD7" w:rsidRDefault="009D7FD7" w:rsidP="009D7FD7">
      <w:pPr>
        <w:pStyle w:val="BodyText"/>
      </w:pPr>
      <w:r>
        <w:t>There have been no changes in accounting policies since the date of the last audited financial statements.</w:t>
      </w:r>
    </w:p>
    <w:p w14:paraId="021C39EB" w14:textId="77777777" w:rsidR="009D7FD7" w:rsidRPr="000E30F0" w:rsidRDefault="009D7FD7" w:rsidP="007B7B82">
      <w:pPr>
        <w:pStyle w:val="Heading4"/>
        <w:rPr>
          <w:i/>
        </w:rPr>
      </w:pPr>
      <w:r w:rsidRPr="000E30F0">
        <w:t xml:space="preserve">Statement of compliance </w:t>
      </w:r>
    </w:p>
    <w:p w14:paraId="0FE6AB3D" w14:textId="77777777" w:rsidR="009D7FD7" w:rsidRDefault="009D7FD7" w:rsidP="009D7FD7">
      <w:pPr>
        <w:pStyle w:val="BodyText"/>
      </w:pPr>
      <w:r>
        <w:t>The financial statements of the Office have been prepared in accordance with the requirements of the Public Finance Act 1989, which include the requirement to comply with New Zealand generally accepted accounting practices (NZ GAAP), and Treasury instructions.</w:t>
      </w:r>
    </w:p>
    <w:p w14:paraId="1F4405DA" w14:textId="77777777" w:rsidR="009D7FD7" w:rsidRDefault="009D7FD7" w:rsidP="009D7FD7">
      <w:pPr>
        <w:pStyle w:val="BodyText"/>
      </w:pPr>
      <w:r>
        <w:t xml:space="preserve">The financial statements have been prepared in accordance with </w:t>
      </w:r>
      <w:r w:rsidRPr="00AF03C3">
        <w:t>Tier 1 PBE Standards.</w:t>
      </w:r>
    </w:p>
    <w:p w14:paraId="0FA139A4" w14:textId="77777777" w:rsidR="009D7FD7" w:rsidRDefault="009D7FD7" w:rsidP="009D7FD7">
      <w:pPr>
        <w:pStyle w:val="BodyText"/>
      </w:pPr>
      <w:r>
        <w:t>These financial statements comply with PBE Financial Reporting Standards (FRS).</w:t>
      </w:r>
    </w:p>
    <w:p w14:paraId="372CF9F5" w14:textId="77777777" w:rsidR="009D7FD7" w:rsidRPr="00AF03C3" w:rsidRDefault="009D7FD7" w:rsidP="007B7B82">
      <w:pPr>
        <w:pStyle w:val="Heading4"/>
        <w:rPr>
          <w:i/>
        </w:rPr>
      </w:pPr>
      <w:r w:rsidRPr="00AF03C3">
        <w:t xml:space="preserve">Measurement base </w:t>
      </w:r>
    </w:p>
    <w:p w14:paraId="537DFA61" w14:textId="77777777" w:rsidR="009D7FD7" w:rsidRDefault="009D7FD7" w:rsidP="009D7FD7">
      <w:pPr>
        <w:pStyle w:val="BodyText"/>
      </w:pPr>
      <w:r>
        <w:t>The financial statements have been prepared on a historical cost basis.</w:t>
      </w:r>
    </w:p>
    <w:p w14:paraId="22FB34EE" w14:textId="77777777" w:rsidR="009D7FD7" w:rsidRPr="00AF03C3" w:rsidRDefault="009D7FD7" w:rsidP="007B7B82">
      <w:pPr>
        <w:pStyle w:val="Heading4"/>
        <w:rPr>
          <w:i/>
        </w:rPr>
      </w:pPr>
      <w:r w:rsidRPr="00AF03C3">
        <w:t xml:space="preserve">Functional and presentation currency </w:t>
      </w:r>
    </w:p>
    <w:p w14:paraId="1A2A5233" w14:textId="3C50558F" w:rsidR="009D7FD7" w:rsidRDefault="009D7FD7" w:rsidP="009D7FD7">
      <w:pPr>
        <w:pStyle w:val="BodyText"/>
      </w:pPr>
      <w:r>
        <w:t xml:space="preserve">The financial statements are presented in New Zealand </w:t>
      </w:r>
      <w:r w:rsidR="007B7B82">
        <w:t>dollars,</w:t>
      </w:r>
      <w:r>
        <w:t xml:space="preserve"> and all values are rounded to the nearest thousand dollars ($000). The functional currency of the Office is New Zealand dollars.</w:t>
      </w:r>
    </w:p>
    <w:p w14:paraId="64A029CB" w14:textId="77777777" w:rsidR="009D7FD7" w:rsidRDefault="009D7FD7" w:rsidP="007B7B82">
      <w:pPr>
        <w:pStyle w:val="Heading4"/>
        <w:spacing w:after="240"/>
      </w:pPr>
      <w:r w:rsidRPr="00AF03C3">
        <w:t xml:space="preserve">New or amended standards adopted </w:t>
      </w:r>
    </w:p>
    <w:p w14:paraId="6593D1F6" w14:textId="7FC2C406" w:rsidR="00E71AC5" w:rsidRPr="00E71AC5" w:rsidRDefault="00E71AC5" w:rsidP="00E71AC5">
      <w:pPr>
        <w:pStyle w:val="BodyText"/>
      </w:pPr>
      <w:r>
        <w:t xml:space="preserve">There are no new amendments or standards required to be applied this year. </w:t>
      </w:r>
    </w:p>
    <w:p w14:paraId="29F3980C" w14:textId="77777777" w:rsidR="009D7FD7" w:rsidRPr="00A553A8" w:rsidRDefault="009D7FD7" w:rsidP="007B7B82">
      <w:pPr>
        <w:pStyle w:val="Heading4"/>
      </w:pPr>
      <w:r w:rsidRPr="00A553A8">
        <w:t xml:space="preserve">Standards issued and not yet effective and not early adopted </w:t>
      </w:r>
    </w:p>
    <w:p w14:paraId="011CC3AE" w14:textId="77777777" w:rsidR="009D7FD7" w:rsidRDefault="009D7FD7" w:rsidP="009D7FD7">
      <w:pPr>
        <w:pStyle w:val="BodyText"/>
      </w:pPr>
      <w:r>
        <w:t xml:space="preserve">Standards and amendments that have been issued but are not yet effective and that have not been early adopted and that are relevant to the Office are: </w:t>
      </w:r>
    </w:p>
    <w:p w14:paraId="478B89FB" w14:textId="6C320F8F" w:rsidR="009D7FD7" w:rsidRPr="00E71AC5" w:rsidRDefault="009D7FD7" w:rsidP="007B7B82">
      <w:pPr>
        <w:pStyle w:val="Heading5"/>
      </w:pPr>
      <w:r w:rsidRPr="00423F55">
        <w:t>2024 Omnibus Amendments to PBE Standards</w:t>
      </w:r>
      <w:r w:rsidR="00E71AC5">
        <w:t xml:space="preserve"> </w:t>
      </w:r>
      <w:r w:rsidR="00E71AC5" w:rsidRPr="00E71AC5">
        <w:t>(</w:t>
      </w:r>
      <w:r w:rsidR="00E71AC5" w:rsidRPr="00E71AC5">
        <w:rPr>
          <w:bCs/>
          <w:iCs/>
        </w:rPr>
        <w:t xml:space="preserve">amendments to PBE </w:t>
      </w:r>
      <w:proofErr w:type="spellStart"/>
      <w:r w:rsidR="00E71AC5" w:rsidRPr="00E71AC5">
        <w:rPr>
          <w:bCs/>
          <w:iCs/>
        </w:rPr>
        <w:t>IPSAS</w:t>
      </w:r>
      <w:proofErr w:type="spellEnd"/>
      <w:r w:rsidR="00E71AC5" w:rsidRPr="00E71AC5">
        <w:rPr>
          <w:bCs/>
          <w:iCs/>
        </w:rPr>
        <w:t xml:space="preserve"> 1)</w:t>
      </w:r>
    </w:p>
    <w:p w14:paraId="6272D614" w14:textId="77777777" w:rsidR="00E71AC5" w:rsidRDefault="00E71AC5" w:rsidP="00E71AC5">
      <w:pPr>
        <w:pStyle w:val="BodyText"/>
      </w:pPr>
      <w:r>
        <w:t>This amendment clarifies the principles for classifying a liability as current or non-current.</w:t>
      </w:r>
    </w:p>
    <w:p w14:paraId="6A8B9C7F" w14:textId="77777777" w:rsidR="00E71AC5" w:rsidRDefault="00E71AC5" w:rsidP="00E71AC5">
      <w:pPr>
        <w:pStyle w:val="BodyText"/>
      </w:pPr>
      <w:r>
        <w:t>The amendment is effective for the year ending 30 June 2027.</w:t>
      </w:r>
    </w:p>
    <w:p w14:paraId="08FFAF2C" w14:textId="77777777" w:rsidR="00E71AC5" w:rsidRDefault="00E71AC5" w:rsidP="00E71AC5">
      <w:pPr>
        <w:pStyle w:val="BodyText"/>
      </w:pPr>
      <w:r>
        <w:t xml:space="preserve">The Office has not yet assessed in detail the impact of these amendments. </w:t>
      </w:r>
    </w:p>
    <w:p w14:paraId="16976393" w14:textId="77777777" w:rsidR="009D7FD7" w:rsidRPr="00423F55" w:rsidRDefault="009D7FD7" w:rsidP="007B7B82">
      <w:pPr>
        <w:pStyle w:val="Heading5"/>
      </w:pPr>
      <w:r w:rsidRPr="00423F55">
        <w:t xml:space="preserve">PBE IFRS 17 Insurance Contracts </w:t>
      </w:r>
    </w:p>
    <w:p w14:paraId="218DB731" w14:textId="2054F3C6" w:rsidR="00E71AC5" w:rsidRDefault="00E71AC5" w:rsidP="00E71AC5">
      <w:pPr>
        <w:pStyle w:val="BodyText"/>
      </w:pPr>
      <w:bookmarkStart w:id="95" w:name="_Summary_of_significant_1"/>
      <w:bookmarkStart w:id="96" w:name="_Ref56757843"/>
      <w:bookmarkEnd w:id="95"/>
      <w:r>
        <w:t>PBE IFRS 17 establishes principles for recognising, measuring, presenting, and disclosing insurance contracts, and will replace PBE IFRS 4. This standard is effective for the year ending 30 June 2027.</w:t>
      </w:r>
    </w:p>
    <w:p w14:paraId="54B9897F" w14:textId="77777777" w:rsidR="00E71AC5" w:rsidRDefault="00E71AC5" w:rsidP="00E71AC5">
      <w:pPr>
        <w:pStyle w:val="BodyText"/>
      </w:pPr>
      <w:r>
        <w:t xml:space="preserve">The Office has not yet assessed in detail the impact of this standard. </w:t>
      </w:r>
    </w:p>
    <w:p w14:paraId="430A1BE4" w14:textId="79B57CBB" w:rsidR="009D7FD7" w:rsidRPr="00EE4468" w:rsidRDefault="009D7FD7" w:rsidP="00EE4468">
      <w:pPr>
        <w:pStyle w:val="Heading2"/>
        <w:spacing w:after="240"/>
      </w:pPr>
      <w:bookmarkStart w:id="97" w:name="_Summary_of_significant_2"/>
      <w:bookmarkEnd w:id="97"/>
      <w:r w:rsidRPr="00757983">
        <w:t>Summary of significant accounting policies</w:t>
      </w:r>
      <w:bookmarkEnd w:id="96"/>
    </w:p>
    <w:p w14:paraId="21772890" w14:textId="746197EE" w:rsidR="00EE4468" w:rsidRDefault="00EE4468" w:rsidP="00EE4468">
      <w:pPr>
        <w:pStyle w:val="Heading4"/>
      </w:pPr>
      <w:r>
        <w:t xml:space="preserve">Revenue </w:t>
      </w:r>
    </w:p>
    <w:p w14:paraId="75DCCE58" w14:textId="427F1C8D" w:rsidR="009D7FD7" w:rsidRDefault="009D7FD7" w:rsidP="009D7FD7">
      <w:pPr>
        <w:pStyle w:val="BodyText"/>
      </w:pPr>
      <w:r>
        <w:t>The specific accounting policies for significant revenue items are explained below:</w:t>
      </w:r>
    </w:p>
    <w:p w14:paraId="32E501FA" w14:textId="77777777" w:rsidR="009D7FD7" w:rsidRPr="00EE4468" w:rsidRDefault="009D7FD7" w:rsidP="00EE4468">
      <w:pPr>
        <w:pStyle w:val="Heading5"/>
      </w:pPr>
      <w:r w:rsidRPr="00EE4468">
        <w:t>Revenue Crown</w:t>
      </w:r>
    </w:p>
    <w:p w14:paraId="16899EFA" w14:textId="77777777" w:rsidR="009D7FD7" w:rsidRPr="00EE4468" w:rsidRDefault="009D7FD7" w:rsidP="009D7FD7">
      <w:pPr>
        <w:pStyle w:val="BodyText"/>
      </w:pPr>
      <w:r w:rsidRPr="00EE4468">
        <w:t>Revenue from the Crown is measured based on the Office’s funding entitlement for the reporting year. The funding entitlement is established by Parliament when it passes the Appropriation Acts for the financial year. The amount of revenue recognised takes into account any amendments to appropriations approved in the Appropriation (Supplementary Estimates) Act for the year and certain other unconditional funding adjustments formally approved prior to balance date.</w:t>
      </w:r>
    </w:p>
    <w:p w14:paraId="38A4976A" w14:textId="6C1BDA40" w:rsidR="009D7FD7" w:rsidRDefault="009D7FD7" w:rsidP="009D7FD7">
      <w:pPr>
        <w:pStyle w:val="BodyText"/>
      </w:pPr>
      <w:r>
        <w:t xml:space="preserve">The Office considers there are no conditions attached to the </w:t>
      </w:r>
      <w:r w:rsidR="00EE4468">
        <w:t>funding,</w:t>
      </w:r>
      <w:r>
        <w:t xml:space="preserve"> and it is recognised as revenue at the point of entitlement.</w:t>
      </w:r>
    </w:p>
    <w:p w14:paraId="1D5198FF" w14:textId="77777777" w:rsidR="009D7FD7" w:rsidRDefault="009D7FD7" w:rsidP="009D7FD7">
      <w:pPr>
        <w:pStyle w:val="BodyText"/>
      </w:pPr>
      <w:r>
        <w:t>The fair value of revenue from the Crown has been determined to be equivalent to the amounts due in the funding arrangements.</w:t>
      </w:r>
    </w:p>
    <w:p w14:paraId="5E674028" w14:textId="77777777" w:rsidR="009D7FD7" w:rsidRPr="00757983" w:rsidRDefault="009D7FD7" w:rsidP="009D7FD7">
      <w:pPr>
        <w:pStyle w:val="Heading4"/>
        <w:rPr>
          <w:b w:val="0"/>
          <w:i/>
        </w:rPr>
      </w:pPr>
      <w:r w:rsidRPr="00757983">
        <w:t>Other expenses</w:t>
      </w:r>
    </w:p>
    <w:p w14:paraId="3A153059" w14:textId="77777777" w:rsidR="009D7FD7" w:rsidRDefault="009D7FD7" w:rsidP="009D7FD7">
      <w:pPr>
        <w:pStyle w:val="BodyText"/>
      </w:pPr>
      <w:r>
        <w:t>Other expenses are recognised as goods and services are received.</w:t>
      </w:r>
    </w:p>
    <w:p w14:paraId="59EC9CCC" w14:textId="77777777" w:rsidR="009D7FD7" w:rsidRPr="00757983" w:rsidRDefault="009D7FD7" w:rsidP="009D7FD7">
      <w:pPr>
        <w:pStyle w:val="Heading4"/>
        <w:rPr>
          <w:b w:val="0"/>
          <w:i/>
        </w:rPr>
      </w:pPr>
      <w:r w:rsidRPr="00757983">
        <w:t>Cash and cash equivalents</w:t>
      </w:r>
    </w:p>
    <w:p w14:paraId="65482F79" w14:textId="77777777" w:rsidR="009D7FD7" w:rsidRDefault="009D7FD7" w:rsidP="009D7FD7">
      <w:pPr>
        <w:pStyle w:val="BodyText"/>
      </w:pPr>
      <w:r>
        <w:t xml:space="preserve">Cash and cash equivalents includes cash on hand and funds on deposit with </w:t>
      </w:r>
      <w:proofErr w:type="gramStart"/>
      <w:r>
        <w:t>banks, and</w:t>
      </w:r>
      <w:proofErr w:type="gramEnd"/>
      <w:r>
        <w:t xml:space="preserve"> is measured at face value.</w:t>
      </w:r>
    </w:p>
    <w:p w14:paraId="1D522E58" w14:textId="77777777" w:rsidR="009D7FD7" w:rsidRDefault="009D7FD7" w:rsidP="009D7FD7">
      <w:pPr>
        <w:pStyle w:val="BodyText"/>
      </w:pPr>
      <w:r>
        <w:t>The Office is only permitted to expend its cash and cash equivalents within the scope and limits of its appropriations.</w:t>
      </w:r>
    </w:p>
    <w:p w14:paraId="74C8A355" w14:textId="77777777" w:rsidR="009D7FD7" w:rsidRPr="00757983" w:rsidRDefault="009D7FD7" w:rsidP="009D7FD7">
      <w:pPr>
        <w:pStyle w:val="Heading4"/>
        <w:rPr>
          <w:b w:val="0"/>
          <w:i/>
        </w:rPr>
      </w:pPr>
      <w:r w:rsidRPr="00757983">
        <w:t>Other current assets</w:t>
      </w:r>
    </w:p>
    <w:p w14:paraId="502EEB04" w14:textId="77777777" w:rsidR="009D7FD7" w:rsidRDefault="009D7FD7" w:rsidP="009D7FD7">
      <w:pPr>
        <w:pStyle w:val="BodyText"/>
      </w:pPr>
      <w:r>
        <w:t>Other current assets are short-term debtors and prepayments that are recorded at their face value less any provision for impairment.</w:t>
      </w:r>
    </w:p>
    <w:p w14:paraId="32FACB1A" w14:textId="77777777" w:rsidR="009D7FD7" w:rsidRPr="00EE4468" w:rsidRDefault="009D7FD7" w:rsidP="00EE4468">
      <w:pPr>
        <w:pStyle w:val="Heading4"/>
      </w:pPr>
      <w:r w:rsidRPr="00EE4468">
        <w:t>Receivables</w:t>
      </w:r>
    </w:p>
    <w:p w14:paraId="5A4E6555" w14:textId="4DEA42DD" w:rsidR="009D7FD7" w:rsidRPr="00DB383D" w:rsidRDefault="009D7FD7" w:rsidP="009D7FD7">
      <w:pPr>
        <w:pStyle w:val="BodyText"/>
        <w:rPr>
          <w:color w:val="auto"/>
        </w:rPr>
      </w:pPr>
      <w:r w:rsidRPr="00DB383D">
        <w:rPr>
          <w:color w:val="auto"/>
        </w:rPr>
        <w:t>Receivables are recorded at the a</w:t>
      </w:r>
      <w:r>
        <w:rPr>
          <w:color w:val="auto"/>
        </w:rPr>
        <w:t>mount due, le</w:t>
      </w:r>
      <w:r w:rsidRPr="00DB383D">
        <w:rPr>
          <w:color w:val="auto"/>
        </w:rPr>
        <w:t>ss an allowance for expected credit losses (ECL)</w:t>
      </w:r>
      <w:r w:rsidR="00497EAD">
        <w:rPr>
          <w:color w:val="auto"/>
        </w:rPr>
        <w:t xml:space="preserve">. </w:t>
      </w:r>
      <w:r w:rsidRPr="00DB383D">
        <w:rPr>
          <w:color w:val="auto"/>
        </w:rPr>
        <w:t>The Office applies the simplified ECL model of recognising lifetime ECLs for receivables.</w:t>
      </w:r>
    </w:p>
    <w:p w14:paraId="0C925343" w14:textId="77777777" w:rsidR="009D7FD7" w:rsidRPr="00DB383D" w:rsidRDefault="009D7FD7" w:rsidP="009D7FD7">
      <w:pPr>
        <w:pStyle w:val="BodyText"/>
        <w:rPr>
          <w:color w:val="auto"/>
        </w:rPr>
      </w:pPr>
      <w:r>
        <w:rPr>
          <w:color w:val="auto"/>
        </w:rPr>
        <w:t>In measuring</w:t>
      </w:r>
      <w:r w:rsidRPr="00DB383D">
        <w:rPr>
          <w:color w:val="auto"/>
        </w:rPr>
        <w:t xml:space="preserve"> ECLs, short-term receivables have been assessed on a collective basis because they possess shared credit-risk characteristics. They have been grouped based on the days past due.</w:t>
      </w:r>
    </w:p>
    <w:p w14:paraId="6490DB99" w14:textId="77777777" w:rsidR="009D7FD7" w:rsidRPr="00DB383D" w:rsidRDefault="009D7FD7" w:rsidP="009D7FD7">
      <w:pPr>
        <w:pStyle w:val="BodyText"/>
        <w:rPr>
          <w:color w:val="auto"/>
        </w:rPr>
      </w:pPr>
      <w:r w:rsidRPr="00DB383D">
        <w:rPr>
          <w:color w:val="auto"/>
        </w:rPr>
        <w:t>Short-term receivables are written off when there are no reasonable expectations of recovery, indicators are that there are no reasonable expectations of recovery include the debtor being in liquidation or the receivable being more than one year overdue.</w:t>
      </w:r>
    </w:p>
    <w:p w14:paraId="24456782" w14:textId="77777777" w:rsidR="009D7FD7" w:rsidRPr="00757983" w:rsidRDefault="009D7FD7" w:rsidP="009D7FD7">
      <w:pPr>
        <w:pStyle w:val="Heading4"/>
        <w:rPr>
          <w:b w:val="0"/>
          <w:i/>
        </w:rPr>
      </w:pPr>
      <w:r w:rsidRPr="00757983">
        <w:t>Property, plant, and equipment</w:t>
      </w:r>
    </w:p>
    <w:p w14:paraId="15A0A16C" w14:textId="77777777" w:rsidR="009D7FD7" w:rsidRDefault="009D7FD7" w:rsidP="009D7FD7">
      <w:pPr>
        <w:pStyle w:val="BodyText"/>
      </w:pPr>
      <w:r>
        <w:t xml:space="preserve">Property, plant, and equipment </w:t>
      </w:r>
      <w:proofErr w:type="gramStart"/>
      <w:r>
        <w:t>consists</w:t>
      </w:r>
      <w:proofErr w:type="gramEnd"/>
      <w:r>
        <w:t xml:space="preserve"> of leasehold improvements, furniture, and office equipment. The Office does not own any vehicles, buildings, or land.</w:t>
      </w:r>
    </w:p>
    <w:p w14:paraId="4E5D72BE" w14:textId="77777777" w:rsidR="009D7FD7" w:rsidRDefault="009D7FD7" w:rsidP="009D7FD7">
      <w:pPr>
        <w:pStyle w:val="BodyText"/>
      </w:pPr>
      <w:r>
        <w:t>Property, plant, and equipment are shown at cost, less accumulated depreciation and impairment.</w:t>
      </w:r>
    </w:p>
    <w:p w14:paraId="7207B9F0" w14:textId="77777777" w:rsidR="009D7FD7" w:rsidRDefault="009D7FD7" w:rsidP="009D7FD7">
      <w:pPr>
        <w:pStyle w:val="BodyText"/>
      </w:pPr>
      <w:r>
        <w:t>In general, fixed assets with a unit cost of more than $1,000, or if the unit cost is $1,000 or less but the aggregate cost of the purchase exceeds $3,000, are capitalised. However, for specific assets such as mobile phone handsets, the Office may decide to capitalise the purchase due to its economic useful life exceeding one year.</w:t>
      </w:r>
    </w:p>
    <w:p w14:paraId="2D752101" w14:textId="77777777" w:rsidR="009D7FD7" w:rsidRPr="00757983" w:rsidRDefault="009D7FD7" w:rsidP="00EE4468">
      <w:pPr>
        <w:pStyle w:val="Heading5"/>
      </w:pPr>
      <w:r w:rsidRPr="00757983">
        <w:t>Additions</w:t>
      </w:r>
    </w:p>
    <w:p w14:paraId="017FDDBD" w14:textId="77777777" w:rsidR="009D7FD7" w:rsidRDefault="009D7FD7" w:rsidP="009D7FD7">
      <w:pPr>
        <w:pStyle w:val="BodyText"/>
      </w:pPr>
      <w:r>
        <w:t>The cost of an item of property, plant, and equipment is recognised as an asset only when it is probable that future economic benefits or service potential associated with the item will flow to the Office and the cost of the item can be measured reliably.</w:t>
      </w:r>
    </w:p>
    <w:p w14:paraId="216A3BE2" w14:textId="77777777" w:rsidR="009D7FD7" w:rsidRDefault="009D7FD7" w:rsidP="009D7FD7">
      <w:pPr>
        <w:pStyle w:val="BodyText"/>
      </w:pPr>
      <w:r>
        <w:t>In most instances an item of property, plant, and equipment is initially recognised at its cost. Where an asset is acquired through a non-exchange transaction, it is recognised at fair value as at the date of acquisition.</w:t>
      </w:r>
    </w:p>
    <w:p w14:paraId="038804A1" w14:textId="77777777" w:rsidR="009D7FD7" w:rsidRPr="00757983" w:rsidRDefault="009D7FD7" w:rsidP="00EE4468">
      <w:pPr>
        <w:pStyle w:val="Heading5"/>
      </w:pPr>
      <w:r w:rsidRPr="00757983">
        <w:t>Disposals</w:t>
      </w:r>
    </w:p>
    <w:p w14:paraId="142643F5" w14:textId="77777777" w:rsidR="009D7FD7" w:rsidRDefault="009D7FD7" w:rsidP="009D7FD7">
      <w:pPr>
        <w:pStyle w:val="BodyText"/>
      </w:pPr>
      <w:r>
        <w:t>Gains and losses on disposals are determined by comparing the proceeds with the carrying amount of the asset. Gains and losses on disposals are reported net in the surplus or deficit. When revalued assets are sold, the amounts included in revaluation reserves in respect of those assets are transferred to general funds.</w:t>
      </w:r>
    </w:p>
    <w:p w14:paraId="1B09D753" w14:textId="77777777" w:rsidR="009D7FD7" w:rsidRPr="00757983" w:rsidRDefault="009D7FD7" w:rsidP="00EE4468">
      <w:pPr>
        <w:pStyle w:val="Heading5"/>
      </w:pPr>
      <w:r w:rsidRPr="00757983">
        <w:t>Subsequent costs</w:t>
      </w:r>
    </w:p>
    <w:p w14:paraId="639647A8" w14:textId="77777777" w:rsidR="009D7FD7" w:rsidRDefault="009D7FD7" w:rsidP="009D7FD7">
      <w:pPr>
        <w:rPr>
          <w:szCs w:val="24"/>
        </w:rPr>
      </w:pPr>
      <w:r>
        <w:rPr>
          <w:szCs w:val="24"/>
        </w:rPr>
        <w:t xml:space="preserve">Costs incurred subsequent to initial acquisition are capitalised only when it is probable that future economic benefits or service potential associated with the item will flow to the </w:t>
      </w:r>
      <w:r>
        <w:t xml:space="preserve">Office </w:t>
      </w:r>
      <w:r>
        <w:rPr>
          <w:szCs w:val="24"/>
        </w:rPr>
        <w:t>and the cost of the item can be measured reliably.</w:t>
      </w:r>
    </w:p>
    <w:p w14:paraId="1747D894" w14:textId="77777777" w:rsidR="009D7FD7" w:rsidRDefault="009D7FD7" w:rsidP="009D7FD7">
      <w:pPr>
        <w:pStyle w:val="BodyText"/>
      </w:pPr>
      <w:r>
        <w:t>The costs of day-to-day servicing of property, plant, and equipment are recognised as operating expenses as they are incurred.</w:t>
      </w:r>
    </w:p>
    <w:p w14:paraId="3A4C6E26" w14:textId="77777777" w:rsidR="009D7FD7" w:rsidRPr="00757983" w:rsidRDefault="009D7FD7" w:rsidP="00EE4468">
      <w:pPr>
        <w:pStyle w:val="Heading5"/>
      </w:pPr>
      <w:r w:rsidRPr="00757983">
        <w:t>Depreciation</w:t>
      </w:r>
    </w:p>
    <w:p w14:paraId="212A6D1E" w14:textId="77777777" w:rsidR="009D7FD7" w:rsidRDefault="009D7FD7" w:rsidP="009D7FD7">
      <w:pPr>
        <w:pStyle w:val="BodyText"/>
      </w:pPr>
      <w:r>
        <w:t>Depreciation is provided on a straight-line basis on all property, plant, and equipment, at rates that will write-off the cost (or valuation) of the assets to their estimated residual values over their useful lives. The useful lives and associated depreciation rates of classes of assets held by the Office are set out below.</w:t>
      </w:r>
    </w:p>
    <w:tbl>
      <w:tblPr>
        <w:tblStyle w:val="TableGridAnnualReport6"/>
        <w:tblW w:w="9299" w:type="dxa"/>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20" w:firstRow="1" w:lastRow="0" w:firstColumn="0" w:lastColumn="0" w:noHBand="0" w:noVBand="1"/>
        <w:tblCaption w:val="DEPRECIATION"/>
      </w:tblPr>
      <w:tblGrid>
        <w:gridCol w:w="2985"/>
        <w:gridCol w:w="3076"/>
        <w:gridCol w:w="3238"/>
      </w:tblGrid>
      <w:tr w:rsidR="009D7FD7" w14:paraId="352DE62C" w14:textId="77777777" w:rsidTr="00C55BCF">
        <w:trPr>
          <w:cnfStyle w:val="100000000000" w:firstRow="1" w:lastRow="0" w:firstColumn="0" w:lastColumn="0" w:oddVBand="0" w:evenVBand="0" w:oddHBand="0" w:evenHBand="0" w:firstRowFirstColumn="0" w:firstRowLastColumn="0" w:lastRowFirstColumn="0" w:lastRowLastColumn="0"/>
        </w:trPr>
        <w:tc>
          <w:tcPr>
            <w:tcW w:w="2999" w:type="dxa"/>
            <w:shd w:val="clear" w:color="auto" w:fill="017E5D"/>
            <w:hideMark/>
          </w:tcPr>
          <w:p w14:paraId="73A8CC0C" w14:textId="77777777" w:rsidR="009D7FD7" w:rsidRPr="00C55BCF" w:rsidRDefault="009D7FD7" w:rsidP="00DE729C">
            <w:pPr>
              <w:pStyle w:val="Tablebodytextnospaceafter"/>
              <w:rPr>
                <w:b/>
                <w:color w:val="FFFFFF" w:themeColor="background1"/>
              </w:rPr>
            </w:pPr>
            <w:r w:rsidRPr="00C55BCF">
              <w:rPr>
                <w:b/>
                <w:color w:val="FFFFFF" w:themeColor="background1"/>
              </w:rPr>
              <w:t>Equipment</w:t>
            </w:r>
          </w:p>
        </w:tc>
        <w:tc>
          <w:tcPr>
            <w:tcW w:w="3097" w:type="dxa"/>
            <w:shd w:val="clear" w:color="auto" w:fill="017E5D"/>
            <w:hideMark/>
          </w:tcPr>
          <w:p w14:paraId="2DA8D262" w14:textId="77777777" w:rsidR="009D7FD7" w:rsidRPr="00C55BCF" w:rsidRDefault="009D7FD7" w:rsidP="00DE729C">
            <w:pPr>
              <w:pStyle w:val="Tablebodytextnospaceafter"/>
              <w:rPr>
                <w:b/>
                <w:color w:val="FFFFFF" w:themeColor="background1"/>
              </w:rPr>
            </w:pPr>
            <w:r w:rsidRPr="00C55BCF">
              <w:rPr>
                <w:b/>
                <w:color w:val="FFFFFF" w:themeColor="background1"/>
              </w:rPr>
              <w:t>Useful life</w:t>
            </w:r>
          </w:p>
        </w:tc>
        <w:tc>
          <w:tcPr>
            <w:tcW w:w="3260" w:type="dxa"/>
            <w:shd w:val="clear" w:color="auto" w:fill="017E5D"/>
            <w:hideMark/>
          </w:tcPr>
          <w:p w14:paraId="409BD457" w14:textId="77777777" w:rsidR="009D7FD7" w:rsidRPr="00C55BCF" w:rsidRDefault="009D7FD7" w:rsidP="00DE729C">
            <w:pPr>
              <w:pStyle w:val="Tablebodytextnospaceafter"/>
              <w:rPr>
                <w:b/>
                <w:color w:val="FFFFFF" w:themeColor="background1"/>
              </w:rPr>
            </w:pPr>
            <w:r w:rsidRPr="00C55BCF">
              <w:rPr>
                <w:b/>
                <w:color w:val="FFFFFF" w:themeColor="background1"/>
              </w:rPr>
              <w:t>Percent</w:t>
            </w:r>
          </w:p>
        </w:tc>
      </w:tr>
      <w:tr w:rsidR="009D7FD7" w14:paraId="697ED37E" w14:textId="77777777" w:rsidTr="00DE729C">
        <w:trPr>
          <w:cnfStyle w:val="000000100000" w:firstRow="0" w:lastRow="0" w:firstColumn="0" w:lastColumn="0" w:oddVBand="0" w:evenVBand="0" w:oddHBand="1" w:evenHBand="0" w:firstRowFirstColumn="0" w:firstRowLastColumn="0" w:lastRowFirstColumn="0" w:lastRowLastColumn="0"/>
        </w:trPr>
        <w:tc>
          <w:tcPr>
            <w:tcW w:w="2999" w:type="dxa"/>
            <w:shd w:val="clear" w:color="auto" w:fill="D3D3D3"/>
            <w:hideMark/>
          </w:tcPr>
          <w:p w14:paraId="3CE3F449" w14:textId="77777777" w:rsidR="009D7FD7" w:rsidRDefault="009D7FD7" w:rsidP="00DE729C">
            <w:pPr>
              <w:pStyle w:val="Tablebodytextnospaceafter"/>
            </w:pPr>
            <w:r>
              <w:t>Computer equipment</w:t>
            </w:r>
          </w:p>
        </w:tc>
        <w:tc>
          <w:tcPr>
            <w:tcW w:w="3097" w:type="dxa"/>
            <w:hideMark/>
          </w:tcPr>
          <w:p w14:paraId="101F673E" w14:textId="77777777" w:rsidR="009D7FD7" w:rsidRDefault="009D7FD7" w:rsidP="00DE729C">
            <w:pPr>
              <w:pStyle w:val="Tablebodytextnospaceafter"/>
            </w:pPr>
            <w:r>
              <w:t>4 years</w:t>
            </w:r>
          </w:p>
        </w:tc>
        <w:tc>
          <w:tcPr>
            <w:tcW w:w="3260" w:type="dxa"/>
            <w:hideMark/>
          </w:tcPr>
          <w:p w14:paraId="1FC87D62" w14:textId="77777777" w:rsidR="009D7FD7" w:rsidRDefault="009D7FD7" w:rsidP="00DE729C">
            <w:pPr>
              <w:pStyle w:val="Tablebodytextnospaceafter"/>
            </w:pPr>
            <w:r>
              <w:t>25%</w:t>
            </w:r>
          </w:p>
        </w:tc>
      </w:tr>
      <w:tr w:rsidR="009D7FD7" w14:paraId="41A8408F" w14:textId="77777777" w:rsidTr="00DE729C">
        <w:trPr>
          <w:cnfStyle w:val="000000010000" w:firstRow="0" w:lastRow="0" w:firstColumn="0" w:lastColumn="0" w:oddVBand="0" w:evenVBand="0" w:oddHBand="0" w:evenHBand="1" w:firstRowFirstColumn="0" w:firstRowLastColumn="0" w:lastRowFirstColumn="0" w:lastRowLastColumn="0"/>
        </w:trPr>
        <w:tc>
          <w:tcPr>
            <w:tcW w:w="2999" w:type="dxa"/>
            <w:shd w:val="clear" w:color="auto" w:fill="D3D3D3"/>
            <w:hideMark/>
          </w:tcPr>
          <w:p w14:paraId="41848022" w14:textId="77777777" w:rsidR="009D7FD7" w:rsidRDefault="009D7FD7" w:rsidP="00DE729C">
            <w:pPr>
              <w:pStyle w:val="Tablebodytextnospaceafter"/>
            </w:pPr>
            <w:r>
              <w:t>Plant and other equipment</w:t>
            </w:r>
          </w:p>
        </w:tc>
        <w:tc>
          <w:tcPr>
            <w:tcW w:w="3097" w:type="dxa"/>
            <w:hideMark/>
          </w:tcPr>
          <w:p w14:paraId="13347FC1" w14:textId="77777777" w:rsidR="009D7FD7" w:rsidRDefault="009D7FD7" w:rsidP="00DE729C">
            <w:pPr>
              <w:pStyle w:val="Tablebodytextnospaceafter"/>
            </w:pPr>
            <w:r>
              <w:t>3-5 years</w:t>
            </w:r>
          </w:p>
        </w:tc>
        <w:tc>
          <w:tcPr>
            <w:tcW w:w="3260" w:type="dxa"/>
            <w:hideMark/>
          </w:tcPr>
          <w:p w14:paraId="6015DC10" w14:textId="68927B37" w:rsidR="009D7FD7" w:rsidRDefault="009D7FD7" w:rsidP="00DE729C">
            <w:pPr>
              <w:pStyle w:val="Tablebodytextnospaceafter"/>
            </w:pPr>
            <w:r>
              <w:t>20%</w:t>
            </w:r>
            <w:r w:rsidR="00C0006D">
              <w:t xml:space="preserve"> - 33%</w:t>
            </w:r>
          </w:p>
        </w:tc>
      </w:tr>
      <w:tr w:rsidR="009D7FD7" w14:paraId="0DDADAFE" w14:textId="77777777" w:rsidTr="00DE729C">
        <w:trPr>
          <w:cnfStyle w:val="000000100000" w:firstRow="0" w:lastRow="0" w:firstColumn="0" w:lastColumn="0" w:oddVBand="0" w:evenVBand="0" w:oddHBand="1" w:evenHBand="0" w:firstRowFirstColumn="0" w:firstRowLastColumn="0" w:lastRowFirstColumn="0" w:lastRowLastColumn="0"/>
        </w:trPr>
        <w:tc>
          <w:tcPr>
            <w:tcW w:w="2999" w:type="dxa"/>
            <w:shd w:val="clear" w:color="auto" w:fill="D3D3D3"/>
            <w:hideMark/>
          </w:tcPr>
          <w:p w14:paraId="6EC17341" w14:textId="77777777" w:rsidR="009D7FD7" w:rsidRDefault="009D7FD7" w:rsidP="00DE729C">
            <w:pPr>
              <w:pStyle w:val="Tablebodytextnospaceafter"/>
            </w:pPr>
            <w:r>
              <w:t>Furniture and fittings</w:t>
            </w:r>
          </w:p>
        </w:tc>
        <w:tc>
          <w:tcPr>
            <w:tcW w:w="3097" w:type="dxa"/>
            <w:hideMark/>
          </w:tcPr>
          <w:p w14:paraId="0E6F857E" w14:textId="77777777" w:rsidR="009D7FD7" w:rsidRDefault="009D7FD7" w:rsidP="00DE729C">
            <w:pPr>
              <w:pStyle w:val="Tablebodytextnospaceafter"/>
            </w:pPr>
            <w:r>
              <w:t>5-10 years</w:t>
            </w:r>
          </w:p>
        </w:tc>
        <w:tc>
          <w:tcPr>
            <w:tcW w:w="3260" w:type="dxa"/>
            <w:hideMark/>
          </w:tcPr>
          <w:p w14:paraId="6760F66E" w14:textId="4AE54A0D" w:rsidR="009D7FD7" w:rsidRDefault="009D7FD7" w:rsidP="00DE729C">
            <w:pPr>
              <w:pStyle w:val="Tablebodytextnospaceafter"/>
            </w:pPr>
            <w:r>
              <w:t>10%</w:t>
            </w:r>
            <w:r w:rsidR="00C0006D">
              <w:t xml:space="preserve"> - 20%</w:t>
            </w:r>
          </w:p>
        </w:tc>
      </w:tr>
      <w:tr w:rsidR="009D7FD7" w14:paraId="10F0920D" w14:textId="77777777" w:rsidTr="00DE729C">
        <w:trPr>
          <w:cnfStyle w:val="000000010000" w:firstRow="0" w:lastRow="0" w:firstColumn="0" w:lastColumn="0" w:oddVBand="0" w:evenVBand="0" w:oddHBand="0" w:evenHBand="1" w:firstRowFirstColumn="0" w:firstRowLastColumn="0" w:lastRowFirstColumn="0" w:lastRowLastColumn="0"/>
        </w:trPr>
        <w:tc>
          <w:tcPr>
            <w:tcW w:w="2999" w:type="dxa"/>
            <w:shd w:val="clear" w:color="auto" w:fill="D3D3D3"/>
            <w:hideMark/>
          </w:tcPr>
          <w:p w14:paraId="200FED82" w14:textId="77777777" w:rsidR="009D7FD7" w:rsidRDefault="009D7FD7" w:rsidP="00DE729C">
            <w:pPr>
              <w:pStyle w:val="Tablebodytextnospaceafter"/>
            </w:pPr>
            <w:r>
              <w:t>Leasehold improvement</w:t>
            </w:r>
          </w:p>
        </w:tc>
        <w:tc>
          <w:tcPr>
            <w:tcW w:w="3097" w:type="dxa"/>
            <w:hideMark/>
          </w:tcPr>
          <w:p w14:paraId="1E1766A6" w14:textId="77777777" w:rsidR="009D7FD7" w:rsidRDefault="009D7FD7" w:rsidP="00DE729C">
            <w:pPr>
              <w:pStyle w:val="Tablebodytextnospaceafter"/>
            </w:pPr>
            <w:r>
              <w:t>Lease term</w:t>
            </w:r>
          </w:p>
        </w:tc>
        <w:tc>
          <w:tcPr>
            <w:tcW w:w="3260" w:type="dxa"/>
            <w:hideMark/>
          </w:tcPr>
          <w:p w14:paraId="02C9C0A8" w14:textId="77777777" w:rsidR="009D7FD7" w:rsidRDefault="009D7FD7" w:rsidP="00DE729C">
            <w:pPr>
              <w:pStyle w:val="Tablebodytextnospaceafter"/>
            </w:pPr>
            <w:r>
              <w:t>Lease term</w:t>
            </w:r>
          </w:p>
        </w:tc>
      </w:tr>
    </w:tbl>
    <w:p w14:paraId="781FA5DC" w14:textId="77777777" w:rsidR="009D7FD7" w:rsidRDefault="009D7FD7" w:rsidP="009D7FD7">
      <w:pPr>
        <w:pStyle w:val="BodyText"/>
      </w:pPr>
      <w:r>
        <w:t>Leasehold improvements are depreciated over the unexpired period of the lease or the estimated remaining useful lives of the improvements, whichever is the shorter.</w:t>
      </w:r>
    </w:p>
    <w:p w14:paraId="712ACF0C" w14:textId="77777777" w:rsidR="009D7FD7" w:rsidRDefault="009D7FD7" w:rsidP="009D7FD7">
      <w:pPr>
        <w:pStyle w:val="BodyText"/>
      </w:pPr>
      <w:r>
        <w:t>The residual value and useful life of an asset is reviewed, and adjusted if applicable, at each financial year-end.</w:t>
      </w:r>
    </w:p>
    <w:p w14:paraId="1255EF61" w14:textId="77777777" w:rsidR="009D7FD7" w:rsidRDefault="009D7FD7" w:rsidP="00C55BCF">
      <w:pPr>
        <w:pStyle w:val="Heading4"/>
        <w:spacing w:after="240" w:line="360" w:lineRule="auto"/>
        <w:rPr>
          <w:b w:val="0"/>
          <w:i/>
        </w:rPr>
      </w:pPr>
      <w:r w:rsidRPr="00757983">
        <w:t>Intangible assets</w:t>
      </w:r>
    </w:p>
    <w:p w14:paraId="05CD24FF" w14:textId="77777777" w:rsidR="009D7FD7" w:rsidRPr="00AB393C" w:rsidRDefault="009D7FD7" w:rsidP="00C55BCF">
      <w:pPr>
        <w:pStyle w:val="Heading5"/>
        <w:spacing w:before="240"/>
        <w:rPr>
          <w:i/>
        </w:rPr>
      </w:pPr>
      <w:r>
        <w:t>Software acquisition and development</w:t>
      </w:r>
    </w:p>
    <w:p w14:paraId="2A110C6D" w14:textId="77777777" w:rsidR="009D7FD7" w:rsidRDefault="009D7FD7" w:rsidP="009D7FD7">
      <w:pPr>
        <w:pStyle w:val="BodyText"/>
      </w:pPr>
      <w:r>
        <w:t xml:space="preserve">Acquired computer software licences are capitalised on the basis of the costs incurred to acquire and bring to use the specific software. </w:t>
      </w:r>
    </w:p>
    <w:p w14:paraId="6B167781" w14:textId="77777777" w:rsidR="009D7FD7" w:rsidRDefault="009D7FD7" w:rsidP="009D7FD7">
      <w:pPr>
        <w:pStyle w:val="BodyText"/>
      </w:pPr>
      <w:r>
        <w:t>Costs that are directly attributable in the creation, production, and preparation of internally generated software are recognised as intangible assets.</w:t>
      </w:r>
    </w:p>
    <w:p w14:paraId="57F37BC2" w14:textId="77777777" w:rsidR="009D7FD7" w:rsidRPr="00757983" w:rsidRDefault="009D7FD7" w:rsidP="00C55BCF">
      <w:pPr>
        <w:pStyle w:val="Heading5"/>
      </w:pPr>
      <w:r w:rsidRPr="00757983">
        <w:t>Amortisation</w:t>
      </w:r>
    </w:p>
    <w:p w14:paraId="32DFB0E5" w14:textId="77777777" w:rsidR="009D7FD7" w:rsidRDefault="009D7FD7" w:rsidP="009D7FD7">
      <w:pPr>
        <w:pStyle w:val="BodyText"/>
      </w:pPr>
      <w:r>
        <w:t>The carrying value of an intangible asset with a finite life is amortised on a straight-line basis over its useful life. Amortisation begins when the asset is available for use and ceases at the date that the asset is derecognised. The amortisation charge for each period is recognised in the surplus or deficit.</w:t>
      </w:r>
    </w:p>
    <w:p w14:paraId="4A921EDA" w14:textId="77777777" w:rsidR="009D7FD7" w:rsidRDefault="009D7FD7" w:rsidP="009D7FD7">
      <w:pPr>
        <w:pStyle w:val="BodyText"/>
      </w:pPr>
      <w:r>
        <w:t>Work in progress amortisation occurs only when assets are completed and in use.</w:t>
      </w:r>
    </w:p>
    <w:p w14:paraId="62B66CFB" w14:textId="77777777" w:rsidR="009D7FD7" w:rsidRPr="00757983" w:rsidRDefault="009D7FD7" w:rsidP="00C55BCF">
      <w:pPr>
        <w:pStyle w:val="Heading5"/>
      </w:pPr>
      <w:r w:rsidRPr="00757983">
        <w:t>Useful lives of software</w:t>
      </w:r>
    </w:p>
    <w:p w14:paraId="0B7FC695" w14:textId="77777777" w:rsidR="009D7FD7" w:rsidRDefault="009D7FD7" w:rsidP="009D7FD7">
      <w:pPr>
        <w:pStyle w:val="BodyText"/>
      </w:pPr>
      <w:r>
        <w:t xml:space="preserve">The useful life of software is determined at the time the software is acquired and brought into </w:t>
      </w:r>
      <w:proofErr w:type="gramStart"/>
      <w:r>
        <w:t>use, and</w:t>
      </w:r>
      <w:proofErr w:type="gramEnd"/>
      <w:r>
        <w:t xml:space="preserve"> is reviewed at each reporting date for appropriateness. For computer software licences, the useful life represents management’s view of the expected period over which the Office will receive benefits from the </w:t>
      </w:r>
      <w:proofErr w:type="gramStart"/>
      <w:r>
        <w:t>software, but</w:t>
      </w:r>
      <w:proofErr w:type="gramEnd"/>
      <w:r>
        <w:t xml:space="preserve"> not exceeding the licence term. </w:t>
      </w:r>
    </w:p>
    <w:p w14:paraId="3FF1FD19" w14:textId="77777777" w:rsidR="009D7FD7" w:rsidRDefault="009D7FD7" w:rsidP="009D7FD7">
      <w:pPr>
        <w:pStyle w:val="BodyText"/>
      </w:pPr>
      <w:r>
        <w:t>For internally generated software developed by the Office, the useful life is based on historical experience with similar systems as well as anticipation of future events that may impact on the useful life, such as changes in technology.</w:t>
      </w:r>
    </w:p>
    <w:p w14:paraId="4187800C" w14:textId="77777777" w:rsidR="009D7FD7" w:rsidRPr="00757983" w:rsidRDefault="009D7FD7" w:rsidP="00C55BCF">
      <w:pPr>
        <w:pStyle w:val="Heading4"/>
        <w:rPr>
          <w:i/>
        </w:rPr>
      </w:pPr>
      <w:r w:rsidRPr="00757983">
        <w:t xml:space="preserve">Estimating useful lives and residual values </w:t>
      </w:r>
    </w:p>
    <w:p w14:paraId="06482FA5" w14:textId="77777777" w:rsidR="009D7FD7" w:rsidRDefault="009D7FD7" w:rsidP="009D7FD7">
      <w:pPr>
        <w:pStyle w:val="BodyText"/>
      </w:pPr>
      <w:r>
        <w:t>At each balance date, the useful lives and residual values of property, plant, and equipment are reviewed. Assessing the appropriateness of useful life and residual value estimates of property, plant and equipment requires a number of factors to be considered, such as the physical condition of the asset, expected period of the use of the asset by the Office, and expected disposal proceeds from the future sale of the asset.</w:t>
      </w:r>
    </w:p>
    <w:p w14:paraId="1A5873E8" w14:textId="77777777" w:rsidR="009D7FD7" w:rsidRDefault="009D7FD7" w:rsidP="009D7FD7">
      <w:pPr>
        <w:pStyle w:val="BodyText"/>
      </w:pPr>
      <w:r>
        <w:t xml:space="preserve">An incorrect estimate of the useful life or residual value will affect the depreciation expense recognised in the surplus or </w:t>
      </w:r>
      <w:proofErr w:type="gramStart"/>
      <w:r>
        <w:t>deficit, and</w:t>
      </w:r>
      <w:proofErr w:type="gramEnd"/>
      <w:r>
        <w:t xml:space="preserve"> carrying amount of the asset in the statement of financial position. The Office minimises the risk of this estimation uncertainty by:</w:t>
      </w:r>
    </w:p>
    <w:p w14:paraId="4E635024" w14:textId="77777777" w:rsidR="009D7FD7" w:rsidRDefault="009D7FD7" w:rsidP="00A50285">
      <w:pPr>
        <w:pStyle w:val="Bullet1"/>
        <w:numPr>
          <w:ilvl w:val="0"/>
          <w:numId w:val="28"/>
        </w:numPr>
        <w:tabs>
          <w:tab w:val="clear" w:pos="567"/>
        </w:tabs>
      </w:pPr>
      <w:r>
        <w:t>physical inspection of assets;</w:t>
      </w:r>
    </w:p>
    <w:p w14:paraId="53064C25" w14:textId="77777777" w:rsidR="009D7FD7" w:rsidRDefault="009D7FD7" w:rsidP="00A50285">
      <w:pPr>
        <w:pStyle w:val="Bullet1"/>
        <w:numPr>
          <w:ilvl w:val="0"/>
          <w:numId w:val="28"/>
        </w:numPr>
        <w:tabs>
          <w:tab w:val="clear" w:pos="567"/>
        </w:tabs>
      </w:pPr>
      <w:r>
        <w:t>asset replacement programmes;</w:t>
      </w:r>
    </w:p>
    <w:p w14:paraId="33A403D4" w14:textId="15BB7D07" w:rsidR="009D7FD7" w:rsidRDefault="009D7FD7" w:rsidP="00A50285">
      <w:pPr>
        <w:pStyle w:val="Bullet1"/>
        <w:numPr>
          <w:ilvl w:val="0"/>
          <w:numId w:val="28"/>
        </w:numPr>
        <w:tabs>
          <w:tab w:val="clear" w:pos="567"/>
        </w:tabs>
      </w:pPr>
      <w:r>
        <w:t xml:space="preserve">review of </w:t>
      </w:r>
      <w:r w:rsidR="00C55BCF">
        <w:t>second-hand</w:t>
      </w:r>
      <w:r>
        <w:t xml:space="preserve"> market prices for similar assets; and</w:t>
      </w:r>
    </w:p>
    <w:p w14:paraId="3633B46F" w14:textId="77777777" w:rsidR="009D7FD7" w:rsidRDefault="009D7FD7" w:rsidP="00A50285">
      <w:pPr>
        <w:pStyle w:val="Bullet1"/>
        <w:numPr>
          <w:ilvl w:val="0"/>
          <w:numId w:val="28"/>
        </w:numPr>
        <w:tabs>
          <w:tab w:val="clear" w:pos="567"/>
        </w:tabs>
      </w:pPr>
      <w:r>
        <w:t>analysis of prior asset sales.</w:t>
      </w:r>
    </w:p>
    <w:p w14:paraId="789DC6AF" w14:textId="77777777" w:rsidR="009D7FD7" w:rsidRDefault="009D7FD7" w:rsidP="009D7FD7">
      <w:pPr>
        <w:pStyle w:val="BodyText"/>
      </w:pPr>
      <w:r>
        <w:t>The Office has not made significant changes to past assumptions concerning useful lives and residual values. The useful lives and associated amortisation rates of major classes of intangible assets have been estimated as set out below.</w:t>
      </w:r>
    </w:p>
    <w:p w14:paraId="46E0B158" w14:textId="77777777" w:rsidR="00F12C69" w:rsidRDefault="00F12C69" w:rsidP="009D7FD7">
      <w:pPr>
        <w:pStyle w:val="BodyText"/>
      </w:pPr>
    </w:p>
    <w:tbl>
      <w:tblPr>
        <w:tblStyle w:val="TableGridAnnualReport7"/>
        <w:tblW w:w="9309" w:type="dxa"/>
        <w:tblInd w:w="0" w:type="dxa"/>
        <w:tblLook w:val="04A0" w:firstRow="1" w:lastRow="0" w:firstColumn="1" w:lastColumn="0" w:noHBand="0" w:noVBand="1"/>
        <w:tblCaption w:val="Computer software"/>
      </w:tblPr>
      <w:tblGrid>
        <w:gridCol w:w="3103"/>
        <w:gridCol w:w="3103"/>
        <w:gridCol w:w="3103"/>
      </w:tblGrid>
      <w:tr w:rsidR="009D7FD7" w14:paraId="3798014F" w14:textId="77777777" w:rsidTr="009E4F6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03" w:type="dxa"/>
            <w:shd w:val="clear" w:color="auto" w:fill="017E5D"/>
            <w:hideMark/>
          </w:tcPr>
          <w:p w14:paraId="57DC28E6" w14:textId="77777777" w:rsidR="009D7FD7" w:rsidRPr="00C55BCF" w:rsidRDefault="009D7FD7" w:rsidP="00DE729C">
            <w:pPr>
              <w:pStyle w:val="Tablebodytextnospaceafter"/>
              <w:rPr>
                <w:b/>
                <w:color w:val="FFFFFF" w:themeColor="background1"/>
              </w:rPr>
            </w:pPr>
            <w:r w:rsidRPr="00C55BCF">
              <w:rPr>
                <w:b/>
                <w:color w:val="FFFFFF" w:themeColor="background1"/>
              </w:rPr>
              <w:t>Computer software</w:t>
            </w:r>
          </w:p>
        </w:tc>
        <w:tc>
          <w:tcPr>
            <w:tcW w:w="3103" w:type="dxa"/>
            <w:shd w:val="clear" w:color="auto" w:fill="017E5D"/>
            <w:hideMark/>
          </w:tcPr>
          <w:p w14:paraId="3419ED2D" w14:textId="77777777" w:rsidR="009D7FD7" w:rsidRPr="00C55BCF" w:rsidRDefault="009D7FD7" w:rsidP="00DE729C">
            <w:pPr>
              <w:pStyle w:val="Tablebodytextnospaceafter"/>
              <w:cnfStyle w:val="100000000000" w:firstRow="1" w:lastRow="0" w:firstColumn="0" w:lastColumn="0" w:oddVBand="0" w:evenVBand="0" w:oddHBand="0" w:evenHBand="0" w:firstRowFirstColumn="0" w:firstRowLastColumn="0" w:lastRowFirstColumn="0" w:lastRowLastColumn="0"/>
              <w:rPr>
                <w:b/>
                <w:color w:val="FFFFFF" w:themeColor="background1"/>
              </w:rPr>
            </w:pPr>
            <w:r w:rsidRPr="00C55BCF">
              <w:rPr>
                <w:b/>
                <w:color w:val="FFFFFF" w:themeColor="background1"/>
              </w:rPr>
              <w:t>Useful life</w:t>
            </w:r>
          </w:p>
        </w:tc>
        <w:tc>
          <w:tcPr>
            <w:tcW w:w="3103" w:type="dxa"/>
            <w:shd w:val="clear" w:color="auto" w:fill="017E5D"/>
            <w:hideMark/>
          </w:tcPr>
          <w:p w14:paraId="61ACA738" w14:textId="77777777" w:rsidR="009D7FD7" w:rsidRPr="00C55BCF" w:rsidRDefault="009D7FD7" w:rsidP="00DE729C">
            <w:pPr>
              <w:pStyle w:val="Tablebodytextnospaceafter"/>
              <w:cnfStyle w:val="100000000000" w:firstRow="1" w:lastRow="0" w:firstColumn="0" w:lastColumn="0" w:oddVBand="0" w:evenVBand="0" w:oddHBand="0" w:evenHBand="0" w:firstRowFirstColumn="0" w:firstRowLastColumn="0" w:lastRowFirstColumn="0" w:lastRowLastColumn="0"/>
              <w:rPr>
                <w:b/>
                <w:color w:val="FFFFFF" w:themeColor="background1"/>
              </w:rPr>
            </w:pPr>
            <w:r w:rsidRPr="00C55BCF">
              <w:rPr>
                <w:b/>
                <w:color w:val="FFFFFF" w:themeColor="background1"/>
              </w:rPr>
              <w:t>Percent</w:t>
            </w:r>
          </w:p>
        </w:tc>
      </w:tr>
      <w:tr w:rsidR="009D7FD7" w14:paraId="1DDA7BE3" w14:textId="77777777" w:rsidTr="009E4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3" w:type="dxa"/>
            <w:tcBorders>
              <w:bottom w:val="single" w:sz="8" w:space="0" w:color="FFFFFF" w:themeColor="background1"/>
            </w:tcBorders>
            <w:shd w:val="clear" w:color="auto" w:fill="D3D3D3"/>
            <w:hideMark/>
          </w:tcPr>
          <w:p w14:paraId="5D77181A" w14:textId="77777777" w:rsidR="009D7FD7" w:rsidRDefault="009D7FD7" w:rsidP="00DE729C">
            <w:pPr>
              <w:pStyle w:val="Tablebodytextnospaceafter"/>
            </w:pPr>
            <w:r>
              <w:t>Acquired computer software</w:t>
            </w:r>
          </w:p>
        </w:tc>
        <w:tc>
          <w:tcPr>
            <w:tcW w:w="3103" w:type="dxa"/>
            <w:hideMark/>
          </w:tcPr>
          <w:p w14:paraId="3CE48692" w14:textId="77777777" w:rsidR="009D7FD7" w:rsidRDefault="009D7FD7" w:rsidP="00DE729C">
            <w:pPr>
              <w:pStyle w:val="Tablebodytextnospaceafter"/>
              <w:cnfStyle w:val="000000100000" w:firstRow="0" w:lastRow="0" w:firstColumn="0" w:lastColumn="0" w:oddVBand="0" w:evenVBand="0" w:oddHBand="1" w:evenHBand="0" w:firstRowFirstColumn="0" w:firstRowLastColumn="0" w:lastRowFirstColumn="0" w:lastRowLastColumn="0"/>
            </w:pPr>
            <w:r>
              <w:t>4 years</w:t>
            </w:r>
          </w:p>
        </w:tc>
        <w:tc>
          <w:tcPr>
            <w:tcW w:w="3103" w:type="dxa"/>
            <w:hideMark/>
          </w:tcPr>
          <w:p w14:paraId="260B62D0" w14:textId="77777777" w:rsidR="009D7FD7" w:rsidRDefault="009D7FD7" w:rsidP="00DE729C">
            <w:pPr>
              <w:pStyle w:val="Tablebodytextnospaceafter"/>
              <w:cnfStyle w:val="000000100000" w:firstRow="0" w:lastRow="0" w:firstColumn="0" w:lastColumn="0" w:oddVBand="0" w:evenVBand="0" w:oddHBand="1" w:evenHBand="0" w:firstRowFirstColumn="0" w:firstRowLastColumn="0" w:lastRowFirstColumn="0" w:lastRowLastColumn="0"/>
            </w:pPr>
            <w:r>
              <w:t>25%</w:t>
            </w:r>
          </w:p>
        </w:tc>
      </w:tr>
      <w:tr w:rsidR="009D7FD7" w14:paraId="78841E08" w14:textId="77777777" w:rsidTr="009E4F6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3" w:type="dxa"/>
            <w:shd w:val="clear" w:color="auto" w:fill="D3D3D3"/>
            <w:hideMark/>
          </w:tcPr>
          <w:p w14:paraId="61CF8163" w14:textId="77777777" w:rsidR="009D7FD7" w:rsidRDefault="009D7FD7" w:rsidP="00DE729C">
            <w:pPr>
              <w:pStyle w:val="Tablebodytextnospaceafter"/>
            </w:pPr>
            <w:r>
              <w:t>Internally generated software</w:t>
            </w:r>
          </w:p>
        </w:tc>
        <w:tc>
          <w:tcPr>
            <w:tcW w:w="3103" w:type="dxa"/>
            <w:hideMark/>
          </w:tcPr>
          <w:p w14:paraId="70A3AF91" w14:textId="77777777" w:rsidR="009D7FD7" w:rsidRDefault="009D7FD7" w:rsidP="00DE729C">
            <w:pPr>
              <w:pStyle w:val="Tablebodytextnospaceafter"/>
              <w:cnfStyle w:val="000000010000" w:firstRow="0" w:lastRow="0" w:firstColumn="0" w:lastColumn="0" w:oddVBand="0" w:evenVBand="0" w:oddHBand="0" w:evenHBand="1" w:firstRowFirstColumn="0" w:firstRowLastColumn="0" w:lastRowFirstColumn="0" w:lastRowLastColumn="0"/>
            </w:pPr>
            <w:r>
              <w:t>10 years</w:t>
            </w:r>
          </w:p>
        </w:tc>
        <w:tc>
          <w:tcPr>
            <w:tcW w:w="3103" w:type="dxa"/>
            <w:hideMark/>
          </w:tcPr>
          <w:p w14:paraId="52935080" w14:textId="77777777" w:rsidR="009D7FD7" w:rsidRDefault="009D7FD7" w:rsidP="00DE729C">
            <w:pPr>
              <w:pStyle w:val="Tablebodytextnospaceafter"/>
              <w:cnfStyle w:val="000000010000" w:firstRow="0" w:lastRow="0" w:firstColumn="0" w:lastColumn="0" w:oddVBand="0" w:evenVBand="0" w:oddHBand="0" w:evenHBand="1" w:firstRowFirstColumn="0" w:firstRowLastColumn="0" w:lastRowFirstColumn="0" w:lastRowLastColumn="0"/>
            </w:pPr>
            <w:r>
              <w:t>10%</w:t>
            </w:r>
          </w:p>
        </w:tc>
      </w:tr>
    </w:tbl>
    <w:p w14:paraId="7F810972" w14:textId="77777777" w:rsidR="009D7FD7" w:rsidRDefault="009D7FD7" w:rsidP="009D7FD7">
      <w:pPr>
        <w:pStyle w:val="Whitespace"/>
      </w:pPr>
    </w:p>
    <w:p w14:paraId="14545407" w14:textId="77777777" w:rsidR="009D7FD7" w:rsidRPr="00757983" w:rsidRDefault="009D7FD7" w:rsidP="009D7FD7">
      <w:pPr>
        <w:pStyle w:val="Heading4"/>
        <w:rPr>
          <w:b w:val="0"/>
          <w:i/>
          <w:color w:val="auto"/>
        </w:rPr>
      </w:pPr>
      <w:r w:rsidRPr="00757983">
        <w:rPr>
          <w:color w:val="auto"/>
        </w:rPr>
        <w:t xml:space="preserve">Impairment of property, plant and equipment, and intangible assets </w:t>
      </w:r>
    </w:p>
    <w:p w14:paraId="02283C88" w14:textId="77777777" w:rsidR="009D7FD7" w:rsidRDefault="009D7FD7" w:rsidP="009D7FD7">
      <w:pPr>
        <w:pStyle w:val="BodyText"/>
      </w:pPr>
      <w:r>
        <w:t xml:space="preserve">The Office does not hold any cash-generating assets. Assets are considered cash-generating where their primary objective is to generate a commercial return. </w:t>
      </w:r>
    </w:p>
    <w:p w14:paraId="5CA6D26B" w14:textId="77777777" w:rsidR="009D7FD7" w:rsidRDefault="009D7FD7" w:rsidP="009D7FD7">
      <w:pPr>
        <w:pStyle w:val="BodyText"/>
      </w:pPr>
      <w:r>
        <w:t xml:space="preserve">Property, plant, and equipment and intangible assets held at cost that have a finite useful life are reviewed for impairment whenever events or changes in circumstances indicate that the carrying amount may not be recoverable. An impairment loss is recognised for the amount by which the asset’s carrying amount exceeds its recoverable service amount. The recoverable service amount is the higher of an asset’s fair value less costs to sell and value in use. </w:t>
      </w:r>
    </w:p>
    <w:p w14:paraId="06E348BD" w14:textId="77777777" w:rsidR="009D7FD7" w:rsidRDefault="009D7FD7" w:rsidP="009D7FD7">
      <w:pPr>
        <w:pStyle w:val="BodyText"/>
      </w:pPr>
      <w:r>
        <w:t xml:space="preserve">Value in use is the present value of the asset’s remaining service potential. Value in use is determined using an approach based on either a depreciated replacement cost approach, restoration cost approach, or a service units approach. The most appropriate approach used to measure value in use depends on the nature of the impairment and availability of information. </w:t>
      </w:r>
    </w:p>
    <w:p w14:paraId="586A3A6C" w14:textId="77777777" w:rsidR="009D7FD7" w:rsidRDefault="009D7FD7" w:rsidP="009D7FD7">
      <w:pPr>
        <w:pStyle w:val="BodyText"/>
      </w:pPr>
      <w:r>
        <w:t xml:space="preserve">If an asset’s carrying amount exceeds its recoverable service amount, the asset is regarded as impaired and the carrying amount is written down to the recoverable amount. The total impairment loss is recognised in the surplus or deficit. </w:t>
      </w:r>
    </w:p>
    <w:p w14:paraId="7E50312C" w14:textId="77777777" w:rsidR="009D7FD7" w:rsidRDefault="009D7FD7" w:rsidP="009D7FD7">
      <w:pPr>
        <w:pStyle w:val="BodyText"/>
      </w:pPr>
      <w:r>
        <w:t>The reversal of an impairment loss is recognised in the surplus or deficit.</w:t>
      </w:r>
    </w:p>
    <w:p w14:paraId="657B736C" w14:textId="77777777" w:rsidR="009D7FD7" w:rsidRPr="00757983" w:rsidRDefault="009D7FD7" w:rsidP="009D7FD7">
      <w:pPr>
        <w:pStyle w:val="Heading4"/>
        <w:rPr>
          <w:b w:val="0"/>
          <w:i/>
          <w:color w:val="auto"/>
        </w:rPr>
      </w:pPr>
      <w:r w:rsidRPr="00757983">
        <w:rPr>
          <w:color w:val="auto"/>
        </w:rPr>
        <w:t xml:space="preserve">Payables </w:t>
      </w:r>
    </w:p>
    <w:p w14:paraId="4C07DB9D" w14:textId="77777777" w:rsidR="009D7FD7" w:rsidRDefault="009D7FD7" w:rsidP="009D7FD7">
      <w:pPr>
        <w:pStyle w:val="BodyText"/>
      </w:pPr>
      <w:r>
        <w:t>Short-term payables are recorded at the amount payable.</w:t>
      </w:r>
    </w:p>
    <w:p w14:paraId="6480E6A8" w14:textId="77777777" w:rsidR="009D7FD7" w:rsidRPr="00757983" w:rsidRDefault="009D7FD7" w:rsidP="009D7FD7">
      <w:pPr>
        <w:pStyle w:val="BodyText"/>
        <w:rPr>
          <w:b/>
          <w:color w:val="auto"/>
        </w:rPr>
      </w:pPr>
      <w:r w:rsidRPr="00757983">
        <w:rPr>
          <w:b/>
          <w:color w:val="auto"/>
        </w:rPr>
        <w:t>Provisions</w:t>
      </w:r>
    </w:p>
    <w:p w14:paraId="401DA5F4" w14:textId="77777777" w:rsidR="009D7FD7" w:rsidRPr="00D837FB" w:rsidRDefault="009D7FD7" w:rsidP="00C55BCF">
      <w:pPr>
        <w:pStyle w:val="Heading5"/>
      </w:pPr>
      <w:r w:rsidRPr="00D837FB">
        <w:t>Onerous contracts</w:t>
      </w:r>
    </w:p>
    <w:p w14:paraId="4C746332" w14:textId="77777777" w:rsidR="009D7FD7" w:rsidRPr="00D837FB" w:rsidRDefault="009D7FD7" w:rsidP="009D7FD7">
      <w:pPr>
        <w:pStyle w:val="BodyText"/>
        <w:rPr>
          <w:color w:val="auto"/>
        </w:rPr>
      </w:pPr>
      <w:r w:rsidRPr="00D837FB">
        <w:rPr>
          <w:color w:val="auto"/>
        </w:rPr>
        <w:t>A provision for onerous contracts is recognised when the expected benefits or service potential to be derived from a contract are lower than the unavoidable cost of meeting the obligations under the contract.</w:t>
      </w:r>
    </w:p>
    <w:p w14:paraId="280E6209" w14:textId="77777777" w:rsidR="009D7FD7" w:rsidRPr="007A7327" w:rsidRDefault="009D7FD7" w:rsidP="009D7FD7">
      <w:pPr>
        <w:pStyle w:val="BodyText"/>
        <w:rPr>
          <w:color w:val="auto"/>
        </w:rPr>
      </w:pPr>
      <w:r w:rsidRPr="00D837FB">
        <w:rPr>
          <w:color w:val="auto"/>
        </w:rPr>
        <w:t>The provision is measured at the present value of the lower of the expected cost of terminating the contract and the expected net cost of continuing with the contract.</w:t>
      </w:r>
    </w:p>
    <w:p w14:paraId="4AD3CA30" w14:textId="77777777" w:rsidR="009D7FD7" w:rsidRPr="00757983" w:rsidRDefault="009D7FD7" w:rsidP="00C55BCF">
      <w:pPr>
        <w:pStyle w:val="Heading4"/>
        <w:spacing w:after="240" w:line="360" w:lineRule="auto"/>
        <w:rPr>
          <w:b w:val="0"/>
          <w:i/>
          <w:color w:val="auto"/>
        </w:rPr>
      </w:pPr>
      <w:r w:rsidRPr="00757983">
        <w:rPr>
          <w:color w:val="auto"/>
        </w:rPr>
        <w:t>Employee entitlements</w:t>
      </w:r>
    </w:p>
    <w:p w14:paraId="3A0061E3" w14:textId="77777777" w:rsidR="009D7FD7" w:rsidRDefault="009D7FD7" w:rsidP="00C55BCF">
      <w:pPr>
        <w:pStyle w:val="Heading5"/>
        <w:spacing w:before="240"/>
      </w:pPr>
      <w:r>
        <w:t xml:space="preserve">Short-term employee entitlements </w:t>
      </w:r>
    </w:p>
    <w:p w14:paraId="3BB8221F" w14:textId="3BADCC96" w:rsidR="009D7FD7" w:rsidRDefault="009D7FD7" w:rsidP="009D7FD7">
      <w:pPr>
        <w:pStyle w:val="BodyText"/>
      </w:pPr>
      <w:r>
        <w:t xml:space="preserve">Employee entitlements that are due to be settled within 12 months after the end of the period in which the employee renders the related service are </w:t>
      </w:r>
      <w:r w:rsidR="00C55BCF">
        <w:t>measured based</w:t>
      </w:r>
      <w:r>
        <w:t xml:space="preserve"> on accrued entitlements at current rates of pay. These include salaries and wages accrued up to balance date, annual leave earned but not yet taken at balance date, and long service leave gratuities expected to be settled within 12 months. </w:t>
      </w:r>
    </w:p>
    <w:p w14:paraId="2201E53E" w14:textId="61DF6255" w:rsidR="009D7FD7" w:rsidRDefault="009D7FD7" w:rsidP="009D7FD7">
      <w:pPr>
        <w:pStyle w:val="BodyText"/>
      </w:pPr>
      <w:r>
        <w:t xml:space="preserve">The Office recognises a liability and an expense for performance pay where there is a contractual obligation, or where there is a past practice that has created a constructive </w:t>
      </w:r>
      <w:r w:rsidR="00C55BCF">
        <w:t>obligation,</w:t>
      </w:r>
      <w:r>
        <w:t xml:space="preserve"> and a reliable estimate of the obligation can be made.</w:t>
      </w:r>
    </w:p>
    <w:p w14:paraId="3DC4372B" w14:textId="77777777" w:rsidR="009D7FD7" w:rsidRDefault="009D7FD7" w:rsidP="009D7FD7">
      <w:pPr>
        <w:pStyle w:val="BodyText"/>
      </w:pPr>
      <w:r>
        <w:t>The Office’s employment agreement for its staff provides for an ‘open ended’ sick leave entitlement, accordingly there is no sick leave liability for accounting purposes.</w:t>
      </w:r>
    </w:p>
    <w:p w14:paraId="2B853694" w14:textId="77777777" w:rsidR="009D7FD7" w:rsidRPr="00757983" w:rsidRDefault="009D7FD7" w:rsidP="001C275B">
      <w:pPr>
        <w:pStyle w:val="Heading5"/>
      </w:pPr>
      <w:r w:rsidRPr="00757983">
        <w:t>Long-term employee entitlements</w:t>
      </w:r>
    </w:p>
    <w:p w14:paraId="308B89F5" w14:textId="77777777" w:rsidR="009D7FD7" w:rsidRDefault="009D7FD7" w:rsidP="009D7FD7">
      <w:pPr>
        <w:pStyle w:val="BodyText"/>
      </w:pPr>
      <w:r>
        <w:t xml:space="preserve">Employee benefits that are due to be settled beyond 12 months after the end of period in which the employee renders that related service, such as long service leave, have been calculated on an actuarial basis. The calculations are based on: </w:t>
      </w:r>
    </w:p>
    <w:p w14:paraId="74384CB3" w14:textId="77777777" w:rsidR="009D7FD7" w:rsidRDefault="009D7FD7" w:rsidP="00A50285">
      <w:pPr>
        <w:pStyle w:val="Bullet1"/>
        <w:numPr>
          <w:ilvl w:val="0"/>
          <w:numId w:val="28"/>
        </w:numPr>
        <w:tabs>
          <w:tab w:val="clear" w:pos="567"/>
        </w:tabs>
      </w:pPr>
      <w:r>
        <w:t>likely future entitlements based on years of service, years to entitlement, the likelihood that staff will reach the point of entitlement, and contractual entitlements information; and</w:t>
      </w:r>
    </w:p>
    <w:p w14:paraId="2EE360EB" w14:textId="77777777" w:rsidR="009D7FD7" w:rsidRDefault="009D7FD7" w:rsidP="00A50285">
      <w:pPr>
        <w:pStyle w:val="Bullet1"/>
        <w:numPr>
          <w:ilvl w:val="0"/>
          <w:numId w:val="28"/>
        </w:numPr>
        <w:tabs>
          <w:tab w:val="clear" w:pos="567"/>
        </w:tabs>
      </w:pPr>
      <w:r>
        <w:t>the present value of the estimated future cash flows.</w:t>
      </w:r>
    </w:p>
    <w:p w14:paraId="6409F4CE" w14:textId="77777777" w:rsidR="009D7FD7" w:rsidRDefault="009D7FD7" w:rsidP="009D7FD7">
      <w:pPr>
        <w:pStyle w:val="BodyText"/>
      </w:pPr>
      <w:r>
        <w:t xml:space="preserve">The Office’s terms and conditions of employment do not include a provision for retirement leave. Long service leave is available to </w:t>
      </w:r>
      <w:r w:rsidRPr="007A7327">
        <w:t>one long-serving staff under ‘grandparent’ employment terms. Long service</w:t>
      </w:r>
      <w:r>
        <w:t xml:space="preserve"> leave is not otherwise available to Office staff.</w:t>
      </w:r>
    </w:p>
    <w:p w14:paraId="6D017014" w14:textId="77777777" w:rsidR="009D7FD7" w:rsidRPr="00757983" w:rsidRDefault="009D7FD7" w:rsidP="001C275B">
      <w:pPr>
        <w:pStyle w:val="Heading5"/>
      </w:pPr>
      <w:r w:rsidRPr="00757983">
        <w:t>Long service leave</w:t>
      </w:r>
    </w:p>
    <w:p w14:paraId="6B35A906" w14:textId="77777777" w:rsidR="009D7FD7" w:rsidRDefault="009D7FD7" w:rsidP="009D7FD7">
      <w:pPr>
        <w:pStyle w:val="BodyText"/>
      </w:pPr>
      <w:r>
        <w:t>Note (11) provides an analysis of the exposure in relation to estimates and uncertainties surrounding the long service leave liability.</w:t>
      </w:r>
    </w:p>
    <w:p w14:paraId="04A22B77" w14:textId="77777777" w:rsidR="009D7FD7" w:rsidRPr="00757983" w:rsidRDefault="009D7FD7" w:rsidP="001C275B">
      <w:pPr>
        <w:pStyle w:val="Heading5"/>
      </w:pPr>
      <w:r w:rsidRPr="00757983">
        <w:t>Presentation of employee entitlements</w:t>
      </w:r>
    </w:p>
    <w:p w14:paraId="5C6A3771" w14:textId="2BA06F41" w:rsidR="009D7FD7" w:rsidRDefault="009D7FD7" w:rsidP="009D7FD7">
      <w:pPr>
        <w:pStyle w:val="BodyText"/>
      </w:pPr>
      <w:r>
        <w:t>Annual leave, vested long service leave</w:t>
      </w:r>
      <w:r w:rsidR="00AF31C6">
        <w:t>,</w:t>
      </w:r>
      <w:r>
        <w:t xml:space="preserve"> and non-vested long service leave expected to be settled within 12 months of balance date are classified as a current liability. All other employee entitlements are classified as a non-current liability.</w:t>
      </w:r>
    </w:p>
    <w:p w14:paraId="71DDC144" w14:textId="77777777" w:rsidR="009D7FD7" w:rsidRPr="00757983" w:rsidRDefault="009D7FD7" w:rsidP="00AF31C6">
      <w:pPr>
        <w:pStyle w:val="Heading4"/>
        <w:spacing w:after="240" w:line="360" w:lineRule="auto"/>
        <w:rPr>
          <w:b w:val="0"/>
          <w:i/>
          <w:color w:val="auto"/>
        </w:rPr>
      </w:pPr>
      <w:r w:rsidRPr="00757983">
        <w:rPr>
          <w:color w:val="auto"/>
        </w:rPr>
        <w:t xml:space="preserve">Superannuation schemes </w:t>
      </w:r>
    </w:p>
    <w:p w14:paraId="634C3806" w14:textId="77777777" w:rsidR="009D7FD7" w:rsidRDefault="009D7FD7" w:rsidP="00AF31C6">
      <w:pPr>
        <w:pStyle w:val="Heading5"/>
        <w:spacing w:before="240"/>
      </w:pPr>
      <w:r>
        <w:t>Defined contribution schemes</w:t>
      </w:r>
    </w:p>
    <w:p w14:paraId="7E0E34CA" w14:textId="77777777" w:rsidR="009D7FD7" w:rsidRDefault="009D7FD7" w:rsidP="009D7FD7">
      <w:pPr>
        <w:pStyle w:val="BodyText"/>
      </w:pPr>
      <w:r>
        <w:t xml:space="preserve">Obligations for contributions to KiwiSaver and other cash accumulation schemes are recognised as an expense in the surplus or deficit as incurred. </w:t>
      </w:r>
    </w:p>
    <w:p w14:paraId="020C17D5" w14:textId="77777777" w:rsidR="009D7FD7" w:rsidRPr="00757983" w:rsidRDefault="009D7FD7" w:rsidP="009D7FD7">
      <w:pPr>
        <w:pStyle w:val="Heading4"/>
        <w:rPr>
          <w:b w:val="0"/>
          <w:i/>
          <w:color w:val="auto"/>
        </w:rPr>
      </w:pPr>
      <w:bookmarkStart w:id="98" w:name="_Ref113255366"/>
      <w:r w:rsidRPr="00757983">
        <w:rPr>
          <w:color w:val="auto"/>
        </w:rPr>
        <w:t>Equity</w:t>
      </w:r>
      <w:bookmarkEnd w:id="98"/>
      <w:r w:rsidRPr="00757983">
        <w:rPr>
          <w:color w:val="auto"/>
        </w:rPr>
        <w:t xml:space="preserve"> </w:t>
      </w:r>
    </w:p>
    <w:p w14:paraId="24FAEFF7" w14:textId="77777777" w:rsidR="009D7FD7" w:rsidRDefault="009D7FD7" w:rsidP="009D7FD7">
      <w:pPr>
        <w:pStyle w:val="BodyText"/>
      </w:pPr>
      <w:r>
        <w:t>Equity is the Crown’s investment in the Office and is measured as the difference between total assets and total liabilities. Equity is disaggregated and classified as taxpayers’ funds.</w:t>
      </w:r>
    </w:p>
    <w:p w14:paraId="49D4A94E" w14:textId="77777777" w:rsidR="009D7FD7" w:rsidRPr="00757983" w:rsidRDefault="009D7FD7" w:rsidP="009D7FD7">
      <w:pPr>
        <w:pStyle w:val="Heading4"/>
        <w:rPr>
          <w:b w:val="0"/>
          <w:i/>
          <w:color w:val="auto"/>
        </w:rPr>
      </w:pPr>
      <w:r w:rsidRPr="00757983">
        <w:rPr>
          <w:color w:val="auto"/>
        </w:rPr>
        <w:t xml:space="preserve">Commitments </w:t>
      </w:r>
    </w:p>
    <w:p w14:paraId="7E6FE641" w14:textId="77777777" w:rsidR="009D7FD7" w:rsidRDefault="009D7FD7" w:rsidP="009D7FD7">
      <w:pPr>
        <w:pStyle w:val="BodyText"/>
      </w:pPr>
      <w:r>
        <w:t xml:space="preserve">Commitments are future expenses and liabilities to be incurred on contracts that have been entered into </w:t>
      </w:r>
      <w:proofErr w:type="spellStart"/>
      <w:r>
        <w:t>at</w:t>
      </w:r>
      <w:proofErr w:type="spellEnd"/>
      <w:r>
        <w:t xml:space="preserve"> balance date. Information on non-cancellable capital and lease commitments are reported in the statements of commitments.</w:t>
      </w:r>
    </w:p>
    <w:p w14:paraId="25E15269" w14:textId="77777777" w:rsidR="009D7FD7" w:rsidRDefault="009D7FD7" w:rsidP="009D7FD7">
      <w:pPr>
        <w:pStyle w:val="BodyText"/>
      </w:pPr>
      <w:r>
        <w:t>Cancellable commitments that have penalty or exit costs explicit in the agreement on exercising that option to cancel are reported in the statement of commitments at the value of that penalty or exit cost.</w:t>
      </w:r>
    </w:p>
    <w:p w14:paraId="5023574B" w14:textId="77777777" w:rsidR="009D7FD7" w:rsidRPr="00757983" w:rsidRDefault="009D7FD7" w:rsidP="00AF31C6">
      <w:pPr>
        <w:pStyle w:val="Heading4"/>
      </w:pPr>
      <w:r w:rsidRPr="00757983">
        <w:t>Capital commitments</w:t>
      </w:r>
    </w:p>
    <w:p w14:paraId="76D8A738" w14:textId="77777777" w:rsidR="009D7FD7" w:rsidRDefault="009D7FD7" w:rsidP="009D7FD7">
      <w:pPr>
        <w:pStyle w:val="BodyText"/>
      </w:pPr>
      <w:r>
        <w:t>Capital commitments are the aggregate amount of capital expenditure contracted for the acquisition of property, plant, and equipment and intangible assets that have not been paid for or not recognised as a liability at a balance date.</w:t>
      </w:r>
    </w:p>
    <w:p w14:paraId="7093FA6A" w14:textId="77777777" w:rsidR="009D7FD7" w:rsidRDefault="009D7FD7" w:rsidP="009D7FD7">
      <w:pPr>
        <w:pStyle w:val="BodyText"/>
      </w:pPr>
      <w:r>
        <w:t xml:space="preserve">Cancellable capital commitments that have penalty or exit costs explicit in the agreement on exercising that option to cancel are reported at the lower of the remaining contractual commitment and the value of </w:t>
      </w:r>
      <w:proofErr w:type="gramStart"/>
      <w:r>
        <w:t>those penalty</w:t>
      </w:r>
      <w:proofErr w:type="gramEnd"/>
      <w:r>
        <w:t xml:space="preserve"> or exit costs (that is, the minimum future payments).</w:t>
      </w:r>
    </w:p>
    <w:p w14:paraId="77FAA413" w14:textId="77777777" w:rsidR="009D7FD7" w:rsidRPr="00757983" w:rsidRDefault="009D7FD7" w:rsidP="009D7FD7">
      <w:pPr>
        <w:pStyle w:val="Heading4"/>
        <w:rPr>
          <w:b w:val="0"/>
          <w:i/>
          <w:color w:val="auto"/>
        </w:rPr>
      </w:pPr>
      <w:r w:rsidRPr="00757983">
        <w:rPr>
          <w:color w:val="auto"/>
        </w:rPr>
        <w:t xml:space="preserve">Goods and services tax (GST) </w:t>
      </w:r>
    </w:p>
    <w:p w14:paraId="65755893" w14:textId="77777777" w:rsidR="009D7FD7" w:rsidRDefault="009D7FD7" w:rsidP="009D7FD7">
      <w:pPr>
        <w:pStyle w:val="BodyText"/>
      </w:pPr>
      <w:r>
        <w:t xml:space="preserve">All items in the financial statements and appropriation statements are stated exclusive of GST, except for receivables and payables, which are stated on a GST inclusive basis. Where GST is not recoverable as input tax, then it is recognised as part of the related asset or expense. </w:t>
      </w:r>
    </w:p>
    <w:p w14:paraId="61D3D9FD" w14:textId="77777777" w:rsidR="009D7FD7" w:rsidRDefault="009D7FD7" w:rsidP="009D7FD7">
      <w:pPr>
        <w:pStyle w:val="BodyText"/>
      </w:pPr>
      <w:r>
        <w:t xml:space="preserve">The net amount of GST recoverable from, or payable to, the Inland Revenue Department (IRD) is included as part of receivables or payables in the statement of financial position. </w:t>
      </w:r>
    </w:p>
    <w:p w14:paraId="175EAFE8" w14:textId="77777777" w:rsidR="009D7FD7" w:rsidRDefault="009D7FD7" w:rsidP="009D7FD7">
      <w:pPr>
        <w:pStyle w:val="BodyText"/>
      </w:pPr>
      <w:r>
        <w:t xml:space="preserve">The net GST paid to, or received from the IRD, including the GST relating to investing and financing activities, is classified as an operating cash flow in the statement of cash flows. </w:t>
      </w:r>
    </w:p>
    <w:p w14:paraId="268F0776" w14:textId="77777777" w:rsidR="009D7FD7" w:rsidRDefault="009D7FD7" w:rsidP="009D7FD7">
      <w:pPr>
        <w:pStyle w:val="BodyText"/>
      </w:pPr>
      <w:r>
        <w:t xml:space="preserve">Commitments and contingencies are disclosed exclusive of GST. </w:t>
      </w:r>
    </w:p>
    <w:p w14:paraId="581E0BD6" w14:textId="77777777" w:rsidR="009D7FD7" w:rsidRDefault="009D7FD7" w:rsidP="009D7FD7">
      <w:pPr>
        <w:pStyle w:val="BodyText"/>
      </w:pPr>
      <w:r>
        <w:t>Remuneration paid to Ombudsmen is exempt from GST pursuant to Part 1 section 6(3)(c) of the Goods and Services Tax Act 1985.</w:t>
      </w:r>
    </w:p>
    <w:p w14:paraId="13B90602" w14:textId="77777777" w:rsidR="009D7FD7" w:rsidRPr="00757983" w:rsidRDefault="009D7FD7" w:rsidP="009D7FD7">
      <w:pPr>
        <w:pStyle w:val="Heading4"/>
        <w:rPr>
          <w:b w:val="0"/>
          <w:i/>
          <w:color w:val="auto"/>
        </w:rPr>
      </w:pPr>
      <w:r w:rsidRPr="00757983">
        <w:rPr>
          <w:color w:val="auto"/>
        </w:rPr>
        <w:t>Income tax</w:t>
      </w:r>
    </w:p>
    <w:p w14:paraId="3C283878" w14:textId="77777777" w:rsidR="009D7FD7" w:rsidRDefault="009D7FD7" w:rsidP="009D7FD7">
      <w:pPr>
        <w:pStyle w:val="BodyText"/>
      </w:pPr>
      <w:r>
        <w:t xml:space="preserve">The Office is a public authority and consequently is exempt from the payment of income tax. Accordingly, no provision has been made for income tax. </w:t>
      </w:r>
    </w:p>
    <w:p w14:paraId="6E0B20D8" w14:textId="77777777" w:rsidR="009D7FD7" w:rsidRPr="00757983" w:rsidRDefault="009D7FD7" w:rsidP="009D7FD7">
      <w:pPr>
        <w:pStyle w:val="Heading4"/>
        <w:rPr>
          <w:b w:val="0"/>
          <w:i/>
          <w:color w:val="auto"/>
        </w:rPr>
      </w:pPr>
      <w:r w:rsidRPr="00757983">
        <w:rPr>
          <w:color w:val="auto"/>
        </w:rPr>
        <w:t xml:space="preserve">Statement of cost accounting policies </w:t>
      </w:r>
    </w:p>
    <w:p w14:paraId="3BF7E2B9" w14:textId="77777777" w:rsidR="009D7FD7" w:rsidRDefault="009D7FD7" w:rsidP="009D7FD7">
      <w:pPr>
        <w:pStyle w:val="BodyText"/>
      </w:pPr>
      <w:r>
        <w:t>The Office has one output expense appropriation. All the Office’s costs with the exception of the remuneration of the Ombudsmen are charged to this output.</w:t>
      </w:r>
    </w:p>
    <w:p w14:paraId="2FC1AE8C" w14:textId="77777777" w:rsidR="009D7FD7" w:rsidRDefault="009D7FD7" w:rsidP="009D7FD7">
      <w:pPr>
        <w:pStyle w:val="BodyText"/>
      </w:pPr>
      <w:r>
        <w:t>There have been no changes in cost accounting policies since the date of the last audited financial statements.</w:t>
      </w:r>
    </w:p>
    <w:p w14:paraId="3451F472" w14:textId="77777777" w:rsidR="009D7FD7" w:rsidRPr="00757983" w:rsidRDefault="009D7FD7" w:rsidP="009D7FD7">
      <w:pPr>
        <w:pStyle w:val="Heading4"/>
        <w:rPr>
          <w:b w:val="0"/>
          <w:i/>
          <w:color w:val="auto"/>
        </w:rPr>
      </w:pPr>
      <w:r w:rsidRPr="00757983">
        <w:rPr>
          <w:color w:val="auto"/>
        </w:rPr>
        <w:t>Critical accounting estimates and assumptions</w:t>
      </w:r>
    </w:p>
    <w:p w14:paraId="471B8D1C" w14:textId="77777777" w:rsidR="009D7FD7" w:rsidRDefault="009D7FD7" w:rsidP="009D7FD7">
      <w:pPr>
        <w:pStyle w:val="BodyText"/>
      </w:pPr>
      <w:r>
        <w:t>In preparing these financial statements, the Office has made estimates and assumptions concerning the future.</w:t>
      </w:r>
    </w:p>
    <w:p w14:paraId="070140E5" w14:textId="77777777" w:rsidR="009D7FD7" w:rsidRDefault="009D7FD7" w:rsidP="009D7FD7">
      <w:pPr>
        <w:pStyle w:val="BodyText"/>
      </w:pPr>
      <w:r>
        <w:t>These estimates and assumptions may differ from the subsequent actual results. Estimates and assumptions are continually evaluated and are based on historical experience and other factors, including expectations of future events that are believed to be reasonable under the circumstances. The estimates and assumptions that have a significant risk of causing a material adjustment to the carrying amounts of assets and liabilities within the next financial year are discussed below.</w:t>
      </w:r>
    </w:p>
    <w:p w14:paraId="56233CE0" w14:textId="77777777" w:rsidR="009D7FD7" w:rsidRPr="00757983" w:rsidRDefault="009D7FD7" w:rsidP="009D7FD7">
      <w:pPr>
        <w:pStyle w:val="Heading4"/>
        <w:rPr>
          <w:b w:val="0"/>
          <w:i/>
          <w:color w:val="auto"/>
        </w:rPr>
      </w:pPr>
      <w:r w:rsidRPr="00757983">
        <w:rPr>
          <w:color w:val="auto"/>
        </w:rPr>
        <w:t>Critical judgements in applying accounting policies</w:t>
      </w:r>
    </w:p>
    <w:p w14:paraId="20E3333F" w14:textId="77777777" w:rsidR="009D7FD7" w:rsidRDefault="009D7FD7" w:rsidP="009D7FD7">
      <w:pPr>
        <w:pStyle w:val="BodyText"/>
      </w:pPr>
      <w:r>
        <w:t>Management has exercised the following critical judgements in applying accounting policies for the year ended 30 June 2026.</w:t>
      </w:r>
    </w:p>
    <w:p w14:paraId="4731B182" w14:textId="77777777" w:rsidR="009D7FD7" w:rsidRPr="00757983" w:rsidRDefault="009D7FD7" w:rsidP="009D7FD7">
      <w:pPr>
        <w:pStyle w:val="Heading4"/>
        <w:rPr>
          <w:b w:val="0"/>
          <w:i/>
          <w:color w:val="auto"/>
        </w:rPr>
      </w:pPr>
      <w:r w:rsidRPr="00757983">
        <w:rPr>
          <w:color w:val="auto"/>
        </w:rPr>
        <w:t>Budget and forecast figures</w:t>
      </w:r>
    </w:p>
    <w:p w14:paraId="587395DA" w14:textId="77777777" w:rsidR="009D7FD7" w:rsidRDefault="009D7FD7" w:rsidP="009D7FD7">
      <w:pPr>
        <w:pStyle w:val="BodyText"/>
      </w:pPr>
      <w:r>
        <w:t xml:space="preserve">The forecast financial statements (Main Estimates 2026/27) have been prepared as required by the Public Finance Act 1989, to communicate forecast financial information for accountability purposes. The budget and forecast figures (all </w:t>
      </w:r>
      <w:proofErr w:type="gramStart"/>
      <w:r>
        <w:t>Estimates</w:t>
      </w:r>
      <w:proofErr w:type="gramEnd"/>
      <w:r>
        <w:t xml:space="preserve"> information) are unaudited and have been prepared using the accounting policies adopted in preparing these financial statements.</w:t>
      </w:r>
    </w:p>
    <w:p w14:paraId="6548ACED" w14:textId="77777777" w:rsidR="009D7FD7" w:rsidRPr="00423F55" w:rsidRDefault="009D7FD7" w:rsidP="00AF31C6">
      <w:pPr>
        <w:pStyle w:val="Heading5"/>
      </w:pPr>
      <w:r w:rsidRPr="00423F55">
        <w:t>202</w:t>
      </w:r>
      <w:r>
        <w:t>5</w:t>
      </w:r>
      <w:r w:rsidRPr="00423F55">
        <w:t>/2</w:t>
      </w:r>
      <w:r>
        <w:t>6</w:t>
      </w:r>
      <w:r w:rsidRPr="00423F55">
        <w:t xml:space="preserve"> Main Estimates and Supplementary Estimates </w:t>
      </w:r>
    </w:p>
    <w:p w14:paraId="301EED0B" w14:textId="77777777" w:rsidR="009D7FD7" w:rsidRDefault="009D7FD7" w:rsidP="009D7FD7">
      <w:pPr>
        <w:pStyle w:val="BodyText"/>
      </w:pPr>
      <w:r>
        <w:t xml:space="preserve">The 2025/26 Main Estimates forecast financial statements are consistent with the forecasts published in Budget 2025 and in the </w:t>
      </w:r>
      <w:proofErr w:type="gramStart"/>
      <w:r>
        <w:t>Office‘</w:t>
      </w:r>
      <w:proofErr w:type="gramEnd"/>
      <w:r>
        <w:t>s 2024/25 annual report.</w:t>
      </w:r>
    </w:p>
    <w:p w14:paraId="2D789CE2" w14:textId="77777777" w:rsidR="009D7FD7" w:rsidRDefault="009D7FD7" w:rsidP="009D7FD7">
      <w:pPr>
        <w:pStyle w:val="BodyText"/>
      </w:pPr>
      <w:r>
        <w:t xml:space="preserve">The 2025/26 Supplementary Estimates forecast financial statements are based on the updated forecasts published in Budget 2026. </w:t>
      </w:r>
    </w:p>
    <w:p w14:paraId="0727546F" w14:textId="77777777" w:rsidR="009D7FD7" w:rsidRDefault="009D7FD7" w:rsidP="00AF31C6">
      <w:pPr>
        <w:pStyle w:val="Heading5"/>
      </w:pPr>
      <w:r w:rsidRPr="005A7924">
        <w:t>202</w:t>
      </w:r>
      <w:r>
        <w:t>6</w:t>
      </w:r>
      <w:r w:rsidRPr="005A7924">
        <w:t>/2</w:t>
      </w:r>
      <w:r>
        <w:t>7</w:t>
      </w:r>
      <w:r w:rsidRPr="005A7924">
        <w:t xml:space="preserve"> Main Estimates</w:t>
      </w:r>
    </w:p>
    <w:p w14:paraId="0ADEE0FF" w14:textId="77777777" w:rsidR="009D7FD7" w:rsidRDefault="009D7FD7" w:rsidP="009D7FD7">
      <w:pPr>
        <w:pStyle w:val="BodyText"/>
      </w:pPr>
      <w:r>
        <w:t>The 2026/27 Main Estimates forecast financial statements are consistent with the forecasts published in Budget 2026. They have been prepared in keeping with PBE FRS 42: Prospective Financial Statements and comply with that standard.</w:t>
      </w:r>
    </w:p>
    <w:p w14:paraId="236A52BB" w14:textId="73335779" w:rsidR="009D7FD7" w:rsidRDefault="009D7FD7" w:rsidP="009D7FD7">
      <w:pPr>
        <w:pStyle w:val="BodyText"/>
      </w:pPr>
      <w:r>
        <w:t>Although we regularly update our forecasts, updated forecast financial statements for the year ending 30 June 202</w:t>
      </w:r>
      <w:r w:rsidR="0091732D">
        <w:t>7</w:t>
      </w:r>
      <w:r>
        <w:t xml:space="preserve"> will not be published. </w:t>
      </w:r>
    </w:p>
    <w:p w14:paraId="40F49D56" w14:textId="19370E55" w:rsidR="009D7FD7" w:rsidRDefault="009D7FD7" w:rsidP="009D7FD7">
      <w:pPr>
        <w:pStyle w:val="BodyText"/>
      </w:pPr>
      <w:r>
        <w:t>The 202</w:t>
      </w:r>
      <w:r w:rsidR="0091732D">
        <w:t>6</w:t>
      </w:r>
      <w:r>
        <w:t>/202</w:t>
      </w:r>
      <w:r w:rsidR="0091732D">
        <w:t>7</w:t>
      </w:r>
      <w:r>
        <w:t xml:space="preserve"> forecast financial statements are consistent with the best estimate financial forecast information submitted to the Treasury for the </w:t>
      </w:r>
      <w:r w:rsidR="0013413E">
        <w:t>Budget Economic Forecast Update (</w:t>
      </w:r>
      <w:proofErr w:type="spellStart"/>
      <w:r>
        <w:t>BEFU</w:t>
      </w:r>
      <w:proofErr w:type="spellEnd"/>
      <w:r w:rsidR="0013413E">
        <w:t>)</w:t>
      </w:r>
      <w:r>
        <w:t xml:space="preserve"> for the year ending </w:t>
      </w:r>
      <w:r w:rsidRPr="00423F55">
        <w:t>30 June 202</w:t>
      </w:r>
      <w:r w:rsidR="0091732D">
        <w:t>7</w:t>
      </w:r>
      <w:r w:rsidRPr="00036858">
        <w:t>.</w:t>
      </w:r>
    </w:p>
    <w:p w14:paraId="0344B813" w14:textId="5824F794" w:rsidR="009D7FD7" w:rsidRDefault="009D7FD7" w:rsidP="009D7FD7">
      <w:pPr>
        <w:pStyle w:val="BodyText"/>
      </w:pPr>
      <w:r>
        <w:t xml:space="preserve">The financial forecasts are based on </w:t>
      </w:r>
      <w:proofErr w:type="spellStart"/>
      <w:r>
        <w:t>BEFU</w:t>
      </w:r>
      <w:proofErr w:type="spellEnd"/>
      <w:r w:rsidR="0013413E">
        <w:t xml:space="preserve"> </w:t>
      </w:r>
      <w:r>
        <w:t>and have been prepared on the basis of assumptions as to future events that the Office reasonably expects to occur, associated with the actions it reasonably expects to take.</w:t>
      </w:r>
    </w:p>
    <w:p w14:paraId="7E565D7B" w14:textId="1D3AD231" w:rsidR="009D7FD7" w:rsidRDefault="009D7FD7" w:rsidP="009D7FD7">
      <w:pPr>
        <w:pStyle w:val="BodyText"/>
      </w:pPr>
      <w:r>
        <w:t>The forecast financial statement</w:t>
      </w:r>
      <w:r w:rsidR="0013413E">
        <w:t>s</w:t>
      </w:r>
      <w:r>
        <w:t xml:space="preserve"> have been prepared to communicate forecast financial information for accountability purposes, as required by the Public Finance Act</w:t>
      </w:r>
      <w:r w:rsidR="00497EAD">
        <w:t xml:space="preserve">. </w:t>
      </w:r>
    </w:p>
    <w:p w14:paraId="524D3ACF" w14:textId="77777777" w:rsidR="009D7FD7" w:rsidRDefault="009D7FD7" w:rsidP="009D7FD7">
      <w:pPr>
        <w:pStyle w:val="BodyText"/>
      </w:pPr>
      <w:r>
        <w:t>These forecast financial statements were compiled on the basis of existing parliamentary outcomes at the time the statements were finalised.</w:t>
      </w:r>
    </w:p>
    <w:p w14:paraId="77D6032B" w14:textId="77777777" w:rsidR="009D7FD7" w:rsidRDefault="009D7FD7" w:rsidP="009D7FD7">
      <w:pPr>
        <w:pStyle w:val="BodyText"/>
      </w:pPr>
      <w:r>
        <w:t>The main assumptions are as follows:</w:t>
      </w:r>
    </w:p>
    <w:p w14:paraId="68447F01" w14:textId="77777777" w:rsidR="009D7FD7" w:rsidRDefault="009D7FD7" w:rsidP="009D7FD7">
      <w:pPr>
        <w:pStyle w:val="Bullet1"/>
        <w:numPr>
          <w:ilvl w:val="0"/>
          <w:numId w:val="26"/>
        </w:numPr>
        <w:tabs>
          <w:tab w:val="clear" w:pos="567"/>
        </w:tabs>
      </w:pPr>
      <w:r>
        <w:t xml:space="preserve">There are no significant events or changes that would have a material impact on the </w:t>
      </w:r>
      <w:proofErr w:type="spellStart"/>
      <w:r>
        <w:t>BEFU</w:t>
      </w:r>
      <w:proofErr w:type="spellEnd"/>
      <w:r>
        <w:t xml:space="preserve"> forecast.</w:t>
      </w:r>
    </w:p>
    <w:p w14:paraId="26C94945" w14:textId="7F818AAE" w:rsidR="009D7FD7" w:rsidRDefault="009D7FD7" w:rsidP="009D7FD7">
      <w:pPr>
        <w:pStyle w:val="Bullet1"/>
        <w:numPr>
          <w:ilvl w:val="0"/>
          <w:numId w:val="26"/>
        </w:numPr>
        <w:tabs>
          <w:tab w:val="clear" w:pos="567"/>
        </w:tabs>
      </w:pPr>
      <w:r>
        <w:t>Factors that could lead to material differences between the forecast financial statements and the 202</w:t>
      </w:r>
      <w:r w:rsidR="0091732D">
        <w:t>6</w:t>
      </w:r>
      <w:r>
        <w:t>/2</w:t>
      </w:r>
      <w:r w:rsidR="0091732D">
        <w:t>7</w:t>
      </w:r>
      <w:r>
        <w:t xml:space="preserve"> actual financial statements include changes to the baseline budget through new initiatives, or technical adjustments.</w:t>
      </w:r>
    </w:p>
    <w:p w14:paraId="130C91DE" w14:textId="77777777" w:rsidR="009D7FD7" w:rsidRPr="00757983" w:rsidRDefault="009D7FD7" w:rsidP="009D7FD7">
      <w:pPr>
        <w:pStyle w:val="Heading4"/>
        <w:rPr>
          <w:b w:val="0"/>
          <w:i/>
          <w:color w:val="auto"/>
        </w:rPr>
      </w:pPr>
      <w:r w:rsidRPr="00757983">
        <w:rPr>
          <w:color w:val="auto"/>
        </w:rPr>
        <w:t>Authorisation statement</w:t>
      </w:r>
    </w:p>
    <w:p w14:paraId="6444B528" w14:textId="03B39747" w:rsidR="009D7FD7" w:rsidRDefault="009D7FD7" w:rsidP="009D7FD7">
      <w:pPr>
        <w:pStyle w:val="BodyText"/>
      </w:pPr>
      <w:r>
        <w:t xml:space="preserve">The 2026/27 forecast financial statements were approved for issue by the Chief Ombudsman on </w:t>
      </w:r>
      <w:r w:rsidR="0091732D">
        <w:t>29 April 2026</w:t>
      </w:r>
      <w:r>
        <w:t>. The Chief Ombudsman is responsible for the forecast financial statements, including the appropriateness of the assumptions underlying them and all other required disclosures.</w:t>
      </w:r>
    </w:p>
    <w:p w14:paraId="0CACA4F5" w14:textId="63BCCAD3" w:rsidR="00E423CB" w:rsidRDefault="009D7FD7" w:rsidP="00AF31C6">
      <w:pPr>
        <w:pStyle w:val="BodyText"/>
      </w:pPr>
      <w:r>
        <w:t>The preparation of these forecast financial statements requires judgements, estimations, and assumptions that affect the application of policies and reported amounts of assets and liabilities, and income and expenses. The estimates and associated assumptions are based on historical experience and various other factors that are believed to be reasonable under the circumstances. Actual financial results achieved for the period covered are likely to vary from the information presented, and the variations may be material</w:t>
      </w:r>
      <w:r w:rsidR="00AF31C6">
        <w:t>.</w:t>
      </w:r>
      <w:bookmarkStart w:id="99" w:name="_Summary_of_significant"/>
      <w:bookmarkEnd w:id="99"/>
    </w:p>
    <w:p w14:paraId="7B28FD4B" w14:textId="349AC21C" w:rsidR="00AF31C6" w:rsidRDefault="00183B0A" w:rsidP="00032F1F">
      <w:pPr>
        <w:pStyle w:val="Heading3"/>
      </w:pPr>
      <w:r>
        <w:t xml:space="preserve">2. Personnel costs </w:t>
      </w:r>
    </w:p>
    <w:tbl>
      <w:tblPr>
        <w:tblStyle w:val="TableGridAnnualReport9"/>
        <w:tblW w:w="9204" w:type="dxa"/>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1056"/>
        <w:gridCol w:w="2624"/>
        <w:gridCol w:w="1381"/>
        <w:gridCol w:w="1381"/>
        <w:gridCol w:w="1381"/>
        <w:gridCol w:w="1381"/>
      </w:tblGrid>
      <w:tr w:rsidR="00331C36" w14:paraId="4774E9E3" w14:textId="77777777" w:rsidTr="00B1665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74" w:type="pct"/>
            <w:shd w:val="clear" w:color="auto" w:fill="017E5D"/>
            <w:hideMark/>
          </w:tcPr>
          <w:p w14:paraId="273B2E23" w14:textId="77777777" w:rsidR="00331C36" w:rsidRPr="00423F55" w:rsidRDefault="00331C36" w:rsidP="00DE729C">
            <w:pPr>
              <w:pStyle w:val="Tableheadingrow1"/>
              <w:jc w:val="right"/>
              <w:rPr>
                <w:sz w:val="22"/>
              </w:rPr>
            </w:pPr>
            <w:r>
              <w:rPr>
                <w:sz w:val="22"/>
              </w:rPr>
              <w:t>Actual</w:t>
            </w:r>
          </w:p>
          <w:p w14:paraId="2465B382" w14:textId="77777777" w:rsidR="00331C36" w:rsidRPr="00423F55" w:rsidRDefault="00331C36" w:rsidP="00DE729C">
            <w:pPr>
              <w:pStyle w:val="Tableheadingrow1"/>
              <w:jc w:val="right"/>
              <w:rPr>
                <w:sz w:val="22"/>
              </w:rPr>
            </w:pPr>
            <w:r>
              <w:rPr>
                <w:sz w:val="22"/>
              </w:rPr>
              <w:t>2024/25</w:t>
            </w:r>
            <w:r>
              <w:rPr>
                <w:sz w:val="22"/>
              </w:rPr>
              <w:br/>
            </w:r>
            <w:r>
              <w:rPr>
                <w:sz w:val="22"/>
              </w:rPr>
              <w:br/>
            </w:r>
            <w:r>
              <w:rPr>
                <w:sz w:val="22"/>
              </w:rPr>
              <w:br/>
              <w:t>$(000)</w:t>
            </w:r>
          </w:p>
        </w:tc>
        <w:tc>
          <w:tcPr>
            <w:tcW w:w="1426" w:type="pct"/>
            <w:shd w:val="clear" w:color="auto" w:fill="017E5D"/>
          </w:tcPr>
          <w:p w14:paraId="6CA43DF1"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p>
        </w:tc>
        <w:tc>
          <w:tcPr>
            <w:tcW w:w="750" w:type="pct"/>
            <w:shd w:val="clear" w:color="auto" w:fill="017E5D"/>
            <w:hideMark/>
          </w:tcPr>
          <w:p w14:paraId="73E93DD5"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Actual</w:t>
            </w:r>
          </w:p>
          <w:p w14:paraId="55F61B2D"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2025/26</w:t>
            </w:r>
            <w:r>
              <w:rPr>
                <w:sz w:val="22"/>
              </w:rPr>
              <w:br/>
            </w:r>
            <w:r>
              <w:rPr>
                <w:sz w:val="22"/>
              </w:rPr>
              <w:br/>
            </w:r>
            <w:r>
              <w:rPr>
                <w:sz w:val="22"/>
              </w:rPr>
              <w:br/>
              <w:t>$(000)</w:t>
            </w:r>
          </w:p>
        </w:tc>
        <w:tc>
          <w:tcPr>
            <w:tcW w:w="750" w:type="pct"/>
            <w:shd w:val="clear" w:color="auto" w:fill="017E5D"/>
            <w:hideMark/>
          </w:tcPr>
          <w:p w14:paraId="5D7D5E7E" w14:textId="77777777" w:rsidR="00331C36" w:rsidRPr="008D0441"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Main</w:t>
            </w:r>
            <w:r>
              <w:rPr>
                <w:sz w:val="22"/>
              </w:rPr>
              <w:br/>
              <w:t>Estimates</w:t>
            </w:r>
          </w:p>
          <w:p w14:paraId="2D9EFD1D" w14:textId="3A857541"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2025/26</w:t>
            </w:r>
            <w:r w:rsidR="006837EC">
              <w:rPr>
                <w:sz w:val="22"/>
              </w:rPr>
              <w:t>*</w:t>
            </w:r>
            <w:r>
              <w:rPr>
                <w:sz w:val="22"/>
              </w:rPr>
              <w:br/>
            </w:r>
            <w:r>
              <w:rPr>
                <w:sz w:val="22"/>
              </w:rPr>
              <w:br/>
              <w:t>$(000)</w:t>
            </w:r>
          </w:p>
        </w:tc>
        <w:tc>
          <w:tcPr>
            <w:tcW w:w="750" w:type="pct"/>
            <w:shd w:val="clear" w:color="auto" w:fill="017E5D"/>
            <w:hideMark/>
          </w:tcPr>
          <w:p w14:paraId="4761063F" w14:textId="77777777" w:rsidR="00331C36" w:rsidRPr="008D0441"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Supp.</w:t>
            </w:r>
            <w:r>
              <w:rPr>
                <w:sz w:val="22"/>
              </w:rPr>
              <w:br/>
              <w:t>Estimates</w:t>
            </w:r>
          </w:p>
          <w:p w14:paraId="70396804" w14:textId="200BAB7A"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2025/26</w:t>
            </w:r>
            <w:r w:rsidR="006837EC">
              <w:rPr>
                <w:sz w:val="22"/>
              </w:rPr>
              <w:t>*</w:t>
            </w:r>
            <w:r>
              <w:rPr>
                <w:sz w:val="22"/>
              </w:rPr>
              <w:br/>
            </w:r>
            <w:r>
              <w:rPr>
                <w:sz w:val="22"/>
              </w:rPr>
              <w:br/>
              <w:t>$(000)</w:t>
            </w:r>
          </w:p>
        </w:tc>
        <w:tc>
          <w:tcPr>
            <w:tcW w:w="750" w:type="pct"/>
            <w:shd w:val="clear" w:color="auto" w:fill="017E5D"/>
            <w:hideMark/>
          </w:tcPr>
          <w:p w14:paraId="65584614" w14:textId="089D48EF" w:rsidR="00331C36" w:rsidRPr="008D0441" w:rsidRDefault="006837EC"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rStyle w:val="FootnoteReference"/>
                <w:sz w:val="22"/>
              </w:rPr>
              <w:footnoteReference w:id="69"/>
            </w:r>
            <w:r w:rsidR="00331C36">
              <w:rPr>
                <w:sz w:val="22"/>
              </w:rPr>
              <w:t>Main</w:t>
            </w:r>
            <w:r w:rsidR="00331C36">
              <w:rPr>
                <w:sz w:val="22"/>
              </w:rPr>
              <w:br/>
              <w:t>Estimates</w:t>
            </w:r>
          </w:p>
          <w:p w14:paraId="06856B60" w14:textId="35EB06A3"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2026/27</w:t>
            </w:r>
            <w:r w:rsidR="006837EC">
              <w:rPr>
                <w:sz w:val="22"/>
              </w:rPr>
              <w:t>*</w:t>
            </w:r>
            <w:r>
              <w:rPr>
                <w:sz w:val="22"/>
              </w:rPr>
              <w:br/>
            </w:r>
            <w:r>
              <w:rPr>
                <w:sz w:val="22"/>
              </w:rPr>
              <w:br/>
              <w:t>$(000)</w:t>
            </w:r>
          </w:p>
        </w:tc>
      </w:tr>
      <w:tr w:rsidR="00331C36" w14:paraId="08E0BA8F" w14:textId="77777777" w:rsidTr="00B1665E">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4" w:type="pct"/>
            <w:tcBorders>
              <w:bottom w:val="single" w:sz="4" w:space="0" w:color="FFFFFF" w:themeColor="background1"/>
            </w:tcBorders>
            <w:shd w:val="clear" w:color="auto" w:fill="E9E9E9"/>
            <w:vAlign w:val="center"/>
          </w:tcPr>
          <w:p w14:paraId="6B3D8327" w14:textId="77777777" w:rsidR="00331C36" w:rsidRPr="00331C36" w:rsidRDefault="00331C36" w:rsidP="00DE729C">
            <w:pPr>
              <w:pStyle w:val="Tablebodytextnospaceafter"/>
              <w:jc w:val="right"/>
              <w:rPr>
                <w:b/>
                <w:bCs/>
              </w:rPr>
            </w:pPr>
            <w:r w:rsidRPr="00331C36">
              <w:rPr>
                <w:rStyle w:val="Emphasis"/>
                <w:b w:val="0"/>
                <w:bCs w:val="0"/>
              </w:rPr>
              <w:t>30,864</w:t>
            </w:r>
          </w:p>
        </w:tc>
        <w:tc>
          <w:tcPr>
            <w:tcW w:w="1426" w:type="pct"/>
            <w:tcBorders>
              <w:bottom w:val="single" w:sz="4" w:space="0" w:color="FFFFFF" w:themeColor="background1"/>
            </w:tcBorders>
            <w:hideMark/>
          </w:tcPr>
          <w:p w14:paraId="31DD5945" w14:textId="77777777" w:rsidR="00331C36" w:rsidRDefault="00331C36" w:rsidP="00DE729C">
            <w:pPr>
              <w:pStyle w:val="Tablebodytextnospaceafter"/>
              <w:cnfStyle w:val="000000100000" w:firstRow="0" w:lastRow="0" w:firstColumn="0" w:lastColumn="0" w:oddVBand="0" w:evenVBand="0" w:oddHBand="1" w:evenHBand="0" w:firstRowFirstColumn="0" w:firstRowLastColumn="0" w:lastRowFirstColumn="0" w:lastRowLastColumn="0"/>
            </w:pPr>
            <w:r>
              <w:t>Salaries and wages</w:t>
            </w:r>
          </w:p>
        </w:tc>
        <w:tc>
          <w:tcPr>
            <w:tcW w:w="750" w:type="pct"/>
          </w:tcPr>
          <w:p w14:paraId="13B66756" w14:textId="0844CE51" w:rsidR="00331C36" w:rsidRPr="006837EC" w:rsidRDefault="006837EC"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sidRPr="006837EC">
              <w:rPr>
                <w:rStyle w:val="Emphasis"/>
                <w:b w:val="0"/>
              </w:rPr>
              <w:t>34,164</w:t>
            </w:r>
          </w:p>
        </w:tc>
        <w:tc>
          <w:tcPr>
            <w:tcW w:w="750" w:type="pct"/>
            <w:vAlign w:val="center"/>
            <w:hideMark/>
          </w:tcPr>
          <w:p w14:paraId="57A71BB8"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31,185</w:t>
            </w:r>
          </w:p>
        </w:tc>
        <w:tc>
          <w:tcPr>
            <w:tcW w:w="750" w:type="pct"/>
            <w:vAlign w:val="center"/>
          </w:tcPr>
          <w:p w14:paraId="40DF34A4"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34,096</w:t>
            </w:r>
          </w:p>
        </w:tc>
        <w:tc>
          <w:tcPr>
            <w:tcW w:w="750" w:type="pct"/>
            <w:vAlign w:val="center"/>
          </w:tcPr>
          <w:p w14:paraId="4DF34667"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37,581</w:t>
            </w:r>
          </w:p>
        </w:tc>
      </w:tr>
      <w:tr w:rsidR="00331C36" w14:paraId="069E4C71" w14:textId="77777777" w:rsidTr="00B1665E">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4" w:type="pct"/>
            <w:tcBorders>
              <w:top w:val="single" w:sz="4" w:space="0" w:color="FFFFFF" w:themeColor="background1"/>
              <w:bottom w:val="single" w:sz="4" w:space="0" w:color="FFFFFF" w:themeColor="background1"/>
            </w:tcBorders>
            <w:shd w:val="clear" w:color="auto" w:fill="E9E9E9"/>
            <w:vAlign w:val="center"/>
          </w:tcPr>
          <w:p w14:paraId="3061AAF6" w14:textId="77777777" w:rsidR="00331C36" w:rsidRDefault="00331C36" w:rsidP="00DE729C">
            <w:pPr>
              <w:pStyle w:val="Tablebodytextnospaceafter"/>
              <w:jc w:val="right"/>
            </w:pPr>
            <w:r>
              <w:t>1,294</w:t>
            </w:r>
          </w:p>
        </w:tc>
        <w:tc>
          <w:tcPr>
            <w:tcW w:w="1426" w:type="pct"/>
            <w:tcBorders>
              <w:top w:val="single" w:sz="4" w:space="0" w:color="FFFFFF" w:themeColor="background1"/>
            </w:tcBorders>
            <w:hideMark/>
          </w:tcPr>
          <w:p w14:paraId="2DE85CE2" w14:textId="77777777" w:rsidR="00331C36" w:rsidRDefault="00331C36" w:rsidP="00DE729C">
            <w:pPr>
              <w:pStyle w:val="Tablebodytextnospaceafter"/>
              <w:cnfStyle w:val="000000010000" w:firstRow="0" w:lastRow="0" w:firstColumn="0" w:lastColumn="0" w:oddVBand="0" w:evenVBand="0" w:oddHBand="0" w:evenHBand="1" w:firstRowFirstColumn="0" w:firstRowLastColumn="0" w:lastRowFirstColumn="0" w:lastRowLastColumn="0"/>
            </w:pPr>
            <w:r>
              <w:t>Employer contributions to staff superannuation</w:t>
            </w:r>
          </w:p>
        </w:tc>
        <w:tc>
          <w:tcPr>
            <w:tcW w:w="750" w:type="pct"/>
            <w:vAlign w:val="bottom"/>
          </w:tcPr>
          <w:p w14:paraId="464028D0" w14:textId="60DC3FBA" w:rsidR="00331C36" w:rsidRPr="006837EC" w:rsidRDefault="006837EC" w:rsidP="00A07A0C">
            <w:pPr>
              <w:pStyle w:val="Tablebodytext"/>
              <w:jc w:val="right"/>
              <w:cnfStyle w:val="000000010000" w:firstRow="0" w:lastRow="0" w:firstColumn="0" w:lastColumn="0" w:oddVBand="0" w:evenVBand="0" w:oddHBand="0" w:evenHBand="1" w:firstRowFirstColumn="0" w:firstRowLastColumn="0" w:lastRowFirstColumn="0" w:lastRowLastColumn="0"/>
              <w:rPr>
                <w:rStyle w:val="Emphasis"/>
                <w:b w:val="0"/>
              </w:rPr>
            </w:pPr>
            <w:r w:rsidRPr="00850C4B">
              <w:rPr>
                <w:rStyle w:val="Emphasis"/>
                <w:b w:val="0"/>
              </w:rPr>
              <w:t>1,</w:t>
            </w:r>
            <w:r w:rsidRPr="00850C4B">
              <w:rPr>
                <w:rStyle w:val="Emphasis"/>
                <w:b w:val="0"/>
                <w:bCs w:val="0"/>
                <w:iCs w:val="0"/>
              </w:rPr>
              <w:t>442</w:t>
            </w:r>
          </w:p>
        </w:tc>
        <w:tc>
          <w:tcPr>
            <w:tcW w:w="750" w:type="pct"/>
            <w:vAlign w:val="center"/>
          </w:tcPr>
          <w:p w14:paraId="266A7DD1"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1,559</w:t>
            </w:r>
          </w:p>
        </w:tc>
        <w:tc>
          <w:tcPr>
            <w:tcW w:w="750" w:type="pct"/>
            <w:vAlign w:val="center"/>
          </w:tcPr>
          <w:p w14:paraId="5E6994FD"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1,672</w:t>
            </w:r>
          </w:p>
        </w:tc>
        <w:tc>
          <w:tcPr>
            <w:tcW w:w="750" w:type="pct"/>
            <w:vAlign w:val="center"/>
          </w:tcPr>
          <w:p w14:paraId="1385947D"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1,879</w:t>
            </w:r>
          </w:p>
        </w:tc>
      </w:tr>
      <w:tr w:rsidR="00331C36" w14:paraId="7383EC0D" w14:textId="77777777" w:rsidTr="00B1665E">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4" w:type="pct"/>
            <w:tcBorders>
              <w:top w:val="single" w:sz="4" w:space="0" w:color="FFFFFF" w:themeColor="background1"/>
              <w:bottom w:val="single" w:sz="4" w:space="0" w:color="FFFFFF" w:themeColor="background1"/>
            </w:tcBorders>
            <w:shd w:val="clear" w:color="auto" w:fill="E9E9E9"/>
            <w:vAlign w:val="center"/>
          </w:tcPr>
          <w:p w14:paraId="01E7340A" w14:textId="77777777" w:rsidR="00331C36" w:rsidRDefault="00331C36" w:rsidP="00DE729C">
            <w:pPr>
              <w:pStyle w:val="Tablebodytextnospaceafter"/>
              <w:jc w:val="right"/>
            </w:pPr>
            <w:r>
              <w:t>1,696</w:t>
            </w:r>
          </w:p>
        </w:tc>
        <w:tc>
          <w:tcPr>
            <w:tcW w:w="1426" w:type="pct"/>
            <w:tcBorders>
              <w:bottom w:val="single" w:sz="4" w:space="0" w:color="FFFFFF" w:themeColor="background1"/>
            </w:tcBorders>
            <w:hideMark/>
          </w:tcPr>
          <w:p w14:paraId="1DC424D3" w14:textId="77777777" w:rsidR="00331C36" w:rsidRDefault="00331C36" w:rsidP="00DE729C">
            <w:pPr>
              <w:pStyle w:val="Tablebodytextnospaceafter"/>
              <w:cnfStyle w:val="000000100000" w:firstRow="0" w:lastRow="0" w:firstColumn="0" w:lastColumn="0" w:oddVBand="0" w:evenVBand="0" w:oddHBand="1" w:evenHBand="0" w:firstRowFirstColumn="0" w:firstRowLastColumn="0" w:lastRowFirstColumn="0" w:lastRowLastColumn="0"/>
            </w:pPr>
            <w:r>
              <w:t>Other personnel costs</w:t>
            </w:r>
          </w:p>
        </w:tc>
        <w:tc>
          <w:tcPr>
            <w:tcW w:w="750" w:type="pct"/>
            <w:tcBorders>
              <w:bottom w:val="single" w:sz="4" w:space="0" w:color="FFFFFF" w:themeColor="background1"/>
            </w:tcBorders>
            <w:vAlign w:val="bottom"/>
          </w:tcPr>
          <w:p w14:paraId="08C5672F" w14:textId="33C8C832" w:rsidR="00331C36" w:rsidRPr="006837EC" w:rsidRDefault="006837EC"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sidRPr="006837EC">
              <w:rPr>
                <w:rStyle w:val="Emphasis"/>
                <w:b w:val="0"/>
              </w:rPr>
              <w:t>2,098</w:t>
            </w:r>
          </w:p>
        </w:tc>
        <w:tc>
          <w:tcPr>
            <w:tcW w:w="750" w:type="pct"/>
            <w:tcBorders>
              <w:bottom w:val="single" w:sz="4" w:space="0" w:color="FFFFFF" w:themeColor="background1"/>
            </w:tcBorders>
            <w:vAlign w:val="center"/>
          </w:tcPr>
          <w:p w14:paraId="181426DB"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702</w:t>
            </w:r>
          </w:p>
        </w:tc>
        <w:tc>
          <w:tcPr>
            <w:tcW w:w="750" w:type="pct"/>
            <w:tcBorders>
              <w:bottom w:val="single" w:sz="4" w:space="0" w:color="FFFFFF" w:themeColor="background1"/>
            </w:tcBorders>
            <w:vAlign w:val="center"/>
          </w:tcPr>
          <w:p w14:paraId="58235C8D"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89</w:t>
            </w:r>
          </w:p>
        </w:tc>
        <w:tc>
          <w:tcPr>
            <w:tcW w:w="750" w:type="pct"/>
            <w:tcBorders>
              <w:bottom w:val="single" w:sz="4" w:space="0" w:color="FFFFFF" w:themeColor="background1"/>
            </w:tcBorders>
            <w:vAlign w:val="center"/>
          </w:tcPr>
          <w:p w14:paraId="5FA26184"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846</w:t>
            </w:r>
          </w:p>
        </w:tc>
      </w:tr>
      <w:tr w:rsidR="00331C36" w14:paraId="1C3EEB5B" w14:textId="77777777" w:rsidTr="00B1665E">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4" w:type="pct"/>
            <w:tcBorders>
              <w:top w:val="single" w:sz="4" w:space="0" w:color="FFFFFF" w:themeColor="background1"/>
              <w:bottom w:val="single" w:sz="4" w:space="0" w:color="FFFFFF" w:themeColor="background1"/>
            </w:tcBorders>
            <w:vAlign w:val="center"/>
          </w:tcPr>
          <w:p w14:paraId="2703AC87" w14:textId="77777777" w:rsidR="00331C36" w:rsidRPr="00980877" w:rsidRDefault="00331C36" w:rsidP="00DE729C">
            <w:pPr>
              <w:pStyle w:val="Tablebodytextnospaceafter"/>
              <w:jc w:val="right"/>
              <w:rPr>
                <w:b/>
                <w:u w:val="single"/>
              </w:rPr>
            </w:pPr>
            <w:r>
              <w:rPr>
                <w:b/>
                <w:u w:val="single"/>
              </w:rPr>
              <w:t>33,854</w:t>
            </w:r>
          </w:p>
        </w:tc>
        <w:tc>
          <w:tcPr>
            <w:tcW w:w="1426" w:type="pct"/>
            <w:tcBorders>
              <w:top w:val="single" w:sz="4" w:space="0" w:color="FFFFFF" w:themeColor="background1"/>
              <w:bottom w:val="single" w:sz="4" w:space="0" w:color="FFFFFF" w:themeColor="background1"/>
            </w:tcBorders>
            <w:shd w:val="clear" w:color="auto" w:fill="BFBFBF"/>
            <w:hideMark/>
          </w:tcPr>
          <w:p w14:paraId="52FE8FFB" w14:textId="77777777" w:rsidR="00331C36" w:rsidRDefault="00331C36" w:rsidP="00DE729C">
            <w:pPr>
              <w:pStyle w:val="Tablebodytextnospaceafter"/>
              <w:cnfStyle w:val="000000010000" w:firstRow="0" w:lastRow="0" w:firstColumn="0" w:lastColumn="0" w:oddVBand="0" w:evenVBand="0" w:oddHBand="0" w:evenHBand="1" w:firstRowFirstColumn="0" w:firstRowLastColumn="0" w:lastRowFirstColumn="0" w:lastRowLastColumn="0"/>
            </w:pPr>
            <w:r>
              <w:t>Total personnel costs</w:t>
            </w:r>
          </w:p>
        </w:tc>
        <w:tc>
          <w:tcPr>
            <w:tcW w:w="750" w:type="pct"/>
            <w:tcBorders>
              <w:top w:val="single" w:sz="4" w:space="0" w:color="FFFFFF" w:themeColor="background1"/>
              <w:bottom w:val="single" w:sz="4" w:space="0" w:color="FFFFFF" w:themeColor="background1"/>
            </w:tcBorders>
            <w:shd w:val="clear" w:color="auto" w:fill="BFBFBF"/>
          </w:tcPr>
          <w:p w14:paraId="0AE68154" w14:textId="1A0F20E6" w:rsidR="00331C36" w:rsidRDefault="006837EC" w:rsidP="00DE729C">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u w:val="single"/>
              </w:rPr>
            </w:pPr>
            <w:r>
              <w:rPr>
                <w:rStyle w:val="Emphasis"/>
                <w:u w:val="single"/>
              </w:rPr>
              <w:t>37,704</w:t>
            </w:r>
          </w:p>
        </w:tc>
        <w:tc>
          <w:tcPr>
            <w:tcW w:w="750" w:type="pct"/>
            <w:tcBorders>
              <w:top w:val="single" w:sz="4" w:space="0" w:color="FFFFFF" w:themeColor="background1"/>
              <w:bottom w:val="single" w:sz="4" w:space="0" w:color="FFFFFF" w:themeColor="background1"/>
            </w:tcBorders>
            <w:shd w:val="clear" w:color="auto" w:fill="BFBFBF"/>
            <w:vAlign w:val="center"/>
          </w:tcPr>
          <w:p w14:paraId="47FC31A2" w14:textId="77777777" w:rsidR="00331C36" w:rsidRPr="00980877"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33,446</w:t>
            </w:r>
          </w:p>
        </w:tc>
        <w:tc>
          <w:tcPr>
            <w:tcW w:w="750" w:type="pct"/>
            <w:tcBorders>
              <w:top w:val="single" w:sz="4" w:space="0" w:color="FFFFFF" w:themeColor="background1"/>
              <w:bottom w:val="single" w:sz="4" w:space="0" w:color="FFFFFF" w:themeColor="background1"/>
            </w:tcBorders>
            <w:shd w:val="clear" w:color="auto" w:fill="BFBFBF"/>
            <w:vAlign w:val="center"/>
          </w:tcPr>
          <w:p w14:paraId="3108DD95" w14:textId="77777777" w:rsidR="00331C36" w:rsidRPr="00980877"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35,857</w:t>
            </w:r>
          </w:p>
        </w:tc>
        <w:tc>
          <w:tcPr>
            <w:tcW w:w="750" w:type="pct"/>
            <w:tcBorders>
              <w:top w:val="single" w:sz="4" w:space="0" w:color="FFFFFF" w:themeColor="background1"/>
              <w:bottom w:val="single" w:sz="4" w:space="0" w:color="FFFFFF" w:themeColor="background1"/>
            </w:tcBorders>
            <w:shd w:val="clear" w:color="auto" w:fill="BFBFBF"/>
            <w:vAlign w:val="center"/>
          </w:tcPr>
          <w:p w14:paraId="3C296CC7" w14:textId="77777777" w:rsidR="00331C36" w:rsidRPr="00980877"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40,306</w:t>
            </w:r>
          </w:p>
        </w:tc>
      </w:tr>
    </w:tbl>
    <w:p w14:paraId="47B20A2C" w14:textId="6039C442" w:rsidR="00331C36" w:rsidRDefault="006837EC" w:rsidP="00331C36">
      <w:pPr>
        <w:pStyle w:val="BodyText"/>
      </w:pPr>
      <w:r>
        <w:t xml:space="preserve">* Unaudited. </w:t>
      </w:r>
    </w:p>
    <w:p w14:paraId="77397D73" w14:textId="21F4CEE6" w:rsidR="00331C36" w:rsidRDefault="00331C36" w:rsidP="00331C36">
      <w:pPr>
        <w:pStyle w:val="BodyText"/>
      </w:pPr>
      <w:r>
        <w:t>Employer contributions to superannuation plans include contributions to KiwiSaver and other complying cash accumulation plans. Tax on employer contributions are included under Other Personnel costs as funded by the employer.</w:t>
      </w:r>
    </w:p>
    <w:p w14:paraId="40E61F40" w14:textId="6D11CD91" w:rsidR="00183B0A" w:rsidRDefault="00183B0A" w:rsidP="00032F1F">
      <w:pPr>
        <w:pStyle w:val="Heading3"/>
      </w:pPr>
      <w:r>
        <w:t xml:space="preserve">3. Other operating costs </w:t>
      </w:r>
    </w:p>
    <w:tbl>
      <w:tblPr>
        <w:tblStyle w:val="TableGridAnnualReport10"/>
        <w:tblW w:w="9371" w:type="dxa"/>
        <w:tblInd w:w="-10" w:type="dxa"/>
        <w:tblLook w:val="04A0" w:firstRow="1" w:lastRow="0" w:firstColumn="1" w:lastColumn="0" w:noHBand="0" w:noVBand="1"/>
      </w:tblPr>
      <w:tblGrid>
        <w:gridCol w:w="997"/>
        <w:gridCol w:w="3282"/>
        <w:gridCol w:w="1273"/>
        <w:gridCol w:w="1273"/>
        <w:gridCol w:w="1273"/>
        <w:gridCol w:w="1273"/>
      </w:tblGrid>
      <w:tr w:rsidR="00B1665E" w14:paraId="03DFC7FC" w14:textId="77777777" w:rsidTr="00B1665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2" w:type="pct"/>
            <w:shd w:val="clear" w:color="auto" w:fill="017E5D"/>
            <w:hideMark/>
          </w:tcPr>
          <w:p w14:paraId="5DAFD00B" w14:textId="77777777" w:rsidR="00331C36" w:rsidRPr="00423F55" w:rsidRDefault="00331C36" w:rsidP="00DE729C">
            <w:pPr>
              <w:pStyle w:val="Tableheadingrow1"/>
              <w:jc w:val="right"/>
              <w:rPr>
                <w:sz w:val="22"/>
              </w:rPr>
            </w:pPr>
            <w:r>
              <w:rPr>
                <w:sz w:val="22"/>
              </w:rPr>
              <w:t>Actual</w:t>
            </w:r>
          </w:p>
          <w:p w14:paraId="3CCD1455" w14:textId="77777777" w:rsidR="00331C36" w:rsidRPr="00423F55" w:rsidRDefault="00331C36" w:rsidP="00DE729C">
            <w:pPr>
              <w:pStyle w:val="Tableheadingrow1"/>
              <w:jc w:val="right"/>
              <w:rPr>
                <w:sz w:val="22"/>
              </w:rPr>
            </w:pPr>
            <w:r>
              <w:rPr>
                <w:sz w:val="22"/>
              </w:rPr>
              <w:t>2024/25</w:t>
            </w:r>
            <w:r>
              <w:rPr>
                <w:sz w:val="22"/>
              </w:rPr>
              <w:br/>
            </w:r>
            <w:r>
              <w:rPr>
                <w:sz w:val="22"/>
              </w:rPr>
              <w:br/>
            </w:r>
            <w:r>
              <w:rPr>
                <w:sz w:val="22"/>
              </w:rPr>
              <w:br/>
              <w:t>$(000)</w:t>
            </w:r>
          </w:p>
        </w:tc>
        <w:tc>
          <w:tcPr>
            <w:tcW w:w="1751" w:type="pct"/>
            <w:shd w:val="clear" w:color="auto" w:fill="017E5D"/>
          </w:tcPr>
          <w:p w14:paraId="2291CEA8"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p>
        </w:tc>
        <w:tc>
          <w:tcPr>
            <w:tcW w:w="679" w:type="pct"/>
            <w:shd w:val="clear" w:color="auto" w:fill="017E5D"/>
            <w:hideMark/>
          </w:tcPr>
          <w:p w14:paraId="4EB1CB56"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Actual</w:t>
            </w:r>
            <w:r>
              <w:rPr>
                <w:sz w:val="22"/>
              </w:rPr>
              <w:br/>
              <w:t>2025/26</w:t>
            </w:r>
            <w:r>
              <w:rPr>
                <w:sz w:val="22"/>
              </w:rPr>
              <w:br/>
            </w:r>
          </w:p>
          <w:p w14:paraId="15D286F3"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br/>
              <w:t>$(000)</w:t>
            </w:r>
          </w:p>
        </w:tc>
        <w:tc>
          <w:tcPr>
            <w:tcW w:w="679" w:type="pct"/>
            <w:shd w:val="clear" w:color="auto" w:fill="017E5D"/>
            <w:hideMark/>
          </w:tcPr>
          <w:p w14:paraId="488FD08C" w14:textId="128FE170"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Main Estimates</w:t>
            </w:r>
            <w:r>
              <w:rPr>
                <w:sz w:val="22"/>
              </w:rPr>
              <w:br/>
              <w:t>2025/26</w:t>
            </w:r>
            <w:r w:rsidR="006837EC">
              <w:rPr>
                <w:sz w:val="22"/>
              </w:rPr>
              <w:t>*</w:t>
            </w:r>
            <w:r>
              <w:rPr>
                <w:sz w:val="22"/>
              </w:rPr>
              <w:br/>
            </w:r>
          </w:p>
          <w:p w14:paraId="50407482"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$(000)</w:t>
            </w:r>
          </w:p>
        </w:tc>
        <w:tc>
          <w:tcPr>
            <w:tcW w:w="679" w:type="pct"/>
            <w:shd w:val="clear" w:color="auto" w:fill="017E5D"/>
            <w:hideMark/>
          </w:tcPr>
          <w:p w14:paraId="53C27D69" w14:textId="6B7D4526"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 xml:space="preserve"> Supp. Estimates</w:t>
            </w:r>
            <w:r>
              <w:rPr>
                <w:sz w:val="22"/>
              </w:rPr>
              <w:br/>
              <w:t>2025/26</w:t>
            </w:r>
            <w:r w:rsidR="006837EC">
              <w:rPr>
                <w:sz w:val="22"/>
              </w:rPr>
              <w:t>*</w:t>
            </w:r>
          </w:p>
          <w:p w14:paraId="67520B58"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br/>
              <w:t>$(000)</w:t>
            </w:r>
          </w:p>
        </w:tc>
        <w:tc>
          <w:tcPr>
            <w:tcW w:w="679" w:type="pct"/>
            <w:shd w:val="clear" w:color="auto" w:fill="017E5D"/>
            <w:hideMark/>
          </w:tcPr>
          <w:p w14:paraId="518A25E1" w14:textId="27CE7E26" w:rsidR="00331C36" w:rsidRPr="00423F55" w:rsidRDefault="006837EC"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rStyle w:val="FootnoteReference"/>
                <w:sz w:val="22"/>
              </w:rPr>
              <w:footnoteReference w:id="70"/>
            </w:r>
            <w:r w:rsidR="00331C36">
              <w:rPr>
                <w:sz w:val="22"/>
              </w:rPr>
              <w:t>Main Estimates 2026/27</w:t>
            </w:r>
            <w:r>
              <w:rPr>
                <w:sz w:val="22"/>
              </w:rPr>
              <w:t>*</w:t>
            </w:r>
            <w:r w:rsidR="00331C36">
              <w:rPr>
                <w:sz w:val="22"/>
              </w:rPr>
              <w:br/>
            </w:r>
          </w:p>
          <w:p w14:paraId="3BDC0CB1"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$(000)</w:t>
            </w:r>
          </w:p>
        </w:tc>
      </w:tr>
      <w:tr w:rsidR="006837EC" w14:paraId="4E4CDC19" w14:textId="77777777" w:rsidTr="00674083">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bottom w:val="single" w:sz="8" w:space="0" w:color="FFFFFF" w:themeColor="background1"/>
            </w:tcBorders>
            <w:shd w:val="clear" w:color="auto" w:fill="E9E9E9"/>
            <w:vAlign w:val="center"/>
          </w:tcPr>
          <w:p w14:paraId="3B07AE51" w14:textId="77777777" w:rsidR="006837EC" w:rsidRPr="00331C36" w:rsidRDefault="006837EC" w:rsidP="006837EC">
            <w:pPr>
              <w:pStyle w:val="Tablebodytextnospaceafter"/>
              <w:jc w:val="right"/>
              <w:rPr>
                <w:b/>
                <w:bCs/>
                <w:highlight w:val="lightGray"/>
              </w:rPr>
            </w:pPr>
            <w:r w:rsidRPr="00331C36">
              <w:rPr>
                <w:rStyle w:val="Emphasis"/>
                <w:b w:val="0"/>
                <w:bCs w:val="0"/>
              </w:rPr>
              <w:t>2,400</w:t>
            </w:r>
          </w:p>
        </w:tc>
        <w:tc>
          <w:tcPr>
            <w:tcW w:w="1751" w:type="pct"/>
            <w:hideMark/>
          </w:tcPr>
          <w:p w14:paraId="30B733DE" w14:textId="77777777" w:rsidR="006837EC" w:rsidRDefault="006837EC" w:rsidP="006837EC">
            <w:pPr>
              <w:pStyle w:val="Tablebodytextnospaceafter"/>
              <w:cnfStyle w:val="000000100000" w:firstRow="0" w:lastRow="0" w:firstColumn="0" w:lastColumn="0" w:oddVBand="0" w:evenVBand="0" w:oddHBand="1" w:evenHBand="0" w:firstRowFirstColumn="0" w:firstRowLastColumn="0" w:lastRowFirstColumn="0" w:lastRowLastColumn="0"/>
            </w:pPr>
            <w:r>
              <w:t>Operating accommodation lease expenses</w:t>
            </w:r>
          </w:p>
        </w:tc>
        <w:tc>
          <w:tcPr>
            <w:tcW w:w="679" w:type="pct"/>
            <w:vAlign w:val="center"/>
          </w:tcPr>
          <w:p w14:paraId="7F4D8856" w14:textId="2329D9B3" w:rsidR="006837EC" w:rsidRPr="00980877"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t>3,011</w:t>
            </w:r>
          </w:p>
        </w:tc>
        <w:tc>
          <w:tcPr>
            <w:tcW w:w="679" w:type="pct"/>
            <w:vAlign w:val="center"/>
            <w:hideMark/>
          </w:tcPr>
          <w:p w14:paraId="5C745063"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2,387</w:t>
            </w:r>
          </w:p>
        </w:tc>
        <w:tc>
          <w:tcPr>
            <w:tcW w:w="679" w:type="pct"/>
            <w:vAlign w:val="center"/>
          </w:tcPr>
          <w:p w14:paraId="753CDD9F"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rPr>
                <w:highlight w:val="yellow"/>
              </w:rPr>
            </w:pPr>
            <w:r>
              <w:t>3,212</w:t>
            </w:r>
          </w:p>
        </w:tc>
        <w:tc>
          <w:tcPr>
            <w:tcW w:w="679" w:type="pct"/>
            <w:vAlign w:val="center"/>
          </w:tcPr>
          <w:p w14:paraId="3B0F2009"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3,012</w:t>
            </w:r>
          </w:p>
        </w:tc>
      </w:tr>
      <w:tr w:rsidR="006837EC" w14:paraId="3B5D08D8" w14:textId="77777777" w:rsidTr="00B1665E">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bottom w:val="single" w:sz="8" w:space="0" w:color="FFFFFF" w:themeColor="background1"/>
            </w:tcBorders>
            <w:shd w:val="clear" w:color="auto" w:fill="E9E9E9"/>
            <w:vAlign w:val="center"/>
          </w:tcPr>
          <w:p w14:paraId="75A49B52" w14:textId="77777777" w:rsidR="006837EC" w:rsidRDefault="006837EC" w:rsidP="006837EC">
            <w:pPr>
              <w:pStyle w:val="Tablebodytextnospaceafter"/>
              <w:jc w:val="right"/>
            </w:pPr>
            <w:r>
              <w:t>522</w:t>
            </w:r>
          </w:p>
        </w:tc>
        <w:tc>
          <w:tcPr>
            <w:tcW w:w="1751" w:type="pct"/>
            <w:hideMark/>
          </w:tcPr>
          <w:p w14:paraId="46E79CBD" w14:textId="77777777" w:rsidR="006837EC" w:rsidRDefault="006837EC" w:rsidP="006837EC">
            <w:pPr>
              <w:pStyle w:val="Tablebodytextnospaceafter"/>
              <w:cnfStyle w:val="000000010000" w:firstRow="0" w:lastRow="0" w:firstColumn="0" w:lastColumn="0" w:oddVBand="0" w:evenVBand="0" w:oddHBand="0" w:evenHBand="1" w:firstRowFirstColumn="0" w:firstRowLastColumn="0" w:lastRowFirstColumn="0" w:lastRowLastColumn="0"/>
            </w:pPr>
            <w:r>
              <w:t>Accommodation costs – other</w:t>
            </w:r>
          </w:p>
        </w:tc>
        <w:tc>
          <w:tcPr>
            <w:tcW w:w="679" w:type="pct"/>
          </w:tcPr>
          <w:p w14:paraId="3E74D38E" w14:textId="1F297AE3" w:rsidR="006837EC" w:rsidRP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sidRPr="006837EC">
              <w:rPr>
                <w:rStyle w:val="Emphasis"/>
                <w:b w:val="0"/>
              </w:rPr>
              <w:t>401</w:t>
            </w:r>
          </w:p>
        </w:tc>
        <w:tc>
          <w:tcPr>
            <w:tcW w:w="679" w:type="pct"/>
            <w:vAlign w:val="center"/>
            <w:hideMark/>
          </w:tcPr>
          <w:p w14:paraId="22E4C0B6"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550</w:t>
            </w:r>
          </w:p>
        </w:tc>
        <w:tc>
          <w:tcPr>
            <w:tcW w:w="679" w:type="pct"/>
            <w:vAlign w:val="center"/>
          </w:tcPr>
          <w:p w14:paraId="3CC1BC97"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382</w:t>
            </w:r>
          </w:p>
        </w:tc>
        <w:tc>
          <w:tcPr>
            <w:tcW w:w="679" w:type="pct"/>
            <w:vAlign w:val="center"/>
          </w:tcPr>
          <w:p w14:paraId="6F6CC8B7"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315</w:t>
            </w:r>
          </w:p>
        </w:tc>
      </w:tr>
      <w:tr w:rsidR="006837EC" w14:paraId="7B293744" w14:textId="77777777" w:rsidTr="00B1665E">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top w:val="single" w:sz="4" w:space="0" w:color="FFFFFF" w:themeColor="background1"/>
              <w:bottom w:val="single" w:sz="8" w:space="0" w:color="FFFFFF" w:themeColor="background1"/>
            </w:tcBorders>
            <w:shd w:val="clear" w:color="auto" w:fill="E9E9E9"/>
            <w:vAlign w:val="center"/>
          </w:tcPr>
          <w:p w14:paraId="7B2923C0" w14:textId="77777777" w:rsidR="006837EC" w:rsidRDefault="006837EC" w:rsidP="006837EC">
            <w:pPr>
              <w:pStyle w:val="Tablebodytextnospaceafter"/>
              <w:jc w:val="right"/>
            </w:pPr>
            <w:r>
              <w:t>167</w:t>
            </w:r>
          </w:p>
        </w:tc>
        <w:tc>
          <w:tcPr>
            <w:tcW w:w="1751" w:type="pct"/>
            <w:hideMark/>
          </w:tcPr>
          <w:p w14:paraId="744D826B" w14:textId="77777777" w:rsidR="006837EC" w:rsidRDefault="006837EC" w:rsidP="006837EC">
            <w:pPr>
              <w:pStyle w:val="Tablebodytextnospaceafter"/>
              <w:cnfStyle w:val="000000100000" w:firstRow="0" w:lastRow="0" w:firstColumn="0" w:lastColumn="0" w:oddVBand="0" w:evenVBand="0" w:oddHBand="1" w:evenHBand="0" w:firstRowFirstColumn="0" w:firstRowLastColumn="0" w:lastRowFirstColumn="0" w:lastRowLastColumn="0"/>
            </w:pPr>
            <w:r>
              <w:t xml:space="preserve">Audit fees – for audit of financial statements </w:t>
            </w:r>
          </w:p>
        </w:tc>
        <w:tc>
          <w:tcPr>
            <w:tcW w:w="679" w:type="pct"/>
          </w:tcPr>
          <w:p w14:paraId="5C9144DF" w14:textId="1AEB03B2" w:rsidR="006837EC" w:rsidRPr="006837EC" w:rsidRDefault="006837EC" w:rsidP="00A07A0C">
            <w:pPr>
              <w:pStyle w:val="Tablebodytext"/>
              <w:jc w:val="right"/>
              <w:cnfStyle w:val="000000100000" w:firstRow="0" w:lastRow="0" w:firstColumn="0" w:lastColumn="0" w:oddVBand="0" w:evenVBand="0" w:oddHBand="1" w:evenHBand="0" w:firstRowFirstColumn="0" w:firstRowLastColumn="0" w:lastRowFirstColumn="0" w:lastRowLastColumn="0"/>
              <w:rPr>
                <w:rStyle w:val="Emphasis"/>
                <w:b w:val="0"/>
              </w:rPr>
            </w:pPr>
            <w:r w:rsidRPr="006837EC">
              <w:rPr>
                <w:rStyle w:val="Emphasis"/>
                <w:b w:val="0"/>
              </w:rPr>
              <w:t>102</w:t>
            </w:r>
          </w:p>
        </w:tc>
        <w:tc>
          <w:tcPr>
            <w:tcW w:w="679" w:type="pct"/>
            <w:vAlign w:val="center"/>
            <w:hideMark/>
          </w:tcPr>
          <w:p w14:paraId="4C0BFE8B"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116</w:t>
            </w:r>
          </w:p>
        </w:tc>
        <w:tc>
          <w:tcPr>
            <w:tcW w:w="679" w:type="pct"/>
            <w:vAlign w:val="center"/>
          </w:tcPr>
          <w:p w14:paraId="03310B0B"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122</w:t>
            </w:r>
          </w:p>
        </w:tc>
        <w:tc>
          <w:tcPr>
            <w:tcW w:w="679" w:type="pct"/>
            <w:vAlign w:val="center"/>
          </w:tcPr>
          <w:p w14:paraId="0B8151BB"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122</w:t>
            </w:r>
          </w:p>
        </w:tc>
      </w:tr>
      <w:tr w:rsidR="006837EC" w14:paraId="0C389236" w14:textId="77777777" w:rsidTr="00B1665E">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bottom w:val="single" w:sz="8" w:space="0" w:color="FFFFFF" w:themeColor="background1"/>
            </w:tcBorders>
            <w:shd w:val="clear" w:color="auto" w:fill="E9E9E9"/>
            <w:vAlign w:val="center"/>
          </w:tcPr>
          <w:p w14:paraId="773A35B5" w14:textId="77777777" w:rsidR="006837EC" w:rsidRDefault="006837EC" w:rsidP="006837EC">
            <w:pPr>
              <w:pStyle w:val="Tablebodytextnospaceafter"/>
              <w:jc w:val="right"/>
            </w:pPr>
            <w:r>
              <w:t>2,772</w:t>
            </w:r>
          </w:p>
        </w:tc>
        <w:tc>
          <w:tcPr>
            <w:tcW w:w="1751" w:type="pct"/>
          </w:tcPr>
          <w:p w14:paraId="0F2B6827" w14:textId="77777777" w:rsidR="006837EC" w:rsidRDefault="006837EC" w:rsidP="006837EC">
            <w:pPr>
              <w:pStyle w:val="Tablebodytextnospaceafter"/>
              <w:cnfStyle w:val="000000010000" w:firstRow="0" w:lastRow="0" w:firstColumn="0" w:lastColumn="0" w:oddVBand="0" w:evenVBand="0" w:oddHBand="0" w:evenHBand="1" w:firstRowFirstColumn="0" w:firstRowLastColumn="0" w:lastRowFirstColumn="0" w:lastRowLastColumn="0"/>
            </w:pPr>
            <w:r>
              <w:t>Maintenance – ICT &amp; Equipment</w:t>
            </w:r>
          </w:p>
        </w:tc>
        <w:tc>
          <w:tcPr>
            <w:tcW w:w="679" w:type="pct"/>
          </w:tcPr>
          <w:p w14:paraId="0F475C57" w14:textId="110ECB3D" w:rsidR="006837EC" w:rsidRP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sidRPr="006837EC">
              <w:rPr>
                <w:rStyle w:val="Emphasis"/>
                <w:b w:val="0"/>
              </w:rPr>
              <w:t>3,253</w:t>
            </w:r>
          </w:p>
        </w:tc>
        <w:tc>
          <w:tcPr>
            <w:tcW w:w="679" w:type="pct"/>
            <w:vAlign w:val="center"/>
          </w:tcPr>
          <w:p w14:paraId="3FAE239D"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2,867</w:t>
            </w:r>
          </w:p>
        </w:tc>
        <w:tc>
          <w:tcPr>
            <w:tcW w:w="679" w:type="pct"/>
            <w:vAlign w:val="center"/>
          </w:tcPr>
          <w:p w14:paraId="169905BF" w14:textId="77777777" w:rsidR="006837EC" w:rsidRPr="00F602B6"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3,308</w:t>
            </w:r>
          </w:p>
        </w:tc>
        <w:tc>
          <w:tcPr>
            <w:tcW w:w="679" w:type="pct"/>
            <w:vAlign w:val="center"/>
          </w:tcPr>
          <w:p w14:paraId="077E1D59"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3,308</w:t>
            </w:r>
          </w:p>
        </w:tc>
      </w:tr>
      <w:tr w:rsidR="006837EC" w14:paraId="0C858960" w14:textId="77777777" w:rsidTr="00B1665E">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bottom w:val="single" w:sz="8" w:space="0" w:color="FFFFFF" w:themeColor="background1"/>
            </w:tcBorders>
            <w:shd w:val="clear" w:color="auto" w:fill="E9E9E9"/>
            <w:vAlign w:val="center"/>
          </w:tcPr>
          <w:p w14:paraId="714DE1E7" w14:textId="77777777" w:rsidR="006837EC" w:rsidRDefault="006837EC" w:rsidP="006837EC">
            <w:pPr>
              <w:pStyle w:val="Tablebodytextnospaceafter"/>
              <w:jc w:val="right"/>
            </w:pPr>
            <w:r>
              <w:t>3,126</w:t>
            </w:r>
          </w:p>
        </w:tc>
        <w:tc>
          <w:tcPr>
            <w:tcW w:w="1751" w:type="pct"/>
          </w:tcPr>
          <w:p w14:paraId="53E05546" w14:textId="77777777" w:rsidR="006837EC" w:rsidRDefault="006837EC" w:rsidP="006837EC">
            <w:pPr>
              <w:pStyle w:val="Tablebodytextnospaceafter"/>
              <w:cnfStyle w:val="000000100000" w:firstRow="0" w:lastRow="0" w:firstColumn="0" w:lastColumn="0" w:oddVBand="0" w:evenVBand="0" w:oddHBand="1" w:evenHBand="0" w:firstRowFirstColumn="0" w:firstRowLastColumn="0" w:lastRowFirstColumn="0" w:lastRowLastColumn="0"/>
            </w:pPr>
            <w:r>
              <w:t>Professional Services</w:t>
            </w:r>
          </w:p>
        </w:tc>
        <w:tc>
          <w:tcPr>
            <w:tcW w:w="679" w:type="pct"/>
          </w:tcPr>
          <w:p w14:paraId="60345018" w14:textId="21DEF521" w:rsidR="006837EC" w:rsidRP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sidRPr="006837EC">
              <w:rPr>
                <w:rStyle w:val="Emphasis"/>
                <w:b w:val="0"/>
              </w:rPr>
              <w:t>2,667</w:t>
            </w:r>
          </w:p>
        </w:tc>
        <w:tc>
          <w:tcPr>
            <w:tcW w:w="679" w:type="pct"/>
            <w:vAlign w:val="center"/>
          </w:tcPr>
          <w:p w14:paraId="51F1979D"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4,546</w:t>
            </w:r>
          </w:p>
        </w:tc>
        <w:tc>
          <w:tcPr>
            <w:tcW w:w="679" w:type="pct"/>
            <w:vAlign w:val="center"/>
          </w:tcPr>
          <w:p w14:paraId="3C523548" w14:textId="77777777" w:rsidR="006837EC" w:rsidRPr="00F602B6"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2,630</w:t>
            </w:r>
          </w:p>
        </w:tc>
        <w:tc>
          <w:tcPr>
            <w:tcW w:w="679" w:type="pct"/>
            <w:vAlign w:val="center"/>
          </w:tcPr>
          <w:p w14:paraId="38D2DD6E"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2,630</w:t>
            </w:r>
          </w:p>
        </w:tc>
      </w:tr>
      <w:tr w:rsidR="006837EC" w14:paraId="03851E96" w14:textId="77777777" w:rsidTr="00B1665E">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bottom w:val="single" w:sz="8" w:space="0" w:color="FFFFFF" w:themeColor="background1"/>
            </w:tcBorders>
            <w:shd w:val="clear" w:color="auto" w:fill="E9E9E9"/>
            <w:vAlign w:val="center"/>
          </w:tcPr>
          <w:p w14:paraId="79F3D521" w14:textId="77777777" w:rsidR="006837EC" w:rsidRDefault="006837EC" w:rsidP="006837EC">
            <w:pPr>
              <w:pStyle w:val="Tablebodytextnospaceafter"/>
              <w:jc w:val="right"/>
            </w:pPr>
            <w:r>
              <w:t>160</w:t>
            </w:r>
          </w:p>
        </w:tc>
        <w:tc>
          <w:tcPr>
            <w:tcW w:w="1751" w:type="pct"/>
            <w:hideMark/>
          </w:tcPr>
          <w:p w14:paraId="1A44481B" w14:textId="77777777" w:rsidR="006837EC" w:rsidRDefault="006837EC" w:rsidP="006837EC">
            <w:pPr>
              <w:pStyle w:val="Tablebodytextnospaceafter"/>
              <w:cnfStyle w:val="000000010000" w:firstRow="0" w:lastRow="0" w:firstColumn="0" w:lastColumn="0" w:oddVBand="0" w:evenVBand="0" w:oddHBand="0" w:evenHBand="1" w:firstRowFirstColumn="0" w:firstRowLastColumn="0" w:lastRowFirstColumn="0" w:lastRowLastColumn="0"/>
            </w:pPr>
            <w:r>
              <w:t>Information Resources</w:t>
            </w:r>
          </w:p>
        </w:tc>
        <w:tc>
          <w:tcPr>
            <w:tcW w:w="679" w:type="pct"/>
          </w:tcPr>
          <w:p w14:paraId="488EE3B0" w14:textId="30E5B2D1" w:rsidR="006837EC" w:rsidRP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sidRPr="006837EC">
              <w:rPr>
                <w:rStyle w:val="Emphasis"/>
                <w:b w:val="0"/>
              </w:rPr>
              <w:t>241</w:t>
            </w:r>
          </w:p>
        </w:tc>
        <w:tc>
          <w:tcPr>
            <w:tcW w:w="679" w:type="pct"/>
            <w:vAlign w:val="center"/>
            <w:hideMark/>
          </w:tcPr>
          <w:p w14:paraId="2CC1B367"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220</w:t>
            </w:r>
          </w:p>
        </w:tc>
        <w:tc>
          <w:tcPr>
            <w:tcW w:w="679" w:type="pct"/>
            <w:vAlign w:val="center"/>
          </w:tcPr>
          <w:p w14:paraId="1E0C2F71" w14:textId="77777777" w:rsidR="006837EC" w:rsidRPr="00F602B6"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275</w:t>
            </w:r>
          </w:p>
        </w:tc>
        <w:tc>
          <w:tcPr>
            <w:tcW w:w="679" w:type="pct"/>
            <w:vAlign w:val="center"/>
          </w:tcPr>
          <w:p w14:paraId="5484BE4B"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275</w:t>
            </w:r>
          </w:p>
        </w:tc>
      </w:tr>
      <w:tr w:rsidR="006837EC" w14:paraId="260EDCAD" w14:textId="77777777" w:rsidTr="00B1665E">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top w:val="single" w:sz="4" w:space="0" w:color="FFFFFF" w:themeColor="background1"/>
              <w:bottom w:val="single" w:sz="8" w:space="0" w:color="FFFFFF" w:themeColor="background1"/>
            </w:tcBorders>
            <w:shd w:val="clear" w:color="auto" w:fill="E9E9E9"/>
            <w:vAlign w:val="center"/>
          </w:tcPr>
          <w:p w14:paraId="24F32414" w14:textId="77777777" w:rsidR="006837EC" w:rsidRDefault="006837EC" w:rsidP="006837EC">
            <w:pPr>
              <w:pStyle w:val="Tablebodytextnospaceafter"/>
              <w:jc w:val="right"/>
            </w:pPr>
            <w:r>
              <w:t>820</w:t>
            </w:r>
          </w:p>
        </w:tc>
        <w:tc>
          <w:tcPr>
            <w:tcW w:w="1751" w:type="pct"/>
            <w:tcBorders>
              <w:top w:val="single" w:sz="4" w:space="0" w:color="FFFFFF" w:themeColor="background1"/>
            </w:tcBorders>
            <w:hideMark/>
          </w:tcPr>
          <w:p w14:paraId="1EBBE6F6" w14:textId="77777777" w:rsidR="006837EC" w:rsidRDefault="006837EC" w:rsidP="006837EC">
            <w:pPr>
              <w:pStyle w:val="Tablebodytextnospaceafter"/>
              <w:cnfStyle w:val="000000100000" w:firstRow="0" w:lastRow="0" w:firstColumn="0" w:lastColumn="0" w:oddVBand="0" w:evenVBand="0" w:oddHBand="1" w:evenHBand="0" w:firstRowFirstColumn="0" w:firstRowLastColumn="0" w:lastRowFirstColumn="0" w:lastRowLastColumn="0"/>
            </w:pPr>
            <w:r>
              <w:t>Travel</w:t>
            </w:r>
          </w:p>
        </w:tc>
        <w:tc>
          <w:tcPr>
            <w:tcW w:w="679" w:type="pct"/>
          </w:tcPr>
          <w:p w14:paraId="29984116" w14:textId="70BEBAA4" w:rsidR="006837EC" w:rsidRP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sidRPr="006837EC">
              <w:rPr>
                <w:rStyle w:val="Emphasis"/>
                <w:b w:val="0"/>
              </w:rPr>
              <w:t>604</w:t>
            </w:r>
          </w:p>
        </w:tc>
        <w:tc>
          <w:tcPr>
            <w:tcW w:w="679" w:type="pct"/>
            <w:vAlign w:val="center"/>
            <w:hideMark/>
          </w:tcPr>
          <w:p w14:paraId="5105BB0A"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1,786</w:t>
            </w:r>
          </w:p>
        </w:tc>
        <w:tc>
          <w:tcPr>
            <w:tcW w:w="679" w:type="pct"/>
            <w:vAlign w:val="center"/>
          </w:tcPr>
          <w:p w14:paraId="63E54480" w14:textId="77777777" w:rsidR="006837EC" w:rsidRPr="00F602B6"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890</w:t>
            </w:r>
          </w:p>
        </w:tc>
        <w:tc>
          <w:tcPr>
            <w:tcW w:w="679" w:type="pct"/>
            <w:vAlign w:val="center"/>
          </w:tcPr>
          <w:p w14:paraId="6D81C27B"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921</w:t>
            </w:r>
          </w:p>
        </w:tc>
      </w:tr>
      <w:tr w:rsidR="006837EC" w14:paraId="148C3A90" w14:textId="77777777" w:rsidTr="00B1665E">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bottom w:val="single" w:sz="8" w:space="0" w:color="FFFFFF" w:themeColor="background1"/>
            </w:tcBorders>
            <w:shd w:val="clear" w:color="auto" w:fill="E9E9E9"/>
            <w:vAlign w:val="center"/>
          </w:tcPr>
          <w:p w14:paraId="23349338" w14:textId="77777777" w:rsidR="006837EC" w:rsidRDefault="006837EC" w:rsidP="006837EC">
            <w:pPr>
              <w:pStyle w:val="Tablebodytextnospaceafter"/>
              <w:jc w:val="right"/>
            </w:pPr>
            <w:r>
              <w:t>231</w:t>
            </w:r>
          </w:p>
        </w:tc>
        <w:tc>
          <w:tcPr>
            <w:tcW w:w="1751" w:type="pct"/>
            <w:hideMark/>
          </w:tcPr>
          <w:p w14:paraId="330091ED" w14:textId="77777777" w:rsidR="006837EC" w:rsidRDefault="006837EC" w:rsidP="006837EC">
            <w:pPr>
              <w:pStyle w:val="Tablebodytextnospaceafter"/>
              <w:cnfStyle w:val="000000010000" w:firstRow="0" w:lastRow="0" w:firstColumn="0" w:lastColumn="0" w:oddVBand="0" w:evenVBand="0" w:oddHBand="0" w:evenHBand="1" w:firstRowFirstColumn="0" w:firstRowLastColumn="0" w:lastRowFirstColumn="0" w:lastRowLastColumn="0"/>
            </w:pPr>
            <w:r>
              <w:t xml:space="preserve">Telecommunications </w:t>
            </w:r>
          </w:p>
        </w:tc>
        <w:tc>
          <w:tcPr>
            <w:tcW w:w="679" w:type="pct"/>
          </w:tcPr>
          <w:p w14:paraId="37EB0EFC" w14:textId="02C2F178" w:rsidR="006837EC" w:rsidRP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sidRPr="006837EC">
              <w:rPr>
                <w:rStyle w:val="Emphasis"/>
                <w:b w:val="0"/>
              </w:rPr>
              <w:t>204</w:t>
            </w:r>
          </w:p>
        </w:tc>
        <w:tc>
          <w:tcPr>
            <w:tcW w:w="679" w:type="pct"/>
            <w:vAlign w:val="center"/>
            <w:hideMark/>
          </w:tcPr>
          <w:p w14:paraId="4FAAA3E0"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468</w:t>
            </w:r>
          </w:p>
        </w:tc>
        <w:tc>
          <w:tcPr>
            <w:tcW w:w="679" w:type="pct"/>
            <w:vAlign w:val="center"/>
          </w:tcPr>
          <w:p w14:paraId="605DA968"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192</w:t>
            </w:r>
          </w:p>
        </w:tc>
        <w:tc>
          <w:tcPr>
            <w:tcW w:w="679" w:type="pct"/>
            <w:vAlign w:val="center"/>
          </w:tcPr>
          <w:p w14:paraId="0438DD3E" w14:textId="77777777"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pPr>
            <w:r>
              <w:t>192</w:t>
            </w:r>
          </w:p>
        </w:tc>
      </w:tr>
      <w:tr w:rsidR="006837EC" w14:paraId="2DCF3F52" w14:textId="77777777" w:rsidTr="00B1665E">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top w:val="single" w:sz="8" w:space="0" w:color="FFFFFF" w:themeColor="background1"/>
              <w:bottom w:val="single" w:sz="8" w:space="0" w:color="FFFFFF" w:themeColor="background1"/>
            </w:tcBorders>
            <w:shd w:val="clear" w:color="auto" w:fill="E9E9E9"/>
            <w:vAlign w:val="center"/>
          </w:tcPr>
          <w:p w14:paraId="62AF7223" w14:textId="77777777" w:rsidR="006837EC" w:rsidRDefault="006837EC" w:rsidP="006837EC">
            <w:pPr>
              <w:pStyle w:val="Tablebodytextnospaceafter"/>
              <w:jc w:val="right"/>
            </w:pPr>
            <w:r>
              <w:t>1,010</w:t>
            </w:r>
          </w:p>
        </w:tc>
        <w:tc>
          <w:tcPr>
            <w:tcW w:w="1751" w:type="pct"/>
            <w:hideMark/>
          </w:tcPr>
          <w:p w14:paraId="7FBAA205" w14:textId="77777777" w:rsidR="006837EC" w:rsidRDefault="006837EC" w:rsidP="006837EC">
            <w:pPr>
              <w:pStyle w:val="Tablebodytextnospaceafter"/>
              <w:cnfStyle w:val="000000100000" w:firstRow="0" w:lastRow="0" w:firstColumn="0" w:lastColumn="0" w:oddVBand="0" w:evenVBand="0" w:oddHBand="1" w:evenHBand="0" w:firstRowFirstColumn="0" w:firstRowLastColumn="0" w:lastRowFirstColumn="0" w:lastRowLastColumn="0"/>
            </w:pPr>
            <w:r>
              <w:t>Other costs</w:t>
            </w:r>
          </w:p>
        </w:tc>
        <w:tc>
          <w:tcPr>
            <w:tcW w:w="679" w:type="pct"/>
          </w:tcPr>
          <w:p w14:paraId="35E69CF1" w14:textId="03DE413D" w:rsidR="006837EC" w:rsidRP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sidRPr="006837EC">
              <w:rPr>
                <w:rStyle w:val="Emphasis"/>
                <w:b w:val="0"/>
              </w:rPr>
              <w:t>799</w:t>
            </w:r>
          </w:p>
        </w:tc>
        <w:tc>
          <w:tcPr>
            <w:tcW w:w="679" w:type="pct"/>
            <w:vAlign w:val="center"/>
            <w:hideMark/>
          </w:tcPr>
          <w:p w14:paraId="6B1F9E98"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4,326</w:t>
            </w:r>
          </w:p>
        </w:tc>
        <w:tc>
          <w:tcPr>
            <w:tcW w:w="679" w:type="pct"/>
            <w:vAlign w:val="center"/>
          </w:tcPr>
          <w:p w14:paraId="37140D47" w14:textId="77777777" w:rsidR="006837EC" w:rsidRPr="00F602B6"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4186</w:t>
            </w:r>
          </w:p>
        </w:tc>
        <w:tc>
          <w:tcPr>
            <w:tcW w:w="679" w:type="pct"/>
            <w:vAlign w:val="center"/>
          </w:tcPr>
          <w:p w14:paraId="174E318A" w14:textId="77777777" w:rsidR="006837EC" w:rsidRDefault="006837EC" w:rsidP="006837EC">
            <w:pPr>
              <w:pStyle w:val="Tablebodytextnospaceafter"/>
              <w:jc w:val="right"/>
              <w:cnfStyle w:val="000000100000" w:firstRow="0" w:lastRow="0" w:firstColumn="0" w:lastColumn="0" w:oddVBand="0" w:evenVBand="0" w:oddHBand="1" w:evenHBand="0" w:firstRowFirstColumn="0" w:firstRowLastColumn="0" w:lastRowFirstColumn="0" w:lastRowLastColumn="0"/>
            </w:pPr>
            <w:r>
              <w:t>7,866</w:t>
            </w:r>
          </w:p>
        </w:tc>
      </w:tr>
      <w:tr w:rsidR="006837EC" w14:paraId="2C7CF44E" w14:textId="77777777" w:rsidTr="00B1665E">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32" w:type="pct"/>
            <w:tcBorders>
              <w:top w:val="single" w:sz="4" w:space="0" w:color="FFFFFF" w:themeColor="background1"/>
              <w:bottom w:val="single" w:sz="4" w:space="0" w:color="FFFFFF" w:themeColor="background1"/>
            </w:tcBorders>
            <w:vAlign w:val="center"/>
          </w:tcPr>
          <w:p w14:paraId="02BCEB82" w14:textId="77777777" w:rsidR="006837EC" w:rsidRPr="00762ACC" w:rsidRDefault="006837EC" w:rsidP="006837EC">
            <w:pPr>
              <w:pStyle w:val="Tablebodytextnospaceafter"/>
              <w:jc w:val="right"/>
              <w:rPr>
                <w:u w:val="single"/>
              </w:rPr>
            </w:pPr>
            <w:r>
              <w:rPr>
                <w:rStyle w:val="Emphasis"/>
                <w:u w:val="single"/>
              </w:rPr>
              <w:t>11,208</w:t>
            </w:r>
          </w:p>
        </w:tc>
        <w:tc>
          <w:tcPr>
            <w:tcW w:w="1751" w:type="pct"/>
            <w:tcBorders>
              <w:bottom w:val="single" w:sz="4" w:space="0" w:color="FFFFFF" w:themeColor="background1"/>
            </w:tcBorders>
            <w:shd w:val="clear" w:color="auto" w:fill="BFBFBF"/>
            <w:hideMark/>
          </w:tcPr>
          <w:p w14:paraId="24A38EFA" w14:textId="77777777" w:rsidR="006837EC" w:rsidRDefault="006837EC" w:rsidP="006837EC">
            <w:pPr>
              <w:pStyle w:val="Tablebodytextnospaceafter"/>
              <w:cnfStyle w:val="000000010000" w:firstRow="0" w:lastRow="0" w:firstColumn="0" w:lastColumn="0" w:oddVBand="0" w:evenVBand="0" w:oddHBand="0" w:evenHBand="1" w:firstRowFirstColumn="0" w:firstRowLastColumn="0" w:lastRowFirstColumn="0" w:lastRowLastColumn="0"/>
            </w:pPr>
            <w:r>
              <w:t>Total other operating costs</w:t>
            </w:r>
          </w:p>
        </w:tc>
        <w:tc>
          <w:tcPr>
            <w:tcW w:w="679" w:type="pct"/>
            <w:tcBorders>
              <w:top w:val="single" w:sz="4" w:space="0" w:color="FFFFFF" w:themeColor="background1"/>
              <w:bottom w:val="single" w:sz="4" w:space="0" w:color="FFFFFF" w:themeColor="background1"/>
            </w:tcBorders>
            <w:shd w:val="clear" w:color="auto" w:fill="BFBFBF"/>
          </w:tcPr>
          <w:p w14:paraId="31B0E1DE" w14:textId="4F29A41A" w:rsidR="006837EC"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u w:val="single"/>
              </w:rPr>
            </w:pPr>
            <w:r>
              <w:rPr>
                <w:rStyle w:val="Emphasis"/>
                <w:u w:val="single"/>
              </w:rPr>
              <w:t>11,282</w:t>
            </w:r>
          </w:p>
        </w:tc>
        <w:tc>
          <w:tcPr>
            <w:tcW w:w="679" w:type="pct"/>
            <w:tcBorders>
              <w:top w:val="single" w:sz="4" w:space="0" w:color="FFFFFF" w:themeColor="background1"/>
              <w:bottom w:val="single" w:sz="4" w:space="0" w:color="FFFFFF" w:themeColor="background1"/>
            </w:tcBorders>
            <w:shd w:val="clear" w:color="auto" w:fill="BFBFBF"/>
            <w:vAlign w:val="center"/>
            <w:hideMark/>
          </w:tcPr>
          <w:p w14:paraId="69D5D258" w14:textId="77777777" w:rsidR="006837EC" w:rsidRPr="00980877"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rPr>
                <w:b/>
              </w:rPr>
            </w:pPr>
            <w:r>
              <w:rPr>
                <w:b/>
                <w:u w:val="single"/>
              </w:rPr>
              <w:t>17,266</w:t>
            </w:r>
          </w:p>
        </w:tc>
        <w:tc>
          <w:tcPr>
            <w:tcW w:w="679" w:type="pct"/>
            <w:tcBorders>
              <w:top w:val="single" w:sz="4" w:space="0" w:color="FFFFFF" w:themeColor="background1"/>
              <w:bottom w:val="single" w:sz="4" w:space="0" w:color="FFFFFF" w:themeColor="background1"/>
            </w:tcBorders>
            <w:shd w:val="clear" w:color="auto" w:fill="BFBFBF"/>
            <w:vAlign w:val="center"/>
          </w:tcPr>
          <w:p w14:paraId="4AF36BDC" w14:textId="77777777" w:rsidR="006837EC" w:rsidRPr="00980877"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15,197</w:t>
            </w:r>
          </w:p>
        </w:tc>
        <w:tc>
          <w:tcPr>
            <w:tcW w:w="679" w:type="pct"/>
            <w:tcBorders>
              <w:top w:val="single" w:sz="4" w:space="0" w:color="FFFFFF" w:themeColor="background1"/>
              <w:bottom w:val="single" w:sz="4" w:space="0" w:color="FFFFFF" w:themeColor="background1"/>
            </w:tcBorders>
            <w:shd w:val="clear" w:color="auto" w:fill="BFBFBF"/>
            <w:vAlign w:val="center"/>
          </w:tcPr>
          <w:p w14:paraId="777DB45B" w14:textId="77777777" w:rsidR="006837EC" w:rsidRPr="00980877" w:rsidRDefault="006837EC" w:rsidP="006837EC">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18,641</w:t>
            </w:r>
          </w:p>
        </w:tc>
      </w:tr>
    </w:tbl>
    <w:p w14:paraId="04CA20E0" w14:textId="0954E8C3" w:rsidR="006837EC" w:rsidRDefault="006837EC" w:rsidP="00331C36">
      <w:pPr>
        <w:pStyle w:val="BodyText"/>
        <w:rPr>
          <w:color w:val="auto"/>
          <w:szCs w:val="24"/>
        </w:rPr>
      </w:pPr>
      <w:r>
        <w:rPr>
          <w:color w:val="auto"/>
          <w:szCs w:val="24"/>
        </w:rPr>
        <w:t xml:space="preserve">* Unaudited. </w:t>
      </w:r>
    </w:p>
    <w:p w14:paraId="0A27FD02" w14:textId="6D3AD354" w:rsidR="00331C36" w:rsidRPr="00D539DD" w:rsidRDefault="00331C36" w:rsidP="00331C36">
      <w:pPr>
        <w:pStyle w:val="BodyText"/>
        <w:rPr>
          <w:color w:val="auto"/>
          <w:szCs w:val="24"/>
        </w:rPr>
      </w:pPr>
      <w:r w:rsidRPr="004733D9">
        <w:rPr>
          <w:color w:val="auto"/>
          <w:szCs w:val="24"/>
        </w:rPr>
        <w:t>Other operating costs exclude depreciation and capital charges.</w:t>
      </w:r>
    </w:p>
    <w:p w14:paraId="56202E7D" w14:textId="1021B0EC" w:rsidR="00183B0A" w:rsidRDefault="00183B0A" w:rsidP="00032F1F">
      <w:pPr>
        <w:pStyle w:val="Heading3"/>
      </w:pPr>
      <w:r>
        <w:t xml:space="preserve">4. Depreciation and amortisation </w:t>
      </w:r>
    </w:p>
    <w:tbl>
      <w:tblPr>
        <w:tblStyle w:val="TableGridAnnualReport11"/>
        <w:tblW w:w="5061" w:type="pct"/>
        <w:tblInd w:w="0" w:type="dxa"/>
        <w:tblLook w:val="04A0" w:firstRow="1" w:lastRow="0" w:firstColumn="1" w:lastColumn="0" w:noHBand="0" w:noVBand="1"/>
      </w:tblPr>
      <w:tblGrid>
        <w:gridCol w:w="1098"/>
        <w:gridCol w:w="3283"/>
        <w:gridCol w:w="1253"/>
        <w:gridCol w:w="1253"/>
        <w:gridCol w:w="1253"/>
        <w:gridCol w:w="1251"/>
      </w:tblGrid>
      <w:tr w:rsidR="003D6E0A" w:rsidRPr="002567A5" w14:paraId="3CA36BFF" w14:textId="77777777" w:rsidTr="0005640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85" w:type="pct"/>
            <w:shd w:val="clear" w:color="auto" w:fill="017E5D"/>
            <w:hideMark/>
          </w:tcPr>
          <w:p w14:paraId="56640DE0" w14:textId="77777777" w:rsidR="00331C36" w:rsidRPr="00423F55" w:rsidRDefault="00331C36" w:rsidP="00DE729C">
            <w:pPr>
              <w:pStyle w:val="Tableheadingrow1"/>
              <w:jc w:val="right"/>
              <w:rPr>
                <w:sz w:val="22"/>
              </w:rPr>
            </w:pPr>
            <w:r>
              <w:rPr>
                <w:sz w:val="22"/>
              </w:rPr>
              <w:t>Actual</w:t>
            </w:r>
          </w:p>
          <w:p w14:paraId="57751D52" w14:textId="77777777" w:rsidR="00331C36" w:rsidRDefault="00331C36" w:rsidP="00DE729C">
            <w:pPr>
              <w:pStyle w:val="Tableheadingrow1"/>
              <w:jc w:val="right"/>
              <w:rPr>
                <w:sz w:val="22"/>
              </w:rPr>
            </w:pPr>
            <w:r>
              <w:rPr>
                <w:sz w:val="22"/>
              </w:rPr>
              <w:t>2024/25</w:t>
            </w:r>
            <w:r>
              <w:rPr>
                <w:sz w:val="22"/>
              </w:rPr>
              <w:br/>
            </w:r>
          </w:p>
          <w:p w14:paraId="42F2AF8D" w14:textId="77777777" w:rsidR="00331C36" w:rsidRPr="00423F55" w:rsidRDefault="00331C36" w:rsidP="00DE729C">
            <w:pPr>
              <w:pStyle w:val="Tableheadingrow1"/>
              <w:jc w:val="right"/>
              <w:rPr>
                <w:sz w:val="22"/>
              </w:rPr>
            </w:pPr>
            <w:r>
              <w:rPr>
                <w:sz w:val="22"/>
              </w:rPr>
              <w:br/>
              <w:t>$(000)</w:t>
            </w:r>
          </w:p>
        </w:tc>
        <w:tc>
          <w:tcPr>
            <w:tcW w:w="1748" w:type="pct"/>
            <w:shd w:val="clear" w:color="auto" w:fill="017E5D"/>
          </w:tcPr>
          <w:p w14:paraId="7345891D"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p>
        </w:tc>
        <w:tc>
          <w:tcPr>
            <w:tcW w:w="667" w:type="pct"/>
            <w:shd w:val="clear" w:color="auto" w:fill="017E5D"/>
            <w:hideMark/>
          </w:tcPr>
          <w:p w14:paraId="4DAA1605" w14:textId="2B699CD2"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202</w:t>
            </w:r>
            <w:r w:rsidR="00525AB8">
              <w:rPr>
                <w:sz w:val="22"/>
              </w:rPr>
              <w:t>5</w:t>
            </w:r>
            <w:r>
              <w:rPr>
                <w:sz w:val="22"/>
              </w:rPr>
              <w:t>/26</w:t>
            </w:r>
          </w:p>
          <w:p w14:paraId="111B9AA8"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Actual</w:t>
            </w:r>
            <w:r>
              <w:rPr>
                <w:sz w:val="22"/>
              </w:rPr>
              <w:br/>
            </w:r>
          </w:p>
          <w:p w14:paraId="6B08D487"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br/>
              <w:t>$(000)</w:t>
            </w:r>
          </w:p>
        </w:tc>
        <w:tc>
          <w:tcPr>
            <w:tcW w:w="667" w:type="pct"/>
            <w:shd w:val="clear" w:color="auto" w:fill="017E5D"/>
            <w:hideMark/>
          </w:tcPr>
          <w:p w14:paraId="4CCE3368"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Main Estimates</w:t>
            </w:r>
          </w:p>
          <w:p w14:paraId="1D96FA12" w14:textId="14E6625D"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2025/26</w:t>
            </w:r>
            <w:r w:rsidR="00056408">
              <w:rPr>
                <w:sz w:val="22"/>
              </w:rPr>
              <w:t>*</w:t>
            </w:r>
          </w:p>
          <w:p w14:paraId="44043D7C"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br/>
              <w:t>$(000)</w:t>
            </w:r>
          </w:p>
        </w:tc>
        <w:tc>
          <w:tcPr>
            <w:tcW w:w="667" w:type="pct"/>
            <w:shd w:val="clear" w:color="auto" w:fill="017E5D"/>
            <w:hideMark/>
          </w:tcPr>
          <w:p w14:paraId="71B799AE" w14:textId="7A1FED6A"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Supp. Estimates</w:t>
            </w:r>
            <w:r>
              <w:rPr>
                <w:sz w:val="22"/>
              </w:rPr>
              <w:br/>
              <w:t>2025/26</w:t>
            </w:r>
            <w:r w:rsidR="00056408">
              <w:rPr>
                <w:sz w:val="22"/>
              </w:rPr>
              <w:t>*</w:t>
            </w:r>
          </w:p>
          <w:p w14:paraId="2B8FAE09"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p>
          <w:p w14:paraId="421452A1"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$(000)</w:t>
            </w:r>
          </w:p>
        </w:tc>
        <w:tc>
          <w:tcPr>
            <w:tcW w:w="666" w:type="pct"/>
            <w:shd w:val="clear" w:color="auto" w:fill="017E5D"/>
            <w:hideMark/>
          </w:tcPr>
          <w:p w14:paraId="20B2CFA5" w14:textId="400A40FB" w:rsidR="00331C36" w:rsidRPr="00423F55" w:rsidRDefault="00056408"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rStyle w:val="FootnoteReference"/>
                <w:sz w:val="22"/>
              </w:rPr>
              <w:footnoteReference w:id="71"/>
            </w:r>
            <w:r w:rsidR="00331C36">
              <w:rPr>
                <w:sz w:val="22"/>
              </w:rPr>
              <w:t>Main</w:t>
            </w:r>
            <w:r w:rsidR="00331C36">
              <w:rPr>
                <w:sz w:val="22"/>
              </w:rPr>
              <w:br/>
              <w:t>Estimates</w:t>
            </w:r>
          </w:p>
          <w:p w14:paraId="06D4A8AA" w14:textId="0E2A8160"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2026/27</w:t>
            </w:r>
            <w:r w:rsidR="00056408">
              <w:rPr>
                <w:sz w:val="22"/>
              </w:rPr>
              <w:t>*</w:t>
            </w:r>
          </w:p>
          <w:p w14:paraId="27572C52"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p>
          <w:p w14:paraId="564BFFDC" w14:textId="77777777" w:rsidR="00331C36" w:rsidRPr="00423F55"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rPr>
                <w:sz w:val="22"/>
              </w:rPr>
            </w:pPr>
            <w:r>
              <w:rPr>
                <w:sz w:val="22"/>
              </w:rPr>
              <w:t>$(000)</w:t>
            </w:r>
          </w:p>
        </w:tc>
      </w:tr>
      <w:tr w:rsidR="003D6E0A" w:rsidRPr="002567A5" w14:paraId="12B6E667" w14:textId="77777777" w:rsidTr="00056408">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85" w:type="pct"/>
            <w:tcBorders>
              <w:bottom w:val="single" w:sz="8" w:space="0" w:color="FFFFFF" w:themeColor="background1"/>
            </w:tcBorders>
            <w:shd w:val="clear" w:color="auto" w:fill="E9E9E9"/>
            <w:vAlign w:val="center"/>
            <w:hideMark/>
          </w:tcPr>
          <w:p w14:paraId="6472DDA4" w14:textId="77777777" w:rsidR="00331C36" w:rsidRPr="00331C36" w:rsidRDefault="00331C36" w:rsidP="00DE729C">
            <w:pPr>
              <w:pStyle w:val="Tablebodytextnospaceafter"/>
              <w:jc w:val="right"/>
              <w:rPr>
                <w:b/>
                <w:bCs/>
              </w:rPr>
            </w:pPr>
            <w:r w:rsidRPr="00331C36">
              <w:rPr>
                <w:rStyle w:val="Emphasis"/>
                <w:b w:val="0"/>
                <w:bCs w:val="0"/>
              </w:rPr>
              <w:t>89</w:t>
            </w:r>
          </w:p>
        </w:tc>
        <w:tc>
          <w:tcPr>
            <w:tcW w:w="1748" w:type="pct"/>
            <w:hideMark/>
          </w:tcPr>
          <w:p w14:paraId="25ADCBC6" w14:textId="77777777" w:rsidR="00331C36" w:rsidRPr="002567A5" w:rsidRDefault="00331C36" w:rsidP="00DE729C">
            <w:pPr>
              <w:pStyle w:val="Tablebodytextnospaceafter"/>
              <w:cnfStyle w:val="000000100000" w:firstRow="0" w:lastRow="0" w:firstColumn="0" w:lastColumn="0" w:oddVBand="0" w:evenVBand="0" w:oddHBand="1" w:evenHBand="0" w:firstRowFirstColumn="0" w:firstRowLastColumn="0" w:lastRowFirstColumn="0" w:lastRowLastColumn="0"/>
            </w:pPr>
            <w:r>
              <w:t>Furniture and fittings</w:t>
            </w:r>
          </w:p>
        </w:tc>
        <w:tc>
          <w:tcPr>
            <w:tcW w:w="667" w:type="pct"/>
          </w:tcPr>
          <w:p w14:paraId="176F33B0" w14:textId="15C10620" w:rsidR="00331C36" w:rsidRPr="00056408" w:rsidRDefault="00056408"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sidRPr="00056408">
              <w:rPr>
                <w:rStyle w:val="Emphasis"/>
                <w:b w:val="0"/>
              </w:rPr>
              <w:t>114</w:t>
            </w:r>
          </w:p>
        </w:tc>
        <w:tc>
          <w:tcPr>
            <w:tcW w:w="667" w:type="pct"/>
            <w:vAlign w:val="center"/>
          </w:tcPr>
          <w:p w14:paraId="201EA8BA" w14:textId="77777777" w:rsidR="00331C36" w:rsidRPr="002567A5"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169</w:t>
            </w:r>
          </w:p>
        </w:tc>
        <w:tc>
          <w:tcPr>
            <w:tcW w:w="667" w:type="pct"/>
            <w:vAlign w:val="center"/>
          </w:tcPr>
          <w:p w14:paraId="533BAD7A" w14:textId="77777777" w:rsidR="00331C36" w:rsidRPr="002567A5"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115</w:t>
            </w:r>
          </w:p>
        </w:tc>
        <w:tc>
          <w:tcPr>
            <w:tcW w:w="666" w:type="pct"/>
            <w:vAlign w:val="center"/>
          </w:tcPr>
          <w:p w14:paraId="337B0D38" w14:textId="77777777" w:rsidR="00331C36" w:rsidRPr="002567A5"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115</w:t>
            </w:r>
          </w:p>
        </w:tc>
      </w:tr>
      <w:tr w:rsidR="003D6E0A" w14:paraId="4A02A67C" w14:textId="77777777" w:rsidTr="00056408">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85" w:type="pct"/>
            <w:tcBorders>
              <w:bottom w:val="single" w:sz="8" w:space="0" w:color="FFFFFF" w:themeColor="background1"/>
            </w:tcBorders>
            <w:shd w:val="clear" w:color="auto" w:fill="E9E9E9"/>
            <w:vAlign w:val="center"/>
            <w:hideMark/>
          </w:tcPr>
          <w:p w14:paraId="0DB1B4B8" w14:textId="77777777" w:rsidR="00331C36" w:rsidRPr="00331C36" w:rsidRDefault="00331C36" w:rsidP="00DE729C">
            <w:pPr>
              <w:pStyle w:val="Tablebodytextnospaceafter"/>
              <w:jc w:val="right"/>
              <w:rPr>
                <w:b/>
                <w:bCs/>
              </w:rPr>
            </w:pPr>
            <w:r w:rsidRPr="00331C36">
              <w:rPr>
                <w:rStyle w:val="Emphasis"/>
                <w:b w:val="0"/>
                <w:bCs w:val="0"/>
              </w:rPr>
              <w:t>335</w:t>
            </w:r>
          </w:p>
        </w:tc>
        <w:tc>
          <w:tcPr>
            <w:tcW w:w="1748" w:type="pct"/>
            <w:hideMark/>
          </w:tcPr>
          <w:p w14:paraId="756EAC44" w14:textId="77777777" w:rsidR="00331C36" w:rsidRDefault="00331C36" w:rsidP="00DE729C">
            <w:pPr>
              <w:pStyle w:val="Tablebodytextnospaceafter"/>
              <w:cnfStyle w:val="000000010000" w:firstRow="0" w:lastRow="0" w:firstColumn="0" w:lastColumn="0" w:oddVBand="0" w:evenVBand="0" w:oddHBand="0" w:evenHBand="1" w:firstRowFirstColumn="0" w:firstRowLastColumn="0" w:lastRowFirstColumn="0" w:lastRowLastColumn="0"/>
            </w:pPr>
            <w:r>
              <w:t>Plant and equipment and other</w:t>
            </w:r>
          </w:p>
        </w:tc>
        <w:tc>
          <w:tcPr>
            <w:tcW w:w="667" w:type="pct"/>
          </w:tcPr>
          <w:p w14:paraId="31D39A1A" w14:textId="63F84B9E" w:rsidR="00331C36" w:rsidRPr="00056408" w:rsidRDefault="00056408" w:rsidP="00DE729C">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sidRPr="00056408">
              <w:rPr>
                <w:rStyle w:val="Emphasis"/>
                <w:b w:val="0"/>
              </w:rPr>
              <w:t>125</w:t>
            </w:r>
          </w:p>
        </w:tc>
        <w:tc>
          <w:tcPr>
            <w:tcW w:w="667" w:type="pct"/>
            <w:vAlign w:val="center"/>
          </w:tcPr>
          <w:p w14:paraId="1DCB926B"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589</w:t>
            </w:r>
          </w:p>
        </w:tc>
        <w:tc>
          <w:tcPr>
            <w:tcW w:w="667" w:type="pct"/>
            <w:vAlign w:val="center"/>
          </w:tcPr>
          <w:p w14:paraId="25BCC47A"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127</w:t>
            </w:r>
          </w:p>
        </w:tc>
        <w:tc>
          <w:tcPr>
            <w:tcW w:w="666" w:type="pct"/>
            <w:vAlign w:val="center"/>
          </w:tcPr>
          <w:p w14:paraId="55CA393C"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127</w:t>
            </w:r>
          </w:p>
        </w:tc>
      </w:tr>
      <w:tr w:rsidR="003D6E0A" w14:paraId="4A2C0E3F" w14:textId="77777777" w:rsidTr="00056408">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85" w:type="pct"/>
            <w:tcBorders>
              <w:bottom w:val="single" w:sz="8" w:space="0" w:color="FFFFFF" w:themeColor="background1"/>
            </w:tcBorders>
            <w:shd w:val="clear" w:color="auto" w:fill="E9E9E9"/>
            <w:vAlign w:val="center"/>
          </w:tcPr>
          <w:p w14:paraId="62B9CE44" w14:textId="77777777" w:rsidR="00331C36" w:rsidRPr="00331C36" w:rsidDel="002356D9" w:rsidRDefault="00331C36" w:rsidP="00DE729C">
            <w:pPr>
              <w:pStyle w:val="Tablebodytextnospaceafter"/>
              <w:jc w:val="right"/>
              <w:rPr>
                <w:rStyle w:val="Emphasis"/>
                <w:b w:val="0"/>
                <w:bCs w:val="0"/>
              </w:rPr>
            </w:pPr>
            <w:r w:rsidRPr="00331C36">
              <w:rPr>
                <w:rStyle w:val="Emphasis"/>
                <w:b w:val="0"/>
                <w:bCs w:val="0"/>
              </w:rPr>
              <w:t>-</w:t>
            </w:r>
          </w:p>
        </w:tc>
        <w:tc>
          <w:tcPr>
            <w:tcW w:w="1748" w:type="pct"/>
          </w:tcPr>
          <w:p w14:paraId="0D2B0423" w14:textId="77777777" w:rsidR="00331C36" w:rsidRDefault="00331C36" w:rsidP="00DE729C">
            <w:pPr>
              <w:pStyle w:val="Tablebodytextnospaceafter"/>
              <w:cnfStyle w:val="000000100000" w:firstRow="0" w:lastRow="0" w:firstColumn="0" w:lastColumn="0" w:oddVBand="0" w:evenVBand="0" w:oddHBand="1" w:evenHBand="0" w:firstRowFirstColumn="0" w:firstRowLastColumn="0" w:lastRowFirstColumn="0" w:lastRowLastColumn="0"/>
            </w:pPr>
            <w:r>
              <w:t>Leasehold Improvements</w:t>
            </w:r>
          </w:p>
        </w:tc>
        <w:tc>
          <w:tcPr>
            <w:tcW w:w="667" w:type="pct"/>
            <w:vAlign w:val="center"/>
          </w:tcPr>
          <w:p w14:paraId="464A68BD" w14:textId="56096CB2" w:rsidR="00331C36" w:rsidRPr="00056408" w:rsidDel="002356D9" w:rsidRDefault="00056408"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sidRPr="00056408">
              <w:rPr>
                <w:rStyle w:val="Emphasis"/>
                <w:b w:val="0"/>
              </w:rPr>
              <w:t>176</w:t>
            </w:r>
          </w:p>
        </w:tc>
        <w:tc>
          <w:tcPr>
            <w:tcW w:w="667" w:type="pct"/>
            <w:vAlign w:val="center"/>
          </w:tcPr>
          <w:p w14:paraId="2FA0F314"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667" w:type="pct"/>
            <w:vAlign w:val="center"/>
          </w:tcPr>
          <w:p w14:paraId="4C9A06A1" w14:textId="77777777" w:rsidR="00331C36" w:rsidDel="002356D9"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176</w:t>
            </w:r>
          </w:p>
        </w:tc>
        <w:tc>
          <w:tcPr>
            <w:tcW w:w="666" w:type="pct"/>
            <w:vAlign w:val="center"/>
          </w:tcPr>
          <w:p w14:paraId="4BFD2973"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176</w:t>
            </w:r>
          </w:p>
        </w:tc>
      </w:tr>
      <w:tr w:rsidR="003D6E0A" w14:paraId="65CC8284" w14:textId="77777777" w:rsidTr="00056408">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85" w:type="pct"/>
            <w:tcBorders>
              <w:bottom w:val="single" w:sz="8" w:space="0" w:color="FFFFFF" w:themeColor="background1"/>
            </w:tcBorders>
            <w:shd w:val="clear" w:color="auto" w:fill="E9E9E9"/>
            <w:vAlign w:val="center"/>
            <w:hideMark/>
          </w:tcPr>
          <w:p w14:paraId="172B6F31" w14:textId="77777777" w:rsidR="00331C36" w:rsidRPr="00331C36" w:rsidRDefault="00331C36" w:rsidP="00DE729C">
            <w:pPr>
              <w:pStyle w:val="Tablebodytextnospaceafter"/>
              <w:jc w:val="right"/>
              <w:rPr>
                <w:b/>
                <w:bCs/>
              </w:rPr>
            </w:pPr>
            <w:r w:rsidRPr="00331C36">
              <w:rPr>
                <w:rStyle w:val="Emphasis"/>
                <w:b w:val="0"/>
                <w:bCs w:val="0"/>
              </w:rPr>
              <w:t>452</w:t>
            </w:r>
          </w:p>
        </w:tc>
        <w:tc>
          <w:tcPr>
            <w:tcW w:w="1748" w:type="pct"/>
            <w:hideMark/>
          </w:tcPr>
          <w:p w14:paraId="78555847" w14:textId="77777777" w:rsidR="00331C36" w:rsidRDefault="00331C36" w:rsidP="00DE729C">
            <w:pPr>
              <w:pStyle w:val="Tablebodytextnospaceafter"/>
              <w:cnfStyle w:val="000000010000" w:firstRow="0" w:lastRow="0" w:firstColumn="0" w:lastColumn="0" w:oddVBand="0" w:evenVBand="0" w:oddHBand="0" w:evenHBand="1" w:firstRowFirstColumn="0" w:firstRowLastColumn="0" w:lastRowFirstColumn="0" w:lastRowLastColumn="0"/>
            </w:pPr>
            <w:r>
              <w:t>Computer equipment</w:t>
            </w:r>
          </w:p>
        </w:tc>
        <w:tc>
          <w:tcPr>
            <w:tcW w:w="667" w:type="pct"/>
          </w:tcPr>
          <w:p w14:paraId="7D28A5CF" w14:textId="00CB03EB" w:rsidR="00331C36" w:rsidRPr="00056408" w:rsidRDefault="00056408" w:rsidP="00DE729C">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rPr>
            </w:pPr>
            <w:r w:rsidRPr="00056408">
              <w:rPr>
                <w:rStyle w:val="Emphasis"/>
                <w:b w:val="0"/>
              </w:rPr>
              <w:t>437</w:t>
            </w:r>
          </w:p>
        </w:tc>
        <w:tc>
          <w:tcPr>
            <w:tcW w:w="667" w:type="pct"/>
            <w:vAlign w:val="center"/>
          </w:tcPr>
          <w:p w14:paraId="1B6DE685"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483</w:t>
            </w:r>
          </w:p>
        </w:tc>
        <w:tc>
          <w:tcPr>
            <w:tcW w:w="667" w:type="pct"/>
            <w:vAlign w:val="center"/>
          </w:tcPr>
          <w:p w14:paraId="62313A94" w14:textId="77777777" w:rsidR="00331C36" w:rsidRPr="00F26A81"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438</w:t>
            </w:r>
          </w:p>
        </w:tc>
        <w:tc>
          <w:tcPr>
            <w:tcW w:w="666" w:type="pct"/>
            <w:vAlign w:val="center"/>
          </w:tcPr>
          <w:p w14:paraId="15A13DCC" w14:textId="77777777" w:rsidR="00331C36" w:rsidRPr="00F26A81"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438</w:t>
            </w:r>
          </w:p>
        </w:tc>
      </w:tr>
      <w:tr w:rsidR="003D6E0A" w14:paraId="1FC00EA1" w14:textId="77777777" w:rsidTr="00056408">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85" w:type="pct"/>
            <w:tcBorders>
              <w:top w:val="single" w:sz="8" w:space="0" w:color="FFFFFF" w:themeColor="background1"/>
              <w:bottom w:val="single" w:sz="4" w:space="0" w:color="FFFFFF" w:themeColor="background1"/>
            </w:tcBorders>
            <w:shd w:val="clear" w:color="auto" w:fill="E9E9E9"/>
            <w:vAlign w:val="center"/>
            <w:hideMark/>
          </w:tcPr>
          <w:p w14:paraId="71B7DFC3" w14:textId="77777777" w:rsidR="00331C36" w:rsidRPr="00331C36" w:rsidRDefault="00331C36" w:rsidP="00DE729C">
            <w:pPr>
              <w:pStyle w:val="Tablebodytextnospaceafter"/>
              <w:jc w:val="right"/>
            </w:pPr>
            <w:r w:rsidRPr="00331C36">
              <w:t>550</w:t>
            </w:r>
          </w:p>
        </w:tc>
        <w:tc>
          <w:tcPr>
            <w:tcW w:w="1748" w:type="pct"/>
            <w:tcBorders>
              <w:bottom w:val="single" w:sz="4" w:space="0" w:color="FFFFFF" w:themeColor="background1"/>
            </w:tcBorders>
            <w:hideMark/>
          </w:tcPr>
          <w:p w14:paraId="36102591" w14:textId="77777777" w:rsidR="00331C36" w:rsidRDefault="00331C36" w:rsidP="00DE729C">
            <w:pPr>
              <w:pStyle w:val="Tablebodytextnospaceafter"/>
              <w:cnfStyle w:val="000000100000" w:firstRow="0" w:lastRow="0" w:firstColumn="0" w:lastColumn="0" w:oddVBand="0" w:evenVBand="0" w:oddHBand="1" w:evenHBand="0" w:firstRowFirstColumn="0" w:firstRowLastColumn="0" w:lastRowFirstColumn="0" w:lastRowLastColumn="0"/>
            </w:pPr>
            <w:r>
              <w:t>Intangible assets – software</w:t>
            </w:r>
          </w:p>
        </w:tc>
        <w:tc>
          <w:tcPr>
            <w:tcW w:w="667" w:type="pct"/>
            <w:tcBorders>
              <w:bottom w:val="single" w:sz="4" w:space="0" w:color="FFFFFF" w:themeColor="background1"/>
            </w:tcBorders>
          </w:tcPr>
          <w:p w14:paraId="247DEA8B" w14:textId="044F4F6E" w:rsidR="00331C36" w:rsidRPr="00056408" w:rsidRDefault="00056408"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rPr>
            </w:pPr>
            <w:r w:rsidRPr="00056408">
              <w:rPr>
                <w:rStyle w:val="Emphasis"/>
                <w:b w:val="0"/>
              </w:rPr>
              <w:t>605</w:t>
            </w:r>
          </w:p>
        </w:tc>
        <w:tc>
          <w:tcPr>
            <w:tcW w:w="667" w:type="pct"/>
            <w:tcBorders>
              <w:bottom w:val="single" w:sz="4" w:space="0" w:color="FFFFFF" w:themeColor="background1"/>
            </w:tcBorders>
            <w:vAlign w:val="center"/>
          </w:tcPr>
          <w:p w14:paraId="0D9B9930"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532</w:t>
            </w:r>
          </w:p>
        </w:tc>
        <w:tc>
          <w:tcPr>
            <w:tcW w:w="667" w:type="pct"/>
            <w:tcBorders>
              <w:bottom w:val="single" w:sz="4" w:space="0" w:color="FFFFFF" w:themeColor="background1"/>
            </w:tcBorders>
            <w:vAlign w:val="center"/>
          </w:tcPr>
          <w:p w14:paraId="25506CE1"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604</w:t>
            </w:r>
          </w:p>
        </w:tc>
        <w:tc>
          <w:tcPr>
            <w:tcW w:w="666" w:type="pct"/>
            <w:tcBorders>
              <w:bottom w:val="single" w:sz="4" w:space="0" w:color="FFFFFF" w:themeColor="background1"/>
            </w:tcBorders>
            <w:vAlign w:val="center"/>
          </w:tcPr>
          <w:p w14:paraId="196DAE2F"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604</w:t>
            </w:r>
          </w:p>
        </w:tc>
      </w:tr>
      <w:tr w:rsidR="00056408" w14:paraId="15F5D137" w14:textId="77777777" w:rsidTr="00056408">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85" w:type="pct"/>
            <w:tcBorders>
              <w:top w:val="single" w:sz="4" w:space="0" w:color="FFFFFF" w:themeColor="background1"/>
              <w:bottom w:val="single" w:sz="4" w:space="0" w:color="FFFFFF" w:themeColor="background1"/>
            </w:tcBorders>
            <w:vAlign w:val="center"/>
            <w:hideMark/>
          </w:tcPr>
          <w:p w14:paraId="25FDE9E4" w14:textId="77777777" w:rsidR="00056408" w:rsidRPr="00980877" w:rsidRDefault="00056408" w:rsidP="00056408">
            <w:pPr>
              <w:pStyle w:val="Tablebodytextnospaceafter"/>
              <w:jc w:val="right"/>
              <w:rPr>
                <w:u w:val="single"/>
              </w:rPr>
            </w:pPr>
            <w:r>
              <w:rPr>
                <w:rStyle w:val="Emphasis"/>
                <w:u w:val="single"/>
              </w:rPr>
              <w:t>1,426</w:t>
            </w:r>
          </w:p>
        </w:tc>
        <w:tc>
          <w:tcPr>
            <w:tcW w:w="1748" w:type="pct"/>
            <w:tcBorders>
              <w:top w:val="single" w:sz="4" w:space="0" w:color="FFFFFF" w:themeColor="background1"/>
              <w:bottom w:val="single" w:sz="4" w:space="0" w:color="FFFFFF" w:themeColor="background1"/>
            </w:tcBorders>
            <w:shd w:val="clear" w:color="auto" w:fill="BFBFBF"/>
            <w:hideMark/>
          </w:tcPr>
          <w:p w14:paraId="19029A89" w14:textId="77777777" w:rsidR="00056408" w:rsidRDefault="00056408" w:rsidP="00056408">
            <w:pPr>
              <w:pStyle w:val="Tablebodytextnospaceafter"/>
              <w:cnfStyle w:val="000000010000" w:firstRow="0" w:lastRow="0" w:firstColumn="0" w:lastColumn="0" w:oddVBand="0" w:evenVBand="0" w:oddHBand="0" w:evenHBand="1" w:firstRowFirstColumn="0" w:firstRowLastColumn="0" w:lastRowFirstColumn="0" w:lastRowLastColumn="0"/>
            </w:pPr>
            <w:r>
              <w:t>Total depreciation and amortisation</w:t>
            </w:r>
          </w:p>
        </w:tc>
        <w:tc>
          <w:tcPr>
            <w:tcW w:w="667" w:type="pct"/>
            <w:tcBorders>
              <w:top w:val="single" w:sz="4" w:space="0" w:color="FFFFFF" w:themeColor="background1"/>
              <w:bottom w:val="single" w:sz="4" w:space="0" w:color="FFFFFF" w:themeColor="background1"/>
            </w:tcBorders>
            <w:shd w:val="clear" w:color="auto" w:fill="BFBFBF"/>
            <w:vAlign w:val="center"/>
          </w:tcPr>
          <w:p w14:paraId="13EF30EB" w14:textId="467D9472" w:rsidR="00056408" w:rsidRDefault="00056408" w:rsidP="00056408">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u w:val="single"/>
              </w:rPr>
            </w:pPr>
            <w:r>
              <w:rPr>
                <w:b/>
                <w:u w:val="single"/>
              </w:rPr>
              <w:t>1,457</w:t>
            </w:r>
          </w:p>
        </w:tc>
        <w:tc>
          <w:tcPr>
            <w:tcW w:w="667" w:type="pct"/>
            <w:tcBorders>
              <w:top w:val="single" w:sz="4" w:space="0" w:color="FFFFFF" w:themeColor="background1"/>
              <w:bottom w:val="single" w:sz="4" w:space="0" w:color="FFFFFF" w:themeColor="background1"/>
            </w:tcBorders>
            <w:shd w:val="clear" w:color="auto" w:fill="BFBFBF"/>
            <w:vAlign w:val="center"/>
          </w:tcPr>
          <w:p w14:paraId="5A347538" w14:textId="77777777" w:rsidR="00056408" w:rsidRPr="00980877" w:rsidRDefault="00056408" w:rsidP="0005640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1,773</w:t>
            </w:r>
          </w:p>
        </w:tc>
        <w:tc>
          <w:tcPr>
            <w:tcW w:w="667" w:type="pct"/>
            <w:tcBorders>
              <w:top w:val="single" w:sz="4" w:space="0" w:color="FFFFFF" w:themeColor="background1"/>
              <w:bottom w:val="single" w:sz="4" w:space="0" w:color="FFFFFF" w:themeColor="background1"/>
            </w:tcBorders>
            <w:shd w:val="clear" w:color="auto" w:fill="BFBFBF"/>
            <w:vAlign w:val="center"/>
          </w:tcPr>
          <w:p w14:paraId="2981DAFC" w14:textId="77777777" w:rsidR="00056408" w:rsidRPr="00980877" w:rsidRDefault="00056408" w:rsidP="0005640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1,460</w:t>
            </w:r>
          </w:p>
        </w:tc>
        <w:tc>
          <w:tcPr>
            <w:tcW w:w="666" w:type="pct"/>
            <w:tcBorders>
              <w:top w:val="single" w:sz="4" w:space="0" w:color="FFFFFF" w:themeColor="background1"/>
              <w:bottom w:val="single" w:sz="4" w:space="0" w:color="FFFFFF" w:themeColor="background1"/>
              <w:right w:val="single" w:sz="4" w:space="0" w:color="FFFFFF" w:themeColor="background1"/>
            </w:tcBorders>
            <w:shd w:val="clear" w:color="auto" w:fill="BFBFBF"/>
            <w:vAlign w:val="center"/>
          </w:tcPr>
          <w:p w14:paraId="75BAAFC3" w14:textId="77777777" w:rsidR="00056408" w:rsidRPr="00980877" w:rsidRDefault="00056408" w:rsidP="00056408">
            <w:pPr>
              <w:pStyle w:val="Tablebodytextnospaceafter"/>
              <w:jc w:val="right"/>
              <w:cnfStyle w:val="000000010000" w:firstRow="0" w:lastRow="0" w:firstColumn="0" w:lastColumn="0" w:oddVBand="0" w:evenVBand="0" w:oddHBand="0" w:evenHBand="1" w:firstRowFirstColumn="0" w:firstRowLastColumn="0" w:lastRowFirstColumn="0" w:lastRowLastColumn="0"/>
              <w:rPr>
                <w:b/>
                <w:u w:val="single"/>
              </w:rPr>
            </w:pPr>
            <w:r>
              <w:rPr>
                <w:b/>
                <w:u w:val="single"/>
              </w:rPr>
              <w:t>1,460</w:t>
            </w:r>
          </w:p>
        </w:tc>
      </w:tr>
    </w:tbl>
    <w:p w14:paraId="4D43A7AE" w14:textId="16693F40" w:rsidR="00056408" w:rsidRDefault="00056408" w:rsidP="00056408">
      <w:pPr>
        <w:pStyle w:val="BodyText"/>
      </w:pPr>
      <w:r>
        <w:t xml:space="preserve">* Unaudited. </w:t>
      </w:r>
    </w:p>
    <w:p w14:paraId="77A80F76" w14:textId="369A01CB" w:rsidR="00183B0A" w:rsidRDefault="00183B0A" w:rsidP="00032F1F">
      <w:pPr>
        <w:pStyle w:val="Heading3"/>
      </w:pPr>
      <w:r>
        <w:t xml:space="preserve">5. Capital charge </w:t>
      </w:r>
    </w:p>
    <w:p w14:paraId="600154E4" w14:textId="77777777" w:rsidR="00331C36" w:rsidRDefault="00331C36" w:rsidP="00331C36">
      <w:pPr>
        <w:pStyle w:val="BodyText"/>
      </w:pPr>
      <w:r>
        <w:t xml:space="preserve">The Office pays a capital charge to the Crown on its taxpayers’ funds as </w:t>
      </w:r>
      <w:proofErr w:type="gramStart"/>
      <w:r>
        <w:t>at</w:t>
      </w:r>
      <w:proofErr w:type="gramEnd"/>
      <w:r>
        <w:t xml:space="preserve"> 30 June and 31 December each year. The capital charge is recognised as an expense in the financial year to which the charge relates. </w:t>
      </w:r>
    </w:p>
    <w:p w14:paraId="2B867348" w14:textId="3478335E" w:rsidR="00331C36" w:rsidRPr="00331C36" w:rsidRDefault="00331C36" w:rsidP="00331C36">
      <w:pPr>
        <w:pStyle w:val="BodyText"/>
      </w:pPr>
      <w:r>
        <w:t xml:space="preserve">The capital charge rate was </w:t>
      </w:r>
      <w:r w:rsidRPr="005E686E">
        <w:t>5</w:t>
      </w:r>
      <w:r w:rsidR="000217DD">
        <w:t xml:space="preserve"> percent </w:t>
      </w:r>
      <w:r>
        <w:t xml:space="preserve">for the year ended 30 June 2026 (Year ended </w:t>
      </w:r>
      <w:r w:rsidR="0091732D">
        <w:t xml:space="preserve">30 June </w:t>
      </w:r>
      <w:r>
        <w:t>2025, 5</w:t>
      </w:r>
      <w:r w:rsidR="000217DD">
        <w:t xml:space="preserve"> percent).</w:t>
      </w:r>
    </w:p>
    <w:p w14:paraId="73C531EB" w14:textId="1776CE63" w:rsidR="00183B0A" w:rsidRDefault="00183B0A" w:rsidP="00032F1F">
      <w:pPr>
        <w:pStyle w:val="Heading3"/>
      </w:pPr>
      <w:r>
        <w:t xml:space="preserve">6. Other current assets </w:t>
      </w:r>
    </w:p>
    <w:tbl>
      <w:tblPr>
        <w:tblStyle w:val="TableGridAnnualReport14"/>
        <w:tblW w:w="9356" w:type="dxa"/>
        <w:tblInd w:w="-10" w:type="dxa"/>
        <w:tblLayout w:type="fixed"/>
        <w:tblLook w:val="04A0" w:firstRow="1" w:lastRow="0" w:firstColumn="1" w:lastColumn="0" w:noHBand="0" w:noVBand="1"/>
      </w:tblPr>
      <w:tblGrid>
        <w:gridCol w:w="1134"/>
        <w:gridCol w:w="3227"/>
        <w:gridCol w:w="1248"/>
        <w:gridCol w:w="1249"/>
        <w:gridCol w:w="1249"/>
        <w:gridCol w:w="1249"/>
      </w:tblGrid>
      <w:tr w:rsidR="00331C36" w14:paraId="4675F869" w14:textId="77777777" w:rsidTr="00B1665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34" w:type="dxa"/>
            <w:shd w:val="clear" w:color="auto" w:fill="017E5D"/>
            <w:hideMark/>
          </w:tcPr>
          <w:p w14:paraId="07BB56DA" w14:textId="77777777" w:rsidR="00331C36" w:rsidRDefault="00331C36" w:rsidP="00DE729C">
            <w:pPr>
              <w:pStyle w:val="Tableheadingrow1"/>
              <w:jc w:val="right"/>
            </w:pPr>
            <w:r>
              <w:t>Actual</w:t>
            </w:r>
            <w:r>
              <w:br/>
              <w:t>2024/25</w:t>
            </w:r>
            <w:r>
              <w:br/>
            </w:r>
          </w:p>
          <w:p w14:paraId="38FFA105" w14:textId="77777777" w:rsidR="00331C36" w:rsidRDefault="00331C36" w:rsidP="00DE729C">
            <w:pPr>
              <w:pStyle w:val="Tableheadingrow1"/>
              <w:jc w:val="right"/>
            </w:pPr>
            <w:r>
              <w:br/>
              <w:t>$(000)</w:t>
            </w:r>
          </w:p>
        </w:tc>
        <w:tc>
          <w:tcPr>
            <w:tcW w:w="3227" w:type="dxa"/>
            <w:shd w:val="clear" w:color="auto" w:fill="017E5D"/>
          </w:tcPr>
          <w:p w14:paraId="41D0FCA8"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p>
        </w:tc>
        <w:tc>
          <w:tcPr>
            <w:tcW w:w="1248" w:type="dxa"/>
            <w:shd w:val="clear" w:color="auto" w:fill="017E5D"/>
            <w:hideMark/>
          </w:tcPr>
          <w:p w14:paraId="09798995"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r>
              <w:t>Actual</w:t>
            </w:r>
            <w:r>
              <w:br/>
              <w:t>2025/26</w:t>
            </w:r>
            <w:r>
              <w:br/>
            </w:r>
          </w:p>
          <w:p w14:paraId="169FD6B9"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r>
              <w:br/>
              <w:t>$(000)</w:t>
            </w:r>
          </w:p>
        </w:tc>
        <w:tc>
          <w:tcPr>
            <w:tcW w:w="1249" w:type="dxa"/>
            <w:shd w:val="clear" w:color="auto" w:fill="017E5D"/>
            <w:hideMark/>
          </w:tcPr>
          <w:p w14:paraId="0CFD3686"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r>
              <w:t>Main Estimates</w:t>
            </w:r>
          </w:p>
          <w:p w14:paraId="692178CF" w14:textId="7FA8D20E"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r>
              <w:t>2025/26</w:t>
            </w:r>
            <w:r w:rsidR="00056408">
              <w:t>*</w:t>
            </w:r>
            <w:r>
              <w:br/>
            </w:r>
          </w:p>
          <w:p w14:paraId="44249E00"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r>
              <w:t>$(000)</w:t>
            </w:r>
          </w:p>
        </w:tc>
        <w:tc>
          <w:tcPr>
            <w:tcW w:w="1249" w:type="dxa"/>
            <w:shd w:val="clear" w:color="auto" w:fill="017E5D"/>
            <w:hideMark/>
          </w:tcPr>
          <w:p w14:paraId="4BCE490E" w14:textId="60A064AD"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r>
              <w:t>Supp. Estimates</w:t>
            </w:r>
            <w:r>
              <w:br/>
              <w:t>2025/26</w:t>
            </w:r>
            <w:r w:rsidR="00056408">
              <w:t>*</w:t>
            </w:r>
            <w:r>
              <w:br/>
            </w:r>
          </w:p>
          <w:p w14:paraId="43D57CDF"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r>
              <w:t>$(000)</w:t>
            </w:r>
          </w:p>
        </w:tc>
        <w:tc>
          <w:tcPr>
            <w:tcW w:w="1249" w:type="dxa"/>
            <w:shd w:val="clear" w:color="auto" w:fill="017E5D"/>
            <w:hideMark/>
          </w:tcPr>
          <w:p w14:paraId="7024483B" w14:textId="20E49A3C"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r>
              <w:t>Main Estimates</w:t>
            </w:r>
            <w:r>
              <w:br/>
              <w:t>2026/27</w:t>
            </w:r>
            <w:r w:rsidR="00056408">
              <w:t>*</w:t>
            </w:r>
          </w:p>
          <w:p w14:paraId="3AF3FBBE"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p>
          <w:p w14:paraId="3D0D68B0" w14:textId="77777777" w:rsidR="00331C36" w:rsidRDefault="00331C36" w:rsidP="00DE729C">
            <w:pPr>
              <w:pStyle w:val="Tableheadingrow1"/>
              <w:jc w:val="right"/>
              <w:cnfStyle w:val="100000000000" w:firstRow="1" w:lastRow="0" w:firstColumn="0" w:lastColumn="0" w:oddVBand="0" w:evenVBand="0" w:oddHBand="0" w:evenHBand="0" w:firstRowFirstColumn="0" w:firstRowLastColumn="0" w:lastRowFirstColumn="0" w:lastRowLastColumn="0"/>
            </w:pPr>
            <w:r>
              <w:t>$(000)</w:t>
            </w:r>
          </w:p>
        </w:tc>
      </w:tr>
      <w:tr w:rsidR="00331C36" w14:paraId="28034C58" w14:textId="77777777" w:rsidTr="00B1665E">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34" w:type="dxa"/>
            <w:tcBorders>
              <w:bottom w:val="single" w:sz="8" w:space="0" w:color="FFFFFF" w:themeColor="background1"/>
            </w:tcBorders>
            <w:shd w:val="clear" w:color="auto" w:fill="E9E9E9"/>
            <w:vAlign w:val="center"/>
            <w:hideMark/>
          </w:tcPr>
          <w:p w14:paraId="36C7B122" w14:textId="77777777" w:rsidR="00331C36" w:rsidRDefault="00331C36" w:rsidP="00DE729C">
            <w:pPr>
              <w:pStyle w:val="Tablebodytextnospaceafter"/>
              <w:jc w:val="right"/>
            </w:pPr>
            <w:r>
              <w:t>-</w:t>
            </w:r>
          </w:p>
        </w:tc>
        <w:tc>
          <w:tcPr>
            <w:tcW w:w="3227" w:type="dxa"/>
            <w:hideMark/>
          </w:tcPr>
          <w:p w14:paraId="25E328CA" w14:textId="77777777" w:rsidR="00331C36" w:rsidRDefault="00331C36" w:rsidP="00DE729C">
            <w:pPr>
              <w:pStyle w:val="Tablebodytextnospaceafter"/>
              <w:cnfStyle w:val="000000100000" w:firstRow="0" w:lastRow="0" w:firstColumn="0" w:lastColumn="0" w:oddVBand="0" w:evenVBand="0" w:oddHBand="1" w:evenHBand="0" w:firstRowFirstColumn="0" w:firstRowLastColumn="0" w:lastRowFirstColumn="0" w:lastRowLastColumn="0"/>
            </w:pPr>
            <w:r>
              <w:t>Receivables</w:t>
            </w:r>
          </w:p>
        </w:tc>
        <w:tc>
          <w:tcPr>
            <w:tcW w:w="1248" w:type="dxa"/>
            <w:vAlign w:val="center"/>
          </w:tcPr>
          <w:p w14:paraId="16A09325" w14:textId="7E80FD71" w:rsidR="00331C36" w:rsidRPr="00056408" w:rsidRDefault="00056408"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b w:val="0"/>
                <w:bCs w:val="0"/>
              </w:rPr>
            </w:pPr>
            <w:r w:rsidRPr="00056408">
              <w:rPr>
                <w:rStyle w:val="Emphasis"/>
                <w:b w:val="0"/>
                <w:bCs w:val="0"/>
              </w:rPr>
              <w:t>19</w:t>
            </w:r>
          </w:p>
        </w:tc>
        <w:tc>
          <w:tcPr>
            <w:tcW w:w="1249" w:type="dxa"/>
            <w:vAlign w:val="center"/>
            <w:hideMark/>
          </w:tcPr>
          <w:p w14:paraId="2939AA0A"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1249" w:type="dxa"/>
            <w:vAlign w:val="center"/>
            <w:hideMark/>
          </w:tcPr>
          <w:p w14:paraId="243D12EF"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c>
          <w:tcPr>
            <w:tcW w:w="1249" w:type="dxa"/>
            <w:vAlign w:val="center"/>
          </w:tcPr>
          <w:p w14:paraId="560C115F" w14:textId="77777777" w:rsidR="00331C36"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pPr>
            <w:r>
              <w:t>-</w:t>
            </w:r>
          </w:p>
        </w:tc>
      </w:tr>
      <w:tr w:rsidR="00331C36" w14:paraId="589CF273" w14:textId="77777777" w:rsidTr="00B1665E">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FFFFFF" w:themeColor="background1"/>
              <w:bottom w:val="single" w:sz="4" w:space="0" w:color="FFFFFF" w:themeColor="background1"/>
            </w:tcBorders>
            <w:shd w:val="clear" w:color="auto" w:fill="E9E9E9"/>
            <w:vAlign w:val="center"/>
            <w:hideMark/>
          </w:tcPr>
          <w:p w14:paraId="219495DA" w14:textId="77777777" w:rsidR="00331C36" w:rsidRDefault="00331C36" w:rsidP="00DE729C">
            <w:pPr>
              <w:pStyle w:val="Tablebodytextnospaceafter"/>
              <w:jc w:val="right"/>
            </w:pPr>
            <w:r>
              <w:t>510</w:t>
            </w:r>
          </w:p>
        </w:tc>
        <w:tc>
          <w:tcPr>
            <w:tcW w:w="3227" w:type="dxa"/>
            <w:tcBorders>
              <w:bottom w:val="single" w:sz="4" w:space="0" w:color="FFFFFF" w:themeColor="background1"/>
            </w:tcBorders>
            <w:hideMark/>
          </w:tcPr>
          <w:p w14:paraId="5C45836B" w14:textId="77777777" w:rsidR="00331C36" w:rsidRDefault="00331C36" w:rsidP="00DE729C">
            <w:pPr>
              <w:pStyle w:val="Tablebodytextnospaceafter"/>
              <w:cnfStyle w:val="000000010000" w:firstRow="0" w:lastRow="0" w:firstColumn="0" w:lastColumn="0" w:oddVBand="0" w:evenVBand="0" w:oddHBand="0" w:evenHBand="1" w:firstRowFirstColumn="0" w:firstRowLastColumn="0" w:lastRowFirstColumn="0" w:lastRowLastColumn="0"/>
            </w:pPr>
            <w:r>
              <w:t xml:space="preserve">Prepayments </w:t>
            </w:r>
          </w:p>
        </w:tc>
        <w:tc>
          <w:tcPr>
            <w:tcW w:w="1248" w:type="dxa"/>
            <w:tcBorders>
              <w:bottom w:val="single" w:sz="4" w:space="0" w:color="FFFFFF" w:themeColor="background1"/>
            </w:tcBorders>
          </w:tcPr>
          <w:p w14:paraId="71CF74B0" w14:textId="0170E1C5" w:rsidR="00331C36" w:rsidRPr="00056408" w:rsidRDefault="00056408" w:rsidP="00DE729C">
            <w:pPr>
              <w:pStyle w:val="Tablebodytextnospaceafter"/>
              <w:jc w:val="right"/>
              <w:cnfStyle w:val="000000010000" w:firstRow="0" w:lastRow="0" w:firstColumn="0" w:lastColumn="0" w:oddVBand="0" w:evenVBand="0" w:oddHBand="0" w:evenHBand="1" w:firstRowFirstColumn="0" w:firstRowLastColumn="0" w:lastRowFirstColumn="0" w:lastRowLastColumn="0"/>
              <w:rPr>
                <w:rStyle w:val="Emphasis"/>
                <w:b w:val="0"/>
                <w:bCs w:val="0"/>
              </w:rPr>
            </w:pPr>
            <w:r w:rsidRPr="00056408">
              <w:rPr>
                <w:rStyle w:val="Emphasis"/>
                <w:b w:val="0"/>
                <w:bCs w:val="0"/>
              </w:rPr>
              <w:t>743</w:t>
            </w:r>
          </w:p>
        </w:tc>
        <w:tc>
          <w:tcPr>
            <w:tcW w:w="1249" w:type="dxa"/>
            <w:tcBorders>
              <w:bottom w:val="single" w:sz="4" w:space="0" w:color="FFFFFF" w:themeColor="background1"/>
            </w:tcBorders>
            <w:vAlign w:val="center"/>
            <w:hideMark/>
          </w:tcPr>
          <w:p w14:paraId="3EBC7574"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491</w:t>
            </w:r>
          </w:p>
        </w:tc>
        <w:tc>
          <w:tcPr>
            <w:tcW w:w="1249" w:type="dxa"/>
            <w:tcBorders>
              <w:bottom w:val="single" w:sz="4" w:space="0" w:color="FFFFFF" w:themeColor="background1"/>
            </w:tcBorders>
            <w:vAlign w:val="center"/>
            <w:hideMark/>
          </w:tcPr>
          <w:p w14:paraId="5EF2C42C"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545</w:t>
            </w:r>
          </w:p>
        </w:tc>
        <w:tc>
          <w:tcPr>
            <w:tcW w:w="1249" w:type="dxa"/>
            <w:tcBorders>
              <w:bottom w:val="single" w:sz="4" w:space="0" w:color="FFFFFF" w:themeColor="background1"/>
            </w:tcBorders>
            <w:vAlign w:val="center"/>
          </w:tcPr>
          <w:p w14:paraId="225CAE71" w14:textId="77777777" w:rsidR="00331C36" w:rsidRDefault="00331C36" w:rsidP="00DE729C">
            <w:pPr>
              <w:pStyle w:val="Tablebodytextnospaceafter"/>
              <w:jc w:val="right"/>
              <w:cnfStyle w:val="000000010000" w:firstRow="0" w:lastRow="0" w:firstColumn="0" w:lastColumn="0" w:oddVBand="0" w:evenVBand="0" w:oddHBand="0" w:evenHBand="1" w:firstRowFirstColumn="0" w:firstRowLastColumn="0" w:lastRowFirstColumn="0" w:lastRowLastColumn="0"/>
            </w:pPr>
            <w:r>
              <w:t>545</w:t>
            </w:r>
          </w:p>
        </w:tc>
      </w:tr>
      <w:tr w:rsidR="00331C36" w14:paraId="61E7F147" w14:textId="77777777" w:rsidTr="00B1665E">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FFFFFF" w:themeColor="background1"/>
              <w:bottom w:val="single" w:sz="4" w:space="0" w:color="FFFFFF" w:themeColor="background1"/>
            </w:tcBorders>
            <w:vAlign w:val="center"/>
            <w:hideMark/>
          </w:tcPr>
          <w:p w14:paraId="180E17F9" w14:textId="77777777" w:rsidR="00331C36" w:rsidRPr="00980877" w:rsidRDefault="00331C36" w:rsidP="00DE729C">
            <w:pPr>
              <w:pStyle w:val="Tablebodytextnospaceafter"/>
              <w:jc w:val="right"/>
              <w:rPr>
                <w:u w:val="single"/>
              </w:rPr>
            </w:pPr>
            <w:r>
              <w:rPr>
                <w:rStyle w:val="Emphasis"/>
                <w:u w:val="single"/>
              </w:rPr>
              <w:t>510</w:t>
            </w:r>
          </w:p>
        </w:tc>
        <w:tc>
          <w:tcPr>
            <w:tcW w:w="3227" w:type="dxa"/>
            <w:tcBorders>
              <w:top w:val="single" w:sz="4" w:space="0" w:color="FFFFFF" w:themeColor="background1"/>
              <w:bottom w:val="single" w:sz="4" w:space="0" w:color="FFFFFF" w:themeColor="background1"/>
            </w:tcBorders>
            <w:shd w:val="clear" w:color="auto" w:fill="BFBFBF"/>
            <w:hideMark/>
          </w:tcPr>
          <w:p w14:paraId="6FBA5809" w14:textId="77777777" w:rsidR="00331C36" w:rsidRDefault="00331C36" w:rsidP="00DE729C">
            <w:pPr>
              <w:pStyle w:val="Tablebodytextnospaceafter"/>
              <w:cnfStyle w:val="000000100000" w:firstRow="0" w:lastRow="0" w:firstColumn="0" w:lastColumn="0" w:oddVBand="0" w:evenVBand="0" w:oddHBand="1" w:evenHBand="0" w:firstRowFirstColumn="0" w:firstRowLastColumn="0" w:lastRowFirstColumn="0" w:lastRowLastColumn="0"/>
            </w:pPr>
            <w:r>
              <w:t>Total receivables</w:t>
            </w:r>
          </w:p>
        </w:tc>
        <w:tc>
          <w:tcPr>
            <w:tcW w:w="1248" w:type="dxa"/>
            <w:tcBorders>
              <w:top w:val="single" w:sz="4" w:space="0" w:color="FFFFFF" w:themeColor="background1"/>
              <w:bottom w:val="single" w:sz="4" w:space="0" w:color="FFFFFF" w:themeColor="background1"/>
            </w:tcBorders>
            <w:shd w:val="clear" w:color="auto" w:fill="BFBFBF"/>
          </w:tcPr>
          <w:p w14:paraId="5AD05465" w14:textId="52EE0EE3" w:rsidR="00331C36" w:rsidRDefault="00056408"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rStyle w:val="Emphasis"/>
                <w:u w:val="single"/>
              </w:rPr>
            </w:pPr>
            <w:r>
              <w:rPr>
                <w:rStyle w:val="Emphasis"/>
                <w:u w:val="single"/>
              </w:rPr>
              <w:t>762</w:t>
            </w:r>
          </w:p>
        </w:tc>
        <w:tc>
          <w:tcPr>
            <w:tcW w:w="1249" w:type="dxa"/>
            <w:tcBorders>
              <w:top w:val="single" w:sz="4" w:space="0" w:color="FFFFFF" w:themeColor="background1"/>
              <w:bottom w:val="single" w:sz="4" w:space="0" w:color="FFFFFF" w:themeColor="background1"/>
            </w:tcBorders>
            <w:shd w:val="clear" w:color="auto" w:fill="BFBFBF"/>
            <w:vAlign w:val="center"/>
            <w:hideMark/>
          </w:tcPr>
          <w:p w14:paraId="05427BBD" w14:textId="77777777" w:rsidR="00331C36" w:rsidRPr="00980877"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b/>
              </w:rPr>
            </w:pPr>
            <w:r>
              <w:rPr>
                <w:b/>
                <w:u w:val="single"/>
              </w:rPr>
              <w:t>491</w:t>
            </w:r>
          </w:p>
        </w:tc>
        <w:tc>
          <w:tcPr>
            <w:tcW w:w="1249" w:type="dxa"/>
            <w:tcBorders>
              <w:top w:val="single" w:sz="4" w:space="0" w:color="FFFFFF" w:themeColor="background1"/>
              <w:bottom w:val="single" w:sz="4" w:space="0" w:color="FFFFFF" w:themeColor="background1"/>
            </w:tcBorders>
            <w:shd w:val="clear" w:color="auto" w:fill="BFBFBF"/>
            <w:vAlign w:val="center"/>
            <w:hideMark/>
          </w:tcPr>
          <w:p w14:paraId="6291BB5A" w14:textId="77777777" w:rsidR="00331C36" w:rsidRPr="00980877"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b/>
                <w:u w:val="single"/>
              </w:rPr>
            </w:pPr>
            <w:r>
              <w:rPr>
                <w:b/>
                <w:u w:val="single"/>
              </w:rPr>
              <w:t>545</w:t>
            </w:r>
          </w:p>
        </w:tc>
        <w:tc>
          <w:tcPr>
            <w:tcW w:w="1249" w:type="dxa"/>
            <w:tcBorders>
              <w:top w:val="single" w:sz="4" w:space="0" w:color="FFFFFF" w:themeColor="background1"/>
              <w:bottom w:val="single" w:sz="4" w:space="0" w:color="FFFFFF" w:themeColor="background1"/>
            </w:tcBorders>
            <w:shd w:val="clear" w:color="auto" w:fill="BFBFBF"/>
            <w:vAlign w:val="center"/>
          </w:tcPr>
          <w:p w14:paraId="0BCD66A8" w14:textId="77777777" w:rsidR="00331C36" w:rsidRPr="00980877" w:rsidRDefault="00331C36" w:rsidP="00DE729C">
            <w:pPr>
              <w:pStyle w:val="Tablebodytextnospaceafter"/>
              <w:jc w:val="right"/>
              <w:cnfStyle w:val="000000100000" w:firstRow="0" w:lastRow="0" w:firstColumn="0" w:lastColumn="0" w:oddVBand="0" w:evenVBand="0" w:oddHBand="1" w:evenHBand="0" w:firstRowFirstColumn="0" w:firstRowLastColumn="0" w:lastRowFirstColumn="0" w:lastRowLastColumn="0"/>
              <w:rPr>
                <w:b/>
                <w:u w:val="single"/>
              </w:rPr>
            </w:pPr>
            <w:r>
              <w:rPr>
                <w:b/>
                <w:u w:val="single"/>
              </w:rPr>
              <w:t>545</w:t>
            </w:r>
          </w:p>
        </w:tc>
      </w:tr>
    </w:tbl>
    <w:p w14:paraId="30009C18" w14:textId="34B34C14" w:rsidR="00331C36" w:rsidRPr="00331C36" w:rsidRDefault="00056408" w:rsidP="00331C36">
      <w:pPr>
        <w:pStyle w:val="BodyText"/>
      </w:pPr>
      <w:r>
        <w:t xml:space="preserve">* Unaudited. </w:t>
      </w:r>
    </w:p>
    <w:p w14:paraId="5E0BECA5" w14:textId="27FE0C32" w:rsidR="00183B0A" w:rsidRDefault="00183B0A" w:rsidP="00032F1F">
      <w:pPr>
        <w:pStyle w:val="Heading3"/>
      </w:pPr>
      <w:r>
        <w:t xml:space="preserve">7. Property, plant, and equipment </w:t>
      </w:r>
    </w:p>
    <w:p w14:paraId="5E83E529" w14:textId="04FB4564" w:rsidR="004A497F" w:rsidRPr="004A497F" w:rsidRDefault="004A497F" w:rsidP="004A497F">
      <w:pPr>
        <w:pStyle w:val="BodyText"/>
      </w:pPr>
      <w:r>
        <w:t>Movements for each class of property, plant, and equipment are set out below.</w:t>
      </w:r>
    </w:p>
    <w:tbl>
      <w:tblPr>
        <w:tblStyle w:val="TableGridAnnualReport131"/>
        <w:tblW w:w="9356" w:type="dxa"/>
        <w:tblInd w:w="-20" w:type="dxa"/>
        <w:tblLayout w:type="fixed"/>
        <w:tblLook w:val="04A0" w:firstRow="1" w:lastRow="0" w:firstColumn="1" w:lastColumn="0" w:noHBand="0" w:noVBand="1"/>
      </w:tblPr>
      <w:tblGrid>
        <w:gridCol w:w="2684"/>
        <w:gridCol w:w="1283"/>
        <w:gridCol w:w="1572"/>
        <w:gridCol w:w="1275"/>
        <w:gridCol w:w="1400"/>
        <w:gridCol w:w="1132"/>
        <w:gridCol w:w="10"/>
      </w:tblGrid>
      <w:tr w:rsidR="009E4F6D" w14:paraId="560F13B3" w14:textId="77777777" w:rsidTr="001D57B0">
        <w:trPr>
          <w:cnfStyle w:val="100000000000" w:firstRow="1" w:lastRow="0" w:firstColumn="0" w:lastColumn="0" w:oddVBand="0" w:evenVBand="0" w:oddHBand="0"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684" w:type="dxa"/>
            <w:shd w:val="clear" w:color="auto" w:fill="017E5D"/>
            <w:vAlign w:val="center"/>
            <w:hideMark/>
          </w:tcPr>
          <w:p w14:paraId="0F6C0668" w14:textId="0B017CBF" w:rsidR="009E4F6D" w:rsidRDefault="009E4F6D" w:rsidP="00A07A0C">
            <w:pPr>
              <w:keepNext/>
              <w:spacing w:before="60" w:after="60" w:line="240" w:lineRule="auto"/>
              <w:rPr>
                <w:color w:val="FFFFFF" w:themeColor="background1"/>
              </w:rPr>
            </w:pPr>
            <w:bookmarkStart w:id="100" w:name="_Hlk238736322"/>
            <w:r>
              <w:rPr>
                <w:color w:val="FFFFFF" w:themeColor="background1"/>
                <w:sz w:val="22"/>
              </w:rPr>
              <w:t>2026</w:t>
            </w:r>
          </w:p>
        </w:tc>
        <w:tc>
          <w:tcPr>
            <w:tcW w:w="1283" w:type="dxa"/>
            <w:shd w:val="clear" w:color="auto" w:fill="017E5D"/>
            <w:vAlign w:val="bottom"/>
            <w:hideMark/>
          </w:tcPr>
          <w:p w14:paraId="3E3E7250" w14:textId="5E5D7B93" w:rsidR="009E4F6D" w:rsidRDefault="009E4F6D" w:rsidP="001D57B0">
            <w:pPr>
              <w:pStyle w:val="Tableheadingrow1"/>
              <w:cnfStyle w:val="100000000000" w:firstRow="1" w:lastRow="0" w:firstColumn="0" w:lastColumn="0" w:oddVBand="0" w:evenVBand="0" w:oddHBand="0" w:evenHBand="0" w:firstRowFirstColumn="0" w:firstRowLastColumn="0" w:lastRowFirstColumn="0" w:lastRowLastColumn="0"/>
            </w:pPr>
            <w:r>
              <w:rPr>
                <w:sz w:val="22"/>
              </w:rPr>
              <w:t>Plant &amp; equipment</w:t>
            </w:r>
            <w:r>
              <w:rPr>
                <w:sz w:val="22"/>
              </w:rPr>
              <w:br/>
              <w:t>$(000)</w:t>
            </w:r>
          </w:p>
        </w:tc>
        <w:tc>
          <w:tcPr>
            <w:tcW w:w="1572" w:type="dxa"/>
            <w:shd w:val="clear" w:color="auto" w:fill="017E5D"/>
            <w:vAlign w:val="bottom"/>
            <w:hideMark/>
          </w:tcPr>
          <w:p w14:paraId="7CB4392E" w14:textId="04C9A749" w:rsidR="009E4F6D" w:rsidRDefault="009E4F6D" w:rsidP="001D57B0">
            <w:pPr>
              <w:pStyle w:val="Tableheadingrow1"/>
              <w:cnfStyle w:val="100000000000" w:firstRow="1" w:lastRow="0" w:firstColumn="0" w:lastColumn="0" w:oddVBand="0" w:evenVBand="0" w:oddHBand="0" w:evenHBand="0" w:firstRowFirstColumn="0" w:firstRowLastColumn="0" w:lastRowFirstColumn="0" w:lastRowLastColumn="0"/>
            </w:pPr>
            <w:r>
              <w:rPr>
                <w:sz w:val="22"/>
              </w:rPr>
              <w:t>Leasehold improvements</w:t>
            </w:r>
            <w:r>
              <w:rPr>
                <w:sz w:val="22"/>
              </w:rPr>
              <w:br/>
              <w:t>$(000)</w:t>
            </w:r>
          </w:p>
        </w:tc>
        <w:tc>
          <w:tcPr>
            <w:tcW w:w="1275" w:type="dxa"/>
            <w:shd w:val="clear" w:color="auto" w:fill="017E5D"/>
            <w:vAlign w:val="bottom"/>
            <w:hideMark/>
          </w:tcPr>
          <w:p w14:paraId="644A7294" w14:textId="30106484" w:rsidR="009E4F6D" w:rsidRDefault="009E4F6D" w:rsidP="001D57B0">
            <w:pPr>
              <w:pStyle w:val="Tableheadingrow1"/>
              <w:cnfStyle w:val="100000000000" w:firstRow="1" w:lastRow="0" w:firstColumn="0" w:lastColumn="0" w:oddVBand="0" w:evenVBand="0" w:oddHBand="0" w:evenHBand="0" w:firstRowFirstColumn="0" w:firstRowLastColumn="0" w:lastRowFirstColumn="0" w:lastRowLastColumn="0"/>
            </w:pPr>
            <w:r>
              <w:rPr>
                <w:sz w:val="22"/>
              </w:rPr>
              <w:t>IT equipment</w:t>
            </w:r>
            <w:r>
              <w:rPr>
                <w:sz w:val="22"/>
              </w:rPr>
              <w:br/>
              <w:t>$(000)</w:t>
            </w:r>
          </w:p>
        </w:tc>
        <w:tc>
          <w:tcPr>
            <w:tcW w:w="1400" w:type="dxa"/>
            <w:shd w:val="clear" w:color="auto" w:fill="017E5D"/>
            <w:vAlign w:val="bottom"/>
            <w:hideMark/>
          </w:tcPr>
          <w:p w14:paraId="171A931A" w14:textId="4172F4D9" w:rsidR="009E4F6D" w:rsidRDefault="009E4F6D" w:rsidP="001D57B0">
            <w:pPr>
              <w:pStyle w:val="Tableheadingrow1"/>
              <w:cnfStyle w:val="100000000000" w:firstRow="1" w:lastRow="0" w:firstColumn="0" w:lastColumn="0" w:oddVBand="0" w:evenVBand="0" w:oddHBand="0" w:evenHBand="0" w:firstRowFirstColumn="0" w:firstRowLastColumn="0" w:lastRowFirstColumn="0" w:lastRowLastColumn="0"/>
            </w:pPr>
            <w:r>
              <w:rPr>
                <w:sz w:val="22"/>
              </w:rPr>
              <w:t>Furniture &amp; fittings</w:t>
            </w:r>
            <w:r>
              <w:rPr>
                <w:sz w:val="22"/>
              </w:rPr>
              <w:br/>
              <w:t>$(000)</w:t>
            </w:r>
          </w:p>
        </w:tc>
        <w:tc>
          <w:tcPr>
            <w:tcW w:w="1142" w:type="dxa"/>
            <w:gridSpan w:val="2"/>
            <w:shd w:val="clear" w:color="auto" w:fill="017E5D"/>
            <w:vAlign w:val="bottom"/>
            <w:hideMark/>
          </w:tcPr>
          <w:p w14:paraId="7189FF2B" w14:textId="0434CF93" w:rsidR="009E4F6D" w:rsidRDefault="009E4F6D" w:rsidP="001D57B0">
            <w:pPr>
              <w:pStyle w:val="Tableheadingrow1"/>
              <w:cnfStyle w:val="100000000000" w:firstRow="1" w:lastRow="0" w:firstColumn="0" w:lastColumn="0" w:oddVBand="0" w:evenVBand="0" w:oddHBand="0" w:evenHBand="0" w:firstRowFirstColumn="0" w:firstRowLastColumn="0" w:lastRowFirstColumn="0" w:lastRowLastColumn="0"/>
            </w:pPr>
            <w:r>
              <w:rPr>
                <w:sz w:val="22"/>
              </w:rPr>
              <w:t>Total</w:t>
            </w:r>
            <w:r>
              <w:rPr>
                <w:sz w:val="22"/>
              </w:rPr>
              <w:br/>
              <w:t>$(000)</w:t>
            </w:r>
          </w:p>
        </w:tc>
      </w:tr>
      <w:tr w:rsidR="001D57B0" w14:paraId="5F2EDDDE" w14:textId="77777777" w:rsidTr="001D57B0">
        <w:trPr>
          <w:gridAfter w:val="1"/>
          <w:cnfStyle w:val="000000100000" w:firstRow="0" w:lastRow="0" w:firstColumn="0" w:lastColumn="0" w:oddVBand="0" w:evenVBand="0" w:oddHBand="1" w:evenHBand="0" w:firstRowFirstColumn="0" w:firstRowLastColumn="0" w:lastRowFirstColumn="0" w:lastRowLastColumn="0"/>
          <w:wAfter w:w="10" w:type="dxa"/>
          <w:cantSplit/>
          <w:trHeight w:val="244"/>
        </w:trPr>
        <w:tc>
          <w:tcPr>
            <w:cnfStyle w:val="001000000000" w:firstRow="0" w:lastRow="0" w:firstColumn="1" w:lastColumn="0" w:oddVBand="0" w:evenVBand="0" w:oddHBand="0" w:evenHBand="0" w:firstRowFirstColumn="0" w:firstRowLastColumn="0" w:lastRowFirstColumn="0" w:lastRowLastColumn="0"/>
            <w:tcW w:w="2684" w:type="dxa"/>
            <w:tcBorders>
              <w:top w:val="single" w:sz="8" w:space="0" w:color="FFFFFF" w:themeColor="background1"/>
              <w:right w:val="single" w:sz="8" w:space="0" w:color="FFFFFF" w:themeColor="background1"/>
            </w:tcBorders>
            <w:hideMark/>
          </w:tcPr>
          <w:p w14:paraId="1B739644" w14:textId="77777777" w:rsidR="004A497F" w:rsidRDefault="004A497F" w:rsidP="00DE729C">
            <w:pPr>
              <w:spacing w:before="40" w:after="40"/>
              <w:rPr>
                <w:b/>
                <w:bCs/>
                <w:iCs/>
                <w:sz w:val="22"/>
              </w:rPr>
            </w:pPr>
            <w:r>
              <w:rPr>
                <w:b/>
                <w:bCs/>
                <w:iCs/>
                <w:sz w:val="22"/>
              </w:rPr>
              <w:t xml:space="preserve">Cost </w:t>
            </w:r>
          </w:p>
        </w:tc>
        <w:tc>
          <w:tcPr>
            <w:tcW w:w="1283" w:type="dxa"/>
            <w:shd w:val="clear" w:color="auto" w:fill="BFBFBF"/>
          </w:tcPr>
          <w:p w14:paraId="3C58792F"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572" w:type="dxa"/>
            <w:shd w:val="clear" w:color="auto" w:fill="BFBFBF"/>
          </w:tcPr>
          <w:p w14:paraId="292DC8AE"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275" w:type="dxa"/>
            <w:shd w:val="clear" w:color="auto" w:fill="BFBFBF"/>
          </w:tcPr>
          <w:p w14:paraId="5C78956C"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400" w:type="dxa"/>
            <w:shd w:val="clear" w:color="auto" w:fill="BFBFBF"/>
          </w:tcPr>
          <w:p w14:paraId="190944C0"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132" w:type="dxa"/>
            <w:shd w:val="clear" w:color="auto" w:fill="BFBFBF"/>
          </w:tcPr>
          <w:p w14:paraId="139F3E8A"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r>
      <w:tr w:rsidR="001D57B0" w14:paraId="4E4C8133" w14:textId="77777777" w:rsidTr="001D57B0">
        <w:trPr>
          <w:gridAfter w:val="1"/>
          <w:cnfStyle w:val="000000010000" w:firstRow="0" w:lastRow="0" w:firstColumn="0" w:lastColumn="0" w:oddVBand="0" w:evenVBand="0" w:oddHBand="0" w:evenHBand="1" w:firstRowFirstColumn="0" w:firstRowLastColumn="0" w:lastRowFirstColumn="0" w:lastRowLastColumn="0"/>
          <w:wAfter w:w="10" w:type="dxa"/>
          <w:cantSplit/>
          <w:trHeight w:val="225"/>
        </w:trPr>
        <w:tc>
          <w:tcPr>
            <w:cnfStyle w:val="001000000000" w:firstRow="0" w:lastRow="0" w:firstColumn="1" w:lastColumn="0" w:oddVBand="0" w:evenVBand="0" w:oddHBand="0" w:evenHBand="0" w:firstRowFirstColumn="0" w:firstRowLastColumn="0" w:lastRowFirstColumn="0" w:lastRowLastColumn="0"/>
            <w:tcW w:w="2684" w:type="dxa"/>
            <w:tcBorders>
              <w:top w:val="single" w:sz="4" w:space="0" w:color="FFFFFF" w:themeColor="background1"/>
              <w:bottom w:val="single" w:sz="8" w:space="0" w:color="FFFFFF" w:themeColor="background1"/>
            </w:tcBorders>
            <w:shd w:val="clear" w:color="auto" w:fill="E9E9E9"/>
            <w:hideMark/>
          </w:tcPr>
          <w:p w14:paraId="24026E28" w14:textId="77777777" w:rsidR="004A497F" w:rsidRDefault="004A497F" w:rsidP="00DE729C">
            <w:pPr>
              <w:spacing w:before="40" w:after="40"/>
              <w:rPr>
                <w:sz w:val="22"/>
              </w:rPr>
            </w:pPr>
            <w:r>
              <w:rPr>
                <w:sz w:val="22"/>
              </w:rPr>
              <w:t xml:space="preserve">Balance </w:t>
            </w:r>
            <w:proofErr w:type="gramStart"/>
            <w:r>
              <w:rPr>
                <w:sz w:val="22"/>
              </w:rPr>
              <w:t>at</w:t>
            </w:r>
            <w:proofErr w:type="gramEnd"/>
            <w:r>
              <w:rPr>
                <w:sz w:val="22"/>
              </w:rPr>
              <w:t xml:space="preserve"> 30 June 2025</w:t>
            </w:r>
          </w:p>
        </w:tc>
        <w:tc>
          <w:tcPr>
            <w:tcW w:w="1283" w:type="dxa"/>
            <w:vAlign w:val="center"/>
          </w:tcPr>
          <w:p w14:paraId="0C48CC93"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770</w:t>
            </w:r>
          </w:p>
        </w:tc>
        <w:tc>
          <w:tcPr>
            <w:tcW w:w="1572" w:type="dxa"/>
            <w:vAlign w:val="center"/>
          </w:tcPr>
          <w:p w14:paraId="5FDCE749"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2,080</w:t>
            </w:r>
          </w:p>
        </w:tc>
        <w:tc>
          <w:tcPr>
            <w:tcW w:w="1275" w:type="dxa"/>
            <w:vAlign w:val="center"/>
          </w:tcPr>
          <w:p w14:paraId="38A1CB17"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3,383</w:t>
            </w:r>
          </w:p>
        </w:tc>
        <w:tc>
          <w:tcPr>
            <w:tcW w:w="1400" w:type="dxa"/>
            <w:vAlign w:val="center"/>
          </w:tcPr>
          <w:p w14:paraId="31F8F697"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1,441</w:t>
            </w:r>
          </w:p>
        </w:tc>
        <w:tc>
          <w:tcPr>
            <w:tcW w:w="1132" w:type="dxa"/>
            <w:vAlign w:val="center"/>
          </w:tcPr>
          <w:p w14:paraId="3718D267"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7,674</w:t>
            </w:r>
          </w:p>
        </w:tc>
      </w:tr>
      <w:tr w:rsidR="001D57B0" w14:paraId="70E7D559" w14:textId="77777777" w:rsidTr="001D57B0">
        <w:trPr>
          <w:gridAfter w:val="1"/>
          <w:cnfStyle w:val="000000100000" w:firstRow="0" w:lastRow="0" w:firstColumn="0" w:lastColumn="0" w:oddVBand="0" w:evenVBand="0" w:oddHBand="1" w:evenHBand="0"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68055BD0" w14:textId="77777777" w:rsidR="004A497F" w:rsidRDefault="004A497F" w:rsidP="00DE729C">
            <w:pPr>
              <w:spacing w:before="40" w:after="40"/>
              <w:rPr>
                <w:sz w:val="22"/>
              </w:rPr>
            </w:pPr>
            <w:r>
              <w:rPr>
                <w:sz w:val="22"/>
              </w:rPr>
              <w:t>Additions</w:t>
            </w:r>
          </w:p>
        </w:tc>
        <w:tc>
          <w:tcPr>
            <w:tcW w:w="1283" w:type="dxa"/>
          </w:tcPr>
          <w:p w14:paraId="30A0360C" w14:textId="4AC34242" w:rsidR="004A497F" w:rsidRDefault="001D741E"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430</w:t>
            </w:r>
          </w:p>
        </w:tc>
        <w:tc>
          <w:tcPr>
            <w:tcW w:w="1572" w:type="dxa"/>
          </w:tcPr>
          <w:p w14:paraId="0D462B07" w14:textId="088999A2"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1,039</w:t>
            </w:r>
          </w:p>
        </w:tc>
        <w:tc>
          <w:tcPr>
            <w:tcW w:w="1275" w:type="dxa"/>
          </w:tcPr>
          <w:p w14:paraId="57ED55A7" w14:textId="0BEAE741"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140</w:t>
            </w:r>
          </w:p>
        </w:tc>
        <w:tc>
          <w:tcPr>
            <w:tcW w:w="1400" w:type="dxa"/>
          </w:tcPr>
          <w:p w14:paraId="46FBC4A7" w14:textId="5832DA87"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134</w:t>
            </w:r>
          </w:p>
        </w:tc>
        <w:tc>
          <w:tcPr>
            <w:tcW w:w="1132" w:type="dxa"/>
          </w:tcPr>
          <w:p w14:paraId="43B42478" w14:textId="68DEBCEB"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w:t>
            </w:r>
            <w:r w:rsidR="001D741E">
              <w:rPr>
                <w:sz w:val="22"/>
              </w:rPr>
              <w:t>743</w:t>
            </w:r>
          </w:p>
        </w:tc>
      </w:tr>
      <w:tr w:rsidR="001D57B0" w14:paraId="28E312EF" w14:textId="77777777" w:rsidTr="001D57B0">
        <w:trPr>
          <w:gridAfter w:val="1"/>
          <w:cnfStyle w:val="000000010000" w:firstRow="0" w:lastRow="0" w:firstColumn="0" w:lastColumn="0" w:oddVBand="0" w:evenVBand="0" w:oddHBand="0" w:evenHBand="1"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tcPr>
          <w:p w14:paraId="08F0BBA9" w14:textId="77777777" w:rsidR="004A497F" w:rsidRDefault="004A497F" w:rsidP="00DE729C">
            <w:pPr>
              <w:spacing w:before="40" w:after="40"/>
              <w:rPr>
                <w:sz w:val="22"/>
              </w:rPr>
            </w:pPr>
            <w:r>
              <w:rPr>
                <w:sz w:val="22"/>
              </w:rPr>
              <w:t>Reclassification of Asset</w:t>
            </w:r>
          </w:p>
        </w:tc>
        <w:tc>
          <w:tcPr>
            <w:tcW w:w="1283" w:type="dxa"/>
          </w:tcPr>
          <w:p w14:paraId="165BED7B" w14:textId="0B1CD52E"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572" w:type="dxa"/>
          </w:tcPr>
          <w:p w14:paraId="5FB24C2B" w14:textId="7B18084C"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275" w:type="dxa"/>
          </w:tcPr>
          <w:p w14:paraId="5620E835" w14:textId="548754D9"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400" w:type="dxa"/>
          </w:tcPr>
          <w:p w14:paraId="47792A3F" w14:textId="21CA8794"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132" w:type="dxa"/>
          </w:tcPr>
          <w:p w14:paraId="0E56896F" w14:textId="70013CED"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r>
      <w:tr w:rsidR="001D57B0" w14:paraId="3BE8B64C" w14:textId="77777777" w:rsidTr="001D57B0">
        <w:trPr>
          <w:gridAfter w:val="1"/>
          <w:cnfStyle w:val="000000100000" w:firstRow="0" w:lastRow="0" w:firstColumn="0" w:lastColumn="0" w:oddVBand="0" w:evenVBand="0" w:oddHBand="1" w:evenHBand="0"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4" w:space="0" w:color="FFFFFF" w:themeColor="background1"/>
            </w:tcBorders>
            <w:shd w:val="clear" w:color="auto" w:fill="E9E9E9"/>
            <w:hideMark/>
          </w:tcPr>
          <w:p w14:paraId="2A5A29BA" w14:textId="77777777" w:rsidR="004A497F" w:rsidRDefault="004A497F" w:rsidP="00DE729C">
            <w:pPr>
              <w:spacing w:before="40" w:after="40"/>
              <w:rPr>
                <w:sz w:val="22"/>
              </w:rPr>
            </w:pPr>
            <w:r>
              <w:rPr>
                <w:sz w:val="22"/>
              </w:rPr>
              <w:t>Disposals and write-offs</w:t>
            </w:r>
          </w:p>
        </w:tc>
        <w:tc>
          <w:tcPr>
            <w:tcW w:w="1283" w:type="dxa"/>
          </w:tcPr>
          <w:p w14:paraId="5FFF824F" w14:textId="660BD3B9"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572" w:type="dxa"/>
          </w:tcPr>
          <w:p w14:paraId="68370450" w14:textId="6D1FE93B"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5" w:type="dxa"/>
          </w:tcPr>
          <w:p w14:paraId="21AD5552" w14:textId="330E2587"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400" w:type="dxa"/>
          </w:tcPr>
          <w:p w14:paraId="11AEDF9E" w14:textId="404D2CF5"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132" w:type="dxa"/>
          </w:tcPr>
          <w:p w14:paraId="7CC5660B" w14:textId="367434A3"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1D57B0" w14:paraId="0C60D4E4" w14:textId="77777777" w:rsidTr="001D57B0">
        <w:trPr>
          <w:gridAfter w:val="1"/>
          <w:cnfStyle w:val="000000010000" w:firstRow="0" w:lastRow="0" w:firstColumn="0" w:lastColumn="0" w:oddVBand="0" w:evenVBand="0" w:oddHBand="0" w:evenHBand="1"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top w:val="single" w:sz="4" w:space="0" w:color="FFFFFF" w:themeColor="background1"/>
              <w:bottom w:val="single" w:sz="4" w:space="0" w:color="FFFFFF" w:themeColor="background1"/>
            </w:tcBorders>
            <w:hideMark/>
          </w:tcPr>
          <w:p w14:paraId="69A656A7" w14:textId="77777777" w:rsidR="004A497F" w:rsidRDefault="004A497F" w:rsidP="00DE729C">
            <w:pPr>
              <w:spacing w:before="40" w:after="40"/>
              <w:rPr>
                <w:b/>
                <w:bCs/>
                <w:iCs/>
                <w:sz w:val="22"/>
              </w:rPr>
            </w:pPr>
            <w:r>
              <w:rPr>
                <w:b/>
                <w:bCs/>
                <w:iCs/>
                <w:sz w:val="22"/>
              </w:rPr>
              <w:t xml:space="preserve">Balance </w:t>
            </w:r>
            <w:proofErr w:type="gramStart"/>
            <w:r>
              <w:rPr>
                <w:b/>
                <w:bCs/>
                <w:iCs/>
                <w:sz w:val="22"/>
              </w:rPr>
              <w:t>at</w:t>
            </w:r>
            <w:proofErr w:type="gramEnd"/>
            <w:r>
              <w:rPr>
                <w:b/>
                <w:bCs/>
                <w:iCs/>
                <w:sz w:val="22"/>
              </w:rPr>
              <w:t xml:space="preserve"> 30 June 2026</w:t>
            </w:r>
          </w:p>
        </w:tc>
        <w:tc>
          <w:tcPr>
            <w:tcW w:w="1283" w:type="dxa"/>
            <w:shd w:val="clear" w:color="auto" w:fill="BFBFBF"/>
          </w:tcPr>
          <w:p w14:paraId="2D5724BA" w14:textId="6DC66EAF" w:rsidR="004A497F" w:rsidRDefault="001D741E"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1,200</w:t>
            </w:r>
          </w:p>
        </w:tc>
        <w:tc>
          <w:tcPr>
            <w:tcW w:w="1572" w:type="dxa"/>
            <w:shd w:val="clear" w:color="auto" w:fill="BFBFBF"/>
          </w:tcPr>
          <w:p w14:paraId="0328C82B" w14:textId="65B3E295" w:rsidR="004A497F" w:rsidRDefault="001F502A"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3,119</w:t>
            </w:r>
          </w:p>
        </w:tc>
        <w:tc>
          <w:tcPr>
            <w:tcW w:w="1275" w:type="dxa"/>
            <w:shd w:val="clear" w:color="auto" w:fill="BFBFBF"/>
          </w:tcPr>
          <w:p w14:paraId="4E93CFDE" w14:textId="1BF37E87" w:rsidR="004A497F" w:rsidRDefault="001F502A"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3,523</w:t>
            </w:r>
          </w:p>
        </w:tc>
        <w:tc>
          <w:tcPr>
            <w:tcW w:w="1400" w:type="dxa"/>
            <w:shd w:val="clear" w:color="auto" w:fill="BFBFBF"/>
          </w:tcPr>
          <w:p w14:paraId="179A64F9" w14:textId="0B2B6D6B" w:rsidR="004A497F" w:rsidRDefault="001F502A"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1,575</w:t>
            </w:r>
          </w:p>
        </w:tc>
        <w:tc>
          <w:tcPr>
            <w:tcW w:w="1132" w:type="dxa"/>
            <w:shd w:val="clear" w:color="auto" w:fill="BFBFBF"/>
          </w:tcPr>
          <w:p w14:paraId="19206F77" w14:textId="51631DDC" w:rsidR="004A497F" w:rsidRDefault="001F502A"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9</w:t>
            </w:r>
            <w:r w:rsidR="001D741E">
              <w:rPr>
                <w:b/>
                <w:bCs/>
                <w:iCs/>
                <w:sz w:val="22"/>
              </w:rPr>
              <w:t>,417</w:t>
            </w:r>
          </w:p>
        </w:tc>
      </w:tr>
      <w:tr w:rsidR="001D57B0" w14:paraId="77DE44FC" w14:textId="77777777" w:rsidTr="001D57B0">
        <w:trPr>
          <w:gridAfter w:val="1"/>
          <w:cnfStyle w:val="000000100000" w:firstRow="0" w:lastRow="0" w:firstColumn="0" w:lastColumn="0" w:oddVBand="0" w:evenVBand="0" w:oddHBand="1" w:evenHBand="0"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right w:val="single" w:sz="8" w:space="0" w:color="FFFFFF" w:themeColor="background1"/>
            </w:tcBorders>
            <w:hideMark/>
          </w:tcPr>
          <w:p w14:paraId="79D3EC31" w14:textId="77777777" w:rsidR="004A497F" w:rsidRDefault="004A497F" w:rsidP="00DE729C">
            <w:pPr>
              <w:spacing w:before="40" w:after="40"/>
              <w:rPr>
                <w:b/>
                <w:bCs/>
                <w:iCs/>
                <w:sz w:val="22"/>
              </w:rPr>
            </w:pPr>
            <w:r>
              <w:rPr>
                <w:b/>
                <w:bCs/>
                <w:iCs/>
                <w:sz w:val="22"/>
              </w:rPr>
              <w:t>Accumulated depreciation and impairment losses</w:t>
            </w:r>
          </w:p>
        </w:tc>
        <w:tc>
          <w:tcPr>
            <w:tcW w:w="1283" w:type="dxa"/>
            <w:shd w:val="clear" w:color="auto" w:fill="BFBFBF"/>
          </w:tcPr>
          <w:p w14:paraId="52190AF0"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572" w:type="dxa"/>
            <w:shd w:val="clear" w:color="auto" w:fill="BFBFBF"/>
          </w:tcPr>
          <w:p w14:paraId="25C56BD6"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275" w:type="dxa"/>
            <w:shd w:val="clear" w:color="auto" w:fill="BFBFBF"/>
          </w:tcPr>
          <w:p w14:paraId="21C6B1A2"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400" w:type="dxa"/>
            <w:shd w:val="clear" w:color="auto" w:fill="BFBFBF"/>
          </w:tcPr>
          <w:p w14:paraId="5E9952DD"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132" w:type="dxa"/>
            <w:shd w:val="clear" w:color="auto" w:fill="BFBFBF"/>
          </w:tcPr>
          <w:p w14:paraId="3B0CDF46"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r>
      <w:tr w:rsidR="001D57B0" w14:paraId="4E8A301F" w14:textId="77777777" w:rsidTr="001D57B0">
        <w:trPr>
          <w:gridAfter w:val="1"/>
          <w:cnfStyle w:val="000000010000" w:firstRow="0" w:lastRow="0" w:firstColumn="0" w:lastColumn="0" w:oddVBand="0" w:evenVBand="0" w:oddHBand="0" w:evenHBand="1"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top w:val="single" w:sz="4" w:space="0" w:color="FFFFFF" w:themeColor="background1"/>
              <w:bottom w:val="single" w:sz="8" w:space="0" w:color="FFFFFF" w:themeColor="background1"/>
            </w:tcBorders>
            <w:shd w:val="clear" w:color="auto" w:fill="E9E9E9"/>
            <w:hideMark/>
          </w:tcPr>
          <w:p w14:paraId="25097F78" w14:textId="118CD1ED" w:rsidR="004A497F" w:rsidRDefault="004A497F" w:rsidP="00DE729C">
            <w:pPr>
              <w:spacing w:before="40" w:after="40"/>
              <w:rPr>
                <w:sz w:val="22"/>
              </w:rPr>
            </w:pPr>
            <w:r>
              <w:rPr>
                <w:sz w:val="22"/>
              </w:rPr>
              <w:t xml:space="preserve">Balance </w:t>
            </w:r>
            <w:proofErr w:type="gramStart"/>
            <w:r>
              <w:rPr>
                <w:sz w:val="22"/>
              </w:rPr>
              <w:t>at</w:t>
            </w:r>
            <w:proofErr w:type="gramEnd"/>
            <w:r>
              <w:rPr>
                <w:sz w:val="22"/>
              </w:rPr>
              <w:t xml:space="preserve"> 30 June 202</w:t>
            </w:r>
            <w:r w:rsidR="000460C3">
              <w:rPr>
                <w:sz w:val="22"/>
              </w:rPr>
              <w:t>5</w:t>
            </w:r>
          </w:p>
        </w:tc>
        <w:tc>
          <w:tcPr>
            <w:tcW w:w="1283" w:type="dxa"/>
            <w:vAlign w:val="center"/>
            <w:hideMark/>
          </w:tcPr>
          <w:p w14:paraId="786BE53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403</w:t>
            </w:r>
          </w:p>
        </w:tc>
        <w:tc>
          <w:tcPr>
            <w:tcW w:w="1572" w:type="dxa"/>
            <w:vAlign w:val="center"/>
            <w:hideMark/>
          </w:tcPr>
          <w:p w14:paraId="5E46AD1A"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814</w:t>
            </w:r>
          </w:p>
        </w:tc>
        <w:tc>
          <w:tcPr>
            <w:tcW w:w="1275" w:type="dxa"/>
            <w:vAlign w:val="center"/>
            <w:hideMark/>
          </w:tcPr>
          <w:p w14:paraId="586BAB2A"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2,309</w:t>
            </w:r>
          </w:p>
        </w:tc>
        <w:tc>
          <w:tcPr>
            <w:tcW w:w="1400" w:type="dxa"/>
            <w:vAlign w:val="center"/>
            <w:hideMark/>
          </w:tcPr>
          <w:p w14:paraId="3592599A"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722</w:t>
            </w:r>
          </w:p>
        </w:tc>
        <w:tc>
          <w:tcPr>
            <w:tcW w:w="1132" w:type="dxa"/>
            <w:vAlign w:val="center"/>
            <w:hideMark/>
          </w:tcPr>
          <w:p w14:paraId="4A843FA3"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4,248</w:t>
            </w:r>
          </w:p>
        </w:tc>
      </w:tr>
      <w:tr w:rsidR="001D57B0" w14:paraId="7335A953" w14:textId="77777777" w:rsidTr="001D57B0">
        <w:trPr>
          <w:gridAfter w:val="1"/>
          <w:cnfStyle w:val="000000100000" w:firstRow="0" w:lastRow="0" w:firstColumn="0" w:lastColumn="0" w:oddVBand="0" w:evenVBand="0" w:oddHBand="1" w:evenHBand="0"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26650249" w14:textId="77777777" w:rsidR="004A497F" w:rsidRDefault="004A497F" w:rsidP="00DE729C">
            <w:pPr>
              <w:spacing w:before="40" w:after="40"/>
              <w:rPr>
                <w:sz w:val="22"/>
              </w:rPr>
            </w:pPr>
            <w:r>
              <w:rPr>
                <w:sz w:val="22"/>
              </w:rPr>
              <w:t>Depreciation</w:t>
            </w:r>
          </w:p>
        </w:tc>
        <w:tc>
          <w:tcPr>
            <w:tcW w:w="1283" w:type="dxa"/>
          </w:tcPr>
          <w:p w14:paraId="0C156903" w14:textId="320A61AD"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125</w:t>
            </w:r>
          </w:p>
        </w:tc>
        <w:tc>
          <w:tcPr>
            <w:tcW w:w="1572" w:type="dxa"/>
          </w:tcPr>
          <w:p w14:paraId="2C6A5E4D" w14:textId="1853B3C1"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176</w:t>
            </w:r>
          </w:p>
        </w:tc>
        <w:tc>
          <w:tcPr>
            <w:tcW w:w="1275" w:type="dxa"/>
          </w:tcPr>
          <w:p w14:paraId="07B06B05" w14:textId="63144E48"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437</w:t>
            </w:r>
          </w:p>
        </w:tc>
        <w:tc>
          <w:tcPr>
            <w:tcW w:w="1400" w:type="dxa"/>
          </w:tcPr>
          <w:p w14:paraId="16065764" w14:textId="2355CBE0"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114</w:t>
            </w:r>
          </w:p>
        </w:tc>
        <w:tc>
          <w:tcPr>
            <w:tcW w:w="1132" w:type="dxa"/>
          </w:tcPr>
          <w:p w14:paraId="0C535021" w14:textId="2246B480"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852</w:t>
            </w:r>
          </w:p>
        </w:tc>
      </w:tr>
      <w:tr w:rsidR="001D57B0" w14:paraId="318D32FF" w14:textId="77777777" w:rsidTr="001D57B0">
        <w:trPr>
          <w:gridAfter w:val="1"/>
          <w:cnfStyle w:val="000000010000" w:firstRow="0" w:lastRow="0" w:firstColumn="0" w:lastColumn="0" w:oddVBand="0" w:evenVBand="0" w:oddHBand="0" w:evenHBand="1"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6CADBCDA" w14:textId="77777777" w:rsidR="004A497F" w:rsidRDefault="004A497F" w:rsidP="00DE729C">
            <w:pPr>
              <w:spacing w:before="40" w:after="40"/>
              <w:rPr>
                <w:sz w:val="22"/>
              </w:rPr>
            </w:pPr>
            <w:r>
              <w:rPr>
                <w:sz w:val="22"/>
              </w:rPr>
              <w:t>Accumulated depreciation/recovery on disposals</w:t>
            </w:r>
          </w:p>
        </w:tc>
        <w:tc>
          <w:tcPr>
            <w:tcW w:w="1283" w:type="dxa"/>
            <w:vAlign w:val="center"/>
          </w:tcPr>
          <w:p w14:paraId="6032E005" w14:textId="65493706"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572" w:type="dxa"/>
            <w:vAlign w:val="center"/>
          </w:tcPr>
          <w:p w14:paraId="1AC8FE27" w14:textId="6C70C982"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275" w:type="dxa"/>
            <w:vAlign w:val="center"/>
          </w:tcPr>
          <w:p w14:paraId="2BCAEBF2" w14:textId="0106B8B4"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400" w:type="dxa"/>
            <w:vAlign w:val="center"/>
          </w:tcPr>
          <w:p w14:paraId="22CA6B39" w14:textId="1A426A92"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132" w:type="dxa"/>
            <w:vAlign w:val="center"/>
          </w:tcPr>
          <w:p w14:paraId="4A80280C" w14:textId="035C6869"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r>
      <w:tr w:rsidR="001D57B0" w14:paraId="6C4738F0" w14:textId="77777777" w:rsidTr="001D57B0">
        <w:trPr>
          <w:gridAfter w:val="1"/>
          <w:cnfStyle w:val="000000100000" w:firstRow="0" w:lastRow="0" w:firstColumn="0" w:lastColumn="0" w:oddVBand="0" w:evenVBand="0" w:oddHBand="1" w:evenHBand="0"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hideMark/>
          </w:tcPr>
          <w:p w14:paraId="10EA23ED" w14:textId="113F6C79" w:rsidR="004A497F" w:rsidRDefault="004A497F" w:rsidP="00DE729C">
            <w:pPr>
              <w:spacing w:before="40" w:after="40"/>
              <w:rPr>
                <w:b/>
                <w:bCs/>
                <w:iCs/>
                <w:sz w:val="22"/>
              </w:rPr>
            </w:pPr>
            <w:r>
              <w:rPr>
                <w:b/>
                <w:bCs/>
                <w:iCs/>
                <w:sz w:val="22"/>
              </w:rPr>
              <w:t xml:space="preserve">Balance </w:t>
            </w:r>
            <w:proofErr w:type="gramStart"/>
            <w:r>
              <w:rPr>
                <w:b/>
                <w:bCs/>
                <w:iCs/>
                <w:sz w:val="22"/>
              </w:rPr>
              <w:t>at</w:t>
            </w:r>
            <w:proofErr w:type="gramEnd"/>
            <w:r>
              <w:rPr>
                <w:b/>
                <w:bCs/>
                <w:iCs/>
                <w:sz w:val="22"/>
              </w:rPr>
              <w:t xml:space="preserve"> 30 June 202</w:t>
            </w:r>
            <w:r w:rsidR="00495667">
              <w:rPr>
                <w:b/>
                <w:bCs/>
                <w:iCs/>
                <w:sz w:val="22"/>
              </w:rPr>
              <w:t>6</w:t>
            </w:r>
          </w:p>
        </w:tc>
        <w:tc>
          <w:tcPr>
            <w:tcW w:w="1283" w:type="dxa"/>
            <w:shd w:val="clear" w:color="auto" w:fill="BFBFBF"/>
          </w:tcPr>
          <w:p w14:paraId="0170F2EC" w14:textId="686C17A8"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528</w:t>
            </w:r>
          </w:p>
        </w:tc>
        <w:tc>
          <w:tcPr>
            <w:tcW w:w="1572" w:type="dxa"/>
            <w:shd w:val="clear" w:color="auto" w:fill="BFBFBF"/>
          </w:tcPr>
          <w:p w14:paraId="65240792" w14:textId="556C9B73"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990</w:t>
            </w:r>
          </w:p>
        </w:tc>
        <w:tc>
          <w:tcPr>
            <w:tcW w:w="1275" w:type="dxa"/>
            <w:shd w:val="clear" w:color="auto" w:fill="BFBFBF"/>
          </w:tcPr>
          <w:p w14:paraId="324362F4" w14:textId="76220512"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2,746</w:t>
            </w:r>
          </w:p>
        </w:tc>
        <w:tc>
          <w:tcPr>
            <w:tcW w:w="1400" w:type="dxa"/>
            <w:shd w:val="clear" w:color="auto" w:fill="BFBFBF"/>
          </w:tcPr>
          <w:p w14:paraId="5E37F3B2" w14:textId="58C30814"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836</w:t>
            </w:r>
          </w:p>
        </w:tc>
        <w:tc>
          <w:tcPr>
            <w:tcW w:w="1132" w:type="dxa"/>
            <w:shd w:val="clear" w:color="auto" w:fill="BFBFBF"/>
          </w:tcPr>
          <w:p w14:paraId="238CD154" w14:textId="0EA5E2DC" w:rsidR="004A497F" w:rsidRDefault="001F502A"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5,100</w:t>
            </w:r>
          </w:p>
        </w:tc>
      </w:tr>
      <w:tr w:rsidR="001D57B0" w14:paraId="0257A23F" w14:textId="77777777" w:rsidTr="001D57B0">
        <w:trPr>
          <w:gridAfter w:val="1"/>
          <w:cnfStyle w:val="000000010000" w:firstRow="0" w:lastRow="0" w:firstColumn="0" w:lastColumn="0" w:oddVBand="0" w:evenVBand="0" w:oddHBand="0" w:evenHBand="1"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03603C96" w14:textId="77777777" w:rsidR="004A497F" w:rsidRDefault="004A497F" w:rsidP="00DE729C">
            <w:pPr>
              <w:spacing w:before="40" w:after="40"/>
              <w:rPr>
                <w:sz w:val="22"/>
              </w:rPr>
            </w:pPr>
            <w:r>
              <w:rPr>
                <w:sz w:val="22"/>
              </w:rPr>
              <w:t>Carrying amounts:</w:t>
            </w:r>
          </w:p>
        </w:tc>
        <w:tc>
          <w:tcPr>
            <w:tcW w:w="1283" w:type="dxa"/>
          </w:tcPr>
          <w:p w14:paraId="1E010177"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c>
          <w:tcPr>
            <w:tcW w:w="1572" w:type="dxa"/>
          </w:tcPr>
          <w:p w14:paraId="27A1E3D6"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c>
          <w:tcPr>
            <w:tcW w:w="1275" w:type="dxa"/>
          </w:tcPr>
          <w:p w14:paraId="08AE45AA"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c>
          <w:tcPr>
            <w:tcW w:w="1400" w:type="dxa"/>
          </w:tcPr>
          <w:p w14:paraId="20B331B9"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c>
          <w:tcPr>
            <w:tcW w:w="1132" w:type="dxa"/>
          </w:tcPr>
          <w:p w14:paraId="15874B12"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r>
      <w:tr w:rsidR="001D57B0" w14:paraId="5D4C123A" w14:textId="77777777" w:rsidTr="001D57B0">
        <w:trPr>
          <w:gridAfter w:val="1"/>
          <w:cnfStyle w:val="000000100000" w:firstRow="0" w:lastRow="0" w:firstColumn="0" w:lastColumn="0" w:oddVBand="0" w:evenVBand="0" w:oddHBand="1" w:evenHBand="0"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76F800E8" w14:textId="77777777" w:rsidR="004A497F" w:rsidRDefault="004A497F" w:rsidP="00DE729C">
            <w:pPr>
              <w:spacing w:before="40" w:after="40"/>
              <w:rPr>
                <w:sz w:val="22"/>
              </w:rPr>
            </w:pPr>
            <w:proofErr w:type="gramStart"/>
            <w:r>
              <w:rPr>
                <w:sz w:val="22"/>
              </w:rPr>
              <w:t>At</w:t>
            </w:r>
            <w:proofErr w:type="gramEnd"/>
            <w:r>
              <w:rPr>
                <w:sz w:val="22"/>
              </w:rPr>
              <w:t xml:space="preserve"> 30 June 2025</w:t>
            </w:r>
          </w:p>
        </w:tc>
        <w:tc>
          <w:tcPr>
            <w:tcW w:w="1283" w:type="dxa"/>
            <w:vAlign w:val="center"/>
          </w:tcPr>
          <w:p w14:paraId="2347C310"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367</w:t>
            </w:r>
          </w:p>
        </w:tc>
        <w:tc>
          <w:tcPr>
            <w:tcW w:w="1572" w:type="dxa"/>
            <w:vAlign w:val="center"/>
          </w:tcPr>
          <w:p w14:paraId="13131442"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1,266</w:t>
            </w:r>
          </w:p>
        </w:tc>
        <w:tc>
          <w:tcPr>
            <w:tcW w:w="1275" w:type="dxa"/>
            <w:vAlign w:val="center"/>
          </w:tcPr>
          <w:p w14:paraId="5DFCDA7A"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1,074</w:t>
            </w:r>
          </w:p>
        </w:tc>
        <w:tc>
          <w:tcPr>
            <w:tcW w:w="1400" w:type="dxa"/>
            <w:vAlign w:val="center"/>
          </w:tcPr>
          <w:p w14:paraId="4856647E"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719</w:t>
            </w:r>
          </w:p>
        </w:tc>
        <w:tc>
          <w:tcPr>
            <w:tcW w:w="1132" w:type="dxa"/>
            <w:vAlign w:val="center"/>
          </w:tcPr>
          <w:p w14:paraId="355A1E60"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3,427</w:t>
            </w:r>
          </w:p>
        </w:tc>
      </w:tr>
      <w:tr w:rsidR="001D57B0" w14:paraId="6D8F0163" w14:textId="77777777" w:rsidTr="001D57B0">
        <w:trPr>
          <w:gridAfter w:val="1"/>
          <w:cnfStyle w:val="000000010000" w:firstRow="0" w:lastRow="0" w:firstColumn="0" w:lastColumn="0" w:oddVBand="0" w:evenVBand="0" w:oddHBand="0" w:evenHBand="1" w:firstRowFirstColumn="0" w:firstRowLastColumn="0" w:lastRowFirstColumn="0" w:lastRowLastColumn="0"/>
          <w:wAfter w:w="10" w:type="dxa"/>
          <w:cantSplit/>
          <w:trHeight w:val="60"/>
        </w:trPr>
        <w:tc>
          <w:tcPr>
            <w:cnfStyle w:val="001000000000" w:firstRow="0" w:lastRow="0" w:firstColumn="1" w:lastColumn="0" w:oddVBand="0" w:evenVBand="0" w:oddHBand="0" w:evenHBand="0" w:firstRowFirstColumn="0" w:firstRowLastColumn="0" w:lastRowFirstColumn="0" w:lastRowLastColumn="0"/>
            <w:tcW w:w="2684" w:type="dxa"/>
            <w:hideMark/>
          </w:tcPr>
          <w:p w14:paraId="4A64349B" w14:textId="77777777" w:rsidR="004A497F" w:rsidRDefault="004A497F" w:rsidP="00DE729C">
            <w:pPr>
              <w:spacing w:before="40" w:after="40"/>
              <w:rPr>
                <w:b/>
                <w:bCs/>
                <w:iCs/>
                <w:sz w:val="22"/>
              </w:rPr>
            </w:pPr>
            <w:proofErr w:type="gramStart"/>
            <w:r>
              <w:rPr>
                <w:b/>
                <w:bCs/>
                <w:iCs/>
                <w:sz w:val="22"/>
              </w:rPr>
              <w:t>At</w:t>
            </w:r>
            <w:proofErr w:type="gramEnd"/>
            <w:r>
              <w:rPr>
                <w:b/>
                <w:bCs/>
                <w:iCs/>
                <w:sz w:val="22"/>
              </w:rPr>
              <w:t xml:space="preserve"> 30 June 2026</w:t>
            </w:r>
          </w:p>
        </w:tc>
        <w:tc>
          <w:tcPr>
            <w:tcW w:w="1283" w:type="dxa"/>
            <w:shd w:val="clear" w:color="auto" w:fill="BFBFBF"/>
          </w:tcPr>
          <w:p w14:paraId="0142E99E" w14:textId="3C9C7C02" w:rsidR="004A497F" w:rsidRDefault="001D741E"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672</w:t>
            </w:r>
          </w:p>
        </w:tc>
        <w:tc>
          <w:tcPr>
            <w:tcW w:w="1572" w:type="dxa"/>
            <w:shd w:val="clear" w:color="auto" w:fill="BFBFBF"/>
          </w:tcPr>
          <w:p w14:paraId="7F08F490" w14:textId="17D810A3" w:rsidR="004A497F" w:rsidRDefault="001F502A" w:rsidP="00DE729C">
            <w:pPr>
              <w:tabs>
                <w:tab w:val="left" w:pos="1230"/>
              </w:tabs>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2,130</w:t>
            </w:r>
          </w:p>
        </w:tc>
        <w:tc>
          <w:tcPr>
            <w:tcW w:w="1275" w:type="dxa"/>
            <w:shd w:val="clear" w:color="auto" w:fill="BFBFBF"/>
          </w:tcPr>
          <w:p w14:paraId="159B31ED" w14:textId="5F07E007" w:rsidR="004A497F" w:rsidRDefault="001F502A"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777</w:t>
            </w:r>
          </w:p>
        </w:tc>
        <w:tc>
          <w:tcPr>
            <w:tcW w:w="1400" w:type="dxa"/>
            <w:shd w:val="clear" w:color="auto" w:fill="BFBFBF"/>
          </w:tcPr>
          <w:p w14:paraId="7DD7089E" w14:textId="627C5AFD" w:rsidR="004A497F" w:rsidRDefault="001F502A"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739</w:t>
            </w:r>
          </w:p>
        </w:tc>
        <w:tc>
          <w:tcPr>
            <w:tcW w:w="1132" w:type="dxa"/>
            <w:shd w:val="clear" w:color="auto" w:fill="BFBFBF"/>
          </w:tcPr>
          <w:p w14:paraId="3D728617" w14:textId="477FE76E" w:rsidR="004A497F" w:rsidRDefault="001D741E"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4,318</w:t>
            </w:r>
          </w:p>
        </w:tc>
      </w:tr>
      <w:bookmarkEnd w:id="100"/>
    </w:tbl>
    <w:p w14:paraId="4B296DF4" w14:textId="77777777" w:rsidR="004A497F" w:rsidRDefault="004A497F" w:rsidP="004A497F">
      <w:pPr>
        <w:pStyle w:val="BodyText"/>
      </w:pPr>
    </w:p>
    <w:tbl>
      <w:tblPr>
        <w:tblStyle w:val="TableGridAnnualReport131"/>
        <w:tblW w:w="9346" w:type="dxa"/>
        <w:tblInd w:w="10" w:type="dxa"/>
        <w:tblLayout w:type="fixed"/>
        <w:tblLook w:val="04A0" w:firstRow="1" w:lastRow="0" w:firstColumn="1" w:lastColumn="0" w:noHBand="0" w:noVBand="1"/>
      </w:tblPr>
      <w:tblGrid>
        <w:gridCol w:w="2684"/>
        <w:gridCol w:w="1265"/>
        <w:gridCol w:w="1560"/>
        <w:gridCol w:w="1275"/>
        <w:gridCol w:w="1418"/>
        <w:gridCol w:w="1144"/>
      </w:tblGrid>
      <w:tr w:rsidR="001D57B0" w14:paraId="0DD301C5" w14:textId="77777777" w:rsidTr="001D57B0">
        <w:trPr>
          <w:cnfStyle w:val="100000000000" w:firstRow="1" w:lastRow="0" w:firstColumn="0" w:lastColumn="0" w:oddVBand="0" w:evenVBand="0" w:oddHBand="0"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2684" w:type="dxa"/>
            <w:shd w:val="clear" w:color="auto" w:fill="017E5D"/>
            <w:vAlign w:val="center"/>
            <w:hideMark/>
          </w:tcPr>
          <w:p w14:paraId="4F996FFD" w14:textId="40C30254" w:rsidR="001D57B0" w:rsidRDefault="001D57B0" w:rsidP="00A07A0C">
            <w:pPr>
              <w:keepNext/>
              <w:spacing w:before="60" w:after="60" w:line="240" w:lineRule="auto"/>
              <w:rPr>
                <w:color w:val="FFFFFF" w:themeColor="background1"/>
              </w:rPr>
            </w:pPr>
            <w:bookmarkStart w:id="101" w:name="_Hlk228431992"/>
            <w:r>
              <w:rPr>
                <w:color w:val="FFFFFF" w:themeColor="background1"/>
                <w:sz w:val="22"/>
              </w:rPr>
              <w:t>2025</w:t>
            </w:r>
          </w:p>
        </w:tc>
        <w:tc>
          <w:tcPr>
            <w:tcW w:w="1265" w:type="dxa"/>
            <w:shd w:val="clear" w:color="auto" w:fill="017E5D"/>
            <w:vAlign w:val="bottom"/>
            <w:hideMark/>
          </w:tcPr>
          <w:p w14:paraId="4C6A1720" w14:textId="535710E8" w:rsidR="001D57B0" w:rsidRDefault="001D57B0" w:rsidP="001D57B0">
            <w:pPr>
              <w:pStyle w:val="Tableheadingrow1"/>
              <w:cnfStyle w:val="100000000000" w:firstRow="1" w:lastRow="0" w:firstColumn="0" w:lastColumn="0" w:oddVBand="0" w:evenVBand="0" w:oddHBand="0" w:evenHBand="0" w:firstRowFirstColumn="0" w:firstRowLastColumn="0" w:lastRowFirstColumn="0" w:lastRowLastColumn="0"/>
            </w:pPr>
            <w:r>
              <w:rPr>
                <w:sz w:val="22"/>
              </w:rPr>
              <w:t>Plant &amp; equipment</w:t>
            </w:r>
            <w:r>
              <w:rPr>
                <w:sz w:val="22"/>
              </w:rPr>
              <w:br/>
              <w:t>$(000)</w:t>
            </w:r>
          </w:p>
        </w:tc>
        <w:tc>
          <w:tcPr>
            <w:tcW w:w="1560" w:type="dxa"/>
            <w:shd w:val="clear" w:color="auto" w:fill="017E5D"/>
            <w:vAlign w:val="bottom"/>
            <w:hideMark/>
          </w:tcPr>
          <w:p w14:paraId="1D05F4C7" w14:textId="35D4AC37" w:rsidR="001D57B0" w:rsidRDefault="001D57B0" w:rsidP="001D57B0">
            <w:pPr>
              <w:pStyle w:val="Tableheadingrow1"/>
              <w:cnfStyle w:val="100000000000" w:firstRow="1" w:lastRow="0" w:firstColumn="0" w:lastColumn="0" w:oddVBand="0" w:evenVBand="0" w:oddHBand="0" w:evenHBand="0" w:firstRowFirstColumn="0" w:firstRowLastColumn="0" w:lastRowFirstColumn="0" w:lastRowLastColumn="0"/>
            </w:pPr>
            <w:r>
              <w:rPr>
                <w:sz w:val="22"/>
              </w:rPr>
              <w:t>Leasehold improvements</w:t>
            </w:r>
            <w:r>
              <w:rPr>
                <w:sz w:val="22"/>
              </w:rPr>
              <w:br/>
              <w:t>$(000)</w:t>
            </w:r>
          </w:p>
        </w:tc>
        <w:tc>
          <w:tcPr>
            <w:tcW w:w="1275" w:type="dxa"/>
            <w:shd w:val="clear" w:color="auto" w:fill="017E5D"/>
            <w:vAlign w:val="bottom"/>
            <w:hideMark/>
          </w:tcPr>
          <w:p w14:paraId="06C33E5E" w14:textId="2D1FDD82" w:rsidR="001D57B0" w:rsidRDefault="001D57B0" w:rsidP="001D57B0">
            <w:pPr>
              <w:pStyle w:val="Tableheadingrow1"/>
              <w:cnfStyle w:val="100000000000" w:firstRow="1" w:lastRow="0" w:firstColumn="0" w:lastColumn="0" w:oddVBand="0" w:evenVBand="0" w:oddHBand="0" w:evenHBand="0" w:firstRowFirstColumn="0" w:firstRowLastColumn="0" w:lastRowFirstColumn="0" w:lastRowLastColumn="0"/>
            </w:pPr>
            <w:r>
              <w:rPr>
                <w:sz w:val="22"/>
              </w:rPr>
              <w:t>IT equipment</w:t>
            </w:r>
            <w:r>
              <w:rPr>
                <w:sz w:val="22"/>
              </w:rPr>
              <w:br/>
              <w:t>$(000)</w:t>
            </w:r>
          </w:p>
        </w:tc>
        <w:tc>
          <w:tcPr>
            <w:tcW w:w="1418" w:type="dxa"/>
            <w:shd w:val="clear" w:color="auto" w:fill="017E5D"/>
            <w:vAlign w:val="bottom"/>
            <w:hideMark/>
          </w:tcPr>
          <w:p w14:paraId="0B3C564C" w14:textId="1632CB09" w:rsidR="001D57B0" w:rsidRDefault="001D57B0" w:rsidP="001D57B0">
            <w:pPr>
              <w:pStyle w:val="Tableheadingrow1"/>
              <w:cnfStyle w:val="100000000000" w:firstRow="1" w:lastRow="0" w:firstColumn="0" w:lastColumn="0" w:oddVBand="0" w:evenVBand="0" w:oddHBand="0" w:evenHBand="0" w:firstRowFirstColumn="0" w:firstRowLastColumn="0" w:lastRowFirstColumn="0" w:lastRowLastColumn="0"/>
            </w:pPr>
            <w:r>
              <w:rPr>
                <w:sz w:val="22"/>
              </w:rPr>
              <w:t>Furniture &amp; fittings</w:t>
            </w:r>
            <w:r>
              <w:rPr>
                <w:sz w:val="22"/>
              </w:rPr>
              <w:br/>
              <w:t>$(000)</w:t>
            </w:r>
          </w:p>
        </w:tc>
        <w:tc>
          <w:tcPr>
            <w:tcW w:w="1144" w:type="dxa"/>
            <w:shd w:val="clear" w:color="auto" w:fill="017E5D"/>
            <w:vAlign w:val="bottom"/>
            <w:hideMark/>
          </w:tcPr>
          <w:p w14:paraId="24C7534A" w14:textId="6AE2AC7E" w:rsidR="001D57B0" w:rsidRDefault="001D57B0" w:rsidP="001D57B0">
            <w:pPr>
              <w:pStyle w:val="Tableheadingrow1"/>
              <w:jc w:val="right"/>
              <w:cnfStyle w:val="100000000000" w:firstRow="1" w:lastRow="0" w:firstColumn="0" w:lastColumn="0" w:oddVBand="0" w:evenVBand="0" w:oddHBand="0" w:evenHBand="0" w:firstRowFirstColumn="0" w:firstRowLastColumn="0" w:lastRowFirstColumn="0" w:lastRowLastColumn="0"/>
            </w:pPr>
            <w:r>
              <w:rPr>
                <w:sz w:val="22"/>
              </w:rPr>
              <w:t>Total</w:t>
            </w:r>
            <w:r>
              <w:rPr>
                <w:sz w:val="22"/>
              </w:rPr>
              <w:br/>
              <w:t>$(000)</w:t>
            </w:r>
          </w:p>
        </w:tc>
      </w:tr>
      <w:tr w:rsidR="00B1665E" w14:paraId="11B1FFD8" w14:textId="77777777" w:rsidTr="001D57B0">
        <w:trPr>
          <w:cnfStyle w:val="000000100000" w:firstRow="0" w:lastRow="0" w:firstColumn="0" w:lastColumn="0" w:oddVBand="0" w:evenVBand="0" w:oddHBand="1" w:evenHBand="0" w:firstRowFirstColumn="0" w:firstRowLastColumn="0" w:lastRowFirstColumn="0" w:lastRowLastColumn="0"/>
          <w:cantSplit/>
          <w:trHeight w:val="244"/>
        </w:trPr>
        <w:tc>
          <w:tcPr>
            <w:cnfStyle w:val="001000000000" w:firstRow="0" w:lastRow="0" w:firstColumn="1" w:lastColumn="0" w:oddVBand="0" w:evenVBand="0" w:oddHBand="0" w:evenHBand="0" w:firstRowFirstColumn="0" w:firstRowLastColumn="0" w:lastRowFirstColumn="0" w:lastRowLastColumn="0"/>
            <w:tcW w:w="2684" w:type="dxa"/>
            <w:tcBorders>
              <w:top w:val="single" w:sz="8" w:space="0" w:color="FFFFFF" w:themeColor="background1"/>
              <w:right w:val="single" w:sz="8" w:space="0" w:color="FFFFFF" w:themeColor="background1"/>
            </w:tcBorders>
            <w:hideMark/>
          </w:tcPr>
          <w:p w14:paraId="72F7ABC5" w14:textId="77777777" w:rsidR="004A497F" w:rsidRDefault="004A497F" w:rsidP="00DE729C">
            <w:pPr>
              <w:spacing w:before="40" w:after="40"/>
              <w:rPr>
                <w:b/>
                <w:bCs/>
                <w:iCs/>
                <w:sz w:val="22"/>
              </w:rPr>
            </w:pPr>
            <w:r>
              <w:rPr>
                <w:b/>
                <w:bCs/>
                <w:iCs/>
                <w:sz w:val="22"/>
              </w:rPr>
              <w:t xml:space="preserve">Cost </w:t>
            </w:r>
          </w:p>
        </w:tc>
        <w:tc>
          <w:tcPr>
            <w:tcW w:w="1265" w:type="dxa"/>
            <w:shd w:val="clear" w:color="auto" w:fill="BFBFBF"/>
          </w:tcPr>
          <w:p w14:paraId="2285902A"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560" w:type="dxa"/>
            <w:shd w:val="clear" w:color="auto" w:fill="BFBFBF"/>
          </w:tcPr>
          <w:p w14:paraId="78F86ECD"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275" w:type="dxa"/>
            <w:shd w:val="clear" w:color="auto" w:fill="BFBFBF"/>
          </w:tcPr>
          <w:p w14:paraId="6DBF9C9D"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418" w:type="dxa"/>
            <w:shd w:val="clear" w:color="auto" w:fill="BFBFBF"/>
          </w:tcPr>
          <w:p w14:paraId="6AE833D6"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144" w:type="dxa"/>
            <w:shd w:val="clear" w:color="auto" w:fill="BFBFBF"/>
          </w:tcPr>
          <w:p w14:paraId="69197BDF"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r>
      <w:tr w:rsidR="004A497F" w14:paraId="7F365F5A" w14:textId="77777777" w:rsidTr="001D57B0">
        <w:trPr>
          <w:cnfStyle w:val="000000010000" w:firstRow="0" w:lastRow="0" w:firstColumn="0" w:lastColumn="0" w:oddVBand="0" w:evenVBand="0" w:oddHBand="0" w:evenHBand="1" w:firstRowFirstColumn="0" w:firstRowLastColumn="0" w:lastRowFirstColumn="0" w:lastRowLastColumn="0"/>
          <w:cantSplit/>
          <w:trHeight w:val="225"/>
        </w:trPr>
        <w:tc>
          <w:tcPr>
            <w:cnfStyle w:val="001000000000" w:firstRow="0" w:lastRow="0" w:firstColumn="1" w:lastColumn="0" w:oddVBand="0" w:evenVBand="0" w:oddHBand="0" w:evenHBand="0" w:firstRowFirstColumn="0" w:firstRowLastColumn="0" w:lastRowFirstColumn="0" w:lastRowLastColumn="0"/>
            <w:tcW w:w="2684" w:type="dxa"/>
            <w:tcBorders>
              <w:top w:val="single" w:sz="4" w:space="0" w:color="FFFFFF" w:themeColor="background1"/>
              <w:bottom w:val="single" w:sz="8" w:space="0" w:color="FFFFFF" w:themeColor="background1"/>
            </w:tcBorders>
            <w:shd w:val="clear" w:color="auto" w:fill="E9E9E9"/>
            <w:hideMark/>
          </w:tcPr>
          <w:p w14:paraId="74B0AF2C" w14:textId="77777777" w:rsidR="004A497F" w:rsidRDefault="004A497F" w:rsidP="00DE729C">
            <w:pPr>
              <w:spacing w:before="40" w:after="40"/>
              <w:rPr>
                <w:sz w:val="22"/>
              </w:rPr>
            </w:pPr>
            <w:r>
              <w:rPr>
                <w:sz w:val="22"/>
              </w:rPr>
              <w:t xml:space="preserve">Balance </w:t>
            </w:r>
            <w:proofErr w:type="gramStart"/>
            <w:r>
              <w:rPr>
                <w:sz w:val="22"/>
              </w:rPr>
              <w:t>at</w:t>
            </w:r>
            <w:proofErr w:type="gramEnd"/>
            <w:r>
              <w:rPr>
                <w:sz w:val="22"/>
              </w:rPr>
              <w:t xml:space="preserve"> 30 June 2024</w:t>
            </w:r>
          </w:p>
        </w:tc>
        <w:tc>
          <w:tcPr>
            <w:tcW w:w="1265" w:type="dxa"/>
            <w:vAlign w:val="center"/>
            <w:hideMark/>
          </w:tcPr>
          <w:p w14:paraId="393D238B"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688</w:t>
            </w:r>
          </w:p>
        </w:tc>
        <w:tc>
          <w:tcPr>
            <w:tcW w:w="1560" w:type="dxa"/>
            <w:vAlign w:val="center"/>
            <w:hideMark/>
          </w:tcPr>
          <w:p w14:paraId="79896F5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2,080</w:t>
            </w:r>
          </w:p>
        </w:tc>
        <w:tc>
          <w:tcPr>
            <w:tcW w:w="1275" w:type="dxa"/>
            <w:vAlign w:val="center"/>
            <w:hideMark/>
          </w:tcPr>
          <w:p w14:paraId="28829496"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3,368</w:t>
            </w:r>
          </w:p>
        </w:tc>
        <w:tc>
          <w:tcPr>
            <w:tcW w:w="1418" w:type="dxa"/>
            <w:vAlign w:val="center"/>
            <w:hideMark/>
          </w:tcPr>
          <w:p w14:paraId="348B08B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1,749</w:t>
            </w:r>
          </w:p>
        </w:tc>
        <w:tc>
          <w:tcPr>
            <w:tcW w:w="1144" w:type="dxa"/>
            <w:vAlign w:val="center"/>
            <w:hideMark/>
          </w:tcPr>
          <w:p w14:paraId="54DB6173"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7,885</w:t>
            </w:r>
          </w:p>
        </w:tc>
      </w:tr>
      <w:tr w:rsidR="004A497F" w14:paraId="7092F52F" w14:textId="77777777" w:rsidTr="001D57B0">
        <w:trPr>
          <w:cnfStyle w:val="000000100000" w:firstRow="0" w:lastRow="0" w:firstColumn="0" w:lastColumn="0" w:oddVBand="0" w:evenVBand="0" w:oddHBand="1" w:evenHBand="0"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63F4F315" w14:textId="77777777" w:rsidR="004A497F" w:rsidRDefault="004A497F" w:rsidP="00DE729C">
            <w:pPr>
              <w:spacing w:before="40" w:after="40"/>
              <w:rPr>
                <w:sz w:val="22"/>
              </w:rPr>
            </w:pPr>
            <w:r>
              <w:rPr>
                <w:sz w:val="22"/>
              </w:rPr>
              <w:t>Additions</w:t>
            </w:r>
          </w:p>
        </w:tc>
        <w:tc>
          <w:tcPr>
            <w:tcW w:w="1265" w:type="dxa"/>
            <w:vAlign w:val="center"/>
          </w:tcPr>
          <w:p w14:paraId="471E6257"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12</w:t>
            </w:r>
          </w:p>
        </w:tc>
        <w:tc>
          <w:tcPr>
            <w:tcW w:w="1560" w:type="dxa"/>
            <w:vAlign w:val="center"/>
          </w:tcPr>
          <w:p w14:paraId="73AF8B27"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5" w:type="dxa"/>
            <w:vAlign w:val="center"/>
          </w:tcPr>
          <w:p w14:paraId="307A586C"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479</w:t>
            </w:r>
          </w:p>
        </w:tc>
        <w:tc>
          <w:tcPr>
            <w:tcW w:w="1418" w:type="dxa"/>
            <w:vAlign w:val="center"/>
          </w:tcPr>
          <w:p w14:paraId="609EE772"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 xml:space="preserve">  19</w:t>
            </w:r>
          </w:p>
        </w:tc>
        <w:tc>
          <w:tcPr>
            <w:tcW w:w="1144" w:type="dxa"/>
            <w:vAlign w:val="center"/>
          </w:tcPr>
          <w:p w14:paraId="4B21F3CE"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510</w:t>
            </w:r>
          </w:p>
        </w:tc>
      </w:tr>
      <w:tr w:rsidR="004A497F" w14:paraId="029F7E2E" w14:textId="77777777" w:rsidTr="001D57B0">
        <w:trPr>
          <w:cnfStyle w:val="000000010000" w:firstRow="0" w:lastRow="0" w:firstColumn="0" w:lastColumn="0" w:oddVBand="0" w:evenVBand="0" w:oddHBand="0" w:evenHBand="1"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tcPr>
          <w:p w14:paraId="50D4F3A0" w14:textId="77777777" w:rsidR="004A497F" w:rsidRDefault="004A497F" w:rsidP="00DE729C">
            <w:pPr>
              <w:spacing w:before="40" w:after="40"/>
              <w:rPr>
                <w:sz w:val="22"/>
              </w:rPr>
            </w:pPr>
            <w:r>
              <w:rPr>
                <w:sz w:val="22"/>
              </w:rPr>
              <w:t>Reclassification of Asset</w:t>
            </w:r>
          </w:p>
        </w:tc>
        <w:tc>
          <w:tcPr>
            <w:tcW w:w="1265" w:type="dxa"/>
            <w:vAlign w:val="center"/>
          </w:tcPr>
          <w:p w14:paraId="14931C2A"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267</w:t>
            </w:r>
          </w:p>
        </w:tc>
        <w:tc>
          <w:tcPr>
            <w:tcW w:w="1560" w:type="dxa"/>
          </w:tcPr>
          <w:p w14:paraId="6AAC4555" w14:textId="2EBEAADD"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275" w:type="dxa"/>
          </w:tcPr>
          <w:p w14:paraId="6DECB20E" w14:textId="605D532C"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418" w:type="dxa"/>
            <w:vAlign w:val="center"/>
          </w:tcPr>
          <w:p w14:paraId="2C77BDAC"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(267)</w:t>
            </w:r>
          </w:p>
        </w:tc>
        <w:tc>
          <w:tcPr>
            <w:tcW w:w="1144" w:type="dxa"/>
            <w:vAlign w:val="center"/>
          </w:tcPr>
          <w:p w14:paraId="08B42942" w14:textId="198E4497" w:rsidR="004A497F" w:rsidRDefault="00F41573"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r>
      <w:tr w:rsidR="004A497F" w14:paraId="47B7FE6F" w14:textId="77777777" w:rsidTr="001D57B0">
        <w:trPr>
          <w:cnfStyle w:val="000000100000" w:firstRow="0" w:lastRow="0" w:firstColumn="0" w:lastColumn="0" w:oddVBand="0" w:evenVBand="0" w:oddHBand="1" w:evenHBand="0"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4" w:space="0" w:color="FFFFFF" w:themeColor="background1"/>
            </w:tcBorders>
            <w:shd w:val="clear" w:color="auto" w:fill="E9E9E9"/>
            <w:hideMark/>
          </w:tcPr>
          <w:p w14:paraId="3BB85CD7" w14:textId="77777777" w:rsidR="004A497F" w:rsidRDefault="004A497F" w:rsidP="00DE729C">
            <w:pPr>
              <w:spacing w:before="40" w:after="40"/>
              <w:rPr>
                <w:sz w:val="22"/>
              </w:rPr>
            </w:pPr>
            <w:r>
              <w:rPr>
                <w:sz w:val="22"/>
              </w:rPr>
              <w:t>Disposals and write-offs</w:t>
            </w:r>
          </w:p>
        </w:tc>
        <w:tc>
          <w:tcPr>
            <w:tcW w:w="1265" w:type="dxa"/>
            <w:vAlign w:val="center"/>
          </w:tcPr>
          <w:p w14:paraId="2ACE6B71"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(197)</w:t>
            </w:r>
          </w:p>
        </w:tc>
        <w:tc>
          <w:tcPr>
            <w:tcW w:w="1560" w:type="dxa"/>
            <w:vAlign w:val="center"/>
          </w:tcPr>
          <w:p w14:paraId="4BFC9588"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5" w:type="dxa"/>
            <w:vAlign w:val="center"/>
          </w:tcPr>
          <w:p w14:paraId="34016730"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(464)</w:t>
            </w:r>
          </w:p>
        </w:tc>
        <w:tc>
          <w:tcPr>
            <w:tcW w:w="1418" w:type="dxa"/>
            <w:vAlign w:val="center"/>
          </w:tcPr>
          <w:p w14:paraId="34E05BAE"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(60)</w:t>
            </w:r>
          </w:p>
        </w:tc>
        <w:tc>
          <w:tcPr>
            <w:tcW w:w="1144" w:type="dxa"/>
            <w:vAlign w:val="center"/>
          </w:tcPr>
          <w:p w14:paraId="1E29E161"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(721)</w:t>
            </w:r>
          </w:p>
        </w:tc>
      </w:tr>
      <w:tr w:rsidR="00B1665E" w14:paraId="28BF00C7" w14:textId="77777777" w:rsidTr="001D57B0">
        <w:trPr>
          <w:cnfStyle w:val="000000010000" w:firstRow="0" w:lastRow="0" w:firstColumn="0" w:lastColumn="0" w:oddVBand="0" w:evenVBand="0" w:oddHBand="0" w:evenHBand="1"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top w:val="single" w:sz="4" w:space="0" w:color="FFFFFF" w:themeColor="background1"/>
              <w:bottom w:val="single" w:sz="4" w:space="0" w:color="FFFFFF" w:themeColor="background1"/>
            </w:tcBorders>
            <w:hideMark/>
          </w:tcPr>
          <w:p w14:paraId="78A8CB00" w14:textId="77777777" w:rsidR="004A497F" w:rsidRDefault="004A497F" w:rsidP="00DE729C">
            <w:pPr>
              <w:spacing w:before="40" w:after="40"/>
              <w:rPr>
                <w:b/>
                <w:bCs/>
                <w:iCs/>
                <w:sz w:val="22"/>
              </w:rPr>
            </w:pPr>
            <w:r>
              <w:rPr>
                <w:b/>
                <w:bCs/>
                <w:iCs/>
                <w:sz w:val="22"/>
              </w:rPr>
              <w:t xml:space="preserve">Balance </w:t>
            </w:r>
            <w:proofErr w:type="gramStart"/>
            <w:r>
              <w:rPr>
                <w:b/>
                <w:bCs/>
                <w:iCs/>
                <w:sz w:val="22"/>
              </w:rPr>
              <w:t>at</w:t>
            </w:r>
            <w:proofErr w:type="gramEnd"/>
            <w:r>
              <w:rPr>
                <w:b/>
                <w:bCs/>
                <w:iCs/>
                <w:sz w:val="22"/>
              </w:rPr>
              <w:t xml:space="preserve"> 30 June 2025</w:t>
            </w:r>
          </w:p>
        </w:tc>
        <w:tc>
          <w:tcPr>
            <w:tcW w:w="1265" w:type="dxa"/>
            <w:shd w:val="clear" w:color="auto" w:fill="BFBFBF"/>
            <w:vAlign w:val="center"/>
          </w:tcPr>
          <w:p w14:paraId="7E80C7AA"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770</w:t>
            </w:r>
          </w:p>
        </w:tc>
        <w:tc>
          <w:tcPr>
            <w:tcW w:w="1560" w:type="dxa"/>
            <w:shd w:val="clear" w:color="auto" w:fill="BFBFBF"/>
            <w:vAlign w:val="center"/>
          </w:tcPr>
          <w:p w14:paraId="2D78D0F3"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2,080</w:t>
            </w:r>
          </w:p>
        </w:tc>
        <w:tc>
          <w:tcPr>
            <w:tcW w:w="1275" w:type="dxa"/>
            <w:shd w:val="clear" w:color="auto" w:fill="BFBFBF"/>
            <w:vAlign w:val="center"/>
          </w:tcPr>
          <w:p w14:paraId="0EF4CE6D"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3,383</w:t>
            </w:r>
          </w:p>
        </w:tc>
        <w:tc>
          <w:tcPr>
            <w:tcW w:w="1418" w:type="dxa"/>
            <w:shd w:val="clear" w:color="auto" w:fill="BFBFBF"/>
            <w:vAlign w:val="center"/>
          </w:tcPr>
          <w:p w14:paraId="609FDE66"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1,441</w:t>
            </w:r>
          </w:p>
        </w:tc>
        <w:tc>
          <w:tcPr>
            <w:tcW w:w="1144" w:type="dxa"/>
            <w:shd w:val="clear" w:color="auto" w:fill="BFBFBF"/>
            <w:vAlign w:val="center"/>
          </w:tcPr>
          <w:p w14:paraId="7023CEBC" w14:textId="59D1DFFC"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7</w:t>
            </w:r>
            <w:r w:rsidR="004E4100">
              <w:rPr>
                <w:b/>
                <w:bCs/>
                <w:iCs/>
                <w:sz w:val="22"/>
              </w:rPr>
              <w:t>,</w:t>
            </w:r>
            <w:r>
              <w:rPr>
                <w:b/>
                <w:bCs/>
                <w:iCs/>
                <w:sz w:val="22"/>
              </w:rPr>
              <w:t>674</w:t>
            </w:r>
          </w:p>
        </w:tc>
      </w:tr>
      <w:tr w:rsidR="00B1665E" w14:paraId="24F858AD" w14:textId="77777777" w:rsidTr="001D57B0">
        <w:trPr>
          <w:cnfStyle w:val="000000100000" w:firstRow="0" w:lastRow="0" w:firstColumn="0" w:lastColumn="0" w:oddVBand="0" w:evenVBand="0" w:oddHBand="1" w:evenHBand="0"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right w:val="single" w:sz="8" w:space="0" w:color="FFFFFF" w:themeColor="background1"/>
            </w:tcBorders>
            <w:hideMark/>
          </w:tcPr>
          <w:p w14:paraId="428D9D26" w14:textId="77777777" w:rsidR="004A497F" w:rsidRDefault="004A497F" w:rsidP="00DE729C">
            <w:pPr>
              <w:spacing w:before="40" w:after="40"/>
              <w:rPr>
                <w:b/>
                <w:bCs/>
                <w:iCs/>
                <w:sz w:val="22"/>
              </w:rPr>
            </w:pPr>
            <w:r>
              <w:rPr>
                <w:b/>
                <w:bCs/>
                <w:iCs/>
                <w:sz w:val="22"/>
              </w:rPr>
              <w:t>Accumulated depreciation and impairment losses</w:t>
            </w:r>
          </w:p>
        </w:tc>
        <w:tc>
          <w:tcPr>
            <w:tcW w:w="1265" w:type="dxa"/>
            <w:shd w:val="clear" w:color="auto" w:fill="BFBFBF"/>
          </w:tcPr>
          <w:p w14:paraId="4DD27FE3"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560" w:type="dxa"/>
            <w:shd w:val="clear" w:color="auto" w:fill="BFBFBF"/>
          </w:tcPr>
          <w:p w14:paraId="1F811370"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275" w:type="dxa"/>
            <w:shd w:val="clear" w:color="auto" w:fill="BFBFBF"/>
          </w:tcPr>
          <w:p w14:paraId="35D37FB6"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418" w:type="dxa"/>
            <w:shd w:val="clear" w:color="auto" w:fill="BFBFBF"/>
          </w:tcPr>
          <w:p w14:paraId="0DD742A9"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144" w:type="dxa"/>
            <w:shd w:val="clear" w:color="auto" w:fill="BFBFBF"/>
          </w:tcPr>
          <w:p w14:paraId="16250332"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r>
      <w:tr w:rsidR="004A497F" w14:paraId="55D34C7A" w14:textId="77777777" w:rsidTr="001D57B0">
        <w:trPr>
          <w:cnfStyle w:val="000000010000" w:firstRow="0" w:lastRow="0" w:firstColumn="0" w:lastColumn="0" w:oddVBand="0" w:evenVBand="0" w:oddHBand="0" w:evenHBand="1"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top w:val="single" w:sz="4" w:space="0" w:color="FFFFFF" w:themeColor="background1"/>
              <w:bottom w:val="single" w:sz="8" w:space="0" w:color="FFFFFF" w:themeColor="background1"/>
            </w:tcBorders>
            <w:shd w:val="clear" w:color="auto" w:fill="E9E9E9"/>
            <w:hideMark/>
          </w:tcPr>
          <w:p w14:paraId="666EB192" w14:textId="77777777" w:rsidR="004A497F" w:rsidRDefault="004A497F" w:rsidP="00DE729C">
            <w:pPr>
              <w:spacing w:before="40" w:after="40"/>
              <w:rPr>
                <w:sz w:val="22"/>
              </w:rPr>
            </w:pPr>
            <w:r>
              <w:rPr>
                <w:sz w:val="22"/>
              </w:rPr>
              <w:t xml:space="preserve">Balance </w:t>
            </w:r>
            <w:proofErr w:type="gramStart"/>
            <w:r>
              <w:rPr>
                <w:sz w:val="22"/>
              </w:rPr>
              <w:t>at</w:t>
            </w:r>
            <w:proofErr w:type="gramEnd"/>
            <w:r>
              <w:rPr>
                <w:sz w:val="22"/>
              </w:rPr>
              <w:t xml:space="preserve"> 30 June 2024</w:t>
            </w:r>
          </w:p>
        </w:tc>
        <w:tc>
          <w:tcPr>
            <w:tcW w:w="1265" w:type="dxa"/>
            <w:vAlign w:val="center"/>
            <w:hideMark/>
          </w:tcPr>
          <w:p w14:paraId="3F9F2E3E"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441</w:t>
            </w:r>
          </w:p>
        </w:tc>
        <w:tc>
          <w:tcPr>
            <w:tcW w:w="1560" w:type="dxa"/>
            <w:vAlign w:val="center"/>
            <w:hideMark/>
          </w:tcPr>
          <w:p w14:paraId="58BDD232"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638</w:t>
            </w:r>
          </w:p>
        </w:tc>
        <w:tc>
          <w:tcPr>
            <w:tcW w:w="1275" w:type="dxa"/>
            <w:vAlign w:val="center"/>
            <w:hideMark/>
          </w:tcPr>
          <w:p w14:paraId="0535A18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2,319</w:t>
            </w:r>
          </w:p>
        </w:tc>
        <w:tc>
          <w:tcPr>
            <w:tcW w:w="1418" w:type="dxa"/>
            <w:vAlign w:val="center"/>
            <w:hideMark/>
          </w:tcPr>
          <w:p w14:paraId="758392C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693</w:t>
            </w:r>
          </w:p>
        </w:tc>
        <w:tc>
          <w:tcPr>
            <w:tcW w:w="1144" w:type="dxa"/>
            <w:vAlign w:val="center"/>
            <w:hideMark/>
          </w:tcPr>
          <w:p w14:paraId="53A40150"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4,091</w:t>
            </w:r>
          </w:p>
        </w:tc>
      </w:tr>
      <w:tr w:rsidR="004A497F" w14:paraId="2FDD4722" w14:textId="77777777" w:rsidTr="001D57B0">
        <w:trPr>
          <w:cnfStyle w:val="000000100000" w:firstRow="0" w:lastRow="0" w:firstColumn="0" w:lastColumn="0" w:oddVBand="0" w:evenVBand="0" w:oddHBand="1" w:evenHBand="0"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2629CC2C" w14:textId="77777777" w:rsidR="004A497F" w:rsidRDefault="004A497F" w:rsidP="00DE729C">
            <w:pPr>
              <w:spacing w:before="40" w:after="40"/>
              <w:rPr>
                <w:sz w:val="22"/>
              </w:rPr>
            </w:pPr>
            <w:r>
              <w:rPr>
                <w:sz w:val="22"/>
              </w:rPr>
              <w:t>Depreciation</w:t>
            </w:r>
          </w:p>
        </w:tc>
        <w:tc>
          <w:tcPr>
            <w:tcW w:w="1265" w:type="dxa"/>
            <w:vAlign w:val="center"/>
          </w:tcPr>
          <w:p w14:paraId="2C8A8462"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159</w:t>
            </w:r>
          </w:p>
        </w:tc>
        <w:tc>
          <w:tcPr>
            <w:tcW w:w="1560" w:type="dxa"/>
            <w:vAlign w:val="center"/>
          </w:tcPr>
          <w:p w14:paraId="5905799E"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 xml:space="preserve"> </w:t>
            </w:r>
            <w:r>
              <w:rPr>
                <w:color w:val="auto"/>
                <w:sz w:val="22"/>
              </w:rPr>
              <w:t>176</w:t>
            </w:r>
          </w:p>
        </w:tc>
        <w:tc>
          <w:tcPr>
            <w:tcW w:w="1275" w:type="dxa"/>
            <w:vAlign w:val="center"/>
          </w:tcPr>
          <w:p w14:paraId="42179052"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452</w:t>
            </w:r>
          </w:p>
        </w:tc>
        <w:tc>
          <w:tcPr>
            <w:tcW w:w="1418" w:type="dxa"/>
            <w:vAlign w:val="center"/>
          </w:tcPr>
          <w:p w14:paraId="1D085F2D"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89</w:t>
            </w:r>
          </w:p>
        </w:tc>
        <w:tc>
          <w:tcPr>
            <w:tcW w:w="1144" w:type="dxa"/>
            <w:vAlign w:val="center"/>
          </w:tcPr>
          <w:p w14:paraId="6537FC77"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 xml:space="preserve"> 876</w:t>
            </w:r>
          </w:p>
        </w:tc>
      </w:tr>
      <w:tr w:rsidR="004A497F" w14:paraId="2C2F3460" w14:textId="77777777" w:rsidTr="001D57B0">
        <w:trPr>
          <w:cnfStyle w:val="000000010000" w:firstRow="0" w:lastRow="0" w:firstColumn="0" w:lastColumn="0" w:oddVBand="0" w:evenVBand="0" w:oddHBand="0" w:evenHBand="1"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56FEBE63" w14:textId="77777777" w:rsidR="004A497F" w:rsidRDefault="004A497F" w:rsidP="00DE729C">
            <w:pPr>
              <w:spacing w:before="40" w:after="40"/>
              <w:rPr>
                <w:sz w:val="22"/>
              </w:rPr>
            </w:pPr>
            <w:r>
              <w:rPr>
                <w:sz w:val="22"/>
              </w:rPr>
              <w:t>Accumulated depreciation/recovery on disposals</w:t>
            </w:r>
          </w:p>
        </w:tc>
        <w:tc>
          <w:tcPr>
            <w:tcW w:w="1265" w:type="dxa"/>
            <w:vAlign w:val="center"/>
          </w:tcPr>
          <w:p w14:paraId="05DAD068"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(197)</w:t>
            </w:r>
          </w:p>
        </w:tc>
        <w:tc>
          <w:tcPr>
            <w:tcW w:w="1560" w:type="dxa"/>
            <w:vAlign w:val="center"/>
          </w:tcPr>
          <w:p w14:paraId="3679E399"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275" w:type="dxa"/>
            <w:vAlign w:val="center"/>
          </w:tcPr>
          <w:p w14:paraId="7D1D38CC"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(462)</w:t>
            </w:r>
          </w:p>
        </w:tc>
        <w:tc>
          <w:tcPr>
            <w:tcW w:w="1418" w:type="dxa"/>
            <w:vAlign w:val="center"/>
          </w:tcPr>
          <w:p w14:paraId="6518F09B"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(60)</w:t>
            </w:r>
          </w:p>
        </w:tc>
        <w:tc>
          <w:tcPr>
            <w:tcW w:w="1144" w:type="dxa"/>
            <w:vAlign w:val="center"/>
          </w:tcPr>
          <w:p w14:paraId="08D345F3"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(719)</w:t>
            </w:r>
          </w:p>
        </w:tc>
      </w:tr>
      <w:tr w:rsidR="00B1665E" w14:paraId="50571B57" w14:textId="77777777" w:rsidTr="001D57B0">
        <w:trPr>
          <w:cnfStyle w:val="000000100000" w:firstRow="0" w:lastRow="0" w:firstColumn="0" w:lastColumn="0" w:oddVBand="0" w:evenVBand="0" w:oddHBand="1" w:evenHBand="0"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hideMark/>
          </w:tcPr>
          <w:p w14:paraId="29F90A16" w14:textId="77777777" w:rsidR="004A497F" w:rsidRDefault="004A497F" w:rsidP="00DE729C">
            <w:pPr>
              <w:spacing w:before="40" w:after="40"/>
              <w:rPr>
                <w:b/>
                <w:bCs/>
                <w:iCs/>
                <w:sz w:val="22"/>
              </w:rPr>
            </w:pPr>
            <w:r>
              <w:rPr>
                <w:b/>
                <w:bCs/>
                <w:iCs/>
                <w:sz w:val="22"/>
              </w:rPr>
              <w:t xml:space="preserve">Balance </w:t>
            </w:r>
            <w:proofErr w:type="gramStart"/>
            <w:r>
              <w:rPr>
                <w:b/>
                <w:bCs/>
                <w:iCs/>
                <w:sz w:val="22"/>
              </w:rPr>
              <w:t>at</w:t>
            </w:r>
            <w:proofErr w:type="gramEnd"/>
            <w:r>
              <w:rPr>
                <w:b/>
                <w:bCs/>
                <w:iCs/>
                <w:sz w:val="22"/>
              </w:rPr>
              <w:t xml:space="preserve"> 30 June 2025</w:t>
            </w:r>
          </w:p>
        </w:tc>
        <w:tc>
          <w:tcPr>
            <w:tcW w:w="1265" w:type="dxa"/>
            <w:shd w:val="clear" w:color="auto" w:fill="BFBFBF"/>
            <w:vAlign w:val="center"/>
          </w:tcPr>
          <w:p w14:paraId="5204C535"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 xml:space="preserve"> 403</w:t>
            </w:r>
          </w:p>
        </w:tc>
        <w:tc>
          <w:tcPr>
            <w:tcW w:w="1560" w:type="dxa"/>
            <w:shd w:val="clear" w:color="auto" w:fill="BFBFBF"/>
            <w:vAlign w:val="center"/>
          </w:tcPr>
          <w:p w14:paraId="1C0E6C94"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 xml:space="preserve"> 814</w:t>
            </w:r>
          </w:p>
        </w:tc>
        <w:tc>
          <w:tcPr>
            <w:tcW w:w="1275" w:type="dxa"/>
            <w:shd w:val="clear" w:color="auto" w:fill="BFBFBF"/>
            <w:vAlign w:val="center"/>
          </w:tcPr>
          <w:p w14:paraId="706839F0"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2,309</w:t>
            </w:r>
          </w:p>
        </w:tc>
        <w:tc>
          <w:tcPr>
            <w:tcW w:w="1418" w:type="dxa"/>
            <w:shd w:val="clear" w:color="auto" w:fill="BFBFBF"/>
            <w:vAlign w:val="center"/>
          </w:tcPr>
          <w:p w14:paraId="698393A9"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722</w:t>
            </w:r>
          </w:p>
        </w:tc>
        <w:tc>
          <w:tcPr>
            <w:tcW w:w="1144" w:type="dxa"/>
            <w:shd w:val="clear" w:color="auto" w:fill="BFBFBF"/>
            <w:vAlign w:val="center"/>
          </w:tcPr>
          <w:p w14:paraId="77C4B4C0"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4,248</w:t>
            </w:r>
          </w:p>
        </w:tc>
      </w:tr>
      <w:tr w:rsidR="004A497F" w14:paraId="39CFFEA1" w14:textId="77777777" w:rsidTr="001D57B0">
        <w:trPr>
          <w:cnfStyle w:val="000000010000" w:firstRow="0" w:lastRow="0" w:firstColumn="0" w:lastColumn="0" w:oddVBand="0" w:evenVBand="0" w:oddHBand="0" w:evenHBand="1"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38C0C088" w14:textId="77777777" w:rsidR="004A497F" w:rsidRDefault="004A497F" w:rsidP="00DE729C">
            <w:pPr>
              <w:spacing w:before="40" w:after="40"/>
              <w:rPr>
                <w:sz w:val="22"/>
              </w:rPr>
            </w:pPr>
            <w:r>
              <w:rPr>
                <w:sz w:val="22"/>
              </w:rPr>
              <w:t>Carrying amounts:</w:t>
            </w:r>
          </w:p>
        </w:tc>
        <w:tc>
          <w:tcPr>
            <w:tcW w:w="1265" w:type="dxa"/>
          </w:tcPr>
          <w:p w14:paraId="55A6F8C6"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c>
          <w:tcPr>
            <w:tcW w:w="1560" w:type="dxa"/>
          </w:tcPr>
          <w:p w14:paraId="01A295D5"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c>
          <w:tcPr>
            <w:tcW w:w="1275" w:type="dxa"/>
          </w:tcPr>
          <w:p w14:paraId="555AADF2"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c>
          <w:tcPr>
            <w:tcW w:w="1418" w:type="dxa"/>
          </w:tcPr>
          <w:p w14:paraId="12D00525"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c>
          <w:tcPr>
            <w:tcW w:w="1144" w:type="dxa"/>
          </w:tcPr>
          <w:p w14:paraId="51620E6B"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p>
        </w:tc>
      </w:tr>
      <w:tr w:rsidR="004A497F" w14:paraId="4D22EF0B" w14:textId="77777777" w:rsidTr="001D57B0">
        <w:trPr>
          <w:cnfStyle w:val="000000100000" w:firstRow="0" w:lastRow="0" w:firstColumn="0" w:lastColumn="0" w:oddVBand="0" w:evenVBand="0" w:oddHBand="1" w:evenHBand="0"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tcBorders>
              <w:bottom w:val="single" w:sz="8" w:space="0" w:color="FFFFFF" w:themeColor="background1"/>
            </w:tcBorders>
            <w:shd w:val="clear" w:color="auto" w:fill="E9E9E9"/>
            <w:hideMark/>
          </w:tcPr>
          <w:p w14:paraId="7B684592" w14:textId="77777777" w:rsidR="004A497F" w:rsidRDefault="004A497F" w:rsidP="00DE729C">
            <w:pPr>
              <w:spacing w:before="40" w:after="40"/>
              <w:rPr>
                <w:sz w:val="22"/>
              </w:rPr>
            </w:pPr>
            <w:proofErr w:type="gramStart"/>
            <w:r>
              <w:rPr>
                <w:sz w:val="22"/>
              </w:rPr>
              <w:t>At</w:t>
            </w:r>
            <w:proofErr w:type="gramEnd"/>
            <w:r>
              <w:rPr>
                <w:sz w:val="22"/>
              </w:rPr>
              <w:t xml:space="preserve"> 30 June 2024</w:t>
            </w:r>
          </w:p>
        </w:tc>
        <w:tc>
          <w:tcPr>
            <w:tcW w:w="1265" w:type="dxa"/>
            <w:vAlign w:val="center"/>
          </w:tcPr>
          <w:p w14:paraId="6A41DF22"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248</w:t>
            </w:r>
          </w:p>
        </w:tc>
        <w:tc>
          <w:tcPr>
            <w:tcW w:w="1560" w:type="dxa"/>
            <w:vAlign w:val="center"/>
          </w:tcPr>
          <w:p w14:paraId="7C1A072C"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1,441</w:t>
            </w:r>
          </w:p>
        </w:tc>
        <w:tc>
          <w:tcPr>
            <w:tcW w:w="1275" w:type="dxa"/>
            <w:vAlign w:val="center"/>
          </w:tcPr>
          <w:p w14:paraId="0D920B70"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1,049</w:t>
            </w:r>
          </w:p>
        </w:tc>
        <w:tc>
          <w:tcPr>
            <w:tcW w:w="1418" w:type="dxa"/>
            <w:vAlign w:val="center"/>
          </w:tcPr>
          <w:p w14:paraId="36CD8342"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1,056</w:t>
            </w:r>
          </w:p>
        </w:tc>
        <w:tc>
          <w:tcPr>
            <w:tcW w:w="1144" w:type="dxa"/>
            <w:vAlign w:val="center"/>
          </w:tcPr>
          <w:p w14:paraId="05313DF7"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3,794</w:t>
            </w:r>
          </w:p>
        </w:tc>
      </w:tr>
      <w:tr w:rsidR="00B1665E" w14:paraId="04E3156C" w14:textId="77777777" w:rsidTr="001D57B0">
        <w:trPr>
          <w:cnfStyle w:val="000000010000" w:firstRow="0" w:lastRow="0" w:firstColumn="0" w:lastColumn="0" w:oddVBand="0" w:evenVBand="0" w:oddHBand="0" w:evenHBand="1" w:firstRowFirstColumn="0" w:firstRowLastColumn="0" w:lastRowFirstColumn="0" w:lastRowLastColumn="0"/>
          <w:cantSplit/>
          <w:trHeight w:val="60"/>
        </w:trPr>
        <w:tc>
          <w:tcPr>
            <w:cnfStyle w:val="001000000000" w:firstRow="0" w:lastRow="0" w:firstColumn="1" w:lastColumn="0" w:oddVBand="0" w:evenVBand="0" w:oddHBand="0" w:evenHBand="0" w:firstRowFirstColumn="0" w:firstRowLastColumn="0" w:lastRowFirstColumn="0" w:lastRowLastColumn="0"/>
            <w:tcW w:w="2684" w:type="dxa"/>
            <w:hideMark/>
          </w:tcPr>
          <w:p w14:paraId="50394952" w14:textId="77777777" w:rsidR="004A497F" w:rsidRDefault="004A497F" w:rsidP="00DE729C">
            <w:pPr>
              <w:spacing w:before="40" w:after="40"/>
              <w:rPr>
                <w:b/>
                <w:bCs/>
                <w:iCs/>
                <w:sz w:val="22"/>
              </w:rPr>
            </w:pPr>
            <w:proofErr w:type="gramStart"/>
            <w:r>
              <w:rPr>
                <w:b/>
                <w:bCs/>
                <w:iCs/>
                <w:sz w:val="22"/>
              </w:rPr>
              <w:t>At</w:t>
            </w:r>
            <w:proofErr w:type="gramEnd"/>
            <w:r>
              <w:rPr>
                <w:b/>
                <w:bCs/>
                <w:iCs/>
                <w:sz w:val="22"/>
              </w:rPr>
              <w:t xml:space="preserve"> 30 June 2025</w:t>
            </w:r>
          </w:p>
        </w:tc>
        <w:tc>
          <w:tcPr>
            <w:tcW w:w="1265" w:type="dxa"/>
            <w:shd w:val="clear" w:color="auto" w:fill="BFBFBF"/>
            <w:vAlign w:val="center"/>
          </w:tcPr>
          <w:p w14:paraId="40BE9DD7"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367</w:t>
            </w:r>
          </w:p>
        </w:tc>
        <w:tc>
          <w:tcPr>
            <w:tcW w:w="1560" w:type="dxa"/>
            <w:shd w:val="clear" w:color="auto" w:fill="BFBFBF"/>
            <w:vAlign w:val="center"/>
          </w:tcPr>
          <w:p w14:paraId="6BBA0CC8" w14:textId="77777777" w:rsidR="004A497F" w:rsidRDefault="004A497F" w:rsidP="00DE729C">
            <w:pPr>
              <w:tabs>
                <w:tab w:val="left" w:pos="1230"/>
              </w:tabs>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 xml:space="preserve"> 1,266</w:t>
            </w:r>
          </w:p>
        </w:tc>
        <w:tc>
          <w:tcPr>
            <w:tcW w:w="1275" w:type="dxa"/>
            <w:shd w:val="clear" w:color="auto" w:fill="BFBFBF"/>
            <w:vAlign w:val="center"/>
          </w:tcPr>
          <w:p w14:paraId="5B894007"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1,074</w:t>
            </w:r>
          </w:p>
        </w:tc>
        <w:tc>
          <w:tcPr>
            <w:tcW w:w="1418" w:type="dxa"/>
            <w:shd w:val="clear" w:color="auto" w:fill="BFBFBF"/>
            <w:vAlign w:val="center"/>
          </w:tcPr>
          <w:p w14:paraId="3B6A319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719</w:t>
            </w:r>
          </w:p>
        </w:tc>
        <w:tc>
          <w:tcPr>
            <w:tcW w:w="1144" w:type="dxa"/>
            <w:shd w:val="clear" w:color="auto" w:fill="BFBFBF"/>
            <w:vAlign w:val="center"/>
          </w:tcPr>
          <w:p w14:paraId="73FE7BD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
                <w:sz w:val="22"/>
              </w:rPr>
              <w:t xml:space="preserve"> 3,427</w:t>
            </w:r>
          </w:p>
        </w:tc>
      </w:tr>
      <w:bookmarkEnd w:id="101"/>
    </w:tbl>
    <w:p w14:paraId="1A3DCACA" w14:textId="77777777" w:rsidR="004A497F" w:rsidRPr="004A497F" w:rsidRDefault="004A497F" w:rsidP="004A497F">
      <w:pPr>
        <w:pStyle w:val="BodyText"/>
      </w:pPr>
    </w:p>
    <w:p w14:paraId="5E926A85" w14:textId="0DA71B21" w:rsidR="00183B0A" w:rsidRDefault="00183B0A" w:rsidP="00032F1F">
      <w:pPr>
        <w:pStyle w:val="Heading3"/>
      </w:pPr>
      <w:r>
        <w:t xml:space="preserve">8. Intangible assets </w:t>
      </w:r>
    </w:p>
    <w:tbl>
      <w:tblPr>
        <w:tblStyle w:val="TableGridAnnualReport151"/>
        <w:tblpPr w:leftFromText="180" w:rightFromText="180" w:vertAnchor="text" w:tblpY="1"/>
        <w:tblOverlap w:val="never"/>
        <w:tblW w:w="9346" w:type="dxa"/>
        <w:tblInd w:w="0" w:type="dxa"/>
        <w:tblLayout w:type="fixed"/>
        <w:tblLook w:val="04A0" w:firstRow="1" w:lastRow="0" w:firstColumn="1" w:lastColumn="0" w:noHBand="0" w:noVBand="1"/>
      </w:tblPr>
      <w:tblGrid>
        <w:gridCol w:w="3392"/>
        <w:gridCol w:w="1418"/>
        <w:gridCol w:w="1984"/>
        <w:gridCol w:w="1276"/>
        <w:gridCol w:w="1276"/>
      </w:tblGrid>
      <w:tr w:rsidR="00C551F4" w14:paraId="0A380290" w14:textId="77777777" w:rsidTr="00C551F4">
        <w:trPr>
          <w:cnfStyle w:val="100000000000" w:firstRow="1" w:lastRow="0" w:firstColumn="0" w:lastColumn="0" w:oddVBand="0" w:evenVBand="0" w:oddHBand="0" w:evenHBand="0" w:firstRowFirstColumn="0" w:firstRowLastColumn="0" w:lastRowFirstColumn="0" w:lastRowLastColumn="0"/>
          <w:trHeight w:val="793"/>
          <w:tblHeader/>
        </w:trPr>
        <w:tc>
          <w:tcPr>
            <w:cnfStyle w:val="001000000000" w:firstRow="0" w:lastRow="0" w:firstColumn="1" w:lastColumn="0" w:oddVBand="0" w:evenVBand="0" w:oddHBand="0" w:evenHBand="0" w:firstRowFirstColumn="0" w:firstRowLastColumn="0" w:lastRowFirstColumn="0" w:lastRowLastColumn="0"/>
            <w:tcW w:w="3392" w:type="dxa"/>
            <w:shd w:val="clear" w:color="auto" w:fill="017E5D"/>
            <w:vAlign w:val="center"/>
            <w:hideMark/>
          </w:tcPr>
          <w:p w14:paraId="28EC92B7" w14:textId="77777777" w:rsidR="00C551F4" w:rsidRPr="001D57B0" w:rsidRDefault="00C551F4" w:rsidP="00A07A0C">
            <w:pPr>
              <w:keepNext/>
              <w:spacing w:before="60" w:after="60" w:line="240" w:lineRule="auto"/>
              <w:rPr>
                <w:color w:val="FFFFFF" w:themeColor="background1"/>
                <w:sz w:val="22"/>
              </w:rPr>
            </w:pPr>
            <w:bookmarkStart w:id="102" w:name="_Hlk238737622"/>
            <w:r w:rsidRPr="001D57B0">
              <w:rPr>
                <w:color w:val="FFFFFF" w:themeColor="background1"/>
                <w:sz w:val="22"/>
              </w:rPr>
              <w:t>2026</w:t>
            </w:r>
          </w:p>
        </w:tc>
        <w:tc>
          <w:tcPr>
            <w:tcW w:w="1418" w:type="dxa"/>
            <w:shd w:val="clear" w:color="auto" w:fill="017E5D"/>
            <w:vAlign w:val="bottom"/>
            <w:hideMark/>
          </w:tcPr>
          <w:p w14:paraId="16C530A1" w14:textId="172C4B58" w:rsidR="00C551F4" w:rsidRPr="00C551F4" w:rsidRDefault="00C551F4" w:rsidP="00C551F4">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C551F4">
              <w:rPr>
                <w:color w:val="FFFFFF" w:themeColor="background1"/>
                <w:sz w:val="22"/>
              </w:rPr>
              <w:t>Acquired</w:t>
            </w:r>
            <w:r w:rsidRPr="00C551F4">
              <w:rPr>
                <w:color w:val="FFFFFF" w:themeColor="background1"/>
                <w:sz w:val="22"/>
              </w:rPr>
              <w:br/>
              <w:t>software</w:t>
            </w:r>
            <w:r w:rsidRPr="00C551F4">
              <w:rPr>
                <w:color w:val="FFFFFF" w:themeColor="background1"/>
                <w:sz w:val="22"/>
              </w:rPr>
              <w:br/>
              <w:t>$(000)</w:t>
            </w:r>
          </w:p>
        </w:tc>
        <w:tc>
          <w:tcPr>
            <w:tcW w:w="1984" w:type="dxa"/>
            <w:shd w:val="clear" w:color="auto" w:fill="017E5D"/>
            <w:vAlign w:val="bottom"/>
            <w:hideMark/>
          </w:tcPr>
          <w:p w14:paraId="25E7422B" w14:textId="29681288" w:rsidR="00C551F4" w:rsidRPr="00C551F4" w:rsidRDefault="00C551F4" w:rsidP="00C551F4">
            <w:pPr>
              <w:keepNext/>
              <w:spacing w:before="60" w:after="6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C551F4">
              <w:rPr>
                <w:color w:val="FFFFFF" w:themeColor="background1"/>
                <w:sz w:val="22"/>
              </w:rPr>
              <w:t>Internally generated software</w:t>
            </w:r>
            <w:r w:rsidRPr="00C551F4">
              <w:rPr>
                <w:color w:val="FFFFFF" w:themeColor="background1"/>
                <w:sz w:val="22"/>
              </w:rPr>
              <w:br/>
              <w:t>$(000)</w:t>
            </w:r>
          </w:p>
        </w:tc>
        <w:tc>
          <w:tcPr>
            <w:tcW w:w="1276" w:type="dxa"/>
            <w:shd w:val="clear" w:color="auto" w:fill="017E5D"/>
            <w:vAlign w:val="bottom"/>
            <w:hideMark/>
          </w:tcPr>
          <w:p w14:paraId="33E22F82" w14:textId="26FCC0D3" w:rsidR="00C551F4" w:rsidRPr="00C551F4" w:rsidRDefault="00C551F4" w:rsidP="00C551F4">
            <w:pPr>
              <w:keepNext/>
              <w:spacing w:before="60" w:after="6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C551F4">
              <w:rPr>
                <w:color w:val="FFFFFF" w:themeColor="background1"/>
                <w:sz w:val="22"/>
              </w:rPr>
              <w:t>Trademark</w:t>
            </w:r>
            <w:r w:rsidRPr="00C551F4">
              <w:rPr>
                <w:color w:val="FFFFFF" w:themeColor="background1"/>
                <w:sz w:val="22"/>
              </w:rPr>
              <w:br/>
              <w:t>$(000)</w:t>
            </w:r>
          </w:p>
        </w:tc>
        <w:tc>
          <w:tcPr>
            <w:tcW w:w="1276" w:type="dxa"/>
            <w:shd w:val="clear" w:color="auto" w:fill="017E5D"/>
            <w:vAlign w:val="bottom"/>
            <w:hideMark/>
          </w:tcPr>
          <w:p w14:paraId="0745576F" w14:textId="07E8A6DE" w:rsidR="00C551F4" w:rsidRPr="00C551F4" w:rsidRDefault="00C551F4" w:rsidP="00C551F4">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C551F4">
              <w:rPr>
                <w:color w:val="FFFFFF" w:themeColor="background1"/>
                <w:sz w:val="22"/>
              </w:rPr>
              <w:t>Total</w:t>
            </w:r>
            <w:r w:rsidRPr="00C551F4">
              <w:rPr>
                <w:color w:val="FFFFFF" w:themeColor="background1"/>
                <w:sz w:val="22"/>
              </w:rPr>
              <w:br/>
              <w:t>$(000)</w:t>
            </w:r>
          </w:p>
        </w:tc>
      </w:tr>
      <w:tr w:rsidR="003D6E0A" w14:paraId="07A700E0" w14:textId="77777777" w:rsidTr="00C551F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2" w:type="dxa"/>
            <w:tcBorders>
              <w:top w:val="single" w:sz="8" w:space="0" w:color="FFFFFF" w:themeColor="background1"/>
              <w:right w:val="single" w:sz="8" w:space="0" w:color="FFFFFF" w:themeColor="background1"/>
            </w:tcBorders>
            <w:hideMark/>
          </w:tcPr>
          <w:p w14:paraId="21C6FB7F" w14:textId="77777777" w:rsidR="004A497F" w:rsidRDefault="004A497F" w:rsidP="00DE729C">
            <w:pPr>
              <w:spacing w:before="40" w:after="40"/>
              <w:rPr>
                <w:b/>
                <w:bCs/>
                <w:iCs/>
                <w:sz w:val="22"/>
              </w:rPr>
            </w:pPr>
            <w:r>
              <w:rPr>
                <w:b/>
                <w:bCs/>
                <w:iCs/>
                <w:sz w:val="22"/>
              </w:rPr>
              <w:t xml:space="preserve">Cost </w:t>
            </w:r>
          </w:p>
        </w:tc>
        <w:tc>
          <w:tcPr>
            <w:tcW w:w="1418" w:type="dxa"/>
            <w:shd w:val="clear" w:color="auto" w:fill="BFBFBF"/>
          </w:tcPr>
          <w:p w14:paraId="69AAFEEA"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984" w:type="dxa"/>
            <w:shd w:val="clear" w:color="auto" w:fill="BFBFBF"/>
          </w:tcPr>
          <w:p w14:paraId="600257A8"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276" w:type="dxa"/>
            <w:shd w:val="clear" w:color="auto" w:fill="BFBFBF"/>
          </w:tcPr>
          <w:p w14:paraId="54E9C383"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276" w:type="dxa"/>
            <w:shd w:val="clear" w:color="auto" w:fill="BFBFBF"/>
          </w:tcPr>
          <w:p w14:paraId="26FE5F9E"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r>
      <w:tr w:rsidR="004A497F" w14:paraId="7803C4F8" w14:textId="77777777" w:rsidTr="00C551F4">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top w:val="single" w:sz="4" w:space="0" w:color="FFFFFF" w:themeColor="background1"/>
              <w:bottom w:val="single" w:sz="8" w:space="0" w:color="FFFFFF" w:themeColor="background1"/>
            </w:tcBorders>
            <w:shd w:val="clear" w:color="auto" w:fill="E9E9E9"/>
            <w:hideMark/>
          </w:tcPr>
          <w:p w14:paraId="2CD94800" w14:textId="77777777" w:rsidR="004A497F" w:rsidRDefault="004A497F" w:rsidP="00DE729C">
            <w:pPr>
              <w:spacing w:before="40" w:after="40"/>
              <w:rPr>
                <w:sz w:val="22"/>
              </w:rPr>
            </w:pPr>
            <w:r>
              <w:rPr>
                <w:sz w:val="22"/>
              </w:rPr>
              <w:t xml:space="preserve">Balance </w:t>
            </w:r>
            <w:proofErr w:type="gramStart"/>
            <w:r>
              <w:rPr>
                <w:sz w:val="22"/>
              </w:rPr>
              <w:t>at</w:t>
            </w:r>
            <w:proofErr w:type="gramEnd"/>
            <w:r>
              <w:rPr>
                <w:sz w:val="22"/>
              </w:rPr>
              <w:t xml:space="preserve"> 30 June 2025</w:t>
            </w:r>
          </w:p>
        </w:tc>
        <w:tc>
          <w:tcPr>
            <w:tcW w:w="1418" w:type="dxa"/>
            <w:vAlign w:val="center"/>
            <w:hideMark/>
          </w:tcPr>
          <w:p w14:paraId="26ABEB70"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Cs/>
                <w:iCs/>
                <w:sz w:val="22"/>
              </w:rPr>
              <w:t>1,170</w:t>
            </w:r>
          </w:p>
        </w:tc>
        <w:tc>
          <w:tcPr>
            <w:tcW w:w="1984" w:type="dxa"/>
            <w:vAlign w:val="center"/>
          </w:tcPr>
          <w:p w14:paraId="2C73ED72"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 xml:space="preserve"> 4,254</w:t>
            </w:r>
          </w:p>
        </w:tc>
        <w:tc>
          <w:tcPr>
            <w:tcW w:w="1276" w:type="dxa"/>
            <w:vAlign w:val="center"/>
            <w:hideMark/>
          </w:tcPr>
          <w:p w14:paraId="76690C5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w:t>
            </w:r>
          </w:p>
        </w:tc>
        <w:tc>
          <w:tcPr>
            <w:tcW w:w="1276" w:type="dxa"/>
            <w:vAlign w:val="center"/>
            <w:hideMark/>
          </w:tcPr>
          <w:p w14:paraId="370C902C"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 xml:space="preserve"> 5,430</w:t>
            </w:r>
          </w:p>
        </w:tc>
      </w:tr>
      <w:tr w:rsidR="003D6E0A" w14:paraId="79B2EC56" w14:textId="77777777" w:rsidTr="00C551F4">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43A847E5" w14:textId="77777777" w:rsidR="004A497F" w:rsidRDefault="004A497F" w:rsidP="00DE729C">
            <w:pPr>
              <w:spacing w:before="40" w:after="40"/>
              <w:rPr>
                <w:sz w:val="22"/>
              </w:rPr>
            </w:pPr>
            <w:r>
              <w:rPr>
                <w:sz w:val="22"/>
              </w:rPr>
              <w:t>Additions</w:t>
            </w:r>
          </w:p>
        </w:tc>
        <w:tc>
          <w:tcPr>
            <w:tcW w:w="1418" w:type="dxa"/>
          </w:tcPr>
          <w:p w14:paraId="29DAE1F4" w14:textId="08B51740" w:rsidR="004A497F" w:rsidRDefault="00C27816"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w:t>
            </w:r>
          </w:p>
        </w:tc>
        <w:tc>
          <w:tcPr>
            <w:tcW w:w="1984" w:type="dxa"/>
          </w:tcPr>
          <w:p w14:paraId="4D1B053D" w14:textId="712CBBDC"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6" w:type="dxa"/>
          </w:tcPr>
          <w:p w14:paraId="20A4C676" w14:textId="68573A69"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6" w:type="dxa"/>
          </w:tcPr>
          <w:p w14:paraId="6C5E536A" w14:textId="1A9BA5E8" w:rsidR="004A497F" w:rsidRDefault="00C27816"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w:t>
            </w:r>
          </w:p>
        </w:tc>
      </w:tr>
      <w:tr w:rsidR="004A497F" w14:paraId="7473F792" w14:textId="77777777" w:rsidTr="00C551F4">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tcPr>
          <w:p w14:paraId="60218F8F" w14:textId="77777777" w:rsidR="004A497F" w:rsidRDefault="004A497F" w:rsidP="00DE729C">
            <w:pPr>
              <w:spacing w:before="40" w:after="40"/>
              <w:rPr>
                <w:sz w:val="22"/>
              </w:rPr>
            </w:pPr>
            <w:r>
              <w:rPr>
                <w:sz w:val="22"/>
              </w:rPr>
              <w:t>Disposals</w:t>
            </w:r>
          </w:p>
        </w:tc>
        <w:tc>
          <w:tcPr>
            <w:tcW w:w="1418" w:type="dxa"/>
          </w:tcPr>
          <w:p w14:paraId="028D4595" w14:textId="2038CEE9"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984" w:type="dxa"/>
          </w:tcPr>
          <w:p w14:paraId="00B31670" w14:textId="75FDC320" w:rsidR="004A497F" w:rsidRPr="003752F4" w:rsidDel="003752F4"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highlight w:val="yellow"/>
              </w:rPr>
            </w:pPr>
            <w:r w:rsidRPr="00A07A0C">
              <w:rPr>
                <w:sz w:val="22"/>
              </w:rPr>
              <w:t>-</w:t>
            </w:r>
          </w:p>
        </w:tc>
        <w:tc>
          <w:tcPr>
            <w:tcW w:w="1276" w:type="dxa"/>
          </w:tcPr>
          <w:p w14:paraId="717067BB" w14:textId="29390AE7"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276" w:type="dxa"/>
          </w:tcPr>
          <w:p w14:paraId="004865BF" w14:textId="55C56D7B" w:rsidR="004A497F" w:rsidDel="003752F4"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r>
      <w:tr w:rsidR="003D6E0A" w14:paraId="0B72667F" w14:textId="77777777" w:rsidTr="00C551F4">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4" w:space="0" w:color="FFFFFF" w:themeColor="background1"/>
            </w:tcBorders>
            <w:hideMark/>
          </w:tcPr>
          <w:p w14:paraId="1FED9C2C" w14:textId="77777777" w:rsidR="004A497F" w:rsidRDefault="004A497F" w:rsidP="00DE729C">
            <w:pPr>
              <w:spacing w:before="40" w:after="40"/>
              <w:rPr>
                <w:b/>
                <w:bCs/>
                <w:iCs/>
                <w:sz w:val="22"/>
              </w:rPr>
            </w:pPr>
            <w:r>
              <w:rPr>
                <w:b/>
                <w:bCs/>
                <w:iCs/>
                <w:sz w:val="22"/>
              </w:rPr>
              <w:t xml:space="preserve">Balance </w:t>
            </w:r>
            <w:proofErr w:type="gramStart"/>
            <w:r>
              <w:rPr>
                <w:b/>
                <w:bCs/>
                <w:iCs/>
                <w:sz w:val="22"/>
              </w:rPr>
              <w:t>at</w:t>
            </w:r>
            <w:proofErr w:type="gramEnd"/>
            <w:r>
              <w:rPr>
                <w:b/>
                <w:bCs/>
                <w:iCs/>
                <w:sz w:val="22"/>
              </w:rPr>
              <w:t xml:space="preserve"> 30 June 2026</w:t>
            </w:r>
          </w:p>
        </w:tc>
        <w:tc>
          <w:tcPr>
            <w:tcW w:w="1418" w:type="dxa"/>
            <w:shd w:val="clear" w:color="auto" w:fill="BFBFBF"/>
          </w:tcPr>
          <w:p w14:paraId="798CF6B5" w14:textId="0CEE7C02" w:rsidR="004A497F" w:rsidRDefault="00C27816"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1,171</w:t>
            </w:r>
          </w:p>
        </w:tc>
        <w:tc>
          <w:tcPr>
            <w:tcW w:w="1984" w:type="dxa"/>
            <w:shd w:val="clear" w:color="auto" w:fill="BFBFBF"/>
          </w:tcPr>
          <w:p w14:paraId="2FE17CD5" w14:textId="52B0D6C5" w:rsidR="004A497F" w:rsidRDefault="00C27816"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4,254</w:t>
            </w:r>
          </w:p>
        </w:tc>
        <w:tc>
          <w:tcPr>
            <w:tcW w:w="1276" w:type="dxa"/>
            <w:shd w:val="clear" w:color="auto" w:fill="BFBFBF"/>
          </w:tcPr>
          <w:p w14:paraId="787ED39D" w14:textId="39136F79" w:rsidR="004A497F" w:rsidRDefault="00C27816"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6</w:t>
            </w:r>
          </w:p>
        </w:tc>
        <w:tc>
          <w:tcPr>
            <w:tcW w:w="1276" w:type="dxa"/>
            <w:shd w:val="clear" w:color="auto" w:fill="BFBFBF"/>
          </w:tcPr>
          <w:p w14:paraId="34891EE1" w14:textId="640A9CFB" w:rsidR="004A497F" w:rsidRDefault="00C27816"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5,431</w:t>
            </w:r>
          </w:p>
        </w:tc>
      </w:tr>
      <w:tr w:rsidR="003D6E0A" w14:paraId="3C91D27C" w14:textId="77777777" w:rsidTr="00C551F4">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2" w:space="0" w:color="FFFFFF" w:themeColor="background1"/>
              <w:right w:val="single" w:sz="8" w:space="0" w:color="FFFFFF" w:themeColor="background1"/>
            </w:tcBorders>
            <w:hideMark/>
          </w:tcPr>
          <w:p w14:paraId="3ED2D7ED" w14:textId="77777777" w:rsidR="004A497F" w:rsidRDefault="004A497F" w:rsidP="00DE729C">
            <w:pPr>
              <w:spacing w:before="40" w:after="40"/>
              <w:rPr>
                <w:b/>
                <w:bCs/>
                <w:iCs/>
                <w:sz w:val="22"/>
              </w:rPr>
            </w:pPr>
            <w:r>
              <w:rPr>
                <w:b/>
                <w:bCs/>
                <w:iCs/>
                <w:sz w:val="22"/>
              </w:rPr>
              <w:t>Accumulated depreciation and impairment losses</w:t>
            </w:r>
          </w:p>
        </w:tc>
        <w:tc>
          <w:tcPr>
            <w:tcW w:w="1418" w:type="dxa"/>
            <w:tcBorders>
              <w:bottom w:val="single" w:sz="2" w:space="0" w:color="FFFFFF" w:themeColor="background1"/>
            </w:tcBorders>
            <w:shd w:val="clear" w:color="auto" w:fill="BFBFBF"/>
          </w:tcPr>
          <w:p w14:paraId="39B26502" w14:textId="77777777" w:rsidR="004A497F" w:rsidRDefault="004A497F" w:rsidP="00DE729C">
            <w:pPr>
              <w:spacing w:before="40" w:after="40"/>
              <w:cnfStyle w:val="000000010000" w:firstRow="0" w:lastRow="0" w:firstColumn="0" w:lastColumn="0" w:oddVBand="0" w:evenVBand="0" w:oddHBand="0" w:evenHBand="1" w:firstRowFirstColumn="0" w:firstRowLastColumn="0" w:lastRowFirstColumn="0" w:lastRowLastColumn="0"/>
              <w:rPr>
                <w:b/>
                <w:bCs/>
                <w:iCs/>
                <w:sz w:val="22"/>
              </w:rPr>
            </w:pPr>
          </w:p>
        </w:tc>
        <w:tc>
          <w:tcPr>
            <w:tcW w:w="1984" w:type="dxa"/>
            <w:tcBorders>
              <w:bottom w:val="single" w:sz="2" w:space="0" w:color="FFFFFF" w:themeColor="background1"/>
            </w:tcBorders>
            <w:shd w:val="clear" w:color="auto" w:fill="BFBFBF"/>
          </w:tcPr>
          <w:p w14:paraId="0BD9C343" w14:textId="77777777" w:rsidR="004A497F" w:rsidRDefault="004A497F" w:rsidP="00DE729C">
            <w:pPr>
              <w:spacing w:before="40" w:after="40"/>
              <w:cnfStyle w:val="000000010000" w:firstRow="0" w:lastRow="0" w:firstColumn="0" w:lastColumn="0" w:oddVBand="0" w:evenVBand="0" w:oddHBand="0" w:evenHBand="1" w:firstRowFirstColumn="0" w:firstRowLastColumn="0" w:lastRowFirstColumn="0" w:lastRowLastColumn="0"/>
              <w:rPr>
                <w:b/>
                <w:bCs/>
                <w:iCs/>
                <w:sz w:val="22"/>
              </w:rPr>
            </w:pPr>
          </w:p>
        </w:tc>
        <w:tc>
          <w:tcPr>
            <w:tcW w:w="1276" w:type="dxa"/>
            <w:tcBorders>
              <w:bottom w:val="single" w:sz="2" w:space="0" w:color="FFFFFF" w:themeColor="background1"/>
            </w:tcBorders>
            <w:shd w:val="clear" w:color="auto" w:fill="BFBFBF"/>
          </w:tcPr>
          <w:p w14:paraId="3C24AA65" w14:textId="77777777" w:rsidR="004A497F" w:rsidRDefault="004A497F" w:rsidP="00DE729C">
            <w:pPr>
              <w:spacing w:before="40" w:after="40"/>
              <w:cnfStyle w:val="000000010000" w:firstRow="0" w:lastRow="0" w:firstColumn="0" w:lastColumn="0" w:oddVBand="0" w:evenVBand="0" w:oddHBand="0" w:evenHBand="1" w:firstRowFirstColumn="0" w:firstRowLastColumn="0" w:lastRowFirstColumn="0" w:lastRowLastColumn="0"/>
              <w:rPr>
                <w:b/>
                <w:bCs/>
                <w:iCs/>
                <w:sz w:val="22"/>
              </w:rPr>
            </w:pPr>
          </w:p>
        </w:tc>
        <w:tc>
          <w:tcPr>
            <w:tcW w:w="1276" w:type="dxa"/>
            <w:tcBorders>
              <w:bottom w:val="single" w:sz="2" w:space="0" w:color="FFFFFF" w:themeColor="background1"/>
            </w:tcBorders>
            <w:shd w:val="clear" w:color="auto" w:fill="BFBFBF"/>
          </w:tcPr>
          <w:p w14:paraId="65A9C25A" w14:textId="77777777" w:rsidR="004A497F" w:rsidRDefault="004A497F" w:rsidP="00DE729C">
            <w:pPr>
              <w:spacing w:before="40" w:after="40"/>
              <w:cnfStyle w:val="000000010000" w:firstRow="0" w:lastRow="0" w:firstColumn="0" w:lastColumn="0" w:oddVBand="0" w:evenVBand="0" w:oddHBand="0" w:evenHBand="1" w:firstRowFirstColumn="0" w:firstRowLastColumn="0" w:lastRowFirstColumn="0" w:lastRowLastColumn="0"/>
              <w:rPr>
                <w:b/>
                <w:bCs/>
                <w:iCs/>
                <w:sz w:val="22"/>
              </w:rPr>
            </w:pPr>
          </w:p>
        </w:tc>
      </w:tr>
      <w:tr w:rsidR="004A497F" w14:paraId="148175CB" w14:textId="77777777" w:rsidTr="00C551F4">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4144A614" w14:textId="77777777" w:rsidR="004A497F" w:rsidRDefault="004A497F" w:rsidP="00DE729C">
            <w:pPr>
              <w:spacing w:before="40" w:after="40"/>
              <w:rPr>
                <w:sz w:val="22"/>
              </w:rPr>
            </w:pPr>
            <w:r>
              <w:rPr>
                <w:sz w:val="22"/>
              </w:rPr>
              <w:t xml:space="preserve">Balance </w:t>
            </w:r>
            <w:proofErr w:type="gramStart"/>
            <w:r>
              <w:rPr>
                <w:sz w:val="22"/>
              </w:rPr>
              <w:t>at</w:t>
            </w:r>
            <w:proofErr w:type="gramEnd"/>
            <w:r>
              <w:rPr>
                <w:sz w:val="22"/>
              </w:rPr>
              <w:t xml:space="preserve"> 30 June 2025</w:t>
            </w:r>
          </w:p>
        </w:tc>
        <w:tc>
          <w:tcPr>
            <w:tcW w:w="1418" w:type="dxa"/>
            <w:vAlign w:val="center"/>
            <w:hideMark/>
          </w:tcPr>
          <w:p w14:paraId="01A42E9A"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982</w:t>
            </w:r>
          </w:p>
        </w:tc>
        <w:tc>
          <w:tcPr>
            <w:tcW w:w="1984" w:type="dxa"/>
            <w:vAlign w:val="center"/>
            <w:hideMark/>
          </w:tcPr>
          <w:p w14:paraId="129C7B8D"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 xml:space="preserve"> 883</w:t>
            </w:r>
          </w:p>
        </w:tc>
        <w:tc>
          <w:tcPr>
            <w:tcW w:w="1276" w:type="dxa"/>
            <w:vAlign w:val="center"/>
            <w:hideMark/>
          </w:tcPr>
          <w:p w14:paraId="183C8D25"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6" w:type="dxa"/>
            <w:vAlign w:val="center"/>
            <w:hideMark/>
          </w:tcPr>
          <w:p w14:paraId="65FF76E7"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1,865</w:t>
            </w:r>
          </w:p>
        </w:tc>
      </w:tr>
      <w:tr w:rsidR="004A497F" w14:paraId="15460BAD" w14:textId="77777777" w:rsidTr="00C551F4">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45909DE6" w14:textId="77777777" w:rsidR="004A497F" w:rsidRDefault="004A497F" w:rsidP="00DE729C">
            <w:pPr>
              <w:spacing w:before="40" w:after="40"/>
              <w:rPr>
                <w:sz w:val="22"/>
              </w:rPr>
            </w:pPr>
            <w:r>
              <w:rPr>
                <w:sz w:val="22"/>
              </w:rPr>
              <w:t>Amortisation</w:t>
            </w:r>
          </w:p>
        </w:tc>
        <w:tc>
          <w:tcPr>
            <w:tcW w:w="1418" w:type="dxa"/>
          </w:tcPr>
          <w:p w14:paraId="58066063" w14:textId="47D8A204" w:rsidR="004A497F" w:rsidRPr="006E6720" w:rsidRDefault="004B15E2"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highlight w:val="yellow"/>
              </w:rPr>
            </w:pPr>
            <w:r>
              <w:rPr>
                <w:sz w:val="22"/>
              </w:rPr>
              <w:t>189</w:t>
            </w:r>
          </w:p>
        </w:tc>
        <w:tc>
          <w:tcPr>
            <w:tcW w:w="1984" w:type="dxa"/>
          </w:tcPr>
          <w:p w14:paraId="07AC9C05" w14:textId="2F832167" w:rsidR="004A497F" w:rsidRDefault="00C27816"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w:t>
            </w:r>
            <w:r w:rsidR="004B15E2">
              <w:rPr>
                <w:sz w:val="22"/>
              </w:rPr>
              <w:t>15</w:t>
            </w:r>
          </w:p>
        </w:tc>
        <w:tc>
          <w:tcPr>
            <w:tcW w:w="1276" w:type="dxa"/>
          </w:tcPr>
          <w:p w14:paraId="03EA2E6F" w14:textId="67DFC649" w:rsidR="004A497F" w:rsidRDefault="00F12C69"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276" w:type="dxa"/>
          </w:tcPr>
          <w:p w14:paraId="4A03F7CB" w14:textId="47FB7514" w:rsidR="004A497F" w:rsidRDefault="00C27816"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604</w:t>
            </w:r>
          </w:p>
        </w:tc>
      </w:tr>
      <w:tr w:rsidR="004A497F" w14:paraId="1E100DE8" w14:textId="77777777" w:rsidTr="00C551F4">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tcPr>
          <w:p w14:paraId="3B3AB906" w14:textId="77777777" w:rsidR="004A497F" w:rsidRDefault="004A497F" w:rsidP="00DE729C">
            <w:pPr>
              <w:spacing w:before="40" w:after="40"/>
              <w:rPr>
                <w:sz w:val="22"/>
              </w:rPr>
            </w:pPr>
            <w:r>
              <w:rPr>
                <w:sz w:val="22"/>
              </w:rPr>
              <w:t>Reverse Depreciation on Disposals</w:t>
            </w:r>
          </w:p>
        </w:tc>
        <w:tc>
          <w:tcPr>
            <w:tcW w:w="1418" w:type="dxa"/>
          </w:tcPr>
          <w:p w14:paraId="56D8F877" w14:textId="2C55B54A"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984" w:type="dxa"/>
          </w:tcPr>
          <w:p w14:paraId="5CC0CC8A" w14:textId="641452A3"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6" w:type="dxa"/>
          </w:tcPr>
          <w:p w14:paraId="6B73A5C5" w14:textId="0D09B01E"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6" w:type="dxa"/>
          </w:tcPr>
          <w:p w14:paraId="4EAB5606" w14:textId="2F42902F" w:rsidR="004A497F"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3D6E0A" w14:paraId="7B8F077A" w14:textId="77777777" w:rsidTr="00C551F4">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hideMark/>
          </w:tcPr>
          <w:p w14:paraId="68F23C12" w14:textId="77777777" w:rsidR="004A497F" w:rsidRDefault="004A497F" w:rsidP="00DE729C">
            <w:pPr>
              <w:spacing w:before="40" w:after="40"/>
              <w:rPr>
                <w:b/>
                <w:bCs/>
                <w:iCs/>
                <w:sz w:val="22"/>
              </w:rPr>
            </w:pPr>
            <w:r>
              <w:rPr>
                <w:b/>
                <w:bCs/>
                <w:iCs/>
                <w:sz w:val="22"/>
              </w:rPr>
              <w:t xml:space="preserve">Balance </w:t>
            </w:r>
            <w:proofErr w:type="gramStart"/>
            <w:r>
              <w:rPr>
                <w:b/>
                <w:bCs/>
                <w:iCs/>
                <w:sz w:val="22"/>
              </w:rPr>
              <w:t>at</w:t>
            </w:r>
            <w:proofErr w:type="gramEnd"/>
            <w:r>
              <w:rPr>
                <w:b/>
                <w:bCs/>
                <w:iCs/>
                <w:sz w:val="22"/>
              </w:rPr>
              <w:t xml:space="preserve"> 30 June 2026</w:t>
            </w:r>
          </w:p>
        </w:tc>
        <w:tc>
          <w:tcPr>
            <w:tcW w:w="1418" w:type="dxa"/>
            <w:shd w:val="clear" w:color="auto" w:fill="BFBFBF"/>
          </w:tcPr>
          <w:p w14:paraId="2FF7609F" w14:textId="6CA42053" w:rsidR="004A497F" w:rsidRDefault="00C27816"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1,1</w:t>
            </w:r>
            <w:r w:rsidR="004B15E2">
              <w:rPr>
                <w:b/>
                <w:bCs/>
                <w:iCs/>
                <w:sz w:val="22"/>
              </w:rPr>
              <w:t>71</w:t>
            </w:r>
          </w:p>
        </w:tc>
        <w:tc>
          <w:tcPr>
            <w:tcW w:w="1984" w:type="dxa"/>
            <w:shd w:val="clear" w:color="auto" w:fill="BFBFBF"/>
          </w:tcPr>
          <w:p w14:paraId="404284AF" w14:textId="7EF2764E" w:rsidR="004A497F" w:rsidRDefault="004B15E2"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1,298</w:t>
            </w:r>
          </w:p>
        </w:tc>
        <w:tc>
          <w:tcPr>
            <w:tcW w:w="1276" w:type="dxa"/>
            <w:shd w:val="clear" w:color="auto" w:fill="BFBFBF"/>
          </w:tcPr>
          <w:p w14:paraId="52E90E02"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p>
        </w:tc>
        <w:tc>
          <w:tcPr>
            <w:tcW w:w="1276" w:type="dxa"/>
            <w:shd w:val="clear" w:color="auto" w:fill="BFBFBF"/>
          </w:tcPr>
          <w:p w14:paraId="51CB33CC" w14:textId="1676DD9E" w:rsidR="004A497F" w:rsidRDefault="00C27816"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2,469</w:t>
            </w:r>
          </w:p>
        </w:tc>
      </w:tr>
      <w:tr w:rsidR="004A497F" w14:paraId="572FB014" w14:textId="77777777" w:rsidTr="00C551F4">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391EC284" w14:textId="77777777" w:rsidR="004A497F" w:rsidRDefault="004A497F" w:rsidP="00DE729C">
            <w:pPr>
              <w:spacing w:before="40" w:after="40"/>
              <w:rPr>
                <w:sz w:val="22"/>
              </w:rPr>
            </w:pPr>
            <w:r>
              <w:rPr>
                <w:sz w:val="22"/>
              </w:rPr>
              <w:t>Carrying Amounts</w:t>
            </w:r>
          </w:p>
        </w:tc>
        <w:tc>
          <w:tcPr>
            <w:tcW w:w="1418" w:type="dxa"/>
            <w:tcBorders>
              <w:bottom w:val="single" w:sz="2" w:space="0" w:color="FFFFFF" w:themeColor="background1"/>
            </w:tcBorders>
          </w:tcPr>
          <w:p w14:paraId="6C190AB5"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1984" w:type="dxa"/>
            <w:tcBorders>
              <w:bottom w:val="single" w:sz="2" w:space="0" w:color="FFFFFF" w:themeColor="background1"/>
            </w:tcBorders>
          </w:tcPr>
          <w:p w14:paraId="17BCA9E8"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1276" w:type="dxa"/>
            <w:tcBorders>
              <w:bottom w:val="single" w:sz="2" w:space="0" w:color="FFFFFF" w:themeColor="background1"/>
            </w:tcBorders>
          </w:tcPr>
          <w:p w14:paraId="3BCEEF57"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1276" w:type="dxa"/>
            <w:tcBorders>
              <w:bottom w:val="single" w:sz="2" w:space="0" w:color="FFFFFF" w:themeColor="background1"/>
            </w:tcBorders>
          </w:tcPr>
          <w:p w14:paraId="0CC0B014"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r>
      <w:tr w:rsidR="004A497F" w14:paraId="6CD7E84B" w14:textId="77777777" w:rsidTr="00C551F4">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5B82CDAD" w14:textId="77777777" w:rsidR="004A497F" w:rsidRDefault="004A497F" w:rsidP="00DE729C">
            <w:pPr>
              <w:spacing w:before="40" w:after="40"/>
              <w:rPr>
                <w:sz w:val="22"/>
              </w:rPr>
            </w:pPr>
            <w:proofErr w:type="gramStart"/>
            <w:r>
              <w:rPr>
                <w:sz w:val="22"/>
              </w:rPr>
              <w:t>At</w:t>
            </w:r>
            <w:proofErr w:type="gramEnd"/>
            <w:r>
              <w:rPr>
                <w:sz w:val="22"/>
              </w:rPr>
              <w:t xml:space="preserve"> 30 June 2025</w:t>
            </w:r>
          </w:p>
        </w:tc>
        <w:tc>
          <w:tcPr>
            <w:tcW w:w="1418" w:type="dxa"/>
            <w:tcBorders>
              <w:bottom w:val="single" w:sz="2" w:space="0" w:color="FFFFFF" w:themeColor="background1"/>
            </w:tcBorders>
            <w:vAlign w:val="center"/>
            <w:hideMark/>
          </w:tcPr>
          <w:p w14:paraId="44193A97"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188</w:t>
            </w:r>
          </w:p>
        </w:tc>
        <w:tc>
          <w:tcPr>
            <w:tcW w:w="1984" w:type="dxa"/>
            <w:tcBorders>
              <w:bottom w:val="single" w:sz="2" w:space="0" w:color="FFFFFF" w:themeColor="background1"/>
            </w:tcBorders>
            <w:vAlign w:val="center"/>
            <w:hideMark/>
          </w:tcPr>
          <w:p w14:paraId="16E99D68"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3,371</w:t>
            </w:r>
          </w:p>
        </w:tc>
        <w:tc>
          <w:tcPr>
            <w:tcW w:w="1276" w:type="dxa"/>
            <w:tcBorders>
              <w:bottom w:val="single" w:sz="2" w:space="0" w:color="FFFFFF" w:themeColor="background1"/>
            </w:tcBorders>
            <w:vAlign w:val="center"/>
            <w:hideMark/>
          </w:tcPr>
          <w:p w14:paraId="1B485D80"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w:t>
            </w:r>
          </w:p>
        </w:tc>
        <w:tc>
          <w:tcPr>
            <w:tcW w:w="1276" w:type="dxa"/>
            <w:tcBorders>
              <w:bottom w:val="single" w:sz="2" w:space="0" w:color="FFFFFF" w:themeColor="background1"/>
            </w:tcBorders>
            <w:vAlign w:val="center"/>
            <w:hideMark/>
          </w:tcPr>
          <w:p w14:paraId="4237AC40"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3,565</w:t>
            </w:r>
          </w:p>
        </w:tc>
      </w:tr>
      <w:tr w:rsidR="00B1665E" w14:paraId="631D5820" w14:textId="77777777" w:rsidTr="00C551F4">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hideMark/>
          </w:tcPr>
          <w:p w14:paraId="31F7654E" w14:textId="77777777" w:rsidR="004A497F" w:rsidRDefault="004A497F" w:rsidP="00DE729C">
            <w:pPr>
              <w:spacing w:before="40" w:after="40"/>
              <w:rPr>
                <w:b/>
                <w:bCs/>
                <w:iCs/>
                <w:sz w:val="22"/>
              </w:rPr>
            </w:pPr>
            <w:proofErr w:type="gramStart"/>
            <w:r>
              <w:rPr>
                <w:b/>
                <w:bCs/>
                <w:iCs/>
                <w:sz w:val="22"/>
              </w:rPr>
              <w:t>At</w:t>
            </w:r>
            <w:proofErr w:type="gramEnd"/>
            <w:r>
              <w:rPr>
                <w:b/>
                <w:bCs/>
                <w:iCs/>
                <w:sz w:val="22"/>
              </w:rPr>
              <w:t xml:space="preserve"> 30 June 2026</w:t>
            </w:r>
          </w:p>
        </w:tc>
        <w:tc>
          <w:tcPr>
            <w:tcW w:w="1418" w:type="dxa"/>
            <w:shd w:val="clear" w:color="auto" w:fill="BFBFBF"/>
          </w:tcPr>
          <w:p w14:paraId="7AF63614" w14:textId="6007E689" w:rsidR="004A497F" w:rsidRPr="00022061" w:rsidRDefault="009710C6"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sidRPr="00022061">
              <w:rPr>
                <w:b/>
                <w:bCs/>
                <w:iCs/>
                <w:sz w:val="22"/>
              </w:rPr>
              <w:t>0</w:t>
            </w:r>
          </w:p>
        </w:tc>
        <w:tc>
          <w:tcPr>
            <w:tcW w:w="1984" w:type="dxa"/>
            <w:shd w:val="clear" w:color="auto" w:fill="BFBFBF"/>
          </w:tcPr>
          <w:p w14:paraId="528587D0" w14:textId="1A4AAD80" w:rsidR="004A497F" w:rsidRDefault="00C27816"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2,9</w:t>
            </w:r>
            <w:r w:rsidR="003617F7">
              <w:rPr>
                <w:b/>
                <w:bCs/>
                <w:iCs/>
                <w:sz w:val="22"/>
              </w:rPr>
              <w:t>56</w:t>
            </w:r>
          </w:p>
        </w:tc>
        <w:tc>
          <w:tcPr>
            <w:tcW w:w="1276" w:type="dxa"/>
            <w:shd w:val="clear" w:color="auto" w:fill="BFBFBF"/>
          </w:tcPr>
          <w:p w14:paraId="67B81BCA" w14:textId="57DADD7E" w:rsidR="004A497F" w:rsidRDefault="00C27816"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6</w:t>
            </w:r>
          </w:p>
        </w:tc>
        <w:tc>
          <w:tcPr>
            <w:tcW w:w="1276" w:type="dxa"/>
            <w:shd w:val="clear" w:color="auto" w:fill="BFBFBF"/>
          </w:tcPr>
          <w:p w14:paraId="1D0EFD6F" w14:textId="0A0AB277" w:rsidR="004A497F" w:rsidRDefault="00C27816"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2,962</w:t>
            </w:r>
          </w:p>
        </w:tc>
      </w:tr>
      <w:bookmarkEnd w:id="102"/>
    </w:tbl>
    <w:p w14:paraId="022B8F88" w14:textId="77777777" w:rsidR="004A497F" w:rsidRDefault="004A497F" w:rsidP="004A497F">
      <w:pPr>
        <w:pStyle w:val="BodyText"/>
      </w:pPr>
    </w:p>
    <w:tbl>
      <w:tblPr>
        <w:tblStyle w:val="TableGridAnnualReport151"/>
        <w:tblpPr w:leftFromText="180" w:rightFromText="180" w:vertAnchor="text" w:tblpY="1"/>
        <w:tblOverlap w:val="never"/>
        <w:tblW w:w="9346" w:type="dxa"/>
        <w:tblInd w:w="0" w:type="dxa"/>
        <w:tblLayout w:type="fixed"/>
        <w:tblLook w:val="04A0" w:firstRow="1" w:lastRow="0" w:firstColumn="1" w:lastColumn="0" w:noHBand="0" w:noVBand="1"/>
      </w:tblPr>
      <w:tblGrid>
        <w:gridCol w:w="3392"/>
        <w:gridCol w:w="1418"/>
        <w:gridCol w:w="1984"/>
        <w:gridCol w:w="1276"/>
        <w:gridCol w:w="1276"/>
      </w:tblGrid>
      <w:tr w:rsidR="00C551F4" w14:paraId="03D235CD" w14:textId="77777777" w:rsidTr="00404085">
        <w:trPr>
          <w:cnfStyle w:val="100000000000" w:firstRow="1" w:lastRow="0" w:firstColumn="0" w:lastColumn="0" w:oddVBand="0" w:evenVBand="0" w:oddHBand="0" w:evenHBand="0" w:firstRowFirstColumn="0" w:firstRowLastColumn="0" w:lastRowFirstColumn="0" w:lastRowLastColumn="0"/>
          <w:trHeight w:val="793"/>
          <w:tblHeader/>
        </w:trPr>
        <w:tc>
          <w:tcPr>
            <w:cnfStyle w:val="001000000000" w:firstRow="0" w:lastRow="0" w:firstColumn="1" w:lastColumn="0" w:oddVBand="0" w:evenVBand="0" w:oddHBand="0" w:evenHBand="0" w:firstRowFirstColumn="0" w:firstRowLastColumn="0" w:lastRowFirstColumn="0" w:lastRowLastColumn="0"/>
            <w:tcW w:w="3392" w:type="dxa"/>
            <w:shd w:val="clear" w:color="auto" w:fill="017E5D"/>
            <w:vAlign w:val="center"/>
            <w:hideMark/>
          </w:tcPr>
          <w:p w14:paraId="76E00D8F" w14:textId="77777777" w:rsidR="00C551F4" w:rsidRPr="00A64439" w:rsidRDefault="00C551F4" w:rsidP="00A07A0C">
            <w:pPr>
              <w:keepNext/>
              <w:spacing w:before="60" w:after="60" w:line="240" w:lineRule="auto"/>
              <w:rPr>
                <w:color w:val="FFFFFF" w:themeColor="background1"/>
                <w:sz w:val="22"/>
              </w:rPr>
            </w:pPr>
            <w:bookmarkStart w:id="103" w:name="_Hlk228431663"/>
            <w:r w:rsidRPr="00A64439">
              <w:rPr>
                <w:color w:val="FFFFFF" w:themeColor="background1"/>
                <w:sz w:val="22"/>
              </w:rPr>
              <w:t>2025</w:t>
            </w:r>
          </w:p>
        </w:tc>
        <w:tc>
          <w:tcPr>
            <w:tcW w:w="1418" w:type="dxa"/>
            <w:shd w:val="clear" w:color="auto" w:fill="017E5D"/>
            <w:vAlign w:val="bottom"/>
            <w:hideMark/>
          </w:tcPr>
          <w:p w14:paraId="0C7519F8" w14:textId="7B4BA45B" w:rsidR="00C551F4" w:rsidRPr="00C551F4" w:rsidRDefault="00C551F4" w:rsidP="00C551F4">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C551F4">
              <w:rPr>
                <w:color w:val="FFFFFF" w:themeColor="background1"/>
                <w:sz w:val="22"/>
              </w:rPr>
              <w:t>Acquired</w:t>
            </w:r>
            <w:r w:rsidRPr="00C551F4">
              <w:rPr>
                <w:color w:val="FFFFFF" w:themeColor="background1"/>
                <w:sz w:val="22"/>
              </w:rPr>
              <w:br/>
              <w:t>software</w:t>
            </w:r>
            <w:r w:rsidRPr="00C551F4">
              <w:rPr>
                <w:color w:val="FFFFFF" w:themeColor="background1"/>
                <w:sz w:val="22"/>
              </w:rPr>
              <w:br/>
              <w:t>$(000)</w:t>
            </w:r>
          </w:p>
        </w:tc>
        <w:tc>
          <w:tcPr>
            <w:tcW w:w="1984" w:type="dxa"/>
            <w:shd w:val="clear" w:color="auto" w:fill="017E5D"/>
            <w:vAlign w:val="bottom"/>
            <w:hideMark/>
          </w:tcPr>
          <w:p w14:paraId="0371EBAE" w14:textId="2F9F9654" w:rsidR="00C551F4" w:rsidRPr="00C551F4" w:rsidRDefault="00C551F4" w:rsidP="00404085">
            <w:pPr>
              <w:keepNext/>
              <w:spacing w:before="60" w:after="6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C551F4">
              <w:rPr>
                <w:color w:val="FFFFFF" w:themeColor="background1"/>
                <w:sz w:val="22"/>
              </w:rPr>
              <w:t>Internally</w:t>
            </w:r>
            <w:r w:rsidR="00404085">
              <w:rPr>
                <w:color w:val="FFFFFF" w:themeColor="background1"/>
                <w:sz w:val="22"/>
              </w:rPr>
              <w:t xml:space="preserve"> </w:t>
            </w:r>
            <w:r w:rsidRPr="00C551F4">
              <w:rPr>
                <w:color w:val="FFFFFF" w:themeColor="background1"/>
                <w:sz w:val="22"/>
              </w:rPr>
              <w:t>generated software</w:t>
            </w:r>
            <w:r w:rsidRPr="00C551F4">
              <w:rPr>
                <w:color w:val="FFFFFF" w:themeColor="background1"/>
                <w:sz w:val="22"/>
              </w:rPr>
              <w:br/>
              <w:t>$(000)</w:t>
            </w:r>
          </w:p>
        </w:tc>
        <w:tc>
          <w:tcPr>
            <w:tcW w:w="1276" w:type="dxa"/>
            <w:shd w:val="clear" w:color="auto" w:fill="017E5D"/>
            <w:vAlign w:val="bottom"/>
            <w:hideMark/>
          </w:tcPr>
          <w:p w14:paraId="446B289C" w14:textId="05F55433" w:rsidR="00C551F4" w:rsidRPr="00C551F4" w:rsidRDefault="00C551F4" w:rsidP="00C551F4">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C551F4">
              <w:rPr>
                <w:color w:val="FFFFFF" w:themeColor="background1"/>
                <w:sz w:val="22"/>
              </w:rPr>
              <w:t>Trademark</w:t>
            </w:r>
            <w:r w:rsidRPr="00C551F4">
              <w:rPr>
                <w:color w:val="FFFFFF" w:themeColor="background1"/>
                <w:sz w:val="22"/>
              </w:rPr>
              <w:br/>
              <w:t>$(000)</w:t>
            </w:r>
          </w:p>
        </w:tc>
        <w:tc>
          <w:tcPr>
            <w:tcW w:w="1276" w:type="dxa"/>
            <w:shd w:val="clear" w:color="auto" w:fill="017E5D"/>
            <w:vAlign w:val="bottom"/>
            <w:hideMark/>
          </w:tcPr>
          <w:p w14:paraId="5E01BD90" w14:textId="6F66010F" w:rsidR="00C551F4" w:rsidRPr="00C551F4" w:rsidRDefault="00C551F4" w:rsidP="00C551F4">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C551F4">
              <w:rPr>
                <w:color w:val="FFFFFF" w:themeColor="background1"/>
                <w:sz w:val="22"/>
              </w:rPr>
              <w:t>Total</w:t>
            </w:r>
            <w:r w:rsidRPr="00C551F4">
              <w:rPr>
                <w:color w:val="FFFFFF" w:themeColor="background1"/>
                <w:sz w:val="22"/>
              </w:rPr>
              <w:br/>
              <w:t>$(000)</w:t>
            </w:r>
          </w:p>
        </w:tc>
      </w:tr>
      <w:tr w:rsidR="00B1665E" w14:paraId="7D90FA4C" w14:textId="77777777" w:rsidTr="0040408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2" w:type="dxa"/>
            <w:tcBorders>
              <w:top w:val="single" w:sz="8" w:space="0" w:color="FFFFFF" w:themeColor="background1"/>
              <w:right w:val="single" w:sz="8" w:space="0" w:color="FFFFFF" w:themeColor="background1"/>
            </w:tcBorders>
            <w:hideMark/>
          </w:tcPr>
          <w:p w14:paraId="3266AFF2" w14:textId="77777777" w:rsidR="004A497F" w:rsidRDefault="004A497F" w:rsidP="00DE729C">
            <w:pPr>
              <w:spacing w:before="40" w:after="40"/>
              <w:rPr>
                <w:b/>
                <w:bCs/>
                <w:iCs/>
                <w:sz w:val="22"/>
              </w:rPr>
            </w:pPr>
            <w:r>
              <w:rPr>
                <w:b/>
                <w:bCs/>
                <w:iCs/>
                <w:sz w:val="22"/>
              </w:rPr>
              <w:t xml:space="preserve">Cost </w:t>
            </w:r>
          </w:p>
        </w:tc>
        <w:tc>
          <w:tcPr>
            <w:tcW w:w="1418" w:type="dxa"/>
            <w:shd w:val="clear" w:color="auto" w:fill="BFBFBF"/>
          </w:tcPr>
          <w:p w14:paraId="2878B2C7"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984" w:type="dxa"/>
            <w:shd w:val="clear" w:color="auto" w:fill="BFBFBF"/>
          </w:tcPr>
          <w:p w14:paraId="396F4A4B"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276" w:type="dxa"/>
            <w:shd w:val="clear" w:color="auto" w:fill="BFBFBF"/>
          </w:tcPr>
          <w:p w14:paraId="7D81FC74"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c>
          <w:tcPr>
            <w:tcW w:w="1276" w:type="dxa"/>
            <w:shd w:val="clear" w:color="auto" w:fill="BFBFBF"/>
          </w:tcPr>
          <w:p w14:paraId="7EBEECD7" w14:textId="77777777" w:rsidR="004A497F" w:rsidRDefault="004A497F"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r>
      <w:tr w:rsidR="004A497F" w14:paraId="5C093A97" w14:textId="77777777" w:rsidTr="0040408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top w:val="single" w:sz="4" w:space="0" w:color="FFFFFF" w:themeColor="background1"/>
              <w:bottom w:val="single" w:sz="8" w:space="0" w:color="FFFFFF" w:themeColor="background1"/>
            </w:tcBorders>
            <w:shd w:val="clear" w:color="auto" w:fill="E9E9E9"/>
            <w:hideMark/>
          </w:tcPr>
          <w:p w14:paraId="3DDF421A" w14:textId="77777777" w:rsidR="004A497F" w:rsidRDefault="004A497F" w:rsidP="00DE729C">
            <w:pPr>
              <w:spacing w:before="40" w:after="40"/>
              <w:rPr>
                <w:sz w:val="22"/>
              </w:rPr>
            </w:pPr>
            <w:r>
              <w:rPr>
                <w:sz w:val="22"/>
              </w:rPr>
              <w:t xml:space="preserve">Balance </w:t>
            </w:r>
            <w:proofErr w:type="gramStart"/>
            <w:r>
              <w:rPr>
                <w:sz w:val="22"/>
              </w:rPr>
              <w:t>at</w:t>
            </w:r>
            <w:proofErr w:type="gramEnd"/>
            <w:r>
              <w:rPr>
                <w:sz w:val="22"/>
              </w:rPr>
              <w:t xml:space="preserve"> 30 June 2024</w:t>
            </w:r>
          </w:p>
        </w:tc>
        <w:tc>
          <w:tcPr>
            <w:tcW w:w="1418" w:type="dxa"/>
            <w:vAlign w:val="center"/>
            <w:hideMark/>
          </w:tcPr>
          <w:p w14:paraId="38F7A91A"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r>
              <w:rPr>
                <w:bCs/>
                <w:iCs/>
                <w:sz w:val="22"/>
              </w:rPr>
              <w:t>1,175</w:t>
            </w:r>
          </w:p>
        </w:tc>
        <w:tc>
          <w:tcPr>
            <w:tcW w:w="1984" w:type="dxa"/>
            <w:vAlign w:val="center"/>
          </w:tcPr>
          <w:p w14:paraId="101F1321"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 xml:space="preserve"> 3,528</w:t>
            </w:r>
          </w:p>
        </w:tc>
        <w:tc>
          <w:tcPr>
            <w:tcW w:w="1276" w:type="dxa"/>
            <w:vAlign w:val="center"/>
            <w:hideMark/>
          </w:tcPr>
          <w:p w14:paraId="132D93C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w:t>
            </w:r>
          </w:p>
        </w:tc>
        <w:tc>
          <w:tcPr>
            <w:tcW w:w="1276" w:type="dxa"/>
            <w:vAlign w:val="center"/>
            <w:hideMark/>
          </w:tcPr>
          <w:p w14:paraId="568C363A"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 xml:space="preserve"> 4,709</w:t>
            </w:r>
          </w:p>
        </w:tc>
      </w:tr>
      <w:tr w:rsidR="004A497F" w14:paraId="7E265B65" w14:textId="77777777" w:rsidTr="0040408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6919A5CB" w14:textId="77777777" w:rsidR="004A497F" w:rsidRDefault="004A497F" w:rsidP="00DE729C">
            <w:pPr>
              <w:spacing w:before="40" w:after="40"/>
              <w:rPr>
                <w:sz w:val="22"/>
              </w:rPr>
            </w:pPr>
            <w:r>
              <w:rPr>
                <w:sz w:val="22"/>
              </w:rPr>
              <w:t>Additions</w:t>
            </w:r>
          </w:p>
        </w:tc>
        <w:tc>
          <w:tcPr>
            <w:tcW w:w="1418" w:type="dxa"/>
            <w:vAlign w:val="center"/>
            <w:hideMark/>
          </w:tcPr>
          <w:p w14:paraId="17FA4F04"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984" w:type="dxa"/>
            <w:vAlign w:val="center"/>
          </w:tcPr>
          <w:p w14:paraId="78B60000"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726</w:t>
            </w:r>
          </w:p>
        </w:tc>
        <w:tc>
          <w:tcPr>
            <w:tcW w:w="1276" w:type="dxa"/>
            <w:vAlign w:val="center"/>
            <w:hideMark/>
          </w:tcPr>
          <w:p w14:paraId="792AFF00"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6" w:type="dxa"/>
            <w:vAlign w:val="center"/>
          </w:tcPr>
          <w:p w14:paraId="01859EB6"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726</w:t>
            </w:r>
          </w:p>
        </w:tc>
      </w:tr>
      <w:tr w:rsidR="004A497F" w14:paraId="05704437" w14:textId="77777777" w:rsidTr="0040408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tcPr>
          <w:p w14:paraId="208D2323" w14:textId="77777777" w:rsidR="004A497F" w:rsidRDefault="004A497F" w:rsidP="00DE729C">
            <w:pPr>
              <w:spacing w:before="40" w:after="40"/>
              <w:rPr>
                <w:sz w:val="22"/>
              </w:rPr>
            </w:pPr>
            <w:r>
              <w:rPr>
                <w:sz w:val="22"/>
              </w:rPr>
              <w:t>Disposals</w:t>
            </w:r>
          </w:p>
        </w:tc>
        <w:tc>
          <w:tcPr>
            <w:tcW w:w="1418" w:type="dxa"/>
            <w:vAlign w:val="center"/>
          </w:tcPr>
          <w:p w14:paraId="6189B4E1"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(5)</w:t>
            </w:r>
          </w:p>
        </w:tc>
        <w:tc>
          <w:tcPr>
            <w:tcW w:w="1984" w:type="dxa"/>
            <w:vAlign w:val="center"/>
          </w:tcPr>
          <w:p w14:paraId="7AECFA4B" w14:textId="77777777" w:rsidR="004A497F" w:rsidRPr="003752F4" w:rsidDel="003752F4"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highlight w:val="yellow"/>
              </w:rPr>
            </w:pPr>
            <w:r>
              <w:rPr>
                <w:sz w:val="22"/>
              </w:rPr>
              <w:t>-</w:t>
            </w:r>
          </w:p>
        </w:tc>
        <w:tc>
          <w:tcPr>
            <w:tcW w:w="1276" w:type="dxa"/>
            <w:vAlign w:val="center"/>
          </w:tcPr>
          <w:p w14:paraId="704B184A"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276" w:type="dxa"/>
            <w:vAlign w:val="center"/>
          </w:tcPr>
          <w:p w14:paraId="0BEFB144" w14:textId="77777777" w:rsidR="004A497F" w:rsidDel="003752F4"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(5)</w:t>
            </w:r>
          </w:p>
        </w:tc>
      </w:tr>
      <w:tr w:rsidR="00B1665E" w14:paraId="0BC6B0C1" w14:textId="77777777" w:rsidTr="0040408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4" w:space="0" w:color="FFFFFF" w:themeColor="background1"/>
            </w:tcBorders>
            <w:hideMark/>
          </w:tcPr>
          <w:p w14:paraId="3EF5A289" w14:textId="77777777" w:rsidR="004A497F" w:rsidRDefault="004A497F" w:rsidP="00DE729C">
            <w:pPr>
              <w:spacing w:before="40" w:after="40"/>
              <w:rPr>
                <w:b/>
                <w:bCs/>
                <w:iCs/>
                <w:sz w:val="22"/>
              </w:rPr>
            </w:pPr>
            <w:r>
              <w:rPr>
                <w:b/>
                <w:bCs/>
                <w:iCs/>
                <w:sz w:val="22"/>
              </w:rPr>
              <w:t xml:space="preserve">Balance </w:t>
            </w:r>
            <w:proofErr w:type="gramStart"/>
            <w:r>
              <w:rPr>
                <w:b/>
                <w:bCs/>
                <w:iCs/>
                <w:sz w:val="22"/>
              </w:rPr>
              <w:t>at</w:t>
            </w:r>
            <w:proofErr w:type="gramEnd"/>
            <w:r>
              <w:rPr>
                <w:b/>
                <w:bCs/>
                <w:iCs/>
                <w:sz w:val="22"/>
              </w:rPr>
              <w:t xml:space="preserve"> 30 June 2025</w:t>
            </w:r>
          </w:p>
        </w:tc>
        <w:tc>
          <w:tcPr>
            <w:tcW w:w="1418" w:type="dxa"/>
            <w:shd w:val="clear" w:color="auto" w:fill="BFBFBF"/>
            <w:vAlign w:val="center"/>
          </w:tcPr>
          <w:p w14:paraId="70693038"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1170</w:t>
            </w:r>
          </w:p>
        </w:tc>
        <w:tc>
          <w:tcPr>
            <w:tcW w:w="1984" w:type="dxa"/>
            <w:shd w:val="clear" w:color="auto" w:fill="BFBFBF"/>
            <w:vAlign w:val="center"/>
          </w:tcPr>
          <w:p w14:paraId="0E6BB501"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 xml:space="preserve"> 4,254</w:t>
            </w:r>
          </w:p>
        </w:tc>
        <w:tc>
          <w:tcPr>
            <w:tcW w:w="1276" w:type="dxa"/>
            <w:shd w:val="clear" w:color="auto" w:fill="BFBFBF"/>
            <w:vAlign w:val="center"/>
          </w:tcPr>
          <w:p w14:paraId="550BA720"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6</w:t>
            </w:r>
          </w:p>
        </w:tc>
        <w:tc>
          <w:tcPr>
            <w:tcW w:w="1276" w:type="dxa"/>
            <w:shd w:val="clear" w:color="auto" w:fill="BFBFBF"/>
            <w:vAlign w:val="center"/>
          </w:tcPr>
          <w:p w14:paraId="3B176692"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 xml:space="preserve"> 5,430</w:t>
            </w:r>
          </w:p>
        </w:tc>
      </w:tr>
      <w:tr w:rsidR="00B1665E" w14:paraId="2E3EC47C" w14:textId="77777777" w:rsidTr="0040408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2" w:space="0" w:color="FFFFFF" w:themeColor="background1"/>
              <w:right w:val="single" w:sz="8" w:space="0" w:color="FFFFFF" w:themeColor="background1"/>
            </w:tcBorders>
            <w:hideMark/>
          </w:tcPr>
          <w:p w14:paraId="60779B0D" w14:textId="77777777" w:rsidR="004A497F" w:rsidRDefault="004A497F" w:rsidP="00DE729C">
            <w:pPr>
              <w:spacing w:before="40" w:after="40"/>
              <w:rPr>
                <w:b/>
                <w:bCs/>
                <w:iCs/>
                <w:sz w:val="22"/>
              </w:rPr>
            </w:pPr>
            <w:r>
              <w:rPr>
                <w:b/>
                <w:bCs/>
                <w:iCs/>
                <w:sz w:val="22"/>
              </w:rPr>
              <w:t>Accumulated depreciation and impairment losses</w:t>
            </w:r>
          </w:p>
        </w:tc>
        <w:tc>
          <w:tcPr>
            <w:tcW w:w="1418" w:type="dxa"/>
            <w:tcBorders>
              <w:bottom w:val="single" w:sz="2" w:space="0" w:color="FFFFFF" w:themeColor="background1"/>
            </w:tcBorders>
            <w:shd w:val="clear" w:color="auto" w:fill="BFBFBF"/>
          </w:tcPr>
          <w:p w14:paraId="678431BD" w14:textId="77777777" w:rsidR="004A497F" w:rsidRDefault="004A497F" w:rsidP="00DE729C">
            <w:pPr>
              <w:spacing w:before="40" w:after="40"/>
              <w:cnfStyle w:val="000000010000" w:firstRow="0" w:lastRow="0" w:firstColumn="0" w:lastColumn="0" w:oddVBand="0" w:evenVBand="0" w:oddHBand="0" w:evenHBand="1" w:firstRowFirstColumn="0" w:firstRowLastColumn="0" w:lastRowFirstColumn="0" w:lastRowLastColumn="0"/>
              <w:rPr>
                <w:b/>
                <w:bCs/>
                <w:iCs/>
                <w:sz w:val="22"/>
              </w:rPr>
            </w:pPr>
          </w:p>
        </w:tc>
        <w:tc>
          <w:tcPr>
            <w:tcW w:w="1984" w:type="dxa"/>
            <w:tcBorders>
              <w:bottom w:val="single" w:sz="2" w:space="0" w:color="FFFFFF" w:themeColor="background1"/>
            </w:tcBorders>
            <w:shd w:val="clear" w:color="auto" w:fill="BFBFBF"/>
          </w:tcPr>
          <w:p w14:paraId="55750EB4" w14:textId="77777777" w:rsidR="004A497F" w:rsidRDefault="004A497F" w:rsidP="00DE729C">
            <w:pPr>
              <w:spacing w:before="40" w:after="40"/>
              <w:cnfStyle w:val="000000010000" w:firstRow="0" w:lastRow="0" w:firstColumn="0" w:lastColumn="0" w:oddVBand="0" w:evenVBand="0" w:oddHBand="0" w:evenHBand="1" w:firstRowFirstColumn="0" w:firstRowLastColumn="0" w:lastRowFirstColumn="0" w:lastRowLastColumn="0"/>
              <w:rPr>
                <w:b/>
                <w:bCs/>
                <w:iCs/>
                <w:sz w:val="22"/>
              </w:rPr>
            </w:pPr>
          </w:p>
        </w:tc>
        <w:tc>
          <w:tcPr>
            <w:tcW w:w="1276" w:type="dxa"/>
            <w:tcBorders>
              <w:bottom w:val="single" w:sz="2" w:space="0" w:color="FFFFFF" w:themeColor="background1"/>
            </w:tcBorders>
            <w:shd w:val="clear" w:color="auto" w:fill="BFBFBF"/>
          </w:tcPr>
          <w:p w14:paraId="06C1F094" w14:textId="77777777" w:rsidR="004A497F" w:rsidRDefault="004A497F" w:rsidP="00DE729C">
            <w:pPr>
              <w:spacing w:before="40" w:after="40"/>
              <w:cnfStyle w:val="000000010000" w:firstRow="0" w:lastRow="0" w:firstColumn="0" w:lastColumn="0" w:oddVBand="0" w:evenVBand="0" w:oddHBand="0" w:evenHBand="1" w:firstRowFirstColumn="0" w:firstRowLastColumn="0" w:lastRowFirstColumn="0" w:lastRowLastColumn="0"/>
              <w:rPr>
                <w:b/>
                <w:bCs/>
                <w:iCs/>
                <w:sz w:val="22"/>
              </w:rPr>
            </w:pPr>
          </w:p>
        </w:tc>
        <w:tc>
          <w:tcPr>
            <w:tcW w:w="1276" w:type="dxa"/>
            <w:tcBorders>
              <w:bottom w:val="single" w:sz="2" w:space="0" w:color="FFFFFF" w:themeColor="background1"/>
            </w:tcBorders>
            <w:shd w:val="clear" w:color="auto" w:fill="BFBFBF"/>
          </w:tcPr>
          <w:p w14:paraId="5937016E" w14:textId="77777777" w:rsidR="004A497F" w:rsidRDefault="004A497F" w:rsidP="00DE729C">
            <w:pPr>
              <w:spacing w:before="40" w:after="40"/>
              <w:cnfStyle w:val="000000010000" w:firstRow="0" w:lastRow="0" w:firstColumn="0" w:lastColumn="0" w:oddVBand="0" w:evenVBand="0" w:oddHBand="0" w:evenHBand="1" w:firstRowFirstColumn="0" w:firstRowLastColumn="0" w:lastRowFirstColumn="0" w:lastRowLastColumn="0"/>
              <w:rPr>
                <w:b/>
                <w:bCs/>
                <w:iCs/>
                <w:sz w:val="22"/>
              </w:rPr>
            </w:pPr>
          </w:p>
        </w:tc>
      </w:tr>
      <w:tr w:rsidR="004A497F" w14:paraId="58DB32B7" w14:textId="77777777" w:rsidTr="0040408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390495A0" w14:textId="77777777" w:rsidR="004A497F" w:rsidRDefault="004A497F" w:rsidP="00DE729C">
            <w:pPr>
              <w:spacing w:before="40" w:after="40"/>
              <w:rPr>
                <w:sz w:val="22"/>
              </w:rPr>
            </w:pPr>
            <w:r>
              <w:rPr>
                <w:sz w:val="22"/>
              </w:rPr>
              <w:t xml:space="preserve">Balance </w:t>
            </w:r>
            <w:proofErr w:type="gramStart"/>
            <w:r>
              <w:rPr>
                <w:sz w:val="22"/>
              </w:rPr>
              <w:t>at</w:t>
            </w:r>
            <w:proofErr w:type="gramEnd"/>
            <w:r>
              <w:rPr>
                <w:sz w:val="22"/>
              </w:rPr>
              <w:t xml:space="preserve"> 30 June 2024</w:t>
            </w:r>
          </w:p>
        </w:tc>
        <w:tc>
          <w:tcPr>
            <w:tcW w:w="1418" w:type="dxa"/>
            <w:vAlign w:val="center"/>
            <w:hideMark/>
          </w:tcPr>
          <w:p w14:paraId="7FECE706"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775</w:t>
            </w:r>
          </w:p>
        </w:tc>
        <w:tc>
          <w:tcPr>
            <w:tcW w:w="1984" w:type="dxa"/>
            <w:vAlign w:val="center"/>
            <w:hideMark/>
          </w:tcPr>
          <w:p w14:paraId="3E67D175"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 xml:space="preserve"> 545</w:t>
            </w:r>
          </w:p>
        </w:tc>
        <w:tc>
          <w:tcPr>
            <w:tcW w:w="1276" w:type="dxa"/>
            <w:vAlign w:val="center"/>
            <w:hideMark/>
          </w:tcPr>
          <w:p w14:paraId="2FDB4E25"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6" w:type="dxa"/>
            <w:vAlign w:val="center"/>
            <w:hideMark/>
          </w:tcPr>
          <w:p w14:paraId="0B51B6B7"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1,320</w:t>
            </w:r>
          </w:p>
        </w:tc>
      </w:tr>
      <w:tr w:rsidR="004A497F" w14:paraId="4D059DF2" w14:textId="77777777" w:rsidTr="0040408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6C358512" w14:textId="77777777" w:rsidR="004A497F" w:rsidRDefault="004A497F" w:rsidP="00DE729C">
            <w:pPr>
              <w:spacing w:before="40" w:after="40"/>
              <w:rPr>
                <w:sz w:val="22"/>
              </w:rPr>
            </w:pPr>
            <w:r>
              <w:rPr>
                <w:sz w:val="22"/>
              </w:rPr>
              <w:t>Amortisation</w:t>
            </w:r>
          </w:p>
        </w:tc>
        <w:tc>
          <w:tcPr>
            <w:tcW w:w="1418" w:type="dxa"/>
            <w:vAlign w:val="center"/>
          </w:tcPr>
          <w:p w14:paraId="5C3F07A3" w14:textId="77777777" w:rsidR="004A497F" w:rsidRPr="006E6720"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highlight w:val="yellow"/>
              </w:rPr>
            </w:pPr>
            <w:r>
              <w:rPr>
                <w:sz w:val="22"/>
              </w:rPr>
              <w:t>212</w:t>
            </w:r>
          </w:p>
        </w:tc>
        <w:tc>
          <w:tcPr>
            <w:tcW w:w="1984" w:type="dxa"/>
            <w:vAlign w:val="center"/>
          </w:tcPr>
          <w:p w14:paraId="7914DB0B"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338</w:t>
            </w:r>
          </w:p>
        </w:tc>
        <w:tc>
          <w:tcPr>
            <w:tcW w:w="1276" w:type="dxa"/>
            <w:vAlign w:val="center"/>
          </w:tcPr>
          <w:p w14:paraId="3024253D"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w:t>
            </w:r>
          </w:p>
        </w:tc>
        <w:tc>
          <w:tcPr>
            <w:tcW w:w="1276" w:type="dxa"/>
            <w:vAlign w:val="center"/>
          </w:tcPr>
          <w:p w14:paraId="75B572E4"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550</w:t>
            </w:r>
          </w:p>
        </w:tc>
      </w:tr>
      <w:tr w:rsidR="004A497F" w14:paraId="55A78EA0" w14:textId="77777777" w:rsidTr="0040408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tcPr>
          <w:p w14:paraId="6B893656" w14:textId="77777777" w:rsidR="004A497F" w:rsidRDefault="004A497F" w:rsidP="00DE729C">
            <w:pPr>
              <w:spacing w:before="40" w:after="40"/>
              <w:rPr>
                <w:sz w:val="22"/>
              </w:rPr>
            </w:pPr>
            <w:r>
              <w:rPr>
                <w:sz w:val="22"/>
              </w:rPr>
              <w:t>Reverse Depreciation on Disposals</w:t>
            </w:r>
          </w:p>
        </w:tc>
        <w:tc>
          <w:tcPr>
            <w:tcW w:w="1418" w:type="dxa"/>
            <w:vAlign w:val="center"/>
          </w:tcPr>
          <w:p w14:paraId="09F670E4"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(5)</w:t>
            </w:r>
          </w:p>
        </w:tc>
        <w:tc>
          <w:tcPr>
            <w:tcW w:w="1984" w:type="dxa"/>
            <w:vAlign w:val="center"/>
          </w:tcPr>
          <w:p w14:paraId="4E5580D1"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6" w:type="dxa"/>
            <w:vAlign w:val="center"/>
          </w:tcPr>
          <w:p w14:paraId="413BAF49"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1276" w:type="dxa"/>
            <w:vAlign w:val="center"/>
          </w:tcPr>
          <w:p w14:paraId="29C069CC"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(5)</w:t>
            </w:r>
          </w:p>
        </w:tc>
      </w:tr>
      <w:tr w:rsidR="00B1665E" w14:paraId="39B15B30" w14:textId="77777777" w:rsidTr="0040408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hideMark/>
          </w:tcPr>
          <w:p w14:paraId="18176FF6" w14:textId="77777777" w:rsidR="004A497F" w:rsidRDefault="004A497F" w:rsidP="00DE729C">
            <w:pPr>
              <w:spacing w:before="40" w:after="40"/>
              <w:rPr>
                <w:b/>
                <w:bCs/>
                <w:iCs/>
                <w:sz w:val="22"/>
              </w:rPr>
            </w:pPr>
            <w:r>
              <w:rPr>
                <w:b/>
                <w:bCs/>
                <w:iCs/>
                <w:sz w:val="22"/>
              </w:rPr>
              <w:t xml:space="preserve">Balance </w:t>
            </w:r>
            <w:proofErr w:type="gramStart"/>
            <w:r>
              <w:rPr>
                <w:b/>
                <w:bCs/>
                <w:iCs/>
                <w:sz w:val="22"/>
              </w:rPr>
              <w:t>at</w:t>
            </w:r>
            <w:proofErr w:type="gramEnd"/>
            <w:r>
              <w:rPr>
                <w:b/>
                <w:bCs/>
                <w:iCs/>
                <w:sz w:val="22"/>
              </w:rPr>
              <w:t xml:space="preserve"> 30 June 2025</w:t>
            </w:r>
          </w:p>
        </w:tc>
        <w:tc>
          <w:tcPr>
            <w:tcW w:w="1418" w:type="dxa"/>
            <w:shd w:val="clear" w:color="auto" w:fill="BFBFBF"/>
            <w:vAlign w:val="center"/>
          </w:tcPr>
          <w:p w14:paraId="562EF00E"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982</w:t>
            </w:r>
          </w:p>
        </w:tc>
        <w:tc>
          <w:tcPr>
            <w:tcW w:w="1984" w:type="dxa"/>
            <w:shd w:val="clear" w:color="auto" w:fill="BFBFBF"/>
            <w:vAlign w:val="center"/>
          </w:tcPr>
          <w:p w14:paraId="61BC320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 xml:space="preserve"> 883</w:t>
            </w:r>
          </w:p>
        </w:tc>
        <w:tc>
          <w:tcPr>
            <w:tcW w:w="1276" w:type="dxa"/>
            <w:shd w:val="clear" w:color="auto" w:fill="BFBFBF"/>
            <w:vAlign w:val="center"/>
          </w:tcPr>
          <w:p w14:paraId="0BD955A6"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w:t>
            </w:r>
          </w:p>
        </w:tc>
        <w:tc>
          <w:tcPr>
            <w:tcW w:w="1276" w:type="dxa"/>
            <w:shd w:val="clear" w:color="auto" w:fill="BFBFBF"/>
            <w:vAlign w:val="center"/>
          </w:tcPr>
          <w:p w14:paraId="2BB77FDF"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 xml:space="preserve"> 1,865</w:t>
            </w:r>
          </w:p>
        </w:tc>
      </w:tr>
      <w:tr w:rsidR="004A497F" w14:paraId="5E16726E" w14:textId="77777777" w:rsidTr="0040408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64041DB9" w14:textId="77777777" w:rsidR="004A497F" w:rsidRDefault="004A497F" w:rsidP="00DE729C">
            <w:pPr>
              <w:spacing w:before="40" w:after="40"/>
              <w:rPr>
                <w:sz w:val="22"/>
              </w:rPr>
            </w:pPr>
            <w:r>
              <w:rPr>
                <w:sz w:val="22"/>
              </w:rPr>
              <w:t>Carrying Amounts</w:t>
            </w:r>
          </w:p>
        </w:tc>
        <w:tc>
          <w:tcPr>
            <w:tcW w:w="1418" w:type="dxa"/>
            <w:tcBorders>
              <w:bottom w:val="single" w:sz="2" w:space="0" w:color="FFFFFF" w:themeColor="background1"/>
            </w:tcBorders>
          </w:tcPr>
          <w:p w14:paraId="0CF52185"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1984" w:type="dxa"/>
            <w:tcBorders>
              <w:bottom w:val="single" w:sz="2" w:space="0" w:color="FFFFFF" w:themeColor="background1"/>
            </w:tcBorders>
          </w:tcPr>
          <w:p w14:paraId="3313A097"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1276" w:type="dxa"/>
            <w:tcBorders>
              <w:bottom w:val="single" w:sz="2" w:space="0" w:color="FFFFFF" w:themeColor="background1"/>
            </w:tcBorders>
          </w:tcPr>
          <w:p w14:paraId="1304A051"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1276" w:type="dxa"/>
            <w:tcBorders>
              <w:bottom w:val="single" w:sz="2" w:space="0" w:color="FFFFFF" w:themeColor="background1"/>
            </w:tcBorders>
          </w:tcPr>
          <w:p w14:paraId="338706A3"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r>
      <w:tr w:rsidR="004A497F" w14:paraId="3F8F9135" w14:textId="77777777" w:rsidTr="0040408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tcBorders>
              <w:bottom w:val="single" w:sz="8" w:space="0" w:color="FFFFFF" w:themeColor="background1"/>
            </w:tcBorders>
            <w:shd w:val="clear" w:color="auto" w:fill="E9E9E9"/>
            <w:hideMark/>
          </w:tcPr>
          <w:p w14:paraId="1E30D049" w14:textId="77777777" w:rsidR="004A497F" w:rsidRDefault="004A497F" w:rsidP="00DE729C">
            <w:pPr>
              <w:spacing w:before="40" w:after="40"/>
              <w:rPr>
                <w:sz w:val="22"/>
              </w:rPr>
            </w:pPr>
            <w:proofErr w:type="gramStart"/>
            <w:r>
              <w:rPr>
                <w:sz w:val="22"/>
              </w:rPr>
              <w:t>At</w:t>
            </w:r>
            <w:proofErr w:type="gramEnd"/>
            <w:r>
              <w:rPr>
                <w:sz w:val="22"/>
              </w:rPr>
              <w:t xml:space="preserve"> 30 June 2024</w:t>
            </w:r>
          </w:p>
        </w:tc>
        <w:tc>
          <w:tcPr>
            <w:tcW w:w="1418" w:type="dxa"/>
            <w:tcBorders>
              <w:bottom w:val="single" w:sz="2" w:space="0" w:color="FFFFFF" w:themeColor="background1"/>
            </w:tcBorders>
            <w:vAlign w:val="center"/>
            <w:hideMark/>
          </w:tcPr>
          <w:p w14:paraId="51B350B1"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400</w:t>
            </w:r>
          </w:p>
        </w:tc>
        <w:tc>
          <w:tcPr>
            <w:tcW w:w="1984" w:type="dxa"/>
            <w:tcBorders>
              <w:bottom w:val="single" w:sz="2" w:space="0" w:color="FFFFFF" w:themeColor="background1"/>
            </w:tcBorders>
            <w:vAlign w:val="center"/>
            <w:hideMark/>
          </w:tcPr>
          <w:p w14:paraId="672B7DC6"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2,983</w:t>
            </w:r>
          </w:p>
        </w:tc>
        <w:tc>
          <w:tcPr>
            <w:tcW w:w="1276" w:type="dxa"/>
            <w:tcBorders>
              <w:bottom w:val="single" w:sz="2" w:space="0" w:color="FFFFFF" w:themeColor="background1"/>
            </w:tcBorders>
            <w:vAlign w:val="center"/>
            <w:hideMark/>
          </w:tcPr>
          <w:p w14:paraId="0A850F37"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6</w:t>
            </w:r>
          </w:p>
        </w:tc>
        <w:tc>
          <w:tcPr>
            <w:tcW w:w="1276" w:type="dxa"/>
            <w:tcBorders>
              <w:bottom w:val="single" w:sz="2" w:space="0" w:color="FFFFFF" w:themeColor="background1"/>
            </w:tcBorders>
            <w:vAlign w:val="center"/>
            <w:hideMark/>
          </w:tcPr>
          <w:p w14:paraId="2DA5753E" w14:textId="77777777" w:rsidR="004A497F" w:rsidRDefault="004A497F"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3,389</w:t>
            </w:r>
          </w:p>
        </w:tc>
      </w:tr>
      <w:tr w:rsidR="00B1665E" w14:paraId="062CB129" w14:textId="77777777" w:rsidTr="0040408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3392" w:type="dxa"/>
            <w:hideMark/>
          </w:tcPr>
          <w:p w14:paraId="01C27540" w14:textId="77777777" w:rsidR="004A497F" w:rsidRDefault="004A497F" w:rsidP="00DE729C">
            <w:pPr>
              <w:spacing w:before="40" w:after="40"/>
              <w:rPr>
                <w:b/>
                <w:bCs/>
                <w:iCs/>
                <w:sz w:val="22"/>
              </w:rPr>
            </w:pPr>
            <w:proofErr w:type="gramStart"/>
            <w:r>
              <w:rPr>
                <w:b/>
                <w:bCs/>
                <w:iCs/>
                <w:sz w:val="22"/>
              </w:rPr>
              <w:t>At</w:t>
            </w:r>
            <w:proofErr w:type="gramEnd"/>
            <w:r>
              <w:rPr>
                <w:b/>
                <w:bCs/>
                <w:iCs/>
                <w:sz w:val="22"/>
              </w:rPr>
              <w:t xml:space="preserve"> 30 June 2025</w:t>
            </w:r>
          </w:p>
        </w:tc>
        <w:tc>
          <w:tcPr>
            <w:tcW w:w="1418" w:type="dxa"/>
            <w:shd w:val="clear" w:color="auto" w:fill="BFBFBF"/>
            <w:vAlign w:val="center"/>
          </w:tcPr>
          <w:p w14:paraId="1C18C74F"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188</w:t>
            </w:r>
          </w:p>
        </w:tc>
        <w:tc>
          <w:tcPr>
            <w:tcW w:w="1984" w:type="dxa"/>
            <w:shd w:val="clear" w:color="auto" w:fill="BFBFBF"/>
            <w:vAlign w:val="center"/>
          </w:tcPr>
          <w:p w14:paraId="7DA2D7DF"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3,371</w:t>
            </w:r>
          </w:p>
        </w:tc>
        <w:tc>
          <w:tcPr>
            <w:tcW w:w="1276" w:type="dxa"/>
            <w:shd w:val="clear" w:color="auto" w:fill="BFBFBF"/>
            <w:vAlign w:val="center"/>
          </w:tcPr>
          <w:p w14:paraId="6B40835D"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6</w:t>
            </w:r>
          </w:p>
        </w:tc>
        <w:tc>
          <w:tcPr>
            <w:tcW w:w="1276" w:type="dxa"/>
            <w:shd w:val="clear" w:color="auto" w:fill="BFBFBF"/>
            <w:vAlign w:val="center"/>
          </w:tcPr>
          <w:p w14:paraId="24FC82A5" w14:textId="77777777" w:rsidR="004A497F" w:rsidRDefault="004A497F"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3,565</w:t>
            </w:r>
          </w:p>
        </w:tc>
      </w:tr>
    </w:tbl>
    <w:bookmarkEnd w:id="103"/>
    <w:p w14:paraId="6EDD793A" w14:textId="77777777" w:rsidR="009E74E8" w:rsidRDefault="009E74E8" w:rsidP="009E74E8">
      <w:pPr>
        <w:pStyle w:val="BodyText"/>
      </w:pPr>
      <w:r>
        <w:t>There are no restrictions over the title of the Office’s intangible assets, nor are any intangible assets pledged as security for liabilities.</w:t>
      </w:r>
    </w:p>
    <w:p w14:paraId="40E01E2D" w14:textId="634F3F35" w:rsidR="00032F1F" w:rsidRDefault="00032F1F" w:rsidP="00032F1F">
      <w:pPr>
        <w:pStyle w:val="Heading3"/>
      </w:pPr>
      <w:r>
        <w:t xml:space="preserve">9. Creditors and other payables </w:t>
      </w:r>
    </w:p>
    <w:p w14:paraId="18FEFAFB" w14:textId="77777777" w:rsidR="009E74E8" w:rsidRDefault="009E74E8" w:rsidP="009E74E8">
      <w:pPr>
        <w:pStyle w:val="BodyText"/>
      </w:pPr>
      <w:r>
        <w:t>Creditors and other payables are non-interest bearing and are normally settled on 30-day terms. Therefore, the carrying value of creditors and other payables approximates their fair value.</w:t>
      </w:r>
    </w:p>
    <w:tbl>
      <w:tblPr>
        <w:tblStyle w:val="TableGridAnnualReport171"/>
        <w:tblW w:w="9346" w:type="dxa"/>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1277"/>
        <w:gridCol w:w="4809"/>
        <w:gridCol w:w="1630"/>
        <w:gridCol w:w="1630"/>
      </w:tblGrid>
      <w:tr w:rsidR="008D44DA" w14:paraId="12DB4DD7" w14:textId="77777777" w:rsidTr="00BD58F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3" w:type="pct"/>
            <w:shd w:val="clear" w:color="auto" w:fill="017E5D"/>
            <w:hideMark/>
          </w:tcPr>
          <w:p w14:paraId="64512997" w14:textId="77777777" w:rsidR="008D44DA" w:rsidRDefault="008D44DA" w:rsidP="00DE729C">
            <w:pPr>
              <w:keepNext/>
              <w:spacing w:before="60" w:after="60" w:line="240" w:lineRule="auto"/>
              <w:jc w:val="right"/>
              <w:rPr>
                <w:color w:val="FFFFFF" w:themeColor="background1"/>
              </w:rPr>
            </w:pPr>
            <w:r>
              <w:rPr>
                <w:color w:val="FFFFFF" w:themeColor="background1"/>
              </w:rPr>
              <w:t>Actual</w:t>
            </w:r>
            <w:r>
              <w:rPr>
                <w:color w:val="FFFFFF" w:themeColor="background1"/>
              </w:rPr>
              <w:br/>
              <w:t>2024/25</w:t>
            </w:r>
            <w:r>
              <w:rPr>
                <w:color w:val="FFFFFF" w:themeColor="background1"/>
              </w:rPr>
              <w:br/>
              <w:t>$(000)</w:t>
            </w:r>
          </w:p>
        </w:tc>
        <w:tc>
          <w:tcPr>
            <w:tcW w:w="2573" w:type="pct"/>
            <w:shd w:val="clear" w:color="auto" w:fill="017E5D"/>
          </w:tcPr>
          <w:p w14:paraId="18B58490" w14:textId="77777777" w:rsidR="008D44DA"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rPr>
            </w:pPr>
          </w:p>
        </w:tc>
        <w:tc>
          <w:tcPr>
            <w:tcW w:w="872" w:type="pct"/>
            <w:shd w:val="clear" w:color="auto" w:fill="017E5D"/>
            <w:hideMark/>
          </w:tcPr>
          <w:p w14:paraId="06AB41B6" w14:textId="77777777" w:rsidR="008D44DA"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Actual</w:t>
            </w:r>
            <w:r>
              <w:rPr>
                <w:color w:val="FFFFFF" w:themeColor="background1"/>
              </w:rPr>
              <w:br/>
              <w:t>2025/26</w:t>
            </w:r>
            <w:r>
              <w:rPr>
                <w:color w:val="FFFFFF" w:themeColor="background1"/>
              </w:rPr>
              <w:br/>
              <w:t>$(000)</w:t>
            </w:r>
          </w:p>
        </w:tc>
        <w:tc>
          <w:tcPr>
            <w:tcW w:w="872" w:type="pct"/>
            <w:shd w:val="clear" w:color="auto" w:fill="017E5D"/>
            <w:hideMark/>
          </w:tcPr>
          <w:p w14:paraId="73049BD6" w14:textId="6FDE59F1" w:rsidR="008D44DA"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Main Estimates 2025/26</w:t>
            </w:r>
            <w:r w:rsidR="00B61464">
              <w:rPr>
                <w:color w:val="FFFFFF" w:themeColor="background1"/>
              </w:rPr>
              <w:t>*</w:t>
            </w:r>
            <w:r>
              <w:rPr>
                <w:color w:val="FFFFFF" w:themeColor="background1"/>
              </w:rPr>
              <w:t xml:space="preserve"> $(000)</w:t>
            </w:r>
          </w:p>
        </w:tc>
      </w:tr>
      <w:tr w:rsidR="008D44DA" w14:paraId="29B84033" w14:textId="77777777" w:rsidTr="00BD58F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3" w:type="pct"/>
            <w:tcBorders>
              <w:bottom w:val="single" w:sz="4" w:space="0" w:color="FFFFFF" w:themeColor="background1"/>
            </w:tcBorders>
            <w:shd w:val="clear" w:color="auto" w:fill="E9E9E9"/>
            <w:vAlign w:val="center"/>
            <w:hideMark/>
          </w:tcPr>
          <w:p w14:paraId="0245F691" w14:textId="77777777" w:rsidR="008D44DA" w:rsidRDefault="008D44DA" w:rsidP="00DE729C">
            <w:pPr>
              <w:spacing w:before="40" w:after="40"/>
              <w:jc w:val="right"/>
              <w:rPr>
                <w:sz w:val="22"/>
              </w:rPr>
            </w:pPr>
            <w:r>
              <w:rPr>
                <w:sz w:val="22"/>
              </w:rPr>
              <w:t>1,728</w:t>
            </w:r>
          </w:p>
        </w:tc>
        <w:tc>
          <w:tcPr>
            <w:tcW w:w="2573" w:type="pct"/>
            <w:hideMark/>
          </w:tcPr>
          <w:p w14:paraId="5110DAC3" w14:textId="77777777" w:rsidR="008D44DA" w:rsidRDefault="008D44DA" w:rsidP="00DE729C">
            <w:pPr>
              <w:spacing w:before="40" w:after="40"/>
              <w:cnfStyle w:val="000000100000" w:firstRow="0" w:lastRow="0" w:firstColumn="0" w:lastColumn="0" w:oddVBand="0" w:evenVBand="0" w:oddHBand="1" w:evenHBand="0" w:firstRowFirstColumn="0" w:firstRowLastColumn="0" w:lastRowFirstColumn="0" w:lastRowLastColumn="0"/>
              <w:rPr>
                <w:sz w:val="22"/>
              </w:rPr>
            </w:pPr>
            <w:r>
              <w:rPr>
                <w:sz w:val="22"/>
              </w:rPr>
              <w:t xml:space="preserve">Trade creditors and accruals </w:t>
            </w:r>
          </w:p>
        </w:tc>
        <w:tc>
          <w:tcPr>
            <w:tcW w:w="872" w:type="pct"/>
          </w:tcPr>
          <w:p w14:paraId="0EA54CA0" w14:textId="452679C6" w:rsidR="008D44DA" w:rsidRPr="00A8536C" w:rsidRDefault="0091732D" w:rsidP="00DE729C">
            <w:pPr>
              <w:spacing w:before="40" w:after="40"/>
              <w:jc w:val="right"/>
              <w:cnfStyle w:val="000000100000" w:firstRow="0" w:lastRow="0" w:firstColumn="0" w:lastColumn="0" w:oddVBand="0" w:evenVBand="0" w:oddHBand="1" w:evenHBand="0" w:firstRowFirstColumn="0" w:firstRowLastColumn="0" w:lastRowFirstColumn="0" w:lastRowLastColumn="0"/>
              <w:rPr>
                <w:bCs/>
                <w:iCs/>
                <w:sz w:val="22"/>
              </w:rPr>
            </w:pPr>
            <w:r>
              <w:rPr>
                <w:bCs/>
                <w:iCs/>
                <w:sz w:val="22"/>
              </w:rPr>
              <w:t>1,325</w:t>
            </w:r>
          </w:p>
        </w:tc>
        <w:tc>
          <w:tcPr>
            <w:tcW w:w="872" w:type="pct"/>
            <w:vAlign w:val="center"/>
          </w:tcPr>
          <w:p w14:paraId="7679622D"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highlight w:val="yellow"/>
              </w:rPr>
            </w:pPr>
            <w:r>
              <w:rPr>
                <w:sz w:val="22"/>
              </w:rPr>
              <w:t>870</w:t>
            </w:r>
          </w:p>
        </w:tc>
      </w:tr>
      <w:tr w:rsidR="008D44DA" w14:paraId="7E5239AE" w14:textId="77777777" w:rsidTr="00BD58F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3" w:type="pct"/>
            <w:tcBorders>
              <w:top w:val="single" w:sz="4" w:space="0" w:color="FFFFFF" w:themeColor="background1"/>
              <w:bottom w:val="single" w:sz="4" w:space="0" w:color="FFFFFF" w:themeColor="background1"/>
            </w:tcBorders>
            <w:shd w:val="clear" w:color="auto" w:fill="E9E9E9"/>
            <w:vAlign w:val="center"/>
            <w:hideMark/>
          </w:tcPr>
          <w:p w14:paraId="1C83B514" w14:textId="77777777" w:rsidR="008D44DA" w:rsidRDefault="008D44DA" w:rsidP="00DE729C">
            <w:pPr>
              <w:spacing w:before="40" w:after="40"/>
              <w:jc w:val="right"/>
              <w:rPr>
                <w:sz w:val="22"/>
              </w:rPr>
            </w:pPr>
            <w:r>
              <w:rPr>
                <w:sz w:val="22"/>
              </w:rPr>
              <w:t>459</w:t>
            </w:r>
          </w:p>
        </w:tc>
        <w:tc>
          <w:tcPr>
            <w:tcW w:w="2573" w:type="pct"/>
            <w:hideMark/>
          </w:tcPr>
          <w:p w14:paraId="03C67DDC" w14:textId="77777777" w:rsidR="008D44DA" w:rsidRDefault="008D44DA" w:rsidP="00DE729C">
            <w:pPr>
              <w:spacing w:before="40" w:after="40"/>
              <w:cnfStyle w:val="000000010000" w:firstRow="0" w:lastRow="0" w:firstColumn="0" w:lastColumn="0" w:oddVBand="0" w:evenVBand="0" w:oddHBand="0" w:evenHBand="1" w:firstRowFirstColumn="0" w:firstRowLastColumn="0" w:lastRowFirstColumn="0" w:lastRowLastColumn="0"/>
              <w:rPr>
                <w:sz w:val="22"/>
              </w:rPr>
            </w:pPr>
            <w:r>
              <w:rPr>
                <w:sz w:val="22"/>
              </w:rPr>
              <w:t>GST Payable</w:t>
            </w:r>
          </w:p>
        </w:tc>
        <w:tc>
          <w:tcPr>
            <w:tcW w:w="872" w:type="pct"/>
            <w:tcBorders>
              <w:bottom w:val="single" w:sz="4" w:space="0" w:color="FFFFFF" w:themeColor="background1"/>
            </w:tcBorders>
          </w:tcPr>
          <w:p w14:paraId="70D7203C" w14:textId="6C5626D0" w:rsidR="008D44DA" w:rsidRPr="00A8536C" w:rsidRDefault="00B61464" w:rsidP="00DE729C">
            <w:pPr>
              <w:spacing w:before="40" w:after="40"/>
              <w:jc w:val="right"/>
              <w:cnfStyle w:val="000000010000" w:firstRow="0" w:lastRow="0" w:firstColumn="0" w:lastColumn="0" w:oddVBand="0" w:evenVBand="0" w:oddHBand="0" w:evenHBand="1" w:firstRowFirstColumn="0" w:firstRowLastColumn="0" w:lastRowFirstColumn="0" w:lastRowLastColumn="0"/>
              <w:rPr>
                <w:bCs/>
                <w:iCs/>
                <w:sz w:val="22"/>
              </w:rPr>
            </w:pPr>
            <w:r>
              <w:rPr>
                <w:bCs/>
                <w:iCs/>
                <w:sz w:val="22"/>
              </w:rPr>
              <w:t>316</w:t>
            </w:r>
          </w:p>
        </w:tc>
        <w:tc>
          <w:tcPr>
            <w:tcW w:w="872" w:type="pct"/>
            <w:tcBorders>
              <w:bottom w:val="single" w:sz="4" w:space="0" w:color="FFFFFF" w:themeColor="background1"/>
            </w:tcBorders>
            <w:vAlign w:val="center"/>
          </w:tcPr>
          <w:p w14:paraId="07FC8A4C" w14:textId="77777777" w:rsidR="008D44DA"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534</w:t>
            </w:r>
          </w:p>
        </w:tc>
      </w:tr>
      <w:tr w:rsidR="008D44DA" w14:paraId="5E25AE07" w14:textId="77777777" w:rsidTr="00BD58F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3" w:type="pct"/>
            <w:tcBorders>
              <w:top w:val="single" w:sz="4" w:space="0" w:color="FFFFFF" w:themeColor="background1"/>
              <w:bottom w:val="single" w:sz="4" w:space="0" w:color="FFFFFF" w:themeColor="background1"/>
            </w:tcBorders>
            <w:vAlign w:val="center"/>
            <w:hideMark/>
          </w:tcPr>
          <w:p w14:paraId="337BD1A1" w14:textId="77777777" w:rsidR="008D44DA" w:rsidRDefault="008D44DA" w:rsidP="00DE729C">
            <w:pPr>
              <w:spacing w:before="40" w:after="40"/>
              <w:jc w:val="right"/>
              <w:rPr>
                <w:sz w:val="22"/>
                <w:u w:val="single"/>
              </w:rPr>
            </w:pPr>
            <w:r>
              <w:rPr>
                <w:sz w:val="22"/>
                <w:u w:val="single"/>
              </w:rPr>
              <w:t>2,187</w:t>
            </w:r>
          </w:p>
        </w:tc>
        <w:tc>
          <w:tcPr>
            <w:tcW w:w="2573" w:type="pct"/>
            <w:shd w:val="clear" w:color="auto" w:fill="BFBFBF"/>
            <w:hideMark/>
          </w:tcPr>
          <w:p w14:paraId="3025EC6C" w14:textId="77777777" w:rsidR="008D44DA" w:rsidRDefault="008D44DA"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Total creditors and other payables</w:t>
            </w:r>
          </w:p>
        </w:tc>
        <w:tc>
          <w:tcPr>
            <w:tcW w:w="872" w:type="pct"/>
            <w:tcBorders>
              <w:top w:val="single" w:sz="4" w:space="0" w:color="FFFFFF" w:themeColor="background1"/>
              <w:bottom w:val="single" w:sz="4" w:space="0" w:color="FFFFFF" w:themeColor="background1"/>
            </w:tcBorders>
            <w:shd w:val="clear" w:color="auto" w:fill="BFBFBF"/>
          </w:tcPr>
          <w:p w14:paraId="39EBCA65" w14:textId="6BAD488C" w:rsidR="008D44DA" w:rsidRDefault="0091732D"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u w:val="single"/>
              </w:rPr>
            </w:pPr>
            <w:r>
              <w:rPr>
                <w:b/>
                <w:bCs/>
                <w:iCs/>
                <w:sz w:val="22"/>
                <w:u w:val="single"/>
              </w:rPr>
              <w:t>1,641</w:t>
            </w:r>
          </w:p>
        </w:tc>
        <w:tc>
          <w:tcPr>
            <w:tcW w:w="872" w:type="pct"/>
            <w:tcBorders>
              <w:top w:val="single" w:sz="4" w:space="0" w:color="FFFFFF" w:themeColor="background1"/>
              <w:bottom w:val="single" w:sz="4" w:space="0" w:color="FFFFFF" w:themeColor="background1"/>
            </w:tcBorders>
            <w:shd w:val="clear" w:color="auto" w:fill="BFBFBF"/>
            <w:vAlign w:val="center"/>
          </w:tcPr>
          <w:p w14:paraId="25C05265" w14:textId="77777777" w:rsidR="008D44DA" w:rsidRPr="00A8536C"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u w:val="single"/>
              </w:rPr>
            </w:pPr>
            <w:r>
              <w:rPr>
                <w:b/>
                <w:sz w:val="22"/>
                <w:u w:val="single"/>
              </w:rPr>
              <w:t>1,404</w:t>
            </w:r>
          </w:p>
        </w:tc>
      </w:tr>
    </w:tbl>
    <w:p w14:paraId="2B4B8C53" w14:textId="21EEE95C" w:rsidR="00B61464" w:rsidRDefault="00B61464" w:rsidP="00B61464">
      <w:pPr>
        <w:pStyle w:val="BodyText"/>
      </w:pPr>
      <w:r>
        <w:t>*Unaudited.</w:t>
      </w:r>
    </w:p>
    <w:p w14:paraId="07CB6EBC" w14:textId="77A90C58" w:rsidR="00032F1F" w:rsidRDefault="00032F1F" w:rsidP="00032F1F">
      <w:pPr>
        <w:pStyle w:val="Heading3"/>
      </w:pPr>
      <w:r>
        <w:t xml:space="preserve">10. Return of operating surplus </w:t>
      </w:r>
    </w:p>
    <w:p w14:paraId="2A15CB80" w14:textId="26B9AA9E" w:rsidR="008D44DA" w:rsidRPr="008D44DA" w:rsidRDefault="008D44DA" w:rsidP="008D44DA">
      <w:pPr>
        <w:pStyle w:val="BodyText"/>
      </w:pPr>
      <w:r>
        <w:t xml:space="preserve">There is a surplus </w:t>
      </w:r>
      <w:r w:rsidRPr="00185976">
        <w:t>of $</w:t>
      </w:r>
      <w:r w:rsidR="00B61464">
        <w:t>2,071,000</w:t>
      </w:r>
      <w:r>
        <w:t xml:space="preserve"> to be repaid for the 2026 financial year (</w:t>
      </w:r>
      <w:r w:rsidR="0091732D">
        <w:t xml:space="preserve">30 June </w:t>
      </w:r>
      <w:r>
        <w:t>2025</w:t>
      </w:r>
      <w:r w:rsidRPr="00185976">
        <w:t>, $</w:t>
      </w:r>
      <w:r>
        <w:t xml:space="preserve">7,462,000). </w:t>
      </w:r>
    </w:p>
    <w:p w14:paraId="0ECF648A" w14:textId="1655FDE5" w:rsidR="00032F1F" w:rsidRDefault="00032F1F" w:rsidP="00032F1F">
      <w:pPr>
        <w:pStyle w:val="Heading3"/>
      </w:pPr>
      <w:r>
        <w:t xml:space="preserve">11. Employee entitlements </w:t>
      </w:r>
    </w:p>
    <w:tbl>
      <w:tblPr>
        <w:tblStyle w:val="TableGridAnnualReport181"/>
        <w:tblW w:w="9299" w:type="dxa"/>
        <w:tblInd w:w="0" w:type="dxa"/>
        <w:tblLook w:val="04A0" w:firstRow="1" w:lastRow="0" w:firstColumn="1" w:lastColumn="0" w:noHBand="0" w:noVBand="1"/>
      </w:tblPr>
      <w:tblGrid>
        <w:gridCol w:w="1282"/>
        <w:gridCol w:w="2891"/>
        <w:gridCol w:w="1282"/>
        <w:gridCol w:w="1282"/>
        <w:gridCol w:w="1281"/>
        <w:gridCol w:w="1281"/>
      </w:tblGrid>
      <w:tr w:rsidR="008D44DA" w14:paraId="48DA9514" w14:textId="77777777" w:rsidTr="00BD58F5">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9" w:type="pct"/>
            <w:shd w:val="clear" w:color="auto" w:fill="017E5D"/>
            <w:hideMark/>
          </w:tcPr>
          <w:p w14:paraId="426F9DB6" w14:textId="77777777" w:rsidR="008D44DA" w:rsidRPr="00B61464" w:rsidRDefault="008D44DA" w:rsidP="00DE729C">
            <w:pPr>
              <w:keepNext/>
              <w:spacing w:before="60" w:after="60" w:line="240" w:lineRule="auto"/>
              <w:jc w:val="right"/>
              <w:rPr>
                <w:color w:val="FFFFFF" w:themeColor="background1"/>
                <w:sz w:val="22"/>
              </w:rPr>
            </w:pPr>
            <w:r w:rsidRPr="00B61464">
              <w:rPr>
                <w:color w:val="FFFFFF" w:themeColor="background1"/>
                <w:sz w:val="22"/>
              </w:rPr>
              <w:t>Actual</w:t>
            </w:r>
            <w:r w:rsidRPr="00B61464">
              <w:rPr>
                <w:color w:val="FFFFFF" w:themeColor="background1"/>
                <w:sz w:val="22"/>
              </w:rPr>
              <w:br/>
              <w:t>2024/25</w:t>
            </w:r>
            <w:r w:rsidRPr="00B61464">
              <w:rPr>
                <w:color w:val="FFFFFF" w:themeColor="background1"/>
                <w:sz w:val="22"/>
              </w:rPr>
              <w:br/>
            </w:r>
          </w:p>
          <w:p w14:paraId="4F0215D9" w14:textId="77777777" w:rsidR="008D44DA" w:rsidRPr="00B61464" w:rsidRDefault="008D44DA" w:rsidP="00DE729C">
            <w:pPr>
              <w:keepNext/>
              <w:spacing w:before="60" w:after="60" w:line="240" w:lineRule="auto"/>
              <w:jc w:val="right"/>
              <w:rPr>
                <w:color w:val="FFFFFF" w:themeColor="background1"/>
                <w:sz w:val="22"/>
              </w:rPr>
            </w:pPr>
            <w:r w:rsidRPr="00B61464">
              <w:rPr>
                <w:color w:val="FFFFFF" w:themeColor="background1"/>
                <w:sz w:val="22"/>
              </w:rPr>
              <w:br/>
              <w:t>$(000)</w:t>
            </w:r>
          </w:p>
        </w:tc>
        <w:tc>
          <w:tcPr>
            <w:tcW w:w="1554" w:type="pct"/>
            <w:shd w:val="clear" w:color="auto" w:fill="017E5D"/>
          </w:tcPr>
          <w:p w14:paraId="1E0D11A8" w14:textId="77777777"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p>
        </w:tc>
        <w:tc>
          <w:tcPr>
            <w:tcW w:w="689" w:type="pct"/>
            <w:shd w:val="clear" w:color="auto" w:fill="017E5D"/>
            <w:hideMark/>
          </w:tcPr>
          <w:p w14:paraId="766B1C1D" w14:textId="77777777"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B61464">
              <w:rPr>
                <w:color w:val="FFFFFF" w:themeColor="background1"/>
                <w:sz w:val="22"/>
              </w:rPr>
              <w:t>Actual</w:t>
            </w:r>
            <w:r w:rsidRPr="00B61464">
              <w:rPr>
                <w:color w:val="FFFFFF" w:themeColor="background1"/>
                <w:sz w:val="22"/>
              </w:rPr>
              <w:br/>
              <w:t>2025/26</w:t>
            </w:r>
            <w:r w:rsidRPr="00B61464">
              <w:rPr>
                <w:color w:val="FFFFFF" w:themeColor="background1"/>
                <w:sz w:val="22"/>
              </w:rPr>
              <w:br/>
            </w:r>
          </w:p>
          <w:p w14:paraId="06228CAF" w14:textId="77777777"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B61464">
              <w:rPr>
                <w:color w:val="FFFFFF" w:themeColor="background1"/>
                <w:sz w:val="22"/>
              </w:rPr>
              <w:br/>
              <w:t>$(000)</w:t>
            </w:r>
          </w:p>
        </w:tc>
        <w:tc>
          <w:tcPr>
            <w:tcW w:w="689" w:type="pct"/>
            <w:shd w:val="clear" w:color="auto" w:fill="017E5D"/>
            <w:hideMark/>
          </w:tcPr>
          <w:p w14:paraId="767BCAB2" w14:textId="2E325A7D"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B61464">
              <w:rPr>
                <w:color w:val="FFFFFF" w:themeColor="background1"/>
                <w:sz w:val="22"/>
              </w:rPr>
              <w:t>Main Estimates</w:t>
            </w:r>
            <w:r w:rsidRPr="00B61464">
              <w:rPr>
                <w:color w:val="FFFFFF" w:themeColor="background1"/>
                <w:sz w:val="22"/>
              </w:rPr>
              <w:br/>
              <w:t>2025/26</w:t>
            </w:r>
            <w:r w:rsidR="00B61464" w:rsidRPr="00B61464">
              <w:rPr>
                <w:color w:val="FFFFFF" w:themeColor="background1"/>
                <w:sz w:val="22"/>
              </w:rPr>
              <w:t>*</w:t>
            </w:r>
          </w:p>
          <w:p w14:paraId="061C068E" w14:textId="77777777"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B61464">
              <w:rPr>
                <w:color w:val="FFFFFF" w:themeColor="background1"/>
                <w:sz w:val="22"/>
              </w:rPr>
              <w:br/>
              <w:t>$(000)</w:t>
            </w:r>
          </w:p>
        </w:tc>
        <w:tc>
          <w:tcPr>
            <w:tcW w:w="689" w:type="pct"/>
            <w:shd w:val="clear" w:color="auto" w:fill="017E5D"/>
            <w:hideMark/>
          </w:tcPr>
          <w:p w14:paraId="7C341AAC" w14:textId="4B729D28"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B61464">
              <w:rPr>
                <w:color w:val="FFFFFF" w:themeColor="background1"/>
                <w:sz w:val="22"/>
              </w:rPr>
              <w:t>Supp. Estimates</w:t>
            </w:r>
            <w:r w:rsidRPr="00B61464">
              <w:rPr>
                <w:color w:val="FFFFFF" w:themeColor="background1"/>
                <w:sz w:val="22"/>
              </w:rPr>
              <w:br/>
              <w:t>2025/26</w:t>
            </w:r>
            <w:r w:rsidR="00B61464" w:rsidRPr="00B61464">
              <w:rPr>
                <w:color w:val="FFFFFF" w:themeColor="background1"/>
                <w:sz w:val="22"/>
              </w:rPr>
              <w:t>*</w:t>
            </w:r>
          </w:p>
          <w:p w14:paraId="75F03550" w14:textId="77777777"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B61464">
              <w:rPr>
                <w:color w:val="FFFFFF" w:themeColor="background1"/>
                <w:sz w:val="22"/>
              </w:rPr>
              <w:br/>
              <w:t>$(000)</w:t>
            </w:r>
          </w:p>
        </w:tc>
        <w:tc>
          <w:tcPr>
            <w:tcW w:w="689" w:type="pct"/>
            <w:shd w:val="clear" w:color="auto" w:fill="017E5D"/>
            <w:hideMark/>
          </w:tcPr>
          <w:p w14:paraId="521BBFA3" w14:textId="601A4355" w:rsidR="00B61464" w:rsidRPr="00B61464" w:rsidRDefault="00B61464" w:rsidP="00B61464">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Pr>
                <w:rStyle w:val="FootnoteReference"/>
                <w:color w:val="FFFFFF" w:themeColor="background1"/>
                <w:sz w:val="22"/>
              </w:rPr>
              <w:footnoteReference w:id="72"/>
            </w:r>
            <w:r w:rsidRPr="00B61464">
              <w:rPr>
                <w:color w:val="FFFFFF" w:themeColor="background1"/>
                <w:sz w:val="22"/>
              </w:rPr>
              <w:t>Main Estimates</w:t>
            </w:r>
            <w:r w:rsidRPr="00B61464">
              <w:rPr>
                <w:color w:val="FFFFFF" w:themeColor="background1"/>
                <w:sz w:val="22"/>
              </w:rPr>
              <w:br/>
              <w:t>2026/27*</w:t>
            </w:r>
          </w:p>
          <w:p w14:paraId="115D7191" w14:textId="0D93BB97" w:rsidR="008D44DA" w:rsidRPr="00B61464" w:rsidRDefault="00B61464" w:rsidP="00B61464">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B61464">
              <w:rPr>
                <w:color w:val="FFFFFF" w:themeColor="background1"/>
                <w:sz w:val="22"/>
              </w:rPr>
              <w:br/>
              <w:t>$(000)</w:t>
            </w:r>
          </w:p>
        </w:tc>
      </w:tr>
      <w:tr w:rsidR="008D44DA" w14:paraId="058D0801" w14:textId="77777777" w:rsidTr="00BD58F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9" w:type="pct"/>
            <w:tcBorders>
              <w:bottom w:val="single" w:sz="8" w:space="0" w:color="FFFFFF" w:themeColor="background1"/>
            </w:tcBorders>
            <w:shd w:val="clear" w:color="auto" w:fill="E9E9E9"/>
          </w:tcPr>
          <w:p w14:paraId="0495EC19" w14:textId="77777777" w:rsidR="008D44DA" w:rsidRDefault="008D44DA" w:rsidP="00DE729C">
            <w:pPr>
              <w:spacing w:before="40" w:after="40"/>
              <w:jc w:val="right"/>
              <w:rPr>
                <w:sz w:val="22"/>
              </w:rPr>
            </w:pPr>
          </w:p>
        </w:tc>
        <w:tc>
          <w:tcPr>
            <w:tcW w:w="1554" w:type="pct"/>
            <w:hideMark/>
          </w:tcPr>
          <w:p w14:paraId="068F27AB" w14:textId="77777777" w:rsidR="008D44DA" w:rsidRDefault="008D44DA" w:rsidP="00DE729C">
            <w:pPr>
              <w:spacing w:before="40" w:after="40"/>
              <w:cnfStyle w:val="000000100000" w:firstRow="0" w:lastRow="0" w:firstColumn="0" w:lastColumn="0" w:oddVBand="0" w:evenVBand="0" w:oddHBand="1" w:evenHBand="0" w:firstRowFirstColumn="0" w:firstRowLastColumn="0" w:lastRowFirstColumn="0" w:lastRowLastColumn="0"/>
              <w:rPr>
                <w:i/>
                <w:sz w:val="22"/>
              </w:rPr>
            </w:pPr>
            <w:r>
              <w:rPr>
                <w:i/>
                <w:sz w:val="22"/>
              </w:rPr>
              <w:t>Current liabilities</w:t>
            </w:r>
          </w:p>
        </w:tc>
        <w:tc>
          <w:tcPr>
            <w:tcW w:w="689" w:type="pct"/>
          </w:tcPr>
          <w:p w14:paraId="3CF18185"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p>
        </w:tc>
        <w:tc>
          <w:tcPr>
            <w:tcW w:w="689" w:type="pct"/>
          </w:tcPr>
          <w:p w14:paraId="1802A037"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689" w:type="pct"/>
          </w:tcPr>
          <w:p w14:paraId="37C909BD"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c>
          <w:tcPr>
            <w:tcW w:w="689" w:type="pct"/>
          </w:tcPr>
          <w:p w14:paraId="3687747F"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r>
      <w:tr w:rsidR="008D44DA" w14:paraId="45010DD6" w14:textId="77777777" w:rsidTr="00BD58F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9" w:type="pct"/>
            <w:tcBorders>
              <w:bottom w:val="single" w:sz="8" w:space="0" w:color="FFFFFF" w:themeColor="background1"/>
            </w:tcBorders>
            <w:shd w:val="clear" w:color="auto" w:fill="E9E9E9"/>
            <w:vAlign w:val="center"/>
            <w:hideMark/>
          </w:tcPr>
          <w:p w14:paraId="0E78B601" w14:textId="77777777" w:rsidR="008D44DA" w:rsidRDefault="008D44DA" w:rsidP="00DE729C">
            <w:pPr>
              <w:spacing w:before="40" w:after="40"/>
              <w:jc w:val="right"/>
              <w:rPr>
                <w:sz w:val="22"/>
              </w:rPr>
            </w:pPr>
            <w:r>
              <w:rPr>
                <w:sz w:val="22"/>
              </w:rPr>
              <w:t>1,605</w:t>
            </w:r>
          </w:p>
        </w:tc>
        <w:tc>
          <w:tcPr>
            <w:tcW w:w="1554" w:type="pct"/>
            <w:hideMark/>
          </w:tcPr>
          <w:p w14:paraId="47EAFB36" w14:textId="77777777" w:rsidR="008D44DA" w:rsidRDefault="008D44DA" w:rsidP="00DE729C">
            <w:pPr>
              <w:spacing w:before="40" w:after="40"/>
              <w:cnfStyle w:val="000000010000" w:firstRow="0" w:lastRow="0" w:firstColumn="0" w:lastColumn="0" w:oddVBand="0" w:evenVBand="0" w:oddHBand="0" w:evenHBand="1" w:firstRowFirstColumn="0" w:firstRowLastColumn="0" w:lastRowFirstColumn="0" w:lastRowLastColumn="0"/>
              <w:rPr>
                <w:sz w:val="22"/>
              </w:rPr>
            </w:pPr>
            <w:r>
              <w:rPr>
                <w:sz w:val="22"/>
              </w:rPr>
              <w:t>Annual leave</w:t>
            </w:r>
          </w:p>
        </w:tc>
        <w:tc>
          <w:tcPr>
            <w:tcW w:w="689" w:type="pct"/>
          </w:tcPr>
          <w:p w14:paraId="1CB41EF6" w14:textId="0B4A98E9" w:rsidR="008D44DA" w:rsidRPr="00A8536C" w:rsidRDefault="001374E8" w:rsidP="00DE729C">
            <w:pPr>
              <w:spacing w:before="40" w:after="40"/>
              <w:jc w:val="right"/>
              <w:cnfStyle w:val="000000010000" w:firstRow="0" w:lastRow="0" w:firstColumn="0" w:lastColumn="0" w:oddVBand="0" w:evenVBand="0" w:oddHBand="0" w:evenHBand="1" w:firstRowFirstColumn="0" w:firstRowLastColumn="0" w:lastRowFirstColumn="0" w:lastRowLastColumn="0"/>
              <w:rPr>
                <w:bCs/>
                <w:iCs/>
                <w:sz w:val="22"/>
              </w:rPr>
            </w:pPr>
            <w:r>
              <w:rPr>
                <w:bCs/>
                <w:iCs/>
                <w:sz w:val="22"/>
              </w:rPr>
              <w:t>1,947</w:t>
            </w:r>
          </w:p>
        </w:tc>
        <w:tc>
          <w:tcPr>
            <w:tcW w:w="689" w:type="pct"/>
            <w:vAlign w:val="center"/>
            <w:hideMark/>
          </w:tcPr>
          <w:p w14:paraId="45147CC3" w14:textId="77777777" w:rsidR="008D44DA"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1,476</w:t>
            </w:r>
          </w:p>
        </w:tc>
        <w:tc>
          <w:tcPr>
            <w:tcW w:w="689" w:type="pct"/>
            <w:vAlign w:val="center"/>
          </w:tcPr>
          <w:p w14:paraId="3E0323ED" w14:textId="77777777" w:rsidR="008D44DA"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1,717</w:t>
            </w:r>
          </w:p>
        </w:tc>
        <w:tc>
          <w:tcPr>
            <w:tcW w:w="689" w:type="pct"/>
            <w:vAlign w:val="center"/>
          </w:tcPr>
          <w:p w14:paraId="198601D5" w14:textId="77777777" w:rsidR="008D44DA" w:rsidRPr="00F26A81"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1,717</w:t>
            </w:r>
          </w:p>
        </w:tc>
      </w:tr>
      <w:tr w:rsidR="008D44DA" w14:paraId="2FEF9FEB" w14:textId="77777777" w:rsidTr="00BD58F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9" w:type="pct"/>
            <w:tcBorders>
              <w:bottom w:val="single" w:sz="8" w:space="0" w:color="FFFFFF" w:themeColor="background1"/>
            </w:tcBorders>
            <w:shd w:val="clear" w:color="auto" w:fill="E9E9E9"/>
            <w:vAlign w:val="center"/>
            <w:hideMark/>
          </w:tcPr>
          <w:p w14:paraId="547CB331" w14:textId="77777777" w:rsidR="008D44DA" w:rsidRDefault="008D44DA" w:rsidP="00DE729C">
            <w:pPr>
              <w:spacing w:before="40" w:after="40"/>
              <w:jc w:val="right"/>
              <w:rPr>
                <w:sz w:val="22"/>
              </w:rPr>
            </w:pPr>
            <w:r>
              <w:rPr>
                <w:sz w:val="22"/>
              </w:rPr>
              <w:t>-</w:t>
            </w:r>
          </w:p>
        </w:tc>
        <w:tc>
          <w:tcPr>
            <w:tcW w:w="1554" w:type="pct"/>
            <w:hideMark/>
          </w:tcPr>
          <w:p w14:paraId="4EF34095" w14:textId="77777777" w:rsidR="008D44DA" w:rsidRDefault="008D44DA" w:rsidP="00DE729C">
            <w:pPr>
              <w:spacing w:before="40" w:after="40"/>
              <w:cnfStyle w:val="000000100000" w:firstRow="0" w:lastRow="0" w:firstColumn="0" w:lastColumn="0" w:oddVBand="0" w:evenVBand="0" w:oddHBand="1" w:evenHBand="0" w:firstRowFirstColumn="0" w:firstRowLastColumn="0" w:lastRowFirstColumn="0" w:lastRowLastColumn="0"/>
              <w:rPr>
                <w:sz w:val="22"/>
              </w:rPr>
            </w:pPr>
            <w:r>
              <w:rPr>
                <w:sz w:val="22"/>
              </w:rPr>
              <w:t>Long service leave</w:t>
            </w:r>
          </w:p>
        </w:tc>
        <w:tc>
          <w:tcPr>
            <w:tcW w:w="689" w:type="pct"/>
          </w:tcPr>
          <w:p w14:paraId="65016F8A" w14:textId="33AAE4C3" w:rsidR="008D44DA"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w:t>
            </w:r>
          </w:p>
        </w:tc>
        <w:tc>
          <w:tcPr>
            <w:tcW w:w="689" w:type="pct"/>
            <w:vAlign w:val="center"/>
            <w:hideMark/>
          </w:tcPr>
          <w:p w14:paraId="0320F20E"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689" w:type="pct"/>
          </w:tcPr>
          <w:p w14:paraId="21F2AC4C" w14:textId="6BD524C0" w:rsidR="008D44DA"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689" w:type="pct"/>
          </w:tcPr>
          <w:p w14:paraId="75C8B5B4" w14:textId="3F8C4CBD" w:rsidR="008D44DA" w:rsidRPr="00F26A81" w:rsidRDefault="00F12C69"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8D44DA" w14:paraId="0077AB69" w14:textId="77777777" w:rsidTr="00BD58F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9" w:type="pct"/>
            <w:tcBorders>
              <w:top w:val="single" w:sz="8" w:space="0" w:color="FFFFFF" w:themeColor="background1"/>
              <w:bottom w:val="single" w:sz="4" w:space="0" w:color="FFFFFF" w:themeColor="background1"/>
            </w:tcBorders>
            <w:shd w:val="clear" w:color="auto" w:fill="E9E9E9"/>
            <w:vAlign w:val="center"/>
          </w:tcPr>
          <w:p w14:paraId="16D6D902" w14:textId="77777777" w:rsidR="008D44DA" w:rsidRDefault="008D44DA" w:rsidP="00DE729C">
            <w:pPr>
              <w:spacing w:before="40" w:after="40"/>
              <w:jc w:val="right"/>
              <w:rPr>
                <w:sz w:val="22"/>
              </w:rPr>
            </w:pPr>
            <w:r>
              <w:rPr>
                <w:sz w:val="22"/>
              </w:rPr>
              <w:t>1,193</w:t>
            </w:r>
          </w:p>
        </w:tc>
        <w:tc>
          <w:tcPr>
            <w:tcW w:w="1554" w:type="pct"/>
            <w:tcBorders>
              <w:bottom w:val="single" w:sz="2" w:space="0" w:color="FFFFFF" w:themeColor="background1"/>
            </w:tcBorders>
            <w:hideMark/>
          </w:tcPr>
          <w:p w14:paraId="4B4FE503" w14:textId="77777777" w:rsidR="008D44DA" w:rsidRDefault="008D44DA" w:rsidP="00DE729C">
            <w:pPr>
              <w:spacing w:before="40" w:after="40"/>
              <w:cnfStyle w:val="000000010000" w:firstRow="0" w:lastRow="0" w:firstColumn="0" w:lastColumn="0" w:oddVBand="0" w:evenVBand="0" w:oddHBand="0" w:evenHBand="1" w:firstRowFirstColumn="0" w:firstRowLastColumn="0" w:lastRowFirstColumn="0" w:lastRowLastColumn="0"/>
              <w:rPr>
                <w:sz w:val="22"/>
              </w:rPr>
            </w:pPr>
            <w:r>
              <w:rPr>
                <w:sz w:val="22"/>
              </w:rPr>
              <w:t>Superannuation, Superannuation Contribution Withholding Tax and salaries</w:t>
            </w:r>
          </w:p>
        </w:tc>
        <w:tc>
          <w:tcPr>
            <w:tcW w:w="689" w:type="pct"/>
            <w:tcBorders>
              <w:bottom w:val="single" w:sz="4" w:space="0" w:color="FFFFFF" w:themeColor="background1"/>
            </w:tcBorders>
            <w:vAlign w:val="center"/>
          </w:tcPr>
          <w:p w14:paraId="53118246" w14:textId="7F5E2A1E" w:rsidR="008D44DA" w:rsidRPr="00A8536C" w:rsidRDefault="000D0D91" w:rsidP="00DE729C">
            <w:pPr>
              <w:spacing w:before="40" w:after="40"/>
              <w:jc w:val="right"/>
              <w:cnfStyle w:val="000000010000" w:firstRow="0" w:lastRow="0" w:firstColumn="0" w:lastColumn="0" w:oddVBand="0" w:evenVBand="0" w:oddHBand="0" w:evenHBand="1" w:firstRowFirstColumn="0" w:firstRowLastColumn="0" w:lastRowFirstColumn="0" w:lastRowLastColumn="0"/>
              <w:rPr>
                <w:bCs/>
                <w:iCs/>
                <w:sz w:val="22"/>
              </w:rPr>
            </w:pPr>
            <w:r>
              <w:rPr>
                <w:bCs/>
                <w:iCs/>
                <w:sz w:val="22"/>
              </w:rPr>
              <w:t>821</w:t>
            </w:r>
          </w:p>
        </w:tc>
        <w:tc>
          <w:tcPr>
            <w:tcW w:w="689" w:type="pct"/>
            <w:tcBorders>
              <w:bottom w:val="single" w:sz="4" w:space="0" w:color="FFFFFF" w:themeColor="background1"/>
            </w:tcBorders>
            <w:vAlign w:val="center"/>
            <w:hideMark/>
          </w:tcPr>
          <w:p w14:paraId="61BF9DA1" w14:textId="77777777" w:rsidR="008D44DA"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458</w:t>
            </w:r>
          </w:p>
        </w:tc>
        <w:tc>
          <w:tcPr>
            <w:tcW w:w="689" w:type="pct"/>
            <w:tcBorders>
              <w:bottom w:val="single" w:sz="4" w:space="0" w:color="FFFFFF" w:themeColor="background1"/>
            </w:tcBorders>
            <w:vAlign w:val="center"/>
          </w:tcPr>
          <w:p w14:paraId="0F0F2067" w14:textId="77777777" w:rsidR="008D44DA"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419</w:t>
            </w:r>
          </w:p>
        </w:tc>
        <w:tc>
          <w:tcPr>
            <w:tcW w:w="689" w:type="pct"/>
            <w:tcBorders>
              <w:bottom w:val="single" w:sz="4" w:space="0" w:color="FFFFFF" w:themeColor="background1"/>
            </w:tcBorders>
            <w:vAlign w:val="center"/>
          </w:tcPr>
          <w:p w14:paraId="525ACD02" w14:textId="77777777" w:rsidR="008D44DA" w:rsidRPr="00F26A81"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419</w:t>
            </w:r>
          </w:p>
        </w:tc>
      </w:tr>
      <w:tr w:rsidR="008D44DA" w14:paraId="5E420864" w14:textId="77777777" w:rsidTr="00BD58F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9F77AEB" w14:textId="77777777" w:rsidR="008D44DA" w:rsidRPr="00A8536C" w:rsidRDefault="008D44DA" w:rsidP="00DE729C">
            <w:pPr>
              <w:spacing w:before="40" w:after="40"/>
              <w:jc w:val="right"/>
              <w:rPr>
                <w:b/>
                <w:sz w:val="22"/>
              </w:rPr>
            </w:pPr>
            <w:r>
              <w:rPr>
                <w:b/>
                <w:sz w:val="22"/>
              </w:rPr>
              <w:t>2,798</w:t>
            </w:r>
          </w:p>
        </w:tc>
        <w:tc>
          <w:tcPr>
            <w:tcW w:w="1554" w:type="pct"/>
            <w:tcBorders>
              <w:left w:val="single" w:sz="4" w:space="0" w:color="FFFFFF" w:themeColor="background1"/>
              <w:right w:val="single" w:sz="4" w:space="0" w:color="FFFFFF" w:themeColor="background1"/>
            </w:tcBorders>
            <w:shd w:val="clear" w:color="auto" w:fill="BFBFBF"/>
            <w:hideMark/>
          </w:tcPr>
          <w:p w14:paraId="76333D72" w14:textId="77777777" w:rsidR="008D44DA" w:rsidRDefault="008D44DA" w:rsidP="00DE729C">
            <w:pPr>
              <w:spacing w:before="40" w:after="40"/>
              <w:cnfStyle w:val="000000100000" w:firstRow="0" w:lastRow="0" w:firstColumn="0" w:lastColumn="0" w:oddVBand="0" w:evenVBand="0" w:oddHBand="1" w:evenHBand="0" w:firstRowFirstColumn="0" w:firstRowLastColumn="0" w:lastRowFirstColumn="0" w:lastRowLastColumn="0"/>
              <w:rPr>
                <w:sz w:val="22"/>
              </w:rPr>
            </w:pPr>
            <w:r>
              <w:rPr>
                <w:sz w:val="22"/>
              </w:rPr>
              <w:t>Total current liabilities</w:t>
            </w:r>
          </w:p>
        </w:tc>
        <w:tc>
          <w:tcPr>
            <w:tcW w:w="68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cPr>
          <w:p w14:paraId="26C92CF9" w14:textId="0B584D1A" w:rsidR="008D44DA" w:rsidRDefault="000D0D91"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2,768</w:t>
            </w:r>
          </w:p>
        </w:tc>
        <w:tc>
          <w:tcPr>
            <w:tcW w:w="68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vAlign w:val="center"/>
            <w:hideMark/>
          </w:tcPr>
          <w:p w14:paraId="0ECF1391" w14:textId="77777777" w:rsidR="008D44DA" w:rsidRPr="00A8536C"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1,934</w:t>
            </w:r>
          </w:p>
        </w:tc>
        <w:tc>
          <w:tcPr>
            <w:tcW w:w="68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vAlign w:val="center"/>
          </w:tcPr>
          <w:p w14:paraId="392E639D" w14:textId="77777777" w:rsidR="008D44DA" w:rsidRPr="00A8536C"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2,136</w:t>
            </w:r>
          </w:p>
        </w:tc>
        <w:tc>
          <w:tcPr>
            <w:tcW w:w="689" w:type="pct"/>
            <w:tcBorders>
              <w:top w:val="single" w:sz="4" w:space="0" w:color="FFFFFF" w:themeColor="background1"/>
              <w:left w:val="single" w:sz="4" w:space="0" w:color="FFFFFF" w:themeColor="background1"/>
              <w:bottom w:val="single" w:sz="4" w:space="0" w:color="FFFFFF" w:themeColor="background1"/>
            </w:tcBorders>
            <w:shd w:val="clear" w:color="auto" w:fill="BFBFBF"/>
            <w:vAlign w:val="center"/>
          </w:tcPr>
          <w:p w14:paraId="43B051E1" w14:textId="77777777" w:rsidR="008D44DA" w:rsidRPr="00A8536C"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b/>
                <w:sz w:val="22"/>
              </w:rPr>
            </w:pPr>
            <w:r>
              <w:rPr>
                <w:b/>
                <w:sz w:val="22"/>
              </w:rPr>
              <w:t>2,136</w:t>
            </w:r>
          </w:p>
        </w:tc>
      </w:tr>
      <w:tr w:rsidR="008D44DA" w14:paraId="429B9D34" w14:textId="77777777" w:rsidTr="00BD58F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9" w:type="pct"/>
            <w:tcBorders>
              <w:top w:val="single" w:sz="4" w:space="0" w:color="FFFFFF" w:themeColor="background1"/>
              <w:bottom w:val="single" w:sz="8" w:space="0" w:color="FFFFFF" w:themeColor="background1"/>
            </w:tcBorders>
            <w:shd w:val="clear" w:color="auto" w:fill="E9E9E9"/>
          </w:tcPr>
          <w:p w14:paraId="4CC8CF51" w14:textId="77777777" w:rsidR="008D44DA" w:rsidRDefault="008D44DA" w:rsidP="00DE729C">
            <w:pPr>
              <w:spacing w:before="40" w:after="40"/>
              <w:jc w:val="right"/>
              <w:rPr>
                <w:sz w:val="22"/>
              </w:rPr>
            </w:pPr>
          </w:p>
        </w:tc>
        <w:tc>
          <w:tcPr>
            <w:tcW w:w="1554" w:type="pct"/>
            <w:hideMark/>
          </w:tcPr>
          <w:p w14:paraId="4EC621A7" w14:textId="77777777" w:rsidR="008D44DA" w:rsidRDefault="008D44DA" w:rsidP="00DE729C">
            <w:pPr>
              <w:spacing w:before="40" w:after="40"/>
              <w:cnfStyle w:val="000000010000" w:firstRow="0" w:lastRow="0" w:firstColumn="0" w:lastColumn="0" w:oddVBand="0" w:evenVBand="0" w:oddHBand="0" w:evenHBand="1" w:firstRowFirstColumn="0" w:firstRowLastColumn="0" w:lastRowFirstColumn="0" w:lastRowLastColumn="0"/>
              <w:rPr>
                <w:i/>
                <w:sz w:val="22"/>
              </w:rPr>
            </w:pPr>
            <w:r>
              <w:rPr>
                <w:i/>
                <w:sz w:val="22"/>
              </w:rPr>
              <w:t>Non-current liabilities</w:t>
            </w:r>
          </w:p>
        </w:tc>
        <w:tc>
          <w:tcPr>
            <w:tcW w:w="689" w:type="pct"/>
            <w:tcBorders>
              <w:top w:val="single" w:sz="4" w:space="0" w:color="FFFFFF" w:themeColor="background1"/>
              <w:right w:val="single" w:sz="4" w:space="0" w:color="FFFFFF" w:themeColor="background1"/>
            </w:tcBorders>
          </w:tcPr>
          <w:p w14:paraId="2205EB98" w14:textId="77777777" w:rsidR="008D44DA"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rPr>
            </w:pPr>
          </w:p>
        </w:tc>
        <w:tc>
          <w:tcPr>
            <w:tcW w:w="689" w:type="pct"/>
            <w:tcBorders>
              <w:top w:val="single" w:sz="4" w:space="0" w:color="FFFFFF" w:themeColor="background1"/>
              <w:left w:val="single" w:sz="4" w:space="0" w:color="FFFFFF" w:themeColor="background1"/>
              <w:right w:val="single" w:sz="4" w:space="0" w:color="FFFFFF" w:themeColor="background1"/>
            </w:tcBorders>
          </w:tcPr>
          <w:p w14:paraId="582BFD96" w14:textId="77777777" w:rsidR="008D44DA" w:rsidRPr="00A8536C"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p>
        </w:tc>
        <w:tc>
          <w:tcPr>
            <w:tcW w:w="689" w:type="pct"/>
            <w:tcBorders>
              <w:top w:val="single" w:sz="4" w:space="0" w:color="FFFFFF" w:themeColor="background1"/>
              <w:left w:val="single" w:sz="4" w:space="0" w:color="FFFFFF" w:themeColor="background1"/>
              <w:right w:val="single" w:sz="4" w:space="0" w:color="FFFFFF" w:themeColor="background1"/>
            </w:tcBorders>
          </w:tcPr>
          <w:p w14:paraId="2AAC3564" w14:textId="77777777" w:rsidR="008D44DA" w:rsidRPr="00A8536C"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p>
        </w:tc>
        <w:tc>
          <w:tcPr>
            <w:tcW w:w="689" w:type="pct"/>
            <w:tcBorders>
              <w:top w:val="single" w:sz="4" w:space="0" w:color="FFFFFF" w:themeColor="background1"/>
              <w:left w:val="single" w:sz="4" w:space="0" w:color="FFFFFF" w:themeColor="background1"/>
            </w:tcBorders>
          </w:tcPr>
          <w:p w14:paraId="2B890543" w14:textId="77777777" w:rsidR="008D44DA" w:rsidRPr="00A8536C"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rPr>
            </w:pPr>
          </w:p>
        </w:tc>
      </w:tr>
      <w:tr w:rsidR="008D44DA" w14:paraId="7F0CD486" w14:textId="77777777" w:rsidTr="00BD58F5">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9" w:type="pct"/>
            <w:tcBorders>
              <w:top w:val="single" w:sz="8" w:space="0" w:color="FFFFFF" w:themeColor="background1"/>
              <w:bottom w:val="single" w:sz="4" w:space="0" w:color="FFFFFF" w:themeColor="background1"/>
            </w:tcBorders>
            <w:shd w:val="clear" w:color="auto" w:fill="E9E9E9"/>
            <w:vAlign w:val="center"/>
            <w:hideMark/>
          </w:tcPr>
          <w:p w14:paraId="66EAA0C4" w14:textId="77777777" w:rsidR="008D44DA" w:rsidRDefault="008D44DA" w:rsidP="00DE729C">
            <w:pPr>
              <w:spacing w:before="40" w:after="40"/>
              <w:jc w:val="right"/>
              <w:rPr>
                <w:sz w:val="22"/>
              </w:rPr>
            </w:pPr>
            <w:r>
              <w:rPr>
                <w:sz w:val="22"/>
              </w:rPr>
              <w:t>-</w:t>
            </w:r>
          </w:p>
        </w:tc>
        <w:tc>
          <w:tcPr>
            <w:tcW w:w="1554" w:type="pct"/>
            <w:tcBorders>
              <w:bottom w:val="single" w:sz="4" w:space="0" w:color="FFFFFF" w:themeColor="background1"/>
            </w:tcBorders>
            <w:hideMark/>
          </w:tcPr>
          <w:p w14:paraId="522666FA" w14:textId="77777777" w:rsidR="008D44DA" w:rsidRDefault="008D44DA" w:rsidP="00DE729C">
            <w:pPr>
              <w:spacing w:before="40" w:after="40"/>
              <w:cnfStyle w:val="000000100000" w:firstRow="0" w:lastRow="0" w:firstColumn="0" w:lastColumn="0" w:oddVBand="0" w:evenVBand="0" w:oddHBand="1" w:evenHBand="0" w:firstRowFirstColumn="0" w:firstRowLastColumn="0" w:lastRowFirstColumn="0" w:lastRowLastColumn="0"/>
              <w:rPr>
                <w:sz w:val="22"/>
              </w:rPr>
            </w:pPr>
            <w:r>
              <w:rPr>
                <w:sz w:val="22"/>
              </w:rPr>
              <w:t>Long service leave</w:t>
            </w:r>
          </w:p>
        </w:tc>
        <w:tc>
          <w:tcPr>
            <w:tcW w:w="689" w:type="pct"/>
            <w:tcBorders>
              <w:bottom w:val="single" w:sz="4" w:space="0" w:color="FFFFFF" w:themeColor="background1"/>
            </w:tcBorders>
            <w:vAlign w:val="center"/>
          </w:tcPr>
          <w:p w14:paraId="2649749D" w14:textId="77777777" w:rsidR="008D44DA" w:rsidRPr="00423F55"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bCs/>
                <w:iCs/>
                <w:sz w:val="22"/>
              </w:rPr>
            </w:pPr>
            <w:r>
              <w:rPr>
                <w:bCs/>
                <w:iCs/>
                <w:sz w:val="22"/>
              </w:rPr>
              <w:t>-</w:t>
            </w:r>
          </w:p>
        </w:tc>
        <w:tc>
          <w:tcPr>
            <w:tcW w:w="689" w:type="pct"/>
            <w:tcBorders>
              <w:bottom w:val="single" w:sz="4" w:space="0" w:color="FFFFFF" w:themeColor="background1"/>
            </w:tcBorders>
            <w:vAlign w:val="center"/>
            <w:hideMark/>
          </w:tcPr>
          <w:p w14:paraId="6B0B852C" w14:textId="77777777" w:rsidR="008D44DA" w:rsidRPr="00423F55"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689" w:type="pct"/>
            <w:tcBorders>
              <w:bottom w:val="single" w:sz="4" w:space="0" w:color="FFFFFF" w:themeColor="background1"/>
            </w:tcBorders>
            <w:vAlign w:val="center"/>
          </w:tcPr>
          <w:p w14:paraId="3400D688" w14:textId="77777777" w:rsidR="008D44DA" w:rsidRPr="00423F55"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c>
          <w:tcPr>
            <w:tcW w:w="689" w:type="pct"/>
            <w:tcBorders>
              <w:bottom w:val="single" w:sz="4" w:space="0" w:color="FFFFFF" w:themeColor="background1"/>
            </w:tcBorders>
            <w:vAlign w:val="center"/>
          </w:tcPr>
          <w:p w14:paraId="1F32E877" w14:textId="77777777" w:rsidR="008D44DA" w:rsidRPr="00423F55"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8D44DA" w14:paraId="3CB14721" w14:textId="77777777" w:rsidTr="00BD58F5">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689" w:type="pct"/>
            <w:tcBorders>
              <w:top w:val="single" w:sz="4" w:space="0" w:color="FFFFFF" w:themeColor="background1"/>
              <w:bottom w:val="single" w:sz="4" w:space="0" w:color="FFFFFF" w:themeColor="background1"/>
            </w:tcBorders>
            <w:vAlign w:val="center"/>
            <w:hideMark/>
          </w:tcPr>
          <w:p w14:paraId="2A421AD5" w14:textId="77777777" w:rsidR="008D44DA" w:rsidRPr="00A8536C" w:rsidRDefault="008D44DA" w:rsidP="00DE729C">
            <w:pPr>
              <w:spacing w:before="40" w:after="40"/>
              <w:jc w:val="right"/>
              <w:rPr>
                <w:b/>
                <w:sz w:val="22"/>
                <w:u w:val="single"/>
              </w:rPr>
            </w:pPr>
            <w:r>
              <w:rPr>
                <w:b/>
                <w:sz w:val="22"/>
                <w:u w:val="single"/>
              </w:rPr>
              <w:t>2,798</w:t>
            </w:r>
          </w:p>
        </w:tc>
        <w:tc>
          <w:tcPr>
            <w:tcW w:w="1554" w:type="pct"/>
            <w:tcBorders>
              <w:top w:val="single" w:sz="4" w:space="0" w:color="FFFFFF" w:themeColor="background1"/>
              <w:bottom w:val="single" w:sz="4" w:space="0" w:color="FFFFFF" w:themeColor="background1"/>
            </w:tcBorders>
            <w:shd w:val="clear" w:color="auto" w:fill="BFBFBF"/>
            <w:hideMark/>
          </w:tcPr>
          <w:p w14:paraId="450C247C" w14:textId="77777777" w:rsidR="008D44DA" w:rsidRDefault="008D44DA" w:rsidP="00DE729C">
            <w:pPr>
              <w:spacing w:before="40" w:after="40"/>
              <w:cnfStyle w:val="000000010000" w:firstRow="0" w:lastRow="0" w:firstColumn="0" w:lastColumn="0" w:oddVBand="0" w:evenVBand="0" w:oddHBand="0" w:evenHBand="1" w:firstRowFirstColumn="0" w:firstRowLastColumn="0" w:lastRowFirstColumn="0" w:lastRowLastColumn="0"/>
              <w:rPr>
                <w:b/>
                <w:sz w:val="22"/>
              </w:rPr>
            </w:pPr>
            <w:r>
              <w:rPr>
                <w:b/>
                <w:sz w:val="22"/>
              </w:rPr>
              <w:t>Total for employee entitlements</w:t>
            </w:r>
          </w:p>
        </w:tc>
        <w:tc>
          <w:tcPr>
            <w:tcW w:w="689" w:type="pct"/>
            <w:tcBorders>
              <w:top w:val="single" w:sz="4" w:space="0" w:color="FFFFFF" w:themeColor="background1"/>
              <w:bottom w:val="single" w:sz="4" w:space="0" w:color="FFFFFF" w:themeColor="background1"/>
            </w:tcBorders>
            <w:shd w:val="clear" w:color="auto" w:fill="BFBFBF"/>
            <w:vAlign w:val="center"/>
          </w:tcPr>
          <w:p w14:paraId="7DE09158" w14:textId="4E6F9512" w:rsidR="008D44DA" w:rsidRDefault="000D0D91"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u w:val="single"/>
              </w:rPr>
            </w:pPr>
            <w:r>
              <w:rPr>
                <w:b/>
                <w:bCs/>
                <w:iCs/>
                <w:sz w:val="22"/>
                <w:u w:val="single"/>
              </w:rPr>
              <w:t>2,768</w:t>
            </w:r>
          </w:p>
        </w:tc>
        <w:tc>
          <w:tcPr>
            <w:tcW w:w="689" w:type="pct"/>
            <w:tcBorders>
              <w:top w:val="single" w:sz="4" w:space="0" w:color="FFFFFF" w:themeColor="background1"/>
              <w:bottom w:val="single" w:sz="4" w:space="0" w:color="FFFFFF" w:themeColor="background1"/>
            </w:tcBorders>
            <w:shd w:val="clear" w:color="auto" w:fill="BFBFBF"/>
            <w:vAlign w:val="center"/>
            <w:hideMark/>
          </w:tcPr>
          <w:p w14:paraId="2B34D72E" w14:textId="77777777" w:rsidR="008D44DA" w:rsidRPr="00A8536C"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r>
              <w:rPr>
                <w:b/>
                <w:sz w:val="22"/>
                <w:u w:val="single"/>
              </w:rPr>
              <w:t>1,934</w:t>
            </w:r>
          </w:p>
        </w:tc>
        <w:tc>
          <w:tcPr>
            <w:tcW w:w="689" w:type="pct"/>
            <w:tcBorders>
              <w:top w:val="single" w:sz="4" w:space="0" w:color="FFFFFF" w:themeColor="background1"/>
              <w:bottom w:val="single" w:sz="4" w:space="0" w:color="FFFFFF" w:themeColor="background1"/>
            </w:tcBorders>
            <w:shd w:val="clear" w:color="auto" w:fill="BFBFBF"/>
            <w:vAlign w:val="center"/>
          </w:tcPr>
          <w:p w14:paraId="252FBD14" w14:textId="77777777" w:rsidR="008D44DA" w:rsidRPr="00A8536C"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r>
              <w:rPr>
                <w:b/>
                <w:sz w:val="22"/>
                <w:u w:val="single"/>
              </w:rPr>
              <w:t>2,136</w:t>
            </w:r>
          </w:p>
        </w:tc>
        <w:tc>
          <w:tcPr>
            <w:tcW w:w="689" w:type="pct"/>
            <w:tcBorders>
              <w:top w:val="single" w:sz="4" w:space="0" w:color="FFFFFF" w:themeColor="background1"/>
              <w:bottom w:val="single" w:sz="4" w:space="0" w:color="FFFFFF" w:themeColor="background1"/>
            </w:tcBorders>
            <w:shd w:val="clear" w:color="auto" w:fill="BFBFBF"/>
            <w:vAlign w:val="center"/>
          </w:tcPr>
          <w:p w14:paraId="3375790A" w14:textId="77777777" w:rsidR="008D44DA" w:rsidRPr="00A8536C"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r>
              <w:rPr>
                <w:b/>
                <w:sz w:val="22"/>
                <w:u w:val="single"/>
              </w:rPr>
              <w:t>2,136</w:t>
            </w:r>
          </w:p>
        </w:tc>
      </w:tr>
    </w:tbl>
    <w:p w14:paraId="4CA99DA6" w14:textId="09662482" w:rsidR="00B61464" w:rsidRDefault="00B61464" w:rsidP="00B61464">
      <w:pPr>
        <w:pStyle w:val="BodyText"/>
      </w:pPr>
      <w:r>
        <w:t xml:space="preserve">* Unaudited. </w:t>
      </w:r>
    </w:p>
    <w:p w14:paraId="422D3C1B" w14:textId="577207FF" w:rsidR="00032F1F" w:rsidRDefault="00032F1F" w:rsidP="00032F1F">
      <w:pPr>
        <w:pStyle w:val="Heading3"/>
      </w:pPr>
      <w:r>
        <w:t xml:space="preserve">12. Equity (taxpayers’ funds) </w:t>
      </w:r>
    </w:p>
    <w:tbl>
      <w:tblPr>
        <w:tblStyle w:val="TableGridAnnualReport191"/>
        <w:tblW w:w="9299" w:type="dxa"/>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065"/>
        <w:gridCol w:w="5306"/>
        <w:gridCol w:w="1464"/>
        <w:gridCol w:w="1464"/>
      </w:tblGrid>
      <w:tr w:rsidR="008D44DA" w14:paraId="578490E9" w14:textId="77777777" w:rsidTr="008D44DA">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3" w:type="pct"/>
            <w:shd w:val="clear" w:color="auto" w:fill="017E5D"/>
            <w:hideMark/>
          </w:tcPr>
          <w:p w14:paraId="52236775" w14:textId="77777777" w:rsidR="008D44DA" w:rsidRPr="00B61464" w:rsidRDefault="008D44DA" w:rsidP="00DE729C">
            <w:pPr>
              <w:keepNext/>
              <w:spacing w:before="60" w:after="60" w:line="240" w:lineRule="auto"/>
              <w:jc w:val="right"/>
              <w:rPr>
                <w:color w:val="FFFFFF" w:themeColor="background1"/>
                <w:sz w:val="22"/>
              </w:rPr>
            </w:pPr>
            <w:r w:rsidRPr="00B61464">
              <w:rPr>
                <w:color w:val="FFFFFF" w:themeColor="background1"/>
                <w:sz w:val="22"/>
              </w:rPr>
              <w:t>Actual</w:t>
            </w:r>
            <w:r w:rsidRPr="00B61464">
              <w:rPr>
                <w:color w:val="FFFFFF" w:themeColor="background1"/>
                <w:sz w:val="22"/>
              </w:rPr>
              <w:br/>
              <w:t>2024/25</w:t>
            </w:r>
            <w:r w:rsidRPr="00B61464">
              <w:rPr>
                <w:color w:val="FFFFFF" w:themeColor="background1"/>
                <w:sz w:val="22"/>
              </w:rPr>
              <w:br/>
            </w:r>
            <w:r w:rsidRPr="00B61464">
              <w:rPr>
                <w:color w:val="FFFFFF" w:themeColor="background1"/>
                <w:sz w:val="22"/>
              </w:rPr>
              <w:br/>
              <w:t>$(000)</w:t>
            </w:r>
          </w:p>
        </w:tc>
        <w:tc>
          <w:tcPr>
            <w:tcW w:w="2853" w:type="pct"/>
            <w:shd w:val="clear" w:color="auto" w:fill="017E5D"/>
          </w:tcPr>
          <w:p w14:paraId="3344D07E" w14:textId="77777777"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p>
        </w:tc>
        <w:tc>
          <w:tcPr>
            <w:tcW w:w="787" w:type="pct"/>
            <w:shd w:val="clear" w:color="auto" w:fill="017E5D"/>
            <w:hideMark/>
          </w:tcPr>
          <w:p w14:paraId="71FF3535" w14:textId="77777777"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B61464">
              <w:rPr>
                <w:color w:val="FFFFFF" w:themeColor="background1"/>
                <w:sz w:val="22"/>
              </w:rPr>
              <w:t>Actual</w:t>
            </w:r>
            <w:r w:rsidRPr="00B61464">
              <w:rPr>
                <w:color w:val="FFFFFF" w:themeColor="background1"/>
                <w:sz w:val="22"/>
              </w:rPr>
              <w:br/>
              <w:t>2025/26</w:t>
            </w:r>
            <w:r w:rsidRPr="00B61464">
              <w:rPr>
                <w:color w:val="FFFFFF" w:themeColor="background1"/>
                <w:sz w:val="22"/>
              </w:rPr>
              <w:br/>
            </w:r>
            <w:r w:rsidRPr="00B61464">
              <w:rPr>
                <w:color w:val="FFFFFF" w:themeColor="background1"/>
                <w:sz w:val="22"/>
              </w:rPr>
              <w:br/>
              <w:t>$(000)</w:t>
            </w:r>
          </w:p>
        </w:tc>
        <w:tc>
          <w:tcPr>
            <w:tcW w:w="787" w:type="pct"/>
            <w:shd w:val="clear" w:color="auto" w:fill="017E5D"/>
            <w:hideMark/>
          </w:tcPr>
          <w:p w14:paraId="66A91E60" w14:textId="6535A0C2" w:rsidR="008D44DA" w:rsidRPr="00B61464" w:rsidRDefault="00B61464"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Pr>
                <w:rStyle w:val="FootnoteReference"/>
                <w:color w:val="FFFFFF" w:themeColor="background1"/>
                <w:sz w:val="22"/>
              </w:rPr>
              <w:footnoteReference w:id="73"/>
            </w:r>
            <w:r w:rsidR="008D44DA" w:rsidRPr="00B61464">
              <w:rPr>
                <w:color w:val="FFFFFF" w:themeColor="background1"/>
                <w:sz w:val="22"/>
              </w:rPr>
              <w:t>Main Estimates</w:t>
            </w:r>
          </w:p>
          <w:p w14:paraId="00FF26EA" w14:textId="5DF605DA" w:rsidR="008D44DA" w:rsidRPr="00B61464" w:rsidRDefault="008D44DA"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sz w:val="22"/>
              </w:rPr>
            </w:pPr>
            <w:r w:rsidRPr="00B61464">
              <w:rPr>
                <w:color w:val="FFFFFF" w:themeColor="background1"/>
                <w:sz w:val="22"/>
              </w:rPr>
              <w:t>2026/27</w:t>
            </w:r>
            <w:r w:rsidR="00B61464">
              <w:rPr>
                <w:color w:val="FFFFFF" w:themeColor="background1"/>
                <w:sz w:val="22"/>
              </w:rPr>
              <w:t>*</w:t>
            </w:r>
            <w:r w:rsidRPr="00B61464">
              <w:rPr>
                <w:color w:val="FFFFFF" w:themeColor="background1"/>
                <w:sz w:val="22"/>
              </w:rPr>
              <w:br/>
              <w:t>$(000)</w:t>
            </w:r>
          </w:p>
        </w:tc>
      </w:tr>
      <w:tr w:rsidR="008D44DA" w14:paraId="532B13CA" w14:textId="77777777" w:rsidTr="008D44DA">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3" w:type="pct"/>
            <w:tcBorders>
              <w:bottom w:val="single" w:sz="4" w:space="0" w:color="FFFFFF" w:themeColor="background1"/>
            </w:tcBorders>
          </w:tcPr>
          <w:p w14:paraId="13B81370" w14:textId="77777777" w:rsidR="008D44DA" w:rsidRDefault="008D44DA" w:rsidP="00DE729C">
            <w:pPr>
              <w:spacing w:before="40" w:after="40"/>
              <w:jc w:val="right"/>
              <w:rPr>
                <w:sz w:val="22"/>
              </w:rPr>
            </w:pPr>
          </w:p>
        </w:tc>
        <w:tc>
          <w:tcPr>
            <w:tcW w:w="2853" w:type="pct"/>
            <w:shd w:val="clear" w:color="auto" w:fill="BFBFBF"/>
            <w:hideMark/>
          </w:tcPr>
          <w:p w14:paraId="17CE77FF" w14:textId="77777777" w:rsidR="008D44DA" w:rsidRDefault="008D44DA"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General Funds</w:t>
            </w:r>
          </w:p>
        </w:tc>
        <w:tc>
          <w:tcPr>
            <w:tcW w:w="787" w:type="pct"/>
            <w:shd w:val="clear" w:color="auto" w:fill="BFBFBF"/>
          </w:tcPr>
          <w:p w14:paraId="66DE2FFA"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p>
        </w:tc>
        <w:tc>
          <w:tcPr>
            <w:tcW w:w="787" w:type="pct"/>
            <w:shd w:val="clear" w:color="auto" w:fill="BFBFBF"/>
          </w:tcPr>
          <w:p w14:paraId="74E36874"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p>
        </w:tc>
      </w:tr>
      <w:tr w:rsidR="008D44DA" w14:paraId="1C3FCC60" w14:textId="77777777" w:rsidTr="008D44DA">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3" w:type="pct"/>
            <w:tcBorders>
              <w:top w:val="single" w:sz="4" w:space="0" w:color="FFFFFF" w:themeColor="background1"/>
              <w:bottom w:val="single" w:sz="4" w:space="0" w:color="FFFFFF" w:themeColor="background1"/>
            </w:tcBorders>
            <w:shd w:val="clear" w:color="auto" w:fill="E9E9E9"/>
            <w:vAlign w:val="center"/>
            <w:hideMark/>
          </w:tcPr>
          <w:p w14:paraId="36A30AB8" w14:textId="77777777" w:rsidR="008D44DA" w:rsidRDefault="008D44DA" w:rsidP="00DE729C">
            <w:pPr>
              <w:spacing w:before="40" w:after="40"/>
              <w:jc w:val="right"/>
              <w:rPr>
                <w:sz w:val="22"/>
              </w:rPr>
            </w:pPr>
            <w:r>
              <w:rPr>
                <w:sz w:val="22"/>
              </w:rPr>
              <w:t>15,023</w:t>
            </w:r>
          </w:p>
        </w:tc>
        <w:tc>
          <w:tcPr>
            <w:tcW w:w="2853" w:type="pct"/>
            <w:hideMark/>
          </w:tcPr>
          <w:p w14:paraId="27DF029F" w14:textId="77777777" w:rsidR="008D44DA" w:rsidRDefault="008D44DA" w:rsidP="00DE729C">
            <w:pPr>
              <w:spacing w:before="40" w:after="40"/>
              <w:cnfStyle w:val="000000010000" w:firstRow="0" w:lastRow="0" w:firstColumn="0" w:lastColumn="0" w:oddVBand="0" w:evenVBand="0" w:oddHBand="0" w:evenHBand="1" w:firstRowFirstColumn="0" w:firstRowLastColumn="0" w:lastRowFirstColumn="0" w:lastRowLastColumn="0"/>
              <w:rPr>
                <w:sz w:val="22"/>
              </w:rPr>
            </w:pPr>
            <w:r>
              <w:rPr>
                <w:sz w:val="22"/>
              </w:rPr>
              <w:t xml:space="preserve">Balance </w:t>
            </w:r>
            <w:proofErr w:type="gramStart"/>
            <w:r>
              <w:rPr>
                <w:sz w:val="22"/>
              </w:rPr>
              <w:t>at</w:t>
            </w:r>
            <w:proofErr w:type="gramEnd"/>
            <w:r>
              <w:rPr>
                <w:sz w:val="22"/>
              </w:rPr>
              <w:t xml:space="preserve"> 1 July</w:t>
            </w:r>
          </w:p>
        </w:tc>
        <w:tc>
          <w:tcPr>
            <w:tcW w:w="787" w:type="pct"/>
            <w:vAlign w:val="center"/>
          </w:tcPr>
          <w:p w14:paraId="31745612" w14:textId="77777777" w:rsidR="008D44DA" w:rsidRPr="00A8536C"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Cs/>
                <w:iCs/>
                <w:sz w:val="22"/>
              </w:rPr>
            </w:pPr>
            <w:r>
              <w:rPr>
                <w:bCs/>
                <w:iCs/>
                <w:sz w:val="22"/>
              </w:rPr>
              <w:t>15,023</w:t>
            </w:r>
          </w:p>
        </w:tc>
        <w:tc>
          <w:tcPr>
            <w:tcW w:w="787" w:type="pct"/>
            <w:vAlign w:val="center"/>
            <w:hideMark/>
          </w:tcPr>
          <w:p w14:paraId="5716AEE1" w14:textId="77777777" w:rsidR="008D44DA" w:rsidRPr="00A8536C"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15,023</w:t>
            </w:r>
          </w:p>
        </w:tc>
      </w:tr>
      <w:tr w:rsidR="008D44DA" w14:paraId="2F21231C" w14:textId="77777777" w:rsidTr="008D44DA">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3" w:type="pct"/>
            <w:tcBorders>
              <w:top w:val="single" w:sz="4" w:space="0" w:color="FFFFFF" w:themeColor="background1"/>
              <w:bottom w:val="single" w:sz="4" w:space="0" w:color="FFFFFF" w:themeColor="background1"/>
            </w:tcBorders>
            <w:shd w:val="clear" w:color="auto" w:fill="E9E9E9"/>
            <w:vAlign w:val="center"/>
            <w:hideMark/>
          </w:tcPr>
          <w:p w14:paraId="56904229" w14:textId="77777777" w:rsidR="008D44DA" w:rsidRDefault="008D44DA" w:rsidP="00DE729C">
            <w:pPr>
              <w:spacing w:before="40" w:after="40"/>
              <w:jc w:val="right"/>
              <w:rPr>
                <w:sz w:val="22"/>
              </w:rPr>
            </w:pPr>
            <w:r>
              <w:rPr>
                <w:sz w:val="22"/>
              </w:rPr>
              <w:t>7,462</w:t>
            </w:r>
          </w:p>
        </w:tc>
        <w:tc>
          <w:tcPr>
            <w:tcW w:w="2853" w:type="pct"/>
            <w:hideMark/>
          </w:tcPr>
          <w:p w14:paraId="7746FD14" w14:textId="77777777" w:rsidR="008D44DA" w:rsidRDefault="008D44DA" w:rsidP="00DE729C">
            <w:pPr>
              <w:spacing w:before="40" w:after="40"/>
              <w:cnfStyle w:val="000000100000" w:firstRow="0" w:lastRow="0" w:firstColumn="0" w:lastColumn="0" w:oddVBand="0" w:evenVBand="0" w:oddHBand="1" w:evenHBand="0" w:firstRowFirstColumn="0" w:firstRowLastColumn="0" w:lastRowFirstColumn="0" w:lastRowLastColumn="0"/>
              <w:rPr>
                <w:sz w:val="22"/>
              </w:rPr>
            </w:pPr>
            <w:r>
              <w:rPr>
                <w:sz w:val="22"/>
              </w:rPr>
              <w:t>Net operating surplus</w:t>
            </w:r>
          </w:p>
        </w:tc>
        <w:tc>
          <w:tcPr>
            <w:tcW w:w="787" w:type="pct"/>
          </w:tcPr>
          <w:p w14:paraId="7967CE77" w14:textId="6B22B415" w:rsidR="008D44DA" w:rsidRPr="00A8536C" w:rsidRDefault="001374E8" w:rsidP="00DE729C">
            <w:pPr>
              <w:spacing w:before="40" w:after="40"/>
              <w:jc w:val="right"/>
              <w:cnfStyle w:val="000000100000" w:firstRow="0" w:lastRow="0" w:firstColumn="0" w:lastColumn="0" w:oddVBand="0" w:evenVBand="0" w:oddHBand="1" w:evenHBand="0" w:firstRowFirstColumn="0" w:firstRowLastColumn="0" w:lastRowFirstColumn="0" w:lastRowLastColumn="0"/>
              <w:rPr>
                <w:bCs/>
                <w:iCs/>
                <w:sz w:val="22"/>
              </w:rPr>
            </w:pPr>
            <w:r>
              <w:rPr>
                <w:bCs/>
                <w:iCs/>
                <w:sz w:val="22"/>
              </w:rPr>
              <w:t>2,071</w:t>
            </w:r>
          </w:p>
        </w:tc>
        <w:tc>
          <w:tcPr>
            <w:tcW w:w="787" w:type="pct"/>
            <w:vAlign w:val="center"/>
            <w:hideMark/>
          </w:tcPr>
          <w:p w14:paraId="1E68A225"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8D44DA" w14:paraId="5E5A25EA" w14:textId="77777777" w:rsidTr="008D44DA">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3" w:type="pct"/>
            <w:tcBorders>
              <w:top w:val="single" w:sz="4" w:space="0" w:color="FFFFFF" w:themeColor="background1"/>
              <w:bottom w:val="single" w:sz="4" w:space="0" w:color="FFFFFF" w:themeColor="background1"/>
            </w:tcBorders>
            <w:shd w:val="clear" w:color="auto" w:fill="E9E9E9"/>
            <w:vAlign w:val="center"/>
            <w:hideMark/>
          </w:tcPr>
          <w:p w14:paraId="254CAF75" w14:textId="77777777" w:rsidR="008D44DA" w:rsidRDefault="008D44DA" w:rsidP="00DE729C">
            <w:pPr>
              <w:spacing w:before="40" w:after="40"/>
              <w:jc w:val="right"/>
              <w:rPr>
                <w:sz w:val="22"/>
              </w:rPr>
            </w:pPr>
            <w:r>
              <w:rPr>
                <w:sz w:val="22"/>
              </w:rPr>
              <w:t>-</w:t>
            </w:r>
          </w:p>
        </w:tc>
        <w:tc>
          <w:tcPr>
            <w:tcW w:w="2853" w:type="pct"/>
            <w:hideMark/>
          </w:tcPr>
          <w:p w14:paraId="09F3DD85" w14:textId="137AF611" w:rsidR="008D44DA" w:rsidRDefault="008D44DA" w:rsidP="00DE729C">
            <w:pPr>
              <w:spacing w:before="40" w:after="40"/>
              <w:cnfStyle w:val="000000010000" w:firstRow="0" w:lastRow="0" w:firstColumn="0" w:lastColumn="0" w:oddVBand="0" w:evenVBand="0" w:oddHBand="0" w:evenHBand="1" w:firstRowFirstColumn="0" w:firstRowLastColumn="0" w:lastRowFirstColumn="0" w:lastRowLastColumn="0"/>
              <w:rPr>
                <w:sz w:val="22"/>
              </w:rPr>
            </w:pPr>
            <w:r>
              <w:rPr>
                <w:sz w:val="22"/>
              </w:rPr>
              <w:t>Capital transfer</w:t>
            </w:r>
          </w:p>
        </w:tc>
        <w:tc>
          <w:tcPr>
            <w:tcW w:w="787" w:type="pct"/>
            <w:vAlign w:val="center"/>
          </w:tcPr>
          <w:p w14:paraId="6B85EBC4" w14:textId="77777777" w:rsidR="008D44DA" w:rsidRPr="00A8536C"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Cs/>
                <w:iCs/>
                <w:sz w:val="22"/>
              </w:rPr>
            </w:pPr>
            <w:r>
              <w:rPr>
                <w:bCs/>
                <w:iCs/>
                <w:sz w:val="22"/>
              </w:rPr>
              <w:t>-</w:t>
            </w:r>
          </w:p>
        </w:tc>
        <w:tc>
          <w:tcPr>
            <w:tcW w:w="787" w:type="pct"/>
            <w:vAlign w:val="center"/>
            <w:hideMark/>
          </w:tcPr>
          <w:p w14:paraId="0BB29DBD" w14:textId="77777777" w:rsidR="008D44DA"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sz w:val="22"/>
              </w:rPr>
            </w:pPr>
            <w:r>
              <w:rPr>
                <w:sz w:val="22"/>
              </w:rPr>
              <w:t>(7,000)</w:t>
            </w:r>
          </w:p>
        </w:tc>
      </w:tr>
      <w:tr w:rsidR="008D44DA" w14:paraId="00131FF8" w14:textId="77777777" w:rsidTr="008D44DA">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73" w:type="pct"/>
            <w:tcBorders>
              <w:top w:val="single" w:sz="4" w:space="0" w:color="FFFFFF" w:themeColor="background1"/>
              <w:bottom w:val="single" w:sz="4" w:space="0" w:color="FFFFFF" w:themeColor="background1"/>
            </w:tcBorders>
            <w:shd w:val="clear" w:color="auto" w:fill="E9E9E9"/>
            <w:vAlign w:val="center"/>
            <w:hideMark/>
          </w:tcPr>
          <w:p w14:paraId="436D5C12" w14:textId="77777777" w:rsidR="008D44DA" w:rsidRDefault="008D44DA" w:rsidP="00DE729C">
            <w:pPr>
              <w:spacing w:before="40" w:after="40"/>
              <w:jc w:val="right"/>
              <w:rPr>
                <w:sz w:val="22"/>
              </w:rPr>
            </w:pPr>
            <w:r>
              <w:rPr>
                <w:sz w:val="22"/>
              </w:rPr>
              <w:t>(7,462)</w:t>
            </w:r>
          </w:p>
        </w:tc>
        <w:tc>
          <w:tcPr>
            <w:tcW w:w="2853" w:type="pct"/>
            <w:tcBorders>
              <w:bottom w:val="single" w:sz="4" w:space="0" w:color="FFFFFF" w:themeColor="background1"/>
            </w:tcBorders>
            <w:hideMark/>
          </w:tcPr>
          <w:p w14:paraId="5572051D" w14:textId="77777777" w:rsidR="008D44DA" w:rsidRDefault="008D44DA" w:rsidP="00DE729C">
            <w:pPr>
              <w:spacing w:before="40" w:after="40"/>
              <w:cnfStyle w:val="000000100000" w:firstRow="0" w:lastRow="0" w:firstColumn="0" w:lastColumn="0" w:oddVBand="0" w:evenVBand="0" w:oddHBand="1" w:evenHBand="0" w:firstRowFirstColumn="0" w:firstRowLastColumn="0" w:lastRowFirstColumn="0" w:lastRowLastColumn="0"/>
              <w:rPr>
                <w:sz w:val="22"/>
              </w:rPr>
            </w:pPr>
            <w:r>
              <w:rPr>
                <w:sz w:val="22"/>
              </w:rPr>
              <w:t>Provision for repayment of surplus to the Crown</w:t>
            </w:r>
          </w:p>
        </w:tc>
        <w:tc>
          <w:tcPr>
            <w:tcW w:w="787" w:type="pct"/>
            <w:tcBorders>
              <w:bottom w:val="single" w:sz="4" w:space="0" w:color="FFFFFF" w:themeColor="background1"/>
            </w:tcBorders>
            <w:vAlign w:val="center"/>
          </w:tcPr>
          <w:p w14:paraId="123B1CEE" w14:textId="38CAD4AF" w:rsidR="008D44DA" w:rsidRPr="00A8536C"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bCs/>
                <w:iCs/>
                <w:sz w:val="22"/>
              </w:rPr>
            </w:pPr>
            <w:r>
              <w:rPr>
                <w:bCs/>
                <w:iCs/>
                <w:sz w:val="22"/>
              </w:rPr>
              <w:t>(</w:t>
            </w:r>
            <w:r w:rsidR="001374E8">
              <w:rPr>
                <w:bCs/>
                <w:iCs/>
                <w:sz w:val="22"/>
              </w:rPr>
              <w:t>2,071</w:t>
            </w:r>
            <w:r>
              <w:rPr>
                <w:bCs/>
                <w:iCs/>
                <w:sz w:val="22"/>
              </w:rPr>
              <w:t>)</w:t>
            </w:r>
          </w:p>
        </w:tc>
        <w:tc>
          <w:tcPr>
            <w:tcW w:w="787" w:type="pct"/>
            <w:tcBorders>
              <w:bottom w:val="single" w:sz="4" w:space="0" w:color="FFFFFF" w:themeColor="background1"/>
            </w:tcBorders>
            <w:vAlign w:val="center"/>
            <w:hideMark/>
          </w:tcPr>
          <w:p w14:paraId="00D17F73" w14:textId="77777777" w:rsidR="008D44DA" w:rsidRDefault="008D44DA" w:rsidP="00DE729C">
            <w:pPr>
              <w:spacing w:before="40" w:after="40"/>
              <w:jc w:val="right"/>
              <w:cnfStyle w:val="000000100000" w:firstRow="0" w:lastRow="0" w:firstColumn="0" w:lastColumn="0" w:oddVBand="0" w:evenVBand="0" w:oddHBand="1" w:evenHBand="0" w:firstRowFirstColumn="0" w:firstRowLastColumn="0" w:lastRowFirstColumn="0" w:lastRowLastColumn="0"/>
              <w:rPr>
                <w:sz w:val="22"/>
              </w:rPr>
            </w:pPr>
            <w:r>
              <w:rPr>
                <w:sz w:val="22"/>
              </w:rPr>
              <w:t>-</w:t>
            </w:r>
          </w:p>
        </w:tc>
      </w:tr>
      <w:tr w:rsidR="008D44DA" w14:paraId="4BA1B986" w14:textId="77777777" w:rsidTr="008D44DA">
        <w:trPr>
          <w:cnfStyle w:val="000000010000" w:firstRow="0" w:lastRow="0" w:firstColumn="0" w:lastColumn="0" w:oddVBand="0" w:evenVBand="0" w:oddHBand="0" w:evenHBand="1"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73" w:type="pct"/>
            <w:tcBorders>
              <w:top w:val="single" w:sz="4" w:space="0" w:color="FFFFFF" w:themeColor="background1"/>
              <w:bottom w:val="single" w:sz="4" w:space="0" w:color="FFFFFF" w:themeColor="background1"/>
            </w:tcBorders>
            <w:vAlign w:val="center"/>
            <w:hideMark/>
          </w:tcPr>
          <w:p w14:paraId="78BE219E" w14:textId="77777777" w:rsidR="008D44DA" w:rsidRPr="00A8536C" w:rsidRDefault="008D44DA" w:rsidP="00DE729C">
            <w:pPr>
              <w:spacing w:before="40" w:after="40"/>
              <w:jc w:val="right"/>
              <w:rPr>
                <w:b/>
                <w:sz w:val="22"/>
                <w:u w:val="single"/>
              </w:rPr>
            </w:pPr>
            <w:r>
              <w:rPr>
                <w:b/>
                <w:sz w:val="22"/>
                <w:u w:val="single"/>
              </w:rPr>
              <w:t>15,023</w:t>
            </w:r>
          </w:p>
        </w:tc>
        <w:tc>
          <w:tcPr>
            <w:tcW w:w="2853" w:type="pct"/>
            <w:tcBorders>
              <w:top w:val="single" w:sz="4" w:space="0" w:color="FFFFFF" w:themeColor="background1"/>
              <w:bottom w:val="single" w:sz="4" w:space="0" w:color="FFFFFF" w:themeColor="background1"/>
            </w:tcBorders>
            <w:shd w:val="clear" w:color="auto" w:fill="BFBFBF"/>
            <w:hideMark/>
          </w:tcPr>
          <w:p w14:paraId="311C9C67" w14:textId="77777777" w:rsidR="008D44DA" w:rsidRDefault="008D44DA" w:rsidP="00DE729C">
            <w:pPr>
              <w:spacing w:before="40" w:after="40"/>
              <w:cnfStyle w:val="000000010000" w:firstRow="0" w:lastRow="0" w:firstColumn="0" w:lastColumn="0" w:oddVBand="0" w:evenVBand="0" w:oddHBand="0" w:evenHBand="1" w:firstRowFirstColumn="0" w:firstRowLastColumn="0" w:lastRowFirstColumn="0" w:lastRowLastColumn="0"/>
              <w:rPr>
                <w:b/>
                <w:bCs/>
                <w:iCs/>
                <w:sz w:val="22"/>
              </w:rPr>
            </w:pPr>
            <w:r>
              <w:rPr>
                <w:b/>
                <w:bCs/>
                <w:iCs/>
                <w:sz w:val="22"/>
              </w:rPr>
              <w:t xml:space="preserve">Total Equity </w:t>
            </w:r>
            <w:proofErr w:type="gramStart"/>
            <w:r>
              <w:rPr>
                <w:b/>
                <w:bCs/>
                <w:iCs/>
                <w:sz w:val="22"/>
              </w:rPr>
              <w:t>at</w:t>
            </w:r>
            <w:proofErr w:type="gramEnd"/>
            <w:r>
              <w:rPr>
                <w:b/>
                <w:bCs/>
                <w:iCs/>
                <w:sz w:val="22"/>
              </w:rPr>
              <w:t xml:space="preserve"> 30 June</w:t>
            </w:r>
          </w:p>
        </w:tc>
        <w:tc>
          <w:tcPr>
            <w:tcW w:w="787" w:type="pct"/>
            <w:tcBorders>
              <w:top w:val="single" w:sz="4" w:space="0" w:color="FFFFFF" w:themeColor="background1"/>
              <w:bottom w:val="single" w:sz="4" w:space="0" w:color="FFFFFF" w:themeColor="background1"/>
            </w:tcBorders>
            <w:shd w:val="clear" w:color="auto" w:fill="BFBFBF"/>
            <w:vAlign w:val="center"/>
          </w:tcPr>
          <w:p w14:paraId="31A8DB55" w14:textId="77777777" w:rsidR="008D44DA" w:rsidRPr="006E6720"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u w:val="single"/>
              </w:rPr>
            </w:pPr>
            <w:r>
              <w:rPr>
                <w:b/>
                <w:bCs/>
                <w:iCs/>
                <w:sz w:val="22"/>
                <w:u w:val="single"/>
              </w:rPr>
              <w:t>15,023</w:t>
            </w:r>
          </w:p>
        </w:tc>
        <w:tc>
          <w:tcPr>
            <w:tcW w:w="787" w:type="pct"/>
            <w:tcBorders>
              <w:top w:val="single" w:sz="4" w:space="0" w:color="FFFFFF" w:themeColor="background1"/>
              <w:bottom w:val="single" w:sz="4" w:space="0" w:color="FFFFFF" w:themeColor="background1"/>
            </w:tcBorders>
            <w:shd w:val="clear" w:color="auto" w:fill="BFBFBF"/>
            <w:vAlign w:val="center"/>
            <w:hideMark/>
          </w:tcPr>
          <w:p w14:paraId="35F32365" w14:textId="77777777" w:rsidR="008D44DA" w:rsidRDefault="008D44DA" w:rsidP="00DE729C">
            <w:pPr>
              <w:spacing w:before="40" w:after="40"/>
              <w:jc w:val="right"/>
              <w:cnfStyle w:val="000000010000" w:firstRow="0" w:lastRow="0" w:firstColumn="0" w:lastColumn="0" w:oddVBand="0" w:evenVBand="0" w:oddHBand="0" w:evenHBand="1" w:firstRowFirstColumn="0" w:firstRowLastColumn="0" w:lastRowFirstColumn="0" w:lastRowLastColumn="0"/>
              <w:rPr>
                <w:b/>
                <w:sz w:val="22"/>
                <w:u w:val="single"/>
              </w:rPr>
            </w:pPr>
            <w:r>
              <w:rPr>
                <w:b/>
                <w:sz w:val="22"/>
                <w:u w:val="single"/>
              </w:rPr>
              <w:t>8,023</w:t>
            </w:r>
          </w:p>
        </w:tc>
      </w:tr>
    </w:tbl>
    <w:p w14:paraId="33ECE390" w14:textId="210FE34B" w:rsidR="00B61464" w:rsidRDefault="00B61464" w:rsidP="00B61464">
      <w:pPr>
        <w:pStyle w:val="BodyText"/>
      </w:pPr>
      <w:r>
        <w:t xml:space="preserve">* Unaudited. </w:t>
      </w:r>
    </w:p>
    <w:p w14:paraId="2E931390" w14:textId="75E6D7AC" w:rsidR="00032F1F" w:rsidRDefault="00032F1F" w:rsidP="00032F1F">
      <w:pPr>
        <w:pStyle w:val="Heading3"/>
      </w:pPr>
      <w:r>
        <w:t xml:space="preserve">13. Capital management </w:t>
      </w:r>
    </w:p>
    <w:p w14:paraId="53D069A3" w14:textId="77777777" w:rsidR="008D44DA" w:rsidRDefault="008D44DA" w:rsidP="008D44DA">
      <w:pPr>
        <w:pStyle w:val="BodyText"/>
      </w:pPr>
      <w:r>
        <w:t>The Office’s capital is its equity, which comprises of taxpayer funds. Equity is represented by net assets.</w:t>
      </w:r>
    </w:p>
    <w:p w14:paraId="7D71641C" w14:textId="77777777" w:rsidR="008D44DA" w:rsidRDefault="008D44DA" w:rsidP="008D44DA">
      <w:pPr>
        <w:pStyle w:val="BodyText"/>
      </w:pPr>
      <w:r>
        <w:t>The Office manages its revenues, expenses, assets, liabilities, and general financial dealings prudently. The Office’s equity is largely managed as a by-product of managing revenue, expenses, assets, liabilities and compliance with Parliament budget processes, Treasury instructions, and the Public Finance Act 1989.</w:t>
      </w:r>
    </w:p>
    <w:p w14:paraId="49B3D9B5" w14:textId="77777777" w:rsidR="008D44DA" w:rsidRDefault="00032F1F" w:rsidP="00032F1F">
      <w:pPr>
        <w:pStyle w:val="Heading3"/>
      </w:pPr>
      <w:r>
        <w:t xml:space="preserve">14. Related party information </w:t>
      </w:r>
    </w:p>
    <w:p w14:paraId="13B3D87D" w14:textId="77777777" w:rsidR="008D44DA" w:rsidRDefault="008D44DA" w:rsidP="008D44DA">
      <w:pPr>
        <w:pStyle w:val="BodyText"/>
      </w:pPr>
      <w:r>
        <w:t>The Office is a wholly owned entity of the Crown. The Ombudsman acts independently, and its main source of revenue is Parliament.</w:t>
      </w:r>
    </w:p>
    <w:p w14:paraId="7584DDD1" w14:textId="77777777" w:rsidR="008D44DA" w:rsidRDefault="008D44DA" w:rsidP="008D44DA">
      <w:pPr>
        <w:pStyle w:val="BodyText"/>
      </w:pPr>
      <w:r>
        <w:t>Related party disclosures have not been made for transactions with related parties that are within a normal supplier/recipient relationship on terms and conditions no more or less favourable than those that it is reasonable to expect the Office would have adopted in dealing with the party at arm’s length in the same circumstances. Further, transactions with government agencies (for example, government departments and Crown Entities) are not disclosed as related party transactions when they are consistent with the normal operating arrangements between government agencies and undertaken on the normal terms and conditions for such transactions.</w:t>
      </w:r>
    </w:p>
    <w:p w14:paraId="053E93CA" w14:textId="77777777" w:rsidR="008D44DA" w:rsidRDefault="008D44DA" w:rsidP="008D44DA">
      <w:pPr>
        <w:pStyle w:val="BodyText"/>
      </w:pPr>
      <w:r>
        <w:t>All related party transactions have been entered into on an arm’s length basis.</w:t>
      </w:r>
    </w:p>
    <w:p w14:paraId="4CB85F69" w14:textId="77777777" w:rsidR="008D44DA" w:rsidRPr="00F739C7" w:rsidRDefault="008D44DA" w:rsidP="008D44DA">
      <w:pPr>
        <w:pStyle w:val="Heading4"/>
        <w:rPr>
          <w:b w:val="0"/>
          <w:color w:val="auto"/>
          <w:szCs w:val="24"/>
        </w:rPr>
      </w:pPr>
      <w:r w:rsidRPr="00F739C7">
        <w:rPr>
          <w:color w:val="auto"/>
          <w:szCs w:val="24"/>
        </w:rPr>
        <w:t>Key management personnel compensation</w:t>
      </w:r>
    </w:p>
    <w:p w14:paraId="58310D5E" w14:textId="77777777" w:rsidR="008D44DA" w:rsidRDefault="008D44DA" w:rsidP="008D44DA">
      <w:pPr>
        <w:pStyle w:val="BodyText"/>
      </w:pPr>
      <w:r>
        <w:t xml:space="preserve">Remuneration and benefits of the senior management staff of the Office amounted to the following: </w:t>
      </w:r>
    </w:p>
    <w:tbl>
      <w:tblPr>
        <w:tblStyle w:val="TableGridAnnualReport211"/>
        <w:tblW w:w="9299" w:type="dxa"/>
        <w:tblInd w:w="0" w:type="dxa"/>
        <w:tblLayout w:type="fixed"/>
        <w:tblLook w:val="04A0" w:firstRow="1" w:lastRow="0" w:firstColumn="1" w:lastColumn="0" w:noHBand="0" w:noVBand="1"/>
      </w:tblPr>
      <w:tblGrid>
        <w:gridCol w:w="1266"/>
        <w:gridCol w:w="4828"/>
        <w:gridCol w:w="3205"/>
      </w:tblGrid>
      <w:tr w:rsidR="00376036" w14:paraId="6391D787" w14:textId="77777777" w:rsidTr="0037603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66" w:type="dxa"/>
            <w:shd w:val="clear" w:color="auto" w:fill="017E5D"/>
            <w:hideMark/>
          </w:tcPr>
          <w:p w14:paraId="32162E9A" w14:textId="77777777" w:rsidR="00376036" w:rsidRDefault="00376036" w:rsidP="00DE729C">
            <w:pPr>
              <w:keepNext/>
              <w:spacing w:before="60" w:after="60" w:line="240" w:lineRule="auto"/>
              <w:jc w:val="right"/>
              <w:rPr>
                <w:color w:val="FFFFFF" w:themeColor="background1"/>
              </w:rPr>
            </w:pPr>
            <w:r>
              <w:rPr>
                <w:color w:val="FFFFFF" w:themeColor="background1"/>
              </w:rPr>
              <w:t>Actual</w:t>
            </w:r>
            <w:r>
              <w:rPr>
                <w:color w:val="FFFFFF" w:themeColor="background1"/>
              </w:rPr>
              <w:br/>
              <w:t>2024/25</w:t>
            </w:r>
            <w:r>
              <w:rPr>
                <w:color w:val="FFFFFF" w:themeColor="background1"/>
              </w:rPr>
              <w:br/>
              <w:t>$(000)</w:t>
            </w:r>
          </w:p>
        </w:tc>
        <w:tc>
          <w:tcPr>
            <w:tcW w:w="4828" w:type="dxa"/>
            <w:shd w:val="clear" w:color="auto" w:fill="017E5D"/>
          </w:tcPr>
          <w:p w14:paraId="18069840" w14:textId="77777777" w:rsidR="00376036" w:rsidRDefault="00376036"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rPr>
            </w:pPr>
          </w:p>
        </w:tc>
        <w:tc>
          <w:tcPr>
            <w:tcW w:w="3205" w:type="dxa"/>
            <w:shd w:val="clear" w:color="auto" w:fill="017E5D"/>
            <w:hideMark/>
          </w:tcPr>
          <w:p w14:paraId="500B7B9B" w14:textId="77777777" w:rsidR="00376036" w:rsidRDefault="00376036"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Actual</w:t>
            </w:r>
            <w:r>
              <w:rPr>
                <w:color w:val="FFFFFF" w:themeColor="background1"/>
              </w:rPr>
              <w:br/>
              <w:t>2025/26</w:t>
            </w:r>
            <w:r>
              <w:rPr>
                <w:color w:val="FFFFFF" w:themeColor="background1"/>
              </w:rPr>
              <w:br/>
              <w:t>$(000)</w:t>
            </w:r>
          </w:p>
        </w:tc>
      </w:tr>
      <w:tr w:rsidR="00376036" w14:paraId="22809EF6" w14:textId="77777777" w:rsidTr="00DE729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266" w:type="dxa"/>
            <w:tcBorders>
              <w:bottom w:val="single" w:sz="8" w:space="0" w:color="FFFFFF" w:themeColor="background1"/>
            </w:tcBorders>
            <w:shd w:val="clear" w:color="auto" w:fill="E9E9E9"/>
            <w:hideMark/>
          </w:tcPr>
          <w:p w14:paraId="6D06374C" w14:textId="77777777" w:rsidR="00376036" w:rsidRDefault="00376036" w:rsidP="00DE729C">
            <w:pPr>
              <w:rPr>
                <w:color w:val="FFFFFF" w:themeColor="background1"/>
              </w:rPr>
            </w:pPr>
          </w:p>
        </w:tc>
        <w:tc>
          <w:tcPr>
            <w:tcW w:w="4828" w:type="dxa"/>
            <w:hideMark/>
          </w:tcPr>
          <w:p w14:paraId="228455F9" w14:textId="77777777" w:rsidR="00376036" w:rsidRDefault="00376036"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Leadership Team, including the Chief Ombudsman</w:t>
            </w:r>
          </w:p>
        </w:tc>
        <w:tc>
          <w:tcPr>
            <w:tcW w:w="3205" w:type="dxa"/>
            <w:hideMark/>
          </w:tcPr>
          <w:p w14:paraId="49E2F292" w14:textId="77777777" w:rsidR="00376036" w:rsidRDefault="00376036" w:rsidP="00DE729C">
            <w:pPr>
              <w:cnfStyle w:val="000000100000" w:firstRow="0" w:lastRow="0" w:firstColumn="0" w:lastColumn="0" w:oddVBand="0" w:evenVBand="0" w:oddHBand="1" w:evenHBand="0" w:firstRowFirstColumn="0" w:firstRowLastColumn="0" w:lastRowFirstColumn="0" w:lastRowLastColumn="0"/>
              <w:rPr>
                <w:b/>
                <w:bCs/>
                <w:iCs/>
                <w:sz w:val="22"/>
              </w:rPr>
            </w:pPr>
          </w:p>
        </w:tc>
      </w:tr>
      <w:tr w:rsidR="00376036" w14:paraId="26AEFB3E" w14:textId="77777777" w:rsidTr="00DE729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266" w:type="dxa"/>
            <w:tcBorders>
              <w:top w:val="single" w:sz="4" w:space="0" w:color="FFFFFF" w:themeColor="background1"/>
              <w:bottom w:val="single" w:sz="8" w:space="0" w:color="FFFFFF" w:themeColor="background1"/>
            </w:tcBorders>
            <w:shd w:val="clear" w:color="auto" w:fill="E9E9E9"/>
            <w:hideMark/>
          </w:tcPr>
          <w:p w14:paraId="3B5F07A1" w14:textId="77777777" w:rsidR="00376036" w:rsidRDefault="00376036" w:rsidP="00DE729C">
            <w:pPr>
              <w:spacing w:before="40" w:after="40"/>
              <w:jc w:val="right"/>
              <w:rPr>
                <w:sz w:val="22"/>
              </w:rPr>
            </w:pPr>
            <w:r>
              <w:rPr>
                <w:sz w:val="22"/>
              </w:rPr>
              <w:t>1,460</w:t>
            </w:r>
          </w:p>
        </w:tc>
        <w:tc>
          <w:tcPr>
            <w:tcW w:w="4828" w:type="dxa"/>
            <w:tcBorders>
              <w:top w:val="single" w:sz="4" w:space="0" w:color="FFFFFF" w:themeColor="background1"/>
            </w:tcBorders>
            <w:hideMark/>
          </w:tcPr>
          <w:p w14:paraId="47B4712C" w14:textId="77777777" w:rsidR="00376036" w:rsidRDefault="00376036" w:rsidP="00DE729C">
            <w:pPr>
              <w:spacing w:before="40" w:after="40"/>
              <w:cnfStyle w:val="000000010000" w:firstRow="0" w:lastRow="0" w:firstColumn="0" w:lastColumn="0" w:oddVBand="0" w:evenVBand="0" w:oddHBand="0" w:evenHBand="1" w:firstRowFirstColumn="0" w:firstRowLastColumn="0" w:lastRowFirstColumn="0" w:lastRowLastColumn="0"/>
              <w:rPr>
                <w:sz w:val="22"/>
              </w:rPr>
            </w:pPr>
            <w:r>
              <w:rPr>
                <w:sz w:val="22"/>
              </w:rPr>
              <w:t>Remuneration and other benefits</w:t>
            </w:r>
          </w:p>
        </w:tc>
        <w:tc>
          <w:tcPr>
            <w:tcW w:w="3205" w:type="dxa"/>
            <w:tcBorders>
              <w:top w:val="single" w:sz="4" w:space="0" w:color="FFFFFF" w:themeColor="background1"/>
            </w:tcBorders>
          </w:tcPr>
          <w:p w14:paraId="70667BF9" w14:textId="2F8A8AE8" w:rsidR="00376036" w:rsidRDefault="00101351" w:rsidP="00DE729C">
            <w:pPr>
              <w:spacing w:before="40" w:after="40"/>
              <w:jc w:val="right"/>
              <w:cnfStyle w:val="000000010000" w:firstRow="0" w:lastRow="0" w:firstColumn="0" w:lastColumn="0" w:oddVBand="0" w:evenVBand="0" w:oddHBand="0" w:evenHBand="1" w:firstRowFirstColumn="0" w:firstRowLastColumn="0" w:lastRowFirstColumn="0" w:lastRowLastColumn="0"/>
              <w:rPr>
                <w:bCs/>
                <w:iCs/>
                <w:sz w:val="22"/>
              </w:rPr>
            </w:pPr>
            <w:r>
              <w:rPr>
                <w:bCs/>
                <w:iCs/>
                <w:sz w:val="22"/>
              </w:rPr>
              <w:t>2,</w:t>
            </w:r>
            <w:r w:rsidR="00D73727">
              <w:rPr>
                <w:bCs/>
                <w:iCs/>
                <w:sz w:val="22"/>
              </w:rPr>
              <w:t>744</w:t>
            </w:r>
          </w:p>
        </w:tc>
      </w:tr>
      <w:tr w:rsidR="00376036" w14:paraId="389E63E7" w14:textId="77777777" w:rsidTr="00DE729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266" w:type="dxa"/>
            <w:tcBorders>
              <w:bottom w:val="single" w:sz="4" w:space="0" w:color="FFFFFF" w:themeColor="background1"/>
            </w:tcBorders>
            <w:shd w:val="clear" w:color="auto" w:fill="E9E9E9"/>
            <w:hideMark/>
          </w:tcPr>
          <w:p w14:paraId="21E92FB3" w14:textId="77777777" w:rsidR="00376036" w:rsidRDefault="00376036" w:rsidP="00DE729C">
            <w:pPr>
              <w:spacing w:before="40" w:after="40"/>
              <w:jc w:val="right"/>
              <w:rPr>
                <w:sz w:val="22"/>
              </w:rPr>
            </w:pPr>
            <w:r>
              <w:rPr>
                <w:sz w:val="22"/>
              </w:rPr>
              <w:t>4</w:t>
            </w:r>
          </w:p>
        </w:tc>
        <w:tc>
          <w:tcPr>
            <w:tcW w:w="4828" w:type="dxa"/>
            <w:hideMark/>
          </w:tcPr>
          <w:p w14:paraId="09D7A605" w14:textId="77777777" w:rsidR="00376036" w:rsidRDefault="00376036" w:rsidP="00DE729C">
            <w:pPr>
              <w:spacing w:before="40" w:after="40"/>
              <w:cnfStyle w:val="000000100000" w:firstRow="0" w:lastRow="0" w:firstColumn="0" w:lastColumn="0" w:oddVBand="0" w:evenVBand="0" w:oddHBand="1" w:evenHBand="0" w:firstRowFirstColumn="0" w:firstRowLastColumn="0" w:lastRowFirstColumn="0" w:lastRowLastColumn="0"/>
              <w:rPr>
                <w:sz w:val="22"/>
              </w:rPr>
            </w:pPr>
            <w:r>
              <w:rPr>
                <w:sz w:val="22"/>
              </w:rPr>
              <w:t>Full-time equivalent staff</w:t>
            </w:r>
          </w:p>
        </w:tc>
        <w:tc>
          <w:tcPr>
            <w:tcW w:w="3205" w:type="dxa"/>
            <w:hideMark/>
          </w:tcPr>
          <w:p w14:paraId="3108C5F0" w14:textId="7F6E316C" w:rsidR="00376036" w:rsidRDefault="00B05DF9" w:rsidP="00DE729C">
            <w:pPr>
              <w:spacing w:before="40" w:after="40"/>
              <w:jc w:val="right"/>
              <w:cnfStyle w:val="000000100000" w:firstRow="0" w:lastRow="0" w:firstColumn="0" w:lastColumn="0" w:oddVBand="0" w:evenVBand="0" w:oddHBand="1" w:evenHBand="0" w:firstRowFirstColumn="0" w:firstRowLastColumn="0" w:lastRowFirstColumn="0" w:lastRowLastColumn="0"/>
              <w:rPr>
                <w:bCs/>
                <w:iCs/>
                <w:sz w:val="22"/>
              </w:rPr>
            </w:pPr>
            <w:r>
              <w:rPr>
                <w:bCs/>
                <w:iCs/>
                <w:sz w:val="22"/>
              </w:rPr>
              <w:t>8</w:t>
            </w:r>
          </w:p>
        </w:tc>
      </w:tr>
    </w:tbl>
    <w:p w14:paraId="4FD7D7C4" w14:textId="474F5670" w:rsidR="00032F1F" w:rsidRDefault="00032F1F" w:rsidP="00032F1F">
      <w:pPr>
        <w:pStyle w:val="Heading3"/>
      </w:pPr>
      <w:r>
        <w:t xml:space="preserve">15. Financial instruments </w:t>
      </w:r>
    </w:p>
    <w:p w14:paraId="2A5A560D" w14:textId="77777777" w:rsidR="00376036" w:rsidRDefault="00376036" w:rsidP="00376036">
      <w:r>
        <w:t>The Office’s financial instruments are limited to cash and cash equivalents, debtors and other receivables, creditors and other payables, and employee entitlements. These activities expose the Office to low levels of financial instrument risks, including market risk, credit risk, and liquidity risk.</w:t>
      </w:r>
    </w:p>
    <w:p w14:paraId="3BF721DA" w14:textId="6FDEBF42" w:rsidR="00376036" w:rsidRPr="00E05112" w:rsidRDefault="00376036" w:rsidP="00E05112">
      <w:pPr>
        <w:pStyle w:val="Heading4"/>
        <w:rPr>
          <w:b w:val="0"/>
          <w:i/>
          <w:sz w:val="28"/>
          <w:szCs w:val="28"/>
        </w:rPr>
      </w:pPr>
      <w:r w:rsidRPr="00F739C7">
        <w:rPr>
          <w:sz w:val="28"/>
          <w:szCs w:val="28"/>
        </w:rPr>
        <w:t>Market Risk</w:t>
      </w:r>
    </w:p>
    <w:p w14:paraId="12DA6DCF" w14:textId="77777777" w:rsidR="00376036" w:rsidRPr="00F739C7" w:rsidRDefault="00376036" w:rsidP="00E05112">
      <w:pPr>
        <w:pStyle w:val="Heading5"/>
        <w:rPr>
          <w:color w:val="auto"/>
        </w:rPr>
      </w:pPr>
      <w:r>
        <w:t>Currency risk</w:t>
      </w:r>
    </w:p>
    <w:p w14:paraId="60B347DC" w14:textId="77777777" w:rsidR="00376036" w:rsidRDefault="00376036" w:rsidP="00376036">
      <w:r>
        <w:t>Currency risk is the risk that the fair value of future cash flows of a financial instrument will fluctuate because of changes in foreign exchange rates.</w:t>
      </w:r>
    </w:p>
    <w:p w14:paraId="58D89C76" w14:textId="2009F992" w:rsidR="00376036" w:rsidRDefault="00376036" w:rsidP="00376036">
      <w:r>
        <w:t xml:space="preserve">The Office incurs a small portion of operating expenditure in foreign currency, and risk is minimised through prompt settlement. Recognised liabilities that are payable in foreign currency were </w:t>
      </w:r>
      <w:r w:rsidRPr="00C018F7">
        <w:t>nil</w:t>
      </w:r>
      <w:r>
        <w:t xml:space="preserve"> at balance date (202</w:t>
      </w:r>
      <w:r w:rsidR="00E05112">
        <w:t>5</w:t>
      </w:r>
      <w:r>
        <w:t>: Nil)</w:t>
      </w:r>
    </w:p>
    <w:p w14:paraId="08F73708" w14:textId="77777777" w:rsidR="00376036" w:rsidRDefault="00376036" w:rsidP="00E05112">
      <w:pPr>
        <w:pStyle w:val="Heading5"/>
      </w:pPr>
      <w:r>
        <w:t>Interest rate risk</w:t>
      </w:r>
    </w:p>
    <w:p w14:paraId="0F06F16C" w14:textId="77777777" w:rsidR="00376036" w:rsidRDefault="00376036" w:rsidP="00376036">
      <w:r>
        <w:t>Interest rate risk is the risk that the fair value of a financial instrument will fluctuate, or the cash flows from a financial instrument will fluctuate, due to changes in market interest rates.</w:t>
      </w:r>
    </w:p>
    <w:p w14:paraId="1868629A" w14:textId="77777777" w:rsidR="00376036" w:rsidRDefault="00376036" w:rsidP="00376036">
      <w:r>
        <w:t>The Office has no interest-bearing financial instruments and, accordingly, has no exposure to interest rate risk.</w:t>
      </w:r>
    </w:p>
    <w:p w14:paraId="779B616B" w14:textId="77777777" w:rsidR="00376036" w:rsidRPr="00423F55" w:rsidRDefault="00376036" w:rsidP="00E05112">
      <w:pPr>
        <w:pStyle w:val="Heading5"/>
      </w:pPr>
      <w:r w:rsidRPr="00423F55">
        <w:t>Credit risk</w:t>
      </w:r>
    </w:p>
    <w:p w14:paraId="1EF53DE9" w14:textId="77777777" w:rsidR="00376036" w:rsidRDefault="00376036" w:rsidP="00376036">
      <w:r>
        <w:t xml:space="preserve">Credit risk is the risk that a third party will default on its obligation to the Office, causing the Office to incur a loss. </w:t>
      </w:r>
    </w:p>
    <w:p w14:paraId="4154C6D2" w14:textId="77777777" w:rsidR="00376036" w:rsidRDefault="00376036" w:rsidP="00376036">
      <w:r>
        <w:t xml:space="preserve">In the normal course of the Office’s business, credit risk arises from receivables and deposits with banks. </w:t>
      </w:r>
    </w:p>
    <w:p w14:paraId="6C5C4273" w14:textId="77777777" w:rsidR="00376036" w:rsidRDefault="00376036" w:rsidP="00376036">
      <w:r>
        <w:t xml:space="preserve">The Office is permitted to deposit funds only with Westpac, a registered bank with high credit ratings. For its other financial instruments, the Office does not have significant concentrations of credit risk. </w:t>
      </w:r>
    </w:p>
    <w:p w14:paraId="2A6E1FA7" w14:textId="77777777" w:rsidR="00376036" w:rsidRDefault="00376036" w:rsidP="00376036">
      <w:r>
        <w:t>The Office’s maximum credit exposure for each class of financial instrument is represented by the total carrying amount of cash and cash equivalents, and net receivables.</w:t>
      </w:r>
    </w:p>
    <w:p w14:paraId="5DC11678" w14:textId="77777777" w:rsidR="00376036" w:rsidRDefault="00376036" w:rsidP="00376036">
      <w:r>
        <w:t>There is no collateral held as security against these financial instruments.</w:t>
      </w:r>
    </w:p>
    <w:p w14:paraId="5387DA66" w14:textId="77777777" w:rsidR="00376036" w:rsidRPr="00423F55" w:rsidRDefault="00376036" w:rsidP="00E05112">
      <w:pPr>
        <w:pStyle w:val="Heading5"/>
      </w:pPr>
      <w:r w:rsidRPr="00423F55">
        <w:t>Liquidity risk</w:t>
      </w:r>
    </w:p>
    <w:p w14:paraId="1DD26EF9" w14:textId="77777777" w:rsidR="00376036" w:rsidRDefault="00376036" w:rsidP="00376036">
      <w:r>
        <w:t xml:space="preserve">Liquidity risk is the risk that the Office will encounter difficulty raising liquid funds to meet commitments as they fall due. </w:t>
      </w:r>
    </w:p>
    <w:p w14:paraId="2CF7F9DC" w14:textId="77777777" w:rsidR="00376036" w:rsidRDefault="00376036" w:rsidP="00376036">
      <w:r>
        <w:t xml:space="preserve">In meeting its liquidity requirements, the Office closely monitors its forecast cash requirements with cash </w:t>
      </w:r>
      <w:proofErr w:type="gramStart"/>
      <w:r>
        <w:t>draw-downs</w:t>
      </w:r>
      <w:proofErr w:type="gramEnd"/>
      <w:r>
        <w:t xml:space="preserve"> from the New Zealand Debt Management Office. The Office maintains a target level of available cash to meet liquidity requirements. </w:t>
      </w:r>
    </w:p>
    <w:p w14:paraId="403937A0" w14:textId="77777777" w:rsidR="00376036" w:rsidRDefault="00376036" w:rsidP="00376036">
      <w:pPr>
        <w:rPr>
          <w:b/>
        </w:rPr>
      </w:pPr>
      <w:r>
        <w:t>The Office’s financial liabilities are outlined in Note 9: Creditors and other payables. These are all due to be settled on 30-day terms.</w:t>
      </w:r>
      <w:r>
        <w:tab/>
      </w:r>
    </w:p>
    <w:p w14:paraId="36EFD8BB" w14:textId="3C3C22C3" w:rsidR="00376036" w:rsidRDefault="00E05112" w:rsidP="00E05112">
      <w:pPr>
        <w:pStyle w:val="Heading4"/>
      </w:pPr>
      <w:r>
        <w:t xml:space="preserve">Categories of financial instruments </w:t>
      </w:r>
    </w:p>
    <w:tbl>
      <w:tblPr>
        <w:tblStyle w:val="TableGridAnnualReport201"/>
        <w:tblW w:w="9299" w:type="dxa"/>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1124"/>
        <w:gridCol w:w="6150"/>
        <w:gridCol w:w="2025"/>
      </w:tblGrid>
      <w:tr w:rsidR="00E05112" w14:paraId="6F4754CD" w14:textId="77777777" w:rsidTr="00E0511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4" w:type="dxa"/>
            <w:shd w:val="clear" w:color="auto" w:fill="017E5D"/>
            <w:hideMark/>
          </w:tcPr>
          <w:p w14:paraId="723931DF" w14:textId="77777777" w:rsidR="00E05112" w:rsidRDefault="00E05112" w:rsidP="00DE729C">
            <w:pPr>
              <w:keepNext/>
              <w:spacing w:before="60" w:after="60" w:line="240" w:lineRule="auto"/>
              <w:jc w:val="right"/>
              <w:rPr>
                <w:color w:val="FFFFFF" w:themeColor="background1"/>
              </w:rPr>
            </w:pPr>
            <w:r>
              <w:rPr>
                <w:color w:val="FFFFFF" w:themeColor="background1"/>
              </w:rPr>
              <w:t>Actual</w:t>
            </w:r>
            <w:r>
              <w:rPr>
                <w:color w:val="FFFFFF" w:themeColor="background1"/>
              </w:rPr>
              <w:br/>
              <w:t>2024/25</w:t>
            </w:r>
            <w:r>
              <w:rPr>
                <w:color w:val="FFFFFF" w:themeColor="background1"/>
              </w:rPr>
              <w:br/>
              <w:t>$(000)</w:t>
            </w:r>
          </w:p>
        </w:tc>
        <w:tc>
          <w:tcPr>
            <w:tcW w:w="6150" w:type="dxa"/>
            <w:shd w:val="clear" w:color="auto" w:fill="017E5D"/>
          </w:tcPr>
          <w:p w14:paraId="173B3C6A" w14:textId="77777777" w:rsidR="00E05112" w:rsidRDefault="00E05112"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rPr>
            </w:pPr>
          </w:p>
        </w:tc>
        <w:tc>
          <w:tcPr>
            <w:tcW w:w="2025" w:type="dxa"/>
            <w:shd w:val="clear" w:color="auto" w:fill="017E5D"/>
            <w:hideMark/>
          </w:tcPr>
          <w:p w14:paraId="5689607C" w14:textId="77777777" w:rsidR="00E05112" w:rsidRDefault="00E05112" w:rsidP="00DE729C">
            <w:pPr>
              <w:keepNext/>
              <w:spacing w:before="60" w:after="60" w:line="240" w:lineRule="auto"/>
              <w:jc w:val="righ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Actual</w:t>
            </w:r>
            <w:r>
              <w:rPr>
                <w:color w:val="FFFFFF" w:themeColor="background1"/>
              </w:rPr>
              <w:br/>
              <w:t>2025/26</w:t>
            </w:r>
            <w:r>
              <w:rPr>
                <w:color w:val="FFFFFF" w:themeColor="background1"/>
              </w:rPr>
              <w:br/>
              <w:t>$(000)</w:t>
            </w:r>
          </w:p>
        </w:tc>
      </w:tr>
      <w:tr w:rsidR="00E05112" w14:paraId="3A11EB10" w14:textId="77777777" w:rsidTr="00DE729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24" w:type="dxa"/>
            <w:tcBorders>
              <w:bottom w:val="single" w:sz="8" w:space="0" w:color="FFFFFF" w:themeColor="background1"/>
            </w:tcBorders>
          </w:tcPr>
          <w:p w14:paraId="1E8D41EC" w14:textId="77777777" w:rsidR="00E05112" w:rsidRDefault="00E05112" w:rsidP="00DE729C">
            <w:pPr>
              <w:spacing w:before="40" w:after="40"/>
              <w:rPr>
                <w:sz w:val="22"/>
              </w:rPr>
            </w:pPr>
          </w:p>
        </w:tc>
        <w:tc>
          <w:tcPr>
            <w:tcW w:w="6150" w:type="dxa"/>
            <w:shd w:val="clear" w:color="auto" w:fill="BFBFBF"/>
            <w:hideMark/>
          </w:tcPr>
          <w:p w14:paraId="2C26C18B" w14:textId="77777777" w:rsidR="00E05112" w:rsidRDefault="00E05112"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Loans and receivables</w:t>
            </w:r>
          </w:p>
        </w:tc>
        <w:tc>
          <w:tcPr>
            <w:tcW w:w="2025" w:type="dxa"/>
            <w:shd w:val="clear" w:color="auto" w:fill="BFBFBF"/>
          </w:tcPr>
          <w:p w14:paraId="65DBBDEC" w14:textId="77777777" w:rsidR="00E05112" w:rsidRDefault="00E05112"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p>
        </w:tc>
      </w:tr>
      <w:tr w:rsidR="00E05112" w14:paraId="7E1D935E" w14:textId="77777777" w:rsidTr="00DE729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24" w:type="dxa"/>
            <w:tcBorders>
              <w:bottom w:val="single" w:sz="8" w:space="0" w:color="FFFFFF" w:themeColor="background1"/>
            </w:tcBorders>
            <w:shd w:val="clear" w:color="auto" w:fill="E9E9E9"/>
            <w:hideMark/>
          </w:tcPr>
          <w:p w14:paraId="5C73A6F8" w14:textId="77777777" w:rsidR="00E05112" w:rsidRDefault="00E05112" w:rsidP="00DE729C">
            <w:pPr>
              <w:spacing w:before="40" w:after="40"/>
              <w:jc w:val="right"/>
              <w:rPr>
                <w:sz w:val="22"/>
              </w:rPr>
            </w:pPr>
            <w:r>
              <w:rPr>
                <w:sz w:val="22"/>
              </w:rPr>
              <w:t>20,060</w:t>
            </w:r>
          </w:p>
        </w:tc>
        <w:tc>
          <w:tcPr>
            <w:tcW w:w="6150" w:type="dxa"/>
            <w:hideMark/>
          </w:tcPr>
          <w:p w14:paraId="5BD94FFC" w14:textId="77777777" w:rsidR="00E05112" w:rsidRDefault="00E05112" w:rsidP="00DE729C">
            <w:pPr>
              <w:spacing w:before="40" w:after="40"/>
              <w:cnfStyle w:val="000000010000" w:firstRow="0" w:lastRow="0" w:firstColumn="0" w:lastColumn="0" w:oddVBand="0" w:evenVBand="0" w:oddHBand="0" w:evenHBand="1" w:firstRowFirstColumn="0" w:firstRowLastColumn="0" w:lastRowFirstColumn="0" w:lastRowLastColumn="0"/>
              <w:rPr>
                <w:sz w:val="22"/>
              </w:rPr>
            </w:pPr>
            <w:r>
              <w:rPr>
                <w:sz w:val="22"/>
              </w:rPr>
              <w:t>Cash and cash equivalents</w:t>
            </w:r>
          </w:p>
        </w:tc>
        <w:tc>
          <w:tcPr>
            <w:tcW w:w="2025" w:type="dxa"/>
          </w:tcPr>
          <w:p w14:paraId="3ADE52DC" w14:textId="7F7325F7" w:rsidR="00E05112" w:rsidRDefault="00B05DF9" w:rsidP="00DE729C">
            <w:pPr>
              <w:spacing w:before="40" w:after="40"/>
              <w:jc w:val="right"/>
              <w:cnfStyle w:val="000000010000" w:firstRow="0" w:lastRow="0" w:firstColumn="0" w:lastColumn="0" w:oddVBand="0" w:evenVBand="0" w:oddHBand="0" w:evenHBand="1" w:firstRowFirstColumn="0" w:firstRowLastColumn="0" w:lastRowFirstColumn="0" w:lastRowLastColumn="0"/>
              <w:rPr>
                <w:bCs/>
                <w:iCs/>
                <w:sz w:val="22"/>
              </w:rPr>
            </w:pPr>
            <w:r>
              <w:rPr>
                <w:bCs/>
                <w:iCs/>
                <w:sz w:val="22"/>
              </w:rPr>
              <w:t>13,500</w:t>
            </w:r>
          </w:p>
        </w:tc>
      </w:tr>
      <w:tr w:rsidR="00E05112" w14:paraId="183A8881" w14:textId="77777777" w:rsidTr="00DE729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24" w:type="dxa"/>
            <w:tcBorders>
              <w:bottom w:val="single" w:sz="4" w:space="0" w:color="FFFFFF" w:themeColor="background1"/>
            </w:tcBorders>
            <w:shd w:val="clear" w:color="auto" w:fill="E9E9E9"/>
            <w:hideMark/>
          </w:tcPr>
          <w:p w14:paraId="4FAB67FF" w14:textId="77777777" w:rsidR="00E05112" w:rsidRDefault="00E05112" w:rsidP="00DE729C">
            <w:pPr>
              <w:spacing w:before="40" w:after="40"/>
              <w:jc w:val="right"/>
              <w:rPr>
                <w:sz w:val="22"/>
              </w:rPr>
            </w:pPr>
            <w:r>
              <w:rPr>
                <w:sz w:val="22"/>
              </w:rPr>
              <w:t>510</w:t>
            </w:r>
          </w:p>
        </w:tc>
        <w:tc>
          <w:tcPr>
            <w:tcW w:w="6150" w:type="dxa"/>
            <w:hideMark/>
          </w:tcPr>
          <w:p w14:paraId="7DC17C5F" w14:textId="77777777" w:rsidR="00E05112" w:rsidRDefault="00E05112" w:rsidP="00DE729C">
            <w:pPr>
              <w:spacing w:before="40" w:after="40"/>
              <w:cnfStyle w:val="000000100000" w:firstRow="0" w:lastRow="0" w:firstColumn="0" w:lastColumn="0" w:oddVBand="0" w:evenVBand="0" w:oddHBand="1" w:evenHBand="0" w:firstRowFirstColumn="0" w:firstRowLastColumn="0" w:lastRowFirstColumn="0" w:lastRowLastColumn="0"/>
              <w:rPr>
                <w:sz w:val="22"/>
              </w:rPr>
            </w:pPr>
            <w:r>
              <w:rPr>
                <w:sz w:val="22"/>
              </w:rPr>
              <w:t>Debtors and other receivables (note 6)</w:t>
            </w:r>
          </w:p>
        </w:tc>
        <w:tc>
          <w:tcPr>
            <w:tcW w:w="2025" w:type="dxa"/>
            <w:tcBorders>
              <w:bottom w:val="single" w:sz="4" w:space="0" w:color="FFFFFF" w:themeColor="background1"/>
            </w:tcBorders>
          </w:tcPr>
          <w:p w14:paraId="02CD4772" w14:textId="59866B7D" w:rsidR="00E05112" w:rsidRDefault="00B05DF9" w:rsidP="00DE729C">
            <w:pPr>
              <w:spacing w:before="40" w:after="40"/>
              <w:jc w:val="right"/>
              <w:cnfStyle w:val="000000100000" w:firstRow="0" w:lastRow="0" w:firstColumn="0" w:lastColumn="0" w:oddVBand="0" w:evenVBand="0" w:oddHBand="1" w:evenHBand="0" w:firstRowFirstColumn="0" w:firstRowLastColumn="0" w:lastRowFirstColumn="0" w:lastRowLastColumn="0"/>
              <w:rPr>
                <w:bCs/>
                <w:iCs/>
                <w:sz w:val="22"/>
              </w:rPr>
            </w:pPr>
            <w:r>
              <w:rPr>
                <w:bCs/>
                <w:iCs/>
                <w:sz w:val="22"/>
              </w:rPr>
              <w:t>762</w:t>
            </w:r>
          </w:p>
        </w:tc>
      </w:tr>
      <w:tr w:rsidR="00E05112" w14:paraId="1718E443" w14:textId="77777777" w:rsidTr="00DE729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FFFFFF" w:themeColor="background1"/>
              <w:bottom w:val="single" w:sz="4" w:space="0" w:color="FFFFFF" w:themeColor="background1"/>
            </w:tcBorders>
            <w:shd w:val="clear" w:color="auto" w:fill="E9E9E9"/>
            <w:hideMark/>
          </w:tcPr>
          <w:p w14:paraId="1893772A" w14:textId="77777777" w:rsidR="00E05112" w:rsidRPr="006E6720" w:rsidRDefault="00E05112" w:rsidP="00DE729C">
            <w:pPr>
              <w:spacing w:before="40" w:after="40"/>
              <w:jc w:val="right"/>
              <w:rPr>
                <w:b/>
                <w:sz w:val="22"/>
                <w:u w:val="single"/>
              </w:rPr>
            </w:pPr>
            <w:r>
              <w:rPr>
                <w:b/>
                <w:sz w:val="22"/>
                <w:u w:val="single"/>
              </w:rPr>
              <w:t>20,570</w:t>
            </w:r>
          </w:p>
        </w:tc>
        <w:tc>
          <w:tcPr>
            <w:tcW w:w="6150" w:type="dxa"/>
            <w:hideMark/>
          </w:tcPr>
          <w:p w14:paraId="6C4F3682" w14:textId="77777777" w:rsidR="00E05112" w:rsidRDefault="00E05112" w:rsidP="00DE729C">
            <w:pPr>
              <w:spacing w:before="40" w:after="40"/>
              <w:cnfStyle w:val="000000010000" w:firstRow="0" w:lastRow="0" w:firstColumn="0" w:lastColumn="0" w:oddVBand="0" w:evenVBand="0" w:oddHBand="0" w:evenHBand="1" w:firstRowFirstColumn="0" w:firstRowLastColumn="0" w:lastRowFirstColumn="0" w:lastRowLastColumn="0"/>
              <w:rPr>
                <w:b/>
                <w:sz w:val="22"/>
              </w:rPr>
            </w:pPr>
            <w:r>
              <w:rPr>
                <w:b/>
                <w:sz w:val="22"/>
              </w:rPr>
              <w:t>Total</w:t>
            </w:r>
          </w:p>
        </w:tc>
        <w:tc>
          <w:tcPr>
            <w:tcW w:w="2025" w:type="dxa"/>
            <w:tcBorders>
              <w:top w:val="single" w:sz="4" w:space="0" w:color="FFFFFF" w:themeColor="background1"/>
              <w:bottom w:val="single" w:sz="4" w:space="0" w:color="FFFFFF" w:themeColor="background1"/>
            </w:tcBorders>
          </w:tcPr>
          <w:p w14:paraId="35EB1888" w14:textId="787B1D2C" w:rsidR="00E05112" w:rsidRPr="004E4100" w:rsidRDefault="00B05DF9" w:rsidP="00DE729C">
            <w:pPr>
              <w:spacing w:before="40" w:after="40"/>
              <w:jc w:val="right"/>
              <w:cnfStyle w:val="000000010000" w:firstRow="0" w:lastRow="0" w:firstColumn="0" w:lastColumn="0" w:oddVBand="0" w:evenVBand="0" w:oddHBand="0" w:evenHBand="1" w:firstRowFirstColumn="0" w:firstRowLastColumn="0" w:lastRowFirstColumn="0" w:lastRowLastColumn="0"/>
              <w:rPr>
                <w:b/>
                <w:iCs/>
                <w:sz w:val="22"/>
                <w:u w:val="single"/>
              </w:rPr>
            </w:pPr>
            <w:r w:rsidRPr="004E4100">
              <w:rPr>
                <w:b/>
                <w:iCs/>
                <w:sz w:val="22"/>
                <w:u w:val="single"/>
              </w:rPr>
              <w:t>14,262</w:t>
            </w:r>
          </w:p>
        </w:tc>
      </w:tr>
      <w:tr w:rsidR="00E05112" w14:paraId="4748FC55" w14:textId="77777777" w:rsidTr="00DE729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FFFFFF" w:themeColor="background1"/>
              <w:bottom w:val="single" w:sz="8" w:space="0" w:color="FFFFFF" w:themeColor="background1"/>
            </w:tcBorders>
          </w:tcPr>
          <w:p w14:paraId="30F9A36D" w14:textId="77777777" w:rsidR="00E05112" w:rsidRDefault="00E05112" w:rsidP="00DE729C">
            <w:pPr>
              <w:spacing w:before="40" w:after="40"/>
              <w:jc w:val="center"/>
              <w:rPr>
                <w:sz w:val="22"/>
              </w:rPr>
            </w:pPr>
          </w:p>
        </w:tc>
        <w:tc>
          <w:tcPr>
            <w:tcW w:w="6150" w:type="dxa"/>
            <w:shd w:val="clear" w:color="auto" w:fill="BFBFBF"/>
            <w:hideMark/>
          </w:tcPr>
          <w:p w14:paraId="73FF5234" w14:textId="77777777" w:rsidR="00E05112" w:rsidRDefault="00E05112" w:rsidP="00DE729C">
            <w:pPr>
              <w:spacing w:before="40" w:after="40"/>
              <w:cnfStyle w:val="000000100000" w:firstRow="0" w:lastRow="0" w:firstColumn="0" w:lastColumn="0" w:oddVBand="0" w:evenVBand="0" w:oddHBand="1" w:evenHBand="0" w:firstRowFirstColumn="0" w:firstRowLastColumn="0" w:lastRowFirstColumn="0" w:lastRowLastColumn="0"/>
              <w:rPr>
                <w:b/>
                <w:bCs/>
                <w:iCs/>
                <w:sz w:val="22"/>
              </w:rPr>
            </w:pPr>
            <w:r>
              <w:rPr>
                <w:b/>
                <w:bCs/>
                <w:iCs/>
                <w:sz w:val="22"/>
              </w:rPr>
              <w:t>Financial liabilities measured at amortised cost</w:t>
            </w:r>
          </w:p>
        </w:tc>
        <w:tc>
          <w:tcPr>
            <w:tcW w:w="2025" w:type="dxa"/>
            <w:tcBorders>
              <w:top w:val="single" w:sz="4" w:space="0" w:color="FFFFFF" w:themeColor="background1"/>
            </w:tcBorders>
            <w:shd w:val="clear" w:color="auto" w:fill="BFBFBF"/>
          </w:tcPr>
          <w:p w14:paraId="25018B47" w14:textId="77777777" w:rsidR="00E05112" w:rsidRDefault="00E05112" w:rsidP="00DE729C">
            <w:pPr>
              <w:spacing w:before="40" w:after="40"/>
              <w:jc w:val="right"/>
              <w:cnfStyle w:val="000000100000" w:firstRow="0" w:lastRow="0" w:firstColumn="0" w:lastColumn="0" w:oddVBand="0" w:evenVBand="0" w:oddHBand="1" w:evenHBand="0" w:firstRowFirstColumn="0" w:firstRowLastColumn="0" w:lastRowFirstColumn="0" w:lastRowLastColumn="0"/>
              <w:rPr>
                <w:b/>
                <w:bCs/>
                <w:iCs/>
                <w:sz w:val="22"/>
              </w:rPr>
            </w:pPr>
          </w:p>
        </w:tc>
      </w:tr>
      <w:tr w:rsidR="00E05112" w14:paraId="2B4C5F7B" w14:textId="77777777" w:rsidTr="00DE729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24" w:type="dxa"/>
            <w:tcBorders>
              <w:bottom w:val="single" w:sz="8" w:space="0" w:color="FFFFFF" w:themeColor="background1"/>
            </w:tcBorders>
            <w:shd w:val="clear" w:color="auto" w:fill="E9E9E9"/>
            <w:hideMark/>
          </w:tcPr>
          <w:p w14:paraId="5605250A" w14:textId="77777777" w:rsidR="00E05112" w:rsidRDefault="00E05112" w:rsidP="00DE729C">
            <w:pPr>
              <w:spacing w:before="40" w:after="40"/>
              <w:jc w:val="right"/>
              <w:rPr>
                <w:sz w:val="22"/>
              </w:rPr>
            </w:pPr>
            <w:r>
              <w:rPr>
                <w:sz w:val="22"/>
              </w:rPr>
              <w:t>2,187</w:t>
            </w:r>
          </w:p>
        </w:tc>
        <w:tc>
          <w:tcPr>
            <w:tcW w:w="6150" w:type="dxa"/>
            <w:hideMark/>
          </w:tcPr>
          <w:p w14:paraId="1E6ADA82" w14:textId="77777777" w:rsidR="00E05112" w:rsidRDefault="00E05112" w:rsidP="00DE729C">
            <w:pPr>
              <w:spacing w:before="40" w:after="40"/>
              <w:cnfStyle w:val="000000010000" w:firstRow="0" w:lastRow="0" w:firstColumn="0" w:lastColumn="0" w:oddVBand="0" w:evenVBand="0" w:oddHBand="0" w:evenHBand="1" w:firstRowFirstColumn="0" w:firstRowLastColumn="0" w:lastRowFirstColumn="0" w:lastRowLastColumn="0"/>
              <w:rPr>
                <w:sz w:val="22"/>
              </w:rPr>
            </w:pPr>
            <w:r>
              <w:rPr>
                <w:sz w:val="22"/>
              </w:rPr>
              <w:t>Creditors and other payables (note 9)</w:t>
            </w:r>
          </w:p>
        </w:tc>
        <w:tc>
          <w:tcPr>
            <w:tcW w:w="2025" w:type="dxa"/>
          </w:tcPr>
          <w:p w14:paraId="044D79F5" w14:textId="50271FFD" w:rsidR="00E05112" w:rsidRDefault="000D0D91" w:rsidP="00DE729C">
            <w:pPr>
              <w:spacing w:before="40" w:after="40"/>
              <w:jc w:val="right"/>
              <w:cnfStyle w:val="000000010000" w:firstRow="0" w:lastRow="0" w:firstColumn="0" w:lastColumn="0" w:oddVBand="0" w:evenVBand="0" w:oddHBand="0" w:evenHBand="1" w:firstRowFirstColumn="0" w:firstRowLastColumn="0" w:lastRowFirstColumn="0" w:lastRowLastColumn="0"/>
              <w:rPr>
                <w:bCs/>
                <w:iCs/>
                <w:sz w:val="22"/>
              </w:rPr>
            </w:pPr>
            <w:r>
              <w:rPr>
                <w:bCs/>
                <w:iCs/>
                <w:sz w:val="22"/>
              </w:rPr>
              <w:t>1,641</w:t>
            </w:r>
          </w:p>
        </w:tc>
      </w:tr>
      <w:tr w:rsidR="00E05112" w14:paraId="68F8BF1D" w14:textId="77777777" w:rsidTr="00DE729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24" w:type="dxa"/>
            <w:tcBorders>
              <w:bottom w:val="single" w:sz="4" w:space="0" w:color="FFFFFF" w:themeColor="background1"/>
            </w:tcBorders>
            <w:shd w:val="clear" w:color="auto" w:fill="E9E9E9"/>
            <w:hideMark/>
          </w:tcPr>
          <w:p w14:paraId="2BF7C35B" w14:textId="77777777" w:rsidR="00E05112" w:rsidRDefault="00E05112" w:rsidP="00DE729C">
            <w:pPr>
              <w:spacing w:before="40" w:after="40"/>
              <w:jc w:val="right"/>
              <w:rPr>
                <w:sz w:val="22"/>
              </w:rPr>
            </w:pPr>
            <w:r>
              <w:rPr>
                <w:sz w:val="22"/>
              </w:rPr>
              <w:t>2,798</w:t>
            </w:r>
          </w:p>
        </w:tc>
        <w:tc>
          <w:tcPr>
            <w:tcW w:w="6150" w:type="dxa"/>
            <w:hideMark/>
          </w:tcPr>
          <w:p w14:paraId="5B0E5372" w14:textId="77777777" w:rsidR="00E05112" w:rsidRDefault="00E05112" w:rsidP="00DE729C">
            <w:pPr>
              <w:spacing w:before="40" w:after="40"/>
              <w:cnfStyle w:val="000000100000" w:firstRow="0" w:lastRow="0" w:firstColumn="0" w:lastColumn="0" w:oddVBand="0" w:evenVBand="0" w:oddHBand="1" w:evenHBand="0" w:firstRowFirstColumn="0" w:firstRowLastColumn="0" w:lastRowFirstColumn="0" w:lastRowLastColumn="0"/>
              <w:rPr>
                <w:sz w:val="22"/>
              </w:rPr>
            </w:pPr>
            <w:r>
              <w:rPr>
                <w:sz w:val="22"/>
              </w:rPr>
              <w:t>Employee entitlements (note 11)</w:t>
            </w:r>
          </w:p>
        </w:tc>
        <w:tc>
          <w:tcPr>
            <w:tcW w:w="2025" w:type="dxa"/>
            <w:tcBorders>
              <w:bottom w:val="single" w:sz="4" w:space="0" w:color="FFFFFF" w:themeColor="background1"/>
            </w:tcBorders>
          </w:tcPr>
          <w:p w14:paraId="4FA43100" w14:textId="08030075" w:rsidR="00E05112" w:rsidRDefault="000D0D91" w:rsidP="00DE729C">
            <w:pPr>
              <w:spacing w:before="40" w:after="40"/>
              <w:jc w:val="right"/>
              <w:cnfStyle w:val="000000100000" w:firstRow="0" w:lastRow="0" w:firstColumn="0" w:lastColumn="0" w:oddVBand="0" w:evenVBand="0" w:oddHBand="1" w:evenHBand="0" w:firstRowFirstColumn="0" w:firstRowLastColumn="0" w:lastRowFirstColumn="0" w:lastRowLastColumn="0"/>
              <w:rPr>
                <w:bCs/>
                <w:iCs/>
                <w:sz w:val="22"/>
              </w:rPr>
            </w:pPr>
            <w:r>
              <w:rPr>
                <w:bCs/>
                <w:iCs/>
                <w:sz w:val="22"/>
              </w:rPr>
              <w:t>2,768</w:t>
            </w:r>
          </w:p>
        </w:tc>
      </w:tr>
      <w:tr w:rsidR="00E05112" w14:paraId="306598C8" w14:textId="77777777" w:rsidTr="00DE729C">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24" w:type="dxa"/>
            <w:tcBorders>
              <w:bottom w:val="single" w:sz="4" w:space="0" w:color="FFFFFF" w:themeColor="background1"/>
            </w:tcBorders>
            <w:shd w:val="clear" w:color="auto" w:fill="E9E9E9"/>
          </w:tcPr>
          <w:p w14:paraId="29C8ADE1" w14:textId="77777777" w:rsidR="00E05112" w:rsidRPr="006E6720" w:rsidRDefault="00E05112" w:rsidP="00DE729C">
            <w:pPr>
              <w:spacing w:before="40" w:after="40"/>
              <w:jc w:val="right"/>
              <w:rPr>
                <w:b/>
                <w:sz w:val="22"/>
                <w:u w:val="single"/>
              </w:rPr>
            </w:pPr>
            <w:r>
              <w:rPr>
                <w:b/>
                <w:sz w:val="22"/>
                <w:u w:val="single"/>
              </w:rPr>
              <w:t>4,985</w:t>
            </w:r>
          </w:p>
        </w:tc>
        <w:tc>
          <w:tcPr>
            <w:tcW w:w="6150" w:type="dxa"/>
          </w:tcPr>
          <w:p w14:paraId="12C34B43" w14:textId="77777777" w:rsidR="00E05112" w:rsidRPr="006E6720" w:rsidRDefault="00E05112" w:rsidP="00DE729C">
            <w:pPr>
              <w:spacing w:before="40" w:after="40"/>
              <w:cnfStyle w:val="000000010000" w:firstRow="0" w:lastRow="0" w:firstColumn="0" w:lastColumn="0" w:oddVBand="0" w:evenVBand="0" w:oddHBand="0" w:evenHBand="1" w:firstRowFirstColumn="0" w:firstRowLastColumn="0" w:lastRowFirstColumn="0" w:lastRowLastColumn="0"/>
              <w:rPr>
                <w:b/>
                <w:sz w:val="22"/>
              </w:rPr>
            </w:pPr>
            <w:r w:rsidRPr="006E6720">
              <w:rPr>
                <w:b/>
                <w:sz w:val="22"/>
              </w:rPr>
              <w:t>Total</w:t>
            </w:r>
          </w:p>
        </w:tc>
        <w:tc>
          <w:tcPr>
            <w:tcW w:w="2025" w:type="dxa"/>
            <w:tcBorders>
              <w:bottom w:val="single" w:sz="4" w:space="0" w:color="FFFFFF" w:themeColor="background1"/>
            </w:tcBorders>
          </w:tcPr>
          <w:p w14:paraId="692AF77E" w14:textId="2C55EDC7" w:rsidR="00E05112" w:rsidRPr="006E6720" w:rsidDel="003737F9" w:rsidRDefault="00B05DF9" w:rsidP="00DE729C">
            <w:pPr>
              <w:spacing w:before="40" w:after="40"/>
              <w:jc w:val="right"/>
              <w:cnfStyle w:val="000000010000" w:firstRow="0" w:lastRow="0" w:firstColumn="0" w:lastColumn="0" w:oddVBand="0" w:evenVBand="0" w:oddHBand="0" w:evenHBand="1" w:firstRowFirstColumn="0" w:firstRowLastColumn="0" w:lastRowFirstColumn="0" w:lastRowLastColumn="0"/>
              <w:rPr>
                <w:b/>
                <w:bCs/>
                <w:iCs/>
                <w:sz w:val="22"/>
                <w:u w:val="single"/>
              </w:rPr>
            </w:pPr>
            <w:r>
              <w:rPr>
                <w:b/>
                <w:bCs/>
                <w:iCs/>
                <w:sz w:val="22"/>
                <w:u w:val="single"/>
              </w:rPr>
              <w:t>4,409</w:t>
            </w:r>
          </w:p>
        </w:tc>
      </w:tr>
    </w:tbl>
    <w:p w14:paraId="2A614FA5" w14:textId="6195F221" w:rsidR="00E05112" w:rsidRPr="00E05112" w:rsidRDefault="00E05112" w:rsidP="00E05112">
      <w:pPr>
        <w:pStyle w:val="BodyText"/>
      </w:pPr>
      <w:r>
        <w:t>The carrying value of cash and cash equivalents approximates their fair value.</w:t>
      </w:r>
    </w:p>
    <w:p w14:paraId="4961F6E0" w14:textId="10BE1394" w:rsidR="00032F1F" w:rsidRDefault="00032F1F" w:rsidP="00032F1F">
      <w:pPr>
        <w:pStyle w:val="Heading3"/>
      </w:pPr>
      <w:r>
        <w:t xml:space="preserve">16. Events after the balance sheet date </w:t>
      </w:r>
    </w:p>
    <w:p w14:paraId="504ABD2A" w14:textId="77777777" w:rsidR="00E05112" w:rsidRDefault="00E05112" w:rsidP="00E05112">
      <w:r>
        <w:t>There were no post-balance sheet date events in regard to the Office’s financial statements for the year ended 30 June 2026.</w:t>
      </w:r>
    </w:p>
    <w:p w14:paraId="4A8B62C6" w14:textId="51A51E09" w:rsidR="00032F1F" w:rsidRDefault="00032F1F" w:rsidP="00E05112">
      <w:pPr>
        <w:pStyle w:val="Heading3"/>
        <w:tabs>
          <w:tab w:val="right" w:pos="9014"/>
        </w:tabs>
      </w:pPr>
      <w:r>
        <w:t xml:space="preserve">17. Significant variances from budgeted financial performance </w:t>
      </w:r>
      <w:r w:rsidR="00E05112">
        <w:tab/>
      </w:r>
    </w:p>
    <w:p w14:paraId="558EB6C3" w14:textId="77777777" w:rsidR="00E05112" w:rsidRDefault="00E05112" w:rsidP="00E05112">
      <w:pPr>
        <w:pStyle w:val="BodyText"/>
        <w:rPr>
          <w:color w:val="auto"/>
        </w:rPr>
      </w:pPr>
      <w:r>
        <w:rPr>
          <w:color w:val="auto"/>
        </w:rPr>
        <w:t>Explanations for major variances from the Office’s original 2025/26 budget are as follows:</w:t>
      </w:r>
    </w:p>
    <w:p w14:paraId="5F062A62" w14:textId="77777777" w:rsidR="00E05112" w:rsidRPr="006422DD" w:rsidRDefault="00E05112" w:rsidP="00E05112">
      <w:pPr>
        <w:pStyle w:val="Heading4"/>
        <w:spacing w:after="240"/>
        <w:rPr>
          <w:i/>
        </w:rPr>
      </w:pPr>
      <w:r w:rsidRPr="006422DD">
        <w:t>Statement of comprehensive revenue and expenses</w:t>
      </w:r>
    </w:p>
    <w:p w14:paraId="0A94DFC0" w14:textId="77777777" w:rsidR="00E05112" w:rsidRDefault="00E05112" w:rsidP="00E05112">
      <w:pPr>
        <w:pStyle w:val="Heading5"/>
        <w:spacing w:before="240"/>
      </w:pPr>
      <w:r>
        <w:t>Revenue Crown</w:t>
      </w:r>
    </w:p>
    <w:p w14:paraId="0C587CAE" w14:textId="77777777" w:rsidR="00E05112" w:rsidRDefault="00E05112" w:rsidP="00E05112">
      <w:pPr>
        <w:pStyle w:val="BodyText"/>
        <w:rPr>
          <w:color w:val="auto"/>
        </w:rPr>
      </w:pPr>
      <w:r>
        <w:rPr>
          <w:color w:val="auto"/>
        </w:rPr>
        <w:t xml:space="preserve">Revenue crown was as budgeted in 2025/26. </w:t>
      </w:r>
    </w:p>
    <w:p w14:paraId="1142D345" w14:textId="77777777" w:rsidR="000D0D91" w:rsidRPr="000D0D91" w:rsidRDefault="000D0D91" w:rsidP="000D0D91">
      <w:pPr>
        <w:pStyle w:val="BodyText"/>
        <w:spacing w:after="0"/>
        <w:rPr>
          <w:b/>
          <w:bCs/>
          <w:i/>
          <w:iCs/>
          <w:color w:val="FF0000"/>
        </w:rPr>
      </w:pPr>
      <w:r w:rsidRPr="00CC1803">
        <w:rPr>
          <w:rStyle w:val="Heading5Char"/>
        </w:rPr>
        <w:t>personnel and</w:t>
      </w:r>
      <w:r w:rsidRPr="000D0D91">
        <w:rPr>
          <w:rStyle w:val="Heading5Char"/>
        </w:rPr>
        <w:t xml:space="preserve"> Other operating costs</w:t>
      </w:r>
      <w:r w:rsidRPr="000D0D91">
        <w:rPr>
          <w:b/>
          <w:bCs/>
          <w:i/>
          <w:iCs/>
          <w:color w:val="auto"/>
        </w:rPr>
        <w:t xml:space="preserve">   </w:t>
      </w:r>
    </w:p>
    <w:p w14:paraId="56DDCF28" w14:textId="77777777" w:rsidR="00DF5A1A" w:rsidRPr="00F71A70" w:rsidRDefault="00DF5A1A" w:rsidP="00DF5A1A">
      <w:pPr>
        <w:pStyle w:val="BodyText"/>
      </w:pPr>
      <w:r w:rsidRPr="00F71A70">
        <w:t xml:space="preserve">The variances were mainly in Other Operating Costs (positive) and offset partially by the negative variance in Personnel Cost. </w:t>
      </w:r>
    </w:p>
    <w:p w14:paraId="16612333" w14:textId="77777777" w:rsidR="00DF5A1A" w:rsidRPr="00F71A70" w:rsidRDefault="00DF5A1A" w:rsidP="00DF5A1A">
      <w:pPr>
        <w:pStyle w:val="BodyText"/>
      </w:pPr>
      <w:r w:rsidRPr="00F71A70">
        <w:t>The Personnel Costs</w:t>
      </w:r>
      <w:r>
        <w:t>’</w:t>
      </w:r>
      <w:r w:rsidRPr="00F71A70">
        <w:t xml:space="preserve"> variance was primarily due to a late decision to pay market alignment remuneration and other increased staff related costs</w:t>
      </w:r>
      <w:r>
        <w:t xml:space="preserve">. </w:t>
      </w:r>
    </w:p>
    <w:p w14:paraId="5FC426B1" w14:textId="2F88A5DA" w:rsidR="00DF5A1A" w:rsidRDefault="00DF5A1A" w:rsidP="00DF5A1A">
      <w:pPr>
        <w:pStyle w:val="BodyText"/>
      </w:pPr>
      <w:r w:rsidRPr="00F71A70">
        <w:t>The underspent in Other Operating Costs was primarily due to four projects with original delivery date of 30 Ju</w:t>
      </w:r>
      <w:r>
        <w:t>n</w:t>
      </w:r>
      <w:r w:rsidRPr="00F71A70">
        <w:t xml:space="preserve">e </w:t>
      </w:r>
      <w:proofErr w:type="gramStart"/>
      <w:r w:rsidRPr="00F71A70">
        <w:t>2026 ,</w:t>
      </w:r>
      <w:proofErr w:type="gramEnd"/>
      <w:r w:rsidRPr="00F71A70">
        <w:t xml:space="preserve"> are now travelled to 2026/27. An In-</w:t>
      </w:r>
      <w:proofErr w:type="gramStart"/>
      <w:r w:rsidRPr="00F71A70">
        <w:t>Principle</w:t>
      </w:r>
      <w:proofErr w:type="gramEnd"/>
      <w:r w:rsidRPr="00F71A70">
        <w:t xml:space="preserve"> Expense</w:t>
      </w:r>
      <w:r w:rsidR="00B34D89">
        <w:t xml:space="preserve"> </w:t>
      </w:r>
      <w:r w:rsidRPr="00F71A70">
        <w:t>Transfer of up to $2.9 million (from 2025/26 to 2026/27) was approved as part of Budget 2026 to ensure the completion of these projects.</w:t>
      </w:r>
    </w:p>
    <w:p w14:paraId="215E8852" w14:textId="0709599B" w:rsidR="005D7C3E" w:rsidRDefault="005D7C3E" w:rsidP="000D0D91">
      <w:pPr>
        <w:pStyle w:val="BodyText"/>
      </w:pPr>
    </w:p>
    <w:p w14:paraId="6C83CFDC" w14:textId="0226898E" w:rsidR="00623386" w:rsidRDefault="00623386" w:rsidP="0054014B">
      <w:pPr>
        <w:pStyle w:val="Heading1"/>
        <w:spacing w:after="240"/>
      </w:pPr>
      <w:bookmarkStart w:id="104" w:name="_Appendix:_Text_alternative"/>
      <w:bookmarkEnd w:id="104"/>
      <w:r>
        <w:t xml:space="preserve">Appendix: Text alternative versions of diagrams and graphs </w:t>
      </w:r>
    </w:p>
    <w:p w14:paraId="5FAC3080" w14:textId="7C6ED5FE" w:rsidR="0054014B" w:rsidRPr="0054014B" w:rsidRDefault="0054014B" w:rsidP="0054014B">
      <w:pPr>
        <w:pStyle w:val="Heading2"/>
        <w:spacing w:before="240" w:after="240"/>
      </w:pPr>
      <w:bookmarkStart w:id="105" w:name="_Outcomes_Framework"/>
      <w:bookmarkEnd w:id="105"/>
      <w:r>
        <w:t xml:space="preserve">Outcomes Framework </w:t>
      </w:r>
    </w:p>
    <w:p w14:paraId="30C256A3" w14:textId="77777777" w:rsidR="0054014B" w:rsidRPr="0054014B" w:rsidRDefault="0054014B" w:rsidP="0054014B">
      <w:pPr>
        <w:pStyle w:val="Heading3"/>
        <w:spacing w:before="240"/>
      </w:pPr>
      <w:r w:rsidRPr="0054014B">
        <w:t xml:space="preserve">General Notes </w:t>
      </w:r>
    </w:p>
    <w:p w14:paraId="2A8276E5" w14:textId="63E584A7" w:rsidR="0054014B" w:rsidRPr="0054014B" w:rsidRDefault="0054014B" w:rsidP="0054014B">
      <w:pPr>
        <w:pStyle w:val="BodyText"/>
      </w:pPr>
      <w:r w:rsidRPr="0054014B">
        <w:t xml:space="preserve">This framework diagram demonstrates the linkages between the services we deliver </w:t>
      </w:r>
      <w:r w:rsidR="00031808">
        <w:t>through</w:t>
      </w:r>
      <w:r w:rsidR="00031808" w:rsidRPr="0054014B">
        <w:t xml:space="preserve"> </w:t>
      </w:r>
      <w:r w:rsidRPr="0054014B">
        <w:t xml:space="preserve">our outputs, the impacts of those services, and the outcomes the Ombudsman aims to achieve. </w:t>
      </w:r>
    </w:p>
    <w:p w14:paraId="6A17F433" w14:textId="77777777" w:rsidR="0054014B" w:rsidRPr="0054014B" w:rsidRDefault="0054014B" w:rsidP="0054014B">
      <w:pPr>
        <w:pStyle w:val="BodyText"/>
      </w:pPr>
      <w:r w:rsidRPr="0054014B">
        <w:t>The diagram features a triangle, divided horizontally into five sections. Each section is a shade of blue – with the top section the lightest blue, and the bottom section the darkest blue.</w:t>
      </w:r>
    </w:p>
    <w:p w14:paraId="34002D88" w14:textId="77777777" w:rsidR="0054014B" w:rsidRPr="0054014B" w:rsidRDefault="0054014B" w:rsidP="0054014B">
      <w:pPr>
        <w:pStyle w:val="BodyText"/>
      </w:pPr>
      <w:r w:rsidRPr="0054014B">
        <w:t xml:space="preserve">The first section ‘Goal’ forms the triangle’s peak and notes the Office’s key goal; the next section sets out the ‘Outcomes’; below this are the ‘Impacts’, and the next section sets out the Outputs. The bottom layer which could be seen as the foundation of the triangle, is ‘Our Office’. </w:t>
      </w:r>
    </w:p>
    <w:p w14:paraId="05DF8E8E" w14:textId="77777777" w:rsidR="0054014B" w:rsidRPr="0054014B" w:rsidRDefault="0054014B" w:rsidP="0054014B">
      <w:pPr>
        <w:pStyle w:val="BodyText"/>
      </w:pPr>
      <w:r w:rsidRPr="0054014B">
        <w:rPr>
          <w:rStyle w:val="Heading3Char"/>
        </w:rPr>
        <w:t xml:space="preserve">Text in each section </w:t>
      </w:r>
      <w:r w:rsidRPr="0054014B">
        <w:rPr>
          <w:bCs/>
        </w:rPr>
        <w:br/>
      </w:r>
      <w:r w:rsidRPr="0054014B">
        <w:rPr>
          <w:b/>
        </w:rPr>
        <w:t>Note:</w:t>
      </w:r>
      <w:r w:rsidRPr="0054014B">
        <w:t xml:space="preserve"> text is set out from left to right in even rows to fit the section of the triangle.</w:t>
      </w:r>
    </w:p>
    <w:p w14:paraId="6C6C9063" w14:textId="77777777" w:rsidR="0054014B" w:rsidRPr="0054014B" w:rsidRDefault="0054014B" w:rsidP="0054014B">
      <w:pPr>
        <w:pStyle w:val="BodyText"/>
      </w:pPr>
      <w:r w:rsidRPr="0054014B">
        <w:rPr>
          <w:b/>
        </w:rPr>
        <w:t>Goal</w:t>
      </w:r>
      <w:r w:rsidRPr="0054014B">
        <w:t xml:space="preserve"> – People are treated fairly.</w:t>
      </w:r>
    </w:p>
    <w:p w14:paraId="1BEC05A7" w14:textId="77777777" w:rsidR="0054014B" w:rsidRPr="0054014B" w:rsidRDefault="0054014B" w:rsidP="0054014B">
      <w:pPr>
        <w:pStyle w:val="BodyText"/>
      </w:pPr>
      <w:r w:rsidRPr="0054014B">
        <w:rPr>
          <w:b/>
        </w:rPr>
        <w:t>Outcomes</w:t>
      </w:r>
      <w:r w:rsidRPr="0054014B">
        <w:t xml:space="preserve"> – High public trust in government; People are informed and their views considered; Robust independent oversight. </w:t>
      </w:r>
    </w:p>
    <w:p w14:paraId="48A1897F" w14:textId="63A30690" w:rsidR="0054014B" w:rsidRPr="0054014B" w:rsidRDefault="0054014B" w:rsidP="0054014B">
      <w:pPr>
        <w:pStyle w:val="BodyText"/>
      </w:pPr>
      <w:r w:rsidRPr="0054014B">
        <w:rPr>
          <w:b/>
        </w:rPr>
        <w:t xml:space="preserve">Impacts </w:t>
      </w:r>
      <w:r w:rsidRPr="0054014B">
        <w:t>– People participate in government decision-making; Government actions are open, fair and reasonable; People are treated humanely and with dignity; Government is responsive, efficient, effective, and accountable; People in positions of power act with integrity; New Zealand is a leader in anti-corruption and integrity</w:t>
      </w:r>
      <w:r w:rsidR="005C7717">
        <w:t>.</w:t>
      </w:r>
    </w:p>
    <w:p w14:paraId="78249EF5" w14:textId="77777777" w:rsidR="0054014B" w:rsidRPr="0054014B" w:rsidRDefault="0054014B" w:rsidP="0054014B">
      <w:pPr>
        <w:pStyle w:val="BodyText"/>
      </w:pPr>
      <w:r w:rsidRPr="0054014B">
        <w:rPr>
          <w:b/>
        </w:rPr>
        <w:t>Outputs</w:t>
      </w:r>
      <w:r w:rsidRPr="0054014B">
        <w:t xml:space="preserve"> – Inform the public to take constructive action; Improve public sector capability; Ensure official information is increasingly available and not unlawfully refused; Enable serious wrongdoing to be disclosed and whistleblowers protected; Ensure good decision-making and processes;  Remove barriers to people with disabilities participating equally in society; Improve the conditions and treatment of people in detention; Learn from and assist to develop international best practice.  </w:t>
      </w:r>
    </w:p>
    <w:p w14:paraId="27E4C7CB" w14:textId="0F173D9E" w:rsidR="0054014B" w:rsidRDefault="0054014B" w:rsidP="0054014B">
      <w:pPr>
        <w:pStyle w:val="BodyText"/>
      </w:pPr>
      <w:r w:rsidRPr="0054014B">
        <w:rPr>
          <w:b/>
        </w:rPr>
        <w:t>Our office</w:t>
      </w:r>
      <w:r w:rsidRPr="0054014B">
        <w:t xml:space="preserve"> – Leadership; Our people; Technology; Info management; Finance; Security; Risk management</w:t>
      </w:r>
      <w:r w:rsidR="00FE02A7">
        <w:t>.</w:t>
      </w:r>
    </w:p>
    <w:p w14:paraId="74969E7A" w14:textId="416B454E" w:rsidR="00266B40" w:rsidRDefault="00266B40" w:rsidP="00266B40">
      <w:pPr>
        <w:pStyle w:val="Heading2"/>
        <w:spacing w:after="240"/>
      </w:pPr>
      <w:r>
        <w:t xml:space="preserve">Graphs </w:t>
      </w:r>
    </w:p>
    <w:p w14:paraId="2EDB9840" w14:textId="3B300203" w:rsidR="00F51FE7" w:rsidRPr="00266B40" w:rsidRDefault="00F51FE7" w:rsidP="00F51FE7">
      <w:pPr>
        <w:pStyle w:val="Heading3"/>
        <w:spacing w:before="240"/>
      </w:pPr>
      <w:bookmarkStart w:id="106" w:name="_Figure_2:_Awareness"/>
      <w:bookmarkStart w:id="107" w:name="_Figure_1:_Complaints"/>
      <w:bookmarkEnd w:id="106"/>
      <w:bookmarkEnd w:id="107"/>
      <w:r w:rsidRPr="00266B40">
        <w:t xml:space="preserve">Figure </w:t>
      </w:r>
      <w:r>
        <w:t>1</w:t>
      </w:r>
      <w:r w:rsidRPr="00266B40">
        <w:t xml:space="preserve">: </w:t>
      </w:r>
      <w:r w:rsidR="00ED5651">
        <w:t xml:space="preserve">Complaints received and completed over ten years. </w:t>
      </w:r>
      <w:r w:rsidRPr="00266B40">
        <w:t xml:space="preserve"> </w:t>
      </w:r>
    </w:p>
    <w:tbl>
      <w:tblPr>
        <w:tblStyle w:val="TableGridAnnualReport"/>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Caption w:val="Table for formatting purposes"/>
      </w:tblPr>
      <w:tblGrid>
        <w:gridCol w:w="1200"/>
        <w:gridCol w:w="805"/>
        <w:gridCol w:w="807"/>
        <w:gridCol w:w="807"/>
        <w:gridCol w:w="805"/>
        <w:gridCol w:w="807"/>
        <w:gridCol w:w="807"/>
        <w:gridCol w:w="805"/>
        <w:gridCol w:w="807"/>
        <w:gridCol w:w="808"/>
        <w:gridCol w:w="829"/>
      </w:tblGrid>
      <w:tr w:rsidR="00A117AA" w14:paraId="550B8550" w14:textId="77777777" w:rsidTr="004E4100">
        <w:trPr>
          <w:cnfStyle w:val="100000000000" w:firstRow="1" w:lastRow="0" w:firstColumn="0" w:lastColumn="0" w:oddVBand="0" w:evenVBand="0" w:oddHBand="0" w:evenHBand="0" w:firstRowFirstColumn="0" w:firstRowLastColumn="0" w:lastRowFirstColumn="0" w:lastRowLastColumn="0"/>
          <w:cantSplit/>
        </w:trPr>
        <w:tc>
          <w:tcPr>
            <w:tcW w:w="645" w:type="pct"/>
            <w:shd w:val="clear" w:color="auto" w:fill="017E5D"/>
          </w:tcPr>
          <w:p w14:paraId="5BA0B5FF" w14:textId="77777777" w:rsidR="005D7C6F" w:rsidRDefault="005D7C6F" w:rsidP="0092031C">
            <w:pPr>
              <w:pStyle w:val="Tableheadingrow1"/>
            </w:pPr>
          </w:p>
        </w:tc>
        <w:tc>
          <w:tcPr>
            <w:tcW w:w="435" w:type="pct"/>
            <w:shd w:val="clear" w:color="auto" w:fill="017E5D"/>
          </w:tcPr>
          <w:p w14:paraId="3F72F059" w14:textId="77777777" w:rsidR="005D7C6F" w:rsidRDefault="005D7C6F" w:rsidP="0092031C">
            <w:pPr>
              <w:pStyle w:val="Tableheadingrow1"/>
            </w:pPr>
            <w:r>
              <w:t>16-17</w:t>
            </w:r>
          </w:p>
        </w:tc>
        <w:tc>
          <w:tcPr>
            <w:tcW w:w="436" w:type="pct"/>
            <w:shd w:val="clear" w:color="auto" w:fill="017E5D"/>
          </w:tcPr>
          <w:p w14:paraId="377B51B6" w14:textId="77777777" w:rsidR="005D7C6F" w:rsidRDefault="005D7C6F" w:rsidP="0092031C">
            <w:pPr>
              <w:pStyle w:val="Tableheadingrow1"/>
            </w:pPr>
            <w:r>
              <w:t>17-18</w:t>
            </w:r>
          </w:p>
        </w:tc>
        <w:tc>
          <w:tcPr>
            <w:tcW w:w="436" w:type="pct"/>
            <w:shd w:val="clear" w:color="auto" w:fill="017E5D"/>
          </w:tcPr>
          <w:p w14:paraId="10FA829F" w14:textId="77777777" w:rsidR="005D7C6F" w:rsidRDefault="005D7C6F" w:rsidP="0092031C">
            <w:pPr>
              <w:pStyle w:val="Tableheadingrow1"/>
            </w:pPr>
            <w:r>
              <w:t>18-19</w:t>
            </w:r>
          </w:p>
        </w:tc>
        <w:tc>
          <w:tcPr>
            <w:tcW w:w="435" w:type="pct"/>
            <w:shd w:val="clear" w:color="auto" w:fill="017E5D"/>
          </w:tcPr>
          <w:p w14:paraId="7571B685" w14:textId="77777777" w:rsidR="005D7C6F" w:rsidRDefault="005D7C6F" w:rsidP="0092031C">
            <w:pPr>
              <w:pStyle w:val="Tableheadingrow1"/>
            </w:pPr>
            <w:r>
              <w:t>19-20</w:t>
            </w:r>
          </w:p>
        </w:tc>
        <w:tc>
          <w:tcPr>
            <w:tcW w:w="436" w:type="pct"/>
            <w:shd w:val="clear" w:color="auto" w:fill="017E5D"/>
          </w:tcPr>
          <w:p w14:paraId="26740554" w14:textId="77777777" w:rsidR="005D7C6F" w:rsidRPr="00924562" w:rsidRDefault="005D7C6F" w:rsidP="0092031C">
            <w:pPr>
              <w:pStyle w:val="Tableheadingrow1"/>
            </w:pPr>
            <w:r>
              <w:t>20-21</w:t>
            </w:r>
          </w:p>
        </w:tc>
        <w:tc>
          <w:tcPr>
            <w:tcW w:w="436" w:type="pct"/>
            <w:shd w:val="clear" w:color="auto" w:fill="017E5D"/>
          </w:tcPr>
          <w:p w14:paraId="4BFD287A" w14:textId="77777777" w:rsidR="005D7C6F" w:rsidRPr="00924562" w:rsidRDefault="005D7C6F" w:rsidP="0092031C">
            <w:pPr>
              <w:pStyle w:val="Tableheadingrow1"/>
            </w:pPr>
            <w:r>
              <w:t>21-22</w:t>
            </w:r>
          </w:p>
        </w:tc>
        <w:tc>
          <w:tcPr>
            <w:tcW w:w="435" w:type="pct"/>
            <w:shd w:val="clear" w:color="auto" w:fill="017E5D"/>
          </w:tcPr>
          <w:p w14:paraId="4A06BCAB" w14:textId="77777777" w:rsidR="005D7C6F" w:rsidRPr="00924562" w:rsidRDefault="005D7C6F" w:rsidP="0092031C">
            <w:pPr>
              <w:pStyle w:val="Tableheadingrow1"/>
            </w:pPr>
            <w:r>
              <w:t>22-23</w:t>
            </w:r>
          </w:p>
        </w:tc>
        <w:tc>
          <w:tcPr>
            <w:tcW w:w="436" w:type="pct"/>
            <w:shd w:val="clear" w:color="auto" w:fill="017E5D"/>
          </w:tcPr>
          <w:p w14:paraId="7F80B89F" w14:textId="77777777" w:rsidR="005D7C6F" w:rsidRPr="00924562" w:rsidRDefault="005D7C6F" w:rsidP="0092031C">
            <w:pPr>
              <w:pStyle w:val="Tableheadingrow1"/>
            </w:pPr>
            <w:r>
              <w:t>23-24</w:t>
            </w:r>
          </w:p>
        </w:tc>
        <w:tc>
          <w:tcPr>
            <w:tcW w:w="436" w:type="pct"/>
            <w:shd w:val="clear" w:color="auto" w:fill="017E5D"/>
          </w:tcPr>
          <w:p w14:paraId="08379710" w14:textId="77777777" w:rsidR="005D7C6F" w:rsidRPr="00924562" w:rsidRDefault="005D7C6F" w:rsidP="0092031C">
            <w:pPr>
              <w:pStyle w:val="Tableheadingrow1"/>
            </w:pPr>
            <w:r>
              <w:t>24-25</w:t>
            </w:r>
          </w:p>
        </w:tc>
        <w:tc>
          <w:tcPr>
            <w:tcW w:w="436" w:type="pct"/>
            <w:shd w:val="clear" w:color="auto" w:fill="017E5D"/>
          </w:tcPr>
          <w:p w14:paraId="57AAF87C" w14:textId="77777777" w:rsidR="005D7C6F" w:rsidRPr="00924562" w:rsidRDefault="005D7C6F" w:rsidP="0092031C">
            <w:pPr>
              <w:pStyle w:val="Tableheadingrow1"/>
            </w:pPr>
            <w:r>
              <w:t>25-26</w:t>
            </w:r>
          </w:p>
        </w:tc>
      </w:tr>
      <w:tr w:rsidR="00A117AA" w14:paraId="15565A4C" w14:textId="77777777" w:rsidTr="004E4100">
        <w:trPr>
          <w:cnfStyle w:val="000000100000" w:firstRow="0" w:lastRow="0" w:firstColumn="0" w:lastColumn="0" w:oddVBand="0" w:evenVBand="0" w:oddHBand="1" w:evenHBand="0" w:firstRowFirstColumn="0" w:firstRowLastColumn="0" w:lastRowFirstColumn="0" w:lastRowLastColumn="0"/>
          <w:cantSplit/>
        </w:trPr>
        <w:tc>
          <w:tcPr>
            <w:tcW w:w="645" w:type="pct"/>
          </w:tcPr>
          <w:p w14:paraId="360626DA" w14:textId="77777777" w:rsidR="005D7C6F" w:rsidRDefault="005D7C6F" w:rsidP="0092031C">
            <w:pPr>
              <w:pStyle w:val="Tablebodytext"/>
            </w:pPr>
            <w:r>
              <w:t>Received</w:t>
            </w:r>
          </w:p>
        </w:tc>
        <w:tc>
          <w:tcPr>
            <w:tcW w:w="435" w:type="pct"/>
          </w:tcPr>
          <w:p w14:paraId="250D5C67" w14:textId="153717D4" w:rsidR="005D7C6F" w:rsidRDefault="005D7C6F" w:rsidP="0092031C">
            <w:pPr>
              <w:pStyle w:val="Tablebodytext"/>
              <w:jc w:val="center"/>
            </w:pPr>
            <w:r w:rsidRPr="005C465E">
              <w:t>3</w:t>
            </w:r>
            <w:r w:rsidR="000562D7">
              <w:t>,</w:t>
            </w:r>
            <w:r w:rsidRPr="005C465E">
              <w:t>613</w:t>
            </w:r>
          </w:p>
        </w:tc>
        <w:tc>
          <w:tcPr>
            <w:tcW w:w="436" w:type="pct"/>
          </w:tcPr>
          <w:p w14:paraId="0C9EA1C7" w14:textId="7D99DD4E" w:rsidR="005D7C6F" w:rsidRDefault="005D7C6F" w:rsidP="0092031C">
            <w:pPr>
              <w:pStyle w:val="Tablebodytext"/>
              <w:jc w:val="center"/>
            </w:pPr>
            <w:r w:rsidRPr="005C465E">
              <w:t>3</w:t>
            </w:r>
            <w:r w:rsidR="000562D7">
              <w:t>,</w:t>
            </w:r>
            <w:r w:rsidRPr="005C465E">
              <w:t>940</w:t>
            </w:r>
          </w:p>
        </w:tc>
        <w:tc>
          <w:tcPr>
            <w:tcW w:w="436" w:type="pct"/>
          </w:tcPr>
          <w:p w14:paraId="3CB11846" w14:textId="12CBE982" w:rsidR="005D7C6F" w:rsidRDefault="005D7C6F" w:rsidP="0092031C">
            <w:pPr>
              <w:pStyle w:val="Tablebodytext"/>
              <w:jc w:val="center"/>
            </w:pPr>
            <w:r w:rsidRPr="005C465E">
              <w:t>4</w:t>
            </w:r>
            <w:r w:rsidR="000562D7">
              <w:t>,</w:t>
            </w:r>
            <w:r w:rsidRPr="005C465E">
              <w:t>677</w:t>
            </w:r>
          </w:p>
        </w:tc>
        <w:tc>
          <w:tcPr>
            <w:tcW w:w="435" w:type="pct"/>
          </w:tcPr>
          <w:p w14:paraId="70FD0C1E" w14:textId="33C9D08E" w:rsidR="005D7C6F" w:rsidRDefault="005D7C6F" w:rsidP="0092031C">
            <w:pPr>
              <w:pStyle w:val="Tablebodytext"/>
              <w:jc w:val="center"/>
            </w:pPr>
            <w:r w:rsidRPr="005C465E">
              <w:t>4</w:t>
            </w:r>
            <w:r w:rsidR="000562D7">
              <w:t>,</w:t>
            </w:r>
            <w:r w:rsidRPr="005C465E">
              <w:t>494</w:t>
            </w:r>
          </w:p>
        </w:tc>
        <w:tc>
          <w:tcPr>
            <w:tcW w:w="436" w:type="pct"/>
          </w:tcPr>
          <w:p w14:paraId="36C6E12C" w14:textId="6052B77E" w:rsidR="005D7C6F" w:rsidRDefault="005D7C6F" w:rsidP="0092031C">
            <w:pPr>
              <w:pStyle w:val="Tablebodytext"/>
              <w:jc w:val="center"/>
            </w:pPr>
            <w:r w:rsidRPr="00586AEF">
              <w:t>5</w:t>
            </w:r>
            <w:r w:rsidR="000562D7">
              <w:t>,</w:t>
            </w:r>
            <w:r w:rsidRPr="00586AEF">
              <w:t>580</w:t>
            </w:r>
          </w:p>
        </w:tc>
        <w:tc>
          <w:tcPr>
            <w:tcW w:w="436" w:type="pct"/>
          </w:tcPr>
          <w:p w14:paraId="06B91BA5" w14:textId="605649CB" w:rsidR="005D7C6F" w:rsidRDefault="005D7C6F" w:rsidP="0092031C">
            <w:pPr>
              <w:pStyle w:val="Tablebodytext"/>
              <w:jc w:val="center"/>
            </w:pPr>
            <w:r w:rsidRPr="00586AEF">
              <w:t>7</w:t>
            </w:r>
            <w:r w:rsidR="000562D7">
              <w:t>,</w:t>
            </w:r>
            <w:r w:rsidRPr="00586AEF">
              <w:t>311</w:t>
            </w:r>
          </w:p>
        </w:tc>
        <w:tc>
          <w:tcPr>
            <w:tcW w:w="435" w:type="pct"/>
          </w:tcPr>
          <w:p w14:paraId="0666476F" w14:textId="6959D599" w:rsidR="005D7C6F" w:rsidRDefault="005D7C6F" w:rsidP="0092031C">
            <w:pPr>
              <w:pStyle w:val="Tablebodytext"/>
              <w:jc w:val="center"/>
            </w:pPr>
            <w:r w:rsidRPr="00586AEF">
              <w:t>6</w:t>
            </w:r>
            <w:r w:rsidR="000562D7">
              <w:t>,</w:t>
            </w:r>
            <w:r w:rsidRPr="00586AEF">
              <w:t>090</w:t>
            </w:r>
          </w:p>
        </w:tc>
        <w:tc>
          <w:tcPr>
            <w:tcW w:w="436" w:type="pct"/>
          </w:tcPr>
          <w:p w14:paraId="1CCF3389" w14:textId="36643B27" w:rsidR="005D7C6F" w:rsidRDefault="005D7C6F" w:rsidP="0092031C">
            <w:pPr>
              <w:pStyle w:val="Tablebodytext"/>
              <w:jc w:val="center"/>
            </w:pPr>
            <w:r w:rsidRPr="00586AEF">
              <w:t>6</w:t>
            </w:r>
            <w:r w:rsidR="000562D7">
              <w:t>,</w:t>
            </w:r>
            <w:r w:rsidRPr="00586AEF">
              <w:t>669</w:t>
            </w:r>
          </w:p>
        </w:tc>
        <w:tc>
          <w:tcPr>
            <w:tcW w:w="436" w:type="pct"/>
          </w:tcPr>
          <w:p w14:paraId="53F8C9D0" w14:textId="3E3E2893" w:rsidR="005D7C6F" w:rsidRDefault="005D7C6F" w:rsidP="0092031C">
            <w:pPr>
              <w:pStyle w:val="Tablebodytext"/>
            </w:pPr>
            <w:r w:rsidRPr="00586AEF">
              <w:t>7</w:t>
            </w:r>
            <w:r w:rsidR="000562D7">
              <w:t>,</w:t>
            </w:r>
            <w:r w:rsidRPr="00586AEF">
              <w:t>823</w:t>
            </w:r>
          </w:p>
        </w:tc>
        <w:tc>
          <w:tcPr>
            <w:tcW w:w="436" w:type="pct"/>
          </w:tcPr>
          <w:p w14:paraId="0A630F80" w14:textId="71A76E55" w:rsidR="005D7C6F" w:rsidRDefault="005D7C6F" w:rsidP="0092031C">
            <w:pPr>
              <w:pStyle w:val="Tablebodytext"/>
              <w:jc w:val="center"/>
            </w:pPr>
            <w:r w:rsidRPr="00586AEF">
              <w:t>10</w:t>
            </w:r>
            <w:r w:rsidR="000562D7">
              <w:t>,</w:t>
            </w:r>
            <w:r w:rsidRPr="00586AEF">
              <w:t>768</w:t>
            </w:r>
          </w:p>
        </w:tc>
      </w:tr>
      <w:tr w:rsidR="00A117AA" w14:paraId="7E85D292" w14:textId="77777777" w:rsidTr="004E4100">
        <w:trPr>
          <w:cnfStyle w:val="000000010000" w:firstRow="0" w:lastRow="0" w:firstColumn="0" w:lastColumn="0" w:oddVBand="0" w:evenVBand="0" w:oddHBand="0" w:evenHBand="1" w:firstRowFirstColumn="0" w:firstRowLastColumn="0" w:lastRowFirstColumn="0" w:lastRowLastColumn="0"/>
          <w:cantSplit/>
        </w:trPr>
        <w:tc>
          <w:tcPr>
            <w:tcW w:w="645" w:type="pct"/>
          </w:tcPr>
          <w:p w14:paraId="2CD2E350" w14:textId="77777777" w:rsidR="005D7C6F" w:rsidRDefault="005D7C6F" w:rsidP="0092031C">
            <w:pPr>
              <w:pStyle w:val="Tablebodytext"/>
            </w:pPr>
            <w:r>
              <w:t>Completed</w:t>
            </w:r>
          </w:p>
        </w:tc>
        <w:tc>
          <w:tcPr>
            <w:tcW w:w="435" w:type="pct"/>
          </w:tcPr>
          <w:p w14:paraId="31673567" w14:textId="5864D3CB" w:rsidR="005D7C6F" w:rsidRDefault="005D7C6F" w:rsidP="0092031C">
            <w:pPr>
              <w:pStyle w:val="Tablebodytext"/>
              <w:jc w:val="center"/>
            </w:pPr>
            <w:r w:rsidRPr="00586AEF">
              <w:t>3</w:t>
            </w:r>
            <w:r w:rsidR="000562D7">
              <w:t>,</w:t>
            </w:r>
            <w:r w:rsidRPr="00586AEF">
              <w:t>918</w:t>
            </w:r>
          </w:p>
        </w:tc>
        <w:tc>
          <w:tcPr>
            <w:tcW w:w="436" w:type="pct"/>
          </w:tcPr>
          <w:p w14:paraId="5F7872E1" w14:textId="3696F5EA" w:rsidR="005D7C6F" w:rsidRDefault="005D7C6F" w:rsidP="0092031C">
            <w:pPr>
              <w:pStyle w:val="Tablebodytext"/>
              <w:jc w:val="center"/>
            </w:pPr>
            <w:r w:rsidRPr="00586AEF">
              <w:t>4</w:t>
            </w:r>
            <w:r w:rsidR="000562D7">
              <w:t>,</w:t>
            </w:r>
            <w:r w:rsidRPr="00586AEF">
              <w:t>340</w:t>
            </w:r>
          </w:p>
        </w:tc>
        <w:tc>
          <w:tcPr>
            <w:tcW w:w="436" w:type="pct"/>
          </w:tcPr>
          <w:p w14:paraId="2ADC0000" w14:textId="4C60BF47" w:rsidR="005D7C6F" w:rsidRDefault="005D7C6F" w:rsidP="0092031C">
            <w:pPr>
              <w:pStyle w:val="Tablebodytext"/>
              <w:jc w:val="center"/>
            </w:pPr>
            <w:r w:rsidRPr="00586AEF">
              <w:t>4</w:t>
            </w:r>
            <w:r w:rsidR="000562D7">
              <w:t>,</w:t>
            </w:r>
            <w:r w:rsidRPr="00586AEF">
              <w:t>552</w:t>
            </w:r>
          </w:p>
        </w:tc>
        <w:tc>
          <w:tcPr>
            <w:tcW w:w="435" w:type="pct"/>
          </w:tcPr>
          <w:p w14:paraId="54F8C6CE" w14:textId="7205321F" w:rsidR="005D7C6F" w:rsidRDefault="005D7C6F" w:rsidP="0092031C">
            <w:pPr>
              <w:pStyle w:val="Tablebodytext"/>
              <w:jc w:val="center"/>
            </w:pPr>
            <w:r w:rsidRPr="00586AEF">
              <w:t>4</w:t>
            </w:r>
            <w:r w:rsidR="000562D7">
              <w:t>,</w:t>
            </w:r>
            <w:r w:rsidRPr="00586AEF">
              <w:t>389</w:t>
            </w:r>
          </w:p>
        </w:tc>
        <w:tc>
          <w:tcPr>
            <w:tcW w:w="436" w:type="pct"/>
          </w:tcPr>
          <w:p w14:paraId="66EFBFA0" w14:textId="3084CEFB" w:rsidR="005D7C6F" w:rsidRDefault="005D7C6F" w:rsidP="0092031C">
            <w:pPr>
              <w:pStyle w:val="Tablebodytext"/>
              <w:jc w:val="center"/>
            </w:pPr>
            <w:r w:rsidRPr="00586AEF">
              <w:t>5</w:t>
            </w:r>
            <w:r w:rsidR="000562D7">
              <w:t>,</w:t>
            </w:r>
            <w:r w:rsidRPr="00586AEF">
              <w:t>054</w:t>
            </w:r>
          </w:p>
        </w:tc>
        <w:tc>
          <w:tcPr>
            <w:tcW w:w="436" w:type="pct"/>
          </w:tcPr>
          <w:p w14:paraId="16974175" w14:textId="641C6613" w:rsidR="005D7C6F" w:rsidRDefault="005D7C6F" w:rsidP="0092031C">
            <w:pPr>
              <w:pStyle w:val="Tablebodytext"/>
              <w:jc w:val="center"/>
            </w:pPr>
            <w:r w:rsidRPr="00586AEF">
              <w:t>6</w:t>
            </w:r>
            <w:r w:rsidR="000562D7">
              <w:t>,</w:t>
            </w:r>
            <w:r w:rsidRPr="00586AEF">
              <w:t>237</w:t>
            </w:r>
          </w:p>
        </w:tc>
        <w:tc>
          <w:tcPr>
            <w:tcW w:w="435" w:type="pct"/>
          </w:tcPr>
          <w:p w14:paraId="43B6E14C" w14:textId="7B5F352F" w:rsidR="005D7C6F" w:rsidRDefault="005D7C6F" w:rsidP="0092031C">
            <w:pPr>
              <w:pStyle w:val="Tablebodytext"/>
              <w:jc w:val="center"/>
            </w:pPr>
            <w:r w:rsidRPr="00586AEF">
              <w:t>5</w:t>
            </w:r>
            <w:r w:rsidR="000562D7">
              <w:t>,</w:t>
            </w:r>
            <w:r w:rsidRPr="00586AEF">
              <w:t>807</w:t>
            </w:r>
          </w:p>
        </w:tc>
        <w:tc>
          <w:tcPr>
            <w:tcW w:w="436" w:type="pct"/>
          </w:tcPr>
          <w:p w14:paraId="59EDF880" w14:textId="5F0FC757" w:rsidR="005D7C6F" w:rsidRDefault="005D7C6F" w:rsidP="0092031C">
            <w:pPr>
              <w:pStyle w:val="Tablebodytext"/>
              <w:jc w:val="center"/>
            </w:pPr>
            <w:r w:rsidRPr="00586AEF">
              <w:t>6</w:t>
            </w:r>
            <w:r w:rsidR="000562D7">
              <w:t>,</w:t>
            </w:r>
            <w:r w:rsidRPr="00586AEF">
              <w:t>269</w:t>
            </w:r>
          </w:p>
        </w:tc>
        <w:tc>
          <w:tcPr>
            <w:tcW w:w="436" w:type="pct"/>
          </w:tcPr>
          <w:p w14:paraId="196322D0" w14:textId="30EF1545" w:rsidR="005D7C6F" w:rsidRDefault="005D7C6F" w:rsidP="0092031C">
            <w:pPr>
              <w:pStyle w:val="Tablebodytext"/>
              <w:jc w:val="center"/>
            </w:pPr>
            <w:r w:rsidRPr="00586AEF">
              <w:t>8</w:t>
            </w:r>
            <w:r w:rsidR="000562D7">
              <w:t>,</w:t>
            </w:r>
            <w:r w:rsidRPr="00586AEF">
              <w:t>163</w:t>
            </w:r>
          </w:p>
        </w:tc>
        <w:tc>
          <w:tcPr>
            <w:tcW w:w="436" w:type="pct"/>
          </w:tcPr>
          <w:p w14:paraId="0B3B5703" w14:textId="3F40B867" w:rsidR="005D7C6F" w:rsidRDefault="005D7C6F" w:rsidP="0092031C">
            <w:pPr>
              <w:pStyle w:val="Tablebodytext"/>
              <w:jc w:val="center"/>
            </w:pPr>
            <w:r w:rsidRPr="00586AEF">
              <w:t>11</w:t>
            </w:r>
            <w:r w:rsidR="000562D7">
              <w:t>,</w:t>
            </w:r>
            <w:r w:rsidRPr="00586AEF">
              <w:t>699</w:t>
            </w:r>
          </w:p>
        </w:tc>
      </w:tr>
    </w:tbl>
    <w:p w14:paraId="6B76D770" w14:textId="47BB0A96" w:rsidR="00266B40" w:rsidRPr="00266B40" w:rsidRDefault="00266B40" w:rsidP="00266B40">
      <w:pPr>
        <w:pStyle w:val="Heading3"/>
        <w:spacing w:before="240"/>
      </w:pPr>
      <w:r w:rsidRPr="00266B40">
        <w:t>Figure 2: Awareness of the Ombudsman</w:t>
      </w:r>
      <w:r w:rsidR="00924562">
        <w:t xml:space="preserve"> (percent)</w:t>
      </w:r>
      <w:r w:rsidRPr="00266B40">
        <w:t xml:space="preserve">. </w:t>
      </w:r>
    </w:p>
    <w:p w14:paraId="2B38BE26" w14:textId="1D76A37F" w:rsidR="00924562" w:rsidRDefault="00924562" w:rsidP="00524FA4">
      <w:pPr>
        <w:pStyle w:val="DL-enclosure"/>
      </w:pPr>
    </w:p>
    <w:tbl>
      <w:tblPr>
        <w:tblStyle w:val="TableGridAnnualReport"/>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Caption w:val="Table for formatting purposes"/>
      </w:tblPr>
      <w:tblGrid>
        <w:gridCol w:w="1858"/>
        <w:gridCol w:w="1859"/>
        <w:gridCol w:w="1860"/>
        <w:gridCol w:w="1860"/>
        <w:gridCol w:w="1860"/>
      </w:tblGrid>
      <w:tr w:rsidR="00924562" w14:paraId="51013301" w14:textId="77777777" w:rsidTr="00410860">
        <w:trPr>
          <w:cnfStyle w:val="100000000000" w:firstRow="1" w:lastRow="0" w:firstColumn="0" w:lastColumn="0" w:oddVBand="0" w:evenVBand="0" w:oddHBand="0" w:evenHBand="0" w:firstRowFirstColumn="0" w:firstRowLastColumn="0" w:lastRowFirstColumn="0" w:lastRowLastColumn="0"/>
          <w:cantSplit/>
        </w:trPr>
        <w:tc>
          <w:tcPr>
            <w:tcW w:w="1855"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tcPr>
          <w:p w14:paraId="3CC240C8" w14:textId="77777777" w:rsidR="00924562" w:rsidRDefault="00924562" w:rsidP="00924562">
            <w:pPr>
              <w:pStyle w:val="Tableheadingrow1"/>
            </w:pPr>
          </w:p>
        </w:tc>
        <w:tc>
          <w:tcPr>
            <w:tcW w:w="1855"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tcPr>
          <w:p w14:paraId="033C1AE4" w14:textId="6A6C1094" w:rsidR="00924562" w:rsidRDefault="00924562" w:rsidP="00924562">
            <w:pPr>
              <w:pStyle w:val="Tableheadingrow1"/>
            </w:pPr>
            <w:r w:rsidRPr="00924562">
              <w:t>Overall</w:t>
            </w:r>
          </w:p>
        </w:tc>
        <w:tc>
          <w:tcPr>
            <w:tcW w:w="1856"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tcPr>
          <w:p w14:paraId="33E05553" w14:textId="01F9DBC0" w:rsidR="00924562" w:rsidRDefault="00924562" w:rsidP="00924562">
            <w:pPr>
              <w:pStyle w:val="Tableheadingrow1"/>
            </w:pPr>
            <w:r w:rsidRPr="00924562">
              <w:t>Māori</w:t>
            </w:r>
          </w:p>
        </w:tc>
        <w:tc>
          <w:tcPr>
            <w:tcW w:w="1856"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tcPr>
          <w:p w14:paraId="40362958" w14:textId="20550C0A" w:rsidR="00924562" w:rsidRDefault="00924562" w:rsidP="00924562">
            <w:pPr>
              <w:pStyle w:val="Tableheadingrow1"/>
            </w:pPr>
            <w:r w:rsidRPr="00924562">
              <w:t>Asian</w:t>
            </w:r>
          </w:p>
        </w:tc>
        <w:tc>
          <w:tcPr>
            <w:tcW w:w="1856"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tcPr>
          <w:p w14:paraId="78DCFDCA" w14:textId="09569F53" w:rsidR="00924562" w:rsidRDefault="00924562" w:rsidP="00924562">
            <w:pPr>
              <w:pStyle w:val="Tableheadingrow1"/>
            </w:pPr>
            <w:r w:rsidRPr="00924562">
              <w:t>Pasifika</w:t>
            </w:r>
          </w:p>
        </w:tc>
      </w:tr>
      <w:tr w:rsidR="007A27D1" w14:paraId="354D43E5" w14:textId="77777777" w:rsidTr="00410860">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tcPr>
          <w:p w14:paraId="360E9AAF" w14:textId="4FED7F74" w:rsidR="00924562" w:rsidRDefault="00924562" w:rsidP="00924562">
            <w:pPr>
              <w:pStyle w:val="Tablebodytext"/>
            </w:pPr>
            <w:r w:rsidRPr="00924562">
              <w:t>2021/22</w:t>
            </w:r>
          </w:p>
        </w:tc>
        <w:tc>
          <w:tcPr>
            <w:tcW w:w="1855" w:type="dxa"/>
            <w:tcBorders>
              <w:top w:val="single" w:sz="4" w:space="0" w:color="auto"/>
              <w:left w:val="single" w:sz="4" w:space="0" w:color="auto"/>
              <w:bottom w:val="single" w:sz="4" w:space="0" w:color="auto"/>
              <w:right w:val="single" w:sz="4" w:space="0" w:color="auto"/>
            </w:tcBorders>
          </w:tcPr>
          <w:p w14:paraId="695105EF" w14:textId="79893FC2" w:rsidR="00924562" w:rsidRDefault="00924562" w:rsidP="00924562">
            <w:pPr>
              <w:pStyle w:val="Tablebodytext"/>
              <w:jc w:val="center"/>
            </w:pPr>
            <w:r>
              <w:t>68</w:t>
            </w:r>
          </w:p>
        </w:tc>
        <w:tc>
          <w:tcPr>
            <w:tcW w:w="1856" w:type="dxa"/>
            <w:tcBorders>
              <w:top w:val="single" w:sz="4" w:space="0" w:color="auto"/>
              <w:left w:val="single" w:sz="4" w:space="0" w:color="auto"/>
              <w:bottom w:val="single" w:sz="4" w:space="0" w:color="auto"/>
              <w:right w:val="single" w:sz="4" w:space="0" w:color="auto"/>
            </w:tcBorders>
          </w:tcPr>
          <w:p w14:paraId="645DA446" w14:textId="52738362" w:rsidR="00924562" w:rsidRDefault="00924562" w:rsidP="00924562">
            <w:pPr>
              <w:pStyle w:val="Tablebodytext"/>
              <w:jc w:val="center"/>
            </w:pPr>
            <w:r>
              <w:t>59</w:t>
            </w:r>
          </w:p>
        </w:tc>
        <w:tc>
          <w:tcPr>
            <w:tcW w:w="1856" w:type="dxa"/>
            <w:tcBorders>
              <w:top w:val="single" w:sz="4" w:space="0" w:color="auto"/>
              <w:left w:val="single" w:sz="4" w:space="0" w:color="auto"/>
              <w:bottom w:val="single" w:sz="4" w:space="0" w:color="auto"/>
              <w:right w:val="single" w:sz="4" w:space="0" w:color="auto"/>
            </w:tcBorders>
          </w:tcPr>
          <w:p w14:paraId="7773F455" w14:textId="4107C484" w:rsidR="00924562" w:rsidRDefault="00924562" w:rsidP="00924562">
            <w:pPr>
              <w:pStyle w:val="Tablebodytext"/>
              <w:jc w:val="center"/>
            </w:pPr>
            <w:r>
              <w:t>50</w:t>
            </w:r>
          </w:p>
        </w:tc>
        <w:tc>
          <w:tcPr>
            <w:tcW w:w="1856" w:type="dxa"/>
            <w:tcBorders>
              <w:top w:val="single" w:sz="4" w:space="0" w:color="auto"/>
              <w:left w:val="single" w:sz="4" w:space="0" w:color="auto"/>
              <w:bottom w:val="single" w:sz="4" w:space="0" w:color="auto"/>
              <w:right w:val="single" w:sz="4" w:space="0" w:color="auto"/>
            </w:tcBorders>
          </w:tcPr>
          <w:p w14:paraId="36715817" w14:textId="1FC94E63" w:rsidR="00924562" w:rsidRDefault="00CF2372" w:rsidP="00924562">
            <w:pPr>
              <w:pStyle w:val="Tablebodytext"/>
              <w:jc w:val="center"/>
            </w:pPr>
            <w:r>
              <w:t>65</w:t>
            </w:r>
          </w:p>
        </w:tc>
      </w:tr>
      <w:tr w:rsidR="007A27D1" w14:paraId="04BAA0CB" w14:textId="77777777" w:rsidTr="00410860">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tcPr>
          <w:p w14:paraId="7032845A" w14:textId="344A1FC5" w:rsidR="00924562" w:rsidRDefault="00924562" w:rsidP="00924562">
            <w:pPr>
              <w:pStyle w:val="Tablebodytext"/>
            </w:pPr>
            <w:r w:rsidRPr="00924562">
              <w:t>2022/23</w:t>
            </w:r>
          </w:p>
        </w:tc>
        <w:tc>
          <w:tcPr>
            <w:tcW w:w="1855" w:type="dxa"/>
            <w:tcBorders>
              <w:top w:val="single" w:sz="4" w:space="0" w:color="auto"/>
              <w:left w:val="single" w:sz="4" w:space="0" w:color="auto"/>
              <w:bottom w:val="single" w:sz="4" w:space="0" w:color="auto"/>
              <w:right w:val="single" w:sz="4" w:space="0" w:color="auto"/>
            </w:tcBorders>
          </w:tcPr>
          <w:p w14:paraId="5D0C5A91" w14:textId="1CABB944" w:rsidR="00924562" w:rsidRDefault="00924562" w:rsidP="00924562">
            <w:pPr>
              <w:pStyle w:val="Tablebodytext"/>
              <w:jc w:val="center"/>
            </w:pPr>
            <w:r>
              <w:t>68</w:t>
            </w:r>
          </w:p>
        </w:tc>
        <w:tc>
          <w:tcPr>
            <w:tcW w:w="1856" w:type="dxa"/>
            <w:tcBorders>
              <w:top w:val="single" w:sz="4" w:space="0" w:color="auto"/>
              <w:left w:val="single" w:sz="4" w:space="0" w:color="auto"/>
              <w:bottom w:val="single" w:sz="4" w:space="0" w:color="auto"/>
              <w:right w:val="single" w:sz="4" w:space="0" w:color="auto"/>
            </w:tcBorders>
          </w:tcPr>
          <w:p w14:paraId="3DFB5FD7" w14:textId="4FAEB4C0" w:rsidR="00924562" w:rsidRDefault="00924562" w:rsidP="00924562">
            <w:pPr>
              <w:pStyle w:val="Tablebodytext"/>
              <w:jc w:val="center"/>
            </w:pPr>
            <w:r>
              <w:t>53</w:t>
            </w:r>
          </w:p>
        </w:tc>
        <w:tc>
          <w:tcPr>
            <w:tcW w:w="1856" w:type="dxa"/>
            <w:tcBorders>
              <w:top w:val="single" w:sz="4" w:space="0" w:color="auto"/>
              <w:left w:val="single" w:sz="4" w:space="0" w:color="auto"/>
              <w:bottom w:val="single" w:sz="4" w:space="0" w:color="auto"/>
              <w:right w:val="single" w:sz="4" w:space="0" w:color="auto"/>
            </w:tcBorders>
          </w:tcPr>
          <w:p w14:paraId="6F989BE9" w14:textId="52E9D33D" w:rsidR="00924562" w:rsidRDefault="00924562" w:rsidP="00924562">
            <w:pPr>
              <w:pStyle w:val="Tablebodytext"/>
              <w:jc w:val="center"/>
            </w:pPr>
            <w:r>
              <w:t>52</w:t>
            </w:r>
          </w:p>
        </w:tc>
        <w:tc>
          <w:tcPr>
            <w:tcW w:w="1856" w:type="dxa"/>
            <w:tcBorders>
              <w:top w:val="single" w:sz="4" w:space="0" w:color="auto"/>
              <w:left w:val="single" w:sz="4" w:space="0" w:color="auto"/>
              <w:bottom w:val="single" w:sz="4" w:space="0" w:color="auto"/>
              <w:right w:val="single" w:sz="4" w:space="0" w:color="auto"/>
            </w:tcBorders>
          </w:tcPr>
          <w:p w14:paraId="4CA22D8F" w14:textId="55516796" w:rsidR="00924562" w:rsidRDefault="00CF2372" w:rsidP="00924562">
            <w:pPr>
              <w:pStyle w:val="Tablebodytext"/>
              <w:jc w:val="center"/>
            </w:pPr>
            <w:r>
              <w:t>47</w:t>
            </w:r>
          </w:p>
        </w:tc>
      </w:tr>
      <w:tr w:rsidR="007A27D1" w14:paraId="45A2DBF9" w14:textId="77777777" w:rsidTr="00410860">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tcPr>
          <w:p w14:paraId="06B7370F" w14:textId="61109F8A" w:rsidR="00924562" w:rsidRDefault="00924562" w:rsidP="00924562">
            <w:pPr>
              <w:pStyle w:val="Tablebodytext"/>
            </w:pPr>
            <w:r w:rsidRPr="00924562">
              <w:t>2023/24</w:t>
            </w:r>
          </w:p>
        </w:tc>
        <w:tc>
          <w:tcPr>
            <w:tcW w:w="1855" w:type="dxa"/>
            <w:tcBorders>
              <w:top w:val="single" w:sz="4" w:space="0" w:color="auto"/>
              <w:left w:val="single" w:sz="4" w:space="0" w:color="auto"/>
              <w:bottom w:val="single" w:sz="4" w:space="0" w:color="auto"/>
              <w:right w:val="single" w:sz="4" w:space="0" w:color="auto"/>
            </w:tcBorders>
          </w:tcPr>
          <w:p w14:paraId="3DC7ED7A" w14:textId="2A3E2488" w:rsidR="00924562" w:rsidRDefault="00924562" w:rsidP="00924562">
            <w:pPr>
              <w:pStyle w:val="Tablebodytext"/>
              <w:jc w:val="center"/>
            </w:pPr>
            <w:r>
              <w:t>66</w:t>
            </w:r>
          </w:p>
        </w:tc>
        <w:tc>
          <w:tcPr>
            <w:tcW w:w="1856" w:type="dxa"/>
            <w:tcBorders>
              <w:top w:val="single" w:sz="4" w:space="0" w:color="auto"/>
              <w:left w:val="single" w:sz="4" w:space="0" w:color="auto"/>
              <w:bottom w:val="single" w:sz="4" w:space="0" w:color="auto"/>
              <w:right w:val="single" w:sz="4" w:space="0" w:color="auto"/>
            </w:tcBorders>
          </w:tcPr>
          <w:p w14:paraId="39EE2F8C" w14:textId="0097AAC0" w:rsidR="00924562" w:rsidRDefault="00924562" w:rsidP="00924562">
            <w:pPr>
              <w:pStyle w:val="Tablebodytext"/>
              <w:jc w:val="center"/>
            </w:pPr>
            <w:r>
              <w:t>50</w:t>
            </w:r>
          </w:p>
        </w:tc>
        <w:tc>
          <w:tcPr>
            <w:tcW w:w="1856" w:type="dxa"/>
            <w:tcBorders>
              <w:top w:val="single" w:sz="4" w:space="0" w:color="auto"/>
              <w:left w:val="single" w:sz="4" w:space="0" w:color="auto"/>
              <w:bottom w:val="single" w:sz="4" w:space="0" w:color="auto"/>
              <w:right w:val="single" w:sz="4" w:space="0" w:color="auto"/>
            </w:tcBorders>
          </w:tcPr>
          <w:p w14:paraId="01A2D99E" w14:textId="5EBC8FEB" w:rsidR="00924562" w:rsidRDefault="00924562" w:rsidP="00924562">
            <w:pPr>
              <w:pStyle w:val="Tablebodytext"/>
              <w:jc w:val="center"/>
            </w:pPr>
            <w:r>
              <w:t>50</w:t>
            </w:r>
          </w:p>
        </w:tc>
        <w:tc>
          <w:tcPr>
            <w:tcW w:w="1856" w:type="dxa"/>
            <w:tcBorders>
              <w:top w:val="single" w:sz="4" w:space="0" w:color="auto"/>
              <w:left w:val="single" w:sz="4" w:space="0" w:color="auto"/>
              <w:bottom w:val="single" w:sz="4" w:space="0" w:color="auto"/>
              <w:right w:val="single" w:sz="4" w:space="0" w:color="auto"/>
            </w:tcBorders>
          </w:tcPr>
          <w:p w14:paraId="5F832803" w14:textId="24928F18" w:rsidR="00924562" w:rsidRDefault="00CF2372" w:rsidP="00924562">
            <w:pPr>
              <w:pStyle w:val="Tablebodytext"/>
              <w:jc w:val="center"/>
            </w:pPr>
            <w:r>
              <w:t>50</w:t>
            </w:r>
          </w:p>
        </w:tc>
      </w:tr>
      <w:tr w:rsidR="007A27D1" w14:paraId="041DBEB2" w14:textId="77777777" w:rsidTr="00410860">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tcPr>
          <w:p w14:paraId="13DDBF71" w14:textId="2A3A956C" w:rsidR="00924562" w:rsidRDefault="00924562" w:rsidP="00924562">
            <w:pPr>
              <w:pStyle w:val="Tablebodytext"/>
            </w:pPr>
            <w:r w:rsidRPr="00924562">
              <w:t>2024/25</w:t>
            </w:r>
          </w:p>
        </w:tc>
        <w:tc>
          <w:tcPr>
            <w:tcW w:w="1855" w:type="dxa"/>
            <w:tcBorders>
              <w:top w:val="single" w:sz="4" w:space="0" w:color="auto"/>
              <w:left w:val="single" w:sz="4" w:space="0" w:color="auto"/>
              <w:bottom w:val="single" w:sz="4" w:space="0" w:color="auto"/>
              <w:right w:val="single" w:sz="4" w:space="0" w:color="auto"/>
            </w:tcBorders>
          </w:tcPr>
          <w:p w14:paraId="3D061FAD" w14:textId="483B5B3F" w:rsidR="00924562" w:rsidRDefault="00924562" w:rsidP="00924562">
            <w:pPr>
              <w:pStyle w:val="Tablebodytext"/>
              <w:jc w:val="center"/>
            </w:pPr>
            <w:r>
              <w:t>66</w:t>
            </w:r>
          </w:p>
        </w:tc>
        <w:tc>
          <w:tcPr>
            <w:tcW w:w="1856" w:type="dxa"/>
            <w:tcBorders>
              <w:top w:val="single" w:sz="4" w:space="0" w:color="auto"/>
              <w:left w:val="single" w:sz="4" w:space="0" w:color="auto"/>
              <w:bottom w:val="single" w:sz="4" w:space="0" w:color="auto"/>
              <w:right w:val="single" w:sz="4" w:space="0" w:color="auto"/>
            </w:tcBorders>
          </w:tcPr>
          <w:p w14:paraId="2EFA1095" w14:textId="691FD5CF" w:rsidR="00924562" w:rsidRDefault="00924562" w:rsidP="00924562">
            <w:pPr>
              <w:pStyle w:val="Tablebodytext"/>
              <w:jc w:val="center"/>
            </w:pPr>
            <w:r>
              <w:t>55</w:t>
            </w:r>
          </w:p>
        </w:tc>
        <w:tc>
          <w:tcPr>
            <w:tcW w:w="1856" w:type="dxa"/>
            <w:tcBorders>
              <w:top w:val="single" w:sz="4" w:space="0" w:color="auto"/>
              <w:left w:val="single" w:sz="4" w:space="0" w:color="auto"/>
              <w:bottom w:val="single" w:sz="4" w:space="0" w:color="auto"/>
              <w:right w:val="single" w:sz="4" w:space="0" w:color="auto"/>
            </w:tcBorders>
          </w:tcPr>
          <w:p w14:paraId="4A5AEAB6" w14:textId="6911C1DF" w:rsidR="00924562" w:rsidRDefault="00924562" w:rsidP="00924562">
            <w:pPr>
              <w:pStyle w:val="Tablebodytext"/>
              <w:jc w:val="center"/>
            </w:pPr>
            <w:r>
              <w:t>53</w:t>
            </w:r>
          </w:p>
        </w:tc>
        <w:tc>
          <w:tcPr>
            <w:tcW w:w="1856" w:type="dxa"/>
            <w:tcBorders>
              <w:top w:val="single" w:sz="4" w:space="0" w:color="auto"/>
              <w:left w:val="single" w:sz="4" w:space="0" w:color="auto"/>
              <w:bottom w:val="single" w:sz="4" w:space="0" w:color="auto"/>
              <w:right w:val="single" w:sz="4" w:space="0" w:color="auto"/>
            </w:tcBorders>
          </w:tcPr>
          <w:p w14:paraId="1CEB2601" w14:textId="42DDE5FD" w:rsidR="00924562" w:rsidRDefault="00924562" w:rsidP="00924562">
            <w:pPr>
              <w:pStyle w:val="Tablebodytext"/>
              <w:jc w:val="center"/>
            </w:pPr>
            <w:r>
              <w:t>47</w:t>
            </w:r>
          </w:p>
        </w:tc>
      </w:tr>
      <w:tr w:rsidR="007A27D1" w14:paraId="55830B5A" w14:textId="77777777" w:rsidTr="00410860">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tcPr>
          <w:p w14:paraId="04296D56" w14:textId="53C2D5E3" w:rsidR="00924562" w:rsidRDefault="00924562" w:rsidP="00924562">
            <w:pPr>
              <w:pStyle w:val="Tablebodytext"/>
            </w:pPr>
            <w:r w:rsidRPr="00924562">
              <w:t>2025/26</w:t>
            </w:r>
          </w:p>
        </w:tc>
        <w:tc>
          <w:tcPr>
            <w:tcW w:w="1855" w:type="dxa"/>
            <w:tcBorders>
              <w:top w:val="single" w:sz="4" w:space="0" w:color="auto"/>
              <w:left w:val="single" w:sz="4" w:space="0" w:color="auto"/>
              <w:bottom w:val="single" w:sz="4" w:space="0" w:color="auto"/>
              <w:right w:val="single" w:sz="4" w:space="0" w:color="auto"/>
            </w:tcBorders>
          </w:tcPr>
          <w:p w14:paraId="44543856" w14:textId="3214E311" w:rsidR="00924562" w:rsidRDefault="00924562" w:rsidP="00924562">
            <w:pPr>
              <w:pStyle w:val="Tablebodytext"/>
              <w:jc w:val="center"/>
            </w:pPr>
            <w:r>
              <w:t>64</w:t>
            </w:r>
          </w:p>
        </w:tc>
        <w:tc>
          <w:tcPr>
            <w:tcW w:w="1856" w:type="dxa"/>
            <w:tcBorders>
              <w:top w:val="single" w:sz="4" w:space="0" w:color="auto"/>
              <w:left w:val="single" w:sz="4" w:space="0" w:color="auto"/>
              <w:bottom w:val="single" w:sz="4" w:space="0" w:color="auto"/>
              <w:right w:val="single" w:sz="4" w:space="0" w:color="auto"/>
            </w:tcBorders>
          </w:tcPr>
          <w:p w14:paraId="6E0208A4" w14:textId="72D32BBE" w:rsidR="00924562" w:rsidRDefault="00924562" w:rsidP="00924562">
            <w:pPr>
              <w:pStyle w:val="Tablebodytext"/>
              <w:jc w:val="center"/>
            </w:pPr>
            <w:r>
              <w:t>46</w:t>
            </w:r>
          </w:p>
        </w:tc>
        <w:tc>
          <w:tcPr>
            <w:tcW w:w="1856" w:type="dxa"/>
            <w:tcBorders>
              <w:top w:val="single" w:sz="4" w:space="0" w:color="auto"/>
              <w:left w:val="single" w:sz="4" w:space="0" w:color="auto"/>
              <w:bottom w:val="single" w:sz="4" w:space="0" w:color="auto"/>
              <w:right w:val="single" w:sz="4" w:space="0" w:color="auto"/>
            </w:tcBorders>
          </w:tcPr>
          <w:p w14:paraId="5F126DC4" w14:textId="73BE02A4" w:rsidR="00924562" w:rsidRDefault="00924562" w:rsidP="00924562">
            <w:pPr>
              <w:pStyle w:val="Tablebodytext"/>
              <w:jc w:val="center"/>
            </w:pPr>
            <w:r>
              <w:t>53</w:t>
            </w:r>
          </w:p>
        </w:tc>
        <w:tc>
          <w:tcPr>
            <w:tcW w:w="1856" w:type="dxa"/>
            <w:tcBorders>
              <w:top w:val="single" w:sz="4" w:space="0" w:color="auto"/>
              <w:left w:val="single" w:sz="4" w:space="0" w:color="auto"/>
              <w:bottom w:val="single" w:sz="4" w:space="0" w:color="auto"/>
              <w:right w:val="single" w:sz="4" w:space="0" w:color="auto"/>
            </w:tcBorders>
          </w:tcPr>
          <w:p w14:paraId="6109F183" w14:textId="30EDE7BF" w:rsidR="00924562" w:rsidRDefault="00924562" w:rsidP="00924562">
            <w:pPr>
              <w:pStyle w:val="Tablebodytext"/>
              <w:jc w:val="center"/>
            </w:pPr>
            <w:r>
              <w:t>39</w:t>
            </w:r>
          </w:p>
        </w:tc>
      </w:tr>
    </w:tbl>
    <w:p w14:paraId="71D74B76" w14:textId="150E5BC3" w:rsidR="00266B40" w:rsidRPr="00266B40" w:rsidRDefault="00266B40" w:rsidP="00CF2372">
      <w:pPr>
        <w:pStyle w:val="BodyText"/>
      </w:pPr>
    </w:p>
    <w:p w14:paraId="0C02BC63" w14:textId="77777777" w:rsidR="00266B40" w:rsidRDefault="00266B40" w:rsidP="00266B40">
      <w:pPr>
        <w:pStyle w:val="Heading3"/>
        <w:spacing w:before="240"/>
      </w:pPr>
      <w:bookmarkStart w:id="108" w:name="_Figure_3:_Official"/>
      <w:bookmarkEnd w:id="108"/>
      <w:r w:rsidRPr="00266B40">
        <w:t xml:space="preserve">Figure 3: Official information (OI and LGOIMA) complaints received and completed over 10 years. </w:t>
      </w:r>
    </w:p>
    <w:p w14:paraId="55EB7E1C" w14:textId="77777777" w:rsidR="0007735F" w:rsidRDefault="0007735F" w:rsidP="0007735F">
      <w:pPr>
        <w:pStyle w:val="BodyText"/>
      </w:pPr>
    </w:p>
    <w:tbl>
      <w:tblPr>
        <w:tblStyle w:val="TableGridAnnualReport8"/>
        <w:tblW w:w="93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860"/>
        <w:gridCol w:w="1860"/>
        <w:gridCol w:w="1860"/>
        <w:gridCol w:w="1860"/>
        <w:gridCol w:w="1860"/>
      </w:tblGrid>
      <w:tr w:rsidR="00957ECE" w:rsidRPr="00957ECE" w14:paraId="2C6194A8" w14:textId="77777777" w:rsidTr="0094061D">
        <w:trPr>
          <w:cnfStyle w:val="100000000000" w:firstRow="1" w:lastRow="0" w:firstColumn="0" w:lastColumn="0" w:oddVBand="0" w:evenVBand="0" w:oddHBand="0" w:evenHBand="0" w:firstRowFirstColumn="0" w:firstRowLastColumn="0" w:lastRowFirstColumn="0" w:lastRowLastColumn="0"/>
          <w:cantSplit/>
          <w:tblHeader/>
        </w:trPr>
        <w:tc>
          <w:tcPr>
            <w:tcW w:w="1855"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tcPr>
          <w:p w14:paraId="43BC93E2" w14:textId="77777777" w:rsidR="00957ECE" w:rsidRPr="00957ECE" w:rsidRDefault="00957ECE" w:rsidP="00957ECE">
            <w:pPr>
              <w:spacing w:line="240" w:lineRule="auto"/>
              <w:rPr>
                <w:rFonts w:cs="Calibri"/>
                <w:color w:val="000000"/>
                <w:szCs w:val="24"/>
              </w:rPr>
            </w:pPr>
          </w:p>
        </w:tc>
        <w:tc>
          <w:tcPr>
            <w:tcW w:w="1855"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hideMark/>
          </w:tcPr>
          <w:p w14:paraId="34822D1A" w14:textId="77777777" w:rsidR="00957ECE" w:rsidRPr="00957ECE" w:rsidRDefault="00957ECE" w:rsidP="00957ECE">
            <w:pPr>
              <w:keepNext/>
              <w:spacing w:before="60" w:after="60" w:line="240" w:lineRule="auto"/>
              <w:rPr>
                <w:color w:val="FFFFFF"/>
                <w:szCs w:val="24"/>
              </w:rPr>
            </w:pPr>
            <w:r w:rsidRPr="00957ECE">
              <w:rPr>
                <w:rFonts w:cs="Calibri"/>
                <w:color w:val="FFFFFF"/>
                <w:szCs w:val="24"/>
              </w:rPr>
              <w:t>Received</w:t>
            </w:r>
          </w:p>
        </w:tc>
        <w:tc>
          <w:tcPr>
            <w:tcW w:w="1856"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hideMark/>
          </w:tcPr>
          <w:p w14:paraId="01091CC9" w14:textId="77777777" w:rsidR="00957ECE" w:rsidRPr="00957ECE" w:rsidRDefault="00957ECE" w:rsidP="00957ECE">
            <w:pPr>
              <w:keepNext/>
              <w:spacing w:before="60" w:after="60" w:line="240" w:lineRule="auto"/>
              <w:rPr>
                <w:color w:val="FFFFFF"/>
                <w:szCs w:val="24"/>
              </w:rPr>
            </w:pPr>
            <w:r w:rsidRPr="00957ECE">
              <w:rPr>
                <w:color w:val="FFFFFF"/>
                <w:szCs w:val="24"/>
              </w:rPr>
              <w:t>Under Action in the Year</w:t>
            </w:r>
          </w:p>
        </w:tc>
        <w:tc>
          <w:tcPr>
            <w:tcW w:w="1856"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hideMark/>
          </w:tcPr>
          <w:p w14:paraId="55A1F26E" w14:textId="77777777" w:rsidR="00957ECE" w:rsidRPr="00957ECE" w:rsidRDefault="00957ECE" w:rsidP="00957ECE">
            <w:pPr>
              <w:keepNext/>
              <w:spacing w:before="60" w:after="60" w:line="240" w:lineRule="auto"/>
              <w:rPr>
                <w:color w:val="FFFFFF"/>
                <w:szCs w:val="24"/>
              </w:rPr>
            </w:pPr>
            <w:r w:rsidRPr="00957ECE">
              <w:rPr>
                <w:color w:val="FFFFFF"/>
                <w:szCs w:val="24"/>
              </w:rPr>
              <w:t>Completed</w:t>
            </w:r>
          </w:p>
        </w:tc>
        <w:tc>
          <w:tcPr>
            <w:tcW w:w="1856"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hideMark/>
          </w:tcPr>
          <w:p w14:paraId="40DE54A2" w14:textId="77777777" w:rsidR="00957ECE" w:rsidRPr="00957ECE" w:rsidRDefault="00957ECE" w:rsidP="00957ECE">
            <w:pPr>
              <w:keepNext/>
              <w:spacing w:before="60" w:after="60" w:line="240" w:lineRule="auto"/>
              <w:rPr>
                <w:color w:val="FFFFFF"/>
                <w:szCs w:val="24"/>
              </w:rPr>
            </w:pPr>
            <w:r w:rsidRPr="00957ECE">
              <w:rPr>
                <w:color w:val="FFFFFF"/>
                <w:szCs w:val="24"/>
              </w:rPr>
              <w:t>On Hand at Year End</w:t>
            </w:r>
          </w:p>
        </w:tc>
      </w:tr>
      <w:tr w:rsidR="007A27D1" w:rsidRPr="00957ECE" w14:paraId="6C552041" w14:textId="77777777" w:rsidTr="0094061D">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3690C7A6" w14:textId="77777777" w:rsidR="00957ECE" w:rsidRPr="00957ECE" w:rsidRDefault="00957ECE" w:rsidP="00957ECE">
            <w:pPr>
              <w:spacing w:before="120" w:after="120" w:line="300" w:lineRule="atLeast"/>
              <w:rPr>
                <w:sz w:val="22"/>
              </w:rPr>
            </w:pPr>
            <w:r w:rsidRPr="00957ECE">
              <w:rPr>
                <w:sz w:val="22"/>
              </w:rPr>
              <w:t>2016/17</w:t>
            </w:r>
          </w:p>
        </w:tc>
        <w:tc>
          <w:tcPr>
            <w:tcW w:w="1855" w:type="dxa"/>
            <w:tcBorders>
              <w:top w:val="single" w:sz="4" w:space="0" w:color="auto"/>
              <w:left w:val="single" w:sz="4" w:space="0" w:color="auto"/>
              <w:bottom w:val="single" w:sz="4" w:space="0" w:color="auto"/>
              <w:right w:val="single" w:sz="4" w:space="0" w:color="auto"/>
            </w:tcBorders>
            <w:hideMark/>
          </w:tcPr>
          <w:p w14:paraId="6B48043E" w14:textId="77777777" w:rsidR="00957ECE" w:rsidRPr="00957ECE" w:rsidRDefault="00957ECE" w:rsidP="00A07A0C">
            <w:pPr>
              <w:spacing w:before="120" w:after="120" w:line="300" w:lineRule="atLeast"/>
              <w:jc w:val="center"/>
              <w:rPr>
                <w:rFonts w:cs="Calibri"/>
                <w:color w:val="000000"/>
                <w:sz w:val="22"/>
              </w:rPr>
            </w:pPr>
            <w:r w:rsidRPr="00A07A0C">
              <w:rPr>
                <w:sz w:val="22"/>
              </w:rPr>
              <w:t>1,422</w:t>
            </w:r>
          </w:p>
        </w:tc>
        <w:tc>
          <w:tcPr>
            <w:tcW w:w="1856" w:type="dxa"/>
            <w:tcBorders>
              <w:top w:val="single" w:sz="4" w:space="0" w:color="auto"/>
              <w:left w:val="single" w:sz="4" w:space="0" w:color="auto"/>
              <w:bottom w:val="single" w:sz="4" w:space="0" w:color="auto"/>
              <w:right w:val="single" w:sz="4" w:space="0" w:color="auto"/>
            </w:tcBorders>
            <w:hideMark/>
          </w:tcPr>
          <w:p w14:paraId="44D7AFAA" w14:textId="77777777" w:rsidR="00957ECE" w:rsidRPr="00957ECE" w:rsidRDefault="00957ECE" w:rsidP="00957ECE">
            <w:pPr>
              <w:spacing w:before="120" w:after="120" w:line="300" w:lineRule="atLeast"/>
              <w:jc w:val="center"/>
              <w:rPr>
                <w:sz w:val="22"/>
              </w:rPr>
            </w:pPr>
            <w:r w:rsidRPr="00957ECE">
              <w:rPr>
                <w:sz w:val="22"/>
              </w:rPr>
              <w:t>2,422</w:t>
            </w:r>
          </w:p>
        </w:tc>
        <w:tc>
          <w:tcPr>
            <w:tcW w:w="1856" w:type="dxa"/>
            <w:tcBorders>
              <w:top w:val="single" w:sz="4" w:space="0" w:color="auto"/>
              <w:left w:val="single" w:sz="4" w:space="0" w:color="auto"/>
              <w:bottom w:val="single" w:sz="4" w:space="0" w:color="auto"/>
              <w:right w:val="single" w:sz="4" w:space="0" w:color="auto"/>
            </w:tcBorders>
            <w:hideMark/>
          </w:tcPr>
          <w:p w14:paraId="217AF164" w14:textId="77777777" w:rsidR="00957ECE" w:rsidRPr="00957ECE" w:rsidRDefault="00957ECE" w:rsidP="00957ECE">
            <w:pPr>
              <w:spacing w:before="120" w:after="120" w:line="300" w:lineRule="atLeast"/>
              <w:jc w:val="center"/>
              <w:rPr>
                <w:sz w:val="22"/>
              </w:rPr>
            </w:pPr>
            <w:r w:rsidRPr="00957ECE">
              <w:rPr>
                <w:sz w:val="22"/>
              </w:rPr>
              <w:t>1,633</w:t>
            </w:r>
          </w:p>
        </w:tc>
        <w:tc>
          <w:tcPr>
            <w:tcW w:w="1856" w:type="dxa"/>
            <w:tcBorders>
              <w:top w:val="single" w:sz="4" w:space="0" w:color="auto"/>
              <w:left w:val="single" w:sz="4" w:space="0" w:color="auto"/>
              <w:bottom w:val="single" w:sz="4" w:space="0" w:color="auto"/>
              <w:right w:val="single" w:sz="4" w:space="0" w:color="auto"/>
            </w:tcBorders>
            <w:hideMark/>
          </w:tcPr>
          <w:p w14:paraId="048B3AA3" w14:textId="77777777" w:rsidR="00957ECE" w:rsidRPr="00957ECE" w:rsidRDefault="00957ECE" w:rsidP="00957ECE">
            <w:pPr>
              <w:spacing w:before="120" w:after="120" w:line="300" w:lineRule="atLeast"/>
              <w:jc w:val="center"/>
              <w:rPr>
                <w:sz w:val="22"/>
              </w:rPr>
            </w:pPr>
            <w:r w:rsidRPr="00957ECE">
              <w:rPr>
                <w:sz w:val="22"/>
              </w:rPr>
              <w:t>789</w:t>
            </w:r>
          </w:p>
        </w:tc>
      </w:tr>
      <w:tr w:rsidR="007A27D1" w:rsidRPr="00957ECE" w14:paraId="155C0568" w14:textId="77777777" w:rsidTr="0094061D">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18C361CA" w14:textId="77777777" w:rsidR="00957ECE" w:rsidRPr="00957ECE" w:rsidRDefault="00957ECE" w:rsidP="00957ECE">
            <w:pPr>
              <w:spacing w:before="120" w:after="120" w:line="300" w:lineRule="atLeast"/>
              <w:rPr>
                <w:sz w:val="22"/>
              </w:rPr>
            </w:pPr>
            <w:r w:rsidRPr="00957ECE">
              <w:rPr>
                <w:sz w:val="22"/>
              </w:rPr>
              <w:t>2017/18</w:t>
            </w:r>
          </w:p>
        </w:tc>
        <w:tc>
          <w:tcPr>
            <w:tcW w:w="1855" w:type="dxa"/>
            <w:tcBorders>
              <w:top w:val="single" w:sz="4" w:space="0" w:color="auto"/>
              <w:left w:val="single" w:sz="4" w:space="0" w:color="auto"/>
              <w:bottom w:val="single" w:sz="4" w:space="0" w:color="auto"/>
              <w:right w:val="single" w:sz="4" w:space="0" w:color="auto"/>
            </w:tcBorders>
            <w:hideMark/>
          </w:tcPr>
          <w:p w14:paraId="1A8B45BF" w14:textId="77777777" w:rsidR="00957ECE" w:rsidRPr="00957ECE" w:rsidRDefault="00957ECE" w:rsidP="00957ECE">
            <w:pPr>
              <w:spacing w:before="120" w:after="120" w:line="300" w:lineRule="atLeast"/>
              <w:jc w:val="center"/>
              <w:rPr>
                <w:sz w:val="22"/>
              </w:rPr>
            </w:pPr>
            <w:r w:rsidRPr="00957ECE">
              <w:rPr>
                <w:sz w:val="22"/>
              </w:rPr>
              <w:t>1,677</w:t>
            </w:r>
          </w:p>
        </w:tc>
        <w:tc>
          <w:tcPr>
            <w:tcW w:w="1856" w:type="dxa"/>
            <w:tcBorders>
              <w:top w:val="single" w:sz="4" w:space="0" w:color="auto"/>
              <w:left w:val="single" w:sz="4" w:space="0" w:color="auto"/>
              <w:bottom w:val="single" w:sz="4" w:space="0" w:color="auto"/>
              <w:right w:val="single" w:sz="4" w:space="0" w:color="auto"/>
            </w:tcBorders>
            <w:hideMark/>
          </w:tcPr>
          <w:p w14:paraId="6BFF6F2D" w14:textId="77777777" w:rsidR="00957ECE" w:rsidRPr="00957ECE" w:rsidRDefault="00957ECE" w:rsidP="00957ECE">
            <w:pPr>
              <w:spacing w:before="120" w:after="120" w:line="300" w:lineRule="atLeast"/>
              <w:jc w:val="center"/>
              <w:rPr>
                <w:sz w:val="22"/>
              </w:rPr>
            </w:pPr>
            <w:r w:rsidRPr="00957ECE">
              <w:rPr>
                <w:sz w:val="22"/>
              </w:rPr>
              <w:t>2,513</w:t>
            </w:r>
          </w:p>
        </w:tc>
        <w:tc>
          <w:tcPr>
            <w:tcW w:w="1856" w:type="dxa"/>
            <w:tcBorders>
              <w:top w:val="single" w:sz="4" w:space="0" w:color="auto"/>
              <w:left w:val="single" w:sz="4" w:space="0" w:color="auto"/>
              <w:bottom w:val="single" w:sz="4" w:space="0" w:color="auto"/>
              <w:right w:val="single" w:sz="4" w:space="0" w:color="auto"/>
            </w:tcBorders>
            <w:hideMark/>
          </w:tcPr>
          <w:p w14:paraId="4158F36E" w14:textId="77777777" w:rsidR="00957ECE" w:rsidRPr="00957ECE" w:rsidRDefault="00957ECE" w:rsidP="00957ECE">
            <w:pPr>
              <w:spacing w:before="120" w:after="120" w:line="300" w:lineRule="atLeast"/>
              <w:jc w:val="center"/>
              <w:rPr>
                <w:sz w:val="22"/>
              </w:rPr>
            </w:pPr>
            <w:r w:rsidRPr="00957ECE">
              <w:rPr>
                <w:sz w:val="22"/>
              </w:rPr>
              <w:t>1,942</w:t>
            </w:r>
          </w:p>
        </w:tc>
        <w:tc>
          <w:tcPr>
            <w:tcW w:w="1856" w:type="dxa"/>
            <w:tcBorders>
              <w:top w:val="single" w:sz="4" w:space="0" w:color="auto"/>
              <w:left w:val="single" w:sz="4" w:space="0" w:color="auto"/>
              <w:bottom w:val="single" w:sz="4" w:space="0" w:color="auto"/>
              <w:right w:val="single" w:sz="4" w:space="0" w:color="auto"/>
            </w:tcBorders>
            <w:hideMark/>
          </w:tcPr>
          <w:p w14:paraId="0C7F93F6" w14:textId="77777777" w:rsidR="00957ECE" w:rsidRPr="00957ECE" w:rsidRDefault="00957ECE" w:rsidP="00957ECE">
            <w:pPr>
              <w:spacing w:before="120" w:after="120" w:line="300" w:lineRule="atLeast"/>
              <w:jc w:val="center"/>
              <w:rPr>
                <w:sz w:val="22"/>
              </w:rPr>
            </w:pPr>
            <w:r w:rsidRPr="00957ECE">
              <w:rPr>
                <w:sz w:val="22"/>
              </w:rPr>
              <w:t>571</w:t>
            </w:r>
          </w:p>
        </w:tc>
      </w:tr>
      <w:tr w:rsidR="007A27D1" w:rsidRPr="00957ECE" w14:paraId="6411984B" w14:textId="77777777" w:rsidTr="0094061D">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064833BD" w14:textId="77777777" w:rsidR="00957ECE" w:rsidRPr="00957ECE" w:rsidRDefault="00957ECE" w:rsidP="00957ECE">
            <w:pPr>
              <w:spacing w:before="120" w:after="120" w:line="300" w:lineRule="atLeast"/>
              <w:rPr>
                <w:sz w:val="22"/>
              </w:rPr>
            </w:pPr>
            <w:r w:rsidRPr="00957ECE">
              <w:rPr>
                <w:sz w:val="22"/>
              </w:rPr>
              <w:t>2018/19</w:t>
            </w:r>
          </w:p>
        </w:tc>
        <w:tc>
          <w:tcPr>
            <w:tcW w:w="1855" w:type="dxa"/>
            <w:tcBorders>
              <w:top w:val="single" w:sz="4" w:space="0" w:color="auto"/>
              <w:left w:val="single" w:sz="4" w:space="0" w:color="auto"/>
              <w:bottom w:val="single" w:sz="4" w:space="0" w:color="auto"/>
              <w:right w:val="single" w:sz="4" w:space="0" w:color="auto"/>
            </w:tcBorders>
            <w:hideMark/>
          </w:tcPr>
          <w:p w14:paraId="1AF57BAE" w14:textId="77777777" w:rsidR="00957ECE" w:rsidRPr="00957ECE" w:rsidRDefault="00957ECE" w:rsidP="00957ECE">
            <w:pPr>
              <w:spacing w:before="120" w:after="120" w:line="300" w:lineRule="atLeast"/>
              <w:jc w:val="center"/>
              <w:rPr>
                <w:sz w:val="22"/>
              </w:rPr>
            </w:pPr>
            <w:r w:rsidRPr="00957ECE">
              <w:rPr>
                <w:sz w:val="22"/>
              </w:rPr>
              <w:t>2,265</w:t>
            </w:r>
          </w:p>
        </w:tc>
        <w:tc>
          <w:tcPr>
            <w:tcW w:w="1856" w:type="dxa"/>
            <w:tcBorders>
              <w:top w:val="single" w:sz="4" w:space="0" w:color="auto"/>
              <w:left w:val="single" w:sz="4" w:space="0" w:color="auto"/>
              <w:bottom w:val="single" w:sz="4" w:space="0" w:color="auto"/>
              <w:right w:val="single" w:sz="4" w:space="0" w:color="auto"/>
            </w:tcBorders>
            <w:hideMark/>
          </w:tcPr>
          <w:p w14:paraId="56968785" w14:textId="77777777" w:rsidR="00957ECE" w:rsidRPr="00957ECE" w:rsidRDefault="00957ECE" w:rsidP="00957ECE">
            <w:pPr>
              <w:spacing w:before="120" w:after="120" w:line="300" w:lineRule="atLeast"/>
              <w:jc w:val="center"/>
              <w:rPr>
                <w:sz w:val="22"/>
              </w:rPr>
            </w:pPr>
            <w:r w:rsidRPr="00957ECE">
              <w:rPr>
                <w:sz w:val="22"/>
              </w:rPr>
              <w:t>2,789</w:t>
            </w:r>
          </w:p>
        </w:tc>
        <w:tc>
          <w:tcPr>
            <w:tcW w:w="1856" w:type="dxa"/>
            <w:tcBorders>
              <w:top w:val="single" w:sz="4" w:space="0" w:color="auto"/>
              <w:left w:val="single" w:sz="4" w:space="0" w:color="auto"/>
              <w:bottom w:val="single" w:sz="4" w:space="0" w:color="auto"/>
              <w:right w:val="single" w:sz="4" w:space="0" w:color="auto"/>
            </w:tcBorders>
            <w:hideMark/>
          </w:tcPr>
          <w:p w14:paraId="67D9D3D4" w14:textId="77777777" w:rsidR="00957ECE" w:rsidRPr="00957ECE" w:rsidRDefault="00957ECE" w:rsidP="00957ECE">
            <w:pPr>
              <w:spacing w:before="120" w:after="120" w:line="300" w:lineRule="atLeast"/>
              <w:jc w:val="center"/>
              <w:rPr>
                <w:sz w:val="22"/>
              </w:rPr>
            </w:pPr>
            <w:r w:rsidRPr="00957ECE">
              <w:rPr>
                <w:sz w:val="22"/>
              </w:rPr>
              <w:t>2,198</w:t>
            </w:r>
          </w:p>
        </w:tc>
        <w:tc>
          <w:tcPr>
            <w:tcW w:w="1856" w:type="dxa"/>
            <w:tcBorders>
              <w:top w:val="single" w:sz="4" w:space="0" w:color="auto"/>
              <w:left w:val="single" w:sz="4" w:space="0" w:color="auto"/>
              <w:bottom w:val="single" w:sz="4" w:space="0" w:color="auto"/>
              <w:right w:val="single" w:sz="4" w:space="0" w:color="auto"/>
            </w:tcBorders>
            <w:hideMark/>
          </w:tcPr>
          <w:p w14:paraId="2AA0560A" w14:textId="77777777" w:rsidR="00957ECE" w:rsidRPr="00957ECE" w:rsidRDefault="00957ECE" w:rsidP="00957ECE">
            <w:pPr>
              <w:spacing w:before="120" w:after="120" w:line="300" w:lineRule="atLeast"/>
              <w:jc w:val="center"/>
              <w:rPr>
                <w:sz w:val="22"/>
              </w:rPr>
            </w:pPr>
            <w:r w:rsidRPr="00957ECE">
              <w:rPr>
                <w:sz w:val="22"/>
              </w:rPr>
              <w:t>591</w:t>
            </w:r>
          </w:p>
        </w:tc>
      </w:tr>
      <w:tr w:rsidR="007A27D1" w:rsidRPr="00957ECE" w14:paraId="27D0DD0F" w14:textId="77777777" w:rsidTr="0094061D">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120C6D36" w14:textId="77777777" w:rsidR="00957ECE" w:rsidRPr="00957ECE" w:rsidRDefault="00957ECE" w:rsidP="00957ECE">
            <w:pPr>
              <w:spacing w:before="120" w:after="120" w:line="300" w:lineRule="atLeast"/>
              <w:rPr>
                <w:sz w:val="22"/>
              </w:rPr>
            </w:pPr>
            <w:r w:rsidRPr="00957ECE">
              <w:rPr>
                <w:sz w:val="22"/>
              </w:rPr>
              <w:t>2019/20</w:t>
            </w:r>
          </w:p>
        </w:tc>
        <w:tc>
          <w:tcPr>
            <w:tcW w:w="1855" w:type="dxa"/>
            <w:tcBorders>
              <w:top w:val="single" w:sz="4" w:space="0" w:color="auto"/>
              <w:left w:val="single" w:sz="4" w:space="0" w:color="auto"/>
              <w:bottom w:val="single" w:sz="4" w:space="0" w:color="auto"/>
              <w:right w:val="single" w:sz="4" w:space="0" w:color="auto"/>
            </w:tcBorders>
            <w:hideMark/>
          </w:tcPr>
          <w:p w14:paraId="01C65CAE" w14:textId="77777777" w:rsidR="00957ECE" w:rsidRPr="00957ECE" w:rsidRDefault="00957ECE" w:rsidP="00957ECE">
            <w:pPr>
              <w:spacing w:before="120" w:after="120" w:line="300" w:lineRule="atLeast"/>
              <w:jc w:val="center"/>
              <w:rPr>
                <w:sz w:val="22"/>
              </w:rPr>
            </w:pPr>
            <w:r w:rsidRPr="00957ECE">
              <w:rPr>
                <w:sz w:val="22"/>
              </w:rPr>
              <w:t>1,683</w:t>
            </w:r>
          </w:p>
        </w:tc>
        <w:tc>
          <w:tcPr>
            <w:tcW w:w="1856" w:type="dxa"/>
            <w:tcBorders>
              <w:top w:val="single" w:sz="4" w:space="0" w:color="auto"/>
              <w:left w:val="single" w:sz="4" w:space="0" w:color="auto"/>
              <w:bottom w:val="single" w:sz="4" w:space="0" w:color="auto"/>
              <w:right w:val="single" w:sz="4" w:space="0" w:color="auto"/>
            </w:tcBorders>
            <w:hideMark/>
          </w:tcPr>
          <w:p w14:paraId="31DE2B32" w14:textId="77777777" w:rsidR="00957ECE" w:rsidRPr="00957ECE" w:rsidRDefault="00957ECE" w:rsidP="00957ECE">
            <w:pPr>
              <w:spacing w:before="120" w:after="120" w:line="300" w:lineRule="atLeast"/>
              <w:jc w:val="center"/>
              <w:rPr>
                <w:sz w:val="22"/>
              </w:rPr>
            </w:pPr>
            <w:r w:rsidRPr="00957ECE">
              <w:rPr>
                <w:sz w:val="22"/>
              </w:rPr>
              <w:t>2,274</w:t>
            </w:r>
          </w:p>
        </w:tc>
        <w:tc>
          <w:tcPr>
            <w:tcW w:w="1856" w:type="dxa"/>
            <w:tcBorders>
              <w:top w:val="single" w:sz="4" w:space="0" w:color="auto"/>
              <w:left w:val="single" w:sz="4" w:space="0" w:color="auto"/>
              <w:bottom w:val="single" w:sz="4" w:space="0" w:color="auto"/>
              <w:right w:val="single" w:sz="4" w:space="0" w:color="auto"/>
            </w:tcBorders>
            <w:hideMark/>
          </w:tcPr>
          <w:p w14:paraId="332BE88C" w14:textId="77777777" w:rsidR="00957ECE" w:rsidRPr="00957ECE" w:rsidRDefault="00957ECE" w:rsidP="00957ECE">
            <w:pPr>
              <w:spacing w:before="120" w:after="120" w:line="300" w:lineRule="atLeast"/>
              <w:jc w:val="center"/>
              <w:rPr>
                <w:sz w:val="22"/>
              </w:rPr>
            </w:pPr>
            <w:r w:rsidRPr="00957ECE">
              <w:rPr>
                <w:sz w:val="22"/>
              </w:rPr>
              <w:t>1,724</w:t>
            </w:r>
          </w:p>
        </w:tc>
        <w:tc>
          <w:tcPr>
            <w:tcW w:w="1856" w:type="dxa"/>
            <w:tcBorders>
              <w:top w:val="single" w:sz="4" w:space="0" w:color="auto"/>
              <w:left w:val="single" w:sz="4" w:space="0" w:color="auto"/>
              <w:bottom w:val="single" w:sz="4" w:space="0" w:color="auto"/>
              <w:right w:val="single" w:sz="4" w:space="0" w:color="auto"/>
            </w:tcBorders>
            <w:hideMark/>
          </w:tcPr>
          <w:p w14:paraId="36850300" w14:textId="77777777" w:rsidR="00957ECE" w:rsidRPr="00957ECE" w:rsidRDefault="00957ECE" w:rsidP="00957ECE">
            <w:pPr>
              <w:spacing w:before="120" w:after="120" w:line="300" w:lineRule="atLeast"/>
              <w:jc w:val="center"/>
              <w:rPr>
                <w:sz w:val="22"/>
              </w:rPr>
            </w:pPr>
            <w:r w:rsidRPr="00957ECE">
              <w:rPr>
                <w:sz w:val="22"/>
              </w:rPr>
              <w:t>551</w:t>
            </w:r>
          </w:p>
        </w:tc>
      </w:tr>
      <w:tr w:rsidR="007A27D1" w:rsidRPr="00957ECE" w14:paraId="59361477" w14:textId="77777777" w:rsidTr="0094061D">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12BD5BEC" w14:textId="77777777" w:rsidR="00957ECE" w:rsidRPr="00957ECE" w:rsidRDefault="00957ECE" w:rsidP="00957ECE">
            <w:pPr>
              <w:spacing w:before="120" w:after="120" w:line="300" w:lineRule="atLeast"/>
              <w:rPr>
                <w:sz w:val="22"/>
              </w:rPr>
            </w:pPr>
            <w:r w:rsidRPr="00957ECE">
              <w:rPr>
                <w:sz w:val="22"/>
              </w:rPr>
              <w:t>2020/21</w:t>
            </w:r>
          </w:p>
        </w:tc>
        <w:tc>
          <w:tcPr>
            <w:tcW w:w="1855" w:type="dxa"/>
            <w:tcBorders>
              <w:top w:val="single" w:sz="4" w:space="0" w:color="auto"/>
              <w:left w:val="single" w:sz="4" w:space="0" w:color="auto"/>
              <w:bottom w:val="single" w:sz="4" w:space="0" w:color="auto"/>
              <w:right w:val="single" w:sz="4" w:space="0" w:color="auto"/>
            </w:tcBorders>
            <w:hideMark/>
          </w:tcPr>
          <w:p w14:paraId="057C2D8D" w14:textId="77777777" w:rsidR="00957ECE" w:rsidRPr="00957ECE" w:rsidRDefault="00957ECE" w:rsidP="00957ECE">
            <w:pPr>
              <w:spacing w:before="120" w:after="120" w:line="300" w:lineRule="atLeast"/>
              <w:jc w:val="center"/>
              <w:rPr>
                <w:sz w:val="22"/>
              </w:rPr>
            </w:pPr>
            <w:r w:rsidRPr="00957ECE">
              <w:rPr>
                <w:sz w:val="22"/>
              </w:rPr>
              <w:t>1,718</w:t>
            </w:r>
          </w:p>
        </w:tc>
        <w:tc>
          <w:tcPr>
            <w:tcW w:w="1856" w:type="dxa"/>
            <w:tcBorders>
              <w:top w:val="single" w:sz="4" w:space="0" w:color="auto"/>
              <w:left w:val="single" w:sz="4" w:space="0" w:color="auto"/>
              <w:bottom w:val="single" w:sz="4" w:space="0" w:color="auto"/>
              <w:right w:val="single" w:sz="4" w:space="0" w:color="auto"/>
            </w:tcBorders>
            <w:hideMark/>
          </w:tcPr>
          <w:p w14:paraId="07EC3246" w14:textId="77777777" w:rsidR="00957ECE" w:rsidRPr="00957ECE" w:rsidRDefault="00957ECE" w:rsidP="00957ECE">
            <w:pPr>
              <w:spacing w:before="120" w:after="120" w:line="300" w:lineRule="atLeast"/>
              <w:jc w:val="center"/>
              <w:rPr>
                <w:sz w:val="22"/>
              </w:rPr>
            </w:pPr>
            <w:r w:rsidRPr="00957ECE">
              <w:rPr>
                <w:sz w:val="22"/>
              </w:rPr>
              <w:t>2,281</w:t>
            </w:r>
          </w:p>
        </w:tc>
        <w:tc>
          <w:tcPr>
            <w:tcW w:w="1856" w:type="dxa"/>
            <w:tcBorders>
              <w:top w:val="single" w:sz="4" w:space="0" w:color="auto"/>
              <w:left w:val="single" w:sz="4" w:space="0" w:color="auto"/>
              <w:bottom w:val="single" w:sz="4" w:space="0" w:color="auto"/>
              <w:right w:val="single" w:sz="4" w:space="0" w:color="auto"/>
            </w:tcBorders>
            <w:hideMark/>
          </w:tcPr>
          <w:p w14:paraId="0B5155D0" w14:textId="77777777" w:rsidR="00957ECE" w:rsidRPr="00957ECE" w:rsidRDefault="00957ECE" w:rsidP="00957ECE">
            <w:pPr>
              <w:spacing w:before="120" w:after="120" w:line="300" w:lineRule="atLeast"/>
              <w:jc w:val="center"/>
              <w:rPr>
                <w:sz w:val="22"/>
              </w:rPr>
            </w:pPr>
            <w:r w:rsidRPr="00957ECE">
              <w:rPr>
                <w:sz w:val="22"/>
              </w:rPr>
              <w:t>1,507</w:t>
            </w:r>
          </w:p>
        </w:tc>
        <w:tc>
          <w:tcPr>
            <w:tcW w:w="1856" w:type="dxa"/>
            <w:tcBorders>
              <w:top w:val="single" w:sz="4" w:space="0" w:color="auto"/>
              <w:left w:val="single" w:sz="4" w:space="0" w:color="auto"/>
              <w:bottom w:val="single" w:sz="4" w:space="0" w:color="auto"/>
              <w:right w:val="single" w:sz="4" w:space="0" w:color="auto"/>
            </w:tcBorders>
            <w:hideMark/>
          </w:tcPr>
          <w:p w14:paraId="4A55D0BF" w14:textId="77777777" w:rsidR="00957ECE" w:rsidRPr="00957ECE" w:rsidRDefault="00957ECE" w:rsidP="00957ECE">
            <w:pPr>
              <w:spacing w:before="120" w:after="120" w:line="300" w:lineRule="atLeast"/>
              <w:jc w:val="center"/>
              <w:rPr>
                <w:sz w:val="22"/>
              </w:rPr>
            </w:pPr>
            <w:r w:rsidRPr="00957ECE">
              <w:rPr>
                <w:sz w:val="22"/>
              </w:rPr>
              <w:t>762</w:t>
            </w:r>
          </w:p>
        </w:tc>
      </w:tr>
      <w:tr w:rsidR="007A27D1" w:rsidRPr="00957ECE" w14:paraId="6AE3A613" w14:textId="77777777" w:rsidTr="009602B9">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0ABBF459" w14:textId="77777777" w:rsidR="00957ECE" w:rsidRPr="00957ECE" w:rsidRDefault="00957ECE" w:rsidP="00957ECE">
            <w:pPr>
              <w:spacing w:before="120" w:after="120" w:line="300" w:lineRule="atLeast"/>
              <w:rPr>
                <w:sz w:val="22"/>
              </w:rPr>
            </w:pPr>
            <w:r w:rsidRPr="00957ECE">
              <w:rPr>
                <w:sz w:val="22"/>
              </w:rPr>
              <w:t>2021/22</w:t>
            </w:r>
          </w:p>
        </w:tc>
        <w:tc>
          <w:tcPr>
            <w:tcW w:w="1855" w:type="dxa"/>
            <w:tcBorders>
              <w:top w:val="single" w:sz="4" w:space="0" w:color="auto"/>
              <w:left w:val="single" w:sz="4" w:space="0" w:color="auto"/>
              <w:bottom w:val="single" w:sz="4" w:space="0" w:color="auto"/>
              <w:right w:val="single" w:sz="4" w:space="0" w:color="auto"/>
            </w:tcBorders>
            <w:hideMark/>
          </w:tcPr>
          <w:p w14:paraId="6799A903" w14:textId="77777777" w:rsidR="00957ECE" w:rsidRPr="00957ECE" w:rsidRDefault="00957ECE" w:rsidP="00957ECE">
            <w:pPr>
              <w:spacing w:before="120" w:after="120" w:line="300" w:lineRule="atLeast"/>
              <w:jc w:val="center"/>
              <w:rPr>
                <w:sz w:val="22"/>
              </w:rPr>
            </w:pPr>
            <w:r w:rsidRPr="00957ECE">
              <w:rPr>
                <w:sz w:val="22"/>
              </w:rPr>
              <w:t>2,591</w:t>
            </w:r>
          </w:p>
        </w:tc>
        <w:tc>
          <w:tcPr>
            <w:tcW w:w="1856" w:type="dxa"/>
            <w:tcBorders>
              <w:top w:val="single" w:sz="4" w:space="0" w:color="auto"/>
              <w:left w:val="single" w:sz="4" w:space="0" w:color="auto"/>
              <w:bottom w:val="single" w:sz="4" w:space="0" w:color="auto"/>
              <w:right w:val="single" w:sz="4" w:space="0" w:color="auto"/>
            </w:tcBorders>
            <w:hideMark/>
          </w:tcPr>
          <w:p w14:paraId="0CF5B827" w14:textId="77777777" w:rsidR="00957ECE" w:rsidRPr="00957ECE" w:rsidRDefault="00957ECE" w:rsidP="00957ECE">
            <w:pPr>
              <w:spacing w:before="120" w:after="120" w:line="300" w:lineRule="atLeast"/>
              <w:jc w:val="center"/>
              <w:rPr>
                <w:sz w:val="22"/>
              </w:rPr>
            </w:pPr>
            <w:r w:rsidRPr="00957ECE">
              <w:rPr>
                <w:sz w:val="22"/>
              </w:rPr>
              <w:t>3,371</w:t>
            </w:r>
          </w:p>
        </w:tc>
        <w:tc>
          <w:tcPr>
            <w:tcW w:w="1856" w:type="dxa"/>
            <w:tcBorders>
              <w:top w:val="single" w:sz="4" w:space="0" w:color="auto"/>
              <w:left w:val="single" w:sz="4" w:space="0" w:color="auto"/>
              <w:bottom w:val="single" w:sz="4" w:space="0" w:color="auto"/>
              <w:right w:val="single" w:sz="4" w:space="0" w:color="auto"/>
            </w:tcBorders>
            <w:hideMark/>
          </w:tcPr>
          <w:p w14:paraId="49A65E66" w14:textId="77777777" w:rsidR="00957ECE" w:rsidRPr="00957ECE" w:rsidRDefault="00957ECE" w:rsidP="00957ECE">
            <w:pPr>
              <w:spacing w:before="120" w:after="120" w:line="300" w:lineRule="atLeast"/>
              <w:jc w:val="center"/>
              <w:rPr>
                <w:sz w:val="22"/>
              </w:rPr>
            </w:pPr>
            <w:r w:rsidRPr="00957ECE">
              <w:rPr>
                <w:sz w:val="22"/>
              </w:rPr>
              <w:t>2,078</w:t>
            </w:r>
          </w:p>
        </w:tc>
        <w:tc>
          <w:tcPr>
            <w:tcW w:w="1856" w:type="dxa"/>
            <w:tcBorders>
              <w:top w:val="single" w:sz="4" w:space="0" w:color="auto"/>
              <w:left w:val="single" w:sz="4" w:space="0" w:color="auto"/>
              <w:bottom w:val="single" w:sz="4" w:space="0" w:color="auto"/>
              <w:right w:val="single" w:sz="4" w:space="0" w:color="auto"/>
            </w:tcBorders>
            <w:hideMark/>
          </w:tcPr>
          <w:p w14:paraId="0E804BAB" w14:textId="77777777" w:rsidR="00957ECE" w:rsidRPr="00957ECE" w:rsidRDefault="00957ECE" w:rsidP="00957ECE">
            <w:pPr>
              <w:spacing w:before="120" w:after="120" w:line="300" w:lineRule="atLeast"/>
              <w:jc w:val="center"/>
              <w:rPr>
                <w:sz w:val="22"/>
              </w:rPr>
            </w:pPr>
            <w:r w:rsidRPr="00957ECE">
              <w:rPr>
                <w:sz w:val="22"/>
              </w:rPr>
              <w:t>1,275</w:t>
            </w:r>
          </w:p>
        </w:tc>
      </w:tr>
      <w:tr w:rsidR="007A27D1" w:rsidRPr="00957ECE" w14:paraId="26FA8016" w14:textId="77777777" w:rsidTr="009602B9">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3A6727A1" w14:textId="77777777" w:rsidR="00957ECE" w:rsidRPr="00957ECE" w:rsidRDefault="00957ECE" w:rsidP="00957ECE">
            <w:pPr>
              <w:spacing w:before="120" w:after="120" w:line="300" w:lineRule="atLeast"/>
              <w:rPr>
                <w:sz w:val="22"/>
              </w:rPr>
            </w:pPr>
            <w:r w:rsidRPr="00957ECE">
              <w:rPr>
                <w:sz w:val="22"/>
              </w:rPr>
              <w:t>2022/23</w:t>
            </w:r>
          </w:p>
        </w:tc>
        <w:tc>
          <w:tcPr>
            <w:tcW w:w="1855" w:type="dxa"/>
            <w:tcBorders>
              <w:top w:val="single" w:sz="4" w:space="0" w:color="auto"/>
              <w:left w:val="single" w:sz="4" w:space="0" w:color="auto"/>
              <w:bottom w:val="single" w:sz="4" w:space="0" w:color="auto"/>
              <w:right w:val="single" w:sz="4" w:space="0" w:color="auto"/>
            </w:tcBorders>
            <w:hideMark/>
          </w:tcPr>
          <w:p w14:paraId="226827BA" w14:textId="77777777" w:rsidR="00957ECE" w:rsidRPr="00957ECE" w:rsidRDefault="00957ECE" w:rsidP="00957ECE">
            <w:pPr>
              <w:spacing w:before="120" w:after="120" w:line="300" w:lineRule="atLeast"/>
              <w:jc w:val="center"/>
              <w:rPr>
                <w:sz w:val="22"/>
              </w:rPr>
            </w:pPr>
            <w:r w:rsidRPr="00957ECE">
              <w:rPr>
                <w:sz w:val="22"/>
              </w:rPr>
              <w:t>2,059</w:t>
            </w:r>
          </w:p>
        </w:tc>
        <w:tc>
          <w:tcPr>
            <w:tcW w:w="1856" w:type="dxa"/>
            <w:tcBorders>
              <w:top w:val="single" w:sz="4" w:space="0" w:color="auto"/>
              <w:left w:val="single" w:sz="4" w:space="0" w:color="auto"/>
              <w:bottom w:val="single" w:sz="4" w:space="0" w:color="auto"/>
              <w:right w:val="single" w:sz="4" w:space="0" w:color="auto"/>
            </w:tcBorders>
            <w:hideMark/>
          </w:tcPr>
          <w:p w14:paraId="10C8D50D" w14:textId="77777777" w:rsidR="00957ECE" w:rsidRPr="00957ECE" w:rsidRDefault="00957ECE" w:rsidP="00957ECE">
            <w:pPr>
              <w:spacing w:before="120" w:after="120" w:line="300" w:lineRule="atLeast"/>
              <w:jc w:val="center"/>
              <w:rPr>
                <w:sz w:val="22"/>
              </w:rPr>
            </w:pPr>
            <w:r w:rsidRPr="00957ECE">
              <w:rPr>
                <w:sz w:val="22"/>
              </w:rPr>
              <w:t>3,333</w:t>
            </w:r>
          </w:p>
        </w:tc>
        <w:tc>
          <w:tcPr>
            <w:tcW w:w="1856" w:type="dxa"/>
            <w:tcBorders>
              <w:top w:val="single" w:sz="4" w:space="0" w:color="auto"/>
              <w:left w:val="single" w:sz="4" w:space="0" w:color="auto"/>
              <w:bottom w:val="single" w:sz="4" w:space="0" w:color="auto"/>
              <w:right w:val="single" w:sz="4" w:space="0" w:color="auto"/>
            </w:tcBorders>
            <w:hideMark/>
          </w:tcPr>
          <w:p w14:paraId="03A21C55" w14:textId="77777777" w:rsidR="00957ECE" w:rsidRPr="00957ECE" w:rsidRDefault="00957ECE" w:rsidP="00957ECE">
            <w:pPr>
              <w:spacing w:before="120" w:after="120" w:line="300" w:lineRule="atLeast"/>
              <w:jc w:val="center"/>
              <w:rPr>
                <w:sz w:val="22"/>
              </w:rPr>
            </w:pPr>
            <w:r w:rsidRPr="00957ECE">
              <w:rPr>
                <w:sz w:val="22"/>
              </w:rPr>
              <w:t>1,804</w:t>
            </w:r>
          </w:p>
        </w:tc>
        <w:tc>
          <w:tcPr>
            <w:tcW w:w="1856" w:type="dxa"/>
            <w:tcBorders>
              <w:top w:val="single" w:sz="4" w:space="0" w:color="auto"/>
              <w:left w:val="single" w:sz="4" w:space="0" w:color="auto"/>
              <w:bottom w:val="single" w:sz="4" w:space="0" w:color="auto"/>
              <w:right w:val="single" w:sz="4" w:space="0" w:color="auto"/>
            </w:tcBorders>
            <w:hideMark/>
          </w:tcPr>
          <w:p w14:paraId="7D259CBA" w14:textId="77777777" w:rsidR="00957ECE" w:rsidRPr="00957ECE" w:rsidRDefault="00957ECE" w:rsidP="00957ECE">
            <w:pPr>
              <w:spacing w:before="120" w:after="120" w:line="300" w:lineRule="atLeast"/>
              <w:jc w:val="center"/>
              <w:rPr>
                <w:sz w:val="22"/>
              </w:rPr>
            </w:pPr>
            <w:r w:rsidRPr="00957ECE">
              <w:rPr>
                <w:sz w:val="22"/>
              </w:rPr>
              <w:t>1,529</w:t>
            </w:r>
          </w:p>
        </w:tc>
      </w:tr>
      <w:tr w:rsidR="007A27D1" w:rsidRPr="00957ECE" w14:paraId="401359CC" w14:textId="77777777" w:rsidTr="009602B9">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731090D9" w14:textId="77777777" w:rsidR="00957ECE" w:rsidRPr="00957ECE" w:rsidRDefault="00957ECE" w:rsidP="00957ECE">
            <w:pPr>
              <w:spacing w:before="120" w:after="120" w:line="300" w:lineRule="atLeast"/>
              <w:rPr>
                <w:sz w:val="22"/>
              </w:rPr>
            </w:pPr>
            <w:r w:rsidRPr="00957ECE">
              <w:rPr>
                <w:sz w:val="22"/>
              </w:rPr>
              <w:t>2023/24</w:t>
            </w:r>
          </w:p>
        </w:tc>
        <w:tc>
          <w:tcPr>
            <w:tcW w:w="1855" w:type="dxa"/>
            <w:tcBorders>
              <w:top w:val="single" w:sz="4" w:space="0" w:color="auto"/>
              <w:left w:val="single" w:sz="4" w:space="0" w:color="auto"/>
              <w:bottom w:val="single" w:sz="4" w:space="0" w:color="auto"/>
              <w:right w:val="single" w:sz="4" w:space="0" w:color="auto"/>
            </w:tcBorders>
            <w:hideMark/>
          </w:tcPr>
          <w:p w14:paraId="5D91D243" w14:textId="77777777" w:rsidR="00957ECE" w:rsidRPr="00957ECE" w:rsidRDefault="00957ECE" w:rsidP="00957ECE">
            <w:pPr>
              <w:spacing w:before="120" w:after="120" w:line="300" w:lineRule="atLeast"/>
              <w:jc w:val="center"/>
              <w:rPr>
                <w:sz w:val="22"/>
              </w:rPr>
            </w:pPr>
            <w:r w:rsidRPr="00957ECE">
              <w:rPr>
                <w:sz w:val="22"/>
              </w:rPr>
              <w:t>2,222</w:t>
            </w:r>
          </w:p>
        </w:tc>
        <w:tc>
          <w:tcPr>
            <w:tcW w:w="1856" w:type="dxa"/>
            <w:tcBorders>
              <w:top w:val="single" w:sz="4" w:space="0" w:color="auto"/>
              <w:left w:val="single" w:sz="4" w:space="0" w:color="auto"/>
              <w:bottom w:val="single" w:sz="4" w:space="0" w:color="auto"/>
              <w:right w:val="single" w:sz="4" w:space="0" w:color="auto"/>
            </w:tcBorders>
            <w:hideMark/>
          </w:tcPr>
          <w:p w14:paraId="3E3C30E0" w14:textId="77777777" w:rsidR="00957ECE" w:rsidRPr="00957ECE" w:rsidRDefault="00957ECE" w:rsidP="00957ECE">
            <w:pPr>
              <w:spacing w:before="120" w:after="120" w:line="300" w:lineRule="atLeast"/>
              <w:jc w:val="center"/>
              <w:rPr>
                <w:sz w:val="22"/>
              </w:rPr>
            </w:pPr>
            <w:r w:rsidRPr="00957ECE">
              <w:rPr>
                <w:sz w:val="22"/>
              </w:rPr>
              <w:t>3,750</w:t>
            </w:r>
          </w:p>
        </w:tc>
        <w:tc>
          <w:tcPr>
            <w:tcW w:w="1856" w:type="dxa"/>
            <w:tcBorders>
              <w:top w:val="single" w:sz="4" w:space="0" w:color="auto"/>
              <w:left w:val="single" w:sz="4" w:space="0" w:color="auto"/>
              <w:bottom w:val="single" w:sz="4" w:space="0" w:color="auto"/>
              <w:right w:val="single" w:sz="4" w:space="0" w:color="auto"/>
            </w:tcBorders>
            <w:hideMark/>
          </w:tcPr>
          <w:p w14:paraId="262BE7BB" w14:textId="77777777" w:rsidR="00957ECE" w:rsidRPr="00957ECE" w:rsidRDefault="00957ECE" w:rsidP="00957ECE">
            <w:pPr>
              <w:spacing w:before="120" w:after="120" w:line="300" w:lineRule="atLeast"/>
              <w:jc w:val="center"/>
              <w:rPr>
                <w:sz w:val="22"/>
              </w:rPr>
            </w:pPr>
            <w:r w:rsidRPr="00957ECE">
              <w:rPr>
                <w:sz w:val="22"/>
              </w:rPr>
              <w:t>2,126</w:t>
            </w:r>
          </w:p>
        </w:tc>
        <w:tc>
          <w:tcPr>
            <w:tcW w:w="1856" w:type="dxa"/>
            <w:tcBorders>
              <w:top w:val="single" w:sz="4" w:space="0" w:color="auto"/>
              <w:left w:val="single" w:sz="4" w:space="0" w:color="auto"/>
              <w:bottom w:val="single" w:sz="4" w:space="0" w:color="auto"/>
              <w:right w:val="single" w:sz="4" w:space="0" w:color="auto"/>
            </w:tcBorders>
            <w:hideMark/>
          </w:tcPr>
          <w:p w14:paraId="7D65A90D" w14:textId="77777777" w:rsidR="00957ECE" w:rsidRPr="00957ECE" w:rsidRDefault="00957ECE" w:rsidP="00957ECE">
            <w:pPr>
              <w:spacing w:before="120" w:after="120" w:line="300" w:lineRule="atLeast"/>
              <w:jc w:val="center"/>
              <w:rPr>
                <w:sz w:val="22"/>
              </w:rPr>
            </w:pPr>
            <w:r w:rsidRPr="00957ECE">
              <w:rPr>
                <w:sz w:val="22"/>
              </w:rPr>
              <w:t>1,624</w:t>
            </w:r>
          </w:p>
        </w:tc>
      </w:tr>
      <w:tr w:rsidR="007A27D1" w:rsidRPr="00957ECE" w14:paraId="22955C25" w14:textId="77777777" w:rsidTr="009602B9">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4168CD89" w14:textId="77777777" w:rsidR="00957ECE" w:rsidRPr="00957ECE" w:rsidRDefault="00957ECE" w:rsidP="00957ECE">
            <w:pPr>
              <w:spacing w:before="120" w:after="120" w:line="300" w:lineRule="atLeast"/>
              <w:rPr>
                <w:sz w:val="22"/>
              </w:rPr>
            </w:pPr>
            <w:r w:rsidRPr="00957ECE">
              <w:rPr>
                <w:sz w:val="22"/>
              </w:rPr>
              <w:t>2024/25</w:t>
            </w:r>
          </w:p>
        </w:tc>
        <w:tc>
          <w:tcPr>
            <w:tcW w:w="1855" w:type="dxa"/>
            <w:tcBorders>
              <w:top w:val="single" w:sz="4" w:space="0" w:color="auto"/>
              <w:left w:val="single" w:sz="4" w:space="0" w:color="auto"/>
              <w:bottom w:val="single" w:sz="4" w:space="0" w:color="auto"/>
              <w:right w:val="single" w:sz="4" w:space="0" w:color="auto"/>
            </w:tcBorders>
            <w:hideMark/>
          </w:tcPr>
          <w:p w14:paraId="6CA1E638" w14:textId="77777777" w:rsidR="00957ECE" w:rsidRPr="00957ECE" w:rsidRDefault="00957ECE" w:rsidP="00957ECE">
            <w:pPr>
              <w:spacing w:before="120" w:after="120" w:line="300" w:lineRule="atLeast"/>
              <w:jc w:val="center"/>
              <w:rPr>
                <w:sz w:val="22"/>
              </w:rPr>
            </w:pPr>
            <w:r w:rsidRPr="00957ECE">
              <w:rPr>
                <w:sz w:val="22"/>
              </w:rPr>
              <w:t>2,554</w:t>
            </w:r>
          </w:p>
        </w:tc>
        <w:tc>
          <w:tcPr>
            <w:tcW w:w="1856" w:type="dxa"/>
            <w:tcBorders>
              <w:top w:val="single" w:sz="4" w:space="0" w:color="auto"/>
              <w:left w:val="single" w:sz="4" w:space="0" w:color="auto"/>
              <w:bottom w:val="single" w:sz="4" w:space="0" w:color="auto"/>
              <w:right w:val="single" w:sz="4" w:space="0" w:color="auto"/>
            </w:tcBorders>
            <w:hideMark/>
          </w:tcPr>
          <w:p w14:paraId="1A09F04D" w14:textId="77777777" w:rsidR="00957ECE" w:rsidRPr="00957ECE" w:rsidRDefault="00957ECE" w:rsidP="00957ECE">
            <w:pPr>
              <w:spacing w:before="120" w:after="120" w:line="300" w:lineRule="atLeast"/>
              <w:jc w:val="center"/>
              <w:rPr>
                <w:sz w:val="22"/>
              </w:rPr>
            </w:pPr>
            <w:r w:rsidRPr="00957ECE">
              <w:rPr>
                <w:sz w:val="22"/>
              </w:rPr>
              <w:t>4,181</w:t>
            </w:r>
          </w:p>
        </w:tc>
        <w:tc>
          <w:tcPr>
            <w:tcW w:w="1856" w:type="dxa"/>
            <w:tcBorders>
              <w:top w:val="single" w:sz="4" w:space="0" w:color="auto"/>
              <w:left w:val="single" w:sz="4" w:space="0" w:color="auto"/>
              <w:bottom w:val="single" w:sz="4" w:space="0" w:color="auto"/>
              <w:right w:val="single" w:sz="4" w:space="0" w:color="auto"/>
            </w:tcBorders>
            <w:hideMark/>
          </w:tcPr>
          <w:p w14:paraId="0A547A7D" w14:textId="77777777" w:rsidR="00957ECE" w:rsidRPr="00957ECE" w:rsidRDefault="00957ECE" w:rsidP="00957ECE">
            <w:pPr>
              <w:spacing w:before="120" w:after="120" w:line="300" w:lineRule="atLeast"/>
              <w:jc w:val="center"/>
              <w:rPr>
                <w:sz w:val="22"/>
              </w:rPr>
            </w:pPr>
            <w:r w:rsidRPr="00957ECE">
              <w:rPr>
                <w:sz w:val="22"/>
              </w:rPr>
              <w:t>2,858</w:t>
            </w:r>
          </w:p>
        </w:tc>
        <w:tc>
          <w:tcPr>
            <w:tcW w:w="1856" w:type="dxa"/>
            <w:tcBorders>
              <w:top w:val="single" w:sz="4" w:space="0" w:color="auto"/>
              <w:left w:val="single" w:sz="4" w:space="0" w:color="auto"/>
              <w:bottom w:val="single" w:sz="4" w:space="0" w:color="auto"/>
              <w:right w:val="single" w:sz="4" w:space="0" w:color="auto"/>
            </w:tcBorders>
            <w:hideMark/>
          </w:tcPr>
          <w:p w14:paraId="65EBCFF2" w14:textId="77777777" w:rsidR="00957ECE" w:rsidRPr="00957ECE" w:rsidRDefault="00957ECE" w:rsidP="00957ECE">
            <w:pPr>
              <w:spacing w:before="120" w:after="120" w:line="300" w:lineRule="atLeast"/>
              <w:jc w:val="center"/>
              <w:rPr>
                <w:sz w:val="22"/>
              </w:rPr>
            </w:pPr>
            <w:r w:rsidRPr="00957ECE">
              <w:rPr>
                <w:sz w:val="22"/>
              </w:rPr>
              <w:t>1,323</w:t>
            </w:r>
          </w:p>
        </w:tc>
      </w:tr>
      <w:tr w:rsidR="007A27D1" w:rsidRPr="00957ECE" w14:paraId="329BD2B9" w14:textId="77777777" w:rsidTr="009602B9">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56FCBA20" w14:textId="77777777" w:rsidR="00957ECE" w:rsidRPr="00957ECE" w:rsidRDefault="00957ECE" w:rsidP="00957ECE">
            <w:pPr>
              <w:spacing w:before="120" w:after="120" w:line="300" w:lineRule="atLeast"/>
              <w:rPr>
                <w:sz w:val="22"/>
              </w:rPr>
            </w:pPr>
            <w:r w:rsidRPr="00957ECE">
              <w:rPr>
                <w:sz w:val="22"/>
              </w:rPr>
              <w:t xml:space="preserve">2025/26 </w:t>
            </w:r>
          </w:p>
        </w:tc>
        <w:tc>
          <w:tcPr>
            <w:tcW w:w="1855" w:type="dxa"/>
            <w:tcBorders>
              <w:top w:val="single" w:sz="4" w:space="0" w:color="auto"/>
              <w:left w:val="single" w:sz="4" w:space="0" w:color="auto"/>
              <w:bottom w:val="single" w:sz="4" w:space="0" w:color="auto"/>
              <w:right w:val="single" w:sz="4" w:space="0" w:color="auto"/>
            </w:tcBorders>
            <w:hideMark/>
          </w:tcPr>
          <w:p w14:paraId="387D50CA" w14:textId="0593D09B" w:rsidR="00957ECE" w:rsidRPr="00957ECE" w:rsidRDefault="00957ECE" w:rsidP="00957ECE">
            <w:pPr>
              <w:spacing w:before="120" w:after="120" w:line="300" w:lineRule="atLeast"/>
              <w:jc w:val="center"/>
              <w:rPr>
                <w:sz w:val="22"/>
              </w:rPr>
            </w:pPr>
            <w:r w:rsidRPr="00957ECE">
              <w:rPr>
                <w:sz w:val="22"/>
              </w:rPr>
              <w:t>3</w:t>
            </w:r>
            <w:r w:rsidR="007D03D1">
              <w:rPr>
                <w:sz w:val="22"/>
              </w:rPr>
              <w:t>,</w:t>
            </w:r>
            <w:r w:rsidRPr="00957ECE">
              <w:rPr>
                <w:sz w:val="22"/>
              </w:rPr>
              <w:t>166</w:t>
            </w:r>
          </w:p>
        </w:tc>
        <w:tc>
          <w:tcPr>
            <w:tcW w:w="1856" w:type="dxa"/>
            <w:tcBorders>
              <w:top w:val="single" w:sz="4" w:space="0" w:color="auto"/>
              <w:left w:val="single" w:sz="4" w:space="0" w:color="auto"/>
              <w:bottom w:val="single" w:sz="4" w:space="0" w:color="auto"/>
              <w:right w:val="single" w:sz="4" w:space="0" w:color="auto"/>
            </w:tcBorders>
            <w:hideMark/>
          </w:tcPr>
          <w:p w14:paraId="3A913631" w14:textId="38719DCE" w:rsidR="00957ECE" w:rsidRPr="00957ECE" w:rsidRDefault="00957ECE" w:rsidP="00957ECE">
            <w:pPr>
              <w:spacing w:before="120" w:after="120" w:line="300" w:lineRule="atLeast"/>
              <w:jc w:val="center"/>
              <w:rPr>
                <w:sz w:val="22"/>
              </w:rPr>
            </w:pPr>
            <w:r w:rsidRPr="00957ECE">
              <w:rPr>
                <w:sz w:val="22"/>
              </w:rPr>
              <w:t>4</w:t>
            </w:r>
            <w:r w:rsidR="007D03D1">
              <w:rPr>
                <w:sz w:val="22"/>
              </w:rPr>
              <w:t>,</w:t>
            </w:r>
            <w:r w:rsidRPr="00957ECE">
              <w:rPr>
                <w:sz w:val="22"/>
              </w:rPr>
              <w:t>487</w:t>
            </w:r>
          </w:p>
        </w:tc>
        <w:tc>
          <w:tcPr>
            <w:tcW w:w="1856" w:type="dxa"/>
            <w:tcBorders>
              <w:top w:val="single" w:sz="4" w:space="0" w:color="auto"/>
              <w:left w:val="single" w:sz="4" w:space="0" w:color="auto"/>
              <w:bottom w:val="single" w:sz="4" w:space="0" w:color="auto"/>
              <w:right w:val="single" w:sz="4" w:space="0" w:color="auto"/>
            </w:tcBorders>
            <w:hideMark/>
          </w:tcPr>
          <w:p w14:paraId="6FD8C359" w14:textId="335E5C56" w:rsidR="00957ECE" w:rsidRPr="00957ECE" w:rsidRDefault="00957ECE" w:rsidP="00957ECE">
            <w:pPr>
              <w:spacing w:before="120" w:after="120" w:line="300" w:lineRule="atLeast"/>
              <w:jc w:val="center"/>
              <w:rPr>
                <w:sz w:val="22"/>
              </w:rPr>
            </w:pPr>
            <w:r w:rsidRPr="00957ECE">
              <w:rPr>
                <w:sz w:val="22"/>
              </w:rPr>
              <w:t>3</w:t>
            </w:r>
            <w:r w:rsidR="007D03D1">
              <w:rPr>
                <w:sz w:val="22"/>
              </w:rPr>
              <w:t>,</w:t>
            </w:r>
            <w:r w:rsidRPr="00957ECE">
              <w:rPr>
                <w:sz w:val="22"/>
              </w:rPr>
              <w:t>671</w:t>
            </w:r>
          </w:p>
        </w:tc>
        <w:tc>
          <w:tcPr>
            <w:tcW w:w="1856" w:type="dxa"/>
            <w:tcBorders>
              <w:top w:val="single" w:sz="4" w:space="0" w:color="auto"/>
              <w:left w:val="single" w:sz="4" w:space="0" w:color="auto"/>
              <w:bottom w:val="single" w:sz="4" w:space="0" w:color="auto"/>
              <w:right w:val="single" w:sz="4" w:space="0" w:color="auto"/>
            </w:tcBorders>
            <w:hideMark/>
          </w:tcPr>
          <w:p w14:paraId="69CB2D75" w14:textId="77777777" w:rsidR="00957ECE" w:rsidRPr="00957ECE" w:rsidRDefault="00957ECE" w:rsidP="00957ECE">
            <w:pPr>
              <w:spacing w:before="120" w:after="120" w:line="300" w:lineRule="atLeast"/>
              <w:jc w:val="center"/>
              <w:rPr>
                <w:sz w:val="22"/>
              </w:rPr>
            </w:pPr>
            <w:r w:rsidRPr="00957ECE">
              <w:rPr>
                <w:sz w:val="22"/>
              </w:rPr>
              <w:t>816</w:t>
            </w:r>
          </w:p>
        </w:tc>
      </w:tr>
    </w:tbl>
    <w:p w14:paraId="22D73777" w14:textId="77777777" w:rsidR="0007735F" w:rsidRDefault="0007735F" w:rsidP="0007735F">
      <w:pPr>
        <w:pStyle w:val="Whitespace"/>
      </w:pPr>
    </w:p>
    <w:p w14:paraId="44825DE6" w14:textId="77777777" w:rsidR="00266B40" w:rsidRDefault="00266B40" w:rsidP="00266B40">
      <w:pPr>
        <w:pStyle w:val="Heading3"/>
        <w:spacing w:before="240"/>
      </w:pPr>
      <w:bookmarkStart w:id="109" w:name="_Figure_4:_Average"/>
      <w:bookmarkEnd w:id="109"/>
      <w:r w:rsidRPr="00266B40">
        <w:t xml:space="preserve">Figure 4: Average days to close for OI delay requests </w:t>
      </w:r>
    </w:p>
    <w:tbl>
      <w:tblPr>
        <w:tblStyle w:val="TableGridAnnualReport"/>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Caption w:val="Table for formatting purposes"/>
      </w:tblPr>
      <w:tblGrid>
        <w:gridCol w:w="4648"/>
        <w:gridCol w:w="4649"/>
      </w:tblGrid>
      <w:tr w:rsidR="004B452C" w14:paraId="0F0F25FC" w14:textId="77777777" w:rsidTr="00B11906">
        <w:trPr>
          <w:cnfStyle w:val="100000000000" w:firstRow="1" w:lastRow="0" w:firstColumn="0" w:lastColumn="0" w:oddVBand="0" w:evenVBand="0" w:oddHBand="0" w:evenHBand="0"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17E5D"/>
          </w:tcPr>
          <w:p w14:paraId="58CE0B77" w14:textId="7CCF3D0F" w:rsidR="004B452C" w:rsidRDefault="00534FB1" w:rsidP="004B452C">
            <w:pPr>
              <w:pStyle w:val="Tableheadingrow1"/>
            </w:pPr>
            <w:r>
              <w:t>Month</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17E5D"/>
          </w:tcPr>
          <w:p w14:paraId="739AA740" w14:textId="0739AE65" w:rsidR="004B452C" w:rsidRDefault="00534FB1" w:rsidP="004B452C">
            <w:pPr>
              <w:pStyle w:val="Tableheadingrow1"/>
            </w:pPr>
            <w:r>
              <w:t xml:space="preserve">Average Days </w:t>
            </w:r>
          </w:p>
        </w:tc>
      </w:tr>
      <w:tr w:rsidR="004B452C" w14:paraId="4BFF84B4"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330DF08" w14:textId="55AFD3B1" w:rsidR="004B452C" w:rsidRDefault="00534FB1" w:rsidP="004B452C">
            <w:pPr>
              <w:pStyle w:val="Tablebodytext"/>
            </w:pPr>
            <w:r>
              <w:t>July 2025</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4E90F60" w14:textId="1CFABA10" w:rsidR="004B452C" w:rsidRDefault="00534FB1" w:rsidP="00534FB1">
            <w:pPr>
              <w:pStyle w:val="Tablebodytext"/>
              <w:jc w:val="center"/>
            </w:pPr>
            <w:r>
              <w:t>74</w:t>
            </w:r>
          </w:p>
        </w:tc>
      </w:tr>
      <w:tr w:rsidR="004B452C" w14:paraId="162BCDCA"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492DB63" w14:textId="5615E061" w:rsidR="004B452C" w:rsidRDefault="00534FB1" w:rsidP="004B452C">
            <w:pPr>
              <w:pStyle w:val="Tablebodytext"/>
            </w:pPr>
            <w:r>
              <w:t>August 2025</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0F73151" w14:textId="535D7AAD" w:rsidR="004B452C" w:rsidRDefault="00534FB1" w:rsidP="00534FB1">
            <w:pPr>
              <w:pStyle w:val="Tablebodytext"/>
              <w:jc w:val="center"/>
            </w:pPr>
            <w:r>
              <w:t>68</w:t>
            </w:r>
          </w:p>
        </w:tc>
      </w:tr>
      <w:tr w:rsidR="004B452C" w14:paraId="7C1C0874"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9827E4C" w14:textId="552D4764" w:rsidR="004B452C" w:rsidRDefault="00534FB1" w:rsidP="004B452C">
            <w:pPr>
              <w:pStyle w:val="Tablebodytext"/>
            </w:pPr>
            <w:r>
              <w:t>September 2025</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340121" w14:textId="3B311A68" w:rsidR="004B452C" w:rsidRDefault="00534FB1" w:rsidP="00534FB1">
            <w:pPr>
              <w:pStyle w:val="Tablebodytext"/>
              <w:jc w:val="center"/>
            </w:pPr>
            <w:r>
              <w:t>76</w:t>
            </w:r>
          </w:p>
        </w:tc>
      </w:tr>
      <w:tr w:rsidR="004B452C" w14:paraId="489A0FE3"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A7D568E" w14:textId="4B427242" w:rsidR="004B452C" w:rsidRDefault="00534FB1" w:rsidP="004B452C">
            <w:pPr>
              <w:pStyle w:val="Tablebodytext"/>
            </w:pPr>
            <w:r>
              <w:t>October 2025</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6E6EB7" w14:textId="4B6D910C" w:rsidR="004B452C" w:rsidRDefault="00534FB1" w:rsidP="00534FB1">
            <w:pPr>
              <w:pStyle w:val="Tablebodytext"/>
              <w:jc w:val="center"/>
            </w:pPr>
            <w:r>
              <w:t>49</w:t>
            </w:r>
          </w:p>
        </w:tc>
      </w:tr>
      <w:tr w:rsidR="004B452C" w14:paraId="2C20B0F6"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9605426" w14:textId="70308384" w:rsidR="004B452C" w:rsidRDefault="00534FB1" w:rsidP="004B452C">
            <w:pPr>
              <w:pStyle w:val="Tablebodytext"/>
            </w:pPr>
            <w:r>
              <w:t>November 2025</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F892A17" w14:textId="68D974CA" w:rsidR="004B452C" w:rsidRDefault="00534FB1" w:rsidP="00534FB1">
            <w:pPr>
              <w:pStyle w:val="Tablebodytext"/>
              <w:jc w:val="center"/>
            </w:pPr>
            <w:r>
              <w:t>66</w:t>
            </w:r>
          </w:p>
        </w:tc>
      </w:tr>
      <w:tr w:rsidR="004B452C" w14:paraId="276E70BD"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D31A9D3" w14:textId="778C1C7C" w:rsidR="004B452C" w:rsidRDefault="00534FB1" w:rsidP="004B452C">
            <w:pPr>
              <w:pStyle w:val="Tablebodytext"/>
            </w:pPr>
            <w:r>
              <w:t>December 2025</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54D0965" w14:textId="4F8210C7" w:rsidR="004B452C" w:rsidRDefault="00534FB1" w:rsidP="00534FB1">
            <w:pPr>
              <w:pStyle w:val="Tablebodytext"/>
              <w:jc w:val="center"/>
            </w:pPr>
            <w:r>
              <w:t>62</w:t>
            </w:r>
          </w:p>
        </w:tc>
      </w:tr>
      <w:tr w:rsidR="004B452C" w14:paraId="2DB28CE4"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E7BEAD" w14:textId="05356346" w:rsidR="004B452C" w:rsidRDefault="00534FB1" w:rsidP="004B452C">
            <w:pPr>
              <w:pStyle w:val="Tablebodytext"/>
            </w:pPr>
            <w:r>
              <w:t>January 2026</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F8ADFA5" w14:textId="30204C03" w:rsidR="004B452C" w:rsidRDefault="00534FB1" w:rsidP="00534FB1">
            <w:pPr>
              <w:pStyle w:val="Tablebodytext"/>
              <w:jc w:val="center"/>
            </w:pPr>
            <w:r>
              <w:t>47</w:t>
            </w:r>
          </w:p>
        </w:tc>
      </w:tr>
      <w:tr w:rsidR="004B452C" w14:paraId="33F512BE"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5D3D966" w14:textId="1AF8BE4D" w:rsidR="004B452C" w:rsidRDefault="00534FB1" w:rsidP="004B452C">
            <w:pPr>
              <w:pStyle w:val="Tablebodytext"/>
            </w:pPr>
            <w:r>
              <w:t>February 2026</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B47FE57" w14:textId="3974F5CB" w:rsidR="004B452C" w:rsidRDefault="00534FB1" w:rsidP="00534FB1">
            <w:pPr>
              <w:pStyle w:val="Tablebodytext"/>
              <w:jc w:val="center"/>
            </w:pPr>
            <w:r>
              <w:t>29</w:t>
            </w:r>
          </w:p>
        </w:tc>
      </w:tr>
      <w:tr w:rsidR="004B452C" w14:paraId="7BFB2D63"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BDCD345" w14:textId="7051A866" w:rsidR="004B452C" w:rsidRDefault="00534FB1" w:rsidP="004B452C">
            <w:pPr>
              <w:pStyle w:val="Tablebodytext"/>
            </w:pPr>
            <w:r>
              <w:t>March 2026</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1A1EC83" w14:textId="282D6A63" w:rsidR="004B452C" w:rsidRDefault="00534FB1" w:rsidP="00534FB1">
            <w:pPr>
              <w:pStyle w:val="Tablebodytext"/>
              <w:jc w:val="center"/>
            </w:pPr>
            <w:r>
              <w:t>30</w:t>
            </w:r>
          </w:p>
        </w:tc>
      </w:tr>
      <w:tr w:rsidR="004B452C" w14:paraId="231B45A8"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0919F6" w14:textId="29C46198" w:rsidR="00534FB1" w:rsidRDefault="00534FB1" w:rsidP="004B452C">
            <w:pPr>
              <w:pStyle w:val="Tablebodytext"/>
            </w:pPr>
            <w:r>
              <w:t>April 2026</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35DAE4" w14:textId="38720545" w:rsidR="004B452C" w:rsidRDefault="00534FB1" w:rsidP="00534FB1">
            <w:pPr>
              <w:pStyle w:val="Tablebodytext"/>
              <w:jc w:val="center"/>
            </w:pPr>
            <w:r>
              <w:t>42</w:t>
            </w:r>
          </w:p>
        </w:tc>
      </w:tr>
      <w:tr w:rsidR="004B452C" w14:paraId="5D40F762"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4BF600" w14:textId="2EF453B8" w:rsidR="004B452C" w:rsidRDefault="00534FB1" w:rsidP="004B452C">
            <w:pPr>
              <w:pStyle w:val="Tablebodytext"/>
            </w:pPr>
            <w:r>
              <w:t>May 2026</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5295224" w14:textId="1AB71834" w:rsidR="004B452C" w:rsidRDefault="00534FB1" w:rsidP="00534FB1">
            <w:pPr>
              <w:pStyle w:val="Tablebodytext"/>
              <w:jc w:val="center"/>
            </w:pPr>
            <w:r>
              <w:t>29</w:t>
            </w:r>
          </w:p>
        </w:tc>
      </w:tr>
      <w:tr w:rsidR="00534FB1" w14:paraId="30EE174F"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464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32F47BC" w14:textId="5BBB90D5" w:rsidR="00534FB1" w:rsidRDefault="00534FB1" w:rsidP="004B452C">
            <w:pPr>
              <w:pStyle w:val="Tablebodytext"/>
            </w:pPr>
            <w:r>
              <w:t xml:space="preserve">June 2026 </w:t>
            </w:r>
          </w:p>
        </w:tc>
        <w:tc>
          <w:tcPr>
            <w:tcW w:w="4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7DFD4A9" w14:textId="0A4D4ABD" w:rsidR="00534FB1" w:rsidRDefault="00534FB1" w:rsidP="00534FB1">
            <w:pPr>
              <w:pStyle w:val="Tablebodytext"/>
              <w:jc w:val="center"/>
            </w:pPr>
            <w:r>
              <w:t>27</w:t>
            </w:r>
          </w:p>
        </w:tc>
      </w:tr>
    </w:tbl>
    <w:p w14:paraId="77836110" w14:textId="77777777" w:rsidR="004B452C" w:rsidRPr="004B452C" w:rsidRDefault="004B452C" w:rsidP="004B452C">
      <w:pPr>
        <w:pStyle w:val="BodyText"/>
      </w:pPr>
    </w:p>
    <w:p w14:paraId="695D1029" w14:textId="77777777" w:rsidR="00266B40" w:rsidRDefault="00266B40" w:rsidP="00266B40">
      <w:pPr>
        <w:pStyle w:val="Heading3"/>
        <w:spacing w:before="240"/>
      </w:pPr>
      <w:bookmarkStart w:id="110" w:name="_Figure_5:_Ombudsmen"/>
      <w:bookmarkEnd w:id="110"/>
      <w:r w:rsidRPr="00266B40">
        <w:t xml:space="preserve">Figure 5: Ombudsmen Act complaints received and completed over 10 years. </w:t>
      </w:r>
    </w:p>
    <w:tbl>
      <w:tblPr>
        <w:tblStyle w:val="TableGridAnnualReport"/>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860"/>
        <w:gridCol w:w="1860"/>
        <w:gridCol w:w="1860"/>
        <w:gridCol w:w="1860"/>
        <w:gridCol w:w="1860"/>
      </w:tblGrid>
      <w:tr w:rsidR="006977CD" w14:paraId="66D4BABC" w14:textId="77777777" w:rsidTr="008141B0">
        <w:trPr>
          <w:cnfStyle w:val="100000000000" w:firstRow="1" w:lastRow="0" w:firstColumn="0" w:lastColumn="0" w:oddVBand="0" w:evenVBand="0" w:oddHBand="0" w:evenHBand="0" w:firstRowFirstColumn="0" w:firstRowLastColumn="0" w:lastRowFirstColumn="0" w:lastRowLastColumn="0"/>
          <w:cantSplit/>
        </w:trPr>
        <w:tc>
          <w:tcPr>
            <w:tcW w:w="1855"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tcPr>
          <w:p w14:paraId="769AC984" w14:textId="77777777" w:rsidR="006977CD" w:rsidRDefault="006977CD">
            <w:pPr>
              <w:spacing w:line="240" w:lineRule="auto"/>
              <w:rPr>
                <w:rFonts w:cs="Calibri"/>
                <w:color w:val="000000"/>
                <w:szCs w:val="24"/>
              </w:rPr>
            </w:pPr>
          </w:p>
        </w:tc>
        <w:tc>
          <w:tcPr>
            <w:tcW w:w="1855"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hideMark/>
          </w:tcPr>
          <w:p w14:paraId="2B31BA5A" w14:textId="77777777" w:rsidR="006977CD" w:rsidRDefault="006977CD">
            <w:pPr>
              <w:pStyle w:val="Tableheadingrow1"/>
              <w:rPr>
                <w:szCs w:val="24"/>
              </w:rPr>
            </w:pPr>
            <w:r>
              <w:rPr>
                <w:rFonts w:cs="Calibri"/>
                <w:szCs w:val="24"/>
              </w:rPr>
              <w:t>Received</w:t>
            </w:r>
          </w:p>
        </w:tc>
        <w:tc>
          <w:tcPr>
            <w:tcW w:w="1856"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hideMark/>
          </w:tcPr>
          <w:p w14:paraId="2DC6C9AA" w14:textId="77777777" w:rsidR="006977CD" w:rsidRDefault="006977CD">
            <w:pPr>
              <w:pStyle w:val="Tableheadingrow1"/>
              <w:rPr>
                <w:szCs w:val="24"/>
              </w:rPr>
            </w:pPr>
            <w:r>
              <w:rPr>
                <w:szCs w:val="24"/>
              </w:rPr>
              <w:t>Under Action in the Year</w:t>
            </w:r>
          </w:p>
        </w:tc>
        <w:tc>
          <w:tcPr>
            <w:tcW w:w="1856"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hideMark/>
          </w:tcPr>
          <w:p w14:paraId="3E3356B9" w14:textId="77777777" w:rsidR="006977CD" w:rsidRDefault="006977CD">
            <w:pPr>
              <w:pStyle w:val="Tableheadingrow1"/>
              <w:rPr>
                <w:szCs w:val="24"/>
              </w:rPr>
            </w:pPr>
            <w:r>
              <w:rPr>
                <w:szCs w:val="24"/>
              </w:rPr>
              <w:t>Completed</w:t>
            </w:r>
          </w:p>
        </w:tc>
        <w:tc>
          <w:tcPr>
            <w:tcW w:w="1856" w:type="dxa"/>
            <w:tcBorders>
              <w:top w:val="none" w:sz="0" w:space="0" w:color="auto"/>
              <w:left w:val="none" w:sz="0" w:space="0" w:color="auto"/>
              <w:bottom w:val="single" w:sz="4" w:space="0" w:color="auto"/>
              <w:right w:val="none" w:sz="0" w:space="0" w:color="auto"/>
              <w:tl2br w:val="none" w:sz="0" w:space="0" w:color="auto"/>
              <w:tr2bl w:val="none" w:sz="0" w:space="0" w:color="auto"/>
            </w:tcBorders>
            <w:shd w:val="clear" w:color="auto" w:fill="017E5D"/>
            <w:hideMark/>
          </w:tcPr>
          <w:p w14:paraId="5292DA7C" w14:textId="77777777" w:rsidR="006977CD" w:rsidRDefault="006977CD">
            <w:pPr>
              <w:pStyle w:val="Tableheadingrow1"/>
              <w:rPr>
                <w:szCs w:val="24"/>
              </w:rPr>
            </w:pPr>
            <w:r>
              <w:rPr>
                <w:szCs w:val="24"/>
              </w:rPr>
              <w:t>On Hand at Year End</w:t>
            </w:r>
          </w:p>
        </w:tc>
      </w:tr>
      <w:tr w:rsidR="007A27D1" w14:paraId="523523B3" w14:textId="77777777" w:rsidTr="008141B0">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0A0CA986" w14:textId="77777777" w:rsidR="006977CD" w:rsidRDefault="006977CD">
            <w:pPr>
              <w:pStyle w:val="Tablebodytext"/>
            </w:pPr>
            <w:r>
              <w:t>2016/17</w:t>
            </w:r>
          </w:p>
        </w:tc>
        <w:tc>
          <w:tcPr>
            <w:tcW w:w="1855" w:type="dxa"/>
            <w:tcBorders>
              <w:top w:val="single" w:sz="4" w:space="0" w:color="auto"/>
              <w:left w:val="single" w:sz="4" w:space="0" w:color="auto"/>
              <w:bottom w:val="single" w:sz="4" w:space="0" w:color="auto"/>
              <w:right w:val="single" w:sz="4" w:space="0" w:color="auto"/>
            </w:tcBorders>
            <w:hideMark/>
          </w:tcPr>
          <w:p w14:paraId="22D02A63" w14:textId="77777777" w:rsidR="006977CD" w:rsidRDefault="006977CD" w:rsidP="008141B0">
            <w:pPr>
              <w:pStyle w:val="Tablebodytext"/>
              <w:rPr>
                <w:rFonts w:cs="Calibri"/>
                <w:color w:val="000000"/>
              </w:rPr>
            </w:pPr>
            <w:r>
              <w:t>2,191</w:t>
            </w:r>
          </w:p>
        </w:tc>
        <w:tc>
          <w:tcPr>
            <w:tcW w:w="1856" w:type="dxa"/>
            <w:tcBorders>
              <w:top w:val="single" w:sz="4" w:space="0" w:color="auto"/>
              <w:left w:val="single" w:sz="4" w:space="0" w:color="auto"/>
              <w:bottom w:val="single" w:sz="4" w:space="0" w:color="auto"/>
              <w:right w:val="single" w:sz="4" w:space="0" w:color="auto"/>
            </w:tcBorders>
            <w:hideMark/>
          </w:tcPr>
          <w:p w14:paraId="26F6CDFD" w14:textId="77777777" w:rsidR="006977CD" w:rsidRDefault="006977CD">
            <w:pPr>
              <w:pStyle w:val="Tablebodytext"/>
            </w:pPr>
            <w:r>
              <w:t>2,733</w:t>
            </w:r>
          </w:p>
        </w:tc>
        <w:tc>
          <w:tcPr>
            <w:tcW w:w="1856" w:type="dxa"/>
            <w:tcBorders>
              <w:top w:val="single" w:sz="4" w:space="0" w:color="auto"/>
              <w:left w:val="single" w:sz="4" w:space="0" w:color="auto"/>
              <w:bottom w:val="single" w:sz="4" w:space="0" w:color="auto"/>
              <w:right w:val="single" w:sz="4" w:space="0" w:color="auto"/>
            </w:tcBorders>
            <w:hideMark/>
          </w:tcPr>
          <w:p w14:paraId="65493B53" w14:textId="77777777" w:rsidR="006977CD" w:rsidRDefault="006977CD">
            <w:pPr>
              <w:pStyle w:val="Tablebodytext"/>
            </w:pPr>
            <w:r>
              <w:t>2,285</w:t>
            </w:r>
          </w:p>
        </w:tc>
        <w:tc>
          <w:tcPr>
            <w:tcW w:w="1856" w:type="dxa"/>
            <w:tcBorders>
              <w:top w:val="single" w:sz="4" w:space="0" w:color="auto"/>
              <w:left w:val="single" w:sz="4" w:space="0" w:color="auto"/>
              <w:bottom w:val="single" w:sz="4" w:space="0" w:color="auto"/>
              <w:right w:val="single" w:sz="4" w:space="0" w:color="auto"/>
            </w:tcBorders>
            <w:hideMark/>
          </w:tcPr>
          <w:p w14:paraId="4575C5E1" w14:textId="77777777" w:rsidR="006977CD" w:rsidRDefault="006977CD">
            <w:pPr>
              <w:pStyle w:val="Tablebodytext"/>
            </w:pPr>
            <w:r>
              <w:t>430</w:t>
            </w:r>
          </w:p>
        </w:tc>
      </w:tr>
      <w:tr w:rsidR="007A27D1" w14:paraId="7C36EB16" w14:textId="77777777" w:rsidTr="008141B0">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5BA7777F" w14:textId="77777777" w:rsidR="006977CD" w:rsidRDefault="006977CD">
            <w:pPr>
              <w:pStyle w:val="Tablebodytext"/>
            </w:pPr>
            <w:r>
              <w:t>2017/18</w:t>
            </w:r>
          </w:p>
        </w:tc>
        <w:tc>
          <w:tcPr>
            <w:tcW w:w="1855" w:type="dxa"/>
            <w:tcBorders>
              <w:top w:val="single" w:sz="4" w:space="0" w:color="auto"/>
              <w:left w:val="single" w:sz="4" w:space="0" w:color="auto"/>
              <w:bottom w:val="single" w:sz="4" w:space="0" w:color="auto"/>
              <w:right w:val="single" w:sz="4" w:space="0" w:color="auto"/>
            </w:tcBorders>
            <w:hideMark/>
          </w:tcPr>
          <w:p w14:paraId="42A02B70" w14:textId="77777777" w:rsidR="006977CD" w:rsidRDefault="006977CD">
            <w:pPr>
              <w:pStyle w:val="Tablebodytext"/>
            </w:pPr>
            <w:r>
              <w:t>2,263</w:t>
            </w:r>
          </w:p>
        </w:tc>
        <w:tc>
          <w:tcPr>
            <w:tcW w:w="1856" w:type="dxa"/>
            <w:tcBorders>
              <w:top w:val="single" w:sz="4" w:space="0" w:color="auto"/>
              <w:left w:val="single" w:sz="4" w:space="0" w:color="auto"/>
              <w:bottom w:val="single" w:sz="4" w:space="0" w:color="auto"/>
              <w:right w:val="single" w:sz="4" w:space="0" w:color="auto"/>
            </w:tcBorders>
            <w:hideMark/>
          </w:tcPr>
          <w:p w14:paraId="15AF3B89" w14:textId="77777777" w:rsidR="006977CD" w:rsidRDefault="006977CD">
            <w:pPr>
              <w:pStyle w:val="Tablebodytext"/>
            </w:pPr>
            <w:r>
              <w:t>2,693</w:t>
            </w:r>
          </w:p>
        </w:tc>
        <w:tc>
          <w:tcPr>
            <w:tcW w:w="1856" w:type="dxa"/>
            <w:tcBorders>
              <w:top w:val="single" w:sz="4" w:space="0" w:color="auto"/>
              <w:left w:val="single" w:sz="4" w:space="0" w:color="auto"/>
              <w:bottom w:val="single" w:sz="4" w:space="0" w:color="auto"/>
              <w:right w:val="single" w:sz="4" w:space="0" w:color="auto"/>
            </w:tcBorders>
            <w:hideMark/>
          </w:tcPr>
          <w:p w14:paraId="7E8BB40F" w14:textId="77777777" w:rsidR="006977CD" w:rsidRDefault="006977CD">
            <w:pPr>
              <w:pStyle w:val="Tablebodytext"/>
            </w:pPr>
            <w:r>
              <w:t>2,398</w:t>
            </w:r>
          </w:p>
        </w:tc>
        <w:tc>
          <w:tcPr>
            <w:tcW w:w="1856" w:type="dxa"/>
            <w:tcBorders>
              <w:top w:val="single" w:sz="4" w:space="0" w:color="auto"/>
              <w:left w:val="single" w:sz="4" w:space="0" w:color="auto"/>
              <w:bottom w:val="single" w:sz="4" w:space="0" w:color="auto"/>
              <w:right w:val="single" w:sz="4" w:space="0" w:color="auto"/>
            </w:tcBorders>
            <w:hideMark/>
          </w:tcPr>
          <w:p w14:paraId="5087939E" w14:textId="77777777" w:rsidR="006977CD" w:rsidRDefault="006977CD">
            <w:pPr>
              <w:pStyle w:val="Tablebodytext"/>
            </w:pPr>
            <w:r>
              <w:t>296</w:t>
            </w:r>
          </w:p>
        </w:tc>
      </w:tr>
      <w:tr w:rsidR="007A27D1" w14:paraId="1F0B55B8" w14:textId="77777777" w:rsidTr="008141B0">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61E5B143" w14:textId="77777777" w:rsidR="006977CD" w:rsidRDefault="006977CD">
            <w:pPr>
              <w:pStyle w:val="Tablebodytext"/>
            </w:pPr>
            <w:r>
              <w:t>2018/19</w:t>
            </w:r>
          </w:p>
        </w:tc>
        <w:tc>
          <w:tcPr>
            <w:tcW w:w="1855" w:type="dxa"/>
            <w:tcBorders>
              <w:top w:val="single" w:sz="4" w:space="0" w:color="auto"/>
              <w:left w:val="single" w:sz="4" w:space="0" w:color="auto"/>
              <w:bottom w:val="single" w:sz="4" w:space="0" w:color="auto"/>
              <w:right w:val="single" w:sz="4" w:space="0" w:color="auto"/>
            </w:tcBorders>
            <w:hideMark/>
          </w:tcPr>
          <w:p w14:paraId="43CE445C" w14:textId="77777777" w:rsidR="006977CD" w:rsidRDefault="006977CD">
            <w:pPr>
              <w:pStyle w:val="Tablebodytext"/>
            </w:pPr>
            <w:r>
              <w:t>2,413</w:t>
            </w:r>
          </w:p>
        </w:tc>
        <w:tc>
          <w:tcPr>
            <w:tcW w:w="1856" w:type="dxa"/>
            <w:tcBorders>
              <w:top w:val="single" w:sz="4" w:space="0" w:color="auto"/>
              <w:left w:val="single" w:sz="4" w:space="0" w:color="auto"/>
              <w:bottom w:val="single" w:sz="4" w:space="0" w:color="auto"/>
              <w:right w:val="single" w:sz="4" w:space="0" w:color="auto"/>
            </w:tcBorders>
            <w:hideMark/>
          </w:tcPr>
          <w:p w14:paraId="5B216246" w14:textId="77777777" w:rsidR="006977CD" w:rsidRDefault="006977CD">
            <w:pPr>
              <w:pStyle w:val="Tablebodytext"/>
            </w:pPr>
            <w:r>
              <w:t>2,709</w:t>
            </w:r>
          </w:p>
        </w:tc>
        <w:tc>
          <w:tcPr>
            <w:tcW w:w="1856" w:type="dxa"/>
            <w:tcBorders>
              <w:top w:val="single" w:sz="4" w:space="0" w:color="auto"/>
              <w:left w:val="single" w:sz="4" w:space="0" w:color="auto"/>
              <w:bottom w:val="single" w:sz="4" w:space="0" w:color="auto"/>
              <w:right w:val="single" w:sz="4" w:space="0" w:color="auto"/>
            </w:tcBorders>
            <w:hideMark/>
          </w:tcPr>
          <w:p w14:paraId="2AC40401" w14:textId="77777777" w:rsidR="006977CD" w:rsidRDefault="006977CD">
            <w:pPr>
              <w:pStyle w:val="Tablebodytext"/>
            </w:pPr>
            <w:r>
              <w:t>2,355</w:t>
            </w:r>
          </w:p>
        </w:tc>
        <w:tc>
          <w:tcPr>
            <w:tcW w:w="1856" w:type="dxa"/>
            <w:tcBorders>
              <w:top w:val="single" w:sz="4" w:space="0" w:color="auto"/>
              <w:left w:val="single" w:sz="4" w:space="0" w:color="auto"/>
              <w:bottom w:val="single" w:sz="4" w:space="0" w:color="auto"/>
              <w:right w:val="single" w:sz="4" w:space="0" w:color="auto"/>
            </w:tcBorders>
            <w:hideMark/>
          </w:tcPr>
          <w:p w14:paraId="3CDA5568" w14:textId="77777777" w:rsidR="006977CD" w:rsidRDefault="006977CD">
            <w:pPr>
              <w:pStyle w:val="Tablebodytext"/>
            </w:pPr>
            <w:r>
              <w:t>354</w:t>
            </w:r>
          </w:p>
        </w:tc>
      </w:tr>
      <w:tr w:rsidR="007A27D1" w14:paraId="2D8D2247" w14:textId="77777777" w:rsidTr="008141B0">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10E42CA5" w14:textId="77777777" w:rsidR="006977CD" w:rsidRDefault="006977CD">
            <w:pPr>
              <w:pStyle w:val="Tablebodytext"/>
            </w:pPr>
            <w:r>
              <w:t>2019/20</w:t>
            </w:r>
          </w:p>
        </w:tc>
        <w:tc>
          <w:tcPr>
            <w:tcW w:w="1855" w:type="dxa"/>
            <w:tcBorders>
              <w:top w:val="single" w:sz="4" w:space="0" w:color="auto"/>
              <w:left w:val="single" w:sz="4" w:space="0" w:color="auto"/>
              <w:bottom w:val="single" w:sz="4" w:space="0" w:color="auto"/>
              <w:right w:val="single" w:sz="4" w:space="0" w:color="auto"/>
            </w:tcBorders>
            <w:hideMark/>
          </w:tcPr>
          <w:p w14:paraId="1C915D48" w14:textId="77777777" w:rsidR="006977CD" w:rsidRDefault="006977CD">
            <w:pPr>
              <w:pStyle w:val="Tablebodytext"/>
            </w:pPr>
            <w:r>
              <w:t>2,811</w:t>
            </w:r>
          </w:p>
        </w:tc>
        <w:tc>
          <w:tcPr>
            <w:tcW w:w="1856" w:type="dxa"/>
            <w:tcBorders>
              <w:top w:val="single" w:sz="4" w:space="0" w:color="auto"/>
              <w:left w:val="single" w:sz="4" w:space="0" w:color="auto"/>
              <w:bottom w:val="single" w:sz="4" w:space="0" w:color="auto"/>
              <w:right w:val="single" w:sz="4" w:space="0" w:color="auto"/>
            </w:tcBorders>
            <w:hideMark/>
          </w:tcPr>
          <w:p w14:paraId="0FB4547F" w14:textId="77777777" w:rsidR="006977CD" w:rsidRDefault="006977CD">
            <w:pPr>
              <w:pStyle w:val="Tablebodytext"/>
            </w:pPr>
            <w:r>
              <w:t>3,165</w:t>
            </w:r>
          </w:p>
        </w:tc>
        <w:tc>
          <w:tcPr>
            <w:tcW w:w="1856" w:type="dxa"/>
            <w:tcBorders>
              <w:top w:val="single" w:sz="4" w:space="0" w:color="auto"/>
              <w:left w:val="single" w:sz="4" w:space="0" w:color="auto"/>
              <w:bottom w:val="single" w:sz="4" w:space="0" w:color="auto"/>
              <w:right w:val="single" w:sz="4" w:space="0" w:color="auto"/>
            </w:tcBorders>
            <w:hideMark/>
          </w:tcPr>
          <w:p w14:paraId="141A4E9A" w14:textId="77777777" w:rsidR="006977CD" w:rsidRDefault="006977CD">
            <w:pPr>
              <w:pStyle w:val="Tablebodytext"/>
            </w:pPr>
            <w:r>
              <w:t>2,665</w:t>
            </w:r>
          </w:p>
        </w:tc>
        <w:tc>
          <w:tcPr>
            <w:tcW w:w="1856" w:type="dxa"/>
            <w:tcBorders>
              <w:top w:val="single" w:sz="4" w:space="0" w:color="auto"/>
              <w:left w:val="single" w:sz="4" w:space="0" w:color="auto"/>
              <w:bottom w:val="single" w:sz="4" w:space="0" w:color="auto"/>
              <w:right w:val="single" w:sz="4" w:space="0" w:color="auto"/>
            </w:tcBorders>
            <w:hideMark/>
          </w:tcPr>
          <w:p w14:paraId="504621D7" w14:textId="77777777" w:rsidR="006977CD" w:rsidRDefault="006977CD">
            <w:pPr>
              <w:pStyle w:val="Tablebodytext"/>
            </w:pPr>
            <w:r>
              <w:t>500</w:t>
            </w:r>
          </w:p>
        </w:tc>
      </w:tr>
      <w:tr w:rsidR="007A27D1" w14:paraId="6161C5BA" w14:textId="77777777" w:rsidTr="008141B0">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1A68CA39" w14:textId="77777777" w:rsidR="006977CD" w:rsidRDefault="006977CD">
            <w:pPr>
              <w:pStyle w:val="Tablebodytext"/>
            </w:pPr>
            <w:r>
              <w:t>2020/21</w:t>
            </w:r>
          </w:p>
        </w:tc>
        <w:tc>
          <w:tcPr>
            <w:tcW w:w="1855" w:type="dxa"/>
            <w:tcBorders>
              <w:top w:val="single" w:sz="4" w:space="0" w:color="auto"/>
              <w:left w:val="single" w:sz="4" w:space="0" w:color="auto"/>
              <w:bottom w:val="single" w:sz="4" w:space="0" w:color="auto"/>
              <w:right w:val="single" w:sz="4" w:space="0" w:color="auto"/>
            </w:tcBorders>
            <w:hideMark/>
          </w:tcPr>
          <w:p w14:paraId="4122AAAC" w14:textId="77777777" w:rsidR="006977CD" w:rsidRDefault="006977CD">
            <w:pPr>
              <w:pStyle w:val="Tablebodytext"/>
            </w:pPr>
            <w:r>
              <w:t>3,862</w:t>
            </w:r>
          </w:p>
        </w:tc>
        <w:tc>
          <w:tcPr>
            <w:tcW w:w="1856" w:type="dxa"/>
            <w:tcBorders>
              <w:top w:val="single" w:sz="4" w:space="0" w:color="auto"/>
              <w:left w:val="single" w:sz="4" w:space="0" w:color="auto"/>
              <w:bottom w:val="single" w:sz="4" w:space="0" w:color="auto"/>
              <w:right w:val="single" w:sz="4" w:space="0" w:color="auto"/>
            </w:tcBorders>
            <w:hideMark/>
          </w:tcPr>
          <w:p w14:paraId="69FA6AA3" w14:textId="77777777" w:rsidR="006977CD" w:rsidRDefault="006977CD">
            <w:pPr>
              <w:pStyle w:val="Tablebodytext"/>
            </w:pPr>
            <w:r>
              <w:t>4,380</w:t>
            </w:r>
          </w:p>
        </w:tc>
        <w:tc>
          <w:tcPr>
            <w:tcW w:w="1856" w:type="dxa"/>
            <w:tcBorders>
              <w:top w:val="single" w:sz="4" w:space="0" w:color="auto"/>
              <w:left w:val="single" w:sz="4" w:space="0" w:color="auto"/>
              <w:bottom w:val="single" w:sz="4" w:space="0" w:color="auto"/>
              <w:right w:val="single" w:sz="4" w:space="0" w:color="auto"/>
            </w:tcBorders>
            <w:hideMark/>
          </w:tcPr>
          <w:p w14:paraId="46D9ED78" w14:textId="77777777" w:rsidR="006977CD" w:rsidRDefault="006977CD">
            <w:pPr>
              <w:pStyle w:val="Tablebodytext"/>
            </w:pPr>
            <w:r>
              <w:t>3,547</w:t>
            </w:r>
          </w:p>
        </w:tc>
        <w:tc>
          <w:tcPr>
            <w:tcW w:w="1856" w:type="dxa"/>
            <w:tcBorders>
              <w:top w:val="single" w:sz="4" w:space="0" w:color="auto"/>
              <w:left w:val="single" w:sz="4" w:space="0" w:color="auto"/>
              <w:bottom w:val="single" w:sz="4" w:space="0" w:color="auto"/>
              <w:right w:val="single" w:sz="4" w:space="0" w:color="auto"/>
            </w:tcBorders>
            <w:hideMark/>
          </w:tcPr>
          <w:p w14:paraId="3177F0E8" w14:textId="77777777" w:rsidR="006977CD" w:rsidRDefault="006977CD">
            <w:pPr>
              <w:pStyle w:val="Tablebodytext"/>
            </w:pPr>
            <w:r>
              <w:t>815</w:t>
            </w:r>
          </w:p>
        </w:tc>
      </w:tr>
      <w:tr w:rsidR="007A27D1" w14:paraId="1A2C982E" w14:textId="77777777" w:rsidTr="008141B0">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7EEB5B6A" w14:textId="77777777" w:rsidR="006977CD" w:rsidRDefault="006977CD">
            <w:pPr>
              <w:pStyle w:val="Tablebodytext"/>
            </w:pPr>
            <w:r>
              <w:t>2021/22</w:t>
            </w:r>
          </w:p>
        </w:tc>
        <w:tc>
          <w:tcPr>
            <w:tcW w:w="1855" w:type="dxa"/>
            <w:tcBorders>
              <w:top w:val="single" w:sz="4" w:space="0" w:color="auto"/>
              <w:left w:val="single" w:sz="4" w:space="0" w:color="auto"/>
              <w:bottom w:val="single" w:sz="4" w:space="0" w:color="auto"/>
              <w:right w:val="single" w:sz="4" w:space="0" w:color="auto"/>
            </w:tcBorders>
            <w:hideMark/>
          </w:tcPr>
          <w:p w14:paraId="261EF276" w14:textId="77777777" w:rsidR="006977CD" w:rsidRDefault="006977CD">
            <w:pPr>
              <w:pStyle w:val="Tablebodytext"/>
            </w:pPr>
            <w:r>
              <w:t>4,730</w:t>
            </w:r>
          </w:p>
        </w:tc>
        <w:tc>
          <w:tcPr>
            <w:tcW w:w="1856" w:type="dxa"/>
            <w:tcBorders>
              <w:top w:val="single" w:sz="4" w:space="0" w:color="auto"/>
              <w:left w:val="single" w:sz="4" w:space="0" w:color="auto"/>
              <w:bottom w:val="single" w:sz="4" w:space="0" w:color="auto"/>
              <w:right w:val="single" w:sz="4" w:space="0" w:color="auto"/>
            </w:tcBorders>
            <w:hideMark/>
          </w:tcPr>
          <w:p w14:paraId="0C486393" w14:textId="77777777" w:rsidR="006977CD" w:rsidRDefault="006977CD">
            <w:pPr>
              <w:pStyle w:val="Tablebodytext"/>
            </w:pPr>
            <w:r>
              <w:t>5,570</w:t>
            </w:r>
          </w:p>
        </w:tc>
        <w:tc>
          <w:tcPr>
            <w:tcW w:w="1856" w:type="dxa"/>
            <w:tcBorders>
              <w:top w:val="single" w:sz="4" w:space="0" w:color="auto"/>
              <w:left w:val="single" w:sz="4" w:space="0" w:color="auto"/>
              <w:bottom w:val="single" w:sz="4" w:space="0" w:color="auto"/>
              <w:right w:val="single" w:sz="4" w:space="0" w:color="auto"/>
            </w:tcBorders>
            <w:hideMark/>
          </w:tcPr>
          <w:p w14:paraId="5020B58D" w14:textId="77777777" w:rsidR="006977CD" w:rsidRDefault="006977CD">
            <w:pPr>
              <w:pStyle w:val="Tablebodytext"/>
            </w:pPr>
            <w:r>
              <w:t>4,165</w:t>
            </w:r>
          </w:p>
        </w:tc>
        <w:tc>
          <w:tcPr>
            <w:tcW w:w="1856" w:type="dxa"/>
            <w:tcBorders>
              <w:top w:val="single" w:sz="4" w:space="0" w:color="auto"/>
              <w:left w:val="single" w:sz="4" w:space="0" w:color="auto"/>
              <w:bottom w:val="single" w:sz="4" w:space="0" w:color="auto"/>
              <w:right w:val="single" w:sz="4" w:space="0" w:color="auto"/>
            </w:tcBorders>
            <w:hideMark/>
          </w:tcPr>
          <w:p w14:paraId="11E1B014" w14:textId="77777777" w:rsidR="006977CD" w:rsidRDefault="006977CD">
            <w:pPr>
              <w:pStyle w:val="Tablebodytext"/>
            </w:pPr>
            <w:r>
              <w:t>1,379</w:t>
            </w:r>
          </w:p>
        </w:tc>
      </w:tr>
      <w:tr w:rsidR="007A27D1" w14:paraId="28B736C4" w14:textId="77777777" w:rsidTr="008141B0">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3BD6D6EE" w14:textId="77777777" w:rsidR="006977CD" w:rsidRDefault="006977CD">
            <w:pPr>
              <w:pStyle w:val="Tablebodytext"/>
            </w:pPr>
            <w:r>
              <w:t>2022/23</w:t>
            </w:r>
          </w:p>
        </w:tc>
        <w:tc>
          <w:tcPr>
            <w:tcW w:w="1855" w:type="dxa"/>
            <w:tcBorders>
              <w:top w:val="single" w:sz="4" w:space="0" w:color="auto"/>
              <w:left w:val="single" w:sz="4" w:space="0" w:color="auto"/>
              <w:bottom w:val="single" w:sz="4" w:space="0" w:color="auto"/>
              <w:right w:val="single" w:sz="4" w:space="0" w:color="auto"/>
            </w:tcBorders>
            <w:hideMark/>
          </w:tcPr>
          <w:p w14:paraId="3C004778" w14:textId="77777777" w:rsidR="006977CD" w:rsidRDefault="006977CD">
            <w:pPr>
              <w:pStyle w:val="Tablebodytext"/>
            </w:pPr>
            <w:r>
              <w:t>4,027</w:t>
            </w:r>
          </w:p>
        </w:tc>
        <w:tc>
          <w:tcPr>
            <w:tcW w:w="1856" w:type="dxa"/>
            <w:tcBorders>
              <w:top w:val="single" w:sz="4" w:space="0" w:color="auto"/>
              <w:left w:val="single" w:sz="4" w:space="0" w:color="auto"/>
              <w:bottom w:val="single" w:sz="4" w:space="0" w:color="auto"/>
              <w:right w:val="single" w:sz="4" w:space="0" w:color="auto"/>
            </w:tcBorders>
            <w:hideMark/>
          </w:tcPr>
          <w:p w14:paraId="71C2ACB8" w14:textId="2DF7F555" w:rsidR="006977CD" w:rsidRDefault="006977CD">
            <w:pPr>
              <w:pStyle w:val="Tablebodytext"/>
            </w:pPr>
            <w:r>
              <w:t>5</w:t>
            </w:r>
            <w:r w:rsidR="0094061D">
              <w:t>,</w:t>
            </w:r>
            <w:r>
              <w:t>404</w:t>
            </w:r>
          </w:p>
        </w:tc>
        <w:tc>
          <w:tcPr>
            <w:tcW w:w="1856" w:type="dxa"/>
            <w:tcBorders>
              <w:top w:val="single" w:sz="4" w:space="0" w:color="auto"/>
              <w:left w:val="single" w:sz="4" w:space="0" w:color="auto"/>
              <w:bottom w:val="single" w:sz="4" w:space="0" w:color="auto"/>
              <w:right w:val="single" w:sz="4" w:space="0" w:color="auto"/>
            </w:tcBorders>
            <w:hideMark/>
          </w:tcPr>
          <w:p w14:paraId="5468FEC9" w14:textId="77777777" w:rsidR="006977CD" w:rsidRDefault="006977CD">
            <w:pPr>
              <w:pStyle w:val="Tablebodytext"/>
            </w:pPr>
            <w:r>
              <w:t>4,003</w:t>
            </w:r>
          </w:p>
        </w:tc>
        <w:tc>
          <w:tcPr>
            <w:tcW w:w="1856" w:type="dxa"/>
            <w:tcBorders>
              <w:top w:val="single" w:sz="4" w:space="0" w:color="auto"/>
              <w:left w:val="single" w:sz="4" w:space="0" w:color="auto"/>
              <w:bottom w:val="single" w:sz="4" w:space="0" w:color="auto"/>
              <w:right w:val="single" w:sz="4" w:space="0" w:color="auto"/>
            </w:tcBorders>
            <w:hideMark/>
          </w:tcPr>
          <w:p w14:paraId="5B034D3E" w14:textId="6DD0C352" w:rsidR="006977CD" w:rsidRDefault="006977CD">
            <w:pPr>
              <w:pStyle w:val="Tablebodytext"/>
            </w:pPr>
            <w:r>
              <w:t>1</w:t>
            </w:r>
            <w:r w:rsidR="009602B9">
              <w:t>,</w:t>
            </w:r>
            <w:r>
              <w:t>401</w:t>
            </w:r>
          </w:p>
        </w:tc>
      </w:tr>
      <w:tr w:rsidR="007A27D1" w14:paraId="475BEAB0" w14:textId="77777777" w:rsidTr="008141B0">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17BCBE9E" w14:textId="77777777" w:rsidR="006977CD" w:rsidRDefault="006977CD">
            <w:pPr>
              <w:pStyle w:val="Tablebodytext"/>
            </w:pPr>
            <w:r>
              <w:t>2023/24</w:t>
            </w:r>
          </w:p>
        </w:tc>
        <w:tc>
          <w:tcPr>
            <w:tcW w:w="1855" w:type="dxa"/>
            <w:tcBorders>
              <w:top w:val="single" w:sz="4" w:space="0" w:color="auto"/>
              <w:left w:val="single" w:sz="4" w:space="0" w:color="auto"/>
              <w:bottom w:val="single" w:sz="4" w:space="0" w:color="auto"/>
              <w:right w:val="single" w:sz="4" w:space="0" w:color="auto"/>
            </w:tcBorders>
            <w:hideMark/>
          </w:tcPr>
          <w:p w14:paraId="3EE97CD4" w14:textId="77777777" w:rsidR="006977CD" w:rsidRDefault="006977CD">
            <w:pPr>
              <w:pStyle w:val="Tablebodytext"/>
            </w:pPr>
            <w:r>
              <w:t>4,443</w:t>
            </w:r>
          </w:p>
        </w:tc>
        <w:tc>
          <w:tcPr>
            <w:tcW w:w="1856" w:type="dxa"/>
            <w:tcBorders>
              <w:top w:val="single" w:sz="4" w:space="0" w:color="auto"/>
              <w:left w:val="single" w:sz="4" w:space="0" w:color="auto"/>
              <w:bottom w:val="single" w:sz="4" w:space="0" w:color="auto"/>
              <w:right w:val="single" w:sz="4" w:space="0" w:color="auto"/>
            </w:tcBorders>
            <w:hideMark/>
          </w:tcPr>
          <w:p w14:paraId="1E66AB28" w14:textId="77777777" w:rsidR="006977CD" w:rsidRDefault="006977CD">
            <w:pPr>
              <w:pStyle w:val="Tablebodytext"/>
            </w:pPr>
            <w:r>
              <w:t>5,864</w:t>
            </w:r>
          </w:p>
        </w:tc>
        <w:tc>
          <w:tcPr>
            <w:tcW w:w="1856" w:type="dxa"/>
            <w:tcBorders>
              <w:top w:val="single" w:sz="4" w:space="0" w:color="auto"/>
              <w:left w:val="single" w:sz="4" w:space="0" w:color="auto"/>
              <w:bottom w:val="single" w:sz="4" w:space="0" w:color="auto"/>
              <w:right w:val="single" w:sz="4" w:space="0" w:color="auto"/>
            </w:tcBorders>
            <w:hideMark/>
          </w:tcPr>
          <w:p w14:paraId="63C0E4B6" w14:textId="77777777" w:rsidR="006977CD" w:rsidRDefault="006977CD">
            <w:pPr>
              <w:pStyle w:val="Tablebodytext"/>
            </w:pPr>
            <w:r>
              <w:t>4,143</w:t>
            </w:r>
          </w:p>
        </w:tc>
        <w:tc>
          <w:tcPr>
            <w:tcW w:w="1856" w:type="dxa"/>
            <w:tcBorders>
              <w:top w:val="single" w:sz="4" w:space="0" w:color="auto"/>
              <w:left w:val="single" w:sz="4" w:space="0" w:color="auto"/>
              <w:bottom w:val="single" w:sz="4" w:space="0" w:color="auto"/>
              <w:right w:val="single" w:sz="4" w:space="0" w:color="auto"/>
            </w:tcBorders>
            <w:hideMark/>
          </w:tcPr>
          <w:p w14:paraId="7A130962" w14:textId="77777777" w:rsidR="006977CD" w:rsidRDefault="006977CD">
            <w:pPr>
              <w:pStyle w:val="Tablebodytext"/>
            </w:pPr>
            <w:r>
              <w:t>1,721</w:t>
            </w:r>
          </w:p>
        </w:tc>
      </w:tr>
      <w:tr w:rsidR="007A27D1" w14:paraId="49C9FB83" w14:textId="77777777" w:rsidTr="008141B0">
        <w:trPr>
          <w:cnfStyle w:val="000000100000" w:firstRow="0" w:lastRow="0" w:firstColumn="0" w:lastColumn="0" w:oddVBand="0" w:evenVBand="0" w:oddHBand="1" w:evenHBand="0"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2C4745F8" w14:textId="77777777" w:rsidR="006977CD" w:rsidRDefault="006977CD">
            <w:pPr>
              <w:pStyle w:val="Tablebodytext"/>
            </w:pPr>
            <w:r>
              <w:t>2024/25</w:t>
            </w:r>
          </w:p>
        </w:tc>
        <w:tc>
          <w:tcPr>
            <w:tcW w:w="1855" w:type="dxa"/>
            <w:tcBorders>
              <w:top w:val="single" w:sz="4" w:space="0" w:color="auto"/>
              <w:left w:val="single" w:sz="4" w:space="0" w:color="auto"/>
              <w:bottom w:val="single" w:sz="4" w:space="0" w:color="auto"/>
              <w:right w:val="single" w:sz="4" w:space="0" w:color="auto"/>
            </w:tcBorders>
            <w:hideMark/>
          </w:tcPr>
          <w:p w14:paraId="45540160" w14:textId="77777777" w:rsidR="006977CD" w:rsidRDefault="006977CD">
            <w:pPr>
              <w:pStyle w:val="Tablebodytext"/>
            </w:pPr>
            <w:r>
              <w:t>5,269</w:t>
            </w:r>
          </w:p>
        </w:tc>
        <w:tc>
          <w:tcPr>
            <w:tcW w:w="1856" w:type="dxa"/>
            <w:tcBorders>
              <w:top w:val="single" w:sz="4" w:space="0" w:color="auto"/>
              <w:left w:val="single" w:sz="4" w:space="0" w:color="auto"/>
              <w:bottom w:val="single" w:sz="4" w:space="0" w:color="auto"/>
              <w:right w:val="single" w:sz="4" w:space="0" w:color="auto"/>
            </w:tcBorders>
            <w:hideMark/>
          </w:tcPr>
          <w:p w14:paraId="42C5A840" w14:textId="77777777" w:rsidR="006977CD" w:rsidRDefault="006977CD">
            <w:pPr>
              <w:pStyle w:val="Tablebodytext"/>
            </w:pPr>
            <w:r>
              <w:t>6,975</w:t>
            </w:r>
          </w:p>
        </w:tc>
        <w:tc>
          <w:tcPr>
            <w:tcW w:w="1856" w:type="dxa"/>
            <w:tcBorders>
              <w:top w:val="single" w:sz="4" w:space="0" w:color="auto"/>
              <w:left w:val="single" w:sz="4" w:space="0" w:color="auto"/>
              <w:bottom w:val="single" w:sz="4" w:space="0" w:color="auto"/>
              <w:right w:val="single" w:sz="4" w:space="0" w:color="auto"/>
            </w:tcBorders>
            <w:hideMark/>
          </w:tcPr>
          <w:p w14:paraId="33D47A10" w14:textId="77777777" w:rsidR="006977CD" w:rsidRDefault="006977CD">
            <w:pPr>
              <w:pStyle w:val="Tablebodytext"/>
            </w:pPr>
            <w:r>
              <w:t>5,305</w:t>
            </w:r>
          </w:p>
        </w:tc>
        <w:tc>
          <w:tcPr>
            <w:tcW w:w="1856" w:type="dxa"/>
            <w:tcBorders>
              <w:top w:val="single" w:sz="4" w:space="0" w:color="auto"/>
              <w:left w:val="single" w:sz="4" w:space="0" w:color="auto"/>
              <w:bottom w:val="single" w:sz="4" w:space="0" w:color="auto"/>
              <w:right w:val="single" w:sz="4" w:space="0" w:color="auto"/>
            </w:tcBorders>
            <w:hideMark/>
          </w:tcPr>
          <w:p w14:paraId="795B9758" w14:textId="77777777" w:rsidR="006977CD" w:rsidRDefault="006977CD">
            <w:pPr>
              <w:pStyle w:val="Tablebodytext"/>
            </w:pPr>
            <w:r>
              <w:t>1,670</w:t>
            </w:r>
          </w:p>
        </w:tc>
      </w:tr>
      <w:tr w:rsidR="007A27D1" w14:paraId="7C598512" w14:textId="77777777" w:rsidTr="008141B0">
        <w:trPr>
          <w:cnfStyle w:val="000000010000" w:firstRow="0" w:lastRow="0" w:firstColumn="0" w:lastColumn="0" w:oddVBand="0" w:evenVBand="0" w:oddHBand="0" w:evenHBand="1" w:firstRowFirstColumn="0" w:firstRowLastColumn="0" w:lastRowFirstColumn="0" w:lastRowLastColumn="0"/>
          <w:cantSplit/>
        </w:trPr>
        <w:tc>
          <w:tcPr>
            <w:tcW w:w="1855" w:type="dxa"/>
            <w:tcBorders>
              <w:top w:val="single" w:sz="4" w:space="0" w:color="auto"/>
              <w:left w:val="single" w:sz="4" w:space="0" w:color="auto"/>
              <w:bottom w:val="single" w:sz="4" w:space="0" w:color="auto"/>
              <w:right w:val="single" w:sz="4" w:space="0" w:color="auto"/>
            </w:tcBorders>
            <w:hideMark/>
          </w:tcPr>
          <w:p w14:paraId="64C2A3D5" w14:textId="77777777" w:rsidR="006977CD" w:rsidRDefault="006977CD">
            <w:pPr>
              <w:pStyle w:val="Tablebodytext"/>
            </w:pPr>
            <w:r>
              <w:t xml:space="preserve">2025/26 </w:t>
            </w:r>
          </w:p>
        </w:tc>
        <w:tc>
          <w:tcPr>
            <w:tcW w:w="1855" w:type="dxa"/>
            <w:tcBorders>
              <w:top w:val="single" w:sz="4" w:space="0" w:color="auto"/>
              <w:left w:val="single" w:sz="4" w:space="0" w:color="auto"/>
              <w:bottom w:val="single" w:sz="4" w:space="0" w:color="auto"/>
              <w:right w:val="single" w:sz="4" w:space="0" w:color="auto"/>
            </w:tcBorders>
            <w:hideMark/>
          </w:tcPr>
          <w:p w14:paraId="1A141B04" w14:textId="77777777" w:rsidR="006977CD" w:rsidRDefault="006977CD">
            <w:pPr>
              <w:pStyle w:val="Tablebodytext"/>
            </w:pPr>
            <w:r>
              <w:t>7,601</w:t>
            </w:r>
          </w:p>
        </w:tc>
        <w:tc>
          <w:tcPr>
            <w:tcW w:w="1856" w:type="dxa"/>
            <w:tcBorders>
              <w:top w:val="single" w:sz="4" w:space="0" w:color="auto"/>
              <w:left w:val="single" w:sz="4" w:space="0" w:color="auto"/>
              <w:bottom w:val="single" w:sz="4" w:space="0" w:color="auto"/>
              <w:right w:val="single" w:sz="4" w:space="0" w:color="auto"/>
            </w:tcBorders>
            <w:hideMark/>
          </w:tcPr>
          <w:p w14:paraId="105D2CDE" w14:textId="77777777" w:rsidR="006977CD" w:rsidRDefault="006977CD">
            <w:pPr>
              <w:pStyle w:val="Tablebodytext"/>
            </w:pPr>
            <w:r>
              <w:t>9,273</w:t>
            </w:r>
          </w:p>
        </w:tc>
        <w:tc>
          <w:tcPr>
            <w:tcW w:w="1856" w:type="dxa"/>
            <w:tcBorders>
              <w:top w:val="single" w:sz="4" w:space="0" w:color="auto"/>
              <w:left w:val="single" w:sz="4" w:space="0" w:color="auto"/>
              <w:bottom w:val="single" w:sz="4" w:space="0" w:color="auto"/>
              <w:right w:val="single" w:sz="4" w:space="0" w:color="auto"/>
            </w:tcBorders>
            <w:hideMark/>
          </w:tcPr>
          <w:p w14:paraId="618EEDE7" w14:textId="7B852345" w:rsidR="006977CD" w:rsidRDefault="006977CD">
            <w:pPr>
              <w:pStyle w:val="Tablebodytext"/>
            </w:pPr>
            <w:r>
              <w:t>8,0</w:t>
            </w:r>
            <w:r w:rsidR="00B928BA">
              <w:t>2</w:t>
            </w:r>
            <w:r>
              <w:t>7</w:t>
            </w:r>
          </w:p>
        </w:tc>
        <w:tc>
          <w:tcPr>
            <w:tcW w:w="1856" w:type="dxa"/>
            <w:tcBorders>
              <w:top w:val="single" w:sz="4" w:space="0" w:color="auto"/>
              <w:left w:val="single" w:sz="4" w:space="0" w:color="auto"/>
              <w:bottom w:val="single" w:sz="4" w:space="0" w:color="auto"/>
              <w:right w:val="single" w:sz="4" w:space="0" w:color="auto"/>
            </w:tcBorders>
            <w:hideMark/>
          </w:tcPr>
          <w:p w14:paraId="4349AC08" w14:textId="77777777" w:rsidR="006977CD" w:rsidRDefault="006977CD">
            <w:pPr>
              <w:pStyle w:val="Tablebodytext"/>
            </w:pPr>
            <w:r>
              <w:t>1,246</w:t>
            </w:r>
          </w:p>
        </w:tc>
      </w:tr>
    </w:tbl>
    <w:p w14:paraId="6BF2FA13" w14:textId="77777777" w:rsidR="004B452C" w:rsidRPr="004B452C" w:rsidRDefault="004B452C" w:rsidP="004B452C">
      <w:pPr>
        <w:pStyle w:val="BodyText"/>
      </w:pPr>
    </w:p>
    <w:p w14:paraId="1B16FE7E" w14:textId="77777777" w:rsidR="00266B40" w:rsidRPr="00266B40" w:rsidRDefault="00266B40" w:rsidP="00266B40">
      <w:pPr>
        <w:pStyle w:val="Heading3"/>
        <w:spacing w:before="240"/>
      </w:pPr>
      <w:bookmarkStart w:id="111" w:name="_Figure_6:_Complaints"/>
      <w:bookmarkEnd w:id="111"/>
      <w:r w:rsidRPr="00266B40">
        <w:t>Figure 6: Complaints and enquiries received and completed against Oranga Tamariki over 10 years.</w:t>
      </w:r>
    </w:p>
    <w:tbl>
      <w:tblPr>
        <w:tblStyle w:val="TableGridAnnualReport"/>
        <w:tblW w:w="93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857"/>
        <w:gridCol w:w="3744"/>
        <w:gridCol w:w="3744"/>
      </w:tblGrid>
      <w:tr w:rsidR="006977CD" w14:paraId="68762A5D" w14:textId="77777777" w:rsidTr="00B11906">
        <w:trPr>
          <w:cnfStyle w:val="100000000000" w:firstRow="1" w:lastRow="0" w:firstColumn="0" w:lastColumn="0" w:oddVBand="0" w:evenVBand="0" w:oddHBand="0"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17E5D"/>
          </w:tcPr>
          <w:p w14:paraId="26DDB2F7" w14:textId="77777777" w:rsidR="006977CD" w:rsidRDefault="006977CD">
            <w:pPr>
              <w:spacing w:line="240" w:lineRule="auto"/>
              <w:rPr>
                <w:rFonts w:cs="Calibri"/>
                <w:color w:val="000000"/>
                <w:szCs w:val="24"/>
              </w:rPr>
            </w:pP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17E5D"/>
            <w:hideMark/>
          </w:tcPr>
          <w:p w14:paraId="22276568" w14:textId="77777777" w:rsidR="006977CD" w:rsidRDefault="006977CD">
            <w:pPr>
              <w:pStyle w:val="Tableheadingrow1"/>
              <w:rPr>
                <w:szCs w:val="24"/>
              </w:rPr>
            </w:pPr>
            <w:r>
              <w:rPr>
                <w:rFonts w:cs="Calibri"/>
                <w:szCs w:val="24"/>
              </w:rPr>
              <w:t>Received</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17E5D"/>
            <w:hideMark/>
          </w:tcPr>
          <w:p w14:paraId="5C69F8AF" w14:textId="77777777" w:rsidR="006977CD" w:rsidRDefault="006977CD">
            <w:pPr>
              <w:pStyle w:val="Tableheadingrow1"/>
              <w:rPr>
                <w:szCs w:val="24"/>
              </w:rPr>
            </w:pPr>
            <w:r>
              <w:rPr>
                <w:szCs w:val="24"/>
              </w:rPr>
              <w:t>Completed</w:t>
            </w:r>
          </w:p>
        </w:tc>
      </w:tr>
      <w:tr w:rsidR="006977CD" w14:paraId="29B99F13"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84414FE" w14:textId="77777777" w:rsidR="006977CD" w:rsidRDefault="006977CD">
            <w:pPr>
              <w:pStyle w:val="Tablebodytext"/>
            </w:pPr>
            <w:r>
              <w:t>2016/17</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06E61AA3" w14:textId="77777777" w:rsidR="006977CD" w:rsidRDefault="006977CD" w:rsidP="00A07A0C">
            <w:pPr>
              <w:pStyle w:val="Tablebodytext"/>
              <w:jc w:val="center"/>
              <w:rPr>
                <w:rFonts w:cs="Calibri"/>
                <w:color w:val="000000"/>
              </w:rPr>
            </w:pPr>
            <w:r>
              <w:t>100</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49881D5" w14:textId="77777777" w:rsidR="006977CD" w:rsidRDefault="006977CD" w:rsidP="006977CD">
            <w:pPr>
              <w:pStyle w:val="Tablebodytext"/>
              <w:jc w:val="center"/>
            </w:pPr>
            <w:r>
              <w:t>77</w:t>
            </w:r>
          </w:p>
        </w:tc>
      </w:tr>
      <w:tr w:rsidR="006977CD" w14:paraId="6DC2F0EB"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1185572" w14:textId="77777777" w:rsidR="006977CD" w:rsidRDefault="006977CD">
            <w:pPr>
              <w:pStyle w:val="Tablebodytext"/>
            </w:pPr>
            <w:r>
              <w:t>2017/18</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D92E370" w14:textId="77777777" w:rsidR="006977CD" w:rsidRDefault="006977CD" w:rsidP="006977CD">
            <w:pPr>
              <w:pStyle w:val="Tablebodytext"/>
              <w:jc w:val="center"/>
            </w:pPr>
            <w:r>
              <w:t>314</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72BFE2D" w14:textId="77777777" w:rsidR="006977CD" w:rsidRDefault="006977CD" w:rsidP="006977CD">
            <w:pPr>
              <w:pStyle w:val="Tablebodytext"/>
              <w:jc w:val="center"/>
            </w:pPr>
            <w:r>
              <w:t>328</w:t>
            </w:r>
          </w:p>
        </w:tc>
      </w:tr>
      <w:tr w:rsidR="006977CD" w14:paraId="6C76103A"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AA148DA" w14:textId="77777777" w:rsidR="006977CD" w:rsidRDefault="006977CD">
            <w:pPr>
              <w:pStyle w:val="Tablebodytext"/>
            </w:pPr>
            <w:r>
              <w:t>2018/19</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874B92C" w14:textId="77777777" w:rsidR="006977CD" w:rsidRDefault="006977CD" w:rsidP="006977CD">
            <w:pPr>
              <w:pStyle w:val="Tablebodytext"/>
              <w:jc w:val="center"/>
            </w:pPr>
            <w:r>
              <w:t>292</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0F0AEFE" w14:textId="77777777" w:rsidR="006977CD" w:rsidRDefault="006977CD" w:rsidP="006977CD">
            <w:pPr>
              <w:pStyle w:val="Tablebodytext"/>
              <w:jc w:val="center"/>
            </w:pPr>
            <w:r>
              <w:t>286</w:t>
            </w:r>
          </w:p>
        </w:tc>
      </w:tr>
      <w:tr w:rsidR="006977CD" w14:paraId="5D2AAAED"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085965A1" w14:textId="77777777" w:rsidR="006977CD" w:rsidRDefault="006977CD">
            <w:pPr>
              <w:pStyle w:val="Tablebodytext"/>
            </w:pPr>
            <w:r>
              <w:t>2019/20</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89C7BF8" w14:textId="77777777" w:rsidR="006977CD" w:rsidRDefault="006977CD" w:rsidP="006977CD">
            <w:pPr>
              <w:pStyle w:val="Tablebodytext"/>
              <w:jc w:val="center"/>
            </w:pPr>
            <w:r>
              <w:t>360</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64CD8EC" w14:textId="77777777" w:rsidR="006977CD" w:rsidRDefault="006977CD" w:rsidP="006977CD">
            <w:pPr>
              <w:pStyle w:val="Tablebodytext"/>
              <w:jc w:val="center"/>
            </w:pPr>
            <w:r>
              <w:t>325</w:t>
            </w:r>
          </w:p>
        </w:tc>
      </w:tr>
      <w:tr w:rsidR="006977CD" w14:paraId="45BDA1D5"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8EC3418" w14:textId="77777777" w:rsidR="006977CD" w:rsidRDefault="006977CD">
            <w:pPr>
              <w:pStyle w:val="Tablebodytext"/>
            </w:pPr>
            <w:r>
              <w:t>2020/21</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8974913" w14:textId="77777777" w:rsidR="006977CD" w:rsidRDefault="006977CD" w:rsidP="006977CD">
            <w:pPr>
              <w:pStyle w:val="Tablebodytext"/>
              <w:jc w:val="center"/>
            </w:pPr>
            <w:r>
              <w:t>544</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EDB14E6" w14:textId="77777777" w:rsidR="006977CD" w:rsidRDefault="006977CD" w:rsidP="006977CD">
            <w:pPr>
              <w:pStyle w:val="Tablebodytext"/>
              <w:jc w:val="center"/>
            </w:pPr>
            <w:r>
              <w:t>489</w:t>
            </w:r>
          </w:p>
        </w:tc>
      </w:tr>
      <w:tr w:rsidR="006977CD" w14:paraId="7AA2908E"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6F63FE6" w14:textId="77777777" w:rsidR="006977CD" w:rsidRDefault="006977CD">
            <w:pPr>
              <w:pStyle w:val="Tablebodytext"/>
            </w:pPr>
            <w:r>
              <w:t>2021/22</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FFE1405" w14:textId="77777777" w:rsidR="006977CD" w:rsidRDefault="006977CD" w:rsidP="006977CD">
            <w:pPr>
              <w:pStyle w:val="Tablebodytext"/>
              <w:jc w:val="center"/>
            </w:pPr>
            <w:r>
              <w:t>477</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153103B" w14:textId="77777777" w:rsidR="006977CD" w:rsidRDefault="006977CD" w:rsidP="006977CD">
            <w:pPr>
              <w:pStyle w:val="Tablebodytext"/>
              <w:jc w:val="center"/>
            </w:pPr>
            <w:r>
              <w:t>496</w:t>
            </w:r>
          </w:p>
        </w:tc>
      </w:tr>
      <w:tr w:rsidR="006977CD" w14:paraId="217B75E8"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99091B8" w14:textId="77777777" w:rsidR="006977CD" w:rsidRDefault="006977CD">
            <w:pPr>
              <w:pStyle w:val="Tablebodytext"/>
            </w:pPr>
            <w:r>
              <w:t>2022/23</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A331CAE" w14:textId="77777777" w:rsidR="006977CD" w:rsidRDefault="006977CD" w:rsidP="006977CD">
            <w:pPr>
              <w:pStyle w:val="Tablebodytext"/>
              <w:jc w:val="center"/>
            </w:pPr>
            <w:r>
              <w:t>725</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5E01B13" w14:textId="77777777" w:rsidR="006977CD" w:rsidRDefault="006977CD" w:rsidP="006977CD">
            <w:pPr>
              <w:pStyle w:val="Tablebodytext"/>
              <w:jc w:val="center"/>
            </w:pPr>
            <w:r>
              <w:t>618</w:t>
            </w:r>
          </w:p>
        </w:tc>
      </w:tr>
      <w:tr w:rsidR="006977CD" w14:paraId="76D7C083"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866FC22" w14:textId="77777777" w:rsidR="006977CD" w:rsidRDefault="006977CD">
            <w:pPr>
              <w:pStyle w:val="Tablebodytext"/>
            </w:pPr>
            <w:r>
              <w:t>2023/24</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1E35654" w14:textId="77777777" w:rsidR="006977CD" w:rsidRDefault="006977CD" w:rsidP="006977CD">
            <w:pPr>
              <w:pStyle w:val="Tablebodytext"/>
              <w:jc w:val="center"/>
            </w:pPr>
            <w:r>
              <w:t>772</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973B446" w14:textId="77777777" w:rsidR="006977CD" w:rsidRDefault="006977CD" w:rsidP="006977CD">
            <w:pPr>
              <w:pStyle w:val="Tablebodytext"/>
              <w:jc w:val="center"/>
            </w:pPr>
            <w:r>
              <w:t>637</w:t>
            </w:r>
          </w:p>
        </w:tc>
      </w:tr>
      <w:tr w:rsidR="006977CD" w14:paraId="45E7D8DC"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E014EAF" w14:textId="77777777" w:rsidR="006977CD" w:rsidRDefault="006977CD">
            <w:pPr>
              <w:pStyle w:val="Tablebodytext"/>
            </w:pPr>
            <w:r>
              <w:t>2024/25</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3347B66" w14:textId="77777777" w:rsidR="006977CD" w:rsidRDefault="006977CD" w:rsidP="006977CD">
            <w:pPr>
              <w:pStyle w:val="Tablebodytext"/>
              <w:jc w:val="center"/>
            </w:pPr>
            <w:r>
              <w:t>793</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F6EBA25" w14:textId="77777777" w:rsidR="006977CD" w:rsidRDefault="006977CD" w:rsidP="006977CD">
            <w:pPr>
              <w:pStyle w:val="Tablebodytext"/>
              <w:jc w:val="center"/>
            </w:pPr>
            <w:r>
              <w:t>823</w:t>
            </w:r>
          </w:p>
        </w:tc>
      </w:tr>
      <w:tr w:rsidR="006977CD" w14:paraId="511D98D1"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A774B55" w14:textId="77777777" w:rsidR="006977CD" w:rsidRDefault="006977CD">
            <w:pPr>
              <w:pStyle w:val="Tablebodytext"/>
            </w:pPr>
            <w:r>
              <w:t xml:space="preserve">2025/26 </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D91ECCB" w14:textId="7914FAF6" w:rsidR="006977CD" w:rsidRDefault="006977CD" w:rsidP="006977CD">
            <w:pPr>
              <w:pStyle w:val="Tablebodytext"/>
              <w:jc w:val="center"/>
            </w:pPr>
            <w:r>
              <w:t>1</w:t>
            </w:r>
            <w:r w:rsidR="00513973">
              <w:t>,</w:t>
            </w:r>
            <w:r>
              <w:t>247</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2361DAE" w14:textId="6463ECF4" w:rsidR="006977CD" w:rsidRDefault="006977CD" w:rsidP="006977CD">
            <w:pPr>
              <w:pStyle w:val="Tablebodytext"/>
              <w:jc w:val="center"/>
            </w:pPr>
            <w:r>
              <w:t>1</w:t>
            </w:r>
            <w:r w:rsidR="00513973">
              <w:t>,</w:t>
            </w:r>
            <w:r>
              <w:t>395</w:t>
            </w:r>
          </w:p>
        </w:tc>
      </w:tr>
    </w:tbl>
    <w:p w14:paraId="546AAA60" w14:textId="77777777" w:rsidR="00266B40" w:rsidRPr="00266B40" w:rsidRDefault="00266B40" w:rsidP="006977CD">
      <w:pPr>
        <w:pStyle w:val="BodyText"/>
      </w:pPr>
    </w:p>
    <w:p w14:paraId="67A567E2" w14:textId="77777777" w:rsidR="00266B40" w:rsidRDefault="00266B40" w:rsidP="00266B40">
      <w:pPr>
        <w:pStyle w:val="Heading3"/>
        <w:spacing w:before="240"/>
      </w:pPr>
      <w:bookmarkStart w:id="112" w:name="_Figure_7:_Protected"/>
      <w:bookmarkEnd w:id="112"/>
      <w:r w:rsidRPr="00266B40">
        <w:t xml:space="preserve">Figure 7: Protected disclosures, enquiries and monitoring received and completed over 10 years. </w:t>
      </w:r>
    </w:p>
    <w:tbl>
      <w:tblPr>
        <w:tblStyle w:val="TableGridAnnualReport"/>
        <w:tblW w:w="93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857"/>
        <w:gridCol w:w="3744"/>
        <w:gridCol w:w="3744"/>
      </w:tblGrid>
      <w:tr w:rsidR="006977CD" w14:paraId="294940BF" w14:textId="77777777" w:rsidTr="00B11906">
        <w:trPr>
          <w:cnfStyle w:val="100000000000" w:firstRow="1" w:lastRow="0" w:firstColumn="0" w:lastColumn="0" w:oddVBand="0" w:evenVBand="0" w:oddHBand="0"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17E5D"/>
          </w:tcPr>
          <w:p w14:paraId="06169FF8" w14:textId="77777777" w:rsidR="006977CD" w:rsidRDefault="006977CD">
            <w:pPr>
              <w:spacing w:line="240" w:lineRule="auto"/>
              <w:rPr>
                <w:rFonts w:cs="Calibri"/>
                <w:color w:val="000000"/>
                <w:szCs w:val="24"/>
              </w:rPr>
            </w:pP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17E5D"/>
            <w:hideMark/>
          </w:tcPr>
          <w:p w14:paraId="2D03AAB0" w14:textId="77777777" w:rsidR="006977CD" w:rsidRDefault="006977CD">
            <w:pPr>
              <w:pStyle w:val="Tableheadingrow1"/>
              <w:rPr>
                <w:szCs w:val="24"/>
              </w:rPr>
            </w:pPr>
            <w:r>
              <w:rPr>
                <w:rFonts w:cs="Calibri"/>
                <w:szCs w:val="24"/>
              </w:rPr>
              <w:t>Received</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17E5D"/>
            <w:hideMark/>
          </w:tcPr>
          <w:p w14:paraId="00B7E142" w14:textId="77777777" w:rsidR="006977CD" w:rsidRDefault="006977CD">
            <w:pPr>
              <w:pStyle w:val="Tableheadingrow1"/>
              <w:rPr>
                <w:szCs w:val="24"/>
              </w:rPr>
            </w:pPr>
            <w:r>
              <w:rPr>
                <w:szCs w:val="24"/>
              </w:rPr>
              <w:t>Completed</w:t>
            </w:r>
          </w:p>
        </w:tc>
      </w:tr>
      <w:tr w:rsidR="006977CD" w14:paraId="4EA99982"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A45B9D3" w14:textId="77777777" w:rsidR="006977CD" w:rsidRDefault="006977CD">
            <w:pPr>
              <w:pStyle w:val="Tablebodytext"/>
            </w:pPr>
            <w:r>
              <w:t>2016/17</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FF6C235" w14:textId="77777777" w:rsidR="006977CD" w:rsidRDefault="006977CD" w:rsidP="00DA55D1">
            <w:pPr>
              <w:pStyle w:val="Tablebodytext"/>
              <w:jc w:val="center"/>
              <w:rPr>
                <w:rFonts w:cs="Calibri"/>
                <w:color w:val="000000"/>
              </w:rPr>
            </w:pPr>
            <w:r>
              <w:t>45</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88558BA" w14:textId="77777777" w:rsidR="006977CD" w:rsidRDefault="006977CD" w:rsidP="006977CD">
            <w:pPr>
              <w:pStyle w:val="Tablebodytext"/>
              <w:jc w:val="center"/>
            </w:pPr>
            <w:r>
              <w:t>44</w:t>
            </w:r>
          </w:p>
        </w:tc>
      </w:tr>
      <w:tr w:rsidR="006977CD" w14:paraId="167305B7"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B72E412" w14:textId="77777777" w:rsidR="006977CD" w:rsidRDefault="006977CD">
            <w:pPr>
              <w:pStyle w:val="Tablebodytext"/>
            </w:pPr>
            <w:r>
              <w:t>2017/18</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1A46A31" w14:textId="77777777" w:rsidR="006977CD" w:rsidRDefault="006977CD" w:rsidP="006977CD">
            <w:pPr>
              <w:pStyle w:val="Tablebodytext"/>
              <w:jc w:val="center"/>
            </w:pPr>
            <w:r>
              <w:t>77</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B8AC9F7" w14:textId="77777777" w:rsidR="006977CD" w:rsidRDefault="006977CD" w:rsidP="006977CD">
            <w:pPr>
              <w:pStyle w:val="Tablebodytext"/>
              <w:jc w:val="center"/>
            </w:pPr>
            <w:r>
              <w:t>79</w:t>
            </w:r>
          </w:p>
        </w:tc>
      </w:tr>
      <w:tr w:rsidR="006977CD" w14:paraId="1D3295F4"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5AEF00E" w14:textId="77777777" w:rsidR="006977CD" w:rsidRDefault="006977CD">
            <w:pPr>
              <w:pStyle w:val="Tablebodytext"/>
            </w:pPr>
            <w:r>
              <w:t>2018/19</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33C3A3B" w14:textId="77777777" w:rsidR="006977CD" w:rsidRDefault="006977CD" w:rsidP="006977CD">
            <w:pPr>
              <w:pStyle w:val="Tablebodytext"/>
              <w:jc w:val="center"/>
            </w:pPr>
            <w:r>
              <w:t>88</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892A78D" w14:textId="77777777" w:rsidR="006977CD" w:rsidRDefault="006977CD" w:rsidP="006977CD">
            <w:pPr>
              <w:pStyle w:val="Tablebodytext"/>
              <w:jc w:val="center"/>
            </w:pPr>
            <w:r>
              <w:t>90</w:t>
            </w:r>
          </w:p>
        </w:tc>
      </w:tr>
      <w:tr w:rsidR="006977CD" w14:paraId="1069716E"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8AF814A" w14:textId="77777777" w:rsidR="006977CD" w:rsidRDefault="006977CD">
            <w:pPr>
              <w:pStyle w:val="Tablebodytext"/>
            </w:pPr>
            <w:r>
              <w:t>2019/20</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FFFD0F2" w14:textId="77777777" w:rsidR="006977CD" w:rsidRDefault="006977CD" w:rsidP="006977CD">
            <w:pPr>
              <w:pStyle w:val="Tablebodytext"/>
              <w:jc w:val="center"/>
            </w:pPr>
            <w:r>
              <w:t>78</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3FF9E51" w14:textId="77777777" w:rsidR="006977CD" w:rsidRDefault="006977CD" w:rsidP="006977CD">
            <w:pPr>
              <w:pStyle w:val="Tablebodytext"/>
              <w:jc w:val="center"/>
            </w:pPr>
            <w:r>
              <w:t>74</w:t>
            </w:r>
          </w:p>
        </w:tc>
      </w:tr>
      <w:tr w:rsidR="006977CD" w14:paraId="3C8DB5F4"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383140EF" w14:textId="77777777" w:rsidR="006977CD" w:rsidRDefault="006977CD">
            <w:pPr>
              <w:pStyle w:val="Tablebodytext"/>
            </w:pPr>
            <w:r>
              <w:t>2020/21</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494DE99" w14:textId="77777777" w:rsidR="006977CD" w:rsidRDefault="006977CD" w:rsidP="006977CD">
            <w:pPr>
              <w:pStyle w:val="Tablebodytext"/>
              <w:jc w:val="center"/>
            </w:pPr>
            <w:r>
              <w:t>116</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E2C8240" w14:textId="77777777" w:rsidR="006977CD" w:rsidRDefault="006977CD" w:rsidP="006977CD">
            <w:pPr>
              <w:pStyle w:val="Tablebodytext"/>
              <w:jc w:val="center"/>
            </w:pPr>
            <w:r>
              <w:t>116</w:t>
            </w:r>
          </w:p>
        </w:tc>
      </w:tr>
      <w:tr w:rsidR="006977CD" w14:paraId="674D39FA"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38A3047" w14:textId="77777777" w:rsidR="006977CD" w:rsidRDefault="006977CD">
            <w:pPr>
              <w:pStyle w:val="Tablebodytext"/>
            </w:pPr>
            <w:r>
              <w:t>2021/22</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076AD715" w14:textId="77777777" w:rsidR="006977CD" w:rsidRDefault="006977CD" w:rsidP="006977CD">
            <w:pPr>
              <w:pStyle w:val="Tablebodytext"/>
              <w:jc w:val="center"/>
            </w:pPr>
            <w:r>
              <w:t>71</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8C9F874" w14:textId="77777777" w:rsidR="006977CD" w:rsidRDefault="006977CD" w:rsidP="006977CD">
            <w:pPr>
              <w:pStyle w:val="Tablebodytext"/>
              <w:jc w:val="center"/>
            </w:pPr>
            <w:r>
              <w:t>70</w:t>
            </w:r>
          </w:p>
        </w:tc>
      </w:tr>
      <w:tr w:rsidR="006977CD" w14:paraId="1C1BEE94"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8B622BC" w14:textId="77777777" w:rsidR="006977CD" w:rsidRDefault="006977CD">
            <w:pPr>
              <w:pStyle w:val="Tablebodytext"/>
            </w:pPr>
            <w:r>
              <w:t>2022/23</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E5F43E4" w14:textId="77777777" w:rsidR="006977CD" w:rsidRDefault="006977CD" w:rsidP="006977CD">
            <w:pPr>
              <w:pStyle w:val="Tablebodytext"/>
              <w:jc w:val="center"/>
            </w:pPr>
            <w:r>
              <w:t>128</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7BC4124" w14:textId="77777777" w:rsidR="006977CD" w:rsidRDefault="006977CD" w:rsidP="006977CD">
            <w:pPr>
              <w:pStyle w:val="Tablebodytext"/>
              <w:jc w:val="center"/>
            </w:pPr>
            <w:r>
              <w:t>85</w:t>
            </w:r>
          </w:p>
        </w:tc>
      </w:tr>
      <w:tr w:rsidR="006977CD" w14:paraId="35E5A12D"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69C57D6" w14:textId="77777777" w:rsidR="006977CD" w:rsidRDefault="006977CD">
            <w:pPr>
              <w:pStyle w:val="Tablebodytext"/>
            </w:pPr>
            <w:r>
              <w:t>2023/24</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6E2B629" w14:textId="77777777" w:rsidR="006977CD" w:rsidRDefault="006977CD" w:rsidP="006977CD">
            <w:pPr>
              <w:pStyle w:val="Tablebodytext"/>
              <w:jc w:val="center"/>
            </w:pPr>
            <w:r>
              <w:t>206</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227321D5" w14:textId="77777777" w:rsidR="006977CD" w:rsidRDefault="006977CD" w:rsidP="006977CD">
            <w:pPr>
              <w:pStyle w:val="Tablebodytext"/>
              <w:jc w:val="center"/>
            </w:pPr>
            <w:r>
              <w:t>220</w:t>
            </w:r>
          </w:p>
        </w:tc>
      </w:tr>
      <w:tr w:rsidR="006977CD" w14:paraId="49F964B0"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4565090C" w14:textId="77777777" w:rsidR="006977CD" w:rsidRDefault="006977CD">
            <w:pPr>
              <w:pStyle w:val="Tablebodytext"/>
            </w:pPr>
            <w:r>
              <w:t>2024/25</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5018F90F" w14:textId="77777777" w:rsidR="006977CD" w:rsidRDefault="006977CD" w:rsidP="006977CD">
            <w:pPr>
              <w:pStyle w:val="Tablebodytext"/>
              <w:jc w:val="center"/>
            </w:pPr>
            <w:r>
              <w:t>287</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69179D46" w14:textId="77777777" w:rsidR="006977CD" w:rsidRDefault="006977CD" w:rsidP="006977CD">
            <w:pPr>
              <w:pStyle w:val="Tablebodytext"/>
              <w:jc w:val="center"/>
            </w:pPr>
            <w:r>
              <w:t>278</w:t>
            </w:r>
          </w:p>
        </w:tc>
      </w:tr>
      <w:tr w:rsidR="006977CD" w14:paraId="04D94CCE"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1858"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F98A11B" w14:textId="77777777" w:rsidR="006977CD" w:rsidRDefault="006977CD">
            <w:pPr>
              <w:pStyle w:val="Tablebodytext"/>
            </w:pPr>
            <w:r>
              <w:t xml:space="preserve">2025/26 </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1D697B9A" w14:textId="77777777" w:rsidR="006977CD" w:rsidRDefault="006977CD" w:rsidP="006977CD">
            <w:pPr>
              <w:pStyle w:val="Tablebodytext"/>
              <w:jc w:val="center"/>
            </w:pPr>
            <w:r>
              <w:t>330</w:t>
            </w:r>
          </w:p>
        </w:tc>
        <w:tc>
          <w:tcPr>
            <w:tcW w:w="3744" w:type="dxa"/>
            <w:tcBorders>
              <w:top w:val="none" w:sz="0" w:space="0" w:color="auto"/>
              <w:left w:val="none" w:sz="0" w:space="0" w:color="auto"/>
              <w:bottom w:val="none" w:sz="0" w:space="0" w:color="auto"/>
              <w:right w:val="none" w:sz="0" w:space="0" w:color="auto"/>
              <w:tl2br w:val="none" w:sz="0" w:space="0" w:color="auto"/>
              <w:tr2bl w:val="none" w:sz="0" w:space="0" w:color="auto"/>
            </w:tcBorders>
            <w:hideMark/>
          </w:tcPr>
          <w:p w14:paraId="72B780E9" w14:textId="77777777" w:rsidR="006977CD" w:rsidRDefault="006977CD" w:rsidP="006977CD">
            <w:pPr>
              <w:pStyle w:val="Tablebodytext"/>
              <w:jc w:val="center"/>
            </w:pPr>
            <w:r>
              <w:t>354</w:t>
            </w:r>
          </w:p>
        </w:tc>
      </w:tr>
    </w:tbl>
    <w:p w14:paraId="433C437B" w14:textId="77777777" w:rsidR="004B452C" w:rsidRPr="004B452C" w:rsidRDefault="004B452C" w:rsidP="004B452C">
      <w:pPr>
        <w:pStyle w:val="BodyText"/>
      </w:pPr>
    </w:p>
    <w:p w14:paraId="45135CFE" w14:textId="0F8B8F3B" w:rsidR="00266B40" w:rsidRPr="00266B40" w:rsidRDefault="00266B40" w:rsidP="00266B40">
      <w:pPr>
        <w:pStyle w:val="Heading3"/>
        <w:spacing w:before="240"/>
      </w:pPr>
      <w:bookmarkStart w:id="113" w:name="_Figure_8:_Awareness"/>
      <w:bookmarkEnd w:id="113"/>
      <w:r w:rsidRPr="00266B40">
        <w:t>Figure 8: Awareness of the PDA</w:t>
      </w:r>
      <w:r w:rsidR="00534FB1">
        <w:t xml:space="preserve"> (percentage)</w:t>
      </w:r>
      <w:r w:rsidRPr="00266B40">
        <w:t xml:space="preserve">. </w:t>
      </w:r>
    </w:p>
    <w:tbl>
      <w:tblPr>
        <w:tblStyle w:val="TableGridAnnualReport"/>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Caption w:val="Table for formatting purposes"/>
      </w:tblPr>
      <w:tblGrid>
        <w:gridCol w:w="2967"/>
        <w:gridCol w:w="1055"/>
        <w:gridCol w:w="1055"/>
        <w:gridCol w:w="1055"/>
        <w:gridCol w:w="1055"/>
        <w:gridCol w:w="1055"/>
        <w:gridCol w:w="1055"/>
      </w:tblGrid>
      <w:tr w:rsidR="005D7C6F" w14:paraId="61049255" w14:textId="77777777" w:rsidTr="00B11906">
        <w:trPr>
          <w:cnfStyle w:val="100000000000" w:firstRow="1" w:lastRow="0" w:firstColumn="0" w:lastColumn="0" w:oddVBand="0" w:evenVBand="0" w:oddHBand="0" w:evenHBand="0" w:firstRowFirstColumn="0" w:firstRowLastColumn="0" w:lastRowFirstColumn="0" w:lastRowLastColumn="0"/>
          <w:cantSplit/>
        </w:trPr>
        <w:tc>
          <w:tcPr>
            <w:tcW w:w="2967" w:type="dxa"/>
            <w:shd w:val="clear" w:color="auto" w:fill="017E5D"/>
          </w:tcPr>
          <w:p w14:paraId="2381D878" w14:textId="77777777" w:rsidR="00534FB1" w:rsidRDefault="00534FB1" w:rsidP="00534FB1">
            <w:pPr>
              <w:pStyle w:val="Tableheadingrow1"/>
            </w:pPr>
          </w:p>
        </w:tc>
        <w:tc>
          <w:tcPr>
            <w:tcW w:w="1055" w:type="dxa"/>
            <w:shd w:val="clear" w:color="auto" w:fill="017E5D"/>
          </w:tcPr>
          <w:p w14:paraId="475A335C" w14:textId="55F734E3" w:rsidR="00534FB1" w:rsidRDefault="00534FB1" w:rsidP="00534FB1">
            <w:pPr>
              <w:pStyle w:val="Tableheadingrow1"/>
            </w:pPr>
            <w:r>
              <w:t>2020/21</w:t>
            </w:r>
          </w:p>
        </w:tc>
        <w:tc>
          <w:tcPr>
            <w:tcW w:w="1055" w:type="dxa"/>
            <w:shd w:val="clear" w:color="auto" w:fill="017E5D"/>
          </w:tcPr>
          <w:p w14:paraId="6A711A00" w14:textId="382C1344" w:rsidR="00534FB1" w:rsidRDefault="00534FB1" w:rsidP="00534FB1">
            <w:pPr>
              <w:pStyle w:val="Tableheadingrow1"/>
            </w:pPr>
            <w:r>
              <w:t>2021/22</w:t>
            </w:r>
          </w:p>
        </w:tc>
        <w:tc>
          <w:tcPr>
            <w:tcW w:w="1055" w:type="dxa"/>
            <w:shd w:val="clear" w:color="auto" w:fill="017E5D"/>
          </w:tcPr>
          <w:p w14:paraId="0FFF5A14" w14:textId="65F01CC0" w:rsidR="00534FB1" w:rsidRDefault="00534FB1" w:rsidP="00534FB1">
            <w:pPr>
              <w:pStyle w:val="Tableheadingrow1"/>
            </w:pPr>
            <w:r>
              <w:t>2022/23</w:t>
            </w:r>
          </w:p>
        </w:tc>
        <w:tc>
          <w:tcPr>
            <w:tcW w:w="1055" w:type="dxa"/>
            <w:shd w:val="clear" w:color="auto" w:fill="017E5D"/>
          </w:tcPr>
          <w:p w14:paraId="522F7034" w14:textId="73EE0ECB" w:rsidR="00534FB1" w:rsidRDefault="00534FB1" w:rsidP="00534FB1">
            <w:pPr>
              <w:pStyle w:val="Tableheadingrow1"/>
            </w:pPr>
            <w:r>
              <w:t>2023/24</w:t>
            </w:r>
          </w:p>
        </w:tc>
        <w:tc>
          <w:tcPr>
            <w:tcW w:w="1055" w:type="dxa"/>
            <w:shd w:val="clear" w:color="auto" w:fill="017E5D"/>
          </w:tcPr>
          <w:p w14:paraId="00F06AEA" w14:textId="1C1BB4A3" w:rsidR="00534FB1" w:rsidRDefault="00534FB1" w:rsidP="00534FB1">
            <w:pPr>
              <w:pStyle w:val="Tableheadingrow1"/>
            </w:pPr>
            <w:r>
              <w:t>2024/25</w:t>
            </w:r>
          </w:p>
        </w:tc>
        <w:tc>
          <w:tcPr>
            <w:tcW w:w="1055" w:type="dxa"/>
            <w:shd w:val="clear" w:color="auto" w:fill="017E5D"/>
          </w:tcPr>
          <w:p w14:paraId="22423554" w14:textId="28808A7B" w:rsidR="00534FB1" w:rsidRDefault="00534FB1" w:rsidP="00534FB1">
            <w:pPr>
              <w:pStyle w:val="Tableheadingrow1"/>
            </w:pPr>
            <w:r>
              <w:t>2025/26</w:t>
            </w:r>
          </w:p>
        </w:tc>
      </w:tr>
      <w:tr w:rsidR="00534FB1" w14:paraId="3366460D"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29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76EC2C7" w14:textId="11A395C2" w:rsidR="00534FB1" w:rsidRDefault="00534FB1" w:rsidP="00534FB1">
            <w:pPr>
              <w:pStyle w:val="Tablebodytext"/>
            </w:pPr>
            <w:r>
              <w:t>Has heard of the PDA</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F32F9B3" w14:textId="15AA6288" w:rsidR="00534FB1" w:rsidRDefault="00534FB1" w:rsidP="00534FB1">
            <w:pPr>
              <w:pStyle w:val="Tablebodytext"/>
              <w:jc w:val="center"/>
            </w:pPr>
            <w:r>
              <w:t>16</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1A224B7" w14:textId="5BDA64EB" w:rsidR="00534FB1" w:rsidRDefault="00534FB1" w:rsidP="00534FB1">
            <w:pPr>
              <w:pStyle w:val="Tablebodytext"/>
              <w:jc w:val="center"/>
            </w:pPr>
            <w:r>
              <w:t>14</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4674E67" w14:textId="0DD686DB" w:rsidR="00534FB1" w:rsidRDefault="00534FB1" w:rsidP="00534FB1">
            <w:pPr>
              <w:pStyle w:val="Tablebodytext"/>
              <w:jc w:val="center"/>
            </w:pPr>
            <w:r>
              <w:t>20</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37C205" w14:textId="07B7CE8B" w:rsidR="00534FB1" w:rsidRDefault="00534FB1" w:rsidP="00534FB1">
            <w:pPr>
              <w:pStyle w:val="Tablebodytext"/>
              <w:jc w:val="center"/>
            </w:pPr>
            <w:r>
              <w:t>25</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81B3CA3" w14:textId="6729B019" w:rsidR="00534FB1" w:rsidRDefault="00534FB1" w:rsidP="00534FB1">
            <w:pPr>
              <w:pStyle w:val="Tablebodytext"/>
              <w:jc w:val="center"/>
            </w:pPr>
            <w:r>
              <w:t>36</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7F23EF6" w14:textId="008913D9" w:rsidR="00534FB1" w:rsidRDefault="00534FB1" w:rsidP="00534FB1">
            <w:pPr>
              <w:pStyle w:val="Tablebodytext"/>
              <w:jc w:val="center"/>
            </w:pPr>
            <w:r>
              <w:t>30</w:t>
            </w:r>
          </w:p>
        </w:tc>
      </w:tr>
      <w:tr w:rsidR="00534FB1" w14:paraId="3C58F605"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29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59A1CAA" w14:textId="17A09813" w:rsidR="00534FB1" w:rsidRDefault="00534FB1" w:rsidP="00534FB1">
            <w:pPr>
              <w:pStyle w:val="Tablebodytext"/>
            </w:pPr>
            <w:r>
              <w:t xml:space="preserve">Has witnessed serious wrongdoing at work </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44A8B96" w14:textId="794F6FF8" w:rsidR="00534FB1" w:rsidRDefault="00534FB1" w:rsidP="00534FB1">
            <w:pPr>
              <w:pStyle w:val="Tablebodytext"/>
              <w:jc w:val="center"/>
            </w:pPr>
            <w:r>
              <w:t>26</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AD9CDA3" w14:textId="4B644E63" w:rsidR="00534FB1" w:rsidRDefault="00534FB1" w:rsidP="00534FB1">
            <w:pPr>
              <w:pStyle w:val="Tablebodytext"/>
              <w:jc w:val="center"/>
            </w:pPr>
            <w:r>
              <w:t>24</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0B2BF62" w14:textId="72BF0F76" w:rsidR="00534FB1" w:rsidRDefault="00534FB1" w:rsidP="00534FB1">
            <w:pPr>
              <w:pStyle w:val="Tablebodytext"/>
              <w:jc w:val="center"/>
            </w:pPr>
            <w:r>
              <w:t>23</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464CBEB" w14:textId="597FD359" w:rsidR="00534FB1" w:rsidRDefault="00534FB1" w:rsidP="00534FB1">
            <w:pPr>
              <w:pStyle w:val="Tablebodytext"/>
              <w:jc w:val="center"/>
            </w:pPr>
            <w:r>
              <w:t>25</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9EFF4DB" w14:textId="4F83D9DC" w:rsidR="00534FB1" w:rsidRDefault="00534FB1" w:rsidP="00534FB1">
            <w:pPr>
              <w:pStyle w:val="Tablebodytext"/>
              <w:jc w:val="center"/>
            </w:pPr>
            <w:r>
              <w:t>31</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5912583" w14:textId="55E15DAB" w:rsidR="00534FB1" w:rsidRDefault="00534FB1" w:rsidP="00534FB1">
            <w:pPr>
              <w:pStyle w:val="Tablebodytext"/>
              <w:jc w:val="center"/>
            </w:pPr>
            <w:r>
              <w:t>24</w:t>
            </w:r>
          </w:p>
        </w:tc>
      </w:tr>
      <w:tr w:rsidR="00534FB1" w14:paraId="1C252BBB"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29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BE2F914" w14:textId="2FEF9192" w:rsidR="00534FB1" w:rsidRDefault="00534FB1" w:rsidP="00534FB1">
            <w:pPr>
              <w:pStyle w:val="Tablebodytext"/>
            </w:pPr>
            <w:r>
              <w:t xml:space="preserve">Would feel safe if made a disclosure </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D7A5740" w14:textId="221422F3" w:rsidR="00534FB1" w:rsidRDefault="00534FB1" w:rsidP="00534FB1">
            <w:pPr>
              <w:pStyle w:val="Tablebodytext"/>
              <w:jc w:val="center"/>
            </w:pPr>
            <w:r>
              <w:t>40</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971E3B4" w14:textId="04BBDCC8" w:rsidR="00534FB1" w:rsidRDefault="00534FB1" w:rsidP="00534FB1">
            <w:pPr>
              <w:pStyle w:val="Tablebodytext"/>
              <w:jc w:val="center"/>
            </w:pPr>
            <w:r>
              <w:t>42</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13945BD" w14:textId="5B64515A" w:rsidR="00534FB1" w:rsidRDefault="00534FB1" w:rsidP="00534FB1">
            <w:pPr>
              <w:pStyle w:val="Tablebodytext"/>
              <w:jc w:val="center"/>
            </w:pPr>
            <w:r>
              <w:t>39</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D3512DD" w14:textId="67256CCD" w:rsidR="00534FB1" w:rsidRDefault="00534FB1" w:rsidP="00534FB1">
            <w:pPr>
              <w:pStyle w:val="Tablebodytext"/>
              <w:jc w:val="center"/>
            </w:pPr>
            <w:r>
              <w:t>44</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82192C2" w14:textId="76BE6F51" w:rsidR="00534FB1" w:rsidRDefault="00534FB1" w:rsidP="00534FB1">
            <w:pPr>
              <w:pStyle w:val="Tablebodytext"/>
              <w:jc w:val="center"/>
            </w:pPr>
            <w:r>
              <w:t>48</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B07FA97" w14:textId="6500F7E5" w:rsidR="00534FB1" w:rsidRDefault="00534FB1" w:rsidP="00534FB1">
            <w:pPr>
              <w:pStyle w:val="Tablebodytext"/>
              <w:jc w:val="center"/>
            </w:pPr>
            <w:r>
              <w:t>44</w:t>
            </w:r>
          </w:p>
        </w:tc>
      </w:tr>
      <w:tr w:rsidR="00534FB1" w14:paraId="726D3952" w14:textId="77777777" w:rsidTr="00B11906">
        <w:trPr>
          <w:cnfStyle w:val="000000010000" w:firstRow="0" w:lastRow="0" w:firstColumn="0" w:lastColumn="0" w:oddVBand="0" w:evenVBand="0" w:oddHBand="0" w:evenHBand="1" w:firstRowFirstColumn="0" w:firstRowLastColumn="0" w:lastRowFirstColumn="0" w:lastRowLastColumn="0"/>
          <w:cantSplit/>
        </w:trPr>
        <w:tc>
          <w:tcPr>
            <w:tcW w:w="29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90B533D" w14:textId="1E00C5DD" w:rsidR="00534FB1" w:rsidRDefault="00534FB1" w:rsidP="00534FB1">
            <w:pPr>
              <w:pStyle w:val="Tablebodytext"/>
            </w:pPr>
            <w:r>
              <w:t xml:space="preserve">Would contact the Ombudsman for advice </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2852EBE" w14:textId="44742A8F" w:rsidR="00534FB1" w:rsidRDefault="00534FB1" w:rsidP="00534FB1">
            <w:pPr>
              <w:pStyle w:val="Tablebodytext"/>
              <w:jc w:val="center"/>
            </w:pPr>
            <w:r>
              <w:t>55</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5EF1DB" w14:textId="5EC94235" w:rsidR="00534FB1" w:rsidRDefault="00534FB1" w:rsidP="00534FB1">
            <w:pPr>
              <w:pStyle w:val="Tablebodytext"/>
              <w:jc w:val="center"/>
            </w:pPr>
            <w:r>
              <w:t>59</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7715FA9" w14:textId="1F7CB41F" w:rsidR="00534FB1" w:rsidRDefault="00534FB1" w:rsidP="00534FB1">
            <w:pPr>
              <w:pStyle w:val="Tablebodytext"/>
              <w:jc w:val="center"/>
            </w:pPr>
            <w:r>
              <w:t>61</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6FAEF6" w14:textId="270F12B0" w:rsidR="00534FB1" w:rsidRDefault="00534FB1" w:rsidP="00534FB1">
            <w:pPr>
              <w:pStyle w:val="Tablebodytext"/>
              <w:jc w:val="center"/>
            </w:pPr>
            <w:r>
              <w:t>63</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E97E1AA" w14:textId="52F68FFA" w:rsidR="00534FB1" w:rsidRDefault="00534FB1" w:rsidP="00534FB1">
            <w:pPr>
              <w:pStyle w:val="Tablebodytext"/>
              <w:jc w:val="center"/>
            </w:pPr>
            <w:r>
              <w:t>67</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3B92FD9" w14:textId="49A6C775" w:rsidR="00534FB1" w:rsidRDefault="00534FB1" w:rsidP="00534FB1">
            <w:pPr>
              <w:pStyle w:val="Tablebodytext"/>
              <w:jc w:val="center"/>
            </w:pPr>
            <w:r>
              <w:t>63</w:t>
            </w:r>
          </w:p>
        </w:tc>
      </w:tr>
      <w:tr w:rsidR="00534FB1" w14:paraId="7ADDB9CE" w14:textId="77777777" w:rsidTr="00B11906">
        <w:trPr>
          <w:cnfStyle w:val="000000100000" w:firstRow="0" w:lastRow="0" w:firstColumn="0" w:lastColumn="0" w:oddVBand="0" w:evenVBand="0" w:oddHBand="1" w:evenHBand="0" w:firstRowFirstColumn="0" w:firstRowLastColumn="0" w:lastRowFirstColumn="0" w:lastRowLastColumn="0"/>
          <w:cantSplit/>
        </w:trPr>
        <w:tc>
          <w:tcPr>
            <w:tcW w:w="296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33D0668" w14:textId="15E3C9DD" w:rsidR="00534FB1" w:rsidRDefault="00534FB1" w:rsidP="00534FB1">
            <w:pPr>
              <w:pStyle w:val="Tablebodytext"/>
            </w:pPr>
            <w:r>
              <w:t xml:space="preserve">Made a protected disclosure after witnessing serious wrongdoing </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72BBB4B" w14:textId="665CD0AC" w:rsidR="00534FB1" w:rsidRDefault="00534FB1" w:rsidP="00534FB1">
            <w:pPr>
              <w:pStyle w:val="Tablebodytext"/>
              <w:jc w:val="center"/>
            </w:pPr>
            <w:r>
              <w:t>49</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3BCFB39" w14:textId="4ABAD625" w:rsidR="00534FB1" w:rsidRDefault="00534FB1" w:rsidP="00534FB1">
            <w:pPr>
              <w:pStyle w:val="Tablebodytext"/>
              <w:jc w:val="center"/>
            </w:pPr>
            <w:r>
              <w:t>41</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3FE7E6B" w14:textId="1BFCB1AF" w:rsidR="00534FB1" w:rsidRDefault="00534FB1" w:rsidP="00534FB1">
            <w:pPr>
              <w:pStyle w:val="Tablebodytext"/>
              <w:jc w:val="center"/>
            </w:pPr>
            <w:r>
              <w:t>40</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5449800" w14:textId="00A401A3" w:rsidR="00534FB1" w:rsidRDefault="00534FB1" w:rsidP="00534FB1">
            <w:pPr>
              <w:pStyle w:val="Tablebodytext"/>
              <w:jc w:val="center"/>
            </w:pPr>
            <w:r>
              <w:t>41</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3881CA0" w14:textId="5034760B" w:rsidR="00534FB1" w:rsidRDefault="00534FB1" w:rsidP="00534FB1">
            <w:pPr>
              <w:pStyle w:val="Tablebodytext"/>
              <w:jc w:val="center"/>
            </w:pPr>
            <w:r>
              <w:t>50</w:t>
            </w:r>
          </w:p>
        </w:tc>
        <w:tc>
          <w:tcPr>
            <w:tcW w:w="105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7BF243A" w14:textId="641CEB31" w:rsidR="00534FB1" w:rsidRDefault="00534FB1" w:rsidP="00534FB1">
            <w:pPr>
              <w:pStyle w:val="Tablebodytext"/>
              <w:jc w:val="center"/>
            </w:pPr>
            <w:r>
              <w:t>37</w:t>
            </w:r>
          </w:p>
        </w:tc>
      </w:tr>
    </w:tbl>
    <w:p w14:paraId="124C165E" w14:textId="445AAED3" w:rsidR="00A117AA" w:rsidRDefault="00A117AA" w:rsidP="0054014B">
      <w:pPr>
        <w:pStyle w:val="BodyText"/>
      </w:pPr>
    </w:p>
    <w:p w14:paraId="65C9F85B" w14:textId="77777777" w:rsidR="00EE29A4" w:rsidRDefault="00EE29A4" w:rsidP="006121D8">
      <w:pPr>
        <w:spacing w:line="276" w:lineRule="auto"/>
        <w:sectPr w:rsidR="00EE29A4" w:rsidSect="00A117AA">
          <w:headerReference w:type="default" r:id="rId56"/>
          <w:footerReference w:type="default" r:id="rId57"/>
          <w:headerReference w:type="first" r:id="rId58"/>
          <w:endnotePr>
            <w:numFmt w:val="decimal"/>
          </w:endnotePr>
          <w:type w:val="continuous"/>
          <w:pgSz w:w="11906" w:h="16838" w:code="9"/>
          <w:pgMar w:top="2438" w:right="1304" w:bottom="1701" w:left="1304" w:header="680" w:footer="284" w:gutter="0"/>
          <w:cols w:space="708"/>
          <w:titlePg/>
          <w:docGrid w:linePitch="360"/>
        </w:sectPr>
      </w:pPr>
    </w:p>
    <w:p w14:paraId="13B5E68F" w14:textId="08DFA7A8" w:rsidR="00266B40" w:rsidRPr="0054014B" w:rsidRDefault="00266B40" w:rsidP="006121D8">
      <w:pPr>
        <w:spacing w:line="276" w:lineRule="auto"/>
      </w:pPr>
    </w:p>
    <w:sectPr w:rsidR="00266B40" w:rsidRPr="0054014B" w:rsidSect="00EE29A4">
      <w:headerReference w:type="first" r:id="rId59"/>
      <w:endnotePr>
        <w:numFmt w:val="decimal"/>
      </w:endnotePr>
      <w:type w:val="oddPage"/>
      <w:pgSz w:w="11906" w:h="16838" w:code="9"/>
      <w:pgMar w:top="2438" w:right="1304" w:bottom="1701" w:left="1304"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BD2BB" w14:textId="77777777" w:rsidR="0022462C" w:rsidRPr="00D45126" w:rsidRDefault="0022462C" w:rsidP="00554FCD">
      <w:pPr>
        <w:spacing w:after="0" w:line="240" w:lineRule="auto"/>
        <w:rPr>
          <w:color w:val="4D4D4D"/>
        </w:rPr>
      </w:pPr>
      <w:r w:rsidRPr="00D45126">
        <w:rPr>
          <w:color w:val="4D4D4D"/>
        </w:rPr>
        <w:separator/>
      </w:r>
    </w:p>
  </w:endnote>
  <w:endnote w:type="continuationSeparator" w:id="0">
    <w:p w14:paraId="07170362" w14:textId="77777777" w:rsidR="0022462C" w:rsidRPr="00D45126" w:rsidRDefault="0022462C" w:rsidP="00554FCD">
      <w:pPr>
        <w:spacing w:after="0" w:line="240" w:lineRule="auto"/>
        <w:rPr>
          <w:color w:val="4D4D4D"/>
        </w:rPr>
      </w:pPr>
      <w:r w:rsidRPr="00D45126">
        <w:rPr>
          <w:color w:val="4D4D4D"/>
        </w:rPr>
        <w:continuationSeparator/>
      </w:r>
    </w:p>
  </w:endnote>
  <w:endnote w:type="continuationNotice" w:id="1">
    <w:p w14:paraId="50FCF76D" w14:textId="77777777" w:rsidR="0022462C" w:rsidRDefault="002246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yriad Pro">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899237"/>
      <w:docPartObj>
        <w:docPartGallery w:val="Page Numbers (Bottom of Page)"/>
        <w:docPartUnique/>
      </w:docPartObj>
    </w:sdtPr>
    <w:sdtEndPr/>
    <w:sdtContent>
      <w:p w14:paraId="644F8905" w14:textId="0B8AC438" w:rsidR="00AE62D3" w:rsidRDefault="00AE62D3">
        <w:pPr>
          <w:pStyle w:val="Footer"/>
          <w:jc w:val="center"/>
        </w:pPr>
        <w:r>
          <w:fldChar w:fldCharType="begin"/>
        </w:r>
        <w:r>
          <w:instrText>PAGE   \* MERGEFORMAT</w:instrText>
        </w:r>
        <w:r>
          <w:fldChar w:fldCharType="separate"/>
        </w:r>
        <w:r>
          <w:rPr>
            <w:lang w:val="en-GB"/>
          </w:rPr>
          <w:t>2</w:t>
        </w:r>
        <w:r>
          <w:fldChar w:fldCharType="end"/>
        </w:r>
      </w:p>
    </w:sdtContent>
  </w:sdt>
  <w:p w14:paraId="6CD5DCC8" w14:textId="6E269221" w:rsidR="00D5302F" w:rsidRPr="00AE62D3" w:rsidRDefault="00D5302F" w:rsidP="00AE6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8345" w14:textId="77777777" w:rsidR="0022462C" w:rsidRPr="00D45126" w:rsidRDefault="0022462C" w:rsidP="002B446B">
      <w:pPr>
        <w:spacing w:after="0" w:line="240" w:lineRule="auto"/>
        <w:rPr>
          <w:color w:val="4D4D4D"/>
        </w:rPr>
      </w:pPr>
      <w:r w:rsidRPr="00D45126">
        <w:rPr>
          <w:color w:val="4D4D4D"/>
        </w:rPr>
        <w:separator/>
      </w:r>
    </w:p>
  </w:footnote>
  <w:footnote w:type="continuationSeparator" w:id="0">
    <w:p w14:paraId="33469016" w14:textId="77777777" w:rsidR="0022462C" w:rsidRPr="00C14083" w:rsidRDefault="0022462C" w:rsidP="00554FCD">
      <w:pPr>
        <w:spacing w:after="0" w:line="240" w:lineRule="auto"/>
        <w:rPr>
          <w:color w:val="4D4D4D"/>
        </w:rPr>
      </w:pPr>
      <w:r w:rsidRPr="00C14083">
        <w:rPr>
          <w:color w:val="4D4D4D"/>
        </w:rPr>
        <w:continuationSeparator/>
      </w:r>
    </w:p>
  </w:footnote>
  <w:footnote w:type="continuationNotice" w:id="1">
    <w:p w14:paraId="1DB2BB69" w14:textId="77777777" w:rsidR="0022462C" w:rsidRDefault="0022462C">
      <w:pPr>
        <w:spacing w:after="0" w:line="240" w:lineRule="auto"/>
      </w:pPr>
    </w:p>
  </w:footnote>
  <w:footnote w:id="2">
    <w:p w14:paraId="747194D0" w14:textId="77777777" w:rsidR="00180289" w:rsidRDefault="00180289" w:rsidP="00180289">
      <w:pPr>
        <w:pStyle w:val="FootnoteText"/>
      </w:pPr>
      <w:r>
        <w:rPr>
          <w:rStyle w:val="FootnoteReference"/>
        </w:rPr>
        <w:footnoteRef/>
      </w:r>
      <w:r>
        <w:tab/>
        <w:t>Under the Official Information Act 1982 and the Local Government Official Information and Meetings Act 1987.</w:t>
      </w:r>
    </w:p>
  </w:footnote>
  <w:footnote w:id="3">
    <w:p w14:paraId="4466EA38" w14:textId="77777777" w:rsidR="00180289" w:rsidRDefault="00180289" w:rsidP="00180289">
      <w:pPr>
        <w:pStyle w:val="FootnoteText"/>
      </w:pPr>
      <w:r>
        <w:rPr>
          <w:rStyle w:val="FootnoteReference"/>
        </w:rPr>
        <w:footnoteRef/>
      </w:r>
      <w:r>
        <w:t xml:space="preserve"> </w:t>
      </w:r>
      <w:r>
        <w:tab/>
        <w:t>Through investigation under the Ombudsmen Act 1975.</w:t>
      </w:r>
    </w:p>
  </w:footnote>
  <w:footnote w:id="4">
    <w:p w14:paraId="3B344D85" w14:textId="77777777" w:rsidR="00180289" w:rsidRDefault="00180289" w:rsidP="00180289">
      <w:pPr>
        <w:pStyle w:val="FootnoteText"/>
      </w:pPr>
      <w:r>
        <w:rPr>
          <w:rStyle w:val="FootnoteReference"/>
        </w:rPr>
        <w:footnoteRef/>
      </w:r>
      <w:r>
        <w:tab/>
        <w:t xml:space="preserve">Under the Ombudsmen Act. Including some organisations providing services on behalf of government, such as Oranga Tamariki care or custody providers. </w:t>
      </w:r>
    </w:p>
  </w:footnote>
  <w:footnote w:id="5">
    <w:p w14:paraId="608EC5B9" w14:textId="77777777" w:rsidR="00180289" w:rsidRDefault="00180289" w:rsidP="00180289">
      <w:pPr>
        <w:pStyle w:val="FootnoteText"/>
        <w:ind w:left="0" w:firstLine="0"/>
      </w:pPr>
      <w:r>
        <w:rPr>
          <w:rStyle w:val="FootnoteReference"/>
        </w:rPr>
        <w:footnoteRef/>
      </w:r>
      <w:r>
        <w:tab/>
        <w:t>Under the Ombudsmen Act.</w:t>
      </w:r>
    </w:p>
  </w:footnote>
  <w:footnote w:id="6">
    <w:p w14:paraId="60444550" w14:textId="77777777" w:rsidR="00180289" w:rsidRDefault="00180289" w:rsidP="00180289">
      <w:pPr>
        <w:pStyle w:val="FootnoteText"/>
      </w:pPr>
      <w:r>
        <w:rPr>
          <w:rStyle w:val="FootnoteReference"/>
        </w:rPr>
        <w:footnoteRef/>
      </w:r>
      <w:r>
        <w:tab/>
        <w:t>Under the Protected Disclosures (Protection of Whistleblowers) Act 2022.</w:t>
      </w:r>
    </w:p>
  </w:footnote>
  <w:footnote w:id="7">
    <w:p w14:paraId="3623F89D" w14:textId="77777777" w:rsidR="00180289" w:rsidRDefault="00180289" w:rsidP="00180289">
      <w:pPr>
        <w:pStyle w:val="FootnoteText"/>
      </w:pPr>
      <w:r>
        <w:rPr>
          <w:rStyle w:val="FootnoteReference"/>
        </w:rPr>
        <w:footnoteRef/>
      </w:r>
      <w:r>
        <w:t xml:space="preserve"> </w:t>
      </w:r>
      <w:r>
        <w:tab/>
        <w:t>The Ombudsman is part of the Independent Monitoring Mechanism protecting and monitoring implementation in New Zealand of the United Nations Convention on the Rights of Persons with Disabilities.</w:t>
      </w:r>
    </w:p>
  </w:footnote>
  <w:footnote w:id="8">
    <w:p w14:paraId="1D055DC1" w14:textId="77777777" w:rsidR="00180289" w:rsidRDefault="00180289" w:rsidP="00180289">
      <w:pPr>
        <w:pStyle w:val="FootnoteText"/>
        <w:rPr>
          <w:i/>
        </w:rPr>
      </w:pPr>
      <w:r>
        <w:rPr>
          <w:rStyle w:val="FootnoteReference"/>
        </w:rPr>
        <w:footnoteRef/>
      </w:r>
      <w:r>
        <w:tab/>
        <w:t>The Ombudsman is a National Preventive Mechanism under the Crimes of Torture Act 1989. This Act fulfils New Zealand’s responsibilities under the United Nations Optional Protocol to the Convention Against Torture</w:t>
      </w:r>
      <w:r>
        <w:rPr>
          <w:i/>
        </w:rPr>
        <w:t>.</w:t>
      </w:r>
    </w:p>
  </w:footnote>
  <w:footnote w:id="9">
    <w:p w14:paraId="557D0B65" w14:textId="77777777" w:rsidR="00657923" w:rsidRPr="00545FC9" w:rsidRDefault="00657923" w:rsidP="00657923">
      <w:pPr>
        <w:pStyle w:val="FootnoteText"/>
      </w:pPr>
      <w:r w:rsidRPr="00545FC9">
        <w:rPr>
          <w:rStyle w:val="FootnoteReference"/>
        </w:rPr>
        <w:footnoteRef/>
      </w:r>
      <w:r w:rsidRPr="00545FC9">
        <w:t xml:space="preserve"> </w:t>
      </w:r>
      <w:r w:rsidRPr="0066348E">
        <w:tab/>
      </w:r>
      <w:r w:rsidRPr="0022651B">
        <w:t xml:space="preserve">We </w:t>
      </w:r>
      <w:r w:rsidRPr="002014CE">
        <w:t>acknowledge there are two texts with different meanings.</w:t>
      </w:r>
    </w:p>
  </w:footnote>
  <w:footnote w:id="10">
    <w:p w14:paraId="392AF862" w14:textId="77777777" w:rsidR="00657923" w:rsidRDefault="00657923" w:rsidP="00657923">
      <w:pPr>
        <w:pStyle w:val="FootnoteText"/>
      </w:pPr>
      <w:r w:rsidRPr="00545FC9">
        <w:rPr>
          <w:rStyle w:val="FootnoteReference"/>
        </w:rPr>
        <w:footnoteRef/>
      </w:r>
      <w:r w:rsidRPr="00545FC9">
        <w:t xml:space="preserve"> </w:t>
      </w:r>
      <w:r w:rsidRPr="0066348E">
        <w:tab/>
      </w:r>
      <w:r w:rsidRPr="002014CE">
        <w:t>The Ombudsman’s status as an Officer of Parliament means we are not a ‘Crown’ Treaty partner, but the Courts are increasingly expecting any entities that perform public functions to act in line with Te Tiriti, reflecting its constitutional importance. Our role and institutional independence from the Crown means that there may be particular contexts where the Crown’s Treaty obligations do not apply in the same terms to our work.</w:t>
      </w:r>
    </w:p>
  </w:footnote>
  <w:footnote w:id="11">
    <w:p w14:paraId="3C5D6BAF" w14:textId="77777777" w:rsidR="00DF1708" w:rsidRDefault="00DF1708" w:rsidP="00DF1708">
      <w:pPr>
        <w:pStyle w:val="FootnoteText"/>
      </w:pPr>
      <w:r w:rsidRPr="00E9536C">
        <w:rPr>
          <w:rStyle w:val="FootnoteReference"/>
        </w:rPr>
        <w:footnoteRef/>
      </w:r>
      <w:r w:rsidRPr="00E9536C">
        <w:t xml:space="preserve"> </w:t>
      </w:r>
      <w:r w:rsidRPr="00E9536C">
        <w:tab/>
        <w:t>See sections 28(3A) of the OIA and 27(3A) of the LGOIMA.</w:t>
      </w:r>
      <w:r>
        <w:t xml:space="preserve"> </w:t>
      </w:r>
    </w:p>
  </w:footnote>
  <w:footnote w:id="12">
    <w:p w14:paraId="53698B28" w14:textId="513BC597" w:rsidR="009A604F" w:rsidRDefault="009A604F">
      <w:pPr>
        <w:pStyle w:val="FootnoteText"/>
      </w:pPr>
      <w:r>
        <w:rPr>
          <w:rStyle w:val="FootnoteReference"/>
        </w:rPr>
        <w:footnoteRef/>
      </w:r>
      <w:r>
        <w:t xml:space="preserve"> </w:t>
      </w:r>
      <w:r>
        <w:tab/>
        <w:t>As with the increase of OA complaints received and completed across the board this year, we expected a similar increase in complaints and enquiries about Oranga Tamariki. However, the increase to complaints and enquires about Oranga Tamariki are</w:t>
      </w:r>
      <w:r w:rsidR="00D764C0">
        <w:t xml:space="preserve"> of</w:t>
      </w:r>
      <w:r>
        <w:t xml:space="preserve"> a greater magnitude to OA increases more broadly.  </w:t>
      </w:r>
    </w:p>
  </w:footnote>
  <w:footnote w:id="13">
    <w:p w14:paraId="16225782" w14:textId="77777777" w:rsidR="00392B1E" w:rsidRDefault="00392B1E" w:rsidP="00392B1E">
      <w:pPr>
        <w:pStyle w:val="FootnoteText"/>
      </w:pPr>
      <w:r>
        <w:rPr>
          <w:rStyle w:val="FootnoteReference"/>
        </w:rPr>
        <w:footnoteRef/>
      </w:r>
      <w:r>
        <w:t xml:space="preserve"> </w:t>
      </w:r>
      <w:r>
        <w:tab/>
      </w:r>
      <w:r w:rsidRPr="0057760E">
        <w:t>Section 42 of the Oversight of the Oranga Tamariki System Act 2022</w:t>
      </w:r>
      <w:r>
        <w:t>.</w:t>
      </w:r>
    </w:p>
  </w:footnote>
  <w:footnote w:id="14">
    <w:p w14:paraId="5EF62931" w14:textId="77170CA0" w:rsidR="00E52973" w:rsidRDefault="00E52973" w:rsidP="00E52973">
      <w:pPr>
        <w:pStyle w:val="FootnoteText"/>
      </w:pPr>
      <w:r>
        <w:rPr>
          <w:rStyle w:val="FootnoteReference"/>
        </w:rPr>
        <w:footnoteRef/>
      </w:r>
      <w:r>
        <w:t xml:space="preserve"> </w:t>
      </w:r>
      <w:r>
        <w:tab/>
        <w:t xml:space="preserve">Additional funding </w:t>
      </w:r>
      <w:r w:rsidR="00FB61AA">
        <w:t>was</w:t>
      </w:r>
      <w:r>
        <w:t xml:space="preserve"> approved by Parliament from 1 July 2025. </w:t>
      </w:r>
    </w:p>
  </w:footnote>
  <w:footnote w:id="15">
    <w:p w14:paraId="5654AC49" w14:textId="77777777" w:rsidR="008B3434" w:rsidRDefault="008B3434" w:rsidP="008B3434">
      <w:pPr>
        <w:pStyle w:val="FootnoteText"/>
      </w:pPr>
      <w:r>
        <w:rPr>
          <w:rStyle w:val="FootnoteReference"/>
        </w:rPr>
        <w:footnoteRef/>
      </w:r>
      <w:r>
        <w:t xml:space="preserve"> </w:t>
      </w:r>
      <w:r>
        <w:tab/>
        <w:t>The trend began after t</w:t>
      </w:r>
      <w:r w:rsidRPr="00EF6984">
        <w:t>he new legislation in 2022 gave people the ability to raise concerns about serious wrongdoing in their workplace directly with the Ombudsman and other appropriate authorities, without first having to raise concerns with their employer</w:t>
      </w:r>
      <w:r>
        <w:t>.</w:t>
      </w:r>
    </w:p>
  </w:footnote>
  <w:footnote w:id="16">
    <w:p w14:paraId="75C59BF0" w14:textId="725E8380" w:rsidR="008B3434" w:rsidRDefault="008B3434" w:rsidP="008B3434">
      <w:pPr>
        <w:pStyle w:val="FootnoteText"/>
      </w:pPr>
      <w:r>
        <w:rPr>
          <w:rStyle w:val="FootnoteReference"/>
        </w:rPr>
        <w:footnoteRef/>
      </w:r>
      <w:r>
        <w:t xml:space="preserve"> </w:t>
      </w:r>
      <w:r>
        <w:tab/>
        <w:t>The PDA does not replace usual employment dispute processes, including the Employment Relations Act</w:t>
      </w:r>
      <w:r w:rsidR="00412A44">
        <w:t xml:space="preserve"> 2000</w:t>
      </w:r>
      <w:r>
        <w:t xml:space="preserve">. </w:t>
      </w:r>
    </w:p>
  </w:footnote>
  <w:footnote w:id="17">
    <w:p w14:paraId="6B5D958E" w14:textId="77777777" w:rsidR="0063612D" w:rsidRDefault="0063612D" w:rsidP="0063612D">
      <w:pPr>
        <w:pStyle w:val="FootnoteText"/>
      </w:pPr>
      <w:r>
        <w:rPr>
          <w:rStyle w:val="FootnoteReference"/>
        </w:rPr>
        <w:footnoteRef/>
      </w:r>
      <w:r>
        <w:t xml:space="preserve"> </w:t>
      </w:r>
      <w:r>
        <w:tab/>
        <w:t>The Ombudsman, together with Te Kāhui Tika Tangata | the Human Rights Commission, and the Disabled Peoples’ Organisations Coalition form the Independent Monitoring Mechanism protecting and monitoring implementation in New Zealand of the United Nations Convention on the Rights of Persons with Disabilities.</w:t>
      </w:r>
    </w:p>
  </w:footnote>
  <w:footnote w:id="18">
    <w:p w14:paraId="281B4C57" w14:textId="77777777" w:rsidR="00D1213D" w:rsidRDefault="00D1213D" w:rsidP="00D1213D">
      <w:pPr>
        <w:pStyle w:val="FootnoteText"/>
      </w:pPr>
      <w:r>
        <w:rPr>
          <w:rStyle w:val="FootnoteReference"/>
        </w:rPr>
        <w:footnoteRef/>
      </w:r>
      <w:r>
        <w:t xml:space="preserve"> </w:t>
      </w:r>
      <w:r>
        <w:tab/>
        <w:t>The Ombudsman is a National Preventive Mechanism under the Crimes of Torture Act 1989. This Act fulfils New Zealand’s responsibilities under the United Nations Optional Protocol to the Convention Against Torture</w:t>
      </w:r>
      <w:r>
        <w:rPr>
          <w:i/>
        </w:rPr>
        <w:t>.</w:t>
      </w:r>
    </w:p>
  </w:footnote>
  <w:footnote w:id="19">
    <w:p w14:paraId="1B56D518" w14:textId="77777777" w:rsidR="00646C0F" w:rsidRDefault="00646C0F" w:rsidP="00646C0F">
      <w:pPr>
        <w:pStyle w:val="FootnoteText"/>
      </w:pPr>
      <w:r>
        <w:rPr>
          <w:rStyle w:val="FootnoteReference"/>
        </w:rPr>
        <w:footnoteRef/>
      </w:r>
      <w:r>
        <w:t xml:space="preserve"> </w:t>
      </w:r>
      <w:r>
        <w:tab/>
        <w:t>Dementia level care, and specialised hospital (psychogeriatric) level care.</w:t>
      </w:r>
    </w:p>
  </w:footnote>
  <w:footnote w:id="20">
    <w:p w14:paraId="70990BC3" w14:textId="77777777" w:rsidR="001A65FE" w:rsidRDefault="001A65FE" w:rsidP="001A65FE">
      <w:pPr>
        <w:pStyle w:val="FootnoteText"/>
        <w:tabs>
          <w:tab w:val="left" w:pos="142"/>
        </w:tabs>
        <w:ind w:left="0" w:firstLine="0"/>
      </w:pPr>
      <w:r w:rsidRPr="00413D0B">
        <w:rPr>
          <w:rStyle w:val="FootnoteReference"/>
        </w:rPr>
        <w:footnoteRef/>
      </w:r>
      <w:r w:rsidRPr="00413D0B">
        <w:t xml:space="preserve"> </w:t>
      </w:r>
      <w:r w:rsidRPr="00413D0B">
        <w:tab/>
        <w:t xml:space="preserve">These figures do not include vacancies or casuals. Temporary resources were engaged to assist in the </w:t>
      </w:r>
      <w:r w:rsidRPr="00413D0B">
        <w:tab/>
      </w:r>
      <w:r w:rsidRPr="00413D0B">
        <w:tab/>
      </w:r>
      <w:r w:rsidRPr="00413D0B">
        <w:tab/>
        <w:t>delivery of key priority projects as necessary.</w:t>
      </w:r>
    </w:p>
    <w:p w14:paraId="3A6530DA" w14:textId="77777777" w:rsidR="001A65FE" w:rsidRDefault="001A65FE" w:rsidP="001A65FE">
      <w:pPr>
        <w:pStyle w:val="FootnoteText"/>
      </w:pPr>
    </w:p>
  </w:footnote>
  <w:footnote w:id="21">
    <w:p w14:paraId="2486C191" w14:textId="77777777" w:rsidR="006D54A6" w:rsidRDefault="006D54A6" w:rsidP="006D54A6">
      <w:pPr>
        <w:pStyle w:val="FootnoteText"/>
      </w:pPr>
      <w:r>
        <w:rPr>
          <w:rStyle w:val="FootnoteReference"/>
        </w:rPr>
        <w:footnoteRef/>
      </w:r>
      <w:r>
        <w:t xml:space="preserve"> </w:t>
      </w:r>
      <w:r>
        <w:tab/>
        <w:t>Our learning management system, Te Puna Mātauranga, is for both internal staff and external stakeholders.</w:t>
      </w:r>
    </w:p>
  </w:footnote>
  <w:footnote w:id="22">
    <w:p w14:paraId="7CB117DA" w14:textId="77777777" w:rsidR="00B942EB" w:rsidRDefault="00B942EB" w:rsidP="00DD026E">
      <w:pPr>
        <w:pStyle w:val="FootnoteText"/>
      </w:pPr>
      <w:r>
        <w:rPr>
          <w:rStyle w:val="FootnoteReference"/>
        </w:rPr>
        <w:footnoteRef/>
      </w:r>
      <w:r>
        <w:t xml:space="preserve"> </w:t>
      </w:r>
      <w:r>
        <w:tab/>
      </w:r>
      <w:r w:rsidRPr="00AA4900">
        <w:t>Te Kawa Mataaho Public Service Commission administers the Kiwi</w:t>
      </w:r>
      <w:r>
        <w:t>s</w:t>
      </w:r>
      <w:r w:rsidRPr="00AA4900">
        <w:t xml:space="preserve"> Count survey to measure the trust and confidence of New Zealanders in the Public Service, see </w:t>
      </w:r>
      <w:hyperlink r:id="rId1" w:history="1">
        <w:r w:rsidRPr="00580169">
          <w:rPr>
            <w:rStyle w:val="Hyperlink"/>
          </w:rPr>
          <w:t>https://www.publicservice.govt.nz/research-and-data/kiwis-count/</w:t>
        </w:r>
      </w:hyperlink>
      <w:r w:rsidRPr="00AA4900">
        <w:t xml:space="preserve">. </w:t>
      </w:r>
    </w:p>
  </w:footnote>
  <w:footnote w:id="23">
    <w:p w14:paraId="23411B19" w14:textId="77777777" w:rsidR="00B942EB" w:rsidRPr="00B964DC" w:rsidRDefault="00B942EB" w:rsidP="00DD026E">
      <w:pPr>
        <w:pStyle w:val="FootnoteText"/>
      </w:pPr>
      <w:r w:rsidRPr="00B964DC">
        <w:rPr>
          <w:rStyle w:val="FootnoteReference"/>
        </w:rPr>
        <w:footnoteRef/>
      </w:r>
      <w:r w:rsidRPr="00B964DC">
        <w:t xml:space="preserve"> </w:t>
      </w:r>
      <w:r w:rsidRPr="00B964DC">
        <w:tab/>
        <w:t xml:space="preserve">Using the </w:t>
      </w:r>
      <w:hyperlink r:id="rId2" w:history="1">
        <w:r w:rsidRPr="00B964DC">
          <w:rPr>
            <w:rStyle w:val="Hyperlink"/>
          </w:rPr>
          <w:t>Human Rights Measurement Initiative – Rights Tracker</w:t>
        </w:r>
      </w:hyperlink>
      <w:r w:rsidRPr="00B964DC">
        <w:t xml:space="preserve">, which quantifies if New Zealand has achieved the rights specified in the International Covenant on Economic, Social and Cultural rights. </w:t>
      </w:r>
    </w:p>
  </w:footnote>
  <w:footnote w:id="24">
    <w:p w14:paraId="49508BDD" w14:textId="2488A1AE" w:rsidR="00B942EB" w:rsidRPr="00B964DC" w:rsidRDefault="00B942EB" w:rsidP="00DD026E">
      <w:pPr>
        <w:pStyle w:val="FootnoteText"/>
      </w:pPr>
      <w:r w:rsidRPr="00B964DC">
        <w:rPr>
          <w:rStyle w:val="FootnoteReference"/>
        </w:rPr>
        <w:footnoteRef/>
      </w:r>
      <w:r w:rsidRPr="00B964DC">
        <w:t xml:space="preserve"> </w:t>
      </w:r>
      <w:r w:rsidRPr="00B964DC">
        <w:tab/>
        <w:t xml:space="preserve">Interpretation of scores: Good (8-10), Fair (6-8), Bad (3.5-6), Very bad (0-3.5). For more information see </w:t>
      </w:r>
      <w:hyperlink r:id="rId3" w:history="1">
        <w:r w:rsidRPr="00B964DC">
          <w:rPr>
            <w:rStyle w:val="Hyperlink"/>
          </w:rPr>
          <w:t>Right’s tracker methodology</w:t>
        </w:r>
      </w:hyperlink>
      <w:r w:rsidRPr="00B964DC">
        <w:t>.</w:t>
      </w:r>
    </w:p>
  </w:footnote>
  <w:footnote w:id="25">
    <w:p w14:paraId="5EA49636" w14:textId="27D04A39" w:rsidR="0068541D" w:rsidRDefault="0068541D">
      <w:pPr>
        <w:pStyle w:val="FootnoteText"/>
      </w:pPr>
      <w:r w:rsidRPr="00B11906">
        <w:rPr>
          <w:rStyle w:val="FootnoteReference"/>
        </w:rPr>
        <w:footnoteRef/>
      </w:r>
      <w:r w:rsidRPr="00B11906">
        <w:t xml:space="preserve"> </w:t>
      </w:r>
      <w:r w:rsidRPr="00B11906">
        <w:tab/>
        <w:t>This was subsequently revised upwards to 7.</w:t>
      </w:r>
      <w:r w:rsidR="001C2D43">
        <w:t>6</w:t>
      </w:r>
      <w:r w:rsidR="001C2D43" w:rsidRPr="00B11906">
        <w:t xml:space="preserve"> </w:t>
      </w:r>
      <w:r w:rsidRPr="00B11906">
        <w:t>during the year.</w:t>
      </w:r>
      <w:r>
        <w:t xml:space="preserve"> </w:t>
      </w:r>
    </w:p>
  </w:footnote>
  <w:footnote w:id="26">
    <w:p w14:paraId="782F9901" w14:textId="2B99EB79" w:rsidR="00B942EB" w:rsidRPr="00A7288B" w:rsidRDefault="00B942EB" w:rsidP="00DD026E">
      <w:pPr>
        <w:pStyle w:val="FootnoteText"/>
      </w:pPr>
      <w:r w:rsidRPr="00A7288B">
        <w:rPr>
          <w:rStyle w:val="FootnoteReference"/>
        </w:rPr>
        <w:footnoteRef/>
      </w:r>
      <w:r w:rsidRPr="00A7288B">
        <w:t xml:space="preserve"> </w:t>
      </w:r>
      <w:r w:rsidRPr="00A7288B">
        <w:tab/>
        <w:t xml:space="preserve">Above, note </w:t>
      </w:r>
      <w:r w:rsidR="00EA2779" w:rsidRPr="00A7288B">
        <w:t>2</w:t>
      </w:r>
      <w:r w:rsidR="00374341">
        <w:t>2</w:t>
      </w:r>
      <w:r w:rsidRPr="00A7288B">
        <w:t>.</w:t>
      </w:r>
    </w:p>
  </w:footnote>
  <w:footnote w:id="27">
    <w:p w14:paraId="0BB911CD" w14:textId="01DADAD3" w:rsidR="00B942EB" w:rsidRDefault="00B942EB" w:rsidP="00DD026E">
      <w:pPr>
        <w:pStyle w:val="FootnoteText"/>
      </w:pPr>
      <w:r w:rsidRPr="00A7288B">
        <w:rPr>
          <w:rStyle w:val="FootnoteReference"/>
        </w:rPr>
        <w:footnoteRef/>
      </w:r>
      <w:r w:rsidRPr="00A7288B">
        <w:t xml:space="preserve"> </w:t>
      </w:r>
      <w:r w:rsidRPr="00A7288B">
        <w:tab/>
        <w:t xml:space="preserve">Above, note </w:t>
      </w:r>
      <w:r w:rsidR="001C2D43" w:rsidRPr="00A7288B">
        <w:t>23</w:t>
      </w:r>
      <w:r w:rsidRPr="00A7288B">
        <w:t>.</w:t>
      </w:r>
      <w:r>
        <w:t xml:space="preserve"> </w:t>
      </w:r>
    </w:p>
  </w:footnote>
  <w:footnote w:id="28">
    <w:p w14:paraId="76EA1C66" w14:textId="7C56B05C" w:rsidR="0068541D" w:rsidRDefault="0068541D">
      <w:pPr>
        <w:pStyle w:val="FootnoteText"/>
      </w:pPr>
      <w:r w:rsidRPr="00B11906">
        <w:rPr>
          <w:rStyle w:val="FootnoteReference"/>
        </w:rPr>
        <w:footnoteRef/>
      </w:r>
      <w:r w:rsidRPr="00B11906">
        <w:t xml:space="preserve"> </w:t>
      </w:r>
      <w:r w:rsidRPr="00B11906">
        <w:tab/>
        <w:t>This was subsequently revised upward to 6.8 during the year.</w:t>
      </w:r>
      <w:r>
        <w:t xml:space="preserve"> </w:t>
      </w:r>
    </w:p>
  </w:footnote>
  <w:footnote w:id="29">
    <w:p w14:paraId="58A5ACE3" w14:textId="2CCEF473" w:rsidR="00D223A0" w:rsidRDefault="00D223A0" w:rsidP="00D223A0">
      <w:pPr>
        <w:pStyle w:val="FootnoteText"/>
      </w:pPr>
      <w:r>
        <w:t xml:space="preserve">*    As amended in the </w:t>
      </w:r>
      <w:hyperlink r:id="rId4" w:history="1">
        <w:r w:rsidRPr="00CD3356">
          <w:rPr>
            <w:rStyle w:val="Hyperlink"/>
            <w:i/>
            <w:iCs/>
          </w:rPr>
          <w:t>Strategic Intentions</w:t>
        </w:r>
        <w:r w:rsidRPr="00CB2FF9">
          <w:rPr>
            <w:rStyle w:val="Hyperlink"/>
          </w:rPr>
          <w:t xml:space="preserve"> 2025</w:t>
        </w:r>
        <w:r w:rsidR="00E457BF">
          <w:rPr>
            <w:rStyle w:val="Hyperlink"/>
          </w:rPr>
          <w:t>–</w:t>
        </w:r>
        <w:r w:rsidRPr="00CB2FF9">
          <w:rPr>
            <w:rStyle w:val="Hyperlink"/>
          </w:rPr>
          <w:t>2030</w:t>
        </w:r>
      </w:hyperlink>
      <w:r>
        <w:t xml:space="preserve">. </w:t>
      </w:r>
    </w:p>
    <w:p w14:paraId="7A13D411" w14:textId="20BA5A5D" w:rsidR="00547098" w:rsidRDefault="00547098">
      <w:pPr>
        <w:pStyle w:val="FootnoteText"/>
      </w:pPr>
      <w:r>
        <w:rPr>
          <w:rStyle w:val="FootnoteReference"/>
        </w:rPr>
        <w:footnoteRef/>
      </w:r>
      <w:r>
        <w:t xml:space="preserve"> </w:t>
      </w:r>
      <w:r>
        <w:tab/>
        <w:t xml:space="preserve">Using the </w:t>
      </w:r>
      <w:r w:rsidRPr="00315E21">
        <w:t>Transparency International Corruption Perceptions Index</w:t>
      </w:r>
      <w:r>
        <w:t xml:space="preserve"> to track perceptions of public trust in government in New Zealand, see </w:t>
      </w:r>
      <w:hyperlink r:id="rId5" w:history="1">
        <w:r w:rsidRPr="000D78DD">
          <w:rPr>
            <w:rStyle w:val="Hyperlink"/>
          </w:rPr>
          <w:t>https://www.transparency.org/en/cpi</w:t>
        </w:r>
      </w:hyperlink>
      <w:r w:rsidRPr="000D78DD">
        <w:t>.</w:t>
      </w:r>
    </w:p>
  </w:footnote>
  <w:footnote w:id="30">
    <w:p w14:paraId="49713A74" w14:textId="77777777" w:rsidR="00022A78" w:rsidRDefault="00022A78" w:rsidP="00DD026E">
      <w:pPr>
        <w:pStyle w:val="FootnoteText"/>
      </w:pPr>
      <w:r>
        <w:rPr>
          <w:rStyle w:val="FootnoteReference"/>
        </w:rPr>
        <w:footnoteRef/>
      </w:r>
      <w:r>
        <w:t xml:space="preserve"> </w:t>
      </w:r>
      <w:r>
        <w:tab/>
      </w:r>
      <w:r w:rsidRPr="009C5143">
        <w:t>Based on a commissioned domestic market research survey.</w:t>
      </w:r>
    </w:p>
  </w:footnote>
  <w:footnote w:id="31">
    <w:p w14:paraId="17DC58D9" w14:textId="67EA66CD" w:rsidR="00022A78" w:rsidRPr="00A7288B" w:rsidRDefault="00022A78" w:rsidP="00DD026E">
      <w:pPr>
        <w:pStyle w:val="FootnoteText"/>
      </w:pPr>
      <w:r w:rsidRPr="00A7288B">
        <w:rPr>
          <w:rStyle w:val="FootnoteReference"/>
        </w:rPr>
        <w:footnoteRef/>
      </w:r>
      <w:r w:rsidRPr="00A7288B">
        <w:t xml:space="preserve"> </w:t>
      </w:r>
      <w:r w:rsidRPr="00A7288B">
        <w:tab/>
        <w:t xml:space="preserve">Above, note </w:t>
      </w:r>
      <w:r w:rsidR="00F6645C" w:rsidRPr="00A7288B">
        <w:t>29</w:t>
      </w:r>
      <w:r w:rsidRPr="00A7288B">
        <w:t>.</w:t>
      </w:r>
    </w:p>
  </w:footnote>
  <w:footnote w:id="32">
    <w:p w14:paraId="2C807DF3" w14:textId="2676BD16" w:rsidR="00022A78" w:rsidRPr="00A7288B" w:rsidRDefault="00022A78">
      <w:pPr>
        <w:pStyle w:val="FootnoteText"/>
      </w:pPr>
      <w:r w:rsidRPr="00A7288B">
        <w:rPr>
          <w:rStyle w:val="FootnoteReference"/>
        </w:rPr>
        <w:footnoteRef/>
      </w:r>
      <w:r w:rsidRPr="00A7288B">
        <w:t xml:space="preserve"> </w:t>
      </w:r>
      <w:r w:rsidRPr="00A7288B">
        <w:tab/>
        <w:t xml:space="preserve">Above, note </w:t>
      </w:r>
      <w:r w:rsidR="00F6645C" w:rsidRPr="00A7288B">
        <w:t>29</w:t>
      </w:r>
      <w:r w:rsidR="00EE2B96" w:rsidRPr="00A7288B">
        <w:t>.</w:t>
      </w:r>
    </w:p>
  </w:footnote>
  <w:footnote w:id="33">
    <w:p w14:paraId="3882FEC7" w14:textId="3440BD13" w:rsidR="00D93806" w:rsidRDefault="00D93806">
      <w:pPr>
        <w:pStyle w:val="FootnoteText"/>
      </w:pPr>
      <w:r w:rsidRPr="00A7288B">
        <w:rPr>
          <w:rStyle w:val="FootnoteReference"/>
        </w:rPr>
        <w:footnoteRef/>
      </w:r>
      <w:r w:rsidRPr="00A7288B">
        <w:t xml:space="preserve"> </w:t>
      </w:r>
      <w:r w:rsidRPr="00A7288B">
        <w:tab/>
        <w:t>Above, note</w:t>
      </w:r>
      <w:r w:rsidR="004B1282" w:rsidRPr="00A7288B">
        <w:t xml:space="preserve"> </w:t>
      </w:r>
      <w:r w:rsidR="00F6645C" w:rsidRPr="00A7288B">
        <w:t>29</w:t>
      </w:r>
      <w:r w:rsidRPr="00A7288B">
        <w:t>.</w:t>
      </w:r>
    </w:p>
  </w:footnote>
  <w:footnote w:id="34">
    <w:p w14:paraId="20787FB4" w14:textId="616D4925" w:rsidR="00D93806" w:rsidRDefault="00D93806">
      <w:pPr>
        <w:pStyle w:val="FootnoteText"/>
      </w:pPr>
      <w:r>
        <w:rPr>
          <w:rStyle w:val="FootnoteReference"/>
        </w:rPr>
        <w:footnoteRef/>
      </w:r>
      <w:r>
        <w:t xml:space="preserve"> </w:t>
      </w:r>
      <w:r>
        <w:tab/>
        <w:t>All references to public sector agencies include Ministers’ offices and non-government organisations subject to jurisdiction.</w:t>
      </w:r>
    </w:p>
  </w:footnote>
  <w:footnote w:id="35">
    <w:p w14:paraId="5201831D" w14:textId="164AC73F" w:rsidR="00D93806" w:rsidRDefault="00D93806">
      <w:pPr>
        <w:pStyle w:val="FootnoteText"/>
      </w:pPr>
      <w:r>
        <w:rPr>
          <w:rStyle w:val="FootnoteReference"/>
        </w:rPr>
        <w:footnoteRef/>
      </w:r>
      <w:r>
        <w:t xml:space="preserve"> </w:t>
      </w:r>
      <w:r>
        <w:tab/>
      </w:r>
      <w:r w:rsidRPr="00D93806">
        <w:t>Based on a survey of participants in external learning—both in-person and e-learning.</w:t>
      </w:r>
    </w:p>
  </w:footnote>
  <w:footnote w:id="36">
    <w:p w14:paraId="04367F55" w14:textId="46D41672" w:rsidR="00D93806" w:rsidRDefault="00D93806">
      <w:pPr>
        <w:pStyle w:val="FootnoteText"/>
      </w:pPr>
      <w:r>
        <w:rPr>
          <w:rStyle w:val="FootnoteReference"/>
        </w:rPr>
        <w:footnoteRef/>
      </w:r>
      <w:r>
        <w:t xml:space="preserve"> </w:t>
      </w:r>
      <w:r>
        <w:tab/>
      </w:r>
      <w:r w:rsidRPr="00D93806">
        <w:t>Based on a survey of public sector agencies who were the subject of an investigation in the reporting year.</w:t>
      </w:r>
    </w:p>
  </w:footnote>
  <w:footnote w:id="37">
    <w:p w14:paraId="0B09EF18" w14:textId="4036FB06" w:rsidR="00D93806" w:rsidRDefault="00D93806">
      <w:pPr>
        <w:pStyle w:val="FootnoteText"/>
      </w:pPr>
      <w:r>
        <w:rPr>
          <w:rStyle w:val="FootnoteReference"/>
        </w:rPr>
        <w:footnoteRef/>
      </w:r>
      <w:r>
        <w:t xml:space="preserve"> </w:t>
      </w:r>
      <w:r>
        <w:tab/>
      </w:r>
      <w:r w:rsidRPr="00D93806">
        <w:t>Recommendations accepted at provisional and final report stages.</w:t>
      </w:r>
    </w:p>
    <w:p w14:paraId="05241165" w14:textId="77777777" w:rsidR="00547098" w:rsidRDefault="00547098">
      <w:pPr>
        <w:pStyle w:val="FootnoteText"/>
      </w:pPr>
    </w:p>
  </w:footnote>
  <w:footnote w:id="38">
    <w:p w14:paraId="6C48F75C" w14:textId="1506C8B5" w:rsidR="001B67CD" w:rsidRDefault="001B67CD" w:rsidP="001B67CD">
      <w:pPr>
        <w:pStyle w:val="FootnoteText"/>
      </w:pPr>
      <w:r>
        <w:t xml:space="preserve">*    As amended in the </w:t>
      </w:r>
      <w:hyperlink r:id="rId6" w:history="1">
        <w:r w:rsidRPr="00A07A0C">
          <w:rPr>
            <w:rStyle w:val="Hyperlink"/>
            <w:i/>
            <w:iCs/>
          </w:rPr>
          <w:t>Strategic Intentions</w:t>
        </w:r>
        <w:r w:rsidRPr="00CB2FF9">
          <w:rPr>
            <w:rStyle w:val="Hyperlink"/>
          </w:rPr>
          <w:t xml:space="preserve"> 2025</w:t>
        </w:r>
        <w:r w:rsidR="0097480D">
          <w:rPr>
            <w:rStyle w:val="Hyperlink"/>
          </w:rPr>
          <w:t>–</w:t>
        </w:r>
        <w:r w:rsidRPr="00CB2FF9">
          <w:rPr>
            <w:rStyle w:val="Hyperlink"/>
          </w:rPr>
          <w:t>2030</w:t>
        </w:r>
      </w:hyperlink>
      <w:r>
        <w:t xml:space="preserve">. </w:t>
      </w:r>
    </w:p>
    <w:p w14:paraId="79A3E519" w14:textId="562DA221" w:rsidR="001B67CD" w:rsidRDefault="001B67CD">
      <w:pPr>
        <w:pStyle w:val="FootnoteText"/>
      </w:pPr>
      <w:r>
        <w:rPr>
          <w:rStyle w:val="FootnoteReference"/>
        </w:rPr>
        <w:footnoteRef/>
      </w:r>
      <w:r>
        <w:t xml:space="preserve"> </w:t>
      </w:r>
      <w:r>
        <w:tab/>
      </w:r>
      <w:r w:rsidRPr="00D93806">
        <w:t>Based on a survey of relevant stakeholders, including Disabled Peoples’ organisations, Human Rights Commission and Whaikaha</w:t>
      </w:r>
      <w:r>
        <w:t xml:space="preserve"> - </w:t>
      </w:r>
      <w:r w:rsidRPr="00D93806">
        <w:t>Ministry of Disabled People.</w:t>
      </w:r>
    </w:p>
  </w:footnote>
  <w:footnote w:id="39">
    <w:p w14:paraId="14006125" w14:textId="1851B63F" w:rsidR="00D93806" w:rsidRDefault="00D93806">
      <w:pPr>
        <w:pStyle w:val="FootnoteText"/>
      </w:pPr>
      <w:r>
        <w:rPr>
          <w:rStyle w:val="FootnoteReference"/>
        </w:rPr>
        <w:footnoteRef/>
      </w:r>
      <w:r>
        <w:t xml:space="preserve"> </w:t>
      </w:r>
      <w:r>
        <w:tab/>
      </w:r>
      <w:r w:rsidRPr="00D93806">
        <w:t>Based on a survey of international Ombudsmen and integrity institutions who interact with us.</w:t>
      </w:r>
    </w:p>
  </w:footnote>
  <w:footnote w:id="40">
    <w:p w14:paraId="660D7091" w14:textId="036E163B" w:rsidR="0039347B" w:rsidRDefault="0039347B" w:rsidP="0039347B">
      <w:pPr>
        <w:pStyle w:val="FootnoteText"/>
      </w:pPr>
      <w:r>
        <w:rPr>
          <w:rStyle w:val="FootnoteReference"/>
        </w:rPr>
        <w:footnoteRef/>
      </w:r>
      <w:r>
        <w:t xml:space="preserve"> </w:t>
      </w:r>
      <w:r>
        <w:tab/>
      </w:r>
      <w:r w:rsidRPr="0039347B">
        <w:t>Including community outreach engagements, speeches, interviews, media statements and request for comment, resources, and training</w:t>
      </w:r>
      <w:r>
        <w:t xml:space="preserve"> </w:t>
      </w:r>
      <w:r w:rsidRPr="0039347B">
        <w:t>sessions provided via the website or to public forums, media and opposition research units.</w:t>
      </w:r>
    </w:p>
  </w:footnote>
  <w:footnote w:id="41">
    <w:p w14:paraId="21AEC17B" w14:textId="77777777" w:rsidR="00022A78" w:rsidRDefault="00022A78" w:rsidP="00DD026E">
      <w:pPr>
        <w:pStyle w:val="FootnoteText"/>
      </w:pPr>
      <w:r>
        <w:rPr>
          <w:rStyle w:val="FootnoteReference"/>
        </w:rPr>
        <w:footnoteRef/>
      </w:r>
      <w:r>
        <w:t xml:space="preserve"> </w:t>
      </w:r>
      <w:r>
        <w:tab/>
      </w:r>
      <w:r w:rsidRPr="008A2390">
        <w:t>There was an increased demand in 2024/25 due to the number of significant reports and engagements related to the departure of Chief Ombudsman Peter Boshier</w:t>
      </w:r>
      <w:r>
        <w:t>.</w:t>
      </w:r>
    </w:p>
  </w:footnote>
  <w:footnote w:id="42">
    <w:p w14:paraId="2FB5CA68" w14:textId="7E2EEBCC" w:rsidR="0039347B" w:rsidRDefault="0039347B">
      <w:pPr>
        <w:pStyle w:val="FootnoteText"/>
      </w:pPr>
      <w:r>
        <w:rPr>
          <w:rStyle w:val="FootnoteReference"/>
        </w:rPr>
        <w:footnoteRef/>
      </w:r>
      <w:r>
        <w:t xml:space="preserve"> </w:t>
      </w:r>
      <w:r>
        <w:tab/>
      </w:r>
      <w:r w:rsidRPr="0039347B">
        <w:t>Includes LinkedIn, Instagram and Facebook.</w:t>
      </w:r>
    </w:p>
  </w:footnote>
  <w:footnote w:id="43">
    <w:p w14:paraId="48414B86" w14:textId="77777777" w:rsidR="00022A78" w:rsidRDefault="00022A78" w:rsidP="00DD026E">
      <w:pPr>
        <w:pStyle w:val="FootnoteText"/>
      </w:pPr>
      <w:r>
        <w:rPr>
          <w:rStyle w:val="FootnoteReference"/>
        </w:rPr>
        <w:footnoteRef/>
      </w:r>
      <w:r>
        <w:t xml:space="preserve"> </w:t>
      </w:r>
      <w:r>
        <w:tab/>
      </w:r>
      <w:r w:rsidRPr="009C5143">
        <w:t>Based on a commissioned domestic market research survey.</w:t>
      </w:r>
    </w:p>
  </w:footnote>
  <w:footnote w:id="44">
    <w:p w14:paraId="0BFB243B" w14:textId="77777777" w:rsidR="00022A78" w:rsidRDefault="00022A78" w:rsidP="00DD026E">
      <w:pPr>
        <w:pStyle w:val="FootnoteText"/>
      </w:pPr>
      <w:r w:rsidRPr="001D7A7C">
        <w:rPr>
          <w:rStyle w:val="FootnoteReference"/>
        </w:rPr>
        <w:footnoteRef/>
      </w:r>
      <w:r w:rsidRPr="001D7A7C">
        <w:t xml:space="preserve"> </w:t>
      </w:r>
      <w:r w:rsidRPr="001D7A7C">
        <w:tab/>
        <w:t>Based on a survey of randomly selected complainants.</w:t>
      </w:r>
      <w:r>
        <w:t xml:space="preserve"> Selection does not include complainants where the discretion not to investigate a complaint was exercised.</w:t>
      </w:r>
    </w:p>
  </w:footnote>
  <w:footnote w:id="45">
    <w:p w14:paraId="6AD534EF" w14:textId="6625B7CA" w:rsidR="0039347B" w:rsidRDefault="0039347B">
      <w:pPr>
        <w:pStyle w:val="FootnoteText"/>
      </w:pPr>
      <w:r>
        <w:rPr>
          <w:rStyle w:val="FootnoteReference"/>
        </w:rPr>
        <w:footnoteRef/>
      </w:r>
      <w:r>
        <w:t xml:space="preserve"> </w:t>
      </w:r>
      <w:r>
        <w:tab/>
      </w:r>
      <w:r w:rsidRPr="0039347B">
        <w:t>Based on a survey of community engagement participants.</w:t>
      </w:r>
    </w:p>
  </w:footnote>
  <w:footnote w:id="46">
    <w:p w14:paraId="7453EF46" w14:textId="61A5BAA0" w:rsidR="007135C6" w:rsidRDefault="007135C6" w:rsidP="007135C6">
      <w:pPr>
        <w:pStyle w:val="FootnoteText"/>
      </w:pPr>
      <w:r>
        <w:t xml:space="preserve">*    As amended in the </w:t>
      </w:r>
      <w:hyperlink r:id="rId7" w:history="1">
        <w:r w:rsidRPr="00A07A0C">
          <w:rPr>
            <w:rStyle w:val="Hyperlink"/>
            <w:i/>
            <w:iCs/>
          </w:rPr>
          <w:t>Strategic Intentions</w:t>
        </w:r>
        <w:r w:rsidRPr="00CB2FF9">
          <w:rPr>
            <w:rStyle w:val="Hyperlink"/>
          </w:rPr>
          <w:t xml:space="preserve"> 2025</w:t>
        </w:r>
        <w:r w:rsidR="0097480D">
          <w:rPr>
            <w:rStyle w:val="Hyperlink"/>
          </w:rPr>
          <w:t>–</w:t>
        </w:r>
        <w:r w:rsidRPr="00CB2FF9">
          <w:rPr>
            <w:rStyle w:val="Hyperlink"/>
          </w:rPr>
          <w:t>2030</w:t>
        </w:r>
      </w:hyperlink>
      <w:r>
        <w:t xml:space="preserve">. </w:t>
      </w:r>
    </w:p>
    <w:p w14:paraId="1B17D7DB" w14:textId="60A4A4C2" w:rsidR="00CB2FF9" w:rsidRDefault="00022A78" w:rsidP="00CB2FF9">
      <w:pPr>
        <w:pStyle w:val="FootnoteText"/>
      </w:pPr>
      <w:r>
        <w:rPr>
          <w:rStyle w:val="FootnoteReference"/>
        </w:rPr>
        <w:footnoteRef/>
      </w:r>
      <w:r>
        <w:t xml:space="preserve"> </w:t>
      </w:r>
      <w:r>
        <w:tab/>
      </w:r>
      <w:r w:rsidRPr="003359A2">
        <w:t>Including on legislation, policies, procedures, administrative processes</w:t>
      </w:r>
      <w:r>
        <w:t>,</w:t>
      </w:r>
      <w:r w:rsidRPr="003359A2">
        <w:t xml:space="preserve"> and </w:t>
      </w:r>
      <w:r>
        <w:t>decision-making</w:t>
      </w:r>
      <w:r w:rsidRPr="003359A2">
        <w:t>.</w:t>
      </w:r>
      <w:r w:rsidRPr="00EB6C50">
        <w:rPr>
          <w:rFonts w:asciiTheme="minorHAnsi" w:hAnsiTheme="minorHAnsi"/>
          <w:color w:val="auto"/>
        </w:rPr>
        <w:t xml:space="preserve"> </w:t>
      </w:r>
    </w:p>
  </w:footnote>
  <w:footnote w:id="47">
    <w:p w14:paraId="6F75E1DD" w14:textId="7F2EE5C6" w:rsidR="004F781E" w:rsidRDefault="004F781E" w:rsidP="004F781E">
      <w:pPr>
        <w:pStyle w:val="FootnoteText"/>
      </w:pPr>
      <w:r>
        <w:rPr>
          <w:rStyle w:val="FootnoteReference"/>
        </w:rPr>
        <w:footnoteRef/>
      </w:r>
      <w:r>
        <w:t xml:space="preserve"> </w:t>
      </w:r>
      <w:r>
        <w:tab/>
      </w:r>
      <w:r w:rsidRPr="004F781E">
        <w:t>In April 2024, we launched e-learning for agencies. We intend to report on this in our performance measures from 2026/27, once we have</w:t>
      </w:r>
      <w:r>
        <w:t xml:space="preserve"> </w:t>
      </w:r>
      <w:r w:rsidRPr="004F781E">
        <w:t>established a useful baseline for reporting.</w:t>
      </w:r>
    </w:p>
  </w:footnote>
  <w:footnote w:id="48">
    <w:p w14:paraId="0E305CD0" w14:textId="57C984C5" w:rsidR="00022A78" w:rsidRPr="00D6049B" w:rsidRDefault="00022A78" w:rsidP="00DD026E">
      <w:pPr>
        <w:pStyle w:val="FootnoteText"/>
      </w:pPr>
      <w:r w:rsidRPr="001D7A7C">
        <w:rPr>
          <w:rStyle w:val="FootnoteReference"/>
        </w:rPr>
        <w:footnoteRef/>
      </w:r>
      <w:r>
        <w:t xml:space="preserve"> </w:t>
      </w:r>
      <w:r>
        <w:tab/>
      </w:r>
      <w:r w:rsidRPr="00A7288B">
        <w:t xml:space="preserve">Above, note </w:t>
      </w:r>
      <w:r w:rsidR="00FE0E3D">
        <w:t>35</w:t>
      </w:r>
      <w:r w:rsidRPr="00A7288B">
        <w:t>.</w:t>
      </w:r>
    </w:p>
  </w:footnote>
  <w:footnote w:id="49">
    <w:p w14:paraId="706556F3" w14:textId="44539001" w:rsidR="00022A78" w:rsidRDefault="00022A78" w:rsidP="00DD026E">
      <w:pPr>
        <w:pStyle w:val="FootnoteText"/>
      </w:pPr>
      <w:r>
        <w:rPr>
          <w:rStyle w:val="FootnoteReference"/>
        </w:rPr>
        <w:footnoteRef/>
      </w:r>
      <w:r>
        <w:t xml:space="preserve"> </w:t>
      </w:r>
      <w:r>
        <w:tab/>
        <w:t xml:space="preserve">Measures for Outputs 3 and 4 are combined. Refer to </w:t>
      </w:r>
      <w:hyperlink r:id="rId8" w:history="1">
        <w:r w:rsidRPr="00A07A0C">
          <w:rPr>
            <w:rStyle w:val="Hyperlink"/>
            <w:i/>
            <w:iCs/>
          </w:rPr>
          <w:t>Strategic Intentions</w:t>
        </w:r>
        <w:r w:rsidRPr="00B229C0">
          <w:rPr>
            <w:rStyle w:val="Hyperlink"/>
          </w:rPr>
          <w:t xml:space="preserve"> 2025</w:t>
        </w:r>
        <w:r w:rsidR="007E2429">
          <w:rPr>
            <w:rStyle w:val="Hyperlink"/>
          </w:rPr>
          <w:t>–</w:t>
        </w:r>
        <w:r w:rsidRPr="00B229C0">
          <w:rPr>
            <w:rStyle w:val="Hyperlink"/>
          </w:rPr>
          <w:t>2030.</w:t>
        </w:r>
      </w:hyperlink>
      <w:r>
        <w:t xml:space="preserve"> </w:t>
      </w:r>
    </w:p>
  </w:footnote>
  <w:footnote w:id="50">
    <w:p w14:paraId="09F49E6B" w14:textId="77777777" w:rsidR="00022A78" w:rsidRDefault="00022A78" w:rsidP="00DD026E">
      <w:pPr>
        <w:pStyle w:val="FootnoteText"/>
      </w:pPr>
      <w:r>
        <w:rPr>
          <w:rStyle w:val="FootnoteReference"/>
        </w:rPr>
        <w:footnoteRef/>
      </w:r>
      <w:r>
        <w:t xml:space="preserve"> </w:t>
      </w:r>
      <w:r>
        <w:tab/>
        <w:t>Other contacts are primarily phone enquiries, seeking assistance ahead of making a complaint.</w:t>
      </w:r>
    </w:p>
  </w:footnote>
  <w:footnote w:id="51">
    <w:p w14:paraId="06A6A54C" w14:textId="77777777" w:rsidR="00022A78" w:rsidRDefault="00022A78" w:rsidP="00DD026E">
      <w:pPr>
        <w:pStyle w:val="FootnoteText"/>
      </w:pPr>
      <w:r>
        <w:rPr>
          <w:rStyle w:val="FootnoteReference"/>
        </w:rPr>
        <w:footnoteRef/>
      </w:r>
      <w:r>
        <w:t xml:space="preserve"> </w:t>
      </w:r>
      <w:r>
        <w:tab/>
      </w:r>
      <w:r w:rsidRPr="00315E21">
        <w:rPr>
          <w:rStyle w:val="Quotationwithinthesentence"/>
        </w:rPr>
        <w:t>‘Net clearance rate’</w:t>
      </w:r>
      <w:r>
        <w:t xml:space="preserve"> means the total number of complaints closed in the reporting year as a proportion of the total number of complaints received during the year.</w:t>
      </w:r>
    </w:p>
  </w:footnote>
  <w:footnote w:id="52">
    <w:p w14:paraId="2C1ADD3D" w14:textId="57D199CC" w:rsidR="0033695D" w:rsidRDefault="0033695D" w:rsidP="00DD026E">
      <w:pPr>
        <w:pStyle w:val="FootnoteText"/>
      </w:pPr>
      <w:r w:rsidRPr="0033695D">
        <w:t xml:space="preserve">* </w:t>
      </w:r>
      <w:r w:rsidR="002B1034">
        <w:tab/>
      </w:r>
      <w:r w:rsidRPr="0033695D">
        <w:t xml:space="preserve">As amended in the </w:t>
      </w:r>
      <w:hyperlink r:id="rId9" w:history="1">
        <w:r w:rsidRPr="00A07A0C">
          <w:rPr>
            <w:rStyle w:val="Hyperlink"/>
            <w:i/>
            <w:iCs/>
          </w:rPr>
          <w:t>Strategic Intentions</w:t>
        </w:r>
        <w:r w:rsidRPr="0033695D">
          <w:rPr>
            <w:rStyle w:val="Hyperlink"/>
          </w:rPr>
          <w:t xml:space="preserve"> 2025</w:t>
        </w:r>
        <w:r w:rsidR="006D64F5">
          <w:rPr>
            <w:rStyle w:val="Hyperlink"/>
          </w:rPr>
          <w:t>–</w:t>
        </w:r>
        <w:r w:rsidRPr="0033695D">
          <w:rPr>
            <w:rStyle w:val="Hyperlink"/>
          </w:rPr>
          <w:t>2030</w:t>
        </w:r>
      </w:hyperlink>
      <w:r w:rsidRPr="0033695D">
        <w:t>.</w:t>
      </w:r>
    </w:p>
    <w:p w14:paraId="567E036A" w14:textId="717EE4C2" w:rsidR="00022A78" w:rsidRDefault="00022A78" w:rsidP="00DD026E">
      <w:pPr>
        <w:pStyle w:val="FootnoteText"/>
      </w:pPr>
      <w:r>
        <w:rPr>
          <w:rStyle w:val="FootnoteReference"/>
        </w:rPr>
        <w:footnoteRef/>
      </w:r>
      <w:r>
        <w:t xml:space="preserve"> </w:t>
      </w:r>
      <w:r>
        <w:tab/>
      </w:r>
      <w:r w:rsidRPr="001F35AA">
        <w:t xml:space="preserve">Measure does not include complaints </w:t>
      </w:r>
      <w:r w:rsidR="004E034B">
        <w:t xml:space="preserve">where discretion not to investigate a complaint was exercised. </w:t>
      </w:r>
    </w:p>
  </w:footnote>
  <w:footnote w:id="53">
    <w:p w14:paraId="686B8584" w14:textId="77777777" w:rsidR="00022A78" w:rsidRPr="001D7A7C" w:rsidRDefault="00022A78" w:rsidP="00DD026E">
      <w:pPr>
        <w:pStyle w:val="FootnoteText"/>
      </w:pPr>
      <w:r w:rsidRPr="001D7A7C">
        <w:rPr>
          <w:rStyle w:val="FootnoteReference"/>
        </w:rPr>
        <w:footnoteRef/>
      </w:r>
      <w:r w:rsidRPr="001D7A7C">
        <w:t xml:space="preserve"> </w:t>
      </w:r>
      <w:r w:rsidRPr="001D7A7C">
        <w:tab/>
        <w:t>Based on a survey of randomly selected complainants</w:t>
      </w:r>
      <w:r>
        <w:t>. Selection does not include complainants where the discretion not to investigate a complaint was exercised.</w:t>
      </w:r>
    </w:p>
  </w:footnote>
  <w:footnote w:id="54">
    <w:p w14:paraId="77228586" w14:textId="0E11E958" w:rsidR="00CB2FF9" w:rsidRDefault="00022A78" w:rsidP="0033695D">
      <w:pPr>
        <w:pStyle w:val="FootnoteText"/>
      </w:pPr>
      <w:r>
        <w:rPr>
          <w:rStyle w:val="FootnoteReference"/>
        </w:rPr>
        <w:footnoteRef/>
      </w:r>
      <w:r>
        <w:t xml:space="preserve"> </w:t>
      </w:r>
      <w:r>
        <w:tab/>
        <w:t>We</w:t>
      </w:r>
      <w:r w:rsidRPr="00BA52A3">
        <w:t xml:space="preserve"> also have other measures in place to ensure quality, including </w:t>
      </w:r>
      <w:r>
        <w:t xml:space="preserve">proportionate </w:t>
      </w:r>
      <w:r w:rsidRPr="00BA52A3">
        <w:t xml:space="preserve">review </w:t>
      </w:r>
      <w:r>
        <w:t>of work where needed.</w:t>
      </w:r>
    </w:p>
  </w:footnote>
  <w:footnote w:id="55">
    <w:p w14:paraId="595DE891" w14:textId="77777777" w:rsidR="00022A78" w:rsidRDefault="00022A78" w:rsidP="00DD026E">
      <w:pPr>
        <w:pStyle w:val="FootnoteText"/>
      </w:pPr>
      <w:r>
        <w:rPr>
          <w:rStyle w:val="FootnoteReference"/>
        </w:rPr>
        <w:footnoteRef/>
      </w:r>
      <w:r>
        <w:t xml:space="preserve"> </w:t>
      </w:r>
      <w:r>
        <w:tab/>
        <w:t>Including seven investigations conducted during 2023/24 and completed in 2024/25.</w:t>
      </w:r>
    </w:p>
  </w:footnote>
  <w:footnote w:id="56">
    <w:p w14:paraId="05BB1CF6" w14:textId="527CDA85" w:rsidR="000F5314" w:rsidRDefault="000F5314">
      <w:pPr>
        <w:pStyle w:val="FootnoteText"/>
      </w:pPr>
      <w:r>
        <w:rPr>
          <w:rStyle w:val="FootnoteReference"/>
        </w:rPr>
        <w:footnoteRef/>
      </w:r>
      <w:r>
        <w:t xml:space="preserve"> </w:t>
      </w:r>
      <w:r>
        <w:tab/>
      </w:r>
      <w:r w:rsidRPr="000F5314">
        <w:t>The number can vary due to publications being in a variety of accessible formats.</w:t>
      </w:r>
    </w:p>
  </w:footnote>
  <w:footnote w:id="57">
    <w:p w14:paraId="62E82850" w14:textId="52723F09" w:rsidR="00022A78" w:rsidRDefault="00022A78" w:rsidP="00901FC6">
      <w:pPr>
        <w:pStyle w:val="FootnoteText"/>
      </w:pPr>
      <w:r>
        <w:rPr>
          <w:rStyle w:val="FootnoteReference"/>
        </w:rPr>
        <w:footnoteRef/>
      </w:r>
      <w:r>
        <w:t xml:space="preserve"> </w:t>
      </w:r>
      <w:r>
        <w:tab/>
        <w:t>The internationally accepted standard is for at least one third of inspections to be unannounced.</w:t>
      </w:r>
      <w:r w:rsidR="00901FC6">
        <w:t xml:space="preserve"> </w:t>
      </w:r>
      <w:r w:rsidR="00901FC6" w:rsidRPr="00901FC6">
        <w:t>We are currently calibrating the desired</w:t>
      </w:r>
      <w:r w:rsidR="00901FC6">
        <w:t xml:space="preserve"> </w:t>
      </w:r>
      <w:r w:rsidR="00901FC6" w:rsidRPr="00901FC6">
        <w:t>proportion of announced versus unannounced inspections and visits.</w:t>
      </w:r>
    </w:p>
  </w:footnote>
  <w:footnote w:id="58">
    <w:p w14:paraId="7F5F79CC" w14:textId="77777777" w:rsidR="00022A78" w:rsidRPr="008E3DF4" w:rsidRDefault="00022A78" w:rsidP="00DD026E">
      <w:pPr>
        <w:pStyle w:val="FootnoteText"/>
      </w:pPr>
      <w:r w:rsidRPr="008E3DF4">
        <w:rPr>
          <w:rStyle w:val="FootnoteReference"/>
        </w:rPr>
        <w:footnoteRef/>
      </w:r>
      <w:r w:rsidRPr="008E3DF4">
        <w:t xml:space="preserve"> </w:t>
      </w:r>
      <w:r w:rsidRPr="008E3DF4">
        <w:tab/>
        <w:t>Counted as 120 calendar days. Includes written feedback and draft reports.</w:t>
      </w:r>
    </w:p>
  </w:footnote>
  <w:footnote w:id="59">
    <w:p w14:paraId="0CD0872A" w14:textId="68679185" w:rsidR="00022A78" w:rsidRDefault="00022A78" w:rsidP="00DD026E">
      <w:pPr>
        <w:pStyle w:val="FootnoteText"/>
      </w:pPr>
      <w:bookmarkStart w:id="76" w:name="_Hlk237246862"/>
      <w:r w:rsidRPr="004A166E">
        <w:rPr>
          <w:rStyle w:val="FootnoteReference"/>
        </w:rPr>
        <w:footnoteRef/>
      </w:r>
      <w:r w:rsidRPr="004A166E">
        <w:t xml:space="preserve"> </w:t>
      </w:r>
      <w:r w:rsidRPr="004A166E">
        <w:tab/>
      </w:r>
      <w:r w:rsidR="008E3DF4" w:rsidRPr="004A166E">
        <w:t xml:space="preserve">The target was set on the expected shift to </w:t>
      </w:r>
      <w:r w:rsidR="000F5314" w:rsidRPr="004A166E">
        <w:t>quality assurance through random sampling</w:t>
      </w:r>
      <w:r w:rsidR="008E3DF4" w:rsidRPr="004A166E">
        <w:t>, which has been deferred</w:t>
      </w:r>
      <w:r w:rsidRPr="004A166E">
        <w:t>.</w:t>
      </w:r>
      <w:r>
        <w:t xml:space="preserve"> </w:t>
      </w:r>
      <w:bookmarkEnd w:id="76"/>
    </w:p>
  </w:footnote>
  <w:footnote w:id="60">
    <w:p w14:paraId="019AE6C8" w14:textId="77777777" w:rsidR="00022A78" w:rsidRDefault="00022A78" w:rsidP="00DD026E">
      <w:pPr>
        <w:pStyle w:val="FootnoteText"/>
      </w:pPr>
      <w:r>
        <w:rPr>
          <w:rStyle w:val="FootnoteReference"/>
        </w:rPr>
        <w:footnoteRef/>
      </w:r>
      <w:r>
        <w:t xml:space="preserve"> </w:t>
      </w:r>
      <w:r>
        <w:tab/>
        <w:t>This includes advice, guidance, speeches, presentations, and training sessions.</w:t>
      </w:r>
    </w:p>
  </w:footnote>
  <w:footnote w:id="61">
    <w:p w14:paraId="00DE1F46" w14:textId="777EEF5B" w:rsidR="00084252" w:rsidRDefault="00084252">
      <w:pPr>
        <w:pStyle w:val="FootnoteText"/>
      </w:pPr>
      <w:r>
        <w:rPr>
          <w:rStyle w:val="FootnoteReference"/>
        </w:rPr>
        <w:footnoteRef/>
      </w:r>
      <w:r>
        <w:t xml:space="preserve"> </w:t>
      </w:r>
      <w:r>
        <w:tab/>
      </w:r>
      <w:r w:rsidRPr="00084252">
        <w:t>In 2025/26 we will re-focus our international commitments, as we transition to working in a more limited capacity in this area</w:t>
      </w:r>
      <w:r w:rsidR="00E36907">
        <w:t>.</w:t>
      </w:r>
    </w:p>
  </w:footnote>
  <w:footnote w:id="62">
    <w:p w14:paraId="3CECA27F" w14:textId="689BEC53" w:rsidR="00084252" w:rsidRDefault="00084252">
      <w:pPr>
        <w:pStyle w:val="FootnoteText"/>
      </w:pPr>
      <w:r>
        <w:rPr>
          <w:rStyle w:val="FootnoteReference"/>
        </w:rPr>
        <w:footnoteRef/>
      </w:r>
      <w:r>
        <w:t xml:space="preserve"> </w:t>
      </w:r>
      <w:r>
        <w:tab/>
      </w:r>
      <w:r w:rsidRPr="00084252">
        <w:t>Level of demand for in person delegations is variable.</w:t>
      </w:r>
    </w:p>
  </w:footnote>
  <w:footnote w:id="63">
    <w:p w14:paraId="42AA9A1B" w14:textId="76A7D8C6" w:rsidR="00084252" w:rsidRDefault="00084252">
      <w:pPr>
        <w:pStyle w:val="FootnoteText"/>
      </w:pPr>
      <w:r>
        <w:rPr>
          <w:rStyle w:val="FootnoteReference"/>
        </w:rPr>
        <w:footnoteRef/>
      </w:r>
      <w:r>
        <w:t xml:space="preserve"> </w:t>
      </w:r>
      <w:r>
        <w:tab/>
      </w:r>
      <w:r w:rsidRPr="00A7288B">
        <w:t xml:space="preserve">Above, note </w:t>
      </w:r>
      <w:r w:rsidR="00686835" w:rsidRPr="00A7288B">
        <w:t>60</w:t>
      </w:r>
      <w:r w:rsidRPr="00A7288B">
        <w:t>.</w:t>
      </w:r>
    </w:p>
  </w:footnote>
  <w:footnote w:id="64">
    <w:p w14:paraId="4F5FA53A" w14:textId="63D499AE" w:rsidR="0080790F" w:rsidRDefault="0080790F">
      <w:pPr>
        <w:pStyle w:val="FootnoteText"/>
      </w:pPr>
      <w:r>
        <w:rPr>
          <w:rStyle w:val="FootnoteReference"/>
        </w:rPr>
        <w:footnoteRef/>
      </w:r>
      <w:r>
        <w:t xml:space="preserve"> </w:t>
      </w:r>
      <w:r>
        <w:tab/>
        <w:t xml:space="preserve">Forecast </w:t>
      </w:r>
    </w:p>
  </w:footnote>
  <w:footnote w:id="65">
    <w:p w14:paraId="354BBB8E" w14:textId="6ABDD865" w:rsidR="00FE1D2E" w:rsidRDefault="00FE1D2E">
      <w:pPr>
        <w:pStyle w:val="FootnoteText"/>
      </w:pPr>
      <w:r>
        <w:rPr>
          <w:rStyle w:val="FootnoteReference"/>
        </w:rPr>
        <w:footnoteRef/>
      </w:r>
      <w:r>
        <w:t xml:space="preserve"> </w:t>
      </w:r>
      <w:r>
        <w:tab/>
        <w:t xml:space="preserve">Forecast </w:t>
      </w:r>
    </w:p>
  </w:footnote>
  <w:footnote w:id="66">
    <w:p w14:paraId="08AB6B42" w14:textId="77777777" w:rsidR="00FE1D2E" w:rsidRDefault="00FE1D2E">
      <w:pPr>
        <w:pStyle w:val="FootnoteText"/>
      </w:pPr>
      <w:r>
        <w:rPr>
          <w:rStyle w:val="FootnoteReference"/>
        </w:rPr>
        <w:footnoteRef/>
      </w:r>
      <w:r>
        <w:t xml:space="preserve"> </w:t>
      </w:r>
      <w:r>
        <w:tab/>
        <w:t xml:space="preserve">Forecast </w:t>
      </w:r>
    </w:p>
  </w:footnote>
  <w:footnote w:id="67">
    <w:p w14:paraId="72A17DA6" w14:textId="77777777" w:rsidR="00D673D9" w:rsidRDefault="00D673D9">
      <w:pPr>
        <w:pStyle w:val="FootnoteText"/>
      </w:pPr>
      <w:r>
        <w:rPr>
          <w:rStyle w:val="FootnoteReference"/>
        </w:rPr>
        <w:footnoteRef/>
      </w:r>
      <w:r>
        <w:t xml:space="preserve"> </w:t>
      </w:r>
      <w:r>
        <w:tab/>
        <w:t xml:space="preserve">Forecast </w:t>
      </w:r>
    </w:p>
  </w:footnote>
  <w:footnote w:id="68">
    <w:p w14:paraId="3D582C5B" w14:textId="77777777" w:rsidR="00D673D9" w:rsidRDefault="00D673D9">
      <w:pPr>
        <w:pStyle w:val="FootnoteText"/>
      </w:pPr>
      <w:r>
        <w:rPr>
          <w:rStyle w:val="FootnoteReference"/>
        </w:rPr>
        <w:footnoteRef/>
      </w:r>
      <w:r>
        <w:t xml:space="preserve"> </w:t>
      </w:r>
      <w:r>
        <w:tab/>
        <w:t xml:space="preserve">Forecast </w:t>
      </w:r>
    </w:p>
  </w:footnote>
  <w:footnote w:id="69">
    <w:p w14:paraId="15039D04" w14:textId="4EAEA5AF" w:rsidR="006837EC" w:rsidRDefault="006837EC">
      <w:pPr>
        <w:pStyle w:val="FootnoteText"/>
      </w:pPr>
      <w:r>
        <w:rPr>
          <w:rStyle w:val="FootnoteReference"/>
        </w:rPr>
        <w:footnoteRef/>
      </w:r>
      <w:r>
        <w:t xml:space="preserve"> </w:t>
      </w:r>
      <w:r>
        <w:tab/>
        <w:t xml:space="preserve">Forecast </w:t>
      </w:r>
    </w:p>
  </w:footnote>
  <w:footnote w:id="70">
    <w:p w14:paraId="37CA49ED" w14:textId="073EE5DA" w:rsidR="006837EC" w:rsidRDefault="006837EC">
      <w:pPr>
        <w:pStyle w:val="FootnoteText"/>
      </w:pPr>
      <w:r>
        <w:rPr>
          <w:rStyle w:val="FootnoteReference"/>
        </w:rPr>
        <w:footnoteRef/>
      </w:r>
      <w:r>
        <w:t xml:space="preserve"> </w:t>
      </w:r>
      <w:r>
        <w:tab/>
        <w:t>Forecast</w:t>
      </w:r>
    </w:p>
  </w:footnote>
  <w:footnote w:id="71">
    <w:p w14:paraId="646BC448" w14:textId="27349E03" w:rsidR="00056408" w:rsidRDefault="00056408">
      <w:pPr>
        <w:pStyle w:val="FootnoteText"/>
      </w:pPr>
      <w:r>
        <w:rPr>
          <w:rStyle w:val="FootnoteReference"/>
        </w:rPr>
        <w:footnoteRef/>
      </w:r>
      <w:r>
        <w:t xml:space="preserve"> </w:t>
      </w:r>
      <w:r>
        <w:tab/>
        <w:t xml:space="preserve">Forecast. </w:t>
      </w:r>
    </w:p>
  </w:footnote>
  <w:footnote w:id="72">
    <w:p w14:paraId="6A960CBC" w14:textId="38EFA11D" w:rsidR="00B61464" w:rsidRDefault="00B61464">
      <w:pPr>
        <w:pStyle w:val="FootnoteText"/>
      </w:pPr>
      <w:r>
        <w:rPr>
          <w:rStyle w:val="FootnoteReference"/>
        </w:rPr>
        <w:footnoteRef/>
      </w:r>
      <w:r>
        <w:t xml:space="preserve"> </w:t>
      </w:r>
      <w:r>
        <w:tab/>
        <w:t xml:space="preserve">Forecast </w:t>
      </w:r>
    </w:p>
  </w:footnote>
  <w:footnote w:id="73">
    <w:p w14:paraId="556514DB" w14:textId="54AA8593" w:rsidR="00B61464" w:rsidRDefault="00B61464">
      <w:pPr>
        <w:pStyle w:val="FootnoteText"/>
      </w:pPr>
      <w:r>
        <w:rPr>
          <w:rStyle w:val="FootnoteReference"/>
        </w:rPr>
        <w:footnoteRef/>
      </w:r>
      <w:r>
        <w:t xml:space="preserve"> </w:t>
      </w:r>
      <w:r>
        <w:tab/>
        <w:t>Forecast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27E4" w14:textId="21A9120F" w:rsidR="00AE62D3" w:rsidRDefault="00AE62D3" w:rsidP="00AE62D3">
    <w:pPr>
      <w:pStyle w:val="Header"/>
      <w:tabs>
        <w:tab w:val="clear" w:pos="9299"/>
        <w:tab w:val="right" w:pos="9321"/>
      </w:tabs>
      <w:rPr>
        <w:rStyle w:val="PageNumber"/>
      </w:rPr>
    </w:pPr>
    <w:r>
      <w:t xml:space="preserve">Ombudsman | </w:t>
    </w:r>
    <w:r w:rsidRPr="00DD54DF">
      <w:t xml:space="preserve">Kaitiaki Mana </w:t>
    </w:r>
    <w:proofErr w:type="spellStart"/>
    <w:r w:rsidRPr="00DD54DF">
      <w:t>Tangata</w:t>
    </w:r>
    <w:proofErr w:type="spellEnd"/>
    <w:r>
      <w:tab/>
      <w:t xml:space="preserve">Annual Report of the </w:t>
    </w:r>
    <w:r w:rsidRPr="00A60E96">
      <w:t>Ombudsman 20</w:t>
    </w:r>
    <w:r>
      <w:t>25/26</w:t>
    </w:r>
  </w:p>
  <w:p w14:paraId="1A6F422A" w14:textId="74C14446" w:rsidR="00D5302F" w:rsidRDefault="00D5302F" w:rsidP="00D5302F">
    <w:pPr>
      <w:pStyle w:val="Header"/>
      <w:tabs>
        <w:tab w:val="clear" w:pos="9299"/>
        <w:tab w:val="right" w:pos="9321"/>
      </w:tabs>
      <w:rPr>
        <w:rStyle w:val="PageNumber"/>
      </w:rPr>
    </w:pPr>
  </w:p>
  <w:p w14:paraId="394A1069" w14:textId="77777777" w:rsidR="00D5302F" w:rsidRPr="00C452D1" w:rsidRDefault="00D5302F" w:rsidP="00D5302F">
    <w:pPr>
      <w:pStyle w:val="Headerline"/>
      <w:rPr>
        <w:szCs w:val="2"/>
      </w:rPr>
    </w:pPr>
  </w:p>
  <w:p w14:paraId="69646D19" w14:textId="77777777" w:rsidR="00D5302F" w:rsidRDefault="00D53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E4390" w14:textId="72862D3C" w:rsidR="00EC3B3E" w:rsidRPr="00EC3B3E" w:rsidRDefault="004E7CAA" w:rsidP="00EC3B3E">
    <w:pPr>
      <w:pStyle w:val="Header"/>
      <w:rPr>
        <w:szCs w:val="2"/>
      </w:rPr>
    </w:pPr>
    <w:r>
      <w:rPr>
        <w:noProof/>
        <w:lang w:eastAsia="en-NZ"/>
      </w:rPr>
      <w:drawing>
        <wp:anchor distT="0" distB="0" distL="114300" distR="114300" simplePos="0" relativeHeight="251662336" behindDoc="1" locked="0" layoutInCell="1" allowOverlap="1" wp14:anchorId="26AB5807" wp14:editId="59A4717C">
          <wp:simplePos x="0" y="0"/>
          <wp:positionH relativeFrom="page">
            <wp:posOffset>829031</wp:posOffset>
          </wp:positionH>
          <wp:positionV relativeFrom="page">
            <wp:posOffset>5048250</wp:posOffset>
          </wp:positionV>
          <wp:extent cx="5903518" cy="5208270"/>
          <wp:effectExtent l="0" t="0" r="2540" b="0"/>
          <wp:wrapNone/>
          <wp:docPr id="1175617061" name="Picture 7" descr="Pītau-a-manaia Waitohu design. It is a traditional Māori design that is a digital whakairo (carving). It features Manaia as a human form. Haehae lines and koru patterns form the body of Manaia, which flows across similar to the number eight on its side. Stylised hands are clasped at the centre of the whakairo. On each side of, and within, the design is the Ombudsman ‘O’ in which a fern is furled into each ‘O’. The design features a thi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Pītau-a-manaia Waitohu design. It is a traditional Māori design that is a digital whakairo (carving). It features Manaia as a human form. Haehae lines and koru patterns form the body of Manaia, which flows across similar to the number eight on its side. Stylised hands are clasped at the centre of the whakairo. On each side of, and within, the design is the Ombudsman ‘O’ in which a fern is furled into each ‘O’. The design features a thick outline"/>
                  <pic:cNvPicPr/>
                </pic:nvPicPr>
                <pic:blipFill>
                  <a:blip r:embed="rId1">
                    <a:extLst>
                      <a:ext uri="{28A0092B-C50C-407E-A947-70E740481C1C}">
                        <a14:useLocalDpi xmlns:a14="http://schemas.microsoft.com/office/drawing/2010/main" val="0"/>
                      </a:ext>
                    </a:extLst>
                  </a:blip>
                  <a:stretch>
                    <a:fillRect/>
                  </a:stretch>
                </pic:blipFill>
                <pic:spPr>
                  <a:xfrm>
                    <a:off x="0" y="0"/>
                    <a:ext cx="5903518" cy="5208270"/>
                  </a:xfrm>
                  <a:prstGeom prst="rect">
                    <a:avLst/>
                  </a:prstGeom>
                </pic:spPr>
              </pic:pic>
            </a:graphicData>
          </a:graphic>
        </wp:anchor>
      </w:drawing>
    </w:r>
    <w:r w:rsidR="00EC3B3E" w:rsidRPr="00EC3B3E">
      <w:rPr>
        <w:noProof/>
        <w:szCs w:val="2"/>
        <w:lang w:eastAsia="en-NZ"/>
      </w:rPr>
      <w:drawing>
        <wp:anchor distT="0" distB="0" distL="114300" distR="114300" simplePos="0" relativeHeight="251664384" behindDoc="0" locked="0" layoutInCell="1" allowOverlap="1" wp14:anchorId="358BFD07" wp14:editId="2B2B5042">
          <wp:simplePos x="0" y="0"/>
          <wp:positionH relativeFrom="column">
            <wp:posOffset>-56515</wp:posOffset>
          </wp:positionH>
          <wp:positionV relativeFrom="page">
            <wp:posOffset>429930</wp:posOffset>
          </wp:positionV>
          <wp:extent cx="5960745" cy="1368989"/>
          <wp:effectExtent l="0" t="0" r="1905" b="3175"/>
          <wp:wrapNone/>
          <wp:docPr id="1984607179" name="Picture 0" descr="Ombudsman Kaitiaki Mana Tangata | Tuia kia ōrite Fairness for all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0" descr="Ombudsman Kaitiaki Mana Tangata | Tuia kia ōrite Fairness for all header."/>
                  <pic:cNvPicPr/>
                </pic:nvPicPr>
                <pic:blipFill>
                  <a:blip r:embed="rId2">
                    <a:extLst>
                      <a:ext uri="{28A0092B-C50C-407E-A947-70E740481C1C}">
                        <a14:useLocalDpi xmlns:a14="http://schemas.microsoft.com/office/drawing/2010/main" val="0"/>
                      </a:ext>
                    </a:extLst>
                  </a:blip>
                  <a:stretch>
                    <a:fillRect/>
                  </a:stretch>
                </pic:blipFill>
                <pic:spPr>
                  <a:xfrm>
                    <a:off x="0" y="0"/>
                    <a:ext cx="5960745" cy="136898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5EAD2" w14:textId="20C2AED3" w:rsidR="00EE29A4" w:rsidRPr="00EC3B3E" w:rsidRDefault="00EE29A4" w:rsidP="00EC3B3E">
    <w:pPr>
      <w:pStyle w:val="Header"/>
      <w:rPr>
        <w:szCs w:val="2"/>
      </w:rPr>
    </w:pPr>
    <w:r>
      <w:rPr>
        <w:noProof/>
        <w:lang w:eastAsia="en-NZ"/>
      </w:rPr>
      <w:drawing>
        <wp:anchor distT="0" distB="0" distL="114300" distR="114300" simplePos="0" relativeHeight="251666432" behindDoc="1" locked="0" layoutInCell="1" allowOverlap="1" wp14:anchorId="15DE5E52" wp14:editId="0ED53613">
          <wp:simplePos x="0" y="0"/>
          <wp:positionH relativeFrom="page">
            <wp:posOffset>829031</wp:posOffset>
          </wp:positionH>
          <wp:positionV relativeFrom="page">
            <wp:posOffset>5048250</wp:posOffset>
          </wp:positionV>
          <wp:extent cx="5903518" cy="5208270"/>
          <wp:effectExtent l="0" t="0" r="2540" b="0"/>
          <wp:wrapNone/>
          <wp:docPr id="1696682324" name="Picture 7" descr="Pītau-a-manaia Waitohu design. It is a traditional Māori design that is a digital whakairo (carving). It features Manaia as a human form. Haehae lines and koru patterns form the body of Manaia, which flows across similar to the number eight on its side. Stylised hands are clasped at the centre of the whakairo. On each side of, and within, the design is the Ombudsman ‘O’ in which a fern is furled into each ‘O’. The design features a thi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Pītau-a-manaia Waitohu design. It is a traditional Māori design that is a digital whakairo (carving). It features Manaia as a human form. Haehae lines and koru patterns form the body of Manaia, which flows across similar to the number eight on its side. Stylised hands are clasped at the centre of the whakairo. On each side of, and within, the design is the Ombudsman ‘O’ in which a fern is furled into each ‘O’. The design features a thick outline"/>
                  <pic:cNvPicPr/>
                </pic:nvPicPr>
                <pic:blipFill>
                  <a:blip r:embed="rId1">
                    <a:extLst>
                      <a:ext uri="{28A0092B-C50C-407E-A947-70E740481C1C}">
                        <a14:useLocalDpi xmlns:a14="http://schemas.microsoft.com/office/drawing/2010/main" val="0"/>
                      </a:ext>
                    </a:extLst>
                  </a:blip>
                  <a:stretch>
                    <a:fillRect/>
                  </a:stretch>
                </pic:blipFill>
                <pic:spPr>
                  <a:xfrm>
                    <a:off x="0" y="0"/>
                    <a:ext cx="5903518" cy="52082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7C4A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AC2F32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C3DC890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9"/>
    <w:multiLevelType w:val="singleLevel"/>
    <w:tmpl w:val="AB80018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5" w15:restartNumberingAfterBreak="0">
    <w:nsid w:val="0A0C121E"/>
    <w:multiLevelType w:val="multilevel"/>
    <w:tmpl w:val="F3FA4E0A"/>
    <w:lvl w:ilvl="0">
      <w:start w:val="1"/>
      <w:numFmt w:val="bullet"/>
      <w:pStyle w:val="FootnoteTextBullet"/>
      <w:lvlText w:val=""/>
      <w:lvlJc w:val="left"/>
      <w:pPr>
        <w:tabs>
          <w:tab w:val="num" w:pos="567"/>
        </w:tabs>
        <w:ind w:left="567" w:hanging="283"/>
      </w:pPr>
      <w:rPr>
        <w:rFonts w:ascii="Symbol" w:hAnsi="Symbol" w:hint="default"/>
      </w:rPr>
    </w:lvl>
    <w:lvl w:ilvl="1">
      <w:start w:val="1"/>
      <w:numFmt w:val="none"/>
      <w:suff w:val="nothing"/>
      <w:lvlText w:val="%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E266A35"/>
    <w:multiLevelType w:val="multilevel"/>
    <w:tmpl w:val="D4B49A9C"/>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none"/>
      <w:suff w:val="nothing"/>
      <w:lvlText w:val=""/>
      <w:lvlJc w:val="righ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righ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right"/>
      <w:pPr>
        <w:ind w:left="1134" w:firstLine="0"/>
      </w:pPr>
      <w:rPr>
        <w:rFonts w:hint="default"/>
      </w:rPr>
    </w:lvl>
  </w:abstractNum>
  <w:abstractNum w:abstractNumId="7" w15:restartNumberingAfterBreak="0">
    <w:nsid w:val="0F2416F2"/>
    <w:multiLevelType w:val="multilevel"/>
    <w:tmpl w:val="7DEC49D8"/>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Calibri" w:hAnsi="Calibri" w:hint="default"/>
      </w:rPr>
    </w:lvl>
    <w:lvl w:ilvl="2">
      <w:start w:val="1"/>
      <w:numFmt w:val="bullet"/>
      <w:pStyle w:val="ListBullet3"/>
      <w:lvlText w:val="›"/>
      <w:lvlJc w:val="left"/>
      <w:pPr>
        <w:tabs>
          <w:tab w:val="num" w:pos="1701"/>
        </w:tabs>
        <w:ind w:left="1701" w:hanging="567"/>
      </w:pPr>
      <w:rPr>
        <w:rFonts w:ascii="Calibri" w:hAnsi="Calibri" w:hint="default"/>
      </w:rPr>
    </w:lvl>
    <w:lvl w:ilvl="3">
      <w:start w:val="1"/>
      <w:numFmt w:val="bullet"/>
      <w:pStyle w:val="List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9" w15:restartNumberingAfterBreak="0">
    <w:nsid w:val="233137EB"/>
    <w:multiLevelType w:val="hybridMultilevel"/>
    <w:tmpl w:val="CF7EA0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1"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12"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3" w15:restartNumberingAfterBreak="0">
    <w:nsid w:val="369C4F70"/>
    <w:multiLevelType w:val="multilevel"/>
    <w:tmpl w:val="E5D2630A"/>
    <w:lvl w:ilvl="0">
      <w:start w:val="1"/>
      <w:numFmt w:val="decimal"/>
      <w:pStyle w:val="Boxsmallnumber-1"/>
      <w:lvlText w:val="%1."/>
      <w:lvlJc w:val="left"/>
      <w:pPr>
        <w:tabs>
          <w:tab w:val="num" w:pos="357"/>
        </w:tabs>
        <w:ind w:left="360" w:hanging="360"/>
      </w:pPr>
      <w:rPr>
        <w:rFonts w:hint="default"/>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14"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15" w15:restartNumberingAfterBreak="0">
    <w:nsid w:val="377C497E"/>
    <w:multiLevelType w:val="multilevel"/>
    <w:tmpl w:val="D4D4899C"/>
    <w:lvl w:ilvl="0">
      <w:start w:val="1"/>
      <w:numFmt w:val="decimal"/>
      <w:pStyle w:val="Listoutline1-1"/>
      <w:lvlText w:val="%1."/>
      <w:lvlJc w:val="left"/>
      <w:pPr>
        <w:tabs>
          <w:tab w:val="num" w:pos="851"/>
        </w:tabs>
        <w:ind w:left="851" w:hanging="851"/>
      </w:pPr>
      <w:rPr>
        <w:rFonts w:hint="default"/>
      </w:rPr>
    </w:lvl>
    <w:lvl w:ilvl="1">
      <w:start w:val="1"/>
      <w:numFmt w:val="decimal"/>
      <w:pStyle w:val="Listoutline2-11"/>
      <w:lvlText w:val="%1.%2."/>
      <w:lvlJc w:val="left"/>
      <w:pPr>
        <w:tabs>
          <w:tab w:val="num" w:pos="851"/>
        </w:tabs>
        <w:ind w:left="851" w:hanging="851"/>
      </w:pPr>
      <w:rPr>
        <w:rFonts w:hint="default"/>
      </w:rPr>
    </w:lvl>
    <w:lvl w:ilvl="2">
      <w:start w:val="1"/>
      <w:numFmt w:val="decimal"/>
      <w:pStyle w:val="Listoutline3-111"/>
      <w:lvlText w:val="%1.%2.%3."/>
      <w:lvlJc w:val="left"/>
      <w:pPr>
        <w:tabs>
          <w:tab w:val="num" w:pos="851"/>
        </w:tabs>
        <w:ind w:left="851" w:hanging="851"/>
      </w:pPr>
      <w:rPr>
        <w:rFonts w:hint="default"/>
      </w:rPr>
    </w:lvl>
    <w:lvl w:ilvl="3">
      <w:start w:val="1"/>
      <w:numFmt w:val="lowerLetter"/>
      <w:pStyle w:val="Listoutline4-a"/>
      <w:lvlText w:val="%4."/>
      <w:lvlJc w:val="left"/>
      <w:pPr>
        <w:tabs>
          <w:tab w:val="num" w:pos="1418"/>
        </w:tabs>
        <w:ind w:left="1418" w:hanging="567"/>
      </w:pPr>
      <w:rPr>
        <w:rFonts w:hint="default"/>
      </w:rPr>
    </w:lvl>
    <w:lvl w:ilvl="4">
      <w:start w:val="1"/>
      <w:numFmt w:val="lowerRoman"/>
      <w:pStyle w:val="Listoutline5-i"/>
      <w:lvlText w:val="%5."/>
      <w:lvlJc w:val="left"/>
      <w:pPr>
        <w:tabs>
          <w:tab w:val="num" w:pos="1985"/>
        </w:tabs>
        <w:ind w:left="1985" w:hanging="567"/>
      </w:pPr>
      <w:rPr>
        <w:rFonts w:hint="default"/>
      </w:rPr>
    </w:lvl>
    <w:lvl w:ilvl="5">
      <w:start w:val="1"/>
      <w:numFmt w:val="none"/>
      <w:suff w:val="nothing"/>
      <w:lvlText w:val=""/>
      <w:lvlJc w:val="left"/>
      <w:pPr>
        <w:ind w:left="1985"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1D5E25"/>
    <w:multiLevelType w:val="multilevel"/>
    <w:tmpl w:val="174E6B08"/>
    <w:lvl w:ilvl="0">
      <w:start w:val="1"/>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7" w15:restartNumberingAfterBreak="0">
    <w:nsid w:val="39744B21"/>
    <w:multiLevelType w:val="multilevel"/>
    <w:tmpl w:val="1BFA9C32"/>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18" w15:restartNumberingAfterBreak="0">
    <w:nsid w:val="3C513B6C"/>
    <w:multiLevelType w:val="hybridMultilevel"/>
    <w:tmpl w:val="C52A74D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9" w15:restartNumberingAfterBreak="0">
    <w:nsid w:val="40BA5E40"/>
    <w:multiLevelType w:val="hybridMultilevel"/>
    <w:tmpl w:val="07EEB1F4"/>
    <w:lvl w:ilvl="0" w:tplc="81B8EC98">
      <w:start w:val="1"/>
      <w:numFmt w:val="bullet"/>
      <w:lvlText w:val=""/>
      <w:lvlJc w:val="left"/>
      <w:pPr>
        <w:ind w:left="360" w:hanging="360"/>
      </w:pPr>
      <w:rPr>
        <w:rFonts w:ascii="Symbol" w:hAnsi="Symbol" w:hint="default"/>
        <w:color w:val="auto"/>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4557561E"/>
    <w:multiLevelType w:val="multilevel"/>
    <w:tmpl w:val="FD043240"/>
    <w:lvl w:ilvl="0">
      <w:start w:val="1"/>
      <w:numFmt w:val="none"/>
      <w:suff w:val="nothing"/>
      <w:lvlText w:val=""/>
      <w:lvlJc w:val="left"/>
      <w:pPr>
        <w:ind w:left="0" w:firstLine="0"/>
      </w:pPr>
      <w:rPr>
        <w:rFonts w:hint="default"/>
      </w:rPr>
    </w:lvl>
    <w:lvl w:ilvl="1">
      <w:start w:val="1"/>
      <w:numFmt w:val="none"/>
      <w:isLgl/>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21" w15:restartNumberingAfterBreak="0">
    <w:nsid w:val="4FC32322"/>
    <w:multiLevelType w:val="multilevel"/>
    <w:tmpl w:val="1C924FC2"/>
    <w:lvl w:ilvl="0">
      <w:start w:val="1"/>
      <w:numFmt w:val="decimal"/>
      <w:pStyle w:val="Number1"/>
      <w:lvlText w:val="%1."/>
      <w:lvlJc w:val="left"/>
      <w:pPr>
        <w:tabs>
          <w:tab w:val="num" w:pos="567"/>
        </w:tabs>
        <w:ind w:left="567" w:hanging="567"/>
      </w:pPr>
      <w:rPr>
        <w:rFonts w:hint="eastAsia"/>
        <w:u w:color="696969"/>
      </w:r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2" w15:restartNumberingAfterBreak="0">
    <w:nsid w:val="58421A3F"/>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F465289"/>
    <w:multiLevelType w:val="multilevel"/>
    <w:tmpl w:val="906E30B8"/>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tabs>
          <w:tab w:val="num" w:pos="1134"/>
        </w:tabs>
        <w:ind w:left="1134" w:hanging="567"/>
      </w:pPr>
      <w:rPr>
        <w:rFonts w:hint="default"/>
      </w:rPr>
    </w:lvl>
    <w:lvl w:ilvl="2">
      <w:start w:val="1"/>
      <w:numFmt w:val="lowerRoman"/>
      <w:pStyle w:val="List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06A199B"/>
    <w:multiLevelType w:val="hybridMultilevel"/>
    <w:tmpl w:val="027CB1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6"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8" w15:restartNumberingAfterBreak="0">
    <w:nsid w:val="6EB01AD9"/>
    <w:multiLevelType w:val="multilevel"/>
    <w:tmpl w:val="757CB570"/>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none"/>
      <w:suff w:val="nothing"/>
      <w:lvlText w:val=""/>
      <w:lvlJc w:val="righ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righ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right"/>
      <w:pPr>
        <w:ind w:left="1134" w:firstLine="0"/>
      </w:pPr>
      <w:rPr>
        <w:rFonts w:hint="default"/>
      </w:rPr>
    </w:lvl>
  </w:abstractNum>
  <w:abstractNum w:abstractNumId="29"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30" w15:restartNumberingAfterBreak="0">
    <w:nsid w:val="777216FA"/>
    <w:multiLevelType w:val="multilevel"/>
    <w:tmpl w:val="1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7746DE0"/>
    <w:multiLevelType w:val="multilevel"/>
    <w:tmpl w:val="1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B247774"/>
    <w:multiLevelType w:val="multilevel"/>
    <w:tmpl w:val="F32CA884"/>
    <w:lvl w:ilvl="0">
      <w:start w:val="1"/>
      <w:numFmt w:val="decimal"/>
      <w:pStyle w:val="QListnumber"/>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33" w15:restartNumberingAfterBreak="0">
    <w:nsid w:val="7F7630EB"/>
    <w:multiLevelType w:val="multilevel"/>
    <w:tmpl w:val="FE640DAC"/>
    <w:lvl w:ilvl="0">
      <w:start w:val="1"/>
      <w:numFmt w:val="bullet"/>
      <w:pStyle w:val="AOBulletLevel1"/>
      <w:lvlText w:val=""/>
      <w:lvlJc w:val="left"/>
      <w:pPr>
        <w:ind w:left="360" w:hanging="360"/>
      </w:pPr>
      <w:rPr>
        <w:rFonts w:ascii="Symbol" w:hAnsi="Symbol" w:hint="default"/>
      </w:rPr>
    </w:lvl>
    <w:lvl w:ilvl="1">
      <w:start w:val="1"/>
      <w:numFmt w:val="bullet"/>
      <w:pStyle w:val="AOBulletLevel2"/>
      <w:lvlText w:val=""/>
      <w:lvlJc w:val="left"/>
      <w:pPr>
        <w:ind w:left="720" w:hanging="360"/>
      </w:pPr>
      <w:rPr>
        <w:rFonts w:ascii="Wingdings" w:hAnsi="Wingdings" w:hint="default"/>
        <w:sz w:val="12"/>
      </w:rPr>
    </w:lvl>
    <w:lvl w:ilvl="2">
      <w:start w:val="1"/>
      <w:numFmt w:val="bullet"/>
      <w:pStyle w:val="AOBulletLevel3"/>
      <w:lvlText w:val=""/>
      <w:lvlJc w:val="left"/>
      <w:pPr>
        <w:ind w:left="1072" w:hanging="358"/>
      </w:pPr>
      <w:rPr>
        <w:rFonts w:ascii="Symbol" w:hAnsi="Symbol" w:hint="default"/>
        <w:sz w:val="1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81903635">
    <w:abstractNumId w:val="26"/>
  </w:num>
  <w:num w:numId="2" w16cid:durableId="947350607">
    <w:abstractNumId w:val="5"/>
  </w:num>
  <w:num w:numId="3" w16cid:durableId="595284844">
    <w:abstractNumId w:val="7"/>
  </w:num>
  <w:num w:numId="4" w16cid:durableId="569080612">
    <w:abstractNumId w:val="23"/>
  </w:num>
  <w:num w:numId="5" w16cid:durableId="460852882">
    <w:abstractNumId w:val="15"/>
  </w:num>
  <w:num w:numId="6" w16cid:durableId="1468546783">
    <w:abstractNumId w:val="31"/>
  </w:num>
  <w:num w:numId="7" w16cid:durableId="308897714">
    <w:abstractNumId w:val="30"/>
  </w:num>
  <w:num w:numId="8" w16cid:durableId="1855071717">
    <w:abstractNumId w:val="22"/>
  </w:num>
  <w:num w:numId="9" w16cid:durableId="1750735140">
    <w:abstractNumId w:val="11"/>
  </w:num>
  <w:num w:numId="10" w16cid:durableId="1096366885">
    <w:abstractNumId w:val="13"/>
  </w:num>
  <w:num w:numId="11" w16cid:durableId="762840675">
    <w:abstractNumId w:val="29"/>
  </w:num>
  <w:num w:numId="12" w16cid:durableId="675353177">
    <w:abstractNumId w:val="14"/>
  </w:num>
  <w:num w:numId="13" w16cid:durableId="1732844004">
    <w:abstractNumId w:val="10"/>
  </w:num>
  <w:num w:numId="14" w16cid:durableId="372071949">
    <w:abstractNumId w:val="12"/>
  </w:num>
  <w:num w:numId="15" w16cid:durableId="1147667813">
    <w:abstractNumId w:val="8"/>
  </w:num>
  <w:num w:numId="16" w16cid:durableId="1864703020">
    <w:abstractNumId w:val="27"/>
  </w:num>
  <w:num w:numId="17" w16cid:durableId="1228806890">
    <w:abstractNumId w:val="21"/>
  </w:num>
  <w:num w:numId="18" w16cid:durableId="293491827">
    <w:abstractNumId w:val="25"/>
  </w:num>
  <w:num w:numId="19" w16cid:durableId="1087271549">
    <w:abstractNumId w:val="4"/>
  </w:num>
  <w:num w:numId="20" w16cid:durableId="490875694">
    <w:abstractNumId w:val="16"/>
  </w:num>
  <w:num w:numId="21" w16cid:durableId="804933074">
    <w:abstractNumId w:val="28"/>
  </w:num>
  <w:num w:numId="22" w16cid:durableId="1899319885">
    <w:abstractNumId w:val="17"/>
  </w:num>
  <w:num w:numId="23" w16cid:durableId="1754664048">
    <w:abstractNumId w:val="32"/>
  </w:num>
  <w:num w:numId="24" w16cid:durableId="1540313844">
    <w:abstractNumId w:val="6"/>
  </w:num>
  <w:num w:numId="25" w16cid:durableId="1893691798">
    <w:abstractNumId w:val="20"/>
  </w:num>
  <w:num w:numId="26" w16cid:durableId="75246132">
    <w:abstractNumId w:val="2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1907330">
    <w:abstractNumId w:val="18"/>
  </w:num>
  <w:num w:numId="28" w16cid:durableId="1144421763">
    <w:abstractNumId w:val="2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079488">
    <w:abstractNumId w:val="19"/>
  </w:num>
  <w:num w:numId="30" w16cid:durableId="242835581">
    <w:abstractNumId w:val="24"/>
  </w:num>
  <w:num w:numId="31" w16cid:durableId="1104496900">
    <w:abstractNumId w:val="33"/>
  </w:num>
  <w:num w:numId="32" w16cid:durableId="631643029">
    <w:abstractNumId w:val="2"/>
  </w:num>
  <w:num w:numId="33" w16cid:durableId="1679887530">
    <w:abstractNumId w:val="1"/>
  </w:num>
  <w:num w:numId="34" w16cid:durableId="1419867338">
    <w:abstractNumId w:val="0"/>
  </w:num>
  <w:num w:numId="35" w16cid:durableId="1302230436">
    <w:abstractNumId w:val="3"/>
  </w:num>
  <w:num w:numId="36" w16cid:durableId="139230086">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567"/>
  <w:drawingGridHorizontalSpacing w:val="120"/>
  <w:displayHorizontalDrawingGridEvery w:val="2"/>
  <w:characterSpacingControl w:val="doNotCompress"/>
  <w:savePreviewPicture/>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1C69BD5-CB22-4C55-BE42-C8E8A998BBED}"/>
    <w:docVar w:name="dgnword-eventsink" w:val="251879160"/>
    <w:docVar w:name="IsfirstTb" w:val="True"/>
    <w:docVar w:name="IsInTable" w:val="True"/>
    <w:docVar w:name="OOTOTemplate" w:val="OOTO Strategic Services\Annual report.dotm"/>
    <w:docVar w:name="ShowLogo" w:val="True"/>
  </w:docVars>
  <w:rsids>
    <w:rsidRoot w:val="00C24129"/>
    <w:rsid w:val="00001A92"/>
    <w:rsid w:val="00001F57"/>
    <w:rsid w:val="000020F6"/>
    <w:rsid w:val="00002386"/>
    <w:rsid w:val="0000263E"/>
    <w:rsid w:val="0000295C"/>
    <w:rsid w:val="00003112"/>
    <w:rsid w:val="000107AD"/>
    <w:rsid w:val="00011B9D"/>
    <w:rsid w:val="0001212C"/>
    <w:rsid w:val="00012194"/>
    <w:rsid w:val="00012895"/>
    <w:rsid w:val="00013791"/>
    <w:rsid w:val="0001463D"/>
    <w:rsid w:val="00014733"/>
    <w:rsid w:val="00014B2A"/>
    <w:rsid w:val="00015D63"/>
    <w:rsid w:val="0002001F"/>
    <w:rsid w:val="0002065B"/>
    <w:rsid w:val="00021382"/>
    <w:rsid w:val="00021451"/>
    <w:rsid w:val="00021538"/>
    <w:rsid w:val="000217DD"/>
    <w:rsid w:val="00021B51"/>
    <w:rsid w:val="00022061"/>
    <w:rsid w:val="00022120"/>
    <w:rsid w:val="000221C9"/>
    <w:rsid w:val="00022478"/>
    <w:rsid w:val="00022A78"/>
    <w:rsid w:val="00024690"/>
    <w:rsid w:val="0002606B"/>
    <w:rsid w:val="000261EF"/>
    <w:rsid w:val="0002625E"/>
    <w:rsid w:val="00026A3B"/>
    <w:rsid w:val="00027A2C"/>
    <w:rsid w:val="000314C2"/>
    <w:rsid w:val="00031808"/>
    <w:rsid w:val="0003283C"/>
    <w:rsid w:val="00032A75"/>
    <w:rsid w:val="00032F1F"/>
    <w:rsid w:val="000361A0"/>
    <w:rsid w:val="0003628F"/>
    <w:rsid w:val="00037481"/>
    <w:rsid w:val="00040AD0"/>
    <w:rsid w:val="00040C4D"/>
    <w:rsid w:val="00041615"/>
    <w:rsid w:val="00043764"/>
    <w:rsid w:val="000438D5"/>
    <w:rsid w:val="00043DCF"/>
    <w:rsid w:val="0004457C"/>
    <w:rsid w:val="00045AFA"/>
    <w:rsid w:val="00045E13"/>
    <w:rsid w:val="00045F0A"/>
    <w:rsid w:val="000460C3"/>
    <w:rsid w:val="0004667B"/>
    <w:rsid w:val="000466D1"/>
    <w:rsid w:val="00050123"/>
    <w:rsid w:val="000507D4"/>
    <w:rsid w:val="00050EFD"/>
    <w:rsid w:val="000525D0"/>
    <w:rsid w:val="00052D83"/>
    <w:rsid w:val="00053114"/>
    <w:rsid w:val="000535A5"/>
    <w:rsid w:val="00054044"/>
    <w:rsid w:val="000562D7"/>
    <w:rsid w:val="00056408"/>
    <w:rsid w:val="00057C4D"/>
    <w:rsid w:val="0006009F"/>
    <w:rsid w:val="00063B63"/>
    <w:rsid w:val="000655CA"/>
    <w:rsid w:val="00065694"/>
    <w:rsid w:val="000665E6"/>
    <w:rsid w:val="00070CBD"/>
    <w:rsid w:val="00072239"/>
    <w:rsid w:val="00072E6D"/>
    <w:rsid w:val="0007434D"/>
    <w:rsid w:val="0007486A"/>
    <w:rsid w:val="00076EF7"/>
    <w:rsid w:val="0007735F"/>
    <w:rsid w:val="00077B60"/>
    <w:rsid w:val="00080DFD"/>
    <w:rsid w:val="00082A0C"/>
    <w:rsid w:val="00084252"/>
    <w:rsid w:val="00084EC9"/>
    <w:rsid w:val="00086A84"/>
    <w:rsid w:val="00086BAC"/>
    <w:rsid w:val="00087054"/>
    <w:rsid w:val="00087ACC"/>
    <w:rsid w:val="000901C5"/>
    <w:rsid w:val="00091A55"/>
    <w:rsid w:val="000929D2"/>
    <w:rsid w:val="000929F9"/>
    <w:rsid w:val="00094D23"/>
    <w:rsid w:val="00096872"/>
    <w:rsid w:val="00096919"/>
    <w:rsid w:val="00096F85"/>
    <w:rsid w:val="00097056"/>
    <w:rsid w:val="000A0107"/>
    <w:rsid w:val="000A05B1"/>
    <w:rsid w:val="000A07B3"/>
    <w:rsid w:val="000A08E6"/>
    <w:rsid w:val="000A272A"/>
    <w:rsid w:val="000A5600"/>
    <w:rsid w:val="000A56A9"/>
    <w:rsid w:val="000B01F6"/>
    <w:rsid w:val="000B1B25"/>
    <w:rsid w:val="000B221C"/>
    <w:rsid w:val="000B26E9"/>
    <w:rsid w:val="000B43C3"/>
    <w:rsid w:val="000B6C20"/>
    <w:rsid w:val="000B6ED7"/>
    <w:rsid w:val="000C042D"/>
    <w:rsid w:val="000C229C"/>
    <w:rsid w:val="000C434F"/>
    <w:rsid w:val="000C487C"/>
    <w:rsid w:val="000C5077"/>
    <w:rsid w:val="000C516D"/>
    <w:rsid w:val="000C54EA"/>
    <w:rsid w:val="000C56D3"/>
    <w:rsid w:val="000C5D4D"/>
    <w:rsid w:val="000C62D6"/>
    <w:rsid w:val="000D0885"/>
    <w:rsid w:val="000D0D91"/>
    <w:rsid w:val="000D0DF0"/>
    <w:rsid w:val="000D12F7"/>
    <w:rsid w:val="000D24AD"/>
    <w:rsid w:val="000D2BB6"/>
    <w:rsid w:val="000D3183"/>
    <w:rsid w:val="000D33D6"/>
    <w:rsid w:val="000D3F9A"/>
    <w:rsid w:val="000D4757"/>
    <w:rsid w:val="000D5F11"/>
    <w:rsid w:val="000D6405"/>
    <w:rsid w:val="000D6FA6"/>
    <w:rsid w:val="000E07A5"/>
    <w:rsid w:val="000E2C2F"/>
    <w:rsid w:val="000E5CCE"/>
    <w:rsid w:val="000E6560"/>
    <w:rsid w:val="000E6F13"/>
    <w:rsid w:val="000E704D"/>
    <w:rsid w:val="000F06C0"/>
    <w:rsid w:val="000F14F7"/>
    <w:rsid w:val="000F18B1"/>
    <w:rsid w:val="000F2F29"/>
    <w:rsid w:val="000F32C4"/>
    <w:rsid w:val="000F3CB3"/>
    <w:rsid w:val="000F45AE"/>
    <w:rsid w:val="000F50A3"/>
    <w:rsid w:val="000F5314"/>
    <w:rsid w:val="000F58D0"/>
    <w:rsid w:val="000F669C"/>
    <w:rsid w:val="001010F4"/>
    <w:rsid w:val="00101351"/>
    <w:rsid w:val="00101EB5"/>
    <w:rsid w:val="00102381"/>
    <w:rsid w:val="0010296B"/>
    <w:rsid w:val="00103531"/>
    <w:rsid w:val="00105396"/>
    <w:rsid w:val="00107586"/>
    <w:rsid w:val="00107E47"/>
    <w:rsid w:val="0011050D"/>
    <w:rsid w:val="00110B1D"/>
    <w:rsid w:val="00111347"/>
    <w:rsid w:val="001123EC"/>
    <w:rsid w:val="001128F1"/>
    <w:rsid w:val="00112FE0"/>
    <w:rsid w:val="001144EE"/>
    <w:rsid w:val="001147E2"/>
    <w:rsid w:val="00114B87"/>
    <w:rsid w:val="00115A7F"/>
    <w:rsid w:val="00115DE8"/>
    <w:rsid w:val="001165A7"/>
    <w:rsid w:val="00120044"/>
    <w:rsid w:val="001217D9"/>
    <w:rsid w:val="00121ED7"/>
    <w:rsid w:val="0012444C"/>
    <w:rsid w:val="00127257"/>
    <w:rsid w:val="00132516"/>
    <w:rsid w:val="0013413E"/>
    <w:rsid w:val="001344BF"/>
    <w:rsid w:val="001349D7"/>
    <w:rsid w:val="00135AD8"/>
    <w:rsid w:val="00136B38"/>
    <w:rsid w:val="00136F4F"/>
    <w:rsid w:val="001374E8"/>
    <w:rsid w:val="0013795A"/>
    <w:rsid w:val="00137C2F"/>
    <w:rsid w:val="00140996"/>
    <w:rsid w:val="00140DAC"/>
    <w:rsid w:val="00142281"/>
    <w:rsid w:val="00143332"/>
    <w:rsid w:val="00144EC1"/>
    <w:rsid w:val="00145291"/>
    <w:rsid w:val="001452C2"/>
    <w:rsid w:val="00147051"/>
    <w:rsid w:val="001515BE"/>
    <w:rsid w:val="001517DD"/>
    <w:rsid w:val="00151F5B"/>
    <w:rsid w:val="0015310A"/>
    <w:rsid w:val="0015399D"/>
    <w:rsid w:val="00153E4D"/>
    <w:rsid w:val="00154101"/>
    <w:rsid w:val="00154D67"/>
    <w:rsid w:val="001554FF"/>
    <w:rsid w:val="0016167C"/>
    <w:rsid w:val="00161CC2"/>
    <w:rsid w:val="00162564"/>
    <w:rsid w:val="001633EA"/>
    <w:rsid w:val="00163F0B"/>
    <w:rsid w:val="00164511"/>
    <w:rsid w:val="001658C1"/>
    <w:rsid w:val="00165E55"/>
    <w:rsid w:val="0016661B"/>
    <w:rsid w:val="001709FA"/>
    <w:rsid w:val="00170EC7"/>
    <w:rsid w:val="00172E0B"/>
    <w:rsid w:val="001751CA"/>
    <w:rsid w:val="00175F53"/>
    <w:rsid w:val="00176398"/>
    <w:rsid w:val="0017697E"/>
    <w:rsid w:val="00177685"/>
    <w:rsid w:val="00177A62"/>
    <w:rsid w:val="00180289"/>
    <w:rsid w:val="00181B5B"/>
    <w:rsid w:val="001822E3"/>
    <w:rsid w:val="001828F3"/>
    <w:rsid w:val="00182D5F"/>
    <w:rsid w:val="001839A9"/>
    <w:rsid w:val="00183B0A"/>
    <w:rsid w:val="00183D0E"/>
    <w:rsid w:val="00185577"/>
    <w:rsid w:val="00185B08"/>
    <w:rsid w:val="00186A52"/>
    <w:rsid w:val="001872A2"/>
    <w:rsid w:val="00187EE5"/>
    <w:rsid w:val="00190743"/>
    <w:rsid w:val="00190A34"/>
    <w:rsid w:val="00193104"/>
    <w:rsid w:val="001940A7"/>
    <w:rsid w:val="00194280"/>
    <w:rsid w:val="0019511A"/>
    <w:rsid w:val="00195C3F"/>
    <w:rsid w:val="0019633B"/>
    <w:rsid w:val="00197B24"/>
    <w:rsid w:val="001A0C96"/>
    <w:rsid w:val="001A0FA4"/>
    <w:rsid w:val="001A10D7"/>
    <w:rsid w:val="001A12E7"/>
    <w:rsid w:val="001A2F7E"/>
    <w:rsid w:val="001A4C19"/>
    <w:rsid w:val="001A4DCB"/>
    <w:rsid w:val="001A56E4"/>
    <w:rsid w:val="001A65FE"/>
    <w:rsid w:val="001A696E"/>
    <w:rsid w:val="001A704E"/>
    <w:rsid w:val="001A7937"/>
    <w:rsid w:val="001B01F2"/>
    <w:rsid w:val="001B3E1E"/>
    <w:rsid w:val="001B54D9"/>
    <w:rsid w:val="001B6640"/>
    <w:rsid w:val="001B67CD"/>
    <w:rsid w:val="001B799E"/>
    <w:rsid w:val="001C2753"/>
    <w:rsid w:val="001C275B"/>
    <w:rsid w:val="001C2D43"/>
    <w:rsid w:val="001C5D45"/>
    <w:rsid w:val="001C60E8"/>
    <w:rsid w:val="001C630E"/>
    <w:rsid w:val="001D0099"/>
    <w:rsid w:val="001D0DDE"/>
    <w:rsid w:val="001D1E0F"/>
    <w:rsid w:val="001D2F79"/>
    <w:rsid w:val="001D4EF3"/>
    <w:rsid w:val="001D5230"/>
    <w:rsid w:val="001D57B0"/>
    <w:rsid w:val="001D6B95"/>
    <w:rsid w:val="001D741E"/>
    <w:rsid w:val="001D7CC2"/>
    <w:rsid w:val="001E067E"/>
    <w:rsid w:val="001E16D0"/>
    <w:rsid w:val="001E4287"/>
    <w:rsid w:val="001E51FE"/>
    <w:rsid w:val="001E539B"/>
    <w:rsid w:val="001E5639"/>
    <w:rsid w:val="001E5E7F"/>
    <w:rsid w:val="001F14C5"/>
    <w:rsid w:val="001F1D4F"/>
    <w:rsid w:val="001F20AE"/>
    <w:rsid w:val="001F2392"/>
    <w:rsid w:val="001F2CD8"/>
    <w:rsid w:val="001F450B"/>
    <w:rsid w:val="001F502A"/>
    <w:rsid w:val="001F6783"/>
    <w:rsid w:val="002003FA"/>
    <w:rsid w:val="002019B0"/>
    <w:rsid w:val="0020464A"/>
    <w:rsid w:val="00205DA2"/>
    <w:rsid w:val="0020647D"/>
    <w:rsid w:val="002067F0"/>
    <w:rsid w:val="0021064F"/>
    <w:rsid w:val="002119C1"/>
    <w:rsid w:val="002137CC"/>
    <w:rsid w:val="0021639F"/>
    <w:rsid w:val="002166B1"/>
    <w:rsid w:val="00217F95"/>
    <w:rsid w:val="00220580"/>
    <w:rsid w:val="00220A04"/>
    <w:rsid w:val="00221F00"/>
    <w:rsid w:val="0022277A"/>
    <w:rsid w:val="00222BA5"/>
    <w:rsid w:val="00222EA0"/>
    <w:rsid w:val="00223C3D"/>
    <w:rsid w:val="00223F78"/>
    <w:rsid w:val="00223FFB"/>
    <w:rsid w:val="00224328"/>
    <w:rsid w:val="0022462C"/>
    <w:rsid w:val="0022560B"/>
    <w:rsid w:val="0022597B"/>
    <w:rsid w:val="00226A20"/>
    <w:rsid w:val="00226D47"/>
    <w:rsid w:val="00226F03"/>
    <w:rsid w:val="0023071A"/>
    <w:rsid w:val="00230FF4"/>
    <w:rsid w:val="0023126A"/>
    <w:rsid w:val="00232014"/>
    <w:rsid w:val="00233036"/>
    <w:rsid w:val="00235245"/>
    <w:rsid w:val="00236370"/>
    <w:rsid w:val="002363B6"/>
    <w:rsid w:val="00240130"/>
    <w:rsid w:val="00241F86"/>
    <w:rsid w:val="002437B3"/>
    <w:rsid w:val="002449BC"/>
    <w:rsid w:val="0024554E"/>
    <w:rsid w:val="00245A73"/>
    <w:rsid w:val="00245ACC"/>
    <w:rsid w:val="0024602D"/>
    <w:rsid w:val="002462CD"/>
    <w:rsid w:val="00246347"/>
    <w:rsid w:val="00247CF2"/>
    <w:rsid w:val="00247D78"/>
    <w:rsid w:val="00251456"/>
    <w:rsid w:val="00251684"/>
    <w:rsid w:val="00252102"/>
    <w:rsid w:val="00253466"/>
    <w:rsid w:val="00253FB7"/>
    <w:rsid w:val="002545EE"/>
    <w:rsid w:val="002547E1"/>
    <w:rsid w:val="00255A40"/>
    <w:rsid w:val="00256132"/>
    <w:rsid w:val="00257960"/>
    <w:rsid w:val="00257C98"/>
    <w:rsid w:val="002613E2"/>
    <w:rsid w:val="00261E1A"/>
    <w:rsid w:val="00261F5B"/>
    <w:rsid w:val="00262C51"/>
    <w:rsid w:val="00263EE2"/>
    <w:rsid w:val="00266A38"/>
    <w:rsid w:val="00266B40"/>
    <w:rsid w:val="0027214C"/>
    <w:rsid w:val="00273356"/>
    <w:rsid w:val="002737FC"/>
    <w:rsid w:val="00273806"/>
    <w:rsid w:val="00273E92"/>
    <w:rsid w:val="0027485F"/>
    <w:rsid w:val="00276176"/>
    <w:rsid w:val="002768DC"/>
    <w:rsid w:val="00277F83"/>
    <w:rsid w:val="0028131D"/>
    <w:rsid w:val="002813D8"/>
    <w:rsid w:val="00283493"/>
    <w:rsid w:val="00283B7F"/>
    <w:rsid w:val="0028442E"/>
    <w:rsid w:val="00285CE3"/>
    <w:rsid w:val="0029059D"/>
    <w:rsid w:val="00291457"/>
    <w:rsid w:val="002916FC"/>
    <w:rsid w:val="002926C4"/>
    <w:rsid w:val="00295101"/>
    <w:rsid w:val="00295C9C"/>
    <w:rsid w:val="00297096"/>
    <w:rsid w:val="002A1D84"/>
    <w:rsid w:val="002A2512"/>
    <w:rsid w:val="002A34F1"/>
    <w:rsid w:val="002A460C"/>
    <w:rsid w:val="002A753C"/>
    <w:rsid w:val="002B0591"/>
    <w:rsid w:val="002B1034"/>
    <w:rsid w:val="002B1CFD"/>
    <w:rsid w:val="002B212B"/>
    <w:rsid w:val="002B26DB"/>
    <w:rsid w:val="002B3CD8"/>
    <w:rsid w:val="002B446B"/>
    <w:rsid w:val="002B493D"/>
    <w:rsid w:val="002B520C"/>
    <w:rsid w:val="002B5274"/>
    <w:rsid w:val="002B54BF"/>
    <w:rsid w:val="002C0761"/>
    <w:rsid w:val="002C0A27"/>
    <w:rsid w:val="002C182F"/>
    <w:rsid w:val="002C3BE6"/>
    <w:rsid w:val="002C3D75"/>
    <w:rsid w:val="002C4624"/>
    <w:rsid w:val="002C4FD1"/>
    <w:rsid w:val="002C55D8"/>
    <w:rsid w:val="002C70DA"/>
    <w:rsid w:val="002D09E7"/>
    <w:rsid w:val="002D124B"/>
    <w:rsid w:val="002D14AF"/>
    <w:rsid w:val="002D1D04"/>
    <w:rsid w:val="002D2627"/>
    <w:rsid w:val="002D3044"/>
    <w:rsid w:val="002D33C8"/>
    <w:rsid w:val="002D39BD"/>
    <w:rsid w:val="002D42F1"/>
    <w:rsid w:val="002D4501"/>
    <w:rsid w:val="002D4C20"/>
    <w:rsid w:val="002D5163"/>
    <w:rsid w:val="002D6423"/>
    <w:rsid w:val="002D6E92"/>
    <w:rsid w:val="002D7318"/>
    <w:rsid w:val="002E0920"/>
    <w:rsid w:val="002E1AC8"/>
    <w:rsid w:val="002E206F"/>
    <w:rsid w:val="002E21E4"/>
    <w:rsid w:val="002E24F2"/>
    <w:rsid w:val="002E25BE"/>
    <w:rsid w:val="002E3A29"/>
    <w:rsid w:val="002E447E"/>
    <w:rsid w:val="002E4865"/>
    <w:rsid w:val="002E6678"/>
    <w:rsid w:val="002E7828"/>
    <w:rsid w:val="002F1ACE"/>
    <w:rsid w:val="002F234C"/>
    <w:rsid w:val="002F27DD"/>
    <w:rsid w:val="002F40D9"/>
    <w:rsid w:val="002F417F"/>
    <w:rsid w:val="002F4586"/>
    <w:rsid w:val="002F6E8F"/>
    <w:rsid w:val="002F6F77"/>
    <w:rsid w:val="002F75C0"/>
    <w:rsid w:val="003002CA"/>
    <w:rsid w:val="0030051E"/>
    <w:rsid w:val="00300753"/>
    <w:rsid w:val="00301E0C"/>
    <w:rsid w:val="0030291B"/>
    <w:rsid w:val="00302E48"/>
    <w:rsid w:val="00304970"/>
    <w:rsid w:val="00307339"/>
    <w:rsid w:val="0031058D"/>
    <w:rsid w:val="00311186"/>
    <w:rsid w:val="0031265B"/>
    <w:rsid w:val="00313BB5"/>
    <w:rsid w:val="003154D3"/>
    <w:rsid w:val="0031591B"/>
    <w:rsid w:val="003175E2"/>
    <w:rsid w:val="0031768E"/>
    <w:rsid w:val="0031785E"/>
    <w:rsid w:val="003218AC"/>
    <w:rsid w:val="00321948"/>
    <w:rsid w:val="00324D3A"/>
    <w:rsid w:val="00325177"/>
    <w:rsid w:val="0032607A"/>
    <w:rsid w:val="00327594"/>
    <w:rsid w:val="00330616"/>
    <w:rsid w:val="00330E5F"/>
    <w:rsid w:val="00331C36"/>
    <w:rsid w:val="0033244D"/>
    <w:rsid w:val="00333EBD"/>
    <w:rsid w:val="0033609A"/>
    <w:rsid w:val="0033695D"/>
    <w:rsid w:val="003374ED"/>
    <w:rsid w:val="00337783"/>
    <w:rsid w:val="00342FE3"/>
    <w:rsid w:val="003459D2"/>
    <w:rsid w:val="00345B31"/>
    <w:rsid w:val="00346931"/>
    <w:rsid w:val="00347609"/>
    <w:rsid w:val="00350E48"/>
    <w:rsid w:val="003516B6"/>
    <w:rsid w:val="00351971"/>
    <w:rsid w:val="00352C80"/>
    <w:rsid w:val="003532D0"/>
    <w:rsid w:val="00356673"/>
    <w:rsid w:val="003567EB"/>
    <w:rsid w:val="00357A8B"/>
    <w:rsid w:val="0036078D"/>
    <w:rsid w:val="00360F5B"/>
    <w:rsid w:val="003617F7"/>
    <w:rsid w:val="00361953"/>
    <w:rsid w:val="00363724"/>
    <w:rsid w:val="0036453A"/>
    <w:rsid w:val="00366EB3"/>
    <w:rsid w:val="00370567"/>
    <w:rsid w:val="00372D75"/>
    <w:rsid w:val="00373DCE"/>
    <w:rsid w:val="00373E31"/>
    <w:rsid w:val="00374341"/>
    <w:rsid w:val="00375A3E"/>
    <w:rsid w:val="00375C84"/>
    <w:rsid w:val="00376036"/>
    <w:rsid w:val="00376182"/>
    <w:rsid w:val="00376F68"/>
    <w:rsid w:val="003815F7"/>
    <w:rsid w:val="0038165E"/>
    <w:rsid w:val="003826AF"/>
    <w:rsid w:val="00383460"/>
    <w:rsid w:val="00383A8F"/>
    <w:rsid w:val="00384ABC"/>
    <w:rsid w:val="003851C7"/>
    <w:rsid w:val="00385BCC"/>
    <w:rsid w:val="00386506"/>
    <w:rsid w:val="00386EEE"/>
    <w:rsid w:val="00387541"/>
    <w:rsid w:val="003903EC"/>
    <w:rsid w:val="003908A7"/>
    <w:rsid w:val="003922BA"/>
    <w:rsid w:val="0039290D"/>
    <w:rsid w:val="00392B1E"/>
    <w:rsid w:val="0039347B"/>
    <w:rsid w:val="00396770"/>
    <w:rsid w:val="0039732E"/>
    <w:rsid w:val="003A0632"/>
    <w:rsid w:val="003A0C61"/>
    <w:rsid w:val="003A134C"/>
    <w:rsid w:val="003A1465"/>
    <w:rsid w:val="003A2BF5"/>
    <w:rsid w:val="003A2E0E"/>
    <w:rsid w:val="003A6193"/>
    <w:rsid w:val="003B0AE2"/>
    <w:rsid w:val="003B17BE"/>
    <w:rsid w:val="003B1D39"/>
    <w:rsid w:val="003B1D75"/>
    <w:rsid w:val="003B2A29"/>
    <w:rsid w:val="003B2DE9"/>
    <w:rsid w:val="003B3527"/>
    <w:rsid w:val="003B60A0"/>
    <w:rsid w:val="003B6AEF"/>
    <w:rsid w:val="003B6DD9"/>
    <w:rsid w:val="003C03A8"/>
    <w:rsid w:val="003C1A28"/>
    <w:rsid w:val="003C2043"/>
    <w:rsid w:val="003C3214"/>
    <w:rsid w:val="003C34DC"/>
    <w:rsid w:val="003C4727"/>
    <w:rsid w:val="003C53B1"/>
    <w:rsid w:val="003C6B43"/>
    <w:rsid w:val="003D0A4F"/>
    <w:rsid w:val="003D1227"/>
    <w:rsid w:val="003D139D"/>
    <w:rsid w:val="003D4A8B"/>
    <w:rsid w:val="003D608A"/>
    <w:rsid w:val="003D6D86"/>
    <w:rsid w:val="003D6E0A"/>
    <w:rsid w:val="003D7113"/>
    <w:rsid w:val="003E0DC4"/>
    <w:rsid w:val="003E20A9"/>
    <w:rsid w:val="003E28B7"/>
    <w:rsid w:val="003E4400"/>
    <w:rsid w:val="003E46F9"/>
    <w:rsid w:val="003E51DA"/>
    <w:rsid w:val="003E5417"/>
    <w:rsid w:val="003E5A66"/>
    <w:rsid w:val="003E6107"/>
    <w:rsid w:val="003E6C6A"/>
    <w:rsid w:val="003E6E3D"/>
    <w:rsid w:val="003E76E3"/>
    <w:rsid w:val="003E79D4"/>
    <w:rsid w:val="003F0032"/>
    <w:rsid w:val="003F19D3"/>
    <w:rsid w:val="003F39B5"/>
    <w:rsid w:val="003F5E83"/>
    <w:rsid w:val="003F5F52"/>
    <w:rsid w:val="003F759B"/>
    <w:rsid w:val="003F7E17"/>
    <w:rsid w:val="00400230"/>
    <w:rsid w:val="00400942"/>
    <w:rsid w:val="004015BB"/>
    <w:rsid w:val="00401A9B"/>
    <w:rsid w:val="00401BF2"/>
    <w:rsid w:val="0040205D"/>
    <w:rsid w:val="00404085"/>
    <w:rsid w:val="00404C91"/>
    <w:rsid w:val="00405076"/>
    <w:rsid w:val="00405450"/>
    <w:rsid w:val="00405E1E"/>
    <w:rsid w:val="00406000"/>
    <w:rsid w:val="0040612E"/>
    <w:rsid w:val="004061BA"/>
    <w:rsid w:val="00406667"/>
    <w:rsid w:val="00406751"/>
    <w:rsid w:val="00406C0E"/>
    <w:rsid w:val="00407838"/>
    <w:rsid w:val="00410181"/>
    <w:rsid w:val="00410860"/>
    <w:rsid w:val="00411A78"/>
    <w:rsid w:val="004129F2"/>
    <w:rsid w:val="00412A44"/>
    <w:rsid w:val="00413D0B"/>
    <w:rsid w:val="0041538E"/>
    <w:rsid w:val="004169C2"/>
    <w:rsid w:val="004218F7"/>
    <w:rsid w:val="00421962"/>
    <w:rsid w:val="004232C5"/>
    <w:rsid w:val="0042546B"/>
    <w:rsid w:val="00427DB6"/>
    <w:rsid w:val="004302DE"/>
    <w:rsid w:val="00431860"/>
    <w:rsid w:val="00433038"/>
    <w:rsid w:val="004374A3"/>
    <w:rsid w:val="0043781B"/>
    <w:rsid w:val="00440B34"/>
    <w:rsid w:val="00440EB8"/>
    <w:rsid w:val="004418F1"/>
    <w:rsid w:val="00442610"/>
    <w:rsid w:val="00442881"/>
    <w:rsid w:val="00443102"/>
    <w:rsid w:val="004434D8"/>
    <w:rsid w:val="00445169"/>
    <w:rsid w:val="00445BFD"/>
    <w:rsid w:val="0045229D"/>
    <w:rsid w:val="004523FA"/>
    <w:rsid w:val="0045515F"/>
    <w:rsid w:val="004557EE"/>
    <w:rsid w:val="00455DF2"/>
    <w:rsid w:val="0045729A"/>
    <w:rsid w:val="004602FD"/>
    <w:rsid w:val="004617E7"/>
    <w:rsid w:val="004623A4"/>
    <w:rsid w:val="00462EC9"/>
    <w:rsid w:val="004634BA"/>
    <w:rsid w:val="00464173"/>
    <w:rsid w:val="00464680"/>
    <w:rsid w:val="004666DA"/>
    <w:rsid w:val="00472F60"/>
    <w:rsid w:val="00476837"/>
    <w:rsid w:val="00476ED9"/>
    <w:rsid w:val="00477F54"/>
    <w:rsid w:val="00480683"/>
    <w:rsid w:val="004829BE"/>
    <w:rsid w:val="00484630"/>
    <w:rsid w:val="00491144"/>
    <w:rsid w:val="00492627"/>
    <w:rsid w:val="00494C03"/>
    <w:rsid w:val="00495667"/>
    <w:rsid w:val="004968B1"/>
    <w:rsid w:val="00497DD7"/>
    <w:rsid w:val="00497EAD"/>
    <w:rsid w:val="004A166E"/>
    <w:rsid w:val="004A242C"/>
    <w:rsid w:val="004A2675"/>
    <w:rsid w:val="004A2C76"/>
    <w:rsid w:val="004A4355"/>
    <w:rsid w:val="004A462E"/>
    <w:rsid w:val="004A497F"/>
    <w:rsid w:val="004A55A8"/>
    <w:rsid w:val="004A6424"/>
    <w:rsid w:val="004A717A"/>
    <w:rsid w:val="004B0E0C"/>
    <w:rsid w:val="004B1282"/>
    <w:rsid w:val="004B1510"/>
    <w:rsid w:val="004B15AE"/>
    <w:rsid w:val="004B15E2"/>
    <w:rsid w:val="004B26E3"/>
    <w:rsid w:val="004B3108"/>
    <w:rsid w:val="004B372B"/>
    <w:rsid w:val="004B452C"/>
    <w:rsid w:val="004B4FF8"/>
    <w:rsid w:val="004B6762"/>
    <w:rsid w:val="004B6818"/>
    <w:rsid w:val="004C0611"/>
    <w:rsid w:val="004C0E3D"/>
    <w:rsid w:val="004C34D3"/>
    <w:rsid w:val="004C3716"/>
    <w:rsid w:val="004C4773"/>
    <w:rsid w:val="004C654D"/>
    <w:rsid w:val="004C6CE3"/>
    <w:rsid w:val="004C748E"/>
    <w:rsid w:val="004D0FB3"/>
    <w:rsid w:val="004D1C94"/>
    <w:rsid w:val="004D1D38"/>
    <w:rsid w:val="004D567B"/>
    <w:rsid w:val="004D6C62"/>
    <w:rsid w:val="004D70E9"/>
    <w:rsid w:val="004E034B"/>
    <w:rsid w:val="004E089D"/>
    <w:rsid w:val="004E2EC7"/>
    <w:rsid w:val="004E4100"/>
    <w:rsid w:val="004E7CAA"/>
    <w:rsid w:val="004F0F87"/>
    <w:rsid w:val="004F1001"/>
    <w:rsid w:val="004F1998"/>
    <w:rsid w:val="004F3C98"/>
    <w:rsid w:val="004F47E4"/>
    <w:rsid w:val="004F781E"/>
    <w:rsid w:val="005016B4"/>
    <w:rsid w:val="00502C13"/>
    <w:rsid w:val="005036C8"/>
    <w:rsid w:val="00503880"/>
    <w:rsid w:val="00503E51"/>
    <w:rsid w:val="00504DF2"/>
    <w:rsid w:val="00505CBD"/>
    <w:rsid w:val="00505CD2"/>
    <w:rsid w:val="00505F31"/>
    <w:rsid w:val="0050692F"/>
    <w:rsid w:val="00506E24"/>
    <w:rsid w:val="00507A06"/>
    <w:rsid w:val="00507D93"/>
    <w:rsid w:val="005102D8"/>
    <w:rsid w:val="0051123A"/>
    <w:rsid w:val="00512B74"/>
    <w:rsid w:val="00513973"/>
    <w:rsid w:val="005146AD"/>
    <w:rsid w:val="00515234"/>
    <w:rsid w:val="00515585"/>
    <w:rsid w:val="005178C0"/>
    <w:rsid w:val="00517DFA"/>
    <w:rsid w:val="00520BBB"/>
    <w:rsid w:val="00521D25"/>
    <w:rsid w:val="005224A7"/>
    <w:rsid w:val="00524FA4"/>
    <w:rsid w:val="00525AB8"/>
    <w:rsid w:val="005261A0"/>
    <w:rsid w:val="00527367"/>
    <w:rsid w:val="0053019F"/>
    <w:rsid w:val="00530892"/>
    <w:rsid w:val="0053108F"/>
    <w:rsid w:val="0053359D"/>
    <w:rsid w:val="00533795"/>
    <w:rsid w:val="005338FD"/>
    <w:rsid w:val="005339C1"/>
    <w:rsid w:val="00534FB1"/>
    <w:rsid w:val="00537CAA"/>
    <w:rsid w:val="0054014B"/>
    <w:rsid w:val="005409E7"/>
    <w:rsid w:val="00542CB2"/>
    <w:rsid w:val="005436BD"/>
    <w:rsid w:val="005446C8"/>
    <w:rsid w:val="0054562E"/>
    <w:rsid w:val="005463B1"/>
    <w:rsid w:val="00547098"/>
    <w:rsid w:val="00547E08"/>
    <w:rsid w:val="005522E8"/>
    <w:rsid w:val="0055446A"/>
    <w:rsid w:val="00554FCD"/>
    <w:rsid w:val="00555F5C"/>
    <w:rsid w:val="0055736E"/>
    <w:rsid w:val="00560000"/>
    <w:rsid w:val="005610BD"/>
    <w:rsid w:val="005661BE"/>
    <w:rsid w:val="005704EE"/>
    <w:rsid w:val="00571A76"/>
    <w:rsid w:val="005732B7"/>
    <w:rsid w:val="00574271"/>
    <w:rsid w:val="0057481D"/>
    <w:rsid w:val="005758E8"/>
    <w:rsid w:val="00575DD1"/>
    <w:rsid w:val="00576F38"/>
    <w:rsid w:val="005805C5"/>
    <w:rsid w:val="00580C9A"/>
    <w:rsid w:val="00581D44"/>
    <w:rsid w:val="005820EE"/>
    <w:rsid w:val="005828D0"/>
    <w:rsid w:val="00583E17"/>
    <w:rsid w:val="00584A2A"/>
    <w:rsid w:val="0058612C"/>
    <w:rsid w:val="0059047E"/>
    <w:rsid w:val="00590A10"/>
    <w:rsid w:val="00591B83"/>
    <w:rsid w:val="00591DFE"/>
    <w:rsid w:val="005928D6"/>
    <w:rsid w:val="00592D64"/>
    <w:rsid w:val="00592E34"/>
    <w:rsid w:val="005941E6"/>
    <w:rsid w:val="0059435C"/>
    <w:rsid w:val="00594645"/>
    <w:rsid w:val="00595C5E"/>
    <w:rsid w:val="005961E1"/>
    <w:rsid w:val="005969A6"/>
    <w:rsid w:val="00597BEB"/>
    <w:rsid w:val="005A0727"/>
    <w:rsid w:val="005A08DA"/>
    <w:rsid w:val="005A0AFA"/>
    <w:rsid w:val="005A1B0C"/>
    <w:rsid w:val="005A1FEE"/>
    <w:rsid w:val="005A23C8"/>
    <w:rsid w:val="005A2E1B"/>
    <w:rsid w:val="005A4A1D"/>
    <w:rsid w:val="005A4D0A"/>
    <w:rsid w:val="005A5E7D"/>
    <w:rsid w:val="005A6365"/>
    <w:rsid w:val="005A7C05"/>
    <w:rsid w:val="005B0258"/>
    <w:rsid w:val="005B1169"/>
    <w:rsid w:val="005B1EB1"/>
    <w:rsid w:val="005B4062"/>
    <w:rsid w:val="005B4376"/>
    <w:rsid w:val="005B517C"/>
    <w:rsid w:val="005B5437"/>
    <w:rsid w:val="005B6A3A"/>
    <w:rsid w:val="005B6F7D"/>
    <w:rsid w:val="005C1EDF"/>
    <w:rsid w:val="005C24C6"/>
    <w:rsid w:val="005C2CF9"/>
    <w:rsid w:val="005C4C29"/>
    <w:rsid w:val="005C668F"/>
    <w:rsid w:val="005C6EE5"/>
    <w:rsid w:val="005C7717"/>
    <w:rsid w:val="005C7C1A"/>
    <w:rsid w:val="005D222D"/>
    <w:rsid w:val="005D2713"/>
    <w:rsid w:val="005D3FDB"/>
    <w:rsid w:val="005D4297"/>
    <w:rsid w:val="005D4EB1"/>
    <w:rsid w:val="005D525E"/>
    <w:rsid w:val="005D569C"/>
    <w:rsid w:val="005D5919"/>
    <w:rsid w:val="005D5D03"/>
    <w:rsid w:val="005D614D"/>
    <w:rsid w:val="005D6720"/>
    <w:rsid w:val="005D7C3E"/>
    <w:rsid w:val="005D7C6F"/>
    <w:rsid w:val="005E1837"/>
    <w:rsid w:val="005E27CE"/>
    <w:rsid w:val="005E2932"/>
    <w:rsid w:val="005E293B"/>
    <w:rsid w:val="005E3BFB"/>
    <w:rsid w:val="005E3FAB"/>
    <w:rsid w:val="005E41B9"/>
    <w:rsid w:val="005E4EB0"/>
    <w:rsid w:val="005E5AE0"/>
    <w:rsid w:val="005E63DF"/>
    <w:rsid w:val="005E6C2C"/>
    <w:rsid w:val="005F0ECB"/>
    <w:rsid w:val="005F0F64"/>
    <w:rsid w:val="005F1659"/>
    <w:rsid w:val="005F1A99"/>
    <w:rsid w:val="005F4168"/>
    <w:rsid w:val="005F43B4"/>
    <w:rsid w:val="005F52AA"/>
    <w:rsid w:val="005F572D"/>
    <w:rsid w:val="005F6879"/>
    <w:rsid w:val="005F70F0"/>
    <w:rsid w:val="00601284"/>
    <w:rsid w:val="00602E64"/>
    <w:rsid w:val="0060314D"/>
    <w:rsid w:val="00604390"/>
    <w:rsid w:val="006063D4"/>
    <w:rsid w:val="006066D9"/>
    <w:rsid w:val="00606C78"/>
    <w:rsid w:val="00607426"/>
    <w:rsid w:val="006077BF"/>
    <w:rsid w:val="00610F1D"/>
    <w:rsid w:val="00610FD3"/>
    <w:rsid w:val="006121D8"/>
    <w:rsid w:val="00613323"/>
    <w:rsid w:val="006136DA"/>
    <w:rsid w:val="00615E1C"/>
    <w:rsid w:val="00616521"/>
    <w:rsid w:val="00616CEE"/>
    <w:rsid w:val="0061763D"/>
    <w:rsid w:val="00617C79"/>
    <w:rsid w:val="006217B6"/>
    <w:rsid w:val="00621C9D"/>
    <w:rsid w:val="00623386"/>
    <w:rsid w:val="0062393D"/>
    <w:rsid w:val="006241A3"/>
    <w:rsid w:val="0062499A"/>
    <w:rsid w:val="0062506B"/>
    <w:rsid w:val="0062645E"/>
    <w:rsid w:val="00630E54"/>
    <w:rsid w:val="006319A6"/>
    <w:rsid w:val="00631EF0"/>
    <w:rsid w:val="00632BAC"/>
    <w:rsid w:val="006340DD"/>
    <w:rsid w:val="00634E80"/>
    <w:rsid w:val="0063612D"/>
    <w:rsid w:val="006364B6"/>
    <w:rsid w:val="00637483"/>
    <w:rsid w:val="00637589"/>
    <w:rsid w:val="006378DC"/>
    <w:rsid w:val="0063790C"/>
    <w:rsid w:val="00637927"/>
    <w:rsid w:val="006414E4"/>
    <w:rsid w:val="00642740"/>
    <w:rsid w:val="00642FBC"/>
    <w:rsid w:val="00645E9B"/>
    <w:rsid w:val="00645EA7"/>
    <w:rsid w:val="00646C0F"/>
    <w:rsid w:val="0065124A"/>
    <w:rsid w:val="0065240C"/>
    <w:rsid w:val="00654D27"/>
    <w:rsid w:val="00654F82"/>
    <w:rsid w:val="00657748"/>
    <w:rsid w:val="00657923"/>
    <w:rsid w:val="0066058C"/>
    <w:rsid w:val="006615F5"/>
    <w:rsid w:val="006644FD"/>
    <w:rsid w:val="00665359"/>
    <w:rsid w:val="006662CD"/>
    <w:rsid w:val="00667344"/>
    <w:rsid w:val="00667ECA"/>
    <w:rsid w:val="00667F1E"/>
    <w:rsid w:val="0067015F"/>
    <w:rsid w:val="00670FD2"/>
    <w:rsid w:val="00671D30"/>
    <w:rsid w:val="006733EE"/>
    <w:rsid w:val="00673F11"/>
    <w:rsid w:val="00674399"/>
    <w:rsid w:val="00674705"/>
    <w:rsid w:val="00674B1E"/>
    <w:rsid w:val="00674B30"/>
    <w:rsid w:val="00675789"/>
    <w:rsid w:val="006758FB"/>
    <w:rsid w:val="0067766E"/>
    <w:rsid w:val="0068029B"/>
    <w:rsid w:val="00681A18"/>
    <w:rsid w:val="006837EC"/>
    <w:rsid w:val="00684757"/>
    <w:rsid w:val="0068541D"/>
    <w:rsid w:val="0068570C"/>
    <w:rsid w:val="00686835"/>
    <w:rsid w:val="00687F7D"/>
    <w:rsid w:val="00691335"/>
    <w:rsid w:val="0069145A"/>
    <w:rsid w:val="00691C46"/>
    <w:rsid w:val="0069541B"/>
    <w:rsid w:val="00695511"/>
    <w:rsid w:val="00696266"/>
    <w:rsid w:val="006977CD"/>
    <w:rsid w:val="0069798F"/>
    <w:rsid w:val="00697F60"/>
    <w:rsid w:val="006A12AA"/>
    <w:rsid w:val="006A1F3A"/>
    <w:rsid w:val="006A2719"/>
    <w:rsid w:val="006A3812"/>
    <w:rsid w:val="006A4D5D"/>
    <w:rsid w:val="006A5682"/>
    <w:rsid w:val="006A5CB2"/>
    <w:rsid w:val="006A639C"/>
    <w:rsid w:val="006A791F"/>
    <w:rsid w:val="006A7CE9"/>
    <w:rsid w:val="006B111A"/>
    <w:rsid w:val="006B1B84"/>
    <w:rsid w:val="006B2725"/>
    <w:rsid w:val="006B2EB7"/>
    <w:rsid w:val="006B3263"/>
    <w:rsid w:val="006B360F"/>
    <w:rsid w:val="006B4E52"/>
    <w:rsid w:val="006B51E0"/>
    <w:rsid w:val="006B634B"/>
    <w:rsid w:val="006B727E"/>
    <w:rsid w:val="006C0701"/>
    <w:rsid w:val="006C0CF0"/>
    <w:rsid w:val="006C14A1"/>
    <w:rsid w:val="006C2ECE"/>
    <w:rsid w:val="006C2F96"/>
    <w:rsid w:val="006C4590"/>
    <w:rsid w:val="006C4B75"/>
    <w:rsid w:val="006C5D96"/>
    <w:rsid w:val="006D0119"/>
    <w:rsid w:val="006D06A2"/>
    <w:rsid w:val="006D1074"/>
    <w:rsid w:val="006D1224"/>
    <w:rsid w:val="006D1417"/>
    <w:rsid w:val="006D16F8"/>
    <w:rsid w:val="006D17A0"/>
    <w:rsid w:val="006D1F18"/>
    <w:rsid w:val="006D2120"/>
    <w:rsid w:val="006D413E"/>
    <w:rsid w:val="006D52D6"/>
    <w:rsid w:val="006D54A6"/>
    <w:rsid w:val="006D64F5"/>
    <w:rsid w:val="006E2A01"/>
    <w:rsid w:val="006E2CEE"/>
    <w:rsid w:val="006E3730"/>
    <w:rsid w:val="006E3E6C"/>
    <w:rsid w:val="006E453B"/>
    <w:rsid w:val="006E4D38"/>
    <w:rsid w:val="006E5E11"/>
    <w:rsid w:val="006E5FEA"/>
    <w:rsid w:val="006E6F57"/>
    <w:rsid w:val="006E7011"/>
    <w:rsid w:val="006F00BB"/>
    <w:rsid w:val="006F0DB4"/>
    <w:rsid w:val="006F3490"/>
    <w:rsid w:val="006F34B2"/>
    <w:rsid w:val="006F499A"/>
    <w:rsid w:val="006F4C00"/>
    <w:rsid w:val="006F5E6F"/>
    <w:rsid w:val="006F6838"/>
    <w:rsid w:val="006F68E9"/>
    <w:rsid w:val="00703791"/>
    <w:rsid w:val="00703C65"/>
    <w:rsid w:val="00704768"/>
    <w:rsid w:val="007060A6"/>
    <w:rsid w:val="00706C55"/>
    <w:rsid w:val="007102EE"/>
    <w:rsid w:val="00710F44"/>
    <w:rsid w:val="00711DCE"/>
    <w:rsid w:val="007124A9"/>
    <w:rsid w:val="00712C05"/>
    <w:rsid w:val="007135C6"/>
    <w:rsid w:val="00713AE3"/>
    <w:rsid w:val="0071462D"/>
    <w:rsid w:val="00714CC5"/>
    <w:rsid w:val="007165EB"/>
    <w:rsid w:val="00716C18"/>
    <w:rsid w:val="00717601"/>
    <w:rsid w:val="00717A58"/>
    <w:rsid w:val="00717BC7"/>
    <w:rsid w:val="00720320"/>
    <w:rsid w:val="007218A6"/>
    <w:rsid w:val="00723DB1"/>
    <w:rsid w:val="00725881"/>
    <w:rsid w:val="007262D8"/>
    <w:rsid w:val="007263D1"/>
    <w:rsid w:val="00730D2C"/>
    <w:rsid w:val="007310BC"/>
    <w:rsid w:val="0073197D"/>
    <w:rsid w:val="00732728"/>
    <w:rsid w:val="00733DAC"/>
    <w:rsid w:val="00733FD1"/>
    <w:rsid w:val="00734787"/>
    <w:rsid w:val="00734E9C"/>
    <w:rsid w:val="0073772C"/>
    <w:rsid w:val="007377AF"/>
    <w:rsid w:val="0074015C"/>
    <w:rsid w:val="007420E0"/>
    <w:rsid w:val="007439C3"/>
    <w:rsid w:val="00743B90"/>
    <w:rsid w:val="007456C6"/>
    <w:rsid w:val="0074634D"/>
    <w:rsid w:val="00747063"/>
    <w:rsid w:val="00753827"/>
    <w:rsid w:val="00753905"/>
    <w:rsid w:val="007539DA"/>
    <w:rsid w:val="00753DEA"/>
    <w:rsid w:val="007542C1"/>
    <w:rsid w:val="00754C15"/>
    <w:rsid w:val="00756CFF"/>
    <w:rsid w:val="00757038"/>
    <w:rsid w:val="0075763F"/>
    <w:rsid w:val="00757E4C"/>
    <w:rsid w:val="00760016"/>
    <w:rsid w:val="00760F13"/>
    <w:rsid w:val="00762110"/>
    <w:rsid w:val="0076308F"/>
    <w:rsid w:val="00763D2B"/>
    <w:rsid w:val="00764447"/>
    <w:rsid w:val="00767C14"/>
    <w:rsid w:val="00771AD1"/>
    <w:rsid w:val="007725A2"/>
    <w:rsid w:val="00773324"/>
    <w:rsid w:val="0077343C"/>
    <w:rsid w:val="00773694"/>
    <w:rsid w:val="0077594E"/>
    <w:rsid w:val="00776BEC"/>
    <w:rsid w:val="00780060"/>
    <w:rsid w:val="0078036A"/>
    <w:rsid w:val="0078215B"/>
    <w:rsid w:val="0078267D"/>
    <w:rsid w:val="007857A9"/>
    <w:rsid w:val="00786FB6"/>
    <w:rsid w:val="00787E62"/>
    <w:rsid w:val="00794CD0"/>
    <w:rsid w:val="0079506F"/>
    <w:rsid w:val="00796429"/>
    <w:rsid w:val="007A1814"/>
    <w:rsid w:val="007A27D1"/>
    <w:rsid w:val="007A2C00"/>
    <w:rsid w:val="007A32A8"/>
    <w:rsid w:val="007A4041"/>
    <w:rsid w:val="007A480D"/>
    <w:rsid w:val="007A59A8"/>
    <w:rsid w:val="007A6586"/>
    <w:rsid w:val="007A695F"/>
    <w:rsid w:val="007A74A0"/>
    <w:rsid w:val="007A7FA7"/>
    <w:rsid w:val="007B435B"/>
    <w:rsid w:val="007B4F3B"/>
    <w:rsid w:val="007B6084"/>
    <w:rsid w:val="007B7B82"/>
    <w:rsid w:val="007C16DF"/>
    <w:rsid w:val="007C1E5F"/>
    <w:rsid w:val="007C2A2C"/>
    <w:rsid w:val="007C2D4F"/>
    <w:rsid w:val="007C3BDA"/>
    <w:rsid w:val="007C4FCD"/>
    <w:rsid w:val="007C59D6"/>
    <w:rsid w:val="007D03D1"/>
    <w:rsid w:val="007D11AD"/>
    <w:rsid w:val="007D2033"/>
    <w:rsid w:val="007D30FF"/>
    <w:rsid w:val="007D760A"/>
    <w:rsid w:val="007E18D0"/>
    <w:rsid w:val="007E2429"/>
    <w:rsid w:val="007E27BA"/>
    <w:rsid w:val="007E5E59"/>
    <w:rsid w:val="007E7C31"/>
    <w:rsid w:val="007E7DBB"/>
    <w:rsid w:val="007F235D"/>
    <w:rsid w:val="007F3F8F"/>
    <w:rsid w:val="007F4F24"/>
    <w:rsid w:val="007F65A4"/>
    <w:rsid w:val="007F72A8"/>
    <w:rsid w:val="007F7479"/>
    <w:rsid w:val="0080051F"/>
    <w:rsid w:val="008007D1"/>
    <w:rsid w:val="00800911"/>
    <w:rsid w:val="00801479"/>
    <w:rsid w:val="00801C35"/>
    <w:rsid w:val="008028DE"/>
    <w:rsid w:val="00802ECB"/>
    <w:rsid w:val="00803C91"/>
    <w:rsid w:val="00803DE3"/>
    <w:rsid w:val="00804227"/>
    <w:rsid w:val="0080423A"/>
    <w:rsid w:val="0080504F"/>
    <w:rsid w:val="00805420"/>
    <w:rsid w:val="0080790F"/>
    <w:rsid w:val="00813C38"/>
    <w:rsid w:val="008141B0"/>
    <w:rsid w:val="008157ED"/>
    <w:rsid w:val="008167FC"/>
    <w:rsid w:val="00817DE3"/>
    <w:rsid w:val="00822019"/>
    <w:rsid w:val="00822ED1"/>
    <w:rsid w:val="00823C77"/>
    <w:rsid w:val="00824765"/>
    <w:rsid w:val="00824B46"/>
    <w:rsid w:val="00824BD9"/>
    <w:rsid w:val="0082518F"/>
    <w:rsid w:val="00826182"/>
    <w:rsid w:val="00826756"/>
    <w:rsid w:val="00830680"/>
    <w:rsid w:val="00830B1D"/>
    <w:rsid w:val="00831209"/>
    <w:rsid w:val="0083179E"/>
    <w:rsid w:val="00833206"/>
    <w:rsid w:val="00833478"/>
    <w:rsid w:val="00833527"/>
    <w:rsid w:val="00834CBD"/>
    <w:rsid w:val="00837EA6"/>
    <w:rsid w:val="008409A8"/>
    <w:rsid w:val="008422DF"/>
    <w:rsid w:val="00842428"/>
    <w:rsid w:val="008429D3"/>
    <w:rsid w:val="0084394F"/>
    <w:rsid w:val="00843CDC"/>
    <w:rsid w:val="00843E0B"/>
    <w:rsid w:val="00843F92"/>
    <w:rsid w:val="00844033"/>
    <w:rsid w:val="0084427E"/>
    <w:rsid w:val="00844AE3"/>
    <w:rsid w:val="00846D79"/>
    <w:rsid w:val="00847FFC"/>
    <w:rsid w:val="0085027B"/>
    <w:rsid w:val="00850438"/>
    <w:rsid w:val="00850A5D"/>
    <w:rsid w:val="00850AAA"/>
    <w:rsid w:val="00850C4B"/>
    <w:rsid w:val="008511D7"/>
    <w:rsid w:val="00851D5F"/>
    <w:rsid w:val="00851FC6"/>
    <w:rsid w:val="00852446"/>
    <w:rsid w:val="008546DF"/>
    <w:rsid w:val="008551C1"/>
    <w:rsid w:val="0085616E"/>
    <w:rsid w:val="0085724C"/>
    <w:rsid w:val="0086065B"/>
    <w:rsid w:val="00860B01"/>
    <w:rsid w:val="00860BF7"/>
    <w:rsid w:val="00861B07"/>
    <w:rsid w:val="00863537"/>
    <w:rsid w:val="00863D6C"/>
    <w:rsid w:val="00866275"/>
    <w:rsid w:val="008666AA"/>
    <w:rsid w:val="0087035A"/>
    <w:rsid w:val="00871EB6"/>
    <w:rsid w:val="00872364"/>
    <w:rsid w:val="00872798"/>
    <w:rsid w:val="00873EC0"/>
    <w:rsid w:val="00874C1B"/>
    <w:rsid w:val="00875AA1"/>
    <w:rsid w:val="008769A5"/>
    <w:rsid w:val="00876C0F"/>
    <w:rsid w:val="00877073"/>
    <w:rsid w:val="008809ED"/>
    <w:rsid w:val="008834BC"/>
    <w:rsid w:val="00884716"/>
    <w:rsid w:val="00885FC3"/>
    <w:rsid w:val="008865CF"/>
    <w:rsid w:val="00886AB0"/>
    <w:rsid w:val="00886DDC"/>
    <w:rsid w:val="008870EF"/>
    <w:rsid w:val="00887BFD"/>
    <w:rsid w:val="00890B83"/>
    <w:rsid w:val="00894120"/>
    <w:rsid w:val="0089595B"/>
    <w:rsid w:val="00895C13"/>
    <w:rsid w:val="00896663"/>
    <w:rsid w:val="00897717"/>
    <w:rsid w:val="008978DA"/>
    <w:rsid w:val="008A133C"/>
    <w:rsid w:val="008A18F9"/>
    <w:rsid w:val="008A2CEF"/>
    <w:rsid w:val="008A2DD6"/>
    <w:rsid w:val="008A339E"/>
    <w:rsid w:val="008A3ED7"/>
    <w:rsid w:val="008A4212"/>
    <w:rsid w:val="008A6AD6"/>
    <w:rsid w:val="008A70B5"/>
    <w:rsid w:val="008B0D20"/>
    <w:rsid w:val="008B13D8"/>
    <w:rsid w:val="008B1687"/>
    <w:rsid w:val="008B1927"/>
    <w:rsid w:val="008B24F1"/>
    <w:rsid w:val="008B3434"/>
    <w:rsid w:val="008B51F6"/>
    <w:rsid w:val="008B542B"/>
    <w:rsid w:val="008B58E5"/>
    <w:rsid w:val="008B6A75"/>
    <w:rsid w:val="008B76D2"/>
    <w:rsid w:val="008C0635"/>
    <w:rsid w:val="008C0992"/>
    <w:rsid w:val="008C22E3"/>
    <w:rsid w:val="008C3437"/>
    <w:rsid w:val="008C3DE6"/>
    <w:rsid w:val="008C6EF7"/>
    <w:rsid w:val="008D0A39"/>
    <w:rsid w:val="008D167F"/>
    <w:rsid w:val="008D16CE"/>
    <w:rsid w:val="008D196E"/>
    <w:rsid w:val="008D1AC5"/>
    <w:rsid w:val="008D1AF6"/>
    <w:rsid w:val="008D2E92"/>
    <w:rsid w:val="008D38A4"/>
    <w:rsid w:val="008D44DA"/>
    <w:rsid w:val="008D513E"/>
    <w:rsid w:val="008D62C6"/>
    <w:rsid w:val="008D6FF5"/>
    <w:rsid w:val="008E0636"/>
    <w:rsid w:val="008E113A"/>
    <w:rsid w:val="008E180B"/>
    <w:rsid w:val="008E3DF4"/>
    <w:rsid w:val="008E4EAA"/>
    <w:rsid w:val="008E5914"/>
    <w:rsid w:val="008E6C86"/>
    <w:rsid w:val="008E7CCD"/>
    <w:rsid w:val="008F26BC"/>
    <w:rsid w:val="008F3258"/>
    <w:rsid w:val="008F3822"/>
    <w:rsid w:val="008F3AB4"/>
    <w:rsid w:val="008F3B78"/>
    <w:rsid w:val="008F614F"/>
    <w:rsid w:val="009003B5"/>
    <w:rsid w:val="009016E7"/>
    <w:rsid w:val="00901FC6"/>
    <w:rsid w:val="00902EEB"/>
    <w:rsid w:val="00903943"/>
    <w:rsid w:val="00903FCC"/>
    <w:rsid w:val="00906B17"/>
    <w:rsid w:val="00906D9D"/>
    <w:rsid w:val="0090753C"/>
    <w:rsid w:val="00912EE5"/>
    <w:rsid w:val="009135B5"/>
    <w:rsid w:val="00914330"/>
    <w:rsid w:val="0091508A"/>
    <w:rsid w:val="009152DF"/>
    <w:rsid w:val="0091732D"/>
    <w:rsid w:val="009201C9"/>
    <w:rsid w:val="00923ED7"/>
    <w:rsid w:val="00924562"/>
    <w:rsid w:val="00924653"/>
    <w:rsid w:val="0092579E"/>
    <w:rsid w:val="00925F8A"/>
    <w:rsid w:val="00926F77"/>
    <w:rsid w:val="0093025C"/>
    <w:rsid w:val="009319DC"/>
    <w:rsid w:val="00932442"/>
    <w:rsid w:val="009327DD"/>
    <w:rsid w:val="00934818"/>
    <w:rsid w:val="00935540"/>
    <w:rsid w:val="0093761B"/>
    <w:rsid w:val="00937A26"/>
    <w:rsid w:val="00937A2F"/>
    <w:rsid w:val="0094061D"/>
    <w:rsid w:val="0094106B"/>
    <w:rsid w:val="0094130F"/>
    <w:rsid w:val="00941C97"/>
    <w:rsid w:val="0094365B"/>
    <w:rsid w:val="00944B48"/>
    <w:rsid w:val="00946CE8"/>
    <w:rsid w:val="0094703B"/>
    <w:rsid w:val="00947A89"/>
    <w:rsid w:val="009501F9"/>
    <w:rsid w:val="009513DC"/>
    <w:rsid w:val="00951D9F"/>
    <w:rsid w:val="00952C59"/>
    <w:rsid w:val="009530FB"/>
    <w:rsid w:val="0095480A"/>
    <w:rsid w:val="00954947"/>
    <w:rsid w:val="00956C33"/>
    <w:rsid w:val="00957ECE"/>
    <w:rsid w:val="009602B9"/>
    <w:rsid w:val="009611AF"/>
    <w:rsid w:val="00962891"/>
    <w:rsid w:val="009635CD"/>
    <w:rsid w:val="00965824"/>
    <w:rsid w:val="00965B78"/>
    <w:rsid w:val="00970893"/>
    <w:rsid w:val="009710C6"/>
    <w:rsid w:val="00971423"/>
    <w:rsid w:val="00972838"/>
    <w:rsid w:val="00972A10"/>
    <w:rsid w:val="0097420E"/>
    <w:rsid w:val="009742B2"/>
    <w:rsid w:val="00974368"/>
    <w:rsid w:val="009747E8"/>
    <w:rsid w:val="0097480D"/>
    <w:rsid w:val="00976223"/>
    <w:rsid w:val="0097717D"/>
    <w:rsid w:val="00977664"/>
    <w:rsid w:val="009779D9"/>
    <w:rsid w:val="00981AAD"/>
    <w:rsid w:val="0098217E"/>
    <w:rsid w:val="0099066A"/>
    <w:rsid w:val="00991A00"/>
    <w:rsid w:val="00993BD6"/>
    <w:rsid w:val="00994E8E"/>
    <w:rsid w:val="00995C51"/>
    <w:rsid w:val="00996241"/>
    <w:rsid w:val="00997971"/>
    <w:rsid w:val="00997D8D"/>
    <w:rsid w:val="00997FBA"/>
    <w:rsid w:val="009A0A83"/>
    <w:rsid w:val="009A3E0C"/>
    <w:rsid w:val="009A3E84"/>
    <w:rsid w:val="009A604F"/>
    <w:rsid w:val="009A6575"/>
    <w:rsid w:val="009A70B0"/>
    <w:rsid w:val="009A7EA6"/>
    <w:rsid w:val="009B256A"/>
    <w:rsid w:val="009B35C7"/>
    <w:rsid w:val="009B5556"/>
    <w:rsid w:val="009B59AD"/>
    <w:rsid w:val="009B704E"/>
    <w:rsid w:val="009B79FF"/>
    <w:rsid w:val="009C0710"/>
    <w:rsid w:val="009C1083"/>
    <w:rsid w:val="009C1890"/>
    <w:rsid w:val="009C1C9A"/>
    <w:rsid w:val="009C2337"/>
    <w:rsid w:val="009C2EE0"/>
    <w:rsid w:val="009C30E7"/>
    <w:rsid w:val="009C375B"/>
    <w:rsid w:val="009C3F32"/>
    <w:rsid w:val="009C4723"/>
    <w:rsid w:val="009C5C07"/>
    <w:rsid w:val="009C5D08"/>
    <w:rsid w:val="009C5E86"/>
    <w:rsid w:val="009C692E"/>
    <w:rsid w:val="009C7FCC"/>
    <w:rsid w:val="009D1382"/>
    <w:rsid w:val="009D35A1"/>
    <w:rsid w:val="009D3C03"/>
    <w:rsid w:val="009D4F14"/>
    <w:rsid w:val="009D703A"/>
    <w:rsid w:val="009D75AE"/>
    <w:rsid w:val="009D7BB5"/>
    <w:rsid w:val="009D7FD7"/>
    <w:rsid w:val="009E03EC"/>
    <w:rsid w:val="009E1514"/>
    <w:rsid w:val="009E1DC2"/>
    <w:rsid w:val="009E2316"/>
    <w:rsid w:val="009E294C"/>
    <w:rsid w:val="009E2EE9"/>
    <w:rsid w:val="009E39B8"/>
    <w:rsid w:val="009E3F37"/>
    <w:rsid w:val="009E4878"/>
    <w:rsid w:val="009E48C2"/>
    <w:rsid w:val="009E4F6D"/>
    <w:rsid w:val="009E74E8"/>
    <w:rsid w:val="009E7596"/>
    <w:rsid w:val="009E78D4"/>
    <w:rsid w:val="009F0DEF"/>
    <w:rsid w:val="009F16E7"/>
    <w:rsid w:val="009F2189"/>
    <w:rsid w:val="009F2B9E"/>
    <w:rsid w:val="009F46A5"/>
    <w:rsid w:val="009F54A0"/>
    <w:rsid w:val="009F5A2D"/>
    <w:rsid w:val="009F5BC2"/>
    <w:rsid w:val="009F68AD"/>
    <w:rsid w:val="009F77C6"/>
    <w:rsid w:val="009F7F38"/>
    <w:rsid w:val="00A04773"/>
    <w:rsid w:val="00A07A0C"/>
    <w:rsid w:val="00A07C50"/>
    <w:rsid w:val="00A07D7F"/>
    <w:rsid w:val="00A113FC"/>
    <w:rsid w:val="00A11409"/>
    <w:rsid w:val="00A115E3"/>
    <w:rsid w:val="00A117AA"/>
    <w:rsid w:val="00A12408"/>
    <w:rsid w:val="00A12415"/>
    <w:rsid w:val="00A13DA1"/>
    <w:rsid w:val="00A13E18"/>
    <w:rsid w:val="00A14DEB"/>
    <w:rsid w:val="00A15184"/>
    <w:rsid w:val="00A15AA4"/>
    <w:rsid w:val="00A16609"/>
    <w:rsid w:val="00A20E3C"/>
    <w:rsid w:val="00A21293"/>
    <w:rsid w:val="00A23037"/>
    <w:rsid w:val="00A23153"/>
    <w:rsid w:val="00A23242"/>
    <w:rsid w:val="00A25CFD"/>
    <w:rsid w:val="00A25DF8"/>
    <w:rsid w:val="00A26E11"/>
    <w:rsid w:val="00A27BFE"/>
    <w:rsid w:val="00A30092"/>
    <w:rsid w:val="00A30994"/>
    <w:rsid w:val="00A30D42"/>
    <w:rsid w:val="00A317C7"/>
    <w:rsid w:val="00A32286"/>
    <w:rsid w:val="00A32299"/>
    <w:rsid w:val="00A32534"/>
    <w:rsid w:val="00A33462"/>
    <w:rsid w:val="00A34057"/>
    <w:rsid w:val="00A34706"/>
    <w:rsid w:val="00A34EC7"/>
    <w:rsid w:val="00A362B3"/>
    <w:rsid w:val="00A36718"/>
    <w:rsid w:val="00A37F2B"/>
    <w:rsid w:val="00A4087E"/>
    <w:rsid w:val="00A43F88"/>
    <w:rsid w:val="00A43FEC"/>
    <w:rsid w:val="00A442D7"/>
    <w:rsid w:val="00A472D6"/>
    <w:rsid w:val="00A47F79"/>
    <w:rsid w:val="00A50285"/>
    <w:rsid w:val="00A509E6"/>
    <w:rsid w:val="00A5171D"/>
    <w:rsid w:val="00A51B34"/>
    <w:rsid w:val="00A5231E"/>
    <w:rsid w:val="00A52449"/>
    <w:rsid w:val="00A52525"/>
    <w:rsid w:val="00A5309A"/>
    <w:rsid w:val="00A5355A"/>
    <w:rsid w:val="00A53FFB"/>
    <w:rsid w:val="00A543E5"/>
    <w:rsid w:val="00A56808"/>
    <w:rsid w:val="00A57621"/>
    <w:rsid w:val="00A57990"/>
    <w:rsid w:val="00A57A2C"/>
    <w:rsid w:val="00A6002C"/>
    <w:rsid w:val="00A61255"/>
    <w:rsid w:val="00A617AF"/>
    <w:rsid w:val="00A61A01"/>
    <w:rsid w:val="00A6239B"/>
    <w:rsid w:val="00A624AB"/>
    <w:rsid w:val="00A62CB0"/>
    <w:rsid w:val="00A64439"/>
    <w:rsid w:val="00A64E90"/>
    <w:rsid w:val="00A6506D"/>
    <w:rsid w:val="00A65515"/>
    <w:rsid w:val="00A67FE8"/>
    <w:rsid w:val="00A70905"/>
    <w:rsid w:val="00A7093F"/>
    <w:rsid w:val="00A710EB"/>
    <w:rsid w:val="00A7224D"/>
    <w:rsid w:val="00A7288B"/>
    <w:rsid w:val="00A72F1F"/>
    <w:rsid w:val="00A73DC3"/>
    <w:rsid w:val="00A740AC"/>
    <w:rsid w:val="00A7437C"/>
    <w:rsid w:val="00A761CA"/>
    <w:rsid w:val="00A76D5C"/>
    <w:rsid w:val="00A771DC"/>
    <w:rsid w:val="00A77520"/>
    <w:rsid w:val="00A7770F"/>
    <w:rsid w:val="00A800F7"/>
    <w:rsid w:val="00A80669"/>
    <w:rsid w:val="00A80807"/>
    <w:rsid w:val="00A80966"/>
    <w:rsid w:val="00A82A16"/>
    <w:rsid w:val="00A83F11"/>
    <w:rsid w:val="00A8419A"/>
    <w:rsid w:val="00A869A1"/>
    <w:rsid w:val="00A87DAE"/>
    <w:rsid w:val="00A905DD"/>
    <w:rsid w:val="00A92225"/>
    <w:rsid w:val="00A9262A"/>
    <w:rsid w:val="00A95A67"/>
    <w:rsid w:val="00A95DB8"/>
    <w:rsid w:val="00A95E73"/>
    <w:rsid w:val="00AA0756"/>
    <w:rsid w:val="00AA3350"/>
    <w:rsid w:val="00AA5C64"/>
    <w:rsid w:val="00AA5CEF"/>
    <w:rsid w:val="00AA69CE"/>
    <w:rsid w:val="00AA7176"/>
    <w:rsid w:val="00AA79DD"/>
    <w:rsid w:val="00AA7E39"/>
    <w:rsid w:val="00AB1846"/>
    <w:rsid w:val="00AB2FA6"/>
    <w:rsid w:val="00AB5E64"/>
    <w:rsid w:val="00AB6163"/>
    <w:rsid w:val="00AB63C3"/>
    <w:rsid w:val="00AB6894"/>
    <w:rsid w:val="00AB703F"/>
    <w:rsid w:val="00AB7349"/>
    <w:rsid w:val="00AC0A31"/>
    <w:rsid w:val="00AC0B19"/>
    <w:rsid w:val="00AC2E3E"/>
    <w:rsid w:val="00AC33BF"/>
    <w:rsid w:val="00AC43CD"/>
    <w:rsid w:val="00AC575F"/>
    <w:rsid w:val="00AC64AD"/>
    <w:rsid w:val="00AC6628"/>
    <w:rsid w:val="00AC6F69"/>
    <w:rsid w:val="00AC77F0"/>
    <w:rsid w:val="00AC7C4D"/>
    <w:rsid w:val="00AD0A5A"/>
    <w:rsid w:val="00AD0D73"/>
    <w:rsid w:val="00AD230F"/>
    <w:rsid w:val="00AD24BF"/>
    <w:rsid w:val="00AD27AE"/>
    <w:rsid w:val="00AD2CF5"/>
    <w:rsid w:val="00AD3504"/>
    <w:rsid w:val="00AD42D2"/>
    <w:rsid w:val="00AD4CFF"/>
    <w:rsid w:val="00AD5189"/>
    <w:rsid w:val="00AD68B6"/>
    <w:rsid w:val="00AD6A30"/>
    <w:rsid w:val="00AD77B8"/>
    <w:rsid w:val="00AD797F"/>
    <w:rsid w:val="00AD7BD4"/>
    <w:rsid w:val="00AE1276"/>
    <w:rsid w:val="00AE1DC6"/>
    <w:rsid w:val="00AE40BA"/>
    <w:rsid w:val="00AE4C44"/>
    <w:rsid w:val="00AE4F25"/>
    <w:rsid w:val="00AE5211"/>
    <w:rsid w:val="00AE53E5"/>
    <w:rsid w:val="00AE59E6"/>
    <w:rsid w:val="00AE5CC5"/>
    <w:rsid w:val="00AE62D3"/>
    <w:rsid w:val="00AE6593"/>
    <w:rsid w:val="00AE6F55"/>
    <w:rsid w:val="00AE755A"/>
    <w:rsid w:val="00AE7F0A"/>
    <w:rsid w:val="00AF178D"/>
    <w:rsid w:val="00AF31C6"/>
    <w:rsid w:val="00AF3566"/>
    <w:rsid w:val="00AF6352"/>
    <w:rsid w:val="00AF63CE"/>
    <w:rsid w:val="00AF74B3"/>
    <w:rsid w:val="00B01D05"/>
    <w:rsid w:val="00B02013"/>
    <w:rsid w:val="00B029E4"/>
    <w:rsid w:val="00B04339"/>
    <w:rsid w:val="00B054EF"/>
    <w:rsid w:val="00B05DF9"/>
    <w:rsid w:val="00B06236"/>
    <w:rsid w:val="00B06560"/>
    <w:rsid w:val="00B074FB"/>
    <w:rsid w:val="00B10ADB"/>
    <w:rsid w:val="00B11109"/>
    <w:rsid w:val="00B11906"/>
    <w:rsid w:val="00B11CD9"/>
    <w:rsid w:val="00B11D76"/>
    <w:rsid w:val="00B12A34"/>
    <w:rsid w:val="00B12F2E"/>
    <w:rsid w:val="00B13472"/>
    <w:rsid w:val="00B155CE"/>
    <w:rsid w:val="00B161CF"/>
    <w:rsid w:val="00B162C8"/>
    <w:rsid w:val="00B163F1"/>
    <w:rsid w:val="00B1665E"/>
    <w:rsid w:val="00B170E0"/>
    <w:rsid w:val="00B204B7"/>
    <w:rsid w:val="00B20718"/>
    <w:rsid w:val="00B20F4D"/>
    <w:rsid w:val="00B222BD"/>
    <w:rsid w:val="00B229C0"/>
    <w:rsid w:val="00B231CC"/>
    <w:rsid w:val="00B27089"/>
    <w:rsid w:val="00B27450"/>
    <w:rsid w:val="00B27540"/>
    <w:rsid w:val="00B27673"/>
    <w:rsid w:val="00B3033C"/>
    <w:rsid w:val="00B30A09"/>
    <w:rsid w:val="00B30C6D"/>
    <w:rsid w:val="00B311A3"/>
    <w:rsid w:val="00B316B0"/>
    <w:rsid w:val="00B31D61"/>
    <w:rsid w:val="00B3232E"/>
    <w:rsid w:val="00B34D89"/>
    <w:rsid w:val="00B3512D"/>
    <w:rsid w:val="00B35A39"/>
    <w:rsid w:val="00B35C03"/>
    <w:rsid w:val="00B36EF8"/>
    <w:rsid w:val="00B402E3"/>
    <w:rsid w:val="00B40B34"/>
    <w:rsid w:val="00B40E8C"/>
    <w:rsid w:val="00B40F09"/>
    <w:rsid w:val="00B43610"/>
    <w:rsid w:val="00B4428C"/>
    <w:rsid w:val="00B463AA"/>
    <w:rsid w:val="00B46EC4"/>
    <w:rsid w:val="00B53233"/>
    <w:rsid w:val="00B536D9"/>
    <w:rsid w:val="00B539EB"/>
    <w:rsid w:val="00B55A0F"/>
    <w:rsid w:val="00B55D12"/>
    <w:rsid w:val="00B56EA9"/>
    <w:rsid w:val="00B57902"/>
    <w:rsid w:val="00B57F27"/>
    <w:rsid w:val="00B61464"/>
    <w:rsid w:val="00B61968"/>
    <w:rsid w:val="00B631F3"/>
    <w:rsid w:val="00B641D2"/>
    <w:rsid w:val="00B66291"/>
    <w:rsid w:val="00B66DA1"/>
    <w:rsid w:val="00B7053B"/>
    <w:rsid w:val="00B70E86"/>
    <w:rsid w:val="00B71969"/>
    <w:rsid w:val="00B729A3"/>
    <w:rsid w:val="00B732D1"/>
    <w:rsid w:val="00B73AD3"/>
    <w:rsid w:val="00B745BB"/>
    <w:rsid w:val="00B76278"/>
    <w:rsid w:val="00B835B6"/>
    <w:rsid w:val="00B8751F"/>
    <w:rsid w:val="00B90093"/>
    <w:rsid w:val="00B90845"/>
    <w:rsid w:val="00B928BA"/>
    <w:rsid w:val="00B93017"/>
    <w:rsid w:val="00B9315D"/>
    <w:rsid w:val="00B942EB"/>
    <w:rsid w:val="00B943B4"/>
    <w:rsid w:val="00B9564F"/>
    <w:rsid w:val="00B97A62"/>
    <w:rsid w:val="00BA0122"/>
    <w:rsid w:val="00BA38D0"/>
    <w:rsid w:val="00BA52E6"/>
    <w:rsid w:val="00BA5B5E"/>
    <w:rsid w:val="00BA644C"/>
    <w:rsid w:val="00BA64A2"/>
    <w:rsid w:val="00BA755A"/>
    <w:rsid w:val="00BA7D03"/>
    <w:rsid w:val="00BA7DF8"/>
    <w:rsid w:val="00BB1451"/>
    <w:rsid w:val="00BB1586"/>
    <w:rsid w:val="00BB1A2F"/>
    <w:rsid w:val="00BB1DC7"/>
    <w:rsid w:val="00BB4032"/>
    <w:rsid w:val="00BB4E33"/>
    <w:rsid w:val="00BB54C9"/>
    <w:rsid w:val="00BB7C00"/>
    <w:rsid w:val="00BC1291"/>
    <w:rsid w:val="00BC190A"/>
    <w:rsid w:val="00BC1954"/>
    <w:rsid w:val="00BC5417"/>
    <w:rsid w:val="00BC640C"/>
    <w:rsid w:val="00BD0082"/>
    <w:rsid w:val="00BD12C8"/>
    <w:rsid w:val="00BD23D9"/>
    <w:rsid w:val="00BD261D"/>
    <w:rsid w:val="00BD2D56"/>
    <w:rsid w:val="00BD2E3B"/>
    <w:rsid w:val="00BD58F5"/>
    <w:rsid w:val="00BD797B"/>
    <w:rsid w:val="00BD7D81"/>
    <w:rsid w:val="00BD7DBE"/>
    <w:rsid w:val="00BE24CA"/>
    <w:rsid w:val="00BE2EC1"/>
    <w:rsid w:val="00BE42F3"/>
    <w:rsid w:val="00BE43E6"/>
    <w:rsid w:val="00BE5F26"/>
    <w:rsid w:val="00BE765C"/>
    <w:rsid w:val="00BE7E64"/>
    <w:rsid w:val="00BF11EB"/>
    <w:rsid w:val="00BF175F"/>
    <w:rsid w:val="00BF29EC"/>
    <w:rsid w:val="00BF6269"/>
    <w:rsid w:val="00BF697B"/>
    <w:rsid w:val="00C0006D"/>
    <w:rsid w:val="00C00C3E"/>
    <w:rsid w:val="00C00D39"/>
    <w:rsid w:val="00C01852"/>
    <w:rsid w:val="00C01B52"/>
    <w:rsid w:val="00C03212"/>
    <w:rsid w:val="00C0467A"/>
    <w:rsid w:val="00C05F7A"/>
    <w:rsid w:val="00C10172"/>
    <w:rsid w:val="00C1082F"/>
    <w:rsid w:val="00C12AC4"/>
    <w:rsid w:val="00C13256"/>
    <w:rsid w:val="00C14083"/>
    <w:rsid w:val="00C14CE6"/>
    <w:rsid w:val="00C15472"/>
    <w:rsid w:val="00C16F0C"/>
    <w:rsid w:val="00C17917"/>
    <w:rsid w:val="00C20A8C"/>
    <w:rsid w:val="00C2114B"/>
    <w:rsid w:val="00C21D41"/>
    <w:rsid w:val="00C22292"/>
    <w:rsid w:val="00C23C28"/>
    <w:rsid w:val="00C23DA1"/>
    <w:rsid w:val="00C23F25"/>
    <w:rsid w:val="00C24129"/>
    <w:rsid w:val="00C261B9"/>
    <w:rsid w:val="00C27345"/>
    <w:rsid w:val="00C277A9"/>
    <w:rsid w:val="00C27816"/>
    <w:rsid w:val="00C27B2C"/>
    <w:rsid w:val="00C27C6E"/>
    <w:rsid w:val="00C30620"/>
    <w:rsid w:val="00C33861"/>
    <w:rsid w:val="00C342B2"/>
    <w:rsid w:val="00C35659"/>
    <w:rsid w:val="00C357B5"/>
    <w:rsid w:val="00C3681B"/>
    <w:rsid w:val="00C36D3A"/>
    <w:rsid w:val="00C3766B"/>
    <w:rsid w:val="00C40283"/>
    <w:rsid w:val="00C42C22"/>
    <w:rsid w:val="00C4476F"/>
    <w:rsid w:val="00C45034"/>
    <w:rsid w:val="00C45607"/>
    <w:rsid w:val="00C46025"/>
    <w:rsid w:val="00C47103"/>
    <w:rsid w:val="00C50877"/>
    <w:rsid w:val="00C5191F"/>
    <w:rsid w:val="00C53EE8"/>
    <w:rsid w:val="00C5424D"/>
    <w:rsid w:val="00C5489F"/>
    <w:rsid w:val="00C551F4"/>
    <w:rsid w:val="00C55501"/>
    <w:rsid w:val="00C55A20"/>
    <w:rsid w:val="00C55BCF"/>
    <w:rsid w:val="00C56640"/>
    <w:rsid w:val="00C57859"/>
    <w:rsid w:val="00C61DAB"/>
    <w:rsid w:val="00C625CB"/>
    <w:rsid w:val="00C647DD"/>
    <w:rsid w:val="00C65261"/>
    <w:rsid w:val="00C67C30"/>
    <w:rsid w:val="00C70D9F"/>
    <w:rsid w:val="00C71656"/>
    <w:rsid w:val="00C72B74"/>
    <w:rsid w:val="00C72D4C"/>
    <w:rsid w:val="00C72DEC"/>
    <w:rsid w:val="00C73711"/>
    <w:rsid w:val="00C738A7"/>
    <w:rsid w:val="00C772D7"/>
    <w:rsid w:val="00C77E38"/>
    <w:rsid w:val="00C8000F"/>
    <w:rsid w:val="00C809D2"/>
    <w:rsid w:val="00C82210"/>
    <w:rsid w:val="00C836CD"/>
    <w:rsid w:val="00C8526D"/>
    <w:rsid w:val="00C8549A"/>
    <w:rsid w:val="00C873F5"/>
    <w:rsid w:val="00C877E9"/>
    <w:rsid w:val="00C9000B"/>
    <w:rsid w:val="00C90913"/>
    <w:rsid w:val="00C922D2"/>
    <w:rsid w:val="00C924AD"/>
    <w:rsid w:val="00C92D64"/>
    <w:rsid w:val="00C94EC0"/>
    <w:rsid w:val="00C9605B"/>
    <w:rsid w:val="00C96353"/>
    <w:rsid w:val="00C96FF6"/>
    <w:rsid w:val="00C97F3E"/>
    <w:rsid w:val="00CA0545"/>
    <w:rsid w:val="00CA1481"/>
    <w:rsid w:val="00CA2E13"/>
    <w:rsid w:val="00CA3762"/>
    <w:rsid w:val="00CA572B"/>
    <w:rsid w:val="00CA70B1"/>
    <w:rsid w:val="00CB109D"/>
    <w:rsid w:val="00CB1234"/>
    <w:rsid w:val="00CB16B0"/>
    <w:rsid w:val="00CB20FE"/>
    <w:rsid w:val="00CB2580"/>
    <w:rsid w:val="00CB2FF9"/>
    <w:rsid w:val="00CB366C"/>
    <w:rsid w:val="00CB41F1"/>
    <w:rsid w:val="00CB482C"/>
    <w:rsid w:val="00CB7CBA"/>
    <w:rsid w:val="00CC0461"/>
    <w:rsid w:val="00CC0A6D"/>
    <w:rsid w:val="00CC1803"/>
    <w:rsid w:val="00CC2369"/>
    <w:rsid w:val="00CC2578"/>
    <w:rsid w:val="00CC2819"/>
    <w:rsid w:val="00CC3D03"/>
    <w:rsid w:val="00CC712E"/>
    <w:rsid w:val="00CC75CE"/>
    <w:rsid w:val="00CC7A9E"/>
    <w:rsid w:val="00CD2EF0"/>
    <w:rsid w:val="00CD3356"/>
    <w:rsid w:val="00CD5BC4"/>
    <w:rsid w:val="00CD7106"/>
    <w:rsid w:val="00CD7F6E"/>
    <w:rsid w:val="00CE0A99"/>
    <w:rsid w:val="00CE0AAD"/>
    <w:rsid w:val="00CE3A01"/>
    <w:rsid w:val="00CE3A5B"/>
    <w:rsid w:val="00CE3D38"/>
    <w:rsid w:val="00CE41CD"/>
    <w:rsid w:val="00CE4A63"/>
    <w:rsid w:val="00CE5BDF"/>
    <w:rsid w:val="00CE5DD7"/>
    <w:rsid w:val="00CF1B86"/>
    <w:rsid w:val="00CF2372"/>
    <w:rsid w:val="00CF2EFA"/>
    <w:rsid w:val="00CF3EC5"/>
    <w:rsid w:val="00CF4998"/>
    <w:rsid w:val="00CF66FE"/>
    <w:rsid w:val="00CF6718"/>
    <w:rsid w:val="00CF7D6F"/>
    <w:rsid w:val="00D0143C"/>
    <w:rsid w:val="00D02730"/>
    <w:rsid w:val="00D02861"/>
    <w:rsid w:val="00D02B62"/>
    <w:rsid w:val="00D044F7"/>
    <w:rsid w:val="00D04616"/>
    <w:rsid w:val="00D053BA"/>
    <w:rsid w:val="00D05C0E"/>
    <w:rsid w:val="00D11FA2"/>
    <w:rsid w:val="00D1213D"/>
    <w:rsid w:val="00D12CD7"/>
    <w:rsid w:val="00D136F2"/>
    <w:rsid w:val="00D137EC"/>
    <w:rsid w:val="00D140C6"/>
    <w:rsid w:val="00D141B4"/>
    <w:rsid w:val="00D17EE3"/>
    <w:rsid w:val="00D200AF"/>
    <w:rsid w:val="00D20B23"/>
    <w:rsid w:val="00D21E0C"/>
    <w:rsid w:val="00D223A0"/>
    <w:rsid w:val="00D244DC"/>
    <w:rsid w:val="00D257F8"/>
    <w:rsid w:val="00D268E7"/>
    <w:rsid w:val="00D26C8F"/>
    <w:rsid w:val="00D26E21"/>
    <w:rsid w:val="00D26FC4"/>
    <w:rsid w:val="00D31D2A"/>
    <w:rsid w:val="00D32B46"/>
    <w:rsid w:val="00D33482"/>
    <w:rsid w:val="00D347F4"/>
    <w:rsid w:val="00D34DE2"/>
    <w:rsid w:val="00D358B8"/>
    <w:rsid w:val="00D3648E"/>
    <w:rsid w:val="00D36603"/>
    <w:rsid w:val="00D37E6C"/>
    <w:rsid w:val="00D40DC9"/>
    <w:rsid w:val="00D41099"/>
    <w:rsid w:val="00D423C7"/>
    <w:rsid w:val="00D44CB1"/>
    <w:rsid w:val="00D44D9D"/>
    <w:rsid w:val="00D45126"/>
    <w:rsid w:val="00D4536A"/>
    <w:rsid w:val="00D45396"/>
    <w:rsid w:val="00D4554A"/>
    <w:rsid w:val="00D46739"/>
    <w:rsid w:val="00D46B9E"/>
    <w:rsid w:val="00D50589"/>
    <w:rsid w:val="00D5302F"/>
    <w:rsid w:val="00D54238"/>
    <w:rsid w:val="00D54616"/>
    <w:rsid w:val="00D5785C"/>
    <w:rsid w:val="00D57951"/>
    <w:rsid w:val="00D579B5"/>
    <w:rsid w:val="00D61C08"/>
    <w:rsid w:val="00D62AF2"/>
    <w:rsid w:val="00D631AC"/>
    <w:rsid w:val="00D63261"/>
    <w:rsid w:val="00D64018"/>
    <w:rsid w:val="00D65118"/>
    <w:rsid w:val="00D653FB"/>
    <w:rsid w:val="00D65506"/>
    <w:rsid w:val="00D65F90"/>
    <w:rsid w:val="00D663CA"/>
    <w:rsid w:val="00D673D9"/>
    <w:rsid w:val="00D705A3"/>
    <w:rsid w:val="00D7288D"/>
    <w:rsid w:val="00D73727"/>
    <w:rsid w:val="00D74024"/>
    <w:rsid w:val="00D748CA"/>
    <w:rsid w:val="00D74ECD"/>
    <w:rsid w:val="00D7543E"/>
    <w:rsid w:val="00D75671"/>
    <w:rsid w:val="00D764C0"/>
    <w:rsid w:val="00D76AEF"/>
    <w:rsid w:val="00D8081E"/>
    <w:rsid w:val="00D80C23"/>
    <w:rsid w:val="00D81D28"/>
    <w:rsid w:val="00D82A56"/>
    <w:rsid w:val="00D82D2D"/>
    <w:rsid w:val="00D861CD"/>
    <w:rsid w:val="00D877DB"/>
    <w:rsid w:val="00D90DC9"/>
    <w:rsid w:val="00D91732"/>
    <w:rsid w:val="00D91F07"/>
    <w:rsid w:val="00D92639"/>
    <w:rsid w:val="00D93806"/>
    <w:rsid w:val="00D94B0A"/>
    <w:rsid w:val="00D95300"/>
    <w:rsid w:val="00D96498"/>
    <w:rsid w:val="00DA1B9D"/>
    <w:rsid w:val="00DA1E9B"/>
    <w:rsid w:val="00DA210C"/>
    <w:rsid w:val="00DA23DF"/>
    <w:rsid w:val="00DA2912"/>
    <w:rsid w:val="00DA2F21"/>
    <w:rsid w:val="00DA30A5"/>
    <w:rsid w:val="00DA3D2C"/>
    <w:rsid w:val="00DA55D1"/>
    <w:rsid w:val="00DA57A5"/>
    <w:rsid w:val="00DA5EA7"/>
    <w:rsid w:val="00DA61B3"/>
    <w:rsid w:val="00DB191E"/>
    <w:rsid w:val="00DB314B"/>
    <w:rsid w:val="00DB3DE8"/>
    <w:rsid w:val="00DB64A0"/>
    <w:rsid w:val="00DB67DD"/>
    <w:rsid w:val="00DB6B4A"/>
    <w:rsid w:val="00DB7856"/>
    <w:rsid w:val="00DB7C10"/>
    <w:rsid w:val="00DC0AF2"/>
    <w:rsid w:val="00DC189E"/>
    <w:rsid w:val="00DC299C"/>
    <w:rsid w:val="00DC493C"/>
    <w:rsid w:val="00DC5EA7"/>
    <w:rsid w:val="00DC77A0"/>
    <w:rsid w:val="00DD026E"/>
    <w:rsid w:val="00DD1960"/>
    <w:rsid w:val="00DD2387"/>
    <w:rsid w:val="00DD2408"/>
    <w:rsid w:val="00DD25BC"/>
    <w:rsid w:val="00DD2E33"/>
    <w:rsid w:val="00DD34E4"/>
    <w:rsid w:val="00DD3B93"/>
    <w:rsid w:val="00DD3D11"/>
    <w:rsid w:val="00DD4541"/>
    <w:rsid w:val="00DD51E6"/>
    <w:rsid w:val="00DD71A1"/>
    <w:rsid w:val="00DD78B5"/>
    <w:rsid w:val="00DD78C0"/>
    <w:rsid w:val="00DE1F5C"/>
    <w:rsid w:val="00DE2884"/>
    <w:rsid w:val="00DE28BA"/>
    <w:rsid w:val="00DE2DCD"/>
    <w:rsid w:val="00DE398F"/>
    <w:rsid w:val="00DE3C4B"/>
    <w:rsid w:val="00DE526D"/>
    <w:rsid w:val="00DE5DFF"/>
    <w:rsid w:val="00DF1708"/>
    <w:rsid w:val="00DF172E"/>
    <w:rsid w:val="00DF2F06"/>
    <w:rsid w:val="00DF430D"/>
    <w:rsid w:val="00DF5A1A"/>
    <w:rsid w:val="00DF62CA"/>
    <w:rsid w:val="00DF793D"/>
    <w:rsid w:val="00E02F42"/>
    <w:rsid w:val="00E039F4"/>
    <w:rsid w:val="00E03AB8"/>
    <w:rsid w:val="00E05112"/>
    <w:rsid w:val="00E06CF3"/>
    <w:rsid w:val="00E106BF"/>
    <w:rsid w:val="00E11110"/>
    <w:rsid w:val="00E11217"/>
    <w:rsid w:val="00E11E37"/>
    <w:rsid w:val="00E1304D"/>
    <w:rsid w:val="00E1384A"/>
    <w:rsid w:val="00E16196"/>
    <w:rsid w:val="00E200A2"/>
    <w:rsid w:val="00E20954"/>
    <w:rsid w:val="00E20BD0"/>
    <w:rsid w:val="00E20E6F"/>
    <w:rsid w:val="00E20EE5"/>
    <w:rsid w:val="00E20F8B"/>
    <w:rsid w:val="00E2160B"/>
    <w:rsid w:val="00E2312F"/>
    <w:rsid w:val="00E2375C"/>
    <w:rsid w:val="00E24741"/>
    <w:rsid w:val="00E2716D"/>
    <w:rsid w:val="00E27FF3"/>
    <w:rsid w:val="00E30332"/>
    <w:rsid w:val="00E30785"/>
    <w:rsid w:val="00E3172E"/>
    <w:rsid w:val="00E34340"/>
    <w:rsid w:val="00E35DAE"/>
    <w:rsid w:val="00E36422"/>
    <w:rsid w:val="00E36907"/>
    <w:rsid w:val="00E37C0A"/>
    <w:rsid w:val="00E40594"/>
    <w:rsid w:val="00E406A0"/>
    <w:rsid w:val="00E423CB"/>
    <w:rsid w:val="00E42FEA"/>
    <w:rsid w:val="00E43519"/>
    <w:rsid w:val="00E44457"/>
    <w:rsid w:val="00E44825"/>
    <w:rsid w:val="00E44942"/>
    <w:rsid w:val="00E457BF"/>
    <w:rsid w:val="00E46E81"/>
    <w:rsid w:val="00E52973"/>
    <w:rsid w:val="00E52DB0"/>
    <w:rsid w:val="00E54361"/>
    <w:rsid w:val="00E55CCF"/>
    <w:rsid w:val="00E5621C"/>
    <w:rsid w:val="00E56504"/>
    <w:rsid w:val="00E5742C"/>
    <w:rsid w:val="00E60D74"/>
    <w:rsid w:val="00E630B2"/>
    <w:rsid w:val="00E67AEE"/>
    <w:rsid w:val="00E70320"/>
    <w:rsid w:val="00E71300"/>
    <w:rsid w:val="00E71AC5"/>
    <w:rsid w:val="00E73140"/>
    <w:rsid w:val="00E743A3"/>
    <w:rsid w:val="00E7704B"/>
    <w:rsid w:val="00E77A5B"/>
    <w:rsid w:val="00E77BB5"/>
    <w:rsid w:val="00E77C38"/>
    <w:rsid w:val="00E80BB8"/>
    <w:rsid w:val="00E850BC"/>
    <w:rsid w:val="00E851A3"/>
    <w:rsid w:val="00E85A17"/>
    <w:rsid w:val="00E91A70"/>
    <w:rsid w:val="00E91E05"/>
    <w:rsid w:val="00E93220"/>
    <w:rsid w:val="00E93DAE"/>
    <w:rsid w:val="00E951C3"/>
    <w:rsid w:val="00E9593C"/>
    <w:rsid w:val="00E95997"/>
    <w:rsid w:val="00E97A75"/>
    <w:rsid w:val="00E97FD1"/>
    <w:rsid w:val="00EA061E"/>
    <w:rsid w:val="00EA2779"/>
    <w:rsid w:val="00EA3052"/>
    <w:rsid w:val="00EA3585"/>
    <w:rsid w:val="00EA5AA7"/>
    <w:rsid w:val="00EA5C7C"/>
    <w:rsid w:val="00EA6315"/>
    <w:rsid w:val="00EA67E8"/>
    <w:rsid w:val="00EA6926"/>
    <w:rsid w:val="00EB01A0"/>
    <w:rsid w:val="00EB0752"/>
    <w:rsid w:val="00EB2017"/>
    <w:rsid w:val="00EB30AC"/>
    <w:rsid w:val="00EB49CA"/>
    <w:rsid w:val="00EB6337"/>
    <w:rsid w:val="00EB6875"/>
    <w:rsid w:val="00EB6F1D"/>
    <w:rsid w:val="00EB7272"/>
    <w:rsid w:val="00EC0092"/>
    <w:rsid w:val="00EC11A2"/>
    <w:rsid w:val="00EC1F34"/>
    <w:rsid w:val="00EC1F7F"/>
    <w:rsid w:val="00EC2BAC"/>
    <w:rsid w:val="00EC3B3E"/>
    <w:rsid w:val="00EC4362"/>
    <w:rsid w:val="00EC70DD"/>
    <w:rsid w:val="00ED07C7"/>
    <w:rsid w:val="00ED116A"/>
    <w:rsid w:val="00ED1246"/>
    <w:rsid w:val="00ED16E4"/>
    <w:rsid w:val="00ED21BB"/>
    <w:rsid w:val="00ED252A"/>
    <w:rsid w:val="00ED355C"/>
    <w:rsid w:val="00ED5095"/>
    <w:rsid w:val="00ED5651"/>
    <w:rsid w:val="00ED5F34"/>
    <w:rsid w:val="00EE08E5"/>
    <w:rsid w:val="00EE1168"/>
    <w:rsid w:val="00EE1637"/>
    <w:rsid w:val="00EE29A4"/>
    <w:rsid w:val="00EE2B96"/>
    <w:rsid w:val="00EE428A"/>
    <w:rsid w:val="00EE4468"/>
    <w:rsid w:val="00EE798B"/>
    <w:rsid w:val="00EF13A7"/>
    <w:rsid w:val="00EF1DF3"/>
    <w:rsid w:val="00EF3B5C"/>
    <w:rsid w:val="00EF40E1"/>
    <w:rsid w:val="00EF4251"/>
    <w:rsid w:val="00EF4786"/>
    <w:rsid w:val="00EF47E6"/>
    <w:rsid w:val="00EF4E61"/>
    <w:rsid w:val="00EF620A"/>
    <w:rsid w:val="00EF689A"/>
    <w:rsid w:val="00EF78BE"/>
    <w:rsid w:val="00F010F7"/>
    <w:rsid w:val="00F018CA"/>
    <w:rsid w:val="00F0196C"/>
    <w:rsid w:val="00F03FC4"/>
    <w:rsid w:val="00F06526"/>
    <w:rsid w:val="00F068D6"/>
    <w:rsid w:val="00F073C0"/>
    <w:rsid w:val="00F112CA"/>
    <w:rsid w:val="00F115AD"/>
    <w:rsid w:val="00F12C69"/>
    <w:rsid w:val="00F13FA5"/>
    <w:rsid w:val="00F1436C"/>
    <w:rsid w:val="00F14418"/>
    <w:rsid w:val="00F1471A"/>
    <w:rsid w:val="00F148B2"/>
    <w:rsid w:val="00F14FBC"/>
    <w:rsid w:val="00F16819"/>
    <w:rsid w:val="00F16C09"/>
    <w:rsid w:val="00F16CE1"/>
    <w:rsid w:val="00F17802"/>
    <w:rsid w:val="00F17CED"/>
    <w:rsid w:val="00F20C37"/>
    <w:rsid w:val="00F22BB7"/>
    <w:rsid w:val="00F22BD5"/>
    <w:rsid w:val="00F23972"/>
    <w:rsid w:val="00F247BC"/>
    <w:rsid w:val="00F24B49"/>
    <w:rsid w:val="00F256DB"/>
    <w:rsid w:val="00F27904"/>
    <w:rsid w:val="00F30D05"/>
    <w:rsid w:val="00F342C7"/>
    <w:rsid w:val="00F34AD7"/>
    <w:rsid w:val="00F35CE5"/>
    <w:rsid w:val="00F364F6"/>
    <w:rsid w:val="00F3691B"/>
    <w:rsid w:val="00F369C2"/>
    <w:rsid w:val="00F36C60"/>
    <w:rsid w:val="00F36CCB"/>
    <w:rsid w:val="00F40052"/>
    <w:rsid w:val="00F40151"/>
    <w:rsid w:val="00F41573"/>
    <w:rsid w:val="00F41850"/>
    <w:rsid w:val="00F41CC2"/>
    <w:rsid w:val="00F421F8"/>
    <w:rsid w:val="00F45F57"/>
    <w:rsid w:val="00F4637E"/>
    <w:rsid w:val="00F46430"/>
    <w:rsid w:val="00F46FF8"/>
    <w:rsid w:val="00F4772C"/>
    <w:rsid w:val="00F47854"/>
    <w:rsid w:val="00F51290"/>
    <w:rsid w:val="00F51342"/>
    <w:rsid w:val="00F51785"/>
    <w:rsid w:val="00F51FE7"/>
    <w:rsid w:val="00F5212D"/>
    <w:rsid w:val="00F524C3"/>
    <w:rsid w:val="00F52FF8"/>
    <w:rsid w:val="00F55136"/>
    <w:rsid w:val="00F55965"/>
    <w:rsid w:val="00F57DBF"/>
    <w:rsid w:val="00F635AA"/>
    <w:rsid w:val="00F636E9"/>
    <w:rsid w:val="00F657F9"/>
    <w:rsid w:val="00F6645C"/>
    <w:rsid w:val="00F664E8"/>
    <w:rsid w:val="00F6720D"/>
    <w:rsid w:val="00F70618"/>
    <w:rsid w:val="00F7082D"/>
    <w:rsid w:val="00F70CA7"/>
    <w:rsid w:val="00F71572"/>
    <w:rsid w:val="00F71CE4"/>
    <w:rsid w:val="00F71F7C"/>
    <w:rsid w:val="00F74C76"/>
    <w:rsid w:val="00F74FD7"/>
    <w:rsid w:val="00F75E07"/>
    <w:rsid w:val="00F77137"/>
    <w:rsid w:val="00F77AAD"/>
    <w:rsid w:val="00F77B2D"/>
    <w:rsid w:val="00F80A03"/>
    <w:rsid w:val="00F81169"/>
    <w:rsid w:val="00F81935"/>
    <w:rsid w:val="00F81C9E"/>
    <w:rsid w:val="00F823CE"/>
    <w:rsid w:val="00F83D9A"/>
    <w:rsid w:val="00F867A0"/>
    <w:rsid w:val="00F876C1"/>
    <w:rsid w:val="00F87723"/>
    <w:rsid w:val="00F903D8"/>
    <w:rsid w:val="00F9068E"/>
    <w:rsid w:val="00F906B3"/>
    <w:rsid w:val="00F90C47"/>
    <w:rsid w:val="00F90E72"/>
    <w:rsid w:val="00F9122B"/>
    <w:rsid w:val="00F92534"/>
    <w:rsid w:val="00F927D3"/>
    <w:rsid w:val="00F92C91"/>
    <w:rsid w:val="00F9494C"/>
    <w:rsid w:val="00F94ABD"/>
    <w:rsid w:val="00F954BB"/>
    <w:rsid w:val="00F95686"/>
    <w:rsid w:val="00F95E8E"/>
    <w:rsid w:val="00F96307"/>
    <w:rsid w:val="00F97CAE"/>
    <w:rsid w:val="00F97E49"/>
    <w:rsid w:val="00FA1999"/>
    <w:rsid w:val="00FA206A"/>
    <w:rsid w:val="00FA23CE"/>
    <w:rsid w:val="00FA3772"/>
    <w:rsid w:val="00FA3979"/>
    <w:rsid w:val="00FA4521"/>
    <w:rsid w:val="00FA4CA7"/>
    <w:rsid w:val="00FA59D2"/>
    <w:rsid w:val="00FA5A41"/>
    <w:rsid w:val="00FB01D0"/>
    <w:rsid w:val="00FB061B"/>
    <w:rsid w:val="00FB1186"/>
    <w:rsid w:val="00FB1735"/>
    <w:rsid w:val="00FB2304"/>
    <w:rsid w:val="00FB2DA5"/>
    <w:rsid w:val="00FB3A4E"/>
    <w:rsid w:val="00FB49A4"/>
    <w:rsid w:val="00FB49F3"/>
    <w:rsid w:val="00FB61AA"/>
    <w:rsid w:val="00FB6B19"/>
    <w:rsid w:val="00FB7567"/>
    <w:rsid w:val="00FC069D"/>
    <w:rsid w:val="00FC0CFC"/>
    <w:rsid w:val="00FC1845"/>
    <w:rsid w:val="00FC19A6"/>
    <w:rsid w:val="00FC2BA7"/>
    <w:rsid w:val="00FC5500"/>
    <w:rsid w:val="00FC5A6C"/>
    <w:rsid w:val="00FC65C2"/>
    <w:rsid w:val="00FC7AF1"/>
    <w:rsid w:val="00FC7E58"/>
    <w:rsid w:val="00FD0746"/>
    <w:rsid w:val="00FD091F"/>
    <w:rsid w:val="00FD245F"/>
    <w:rsid w:val="00FD417E"/>
    <w:rsid w:val="00FD514A"/>
    <w:rsid w:val="00FD5A46"/>
    <w:rsid w:val="00FD662A"/>
    <w:rsid w:val="00FD674E"/>
    <w:rsid w:val="00FE02A7"/>
    <w:rsid w:val="00FE06B0"/>
    <w:rsid w:val="00FE0BE5"/>
    <w:rsid w:val="00FE0E3D"/>
    <w:rsid w:val="00FE1D2E"/>
    <w:rsid w:val="00FE1F99"/>
    <w:rsid w:val="00FE250E"/>
    <w:rsid w:val="00FE34AD"/>
    <w:rsid w:val="00FE3D03"/>
    <w:rsid w:val="00FE47DD"/>
    <w:rsid w:val="00FE500B"/>
    <w:rsid w:val="00FE6DE2"/>
    <w:rsid w:val="00FF172F"/>
    <w:rsid w:val="00FF20C7"/>
    <w:rsid w:val="00FF306C"/>
    <w:rsid w:val="00FF4E1D"/>
    <w:rsid w:val="00FF5694"/>
    <w:rsid w:val="00FF584F"/>
    <w:rsid w:val="00FF7DC9"/>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C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iPriority="98" w:unhideWhenUsed="1"/>
    <w:lsdException w:name="header" w:semiHidden="1" w:unhideWhenUsed="1"/>
    <w:lsdException w:name="footer" w:semiHidden="1" w:unhideWhenUsed="1"/>
    <w:lsdException w:name="index heading" w:semiHidden="1" w:uiPriority="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footnote reference" w:uiPriority="7"/>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iPriority="3" w:unhideWhenUsed="1"/>
    <w:lsdException w:name="List Number" w:semiHidden="1" w:uiPriority="5"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lsdException w:name="List Number 2" w:semiHidden="1" w:uiPriority="5" w:unhideWhenUsed="1"/>
    <w:lsdException w:name="List Number 3" w:semiHidden="1" w:uiPriority="5" w:unhideWhenUsed="1"/>
    <w:lsdException w:name="List Number 4" w:semiHidden="1" w:uiPriority="97"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iPriority="4" w:unhideWhenUsed="1"/>
    <w:lsdException w:name="List Continue 2" w:semiHidden="1" w:uiPriority="4" w:unhideWhenUsed="1"/>
    <w:lsdException w:name="List Continue 3" w:semiHidden="1" w:uiPriority="4" w:unhideWhenUsed="1"/>
    <w:lsdException w:name="List Continue 4" w:semiHidden="1" w:uiPriority="4"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 w:unhideWhenUsed="1"/>
    <w:lsdException w:name="Strong" w:semiHidden="1"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2"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6319A6"/>
    <w:pPr>
      <w:spacing w:line="240" w:lineRule="atLeast"/>
    </w:pPr>
    <w:rPr>
      <w:rFonts w:ascii="Calibri" w:hAnsi="Calibri"/>
      <w:color w:val="1E1E1E"/>
      <w:sz w:val="24"/>
    </w:rPr>
  </w:style>
  <w:style w:type="paragraph" w:styleId="Heading1">
    <w:name w:val="heading 1"/>
    <w:basedOn w:val="Normalcolour"/>
    <w:next w:val="BodyText"/>
    <w:link w:val="Heading1Char"/>
    <w:uiPriority w:val="1"/>
    <w:qFormat/>
    <w:rsid w:val="001010F4"/>
    <w:pPr>
      <w:keepNext/>
      <w:keepLines/>
      <w:pageBreakBefore/>
      <w:spacing w:line="540" w:lineRule="atLeast"/>
      <w:ind w:right="284"/>
      <w:outlineLvl w:val="0"/>
    </w:pPr>
    <w:rPr>
      <w:rFonts w:eastAsiaTheme="majorEastAsia" w:cstheme="majorBidi"/>
      <w:bCs/>
      <w:color w:val="017E5D"/>
      <w:sz w:val="48"/>
      <w:szCs w:val="28"/>
    </w:rPr>
  </w:style>
  <w:style w:type="paragraph" w:styleId="Heading2">
    <w:name w:val="heading 2"/>
    <w:basedOn w:val="Normalcolour"/>
    <w:next w:val="BodyText"/>
    <w:link w:val="Heading2Char"/>
    <w:uiPriority w:val="1"/>
    <w:qFormat/>
    <w:rsid w:val="001010F4"/>
    <w:pPr>
      <w:keepNext/>
      <w:keepLines/>
      <w:pBdr>
        <w:bottom w:val="single" w:sz="2" w:space="5" w:color="2BB673"/>
      </w:pBdr>
      <w:spacing w:before="600" w:after="140" w:line="360" w:lineRule="atLeast"/>
      <w:ind w:right="284"/>
      <w:outlineLvl w:val="1"/>
    </w:pPr>
    <w:rPr>
      <w:rFonts w:eastAsiaTheme="majorEastAsia" w:cstheme="majorBidi"/>
      <w:bCs/>
      <w:color w:val="017E5D"/>
      <w:sz w:val="36"/>
      <w:szCs w:val="26"/>
    </w:rPr>
  </w:style>
  <w:style w:type="paragraph" w:styleId="Heading3">
    <w:name w:val="heading 3"/>
    <w:basedOn w:val="Normalcolour"/>
    <w:next w:val="BodyText"/>
    <w:link w:val="Heading3Char"/>
    <w:uiPriority w:val="1"/>
    <w:qFormat/>
    <w:rsid w:val="001010F4"/>
    <w:pPr>
      <w:keepNext/>
      <w:keepLines/>
      <w:spacing w:before="480" w:after="60" w:line="320" w:lineRule="atLeast"/>
      <w:ind w:right="284"/>
      <w:outlineLvl w:val="2"/>
    </w:pPr>
    <w:rPr>
      <w:rFonts w:eastAsiaTheme="majorEastAsia" w:cstheme="majorBidi"/>
      <w:bCs/>
      <w:color w:val="017E5D"/>
      <w:sz w:val="32"/>
    </w:rPr>
  </w:style>
  <w:style w:type="paragraph" w:styleId="Heading4">
    <w:name w:val="heading 4"/>
    <w:basedOn w:val="Normal"/>
    <w:next w:val="BodyText"/>
    <w:link w:val="Heading4Char"/>
    <w:uiPriority w:val="1"/>
    <w:qFormat/>
    <w:rsid w:val="006319A6"/>
    <w:pPr>
      <w:keepNext/>
      <w:keepLines/>
      <w:spacing w:before="360" w:after="60" w:line="260" w:lineRule="atLeast"/>
      <w:ind w:right="284"/>
      <w:outlineLvl w:val="3"/>
    </w:pPr>
    <w:rPr>
      <w:rFonts w:eastAsiaTheme="majorEastAsia" w:cstheme="majorBidi"/>
      <w:b/>
      <w:bCs/>
      <w:iCs/>
      <w:sz w:val="26"/>
    </w:rPr>
  </w:style>
  <w:style w:type="paragraph" w:styleId="Heading5">
    <w:name w:val="heading 5"/>
    <w:basedOn w:val="Normal"/>
    <w:next w:val="BodyText"/>
    <w:link w:val="Heading5Char"/>
    <w:uiPriority w:val="1"/>
    <w:qFormat/>
    <w:rsid w:val="006319A6"/>
    <w:pPr>
      <w:keepNext/>
      <w:keepLines/>
      <w:spacing w:before="32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6319A6"/>
    <w:pPr>
      <w:keepNext/>
      <w:keepLines/>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6319A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319A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6319A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7"/>
    <w:rsid w:val="006319A6"/>
    <w:rPr>
      <w:vertAlign w:val="superscript"/>
    </w:rPr>
  </w:style>
  <w:style w:type="paragraph" w:styleId="ListBullet">
    <w:name w:val="List Bullet"/>
    <w:basedOn w:val="Normal"/>
    <w:uiPriority w:val="3"/>
    <w:rsid w:val="006319A6"/>
    <w:pPr>
      <w:numPr>
        <w:numId w:val="3"/>
      </w:numPr>
    </w:pPr>
  </w:style>
  <w:style w:type="paragraph" w:styleId="ListNumber">
    <w:name w:val="List Number"/>
    <w:basedOn w:val="Normal"/>
    <w:uiPriority w:val="5"/>
    <w:rsid w:val="006319A6"/>
    <w:pPr>
      <w:numPr>
        <w:numId w:val="4"/>
      </w:numPr>
    </w:pPr>
  </w:style>
  <w:style w:type="paragraph" w:styleId="BalloonText">
    <w:name w:val="Balloon Text"/>
    <w:basedOn w:val="Normal"/>
    <w:link w:val="BalloonTextChar"/>
    <w:uiPriority w:val="98"/>
    <w:semiHidden/>
    <w:rsid w:val="006319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8"/>
    <w:semiHidden/>
    <w:rsid w:val="006319A6"/>
    <w:rPr>
      <w:rFonts w:ascii="Tahoma" w:hAnsi="Tahoma" w:cs="Tahoma"/>
      <w:color w:val="1E1E1E"/>
      <w:sz w:val="16"/>
      <w:szCs w:val="16"/>
    </w:rPr>
  </w:style>
  <w:style w:type="character" w:customStyle="1" w:styleId="Heading1Char">
    <w:name w:val="Heading 1 Char"/>
    <w:basedOn w:val="DefaultParagraphFont"/>
    <w:link w:val="Heading1"/>
    <w:uiPriority w:val="1"/>
    <w:rsid w:val="001010F4"/>
    <w:rPr>
      <w:rFonts w:ascii="Calibri" w:eastAsiaTheme="majorEastAsia" w:hAnsi="Calibri" w:cstheme="majorBidi"/>
      <w:bCs/>
      <w:color w:val="017E5D"/>
      <w:sz w:val="48"/>
      <w:szCs w:val="28"/>
    </w:rPr>
  </w:style>
  <w:style w:type="character" w:customStyle="1" w:styleId="Heading2Char">
    <w:name w:val="Heading 2 Char"/>
    <w:basedOn w:val="DefaultParagraphFont"/>
    <w:link w:val="Heading2"/>
    <w:uiPriority w:val="1"/>
    <w:rsid w:val="001010F4"/>
    <w:rPr>
      <w:rFonts w:ascii="Calibri" w:eastAsiaTheme="majorEastAsia" w:hAnsi="Calibri" w:cstheme="majorBidi"/>
      <w:bCs/>
      <w:color w:val="017E5D"/>
      <w:sz w:val="36"/>
      <w:szCs w:val="26"/>
    </w:rPr>
  </w:style>
  <w:style w:type="character" w:customStyle="1" w:styleId="Heading3Char">
    <w:name w:val="Heading 3 Char"/>
    <w:basedOn w:val="DefaultParagraphFont"/>
    <w:link w:val="Heading3"/>
    <w:uiPriority w:val="1"/>
    <w:rsid w:val="001010F4"/>
    <w:rPr>
      <w:rFonts w:ascii="Calibri" w:eastAsiaTheme="majorEastAsia" w:hAnsi="Calibri" w:cstheme="majorBidi"/>
      <w:bCs/>
      <w:color w:val="017E5D"/>
      <w:sz w:val="32"/>
    </w:rPr>
  </w:style>
  <w:style w:type="paragraph" w:styleId="Title">
    <w:name w:val="Title"/>
    <w:basedOn w:val="Normalcolour"/>
    <w:next w:val="BodyText"/>
    <w:link w:val="TitleChar"/>
    <w:uiPriority w:val="1"/>
    <w:rsid w:val="006319A6"/>
    <w:pPr>
      <w:spacing w:after="0" w:line="720" w:lineRule="exact"/>
      <w:ind w:right="284"/>
      <w:contextualSpacing/>
    </w:pPr>
    <w:rPr>
      <w:rFonts w:eastAsiaTheme="majorEastAsia" w:cstheme="majorBidi"/>
      <w:spacing w:val="5"/>
      <w:kern w:val="28"/>
      <w:sz w:val="72"/>
      <w:szCs w:val="52"/>
    </w:rPr>
  </w:style>
  <w:style w:type="character" w:customStyle="1" w:styleId="TitleChar">
    <w:name w:val="Title Char"/>
    <w:basedOn w:val="DefaultParagraphFont"/>
    <w:link w:val="Title"/>
    <w:uiPriority w:val="1"/>
    <w:rsid w:val="006319A6"/>
    <w:rPr>
      <w:rFonts w:ascii="Calibri" w:eastAsiaTheme="majorEastAsia" w:hAnsi="Calibri" w:cstheme="majorBidi"/>
      <w:color w:val="2BB673"/>
      <w:spacing w:val="5"/>
      <w:kern w:val="28"/>
      <w:sz w:val="72"/>
      <w:szCs w:val="52"/>
    </w:rPr>
  </w:style>
  <w:style w:type="character" w:customStyle="1" w:styleId="Heading4Char">
    <w:name w:val="Heading 4 Char"/>
    <w:basedOn w:val="DefaultParagraphFont"/>
    <w:link w:val="Heading4"/>
    <w:uiPriority w:val="1"/>
    <w:rsid w:val="006319A6"/>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rsid w:val="006319A6"/>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6319A6"/>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6319A6"/>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319A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319A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BodyText"/>
    <w:uiPriority w:val="2"/>
    <w:semiHidden/>
    <w:rsid w:val="006319A6"/>
    <w:pPr>
      <w:keepNext/>
      <w:spacing w:before="200" w:after="140"/>
    </w:pPr>
    <w:rPr>
      <w:b/>
      <w:bCs/>
      <w:szCs w:val="18"/>
    </w:rPr>
  </w:style>
  <w:style w:type="paragraph" w:styleId="Bibliography">
    <w:name w:val="Bibliography"/>
    <w:basedOn w:val="Normal"/>
    <w:next w:val="BodyText"/>
    <w:uiPriority w:val="7"/>
    <w:rsid w:val="006319A6"/>
  </w:style>
  <w:style w:type="paragraph" w:styleId="TOC1">
    <w:name w:val="toc 1"/>
    <w:basedOn w:val="Normal"/>
    <w:next w:val="Normal"/>
    <w:uiPriority w:val="39"/>
    <w:rsid w:val="006319A6"/>
    <w:pPr>
      <w:tabs>
        <w:tab w:val="right" w:leader="dot" w:pos="9299"/>
      </w:tabs>
      <w:spacing w:before="200" w:after="0"/>
      <w:ind w:right="425"/>
    </w:pPr>
    <w:rPr>
      <w:b/>
    </w:rPr>
  </w:style>
  <w:style w:type="paragraph" w:styleId="TOC2">
    <w:name w:val="toc 2"/>
    <w:basedOn w:val="Normal"/>
    <w:next w:val="Normal"/>
    <w:uiPriority w:val="39"/>
    <w:rsid w:val="006319A6"/>
    <w:pPr>
      <w:tabs>
        <w:tab w:val="right" w:leader="dot" w:pos="9299"/>
      </w:tabs>
      <w:spacing w:after="0"/>
      <w:ind w:right="425"/>
    </w:pPr>
  </w:style>
  <w:style w:type="paragraph" w:styleId="TOC3">
    <w:name w:val="toc 3"/>
    <w:basedOn w:val="Normal"/>
    <w:next w:val="Normal"/>
    <w:uiPriority w:val="39"/>
    <w:rsid w:val="006319A6"/>
    <w:pPr>
      <w:tabs>
        <w:tab w:val="right" w:leader="dot" w:pos="9299"/>
      </w:tabs>
      <w:spacing w:after="0"/>
      <w:ind w:left="284" w:right="425"/>
    </w:pPr>
  </w:style>
  <w:style w:type="paragraph" w:styleId="TOC4">
    <w:name w:val="toc 4"/>
    <w:basedOn w:val="Normal"/>
    <w:next w:val="Normal"/>
    <w:uiPriority w:val="39"/>
    <w:rsid w:val="006319A6"/>
    <w:pPr>
      <w:tabs>
        <w:tab w:val="right" w:leader="dot" w:pos="9299"/>
      </w:tabs>
      <w:spacing w:after="0"/>
      <w:ind w:left="567" w:right="425"/>
    </w:pPr>
    <w:rPr>
      <w:color w:val="4D4D4D"/>
    </w:rPr>
  </w:style>
  <w:style w:type="paragraph" w:styleId="TOC5">
    <w:name w:val="toc 5"/>
    <w:basedOn w:val="Normal"/>
    <w:next w:val="Normal"/>
    <w:uiPriority w:val="39"/>
    <w:semiHidden/>
    <w:rsid w:val="006319A6"/>
    <w:pPr>
      <w:tabs>
        <w:tab w:val="right" w:leader="dot" w:pos="9299"/>
      </w:tabs>
      <w:spacing w:after="0" w:line="260" w:lineRule="atLeast"/>
      <w:ind w:left="851" w:right="425"/>
    </w:pPr>
  </w:style>
  <w:style w:type="paragraph" w:styleId="TOC6">
    <w:name w:val="toc 6"/>
    <w:basedOn w:val="Normal"/>
    <w:next w:val="Normal"/>
    <w:autoRedefine/>
    <w:uiPriority w:val="39"/>
    <w:semiHidden/>
    <w:rsid w:val="006319A6"/>
    <w:pPr>
      <w:spacing w:after="100"/>
      <w:ind w:left="1100"/>
    </w:pPr>
  </w:style>
  <w:style w:type="paragraph" w:styleId="TOC7">
    <w:name w:val="toc 7"/>
    <w:basedOn w:val="Normal"/>
    <w:next w:val="Normal"/>
    <w:autoRedefine/>
    <w:uiPriority w:val="39"/>
    <w:semiHidden/>
    <w:rsid w:val="006319A6"/>
    <w:pPr>
      <w:spacing w:after="100"/>
      <w:ind w:left="1320"/>
    </w:pPr>
  </w:style>
  <w:style w:type="paragraph" w:styleId="TOC8">
    <w:name w:val="toc 8"/>
    <w:basedOn w:val="Normal"/>
    <w:next w:val="Normal"/>
    <w:autoRedefine/>
    <w:uiPriority w:val="39"/>
    <w:semiHidden/>
    <w:rsid w:val="006319A6"/>
    <w:pPr>
      <w:spacing w:after="100"/>
      <w:ind w:left="1540"/>
    </w:pPr>
  </w:style>
  <w:style w:type="paragraph" w:styleId="TOC9">
    <w:name w:val="toc 9"/>
    <w:basedOn w:val="Normal"/>
    <w:next w:val="Normal"/>
    <w:autoRedefine/>
    <w:uiPriority w:val="39"/>
    <w:semiHidden/>
    <w:rsid w:val="006319A6"/>
    <w:pPr>
      <w:spacing w:after="100"/>
      <w:ind w:left="1760"/>
    </w:pPr>
  </w:style>
  <w:style w:type="paragraph" w:styleId="TOCHeading">
    <w:name w:val="TOC Heading"/>
    <w:basedOn w:val="Normalcolour"/>
    <w:next w:val="BodyText"/>
    <w:uiPriority w:val="39"/>
    <w:qFormat/>
    <w:rsid w:val="006319A6"/>
    <w:pPr>
      <w:keepNext/>
      <w:spacing w:after="720" w:line="540" w:lineRule="atLeast"/>
      <w:ind w:right="284"/>
    </w:pPr>
    <w:rPr>
      <w:sz w:val="48"/>
    </w:rPr>
  </w:style>
  <w:style w:type="paragraph" w:styleId="BodyText">
    <w:name w:val="Body Text"/>
    <w:basedOn w:val="Normal"/>
    <w:link w:val="BodyTextChar"/>
    <w:uiPriority w:val="2"/>
    <w:qFormat/>
    <w:rsid w:val="006319A6"/>
  </w:style>
  <w:style w:type="character" w:customStyle="1" w:styleId="BodyTextChar">
    <w:name w:val="Body Text Char"/>
    <w:basedOn w:val="DefaultParagraphFont"/>
    <w:link w:val="BodyText"/>
    <w:uiPriority w:val="2"/>
    <w:rsid w:val="006319A6"/>
    <w:rPr>
      <w:rFonts w:ascii="Calibri" w:hAnsi="Calibri"/>
      <w:color w:val="1E1E1E"/>
      <w:sz w:val="24"/>
    </w:rPr>
  </w:style>
  <w:style w:type="paragraph" w:styleId="CommentText">
    <w:name w:val="annotation text"/>
    <w:basedOn w:val="Normal"/>
    <w:link w:val="CommentTextChar"/>
    <w:uiPriority w:val="98"/>
    <w:rsid w:val="006319A6"/>
    <w:pPr>
      <w:spacing w:line="240" w:lineRule="auto"/>
    </w:pPr>
    <w:rPr>
      <w:sz w:val="22"/>
      <w:szCs w:val="20"/>
    </w:rPr>
  </w:style>
  <w:style w:type="character" w:customStyle="1" w:styleId="CommentTextChar">
    <w:name w:val="Comment Text Char"/>
    <w:basedOn w:val="DefaultParagraphFont"/>
    <w:link w:val="CommentText"/>
    <w:uiPriority w:val="98"/>
    <w:rsid w:val="006319A6"/>
    <w:rPr>
      <w:rFonts w:ascii="Calibri" w:hAnsi="Calibri"/>
      <w:color w:val="1E1E1E"/>
      <w:szCs w:val="20"/>
    </w:rPr>
  </w:style>
  <w:style w:type="paragraph" w:styleId="CommentSubject">
    <w:name w:val="annotation subject"/>
    <w:basedOn w:val="CommentText"/>
    <w:next w:val="CommentText"/>
    <w:link w:val="CommentSubjectChar"/>
    <w:uiPriority w:val="98"/>
    <w:semiHidden/>
    <w:rsid w:val="006319A6"/>
    <w:rPr>
      <w:b/>
      <w:bCs/>
    </w:rPr>
  </w:style>
  <w:style w:type="character" w:customStyle="1" w:styleId="CommentSubjectChar">
    <w:name w:val="Comment Subject Char"/>
    <w:basedOn w:val="CommentTextChar"/>
    <w:link w:val="CommentSubject"/>
    <w:uiPriority w:val="98"/>
    <w:semiHidden/>
    <w:rsid w:val="006319A6"/>
    <w:rPr>
      <w:rFonts w:ascii="Calibri" w:hAnsi="Calibri"/>
      <w:b/>
      <w:bCs/>
      <w:color w:val="1E1E1E"/>
      <w:szCs w:val="20"/>
    </w:rPr>
  </w:style>
  <w:style w:type="paragraph" w:styleId="Date">
    <w:name w:val="Date"/>
    <w:basedOn w:val="Normal"/>
    <w:next w:val="Normal"/>
    <w:link w:val="DateChar"/>
    <w:uiPriority w:val="99"/>
    <w:semiHidden/>
    <w:rsid w:val="006319A6"/>
  </w:style>
  <w:style w:type="character" w:customStyle="1" w:styleId="DateChar">
    <w:name w:val="Date Char"/>
    <w:basedOn w:val="DefaultParagraphFont"/>
    <w:link w:val="Date"/>
    <w:uiPriority w:val="99"/>
    <w:semiHidden/>
    <w:rsid w:val="006319A6"/>
    <w:rPr>
      <w:rFonts w:ascii="Calibri" w:hAnsi="Calibri"/>
      <w:color w:val="1E1E1E"/>
      <w:sz w:val="24"/>
    </w:rPr>
  </w:style>
  <w:style w:type="paragraph" w:styleId="EmailSignature">
    <w:name w:val="E-mail Signature"/>
    <w:basedOn w:val="Normal"/>
    <w:link w:val="EmailSignatureChar"/>
    <w:uiPriority w:val="99"/>
    <w:semiHidden/>
    <w:rsid w:val="006319A6"/>
    <w:pPr>
      <w:spacing w:after="0" w:line="240" w:lineRule="auto"/>
    </w:pPr>
  </w:style>
  <w:style w:type="character" w:customStyle="1" w:styleId="EmailSignatureChar">
    <w:name w:val="Email Signature Char"/>
    <w:basedOn w:val="DefaultParagraphFont"/>
    <w:link w:val="EmailSignature"/>
    <w:uiPriority w:val="99"/>
    <w:semiHidden/>
    <w:rsid w:val="006319A6"/>
    <w:rPr>
      <w:rFonts w:ascii="Calibri" w:hAnsi="Calibri"/>
      <w:color w:val="1E1E1E"/>
      <w:sz w:val="24"/>
    </w:rPr>
  </w:style>
  <w:style w:type="paragraph" w:styleId="EndnoteText">
    <w:name w:val="endnote text"/>
    <w:basedOn w:val="Normal"/>
    <w:link w:val="EndnoteTextChar"/>
    <w:uiPriority w:val="7"/>
    <w:rsid w:val="006319A6"/>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6319A6"/>
    <w:rPr>
      <w:rFonts w:ascii="Calibri" w:hAnsi="Calibri"/>
      <w:color w:val="4D4D4D"/>
      <w:sz w:val="20"/>
      <w:szCs w:val="20"/>
    </w:rPr>
  </w:style>
  <w:style w:type="paragraph" w:styleId="EnvelopeAddress">
    <w:name w:val="envelope address"/>
    <w:basedOn w:val="Normal"/>
    <w:uiPriority w:val="99"/>
    <w:semiHidden/>
    <w:rsid w:val="006319A6"/>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6319A6"/>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rsid w:val="006319A6"/>
    <w:pPr>
      <w:tabs>
        <w:tab w:val="right" w:pos="9299"/>
      </w:tabs>
      <w:spacing w:after="0" w:line="240" w:lineRule="auto"/>
    </w:pPr>
    <w:rPr>
      <w:color w:val="696969"/>
      <w:sz w:val="20"/>
    </w:rPr>
  </w:style>
  <w:style w:type="character" w:customStyle="1" w:styleId="FooterChar">
    <w:name w:val="Footer Char"/>
    <w:basedOn w:val="DefaultParagraphFont"/>
    <w:link w:val="Footer"/>
    <w:uiPriority w:val="99"/>
    <w:rsid w:val="006319A6"/>
    <w:rPr>
      <w:rFonts w:ascii="Calibri" w:hAnsi="Calibri"/>
      <w:color w:val="696969"/>
      <w:sz w:val="20"/>
    </w:rPr>
  </w:style>
  <w:style w:type="paragraph" w:styleId="FootnoteText">
    <w:name w:val="footnote text"/>
    <w:basedOn w:val="Normal"/>
    <w:link w:val="FootnoteTextChar"/>
    <w:uiPriority w:val="7"/>
    <w:rsid w:val="006319A6"/>
    <w:pPr>
      <w:tabs>
        <w:tab w:val="left" w:pos="284"/>
      </w:tabs>
      <w:spacing w:after="80" w:line="230" w:lineRule="atLeast"/>
      <w:ind w:left="284" w:hanging="284"/>
    </w:pPr>
    <w:rPr>
      <w:color w:val="4D4D4D"/>
      <w:sz w:val="20"/>
      <w:szCs w:val="20"/>
    </w:rPr>
  </w:style>
  <w:style w:type="character" w:customStyle="1" w:styleId="FootnoteTextChar">
    <w:name w:val="Footnote Text Char"/>
    <w:basedOn w:val="DefaultParagraphFont"/>
    <w:link w:val="FootnoteText"/>
    <w:uiPriority w:val="7"/>
    <w:rsid w:val="006319A6"/>
    <w:rPr>
      <w:rFonts w:ascii="Calibri" w:hAnsi="Calibri"/>
      <w:color w:val="4D4D4D"/>
      <w:sz w:val="20"/>
      <w:szCs w:val="20"/>
    </w:rPr>
  </w:style>
  <w:style w:type="paragraph" w:styleId="Header">
    <w:name w:val="header"/>
    <w:basedOn w:val="Normal"/>
    <w:link w:val="HeaderChar"/>
    <w:uiPriority w:val="99"/>
    <w:rsid w:val="006319A6"/>
    <w:pPr>
      <w:tabs>
        <w:tab w:val="right" w:pos="9299"/>
      </w:tabs>
      <w:spacing w:after="0" w:line="240" w:lineRule="auto"/>
    </w:pPr>
    <w:rPr>
      <w:color w:val="696969"/>
      <w:sz w:val="20"/>
    </w:rPr>
  </w:style>
  <w:style w:type="character" w:customStyle="1" w:styleId="HeaderChar">
    <w:name w:val="Header Char"/>
    <w:basedOn w:val="DefaultParagraphFont"/>
    <w:link w:val="Header"/>
    <w:uiPriority w:val="99"/>
    <w:rsid w:val="006319A6"/>
    <w:rPr>
      <w:rFonts w:ascii="Calibri" w:hAnsi="Calibri"/>
      <w:color w:val="696969"/>
      <w:sz w:val="20"/>
    </w:rPr>
  </w:style>
  <w:style w:type="paragraph" w:styleId="HTMLAddress">
    <w:name w:val="HTML Address"/>
    <w:basedOn w:val="Normal"/>
    <w:link w:val="HTMLAddressChar"/>
    <w:uiPriority w:val="99"/>
    <w:semiHidden/>
    <w:rsid w:val="006319A6"/>
    <w:pPr>
      <w:spacing w:after="0" w:line="240" w:lineRule="auto"/>
    </w:pPr>
    <w:rPr>
      <w:i/>
      <w:iCs/>
    </w:rPr>
  </w:style>
  <w:style w:type="character" w:customStyle="1" w:styleId="HTMLAddressChar">
    <w:name w:val="HTML Address Char"/>
    <w:basedOn w:val="DefaultParagraphFont"/>
    <w:link w:val="HTMLAddress"/>
    <w:uiPriority w:val="99"/>
    <w:semiHidden/>
    <w:rsid w:val="006319A6"/>
    <w:rPr>
      <w:rFonts w:ascii="Calibri" w:hAnsi="Calibri"/>
      <w:i/>
      <w:iCs/>
      <w:color w:val="1E1E1E"/>
      <w:sz w:val="24"/>
    </w:rPr>
  </w:style>
  <w:style w:type="paragraph" w:styleId="HTMLPreformatted">
    <w:name w:val="HTML Preformatted"/>
    <w:basedOn w:val="Normal"/>
    <w:link w:val="HTMLPreformattedChar"/>
    <w:uiPriority w:val="99"/>
    <w:semiHidden/>
    <w:unhideWhenUsed/>
    <w:rsid w:val="006319A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319A6"/>
    <w:rPr>
      <w:rFonts w:ascii="Consolas" w:hAnsi="Consolas"/>
      <w:color w:val="1E1E1E"/>
      <w:sz w:val="20"/>
      <w:szCs w:val="20"/>
    </w:rPr>
  </w:style>
  <w:style w:type="paragraph" w:styleId="Index1">
    <w:name w:val="index 1"/>
    <w:basedOn w:val="Normal"/>
    <w:uiPriority w:val="99"/>
    <w:rsid w:val="006319A6"/>
    <w:pPr>
      <w:spacing w:after="0" w:line="300" w:lineRule="atLeast"/>
      <w:ind w:left="220" w:hanging="220"/>
    </w:pPr>
    <w:rPr>
      <w:szCs w:val="18"/>
    </w:rPr>
  </w:style>
  <w:style w:type="paragraph" w:styleId="Index2">
    <w:name w:val="index 2"/>
    <w:basedOn w:val="Normal"/>
    <w:uiPriority w:val="99"/>
    <w:rsid w:val="006319A6"/>
    <w:pPr>
      <w:spacing w:after="0" w:line="300" w:lineRule="atLeast"/>
      <w:ind w:left="440" w:hanging="220"/>
    </w:pPr>
    <w:rPr>
      <w:szCs w:val="18"/>
    </w:rPr>
  </w:style>
  <w:style w:type="paragraph" w:styleId="Index3">
    <w:name w:val="index 3"/>
    <w:basedOn w:val="Normal"/>
    <w:uiPriority w:val="99"/>
    <w:rsid w:val="006319A6"/>
    <w:pPr>
      <w:spacing w:after="0" w:line="300" w:lineRule="atLeast"/>
      <w:ind w:left="660" w:hanging="220"/>
    </w:pPr>
    <w:rPr>
      <w:szCs w:val="18"/>
    </w:rPr>
  </w:style>
  <w:style w:type="paragraph" w:styleId="Index4">
    <w:name w:val="index 4"/>
    <w:basedOn w:val="Normal"/>
    <w:uiPriority w:val="99"/>
    <w:rsid w:val="006319A6"/>
    <w:pPr>
      <w:spacing w:after="0" w:line="300" w:lineRule="atLeast"/>
      <w:ind w:left="880" w:hanging="220"/>
    </w:pPr>
    <w:rPr>
      <w:szCs w:val="18"/>
    </w:rPr>
  </w:style>
  <w:style w:type="paragraph" w:styleId="Index5">
    <w:name w:val="index 5"/>
    <w:basedOn w:val="Normal"/>
    <w:uiPriority w:val="99"/>
    <w:rsid w:val="006319A6"/>
    <w:pPr>
      <w:spacing w:after="0" w:line="300" w:lineRule="atLeast"/>
      <w:ind w:left="1100" w:hanging="220"/>
    </w:pPr>
    <w:rPr>
      <w:szCs w:val="18"/>
    </w:rPr>
  </w:style>
  <w:style w:type="paragraph" w:styleId="Index6">
    <w:name w:val="index 6"/>
    <w:basedOn w:val="Normal"/>
    <w:uiPriority w:val="99"/>
    <w:rsid w:val="006319A6"/>
    <w:pPr>
      <w:spacing w:after="0" w:line="300" w:lineRule="atLeast"/>
      <w:ind w:left="1320" w:hanging="220"/>
    </w:pPr>
    <w:rPr>
      <w:szCs w:val="18"/>
    </w:rPr>
  </w:style>
  <w:style w:type="paragraph" w:styleId="Index7">
    <w:name w:val="index 7"/>
    <w:basedOn w:val="Normal"/>
    <w:uiPriority w:val="99"/>
    <w:rsid w:val="006319A6"/>
    <w:pPr>
      <w:spacing w:after="0" w:line="300" w:lineRule="atLeast"/>
      <w:ind w:left="1540" w:hanging="220"/>
    </w:pPr>
    <w:rPr>
      <w:szCs w:val="18"/>
    </w:rPr>
  </w:style>
  <w:style w:type="paragraph" w:styleId="Index8">
    <w:name w:val="index 8"/>
    <w:basedOn w:val="Normal"/>
    <w:uiPriority w:val="99"/>
    <w:rsid w:val="006319A6"/>
    <w:pPr>
      <w:spacing w:after="0" w:line="300" w:lineRule="atLeast"/>
      <w:ind w:left="1760" w:hanging="220"/>
    </w:pPr>
    <w:rPr>
      <w:szCs w:val="18"/>
    </w:rPr>
  </w:style>
  <w:style w:type="paragraph" w:styleId="Index9">
    <w:name w:val="index 9"/>
    <w:basedOn w:val="Normal"/>
    <w:uiPriority w:val="99"/>
    <w:rsid w:val="006319A6"/>
    <w:pPr>
      <w:spacing w:after="0" w:line="300" w:lineRule="atLeast"/>
      <w:ind w:left="1980" w:hanging="220"/>
    </w:pPr>
    <w:rPr>
      <w:szCs w:val="18"/>
    </w:rPr>
  </w:style>
  <w:style w:type="paragraph" w:styleId="IndexHeading">
    <w:name w:val="index heading"/>
    <w:basedOn w:val="Normal"/>
    <w:next w:val="Index1"/>
    <w:uiPriority w:val="1"/>
    <w:rsid w:val="006319A6"/>
    <w:pPr>
      <w:pBdr>
        <w:bottom w:val="single" w:sz="8" w:space="1" w:color="2BB673"/>
      </w:pBdr>
      <w:spacing w:before="200" w:after="60" w:line="300" w:lineRule="atLeast"/>
    </w:pPr>
    <w:rPr>
      <w:rFonts w:eastAsiaTheme="majorEastAsia" w:cstheme="majorBidi"/>
      <w:b/>
      <w:bCs/>
      <w:color w:val="2BB673"/>
      <w:sz w:val="26"/>
    </w:rPr>
  </w:style>
  <w:style w:type="paragraph" w:styleId="ListBullet2">
    <w:name w:val="List Bullet 2"/>
    <w:basedOn w:val="Normal"/>
    <w:uiPriority w:val="3"/>
    <w:rsid w:val="006319A6"/>
    <w:pPr>
      <w:numPr>
        <w:ilvl w:val="1"/>
        <w:numId w:val="3"/>
      </w:numPr>
    </w:pPr>
  </w:style>
  <w:style w:type="paragraph" w:styleId="ListBullet3">
    <w:name w:val="List Bullet 3"/>
    <w:basedOn w:val="Normal"/>
    <w:uiPriority w:val="3"/>
    <w:rsid w:val="006319A6"/>
    <w:pPr>
      <w:numPr>
        <w:ilvl w:val="2"/>
        <w:numId w:val="3"/>
      </w:numPr>
    </w:pPr>
  </w:style>
  <w:style w:type="paragraph" w:styleId="ListBullet4">
    <w:name w:val="List Bullet 4"/>
    <w:basedOn w:val="Normal"/>
    <w:uiPriority w:val="3"/>
    <w:rsid w:val="006319A6"/>
    <w:pPr>
      <w:numPr>
        <w:ilvl w:val="3"/>
        <w:numId w:val="3"/>
      </w:numPr>
    </w:pPr>
  </w:style>
  <w:style w:type="paragraph" w:styleId="ListContinue">
    <w:name w:val="List Continue"/>
    <w:basedOn w:val="Normal"/>
    <w:uiPriority w:val="4"/>
    <w:rsid w:val="006319A6"/>
    <w:pPr>
      <w:ind w:left="567"/>
    </w:pPr>
  </w:style>
  <w:style w:type="paragraph" w:styleId="ListContinue2">
    <w:name w:val="List Continue 2"/>
    <w:basedOn w:val="Normal"/>
    <w:uiPriority w:val="4"/>
    <w:rsid w:val="006319A6"/>
    <w:pPr>
      <w:ind w:left="1134"/>
    </w:pPr>
  </w:style>
  <w:style w:type="paragraph" w:styleId="ListContinue3">
    <w:name w:val="List Continue 3"/>
    <w:basedOn w:val="Normal"/>
    <w:uiPriority w:val="4"/>
    <w:rsid w:val="006319A6"/>
    <w:pPr>
      <w:ind w:left="1701"/>
    </w:pPr>
  </w:style>
  <w:style w:type="paragraph" w:styleId="ListContinue4">
    <w:name w:val="List Continue 4"/>
    <w:basedOn w:val="Normal"/>
    <w:uiPriority w:val="4"/>
    <w:rsid w:val="006319A6"/>
    <w:pPr>
      <w:ind w:left="2268"/>
    </w:pPr>
  </w:style>
  <w:style w:type="paragraph" w:styleId="ListContinue5">
    <w:name w:val="List Continue 5"/>
    <w:basedOn w:val="Normal"/>
    <w:uiPriority w:val="99"/>
    <w:semiHidden/>
    <w:rsid w:val="006319A6"/>
    <w:pPr>
      <w:spacing w:after="120"/>
      <w:ind w:left="1415"/>
      <w:contextualSpacing/>
    </w:pPr>
  </w:style>
  <w:style w:type="paragraph" w:styleId="ListNumber2">
    <w:name w:val="List Number 2"/>
    <w:basedOn w:val="Normal"/>
    <w:uiPriority w:val="5"/>
    <w:rsid w:val="006319A6"/>
    <w:pPr>
      <w:numPr>
        <w:ilvl w:val="1"/>
        <w:numId w:val="4"/>
      </w:numPr>
    </w:pPr>
  </w:style>
  <w:style w:type="paragraph" w:styleId="ListNumber3">
    <w:name w:val="List Number 3"/>
    <w:basedOn w:val="Normal"/>
    <w:uiPriority w:val="5"/>
    <w:rsid w:val="006319A6"/>
    <w:pPr>
      <w:numPr>
        <w:ilvl w:val="2"/>
        <w:numId w:val="4"/>
      </w:numPr>
    </w:pPr>
  </w:style>
  <w:style w:type="paragraph" w:styleId="NormalWeb">
    <w:name w:val="Normal (Web)"/>
    <w:basedOn w:val="Normal"/>
    <w:uiPriority w:val="99"/>
    <w:semiHidden/>
    <w:rsid w:val="006319A6"/>
    <w:rPr>
      <w:rFonts w:ascii="Times New Roman" w:hAnsi="Times New Roman" w:cs="Times New Roman"/>
      <w:szCs w:val="24"/>
    </w:rPr>
  </w:style>
  <w:style w:type="paragraph" w:styleId="TableofAuthorities">
    <w:name w:val="table of authorities"/>
    <w:basedOn w:val="Normal"/>
    <w:next w:val="BodyText"/>
    <w:uiPriority w:val="9"/>
    <w:rsid w:val="006319A6"/>
    <w:pPr>
      <w:spacing w:after="0"/>
      <w:ind w:left="220" w:hanging="220"/>
    </w:pPr>
  </w:style>
  <w:style w:type="paragraph" w:styleId="TableofFigures">
    <w:name w:val="table of figures"/>
    <w:basedOn w:val="Normal"/>
    <w:next w:val="BodyText"/>
    <w:uiPriority w:val="39"/>
    <w:rsid w:val="006319A6"/>
    <w:pPr>
      <w:tabs>
        <w:tab w:val="right" w:leader="underscore" w:pos="9299"/>
      </w:tabs>
      <w:spacing w:after="0" w:line="300" w:lineRule="atLeast"/>
      <w:ind w:right="425"/>
    </w:pPr>
  </w:style>
  <w:style w:type="paragraph" w:styleId="TOAHeading">
    <w:name w:val="toa heading"/>
    <w:basedOn w:val="Normal"/>
    <w:next w:val="Normal"/>
    <w:uiPriority w:val="9"/>
    <w:rsid w:val="006319A6"/>
    <w:pPr>
      <w:spacing w:before="120"/>
    </w:pPr>
    <w:rPr>
      <w:rFonts w:eastAsiaTheme="majorEastAsia" w:cstheme="majorBidi"/>
      <w:b/>
      <w:bCs/>
      <w:szCs w:val="24"/>
    </w:rPr>
  </w:style>
  <w:style w:type="paragraph" w:customStyle="1" w:styleId="Normalcolour">
    <w:name w:val="Normal colour"/>
    <w:basedOn w:val="Normal"/>
    <w:uiPriority w:val="98"/>
    <w:semiHidden/>
    <w:rsid w:val="006319A6"/>
    <w:rPr>
      <w:color w:val="2BB673"/>
    </w:rPr>
  </w:style>
  <w:style w:type="character" w:styleId="PageNumber">
    <w:name w:val="page number"/>
    <w:basedOn w:val="DefaultParagraphFont"/>
    <w:rsid w:val="006319A6"/>
    <w:rPr>
      <w:b/>
      <w:color w:val="000000"/>
      <w:sz w:val="20"/>
    </w:rPr>
  </w:style>
  <w:style w:type="paragraph" w:customStyle="1" w:styleId="Heading1line">
    <w:name w:val="Heading 1 line"/>
    <w:basedOn w:val="Normal"/>
    <w:next w:val="BodyText"/>
    <w:uiPriority w:val="1"/>
    <w:rsid w:val="006319A6"/>
    <w:pPr>
      <w:pBdr>
        <w:bottom w:val="single" w:sz="4" w:space="1" w:color="696969"/>
      </w:pBdr>
      <w:spacing w:before="1500" w:line="240" w:lineRule="auto"/>
    </w:pPr>
    <w:rPr>
      <w:color w:val="696969"/>
    </w:rPr>
  </w:style>
  <w:style w:type="paragraph" w:customStyle="1" w:styleId="Tableheadingrow1">
    <w:name w:val="Table heading row 1"/>
    <w:basedOn w:val="Normal"/>
    <w:uiPriority w:val="1"/>
    <w:qFormat/>
    <w:rsid w:val="006319A6"/>
    <w:pPr>
      <w:keepNext/>
      <w:spacing w:before="60" w:after="60" w:line="240" w:lineRule="auto"/>
    </w:pPr>
    <w:rPr>
      <w:color w:val="FFFFFF" w:themeColor="background1"/>
    </w:rPr>
  </w:style>
  <w:style w:type="paragraph" w:customStyle="1" w:styleId="Listoutline1-1">
    <w:name w:val="List outline 1 - 1."/>
    <w:basedOn w:val="BodyText"/>
    <w:uiPriority w:val="5"/>
    <w:rsid w:val="006319A6"/>
    <w:pPr>
      <w:numPr>
        <w:numId w:val="5"/>
      </w:numPr>
    </w:pPr>
  </w:style>
  <w:style w:type="paragraph" w:customStyle="1" w:styleId="Listoutline2-11">
    <w:name w:val="List outline 2 - 1.1"/>
    <w:basedOn w:val="Normal"/>
    <w:uiPriority w:val="5"/>
    <w:rsid w:val="006319A6"/>
    <w:pPr>
      <w:numPr>
        <w:ilvl w:val="1"/>
        <w:numId w:val="5"/>
      </w:numPr>
    </w:pPr>
  </w:style>
  <w:style w:type="paragraph" w:customStyle="1" w:styleId="Listoutline3-111">
    <w:name w:val="List outline 3 - 1.1.1"/>
    <w:basedOn w:val="Normal"/>
    <w:uiPriority w:val="5"/>
    <w:rsid w:val="006319A6"/>
    <w:pPr>
      <w:numPr>
        <w:ilvl w:val="2"/>
        <w:numId w:val="5"/>
      </w:numPr>
    </w:pPr>
  </w:style>
  <w:style w:type="character" w:styleId="Hyperlink">
    <w:name w:val="Hyperlink"/>
    <w:basedOn w:val="DefaultParagraphFont"/>
    <w:uiPriority w:val="99"/>
    <w:rsid w:val="006319A6"/>
    <w:rPr>
      <w:color w:val="0D6AB8"/>
      <w:u w:val="single"/>
    </w:rPr>
  </w:style>
  <w:style w:type="character" w:styleId="Emphasis">
    <w:name w:val="Emphasis"/>
    <w:uiPriority w:val="20"/>
    <w:qFormat/>
    <w:rsid w:val="006319A6"/>
    <w:rPr>
      <w:rFonts w:ascii="Calibri" w:hAnsi="Calibri"/>
      <w:b/>
      <w:bCs/>
      <w:iCs/>
      <w:spacing w:val="0"/>
      <w:lang w:val="en-NZ"/>
    </w:rPr>
  </w:style>
  <w:style w:type="paragraph" w:customStyle="1" w:styleId="Listcheckbox">
    <w:name w:val="List check box"/>
    <w:basedOn w:val="BodyText"/>
    <w:uiPriority w:val="3"/>
    <w:rsid w:val="006319A6"/>
  </w:style>
  <w:style w:type="character" w:styleId="EndnoteReference">
    <w:name w:val="endnote reference"/>
    <w:basedOn w:val="DefaultParagraphFont"/>
    <w:uiPriority w:val="7"/>
    <w:rsid w:val="006319A6"/>
    <w:rPr>
      <w:vertAlign w:val="superscript"/>
    </w:rPr>
  </w:style>
  <w:style w:type="paragraph" w:customStyle="1" w:styleId="Boxsmalltext">
    <w:name w:val="Box small text"/>
    <w:basedOn w:val="Normalcolour"/>
    <w:uiPriority w:val="2"/>
    <w:rsid w:val="006319A6"/>
    <w:rPr>
      <w:color w:val="1E1E1E"/>
      <w:sz w:val="22"/>
    </w:rPr>
  </w:style>
  <w:style w:type="paragraph" w:customStyle="1" w:styleId="Boxlargetext">
    <w:name w:val="Box large text"/>
    <w:basedOn w:val="Boxsmalltext"/>
    <w:uiPriority w:val="2"/>
    <w:rsid w:val="006319A6"/>
    <w:rPr>
      <w:sz w:val="28"/>
    </w:rPr>
  </w:style>
  <w:style w:type="paragraph" w:customStyle="1" w:styleId="Listoutline4-a">
    <w:name w:val="List outline 4 - a."/>
    <w:basedOn w:val="Normal"/>
    <w:uiPriority w:val="5"/>
    <w:rsid w:val="006319A6"/>
    <w:pPr>
      <w:numPr>
        <w:ilvl w:val="3"/>
        <w:numId w:val="5"/>
      </w:numPr>
    </w:pPr>
  </w:style>
  <w:style w:type="paragraph" w:customStyle="1" w:styleId="Listoutline5-i">
    <w:name w:val="List outline 5 - i."/>
    <w:basedOn w:val="Normal"/>
    <w:uiPriority w:val="5"/>
    <w:rsid w:val="006319A6"/>
    <w:pPr>
      <w:numPr>
        <w:ilvl w:val="4"/>
        <w:numId w:val="5"/>
      </w:numPr>
    </w:pPr>
  </w:style>
  <w:style w:type="paragraph" w:customStyle="1" w:styleId="Quotationparagraphbefore">
    <w:name w:val="Quotation (paragraph before)"/>
    <w:basedOn w:val="Normal"/>
    <w:next w:val="Quotationseparateparagraph"/>
    <w:uiPriority w:val="6"/>
    <w:rsid w:val="006319A6"/>
    <w:pPr>
      <w:spacing w:after="120" w:line="300" w:lineRule="atLeast"/>
    </w:pPr>
  </w:style>
  <w:style w:type="paragraph" w:customStyle="1" w:styleId="Quotationseparateparagraph">
    <w:name w:val="Quotation (separate paragraph)"/>
    <w:basedOn w:val="Normal"/>
    <w:uiPriority w:val="6"/>
    <w:rsid w:val="006319A6"/>
    <w:pPr>
      <w:spacing w:after="160" w:line="300" w:lineRule="atLeast"/>
      <w:ind w:left="567" w:right="567"/>
    </w:pPr>
    <w:rPr>
      <w:i/>
      <w:color w:val="4D4D4D"/>
    </w:rPr>
  </w:style>
  <w:style w:type="character" w:customStyle="1" w:styleId="Quotationwithinthesentence">
    <w:name w:val="Quotation (within the sentence)"/>
    <w:basedOn w:val="DefaultParagraphFont"/>
    <w:uiPriority w:val="6"/>
    <w:rsid w:val="006319A6"/>
    <w:rPr>
      <w:i/>
    </w:rPr>
  </w:style>
  <w:style w:type="paragraph" w:customStyle="1" w:styleId="Tablebodytext">
    <w:name w:val="Table body text"/>
    <w:basedOn w:val="BodyText"/>
    <w:uiPriority w:val="2"/>
    <w:rsid w:val="006319A6"/>
    <w:pPr>
      <w:spacing w:before="120" w:after="120"/>
    </w:pPr>
    <w:rPr>
      <w:sz w:val="22"/>
    </w:rPr>
  </w:style>
  <w:style w:type="paragraph" w:customStyle="1" w:styleId="Tablebodytextnospaceafter">
    <w:name w:val="Table body text (no space after)"/>
    <w:basedOn w:val="BodyText"/>
    <w:uiPriority w:val="2"/>
    <w:rsid w:val="006319A6"/>
    <w:pPr>
      <w:spacing w:before="40" w:after="40"/>
    </w:pPr>
    <w:rPr>
      <w:sz w:val="22"/>
    </w:rPr>
  </w:style>
  <w:style w:type="table" w:customStyle="1" w:styleId="TableBox">
    <w:name w:val="Table Box"/>
    <w:basedOn w:val="TableNormal"/>
    <w:uiPriority w:val="99"/>
    <w:rsid w:val="006319A6"/>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table" w:customStyle="1" w:styleId="TableGridnoborders">
    <w:name w:val="Table Grid (no borders)"/>
    <w:basedOn w:val="TableNormal"/>
    <w:uiPriority w:val="99"/>
    <w:rsid w:val="006319A6"/>
    <w:pPr>
      <w:spacing w:line="240" w:lineRule="atLeast"/>
    </w:pPr>
    <w:rPr>
      <w:rFonts w:ascii="Calibri" w:hAnsi="Calibri"/>
      <w:sz w:val="24"/>
    </w:rPr>
    <w:tblPr>
      <w:tblInd w:w="113" w:type="dxa"/>
      <w:tblCellMar>
        <w:top w:w="28" w:type="dxa"/>
        <w:bottom w:w="28" w:type="dxa"/>
      </w:tblCellMar>
    </w:tblPr>
    <w:tcPr>
      <w:shd w:val="clear" w:color="auto" w:fill="auto"/>
    </w:tcPr>
  </w:style>
  <w:style w:type="paragraph" w:customStyle="1" w:styleId="Whitespace">
    <w:name w:val="White space"/>
    <w:basedOn w:val="BodyText"/>
    <w:uiPriority w:val="2"/>
    <w:rsid w:val="006319A6"/>
    <w:pPr>
      <w:spacing w:after="0" w:line="240" w:lineRule="auto"/>
    </w:pPr>
    <w:rPr>
      <w:sz w:val="16"/>
    </w:rPr>
  </w:style>
  <w:style w:type="paragraph" w:customStyle="1" w:styleId="Singlespacedparagraph">
    <w:name w:val="Single spaced paragraph"/>
    <w:basedOn w:val="BodyText"/>
    <w:uiPriority w:val="2"/>
    <w:rsid w:val="006319A6"/>
    <w:pPr>
      <w:spacing w:after="0"/>
    </w:pPr>
  </w:style>
  <w:style w:type="paragraph" w:customStyle="1" w:styleId="Headingboxtextinbody">
    <w:name w:val="Heading box text (in body)"/>
    <w:basedOn w:val="Normalcolour"/>
    <w:uiPriority w:val="1"/>
    <w:rsid w:val="006319A6"/>
    <w:pPr>
      <w:spacing w:before="360" w:after="60" w:line="320" w:lineRule="atLeast"/>
    </w:pPr>
    <w:rPr>
      <w:b/>
      <w:sz w:val="28"/>
    </w:rPr>
  </w:style>
  <w:style w:type="paragraph" w:customStyle="1" w:styleId="Headingboxtexttop">
    <w:name w:val="Heading box text (top)"/>
    <w:basedOn w:val="Normalcolour"/>
    <w:uiPriority w:val="1"/>
    <w:rsid w:val="006319A6"/>
    <w:pPr>
      <w:spacing w:after="60" w:line="320" w:lineRule="atLeast"/>
      <w:contextualSpacing/>
    </w:pPr>
    <w:rPr>
      <w:b/>
      <w:sz w:val="28"/>
    </w:rPr>
  </w:style>
  <w:style w:type="character" w:styleId="FollowedHyperlink">
    <w:name w:val="FollowedHyperlink"/>
    <w:basedOn w:val="DefaultParagraphFont"/>
    <w:uiPriority w:val="2"/>
    <w:rsid w:val="006319A6"/>
    <w:rPr>
      <w:color w:val="3C98E7"/>
      <w:u w:val="single"/>
    </w:rPr>
  </w:style>
  <w:style w:type="paragraph" w:customStyle="1" w:styleId="Heading1-Sub">
    <w:name w:val="Heading 1 - Sub"/>
    <w:basedOn w:val="Normal"/>
    <w:uiPriority w:val="1"/>
    <w:semiHidden/>
    <w:rsid w:val="006319A6"/>
    <w:pPr>
      <w:tabs>
        <w:tab w:val="left" w:pos="2268"/>
      </w:tabs>
      <w:spacing w:after="0"/>
      <w:ind w:left="2268" w:hanging="2268"/>
    </w:pPr>
    <w:rPr>
      <w:b/>
    </w:rPr>
  </w:style>
  <w:style w:type="character" w:customStyle="1" w:styleId="Heading1-Subnonboldtext">
    <w:name w:val="Heading 1 - Sub (non bold text)"/>
    <w:basedOn w:val="DefaultParagraphFont"/>
    <w:uiPriority w:val="1"/>
    <w:semiHidden/>
    <w:rsid w:val="006319A6"/>
    <w:rPr>
      <w:b/>
    </w:rPr>
  </w:style>
  <w:style w:type="paragraph" w:customStyle="1" w:styleId="Heading2-Start">
    <w:name w:val="Heading 2 - Start"/>
    <w:basedOn w:val="Heading2"/>
    <w:next w:val="BodyText"/>
    <w:uiPriority w:val="1"/>
    <w:semiHidden/>
    <w:qFormat/>
    <w:rsid w:val="006319A6"/>
    <w:pPr>
      <w:spacing w:before="200"/>
    </w:pPr>
  </w:style>
  <w:style w:type="paragraph" w:customStyle="1" w:styleId="HeadingAppendix">
    <w:name w:val="Heading Appendix"/>
    <w:basedOn w:val="Normalcolour"/>
    <w:next w:val="Heading1line"/>
    <w:uiPriority w:val="1"/>
    <w:rsid w:val="006319A6"/>
    <w:pPr>
      <w:keepNext/>
      <w:pageBreakBefore/>
      <w:numPr>
        <w:numId w:val="1"/>
      </w:numPr>
      <w:spacing w:line="560" w:lineRule="atLeast"/>
      <w:ind w:right="284"/>
      <w:outlineLvl w:val="0"/>
    </w:pPr>
    <w:rPr>
      <w:sz w:val="48"/>
    </w:rPr>
  </w:style>
  <w:style w:type="paragraph" w:customStyle="1" w:styleId="DL-addresslines">
    <w:name w:val="DL - address lines"/>
    <w:basedOn w:val="Singlespacedparagraph"/>
    <w:uiPriority w:val="12"/>
    <w:semiHidden/>
    <w:qFormat/>
    <w:rsid w:val="006319A6"/>
  </w:style>
  <w:style w:type="paragraph" w:customStyle="1" w:styleId="DL-closing">
    <w:name w:val="DL - closing"/>
    <w:basedOn w:val="Singlespacedparagraph"/>
    <w:uiPriority w:val="12"/>
    <w:semiHidden/>
    <w:qFormat/>
    <w:rsid w:val="006319A6"/>
    <w:pPr>
      <w:spacing w:before="600"/>
    </w:pPr>
  </w:style>
  <w:style w:type="paragraph" w:customStyle="1" w:styleId="DL-closingname">
    <w:name w:val="DL - closing name"/>
    <w:basedOn w:val="Singlespacedparagraph"/>
    <w:uiPriority w:val="12"/>
    <w:semiHidden/>
    <w:qFormat/>
    <w:rsid w:val="006319A6"/>
  </w:style>
  <w:style w:type="paragraph" w:customStyle="1" w:styleId="DL-closingposition">
    <w:name w:val="DL - closing position"/>
    <w:basedOn w:val="Singlespacedparagraph"/>
    <w:uiPriority w:val="12"/>
    <w:semiHidden/>
    <w:qFormat/>
    <w:rsid w:val="006319A6"/>
    <w:pPr>
      <w:spacing w:after="240"/>
    </w:pPr>
  </w:style>
  <w:style w:type="paragraph" w:customStyle="1" w:styleId="DL-date">
    <w:name w:val="DL - date"/>
    <w:basedOn w:val="Singlespacedparagraph"/>
    <w:next w:val="DL-addresslines"/>
    <w:uiPriority w:val="12"/>
    <w:semiHidden/>
    <w:qFormat/>
    <w:rsid w:val="006319A6"/>
    <w:pPr>
      <w:spacing w:before="300" w:after="600"/>
    </w:pPr>
  </w:style>
  <w:style w:type="paragraph" w:customStyle="1" w:styleId="DL-enclosure">
    <w:name w:val="DL - enclosure"/>
    <w:basedOn w:val="Singlespacedparagraph"/>
    <w:uiPriority w:val="12"/>
    <w:qFormat/>
    <w:rsid w:val="006319A6"/>
    <w:pPr>
      <w:tabs>
        <w:tab w:val="left" w:pos="709"/>
      </w:tabs>
    </w:pPr>
  </w:style>
  <w:style w:type="paragraph" w:customStyle="1" w:styleId="DL-freephonetextline">
    <w:name w:val="DL - freephone text line"/>
    <w:basedOn w:val="Singlespacedparagraph"/>
    <w:uiPriority w:val="12"/>
    <w:semiHidden/>
    <w:rsid w:val="006319A6"/>
    <w:pPr>
      <w:spacing w:before="340" w:after="600"/>
      <w:jc w:val="right"/>
    </w:pPr>
    <w:rPr>
      <w:sz w:val="17"/>
    </w:rPr>
  </w:style>
  <w:style w:type="paragraph" w:customStyle="1" w:styleId="DL-ourref">
    <w:name w:val="DL - our ref"/>
    <w:basedOn w:val="Singlespacedparagraph"/>
    <w:next w:val="DL-date"/>
    <w:uiPriority w:val="12"/>
    <w:semiHidden/>
    <w:qFormat/>
    <w:rsid w:val="006319A6"/>
    <w:pPr>
      <w:spacing w:after="300"/>
    </w:pPr>
  </w:style>
  <w:style w:type="paragraph" w:customStyle="1" w:styleId="DL-salutation">
    <w:name w:val="DL - salutation"/>
    <w:basedOn w:val="Singlespacedparagraph"/>
    <w:next w:val="Heading1"/>
    <w:uiPriority w:val="12"/>
    <w:semiHidden/>
    <w:qFormat/>
    <w:rsid w:val="006319A6"/>
    <w:pPr>
      <w:spacing w:before="600"/>
    </w:pPr>
  </w:style>
  <w:style w:type="paragraph" w:customStyle="1" w:styleId="Footerline">
    <w:name w:val="Footer line"/>
    <w:basedOn w:val="Footer"/>
    <w:next w:val="Footer"/>
    <w:uiPriority w:val="10"/>
    <w:rsid w:val="006319A6"/>
    <w:pPr>
      <w:pBdr>
        <w:top w:val="single" w:sz="4" w:space="5" w:color="696969"/>
      </w:pBdr>
      <w:ind w:left="23" w:right="23"/>
    </w:pPr>
    <w:rPr>
      <w:sz w:val="2"/>
    </w:rPr>
  </w:style>
  <w:style w:type="paragraph" w:customStyle="1" w:styleId="Headerline">
    <w:name w:val="Header line"/>
    <w:basedOn w:val="Header"/>
    <w:rsid w:val="006319A6"/>
    <w:pPr>
      <w:pBdr>
        <w:bottom w:val="single" w:sz="4" w:space="5" w:color="696969"/>
      </w:pBdr>
      <w:ind w:left="23" w:right="23"/>
    </w:pPr>
    <w:rPr>
      <w:sz w:val="2"/>
    </w:rPr>
  </w:style>
  <w:style w:type="paragraph" w:customStyle="1" w:styleId="Tableoffiguresheading">
    <w:name w:val="Table of figures heading"/>
    <w:basedOn w:val="Heading4"/>
    <w:uiPriority w:val="1"/>
    <w:rsid w:val="006319A6"/>
  </w:style>
  <w:style w:type="paragraph" w:customStyle="1" w:styleId="Legindent1">
    <w:name w:val="Leg indent 1"/>
    <w:basedOn w:val="Normal"/>
    <w:uiPriority w:val="9"/>
    <w:semiHidden/>
    <w:rsid w:val="006319A6"/>
    <w:pPr>
      <w:spacing w:after="160" w:line="300" w:lineRule="atLeast"/>
      <w:ind w:left="851"/>
    </w:pPr>
  </w:style>
  <w:style w:type="paragraph" w:customStyle="1" w:styleId="Legindent2">
    <w:name w:val="Leg indent 2"/>
    <w:basedOn w:val="Normal"/>
    <w:uiPriority w:val="9"/>
    <w:semiHidden/>
    <w:rsid w:val="006319A6"/>
    <w:pPr>
      <w:spacing w:after="160" w:line="300" w:lineRule="atLeast"/>
      <w:ind w:left="1559"/>
    </w:pPr>
  </w:style>
  <w:style w:type="paragraph" w:customStyle="1" w:styleId="Legindent3">
    <w:name w:val="Leg indent 3"/>
    <w:basedOn w:val="Normal"/>
    <w:uiPriority w:val="9"/>
    <w:semiHidden/>
    <w:rsid w:val="006319A6"/>
    <w:pPr>
      <w:spacing w:after="160" w:line="300" w:lineRule="atLeast"/>
      <w:ind w:left="2268"/>
    </w:pPr>
  </w:style>
  <w:style w:type="paragraph" w:customStyle="1" w:styleId="Legstyle-1">
    <w:name w:val="Leg style - (1)"/>
    <w:basedOn w:val="Normal"/>
    <w:uiPriority w:val="9"/>
    <w:semiHidden/>
    <w:rsid w:val="006319A6"/>
    <w:pPr>
      <w:tabs>
        <w:tab w:val="left" w:pos="851"/>
      </w:tabs>
      <w:spacing w:after="160" w:line="300" w:lineRule="atLeast"/>
      <w:ind w:left="851" w:hanging="851"/>
    </w:pPr>
  </w:style>
  <w:style w:type="paragraph" w:customStyle="1" w:styleId="Legstyle-a">
    <w:name w:val="Leg style - (a)"/>
    <w:basedOn w:val="Normal"/>
    <w:uiPriority w:val="9"/>
    <w:semiHidden/>
    <w:rsid w:val="006319A6"/>
    <w:pPr>
      <w:tabs>
        <w:tab w:val="left" w:pos="1559"/>
      </w:tabs>
      <w:spacing w:after="160" w:line="300" w:lineRule="atLeast"/>
      <w:ind w:left="1560" w:hanging="709"/>
    </w:pPr>
  </w:style>
  <w:style w:type="paragraph" w:customStyle="1" w:styleId="Legstyle-i">
    <w:name w:val="Leg style - (i)"/>
    <w:basedOn w:val="Normal"/>
    <w:uiPriority w:val="9"/>
    <w:semiHidden/>
    <w:rsid w:val="006319A6"/>
    <w:pPr>
      <w:tabs>
        <w:tab w:val="left" w:pos="2268"/>
      </w:tabs>
      <w:spacing w:after="160" w:line="300" w:lineRule="atLeast"/>
      <w:ind w:left="2268" w:hanging="709"/>
    </w:pPr>
  </w:style>
  <w:style w:type="paragraph" w:customStyle="1" w:styleId="Legstyle-10">
    <w:name w:val="Leg style - 1"/>
    <w:basedOn w:val="Normal"/>
    <w:uiPriority w:val="9"/>
    <w:semiHidden/>
    <w:rsid w:val="006319A6"/>
    <w:pPr>
      <w:tabs>
        <w:tab w:val="left" w:pos="851"/>
      </w:tabs>
      <w:spacing w:after="160" w:line="300" w:lineRule="atLeast"/>
      <w:ind w:left="851" w:hanging="851"/>
    </w:pPr>
    <w:rPr>
      <w:b/>
    </w:rPr>
  </w:style>
  <w:style w:type="paragraph" w:customStyle="1" w:styleId="QLegindent1">
    <w:name w:val="QLeg indent 1"/>
    <w:basedOn w:val="Normal"/>
    <w:uiPriority w:val="2"/>
    <w:semiHidden/>
    <w:rsid w:val="006319A6"/>
    <w:pPr>
      <w:spacing w:after="160" w:line="300" w:lineRule="atLeast"/>
      <w:ind w:left="1985" w:right="567"/>
    </w:pPr>
    <w:rPr>
      <w:i/>
      <w:color w:val="4D4D4D"/>
    </w:rPr>
  </w:style>
  <w:style w:type="paragraph" w:customStyle="1" w:styleId="QLegindent2">
    <w:name w:val="QLeg indent 2"/>
    <w:basedOn w:val="Normal"/>
    <w:uiPriority w:val="2"/>
    <w:semiHidden/>
    <w:rsid w:val="006319A6"/>
    <w:pPr>
      <w:spacing w:after="160" w:line="300" w:lineRule="atLeast"/>
      <w:ind w:left="2693" w:right="567"/>
    </w:pPr>
    <w:rPr>
      <w:i/>
      <w:color w:val="4D4D4D"/>
    </w:rPr>
  </w:style>
  <w:style w:type="paragraph" w:customStyle="1" w:styleId="QLegindent3">
    <w:name w:val="QLeg indent 3"/>
    <w:basedOn w:val="Normal"/>
    <w:uiPriority w:val="2"/>
    <w:semiHidden/>
    <w:rsid w:val="006319A6"/>
    <w:pPr>
      <w:spacing w:after="160" w:line="300" w:lineRule="atLeast"/>
      <w:ind w:left="3402" w:right="567"/>
    </w:pPr>
    <w:rPr>
      <w:i/>
      <w:color w:val="4D4D4D"/>
    </w:rPr>
  </w:style>
  <w:style w:type="paragraph" w:customStyle="1" w:styleId="QLegstyle-1">
    <w:name w:val="QLeg style - (1)"/>
    <w:basedOn w:val="Normal"/>
    <w:uiPriority w:val="2"/>
    <w:semiHidden/>
    <w:rsid w:val="006319A6"/>
    <w:pPr>
      <w:tabs>
        <w:tab w:val="left" w:pos="1985"/>
      </w:tabs>
      <w:spacing w:after="160" w:line="300" w:lineRule="atLeast"/>
      <w:ind w:left="1985" w:right="567" w:hanging="851"/>
    </w:pPr>
    <w:rPr>
      <w:i/>
      <w:color w:val="4D4D4D"/>
    </w:rPr>
  </w:style>
  <w:style w:type="paragraph" w:customStyle="1" w:styleId="QLegstyle-a">
    <w:name w:val="QLeg style - (a)"/>
    <w:basedOn w:val="Normal"/>
    <w:uiPriority w:val="2"/>
    <w:semiHidden/>
    <w:rsid w:val="006319A6"/>
    <w:pPr>
      <w:tabs>
        <w:tab w:val="left" w:pos="2693"/>
      </w:tabs>
      <w:spacing w:after="160" w:line="300" w:lineRule="atLeast"/>
      <w:ind w:left="2694" w:right="567" w:hanging="709"/>
    </w:pPr>
    <w:rPr>
      <w:i/>
      <w:color w:val="4D4D4D"/>
    </w:rPr>
  </w:style>
  <w:style w:type="paragraph" w:customStyle="1" w:styleId="QLegstyle-i">
    <w:name w:val="QLeg style - (i)"/>
    <w:basedOn w:val="Normal"/>
    <w:uiPriority w:val="2"/>
    <w:semiHidden/>
    <w:rsid w:val="006319A6"/>
    <w:pPr>
      <w:tabs>
        <w:tab w:val="left" w:pos="3402"/>
      </w:tabs>
      <w:spacing w:after="160" w:line="300" w:lineRule="atLeast"/>
      <w:ind w:left="3402" w:right="567" w:hanging="709"/>
    </w:pPr>
    <w:rPr>
      <w:i/>
      <w:color w:val="4D4D4D"/>
    </w:rPr>
  </w:style>
  <w:style w:type="paragraph" w:customStyle="1" w:styleId="QLegstyle-10">
    <w:name w:val="QLeg style - 1"/>
    <w:basedOn w:val="Normal"/>
    <w:uiPriority w:val="2"/>
    <w:semiHidden/>
    <w:rsid w:val="006319A6"/>
    <w:pPr>
      <w:tabs>
        <w:tab w:val="left" w:pos="1985"/>
      </w:tabs>
      <w:spacing w:after="160" w:line="300" w:lineRule="atLeast"/>
      <w:ind w:left="1985" w:right="567" w:hanging="851"/>
    </w:pPr>
    <w:rPr>
      <w:b/>
      <w:i/>
      <w:color w:val="4D4D4D"/>
    </w:rPr>
  </w:style>
  <w:style w:type="paragraph" w:customStyle="1" w:styleId="Heading1-Start">
    <w:name w:val="Heading 1 - Start"/>
    <w:basedOn w:val="Heading1"/>
    <w:next w:val="BodyText"/>
    <w:uiPriority w:val="1"/>
    <w:rsid w:val="006319A6"/>
  </w:style>
  <w:style w:type="paragraph" w:customStyle="1" w:styleId="Guidelines">
    <w:name w:val="Guidelines"/>
    <w:basedOn w:val="Normal"/>
    <w:next w:val="BodyText"/>
    <w:uiPriority w:val="2"/>
    <w:rsid w:val="006319A6"/>
    <w:pPr>
      <w:spacing w:after="160" w:line="300" w:lineRule="atLeast"/>
    </w:pPr>
    <w:rPr>
      <w:color w:val="00B050"/>
    </w:rPr>
  </w:style>
  <w:style w:type="paragraph" w:customStyle="1" w:styleId="TOCChaptercontents">
    <w:name w:val="TOC Chapter contents"/>
    <w:basedOn w:val="BodyText"/>
    <w:uiPriority w:val="1"/>
    <w:rsid w:val="006319A6"/>
    <w:pPr>
      <w:pBdr>
        <w:top w:val="single" w:sz="2" w:space="3" w:color="696969"/>
      </w:pBdr>
      <w:tabs>
        <w:tab w:val="right" w:pos="9299"/>
      </w:tabs>
      <w:spacing w:after="0"/>
    </w:pPr>
    <w:rPr>
      <w:sz w:val="25"/>
    </w:rPr>
  </w:style>
  <w:style w:type="table" w:customStyle="1" w:styleId="TableGridAnnualReport">
    <w:name w:val="Table Grid (Annual Report)"/>
    <w:basedOn w:val="TableNormal"/>
    <w:uiPriority w:val="99"/>
    <w:rsid w:val="0007735F"/>
    <w:pPr>
      <w:spacing w:after="0" w:line="240" w:lineRule="auto"/>
    </w:pPr>
    <w:tblPr>
      <w:tblStyleRowBandSize w:val="1"/>
      <w:tblStyleColBandSize w:val="1"/>
    </w:tblPr>
    <w:tblStylePr w:type="firstRow">
      <w:rPr>
        <w:sz w:val="22"/>
      </w:rPr>
      <w:tblPr/>
      <w:trPr>
        <w:tblHeader/>
      </w:tr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paragraph" w:customStyle="1" w:styleId="TOCContents">
    <w:name w:val="TOC Contents"/>
    <w:basedOn w:val="BodyText"/>
    <w:next w:val="BodyText"/>
    <w:uiPriority w:val="1"/>
    <w:rsid w:val="006319A6"/>
    <w:pPr>
      <w:pBdr>
        <w:bottom w:val="single" w:sz="2" w:space="6" w:color="2BB673"/>
      </w:pBdr>
      <w:tabs>
        <w:tab w:val="right" w:pos="9299"/>
      </w:tabs>
      <w:spacing w:after="360"/>
    </w:pPr>
    <w:rPr>
      <w:color w:val="2BB673"/>
      <w:sz w:val="36"/>
    </w:rPr>
  </w:style>
  <w:style w:type="paragraph" w:customStyle="1" w:styleId="HeadingPart">
    <w:name w:val="Heading Part"/>
    <w:basedOn w:val="BodyText"/>
    <w:uiPriority w:val="1"/>
    <w:rsid w:val="006319A6"/>
    <w:pPr>
      <w:pBdr>
        <w:top w:val="single" w:sz="2" w:space="6" w:color="696969"/>
      </w:pBdr>
      <w:spacing w:line="540" w:lineRule="atLeast"/>
    </w:pPr>
    <w:rPr>
      <w:sz w:val="48"/>
    </w:rPr>
  </w:style>
  <w:style w:type="paragraph" w:customStyle="1" w:styleId="QIndent1">
    <w:name w:val="QIndent 1"/>
    <w:basedOn w:val="Normal"/>
    <w:uiPriority w:val="6"/>
    <w:rsid w:val="006319A6"/>
    <w:pPr>
      <w:spacing w:after="160" w:line="300" w:lineRule="atLeast"/>
      <w:ind w:left="1134" w:right="567"/>
    </w:pPr>
    <w:rPr>
      <w:i/>
      <w:color w:val="4D4D4D"/>
    </w:rPr>
  </w:style>
  <w:style w:type="paragraph" w:customStyle="1" w:styleId="QIndent2">
    <w:name w:val="QIndent 2"/>
    <w:basedOn w:val="Normal"/>
    <w:uiPriority w:val="6"/>
    <w:rsid w:val="006319A6"/>
    <w:pPr>
      <w:spacing w:after="160" w:line="300" w:lineRule="atLeast"/>
      <w:ind w:left="1701" w:right="567"/>
    </w:pPr>
    <w:rPr>
      <w:i/>
      <w:color w:val="4D4D4D"/>
    </w:rPr>
  </w:style>
  <w:style w:type="paragraph" w:customStyle="1" w:styleId="QIndent3">
    <w:name w:val="QIndent 3"/>
    <w:basedOn w:val="Normal"/>
    <w:uiPriority w:val="6"/>
    <w:rsid w:val="006319A6"/>
    <w:pPr>
      <w:spacing w:after="160" w:line="300" w:lineRule="atLeast"/>
      <w:ind w:left="2268" w:right="567"/>
    </w:pPr>
    <w:rPr>
      <w:i/>
      <w:color w:val="4D4D4D"/>
    </w:rPr>
  </w:style>
  <w:style w:type="paragraph" w:customStyle="1" w:styleId="QListalpha">
    <w:name w:val="QList alpha"/>
    <w:basedOn w:val="Normal"/>
    <w:uiPriority w:val="6"/>
    <w:rsid w:val="006319A6"/>
    <w:pPr>
      <w:numPr>
        <w:numId w:val="21"/>
      </w:numPr>
      <w:spacing w:after="160" w:line="300" w:lineRule="atLeast"/>
      <w:ind w:right="567"/>
    </w:pPr>
    <w:rPr>
      <w:i/>
      <w:color w:val="4D4D4D"/>
    </w:rPr>
  </w:style>
  <w:style w:type="paragraph" w:customStyle="1" w:styleId="QListbullet">
    <w:name w:val="QList bullet"/>
    <w:basedOn w:val="Normal"/>
    <w:uiPriority w:val="6"/>
    <w:rsid w:val="006319A6"/>
    <w:pPr>
      <w:numPr>
        <w:numId w:val="22"/>
      </w:numPr>
      <w:spacing w:after="160" w:line="300" w:lineRule="atLeast"/>
      <w:ind w:right="567"/>
    </w:pPr>
    <w:rPr>
      <w:i/>
      <w:color w:val="4D4D4D"/>
    </w:rPr>
  </w:style>
  <w:style w:type="paragraph" w:customStyle="1" w:styleId="QListnumber">
    <w:name w:val="QList number"/>
    <w:basedOn w:val="Normal"/>
    <w:uiPriority w:val="6"/>
    <w:rsid w:val="006319A6"/>
    <w:pPr>
      <w:numPr>
        <w:numId w:val="23"/>
      </w:numPr>
      <w:spacing w:after="160" w:line="300" w:lineRule="atLeast"/>
      <w:ind w:right="567"/>
    </w:pPr>
    <w:rPr>
      <w:i/>
      <w:color w:val="4D4D4D"/>
    </w:rPr>
  </w:style>
  <w:style w:type="paragraph" w:customStyle="1" w:styleId="QListroman">
    <w:name w:val="QList roman"/>
    <w:basedOn w:val="Normal"/>
    <w:uiPriority w:val="6"/>
    <w:rsid w:val="006319A6"/>
    <w:pPr>
      <w:numPr>
        <w:numId w:val="24"/>
      </w:numPr>
      <w:spacing w:after="160" w:line="300" w:lineRule="atLeast"/>
      <w:ind w:right="567"/>
    </w:pPr>
    <w:rPr>
      <w:rFonts w:eastAsia="Times New Roman" w:cs="Times New Roman"/>
      <w:i/>
      <w:color w:val="4D4D4D"/>
      <w:szCs w:val="20"/>
    </w:rPr>
  </w:style>
  <w:style w:type="paragraph" w:customStyle="1" w:styleId="Bullet1">
    <w:name w:val="Bullet 1"/>
    <w:basedOn w:val="Normal"/>
    <w:link w:val="Bullet1Char"/>
    <w:uiPriority w:val="2"/>
    <w:rsid w:val="006319A6"/>
    <w:pPr>
      <w:numPr>
        <w:numId w:val="11"/>
      </w:numPr>
      <w:spacing w:after="160" w:line="300" w:lineRule="atLeast"/>
    </w:pPr>
  </w:style>
  <w:style w:type="paragraph" w:customStyle="1" w:styleId="Bullet2">
    <w:name w:val="Bullet 2"/>
    <w:basedOn w:val="Normal"/>
    <w:uiPriority w:val="2"/>
    <w:rsid w:val="006319A6"/>
    <w:pPr>
      <w:numPr>
        <w:ilvl w:val="1"/>
        <w:numId w:val="11"/>
      </w:numPr>
      <w:spacing w:after="160" w:line="300" w:lineRule="atLeast"/>
    </w:pPr>
  </w:style>
  <w:style w:type="paragraph" w:customStyle="1" w:styleId="Bullet3">
    <w:name w:val="Bullet 3"/>
    <w:basedOn w:val="Normal"/>
    <w:uiPriority w:val="2"/>
    <w:rsid w:val="006319A6"/>
    <w:pPr>
      <w:numPr>
        <w:ilvl w:val="2"/>
        <w:numId w:val="11"/>
      </w:numPr>
      <w:spacing w:after="160" w:line="300" w:lineRule="atLeast"/>
    </w:pPr>
  </w:style>
  <w:style w:type="paragraph" w:customStyle="1" w:styleId="Bullet4">
    <w:name w:val="Bullet 4"/>
    <w:basedOn w:val="Normal"/>
    <w:uiPriority w:val="2"/>
    <w:rsid w:val="006319A6"/>
    <w:pPr>
      <w:numPr>
        <w:ilvl w:val="3"/>
        <w:numId w:val="11"/>
      </w:numPr>
      <w:spacing w:after="160" w:line="300" w:lineRule="atLeast"/>
    </w:pPr>
  </w:style>
  <w:style w:type="paragraph" w:customStyle="1" w:styleId="Indent1">
    <w:name w:val="Indent 1"/>
    <w:basedOn w:val="Normal"/>
    <w:uiPriority w:val="4"/>
    <w:rsid w:val="006319A6"/>
    <w:pPr>
      <w:ind w:left="567"/>
    </w:pPr>
  </w:style>
  <w:style w:type="paragraph" w:customStyle="1" w:styleId="Indent2">
    <w:name w:val="Indent 2"/>
    <w:basedOn w:val="Normal"/>
    <w:uiPriority w:val="4"/>
    <w:rsid w:val="006319A6"/>
    <w:pPr>
      <w:ind w:left="1134"/>
    </w:pPr>
  </w:style>
  <w:style w:type="paragraph" w:customStyle="1" w:styleId="Indent3">
    <w:name w:val="Indent 3"/>
    <w:basedOn w:val="Normal"/>
    <w:uiPriority w:val="4"/>
    <w:rsid w:val="006319A6"/>
    <w:pPr>
      <w:ind w:left="1701"/>
    </w:pPr>
  </w:style>
  <w:style w:type="paragraph" w:customStyle="1" w:styleId="Indent4">
    <w:name w:val="Indent 4"/>
    <w:basedOn w:val="Normal"/>
    <w:uiPriority w:val="4"/>
    <w:rsid w:val="006319A6"/>
    <w:pPr>
      <w:ind w:left="2268"/>
    </w:pPr>
  </w:style>
  <w:style w:type="paragraph" w:customStyle="1" w:styleId="Number-1">
    <w:name w:val="Number - 1."/>
    <w:basedOn w:val="BodyText"/>
    <w:uiPriority w:val="5"/>
    <w:rsid w:val="006319A6"/>
    <w:pPr>
      <w:numPr>
        <w:numId w:val="15"/>
      </w:numPr>
      <w:spacing w:after="160" w:line="300" w:lineRule="atLeast"/>
    </w:pPr>
  </w:style>
  <w:style w:type="paragraph" w:customStyle="1" w:styleId="Number-11">
    <w:name w:val="Number - 1.1"/>
    <w:basedOn w:val="Normal"/>
    <w:uiPriority w:val="5"/>
    <w:rsid w:val="006319A6"/>
    <w:pPr>
      <w:numPr>
        <w:ilvl w:val="1"/>
        <w:numId w:val="15"/>
      </w:numPr>
      <w:spacing w:after="160" w:line="300" w:lineRule="atLeast"/>
    </w:pPr>
  </w:style>
  <w:style w:type="paragraph" w:customStyle="1" w:styleId="Number-111">
    <w:name w:val="Number - 1.1.1"/>
    <w:basedOn w:val="Normal"/>
    <w:uiPriority w:val="5"/>
    <w:rsid w:val="006319A6"/>
    <w:pPr>
      <w:numPr>
        <w:ilvl w:val="2"/>
        <w:numId w:val="15"/>
      </w:numPr>
      <w:spacing w:after="160" w:line="300" w:lineRule="atLeast"/>
    </w:pPr>
  </w:style>
  <w:style w:type="paragraph" w:customStyle="1" w:styleId="Number-a">
    <w:name w:val="Number - a."/>
    <w:basedOn w:val="Normal"/>
    <w:uiPriority w:val="5"/>
    <w:rsid w:val="006319A6"/>
    <w:pPr>
      <w:numPr>
        <w:numId w:val="16"/>
      </w:numPr>
      <w:spacing w:after="160" w:line="300" w:lineRule="atLeast"/>
    </w:pPr>
  </w:style>
  <w:style w:type="paragraph" w:customStyle="1" w:styleId="Number-i">
    <w:name w:val="Number - i."/>
    <w:basedOn w:val="Normal"/>
    <w:uiPriority w:val="5"/>
    <w:rsid w:val="006319A6"/>
    <w:pPr>
      <w:numPr>
        <w:ilvl w:val="1"/>
        <w:numId w:val="16"/>
      </w:numPr>
      <w:spacing w:after="160" w:line="300" w:lineRule="atLeast"/>
    </w:pPr>
  </w:style>
  <w:style w:type="paragraph" w:customStyle="1" w:styleId="Number1">
    <w:name w:val="Number 1"/>
    <w:basedOn w:val="Normal"/>
    <w:uiPriority w:val="5"/>
    <w:rsid w:val="006319A6"/>
    <w:pPr>
      <w:numPr>
        <w:numId w:val="17"/>
      </w:numPr>
      <w:spacing w:after="160" w:line="300" w:lineRule="atLeast"/>
    </w:pPr>
  </w:style>
  <w:style w:type="paragraph" w:customStyle="1" w:styleId="Number2">
    <w:name w:val="Number 2"/>
    <w:basedOn w:val="Normal"/>
    <w:uiPriority w:val="5"/>
    <w:rsid w:val="006319A6"/>
    <w:pPr>
      <w:numPr>
        <w:ilvl w:val="1"/>
        <w:numId w:val="17"/>
      </w:numPr>
      <w:spacing w:after="160" w:line="300" w:lineRule="atLeast"/>
    </w:pPr>
  </w:style>
  <w:style w:type="paragraph" w:customStyle="1" w:styleId="Number3">
    <w:name w:val="Number 3"/>
    <w:basedOn w:val="Normal"/>
    <w:uiPriority w:val="5"/>
    <w:rsid w:val="006319A6"/>
    <w:pPr>
      <w:numPr>
        <w:ilvl w:val="2"/>
        <w:numId w:val="17"/>
      </w:numPr>
      <w:spacing w:after="160" w:line="300" w:lineRule="atLeast"/>
    </w:pPr>
  </w:style>
  <w:style w:type="paragraph" w:customStyle="1" w:styleId="TableBullet1">
    <w:name w:val="Table Bullet 1"/>
    <w:basedOn w:val="Normal"/>
    <w:uiPriority w:val="2"/>
    <w:rsid w:val="006319A6"/>
    <w:pPr>
      <w:numPr>
        <w:numId w:val="18"/>
      </w:numPr>
      <w:spacing w:before="120" w:after="120" w:line="300" w:lineRule="atLeast"/>
    </w:pPr>
    <w:rPr>
      <w:sz w:val="22"/>
    </w:rPr>
  </w:style>
  <w:style w:type="paragraph" w:customStyle="1" w:styleId="TableBullet2">
    <w:name w:val="Table Bullet 2"/>
    <w:basedOn w:val="Normal"/>
    <w:uiPriority w:val="2"/>
    <w:rsid w:val="006319A6"/>
    <w:pPr>
      <w:numPr>
        <w:ilvl w:val="1"/>
        <w:numId w:val="18"/>
      </w:numPr>
      <w:spacing w:before="120" w:after="120" w:line="300" w:lineRule="atLeast"/>
    </w:pPr>
    <w:rPr>
      <w:sz w:val="22"/>
    </w:rPr>
  </w:style>
  <w:style w:type="paragraph" w:customStyle="1" w:styleId="TableBullet3">
    <w:name w:val="Table Bullet 3"/>
    <w:basedOn w:val="Normal"/>
    <w:uiPriority w:val="2"/>
    <w:rsid w:val="006319A6"/>
    <w:pPr>
      <w:numPr>
        <w:ilvl w:val="2"/>
        <w:numId w:val="18"/>
      </w:numPr>
      <w:spacing w:before="120" w:after="120" w:line="300" w:lineRule="atLeast"/>
    </w:pPr>
    <w:rPr>
      <w:sz w:val="22"/>
    </w:rPr>
  </w:style>
  <w:style w:type="paragraph" w:customStyle="1" w:styleId="Tableheading">
    <w:name w:val="Table heading"/>
    <w:basedOn w:val="Tablebodytext"/>
    <w:next w:val="Tablebodytext"/>
    <w:uiPriority w:val="2"/>
    <w:rsid w:val="006319A6"/>
    <w:pPr>
      <w:keepNext/>
      <w:spacing w:after="60"/>
    </w:pPr>
    <w:rPr>
      <w:b/>
    </w:rPr>
  </w:style>
  <w:style w:type="paragraph" w:customStyle="1" w:styleId="TableIndent1">
    <w:name w:val="Table Indent 1"/>
    <w:basedOn w:val="Tablebodytext"/>
    <w:uiPriority w:val="2"/>
    <w:rsid w:val="006319A6"/>
    <w:pPr>
      <w:ind w:left="357"/>
    </w:pPr>
  </w:style>
  <w:style w:type="paragraph" w:customStyle="1" w:styleId="TableIndent2">
    <w:name w:val="Table Indent 2"/>
    <w:basedOn w:val="Tablebodytext"/>
    <w:uiPriority w:val="2"/>
    <w:rsid w:val="006319A6"/>
    <w:pPr>
      <w:ind w:left="714"/>
    </w:pPr>
  </w:style>
  <w:style w:type="paragraph" w:customStyle="1" w:styleId="TableIndent3">
    <w:name w:val="Table Indent 3"/>
    <w:basedOn w:val="Tablebodytext"/>
    <w:uiPriority w:val="2"/>
    <w:rsid w:val="006319A6"/>
    <w:pPr>
      <w:ind w:left="1072"/>
    </w:pPr>
  </w:style>
  <w:style w:type="paragraph" w:customStyle="1" w:styleId="TableNumber1">
    <w:name w:val="Table Number 1."/>
    <w:basedOn w:val="Normal"/>
    <w:uiPriority w:val="2"/>
    <w:rsid w:val="006319A6"/>
    <w:pPr>
      <w:numPr>
        <w:numId w:val="20"/>
      </w:numPr>
      <w:spacing w:before="120" w:after="120" w:line="300" w:lineRule="atLeast"/>
    </w:pPr>
    <w:rPr>
      <w:sz w:val="22"/>
    </w:rPr>
  </w:style>
  <w:style w:type="paragraph" w:customStyle="1" w:styleId="TableNumbera">
    <w:name w:val="Table Number a."/>
    <w:basedOn w:val="Normal"/>
    <w:uiPriority w:val="2"/>
    <w:rsid w:val="006319A6"/>
    <w:pPr>
      <w:numPr>
        <w:ilvl w:val="1"/>
        <w:numId w:val="20"/>
      </w:numPr>
      <w:spacing w:before="120" w:after="120" w:line="300" w:lineRule="atLeast"/>
    </w:pPr>
    <w:rPr>
      <w:sz w:val="22"/>
    </w:rPr>
  </w:style>
  <w:style w:type="paragraph" w:customStyle="1" w:styleId="TableNumberi">
    <w:name w:val="Table Number i."/>
    <w:basedOn w:val="Normal"/>
    <w:uiPriority w:val="2"/>
    <w:rsid w:val="006319A6"/>
    <w:pPr>
      <w:numPr>
        <w:ilvl w:val="2"/>
        <w:numId w:val="20"/>
      </w:numPr>
      <w:spacing w:before="120" w:after="120" w:line="300" w:lineRule="atLeast"/>
    </w:pPr>
    <w:rPr>
      <w:sz w:val="22"/>
    </w:rPr>
  </w:style>
  <w:style w:type="paragraph" w:customStyle="1" w:styleId="TableQuotationseparateparagraph">
    <w:name w:val="Table Quotation (separate paragraph)"/>
    <w:basedOn w:val="Quotationseparateparagraph"/>
    <w:uiPriority w:val="2"/>
    <w:rsid w:val="006319A6"/>
    <w:pPr>
      <w:spacing w:after="120"/>
      <w:ind w:left="357" w:right="357"/>
    </w:pPr>
    <w:rPr>
      <w:sz w:val="22"/>
    </w:rPr>
  </w:style>
  <w:style w:type="paragraph" w:customStyle="1" w:styleId="Tablesinglespacedparagraph">
    <w:name w:val="Table single spaced paragraph"/>
    <w:basedOn w:val="BodyText"/>
    <w:uiPriority w:val="2"/>
    <w:rsid w:val="006319A6"/>
    <w:pPr>
      <w:spacing w:before="40" w:after="40"/>
    </w:pPr>
    <w:rPr>
      <w:sz w:val="22"/>
    </w:rPr>
  </w:style>
  <w:style w:type="paragraph" w:customStyle="1" w:styleId="Tablesinglespacedparagraphlast">
    <w:name w:val="Table single spaced paragraph (last)"/>
    <w:basedOn w:val="Tablesinglespacedparagraph"/>
    <w:uiPriority w:val="2"/>
    <w:rsid w:val="006319A6"/>
  </w:style>
  <w:style w:type="paragraph" w:customStyle="1" w:styleId="Headerlandscape">
    <w:name w:val="Header landscape"/>
    <w:basedOn w:val="Header"/>
    <w:rsid w:val="006319A6"/>
    <w:pPr>
      <w:tabs>
        <w:tab w:val="clear" w:pos="9299"/>
        <w:tab w:val="right" w:pos="14232"/>
      </w:tabs>
    </w:pPr>
  </w:style>
  <w:style w:type="paragraph" w:customStyle="1" w:styleId="Footerlandscape">
    <w:name w:val="Footer landscape"/>
    <w:basedOn w:val="Footer"/>
    <w:uiPriority w:val="10"/>
    <w:rsid w:val="006319A6"/>
    <w:pPr>
      <w:tabs>
        <w:tab w:val="clear" w:pos="9299"/>
        <w:tab w:val="right" w:pos="14232"/>
      </w:tabs>
    </w:pPr>
  </w:style>
  <w:style w:type="paragraph" w:customStyle="1" w:styleId="Tablecaption">
    <w:name w:val="Table caption"/>
    <w:basedOn w:val="Normal"/>
    <w:uiPriority w:val="98"/>
    <w:rsid w:val="006319A6"/>
    <w:pPr>
      <w:keepNext/>
      <w:spacing w:before="360" w:after="60" w:line="260" w:lineRule="atLeast"/>
    </w:pPr>
    <w:rPr>
      <w:b/>
      <w:sz w:val="26"/>
    </w:rPr>
  </w:style>
  <w:style w:type="paragraph" w:customStyle="1" w:styleId="FigureCaption">
    <w:name w:val="Figure Caption"/>
    <w:basedOn w:val="Normal"/>
    <w:next w:val="BodyText"/>
    <w:uiPriority w:val="2"/>
    <w:rsid w:val="006319A6"/>
    <w:pPr>
      <w:spacing w:line="240" w:lineRule="auto"/>
    </w:pPr>
    <w:rPr>
      <w:i/>
    </w:rPr>
  </w:style>
  <w:style w:type="character" w:customStyle="1" w:styleId="Buetext">
    <w:name w:val="Bue text"/>
    <w:basedOn w:val="DefaultParagraphFont"/>
    <w:uiPriority w:val="2"/>
    <w:rsid w:val="006319A6"/>
    <w:rPr>
      <w:color w:val="0070C0"/>
    </w:rPr>
  </w:style>
  <w:style w:type="paragraph" w:customStyle="1" w:styleId="FootnoteTextBullet">
    <w:name w:val="Footnote Text Bullet"/>
    <w:basedOn w:val="FootnoteText"/>
    <w:uiPriority w:val="2"/>
    <w:rsid w:val="006319A6"/>
    <w:pPr>
      <w:numPr>
        <w:numId w:val="2"/>
      </w:numPr>
    </w:pPr>
  </w:style>
  <w:style w:type="character" w:customStyle="1" w:styleId="Italics">
    <w:name w:val="Italics"/>
    <w:basedOn w:val="DefaultParagraphFont"/>
    <w:uiPriority w:val="2"/>
    <w:rsid w:val="006319A6"/>
    <w:rPr>
      <w:i/>
    </w:rPr>
  </w:style>
  <w:style w:type="character" w:customStyle="1" w:styleId="Bluetext">
    <w:name w:val="Blue text"/>
    <w:basedOn w:val="DefaultParagraphFont"/>
    <w:uiPriority w:val="2"/>
    <w:rsid w:val="006319A6"/>
    <w:rPr>
      <w:color w:val="0070C0"/>
    </w:rPr>
  </w:style>
  <w:style w:type="paragraph" w:customStyle="1" w:styleId="Boxsmallbullet1">
    <w:name w:val="Box small bullet 1"/>
    <w:basedOn w:val="Normal"/>
    <w:uiPriority w:val="2"/>
    <w:rsid w:val="006319A6"/>
    <w:pPr>
      <w:numPr>
        <w:numId w:val="9"/>
      </w:numPr>
      <w:spacing w:after="160" w:line="300" w:lineRule="atLeast"/>
    </w:pPr>
  </w:style>
  <w:style w:type="paragraph" w:customStyle="1" w:styleId="Boxsmallbullet2">
    <w:name w:val="Box small bullet 2"/>
    <w:basedOn w:val="Normal"/>
    <w:uiPriority w:val="2"/>
    <w:rsid w:val="006319A6"/>
    <w:pPr>
      <w:numPr>
        <w:ilvl w:val="1"/>
        <w:numId w:val="9"/>
      </w:numPr>
      <w:spacing w:after="160" w:line="300" w:lineRule="atLeast"/>
    </w:pPr>
  </w:style>
  <w:style w:type="character" w:customStyle="1" w:styleId="HyperlinkSourceTextReference">
    <w:name w:val="Hyperlink (Source Text Reference)"/>
    <w:basedOn w:val="Hyperlink"/>
    <w:uiPriority w:val="2"/>
    <w:rsid w:val="006319A6"/>
    <w:rPr>
      <w:color w:val="0D6AB8"/>
      <w:u w:val="single"/>
    </w:rPr>
  </w:style>
  <w:style w:type="numbering" w:styleId="111111">
    <w:name w:val="Outline List 2"/>
    <w:basedOn w:val="NoList"/>
    <w:uiPriority w:val="99"/>
    <w:semiHidden/>
    <w:unhideWhenUsed/>
    <w:rsid w:val="006319A6"/>
    <w:pPr>
      <w:numPr>
        <w:numId w:val="6"/>
      </w:numPr>
    </w:pPr>
  </w:style>
  <w:style w:type="numbering" w:styleId="1ai">
    <w:name w:val="Outline List 1"/>
    <w:basedOn w:val="NoList"/>
    <w:uiPriority w:val="99"/>
    <w:semiHidden/>
    <w:unhideWhenUsed/>
    <w:rsid w:val="006319A6"/>
    <w:pPr>
      <w:numPr>
        <w:numId w:val="7"/>
      </w:numPr>
    </w:pPr>
  </w:style>
  <w:style w:type="numbering" w:styleId="ArticleSection">
    <w:name w:val="Outline List 3"/>
    <w:basedOn w:val="NoList"/>
    <w:uiPriority w:val="99"/>
    <w:semiHidden/>
    <w:unhideWhenUsed/>
    <w:rsid w:val="006319A6"/>
    <w:pPr>
      <w:numPr>
        <w:numId w:val="8"/>
      </w:numPr>
    </w:pPr>
  </w:style>
  <w:style w:type="paragraph" w:customStyle="1" w:styleId="Boxsmallnumber-1">
    <w:name w:val="Box small number - 1."/>
    <w:basedOn w:val="Normal"/>
    <w:uiPriority w:val="2"/>
    <w:rsid w:val="006319A6"/>
    <w:pPr>
      <w:numPr>
        <w:numId w:val="10"/>
      </w:numPr>
      <w:spacing w:after="160" w:line="300" w:lineRule="atLeast"/>
    </w:pPr>
  </w:style>
  <w:style w:type="paragraph" w:customStyle="1" w:styleId="Boxsmallnumber-a">
    <w:name w:val="Box small number - a."/>
    <w:basedOn w:val="Normal"/>
    <w:uiPriority w:val="2"/>
    <w:rsid w:val="006319A6"/>
    <w:pPr>
      <w:numPr>
        <w:ilvl w:val="1"/>
        <w:numId w:val="10"/>
      </w:numPr>
      <w:spacing w:after="160" w:line="300" w:lineRule="atLeast"/>
    </w:pPr>
  </w:style>
  <w:style w:type="paragraph" w:customStyle="1" w:styleId="Boxsmallnumber-i">
    <w:name w:val="Box small number - i."/>
    <w:basedOn w:val="Normal"/>
    <w:uiPriority w:val="2"/>
    <w:rsid w:val="006319A6"/>
    <w:pPr>
      <w:numPr>
        <w:ilvl w:val="2"/>
        <w:numId w:val="10"/>
      </w:numPr>
      <w:spacing w:after="160" w:line="300" w:lineRule="atLeast"/>
    </w:pPr>
  </w:style>
  <w:style w:type="paragraph" w:customStyle="1" w:styleId="FootnoteBullet">
    <w:name w:val="Footnote Bullet"/>
    <w:basedOn w:val="FootnoteText"/>
    <w:uiPriority w:val="7"/>
    <w:rsid w:val="006319A6"/>
    <w:pPr>
      <w:numPr>
        <w:numId w:val="14"/>
      </w:numPr>
      <w:tabs>
        <w:tab w:val="clear" w:pos="284"/>
      </w:tabs>
    </w:pPr>
  </w:style>
  <w:style w:type="paragraph" w:customStyle="1" w:styleId="Introduction">
    <w:name w:val="Introduction"/>
    <w:basedOn w:val="Normal"/>
    <w:uiPriority w:val="2"/>
    <w:rsid w:val="006319A6"/>
    <w:pPr>
      <w:spacing w:after="160" w:line="300" w:lineRule="atLeast"/>
    </w:pPr>
    <w:rPr>
      <w:color w:val="4D4D4D"/>
      <w:sz w:val="28"/>
    </w:rPr>
  </w:style>
  <w:style w:type="paragraph" w:customStyle="1" w:styleId="Checkbox1">
    <w:name w:val="Check box 1"/>
    <w:basedOn w:val="BodyText"/>
    <w:uiPriority w:val="3"/>
    <w:rsid w:val="006319A6"/>
    <w:pPr>
      <w:numPr>
        <w:numId w:val="12"/>
      </w:numPr>
      <w:spacing w:after="160" w:line="300" w:lineRule="atLeast"/>
    </w:pPr>
  </w:style>
  <w:style w:type="paragraph" w:customStyle="1" w:styleId="Checkbox2">
    <w:name w:val="Check box 2"/>
    <w:basedOn w:val="Checkbox1"/>
    <w:uiPriority w:val="3"/>
    <w:rsid w:val="006319A6"/>
    <w:pPr>
      <w:numPr>
        <w:ilvl w:val="1"/>
      </w:numPr>
    </w:pPr>
  </w:style>
  <w:style w:type="paragraph" w:customStyle="1" w:styleId="Checkbox3">
    <w:name w:val="Check box 3"/>
    <w:basedOn w:val="Checkbox1"/>
    <w:uiPriority w:val="3"/>
    <w:rsid w:val="006319A6"/>
    <w:pPr>
      <w:numPr>
        <w:ilvl w:val="2"/>
      </w:numPr>
    </w:pPr>
  </w:style>
  <w:style w:type="paragraph" w:customStyle="1" w:styleId="Checkbox4">
    <w:name w:val="Check box 4"/>
    <w:basedOn w:val="Checkbox1"/>
    <w:uiPriority w:val="3"/>
    <w:rsid w:val="006319A6"/>
    <w:pPr>
      <w:numPr>
        <w:ilvl w:val="3"/>
      </w:numPr>
    </w:pPr>
  </w:style>
  <w:style w:type="paragraph" w:customStyle="1" w:styleId="Tablecheckbox1">
    <w:name w:val="Table check box 1"/>
    <w:basedOn w:val="Normal"/>
    <w:uiPriority w:val="2"/>
    <w:rsid w:val="006319A6"/>
    <w:pPr>
      <w:numPr>
        <w:numId w:val="19"/>
      </w:numPr>
      <w:spacing w:before="120" w:after="120" w:line="300" w:lineRule="atLeast"/>
    </w:pPr>
    <w:rPr>
      <w:sz w:val="22"/>
    </w:rPr>
  </w:style>
  <w:style w:type="paragraph" w:customStyle="1" w:styleId="Tablecheckbox2">
    <w:name w:val="Table check box 2"/>
    <w:basedOn w:val="Tablecheckbox1"/>
    <w:uiPriority w:val="2"/>
    <w:rsid w:val="006319A6"/>
    <w:pPr>
      <w:numPr>
        <w:ilvl w:val="1"/>
      </w:numPr>
    </w:pPr>
  </w:style>
  <w:style w:type="paragraph" w:customStyle="1" w:styleId="Tablecheckbox3">
    <w:name w:val="Table check box 3"/>
    <w:basedOn w:val="Tablecheckbox1"/>
    <w:uiPriority w:val="2"/>
    <w:rsid w:val="006319A6"/>
    <w:pPr>
      <w:numPr>
        <w:ilvl w:val="2"/>
      </w:numPr>
    </w:pPr>
  </w:style>
  <w:style w:type="paragraph" w:customStyle="1" w:styleId="EndnoteBullet">
    <w:name w:val="Endnote Bullet"/>
    <w:uiPriority w:val="7"/>
    <w:rsid w:val="006319A6"/>
    <w:pPr>
      <w:numPr>
        <w:numId w:val="13"/>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6319A6"/>
    <w:pPr>
      <w:spacing w:after="160" w:line="300" w:lineRule="atLeast"/>
      <w:ind w:left="2268" w:right="567"/>
    </w:pPr>
    <w:rPr>
      <w:i/>
      <w:color w:val="4D4D4D"/>
    </w:rPr>
  </w:style>
  <w:style w:type="paragraph" w:customStyle="1" w:styleId="CQLegindent2">
    <w:name w:val="CQLeg indent 2"/>
    <w:basedOn w:val="Normal"/>
    <w:uiPriority w:val="6"/>
    <w:rsid w:val="006319A6"/>
    <w:pPr>
      <w:spacing w:after="160" w:line="300" w:lineRule="atLeast"/>
      <w:ind w:left="2977" w:right="567"/>
    </w:pPr>
    <w:rPr>
      <w:i/>
      <w:color w:val="4D4D4D"/>
    </w:rPr>
  </w:style>
  <w:style w:type="paragraph" w:customStyle="1" w:styleId="CQLegindent3">
    <w:name w:val="CQLeg indent 3"/>
    <w:basedOn w:val="Normal"/>
    <w:uiPriority w:val="6"/>
    <w:rsid w:val="006319A6"/>
    <w:pPr>
      <w:spacing w:after="160" w:line="300" w:lineRule="atLeast"/>
      <w:ind w:left="3686" w:right="567"/>
    </w:pPr>
    <w:rPr>
      <w:i/>
      <w:color w:val="4D4D4D"/>
    </w:rPr>
  </w:style>
  <w:style w:type="paragraph" w:customStyle="1" w:styleId="CQLegstyle-1">
    <w:name w:val="CQLeg style - (1)"/>
    <w:basedOn w:val="Normal"/>
    <w:uiPriority w:val="6"/>
    <w:rsid w:val="006319A6"/>
    <w:pPr>
      <w:tabs>
        <w:tab w:val="left" w:pos="2268"/>
      </w:tabs>
      <w:spacing w:after="160" w:line="300" w:lineRule="atLeast"/>
      <w:ind w:left="2269" w:right="567" w:hanging="851"/>
    </w:pPr>
    <w:rPr>
      <w:i/>
      <w:color w:val="4D4D4D"/>
    </w:rPr>
  </w:style>
  <w:style w:type="paragraph" w:customStyle="1" w:styleId="CQLegstyle-a">
    <w:name w:val="CQLeg style - (a)"/>
    <w:basedOn w:val="Normal"/>
    <w:uiPriority w:val="6"/>
    <w:rsid w:val="006319A6"/>
    <w:pPr>
      <w:tabs>
        <w:tab w:val="left" w:pos="2977"/>
      </w:tabs>
      <w:spacing w:after="160" w:line="300" w:lineRule="atLeast"/>
      <w:ind w:left="2977" w:right="567" w:hanging="709"/>
    </w:pPr>
    <w:rPr>
      <w:i/>
      <w:color w:val="4D4D4D"/>
    </w:rPr>
  </w:style>
  <w:style w:type="paragraph" w:customStyle="1" w:styleId="CQLegstyle-i">
    <w:name w:val="CQLeg style - (i)"/>
    <w:basedOn w:val="Normal"/>
    <w:uiPriority w:val="6"/>
    <w:rsid w:val="006319A6"/>
    <w:pPr>
      <w:tabs>
        <w:tab w:val="left" w:pos="3686"/>
      </w:tabs>
      <w:spacing w:after="160" w:line="300" w:lineRule="atLeast"/>
      <w:ind w:left="3686" w:right="567" w:hanging="709"/>
    </w:pPr>
    <w:rPr>
      <w:i/>
      <w:color w:val="4D4D4D"/>
    </w:rPr>
  </w:style>
  <w:style w:type="paragraph" w:customStyle="1" w:styleId="CQLegstyle-10">
    <w:name w:val="CQLeg style - 1"/>
    <w:basedOn w:val="Normal"/>
    <w:uiPriority w:val="6"/>
    <w:rsid w:val="006319A6"/>
    <w:pPr>
      <w:keepNext/>
      <w:tabs>
        <w:tab w:val="left" w:pos="2268"/>
      </w:tabs>
      <w:spacing w:after="160" w:line="300" w:lineRule="atLeast"/>
      <w:ind w:left="2269" w:right="567" w:hanging="851"/>
    </w:pPr>
    <w:rPr>
      <w:b/>
      <w:i/>
      <w:color w:val="4D4D4D"/>
    </w:rPr>
  </w:style>
  <w:style w:type="paragraph" w:customStyle="1" w:styleId="ALegindent1">
    <w:name w:val="ALeg indent 1"/>
    <w:basedOn w:val="Normal"/>
    <w:uiPriority w:val="6"/>
    <w:rsid w:val="006319A6"/>
    <w:pPr>
      <w:spacing w:after="160" w:line="300" w:lineRule="atLeast"/>
      <w:ind w:left="851"/>
    </w:pPr>
  </w:style>
  <w:style w:type="paragraph" w:customStyle="1" w:styleId="ALegindent2">
    <w:name w:val="ALeg indent 2"/>
    <w:basedOn w:val="Normal"/>
    <w:uiPriority w:val="6"/>
    <w:rsid w:val="006319A6"/>
    <w:pPr>
      <w:spacing w:after="160" w:line="300" w:lineRule="atLeast"/>
      <w:ind w:left="1559"/>
    </w:pPr>
  </w:style>
  <w:style w:type="paragraph" w:customStyle="1" w:styleId="ALegindent3">
    <w:name w:val="ALeg indent 3"/>
    <w:basedOn w:val="Normal"/>
    <w:uiPriority w:val="6"/>
    <w:rsid w:val="006319A6"/>
    <w:pPr>
      <w:spacing w:after="160" w:line="300" w:lineRule="atLeast"/>
      <w:ind w:left="2268"/>
    </w:pPr>
  </w:style>
  <w:style w:type="paragraph" w:customStyle="1" w:styleId="ALegstyle-1">
    <w:name w:val="ALeg style - (1)"/>
    <w:basedOn w:val="Normal"/>
    <w:uiPriority w:val="6"/>
    <w:rsid w:val="006319A6"/>
    <w:pPr>
      <w:tabs>
        <w:tab w:val="left" w:pos="851"/>
      </w:tabs>
      <w:spacing w:after="160" w:line="300" w:lineRule="atLeast"/>
      <w:ind w:left="851" w:hanging="851"/>
    </w:pPr>
  </w:style>
  <w:style w:type="paragraph" w:customStyle="1" w:styleId="ALegstyle-a">
    <w:name w:val="ALeg style - (a)"/>
    <w:basedOn w:val="Normal"/>
    <w:uiPriority w:val="6"/>
    <w:rsid w:val="006319A6"/>
    <w:pPr>
      <w:tabs>
        <w:tab w:val="left" w:pos="1559"/>
      </w:tabs>
      <w:spacing w:after="160" w:line="300" w:lineRule="atLeast"/>
      <w:ind w:left="1560" w:hanging="709"/>
    </w:pPr>
  </w:style>
  <w:style w:type="paragraph" w:customStyle="1" w:styleId="ALegstyle-i">
    <w:name w:val="ALeg style - (i)"/>
    <w:basedOn w:val="Normal"/>
    <w:uiPriority w:val="6"/>
    <w:rsid w:val="006319A6"/>
    <w:pPr>
      <w:tabs>
        <w:tab w:val="left" w:pos="2268"/>
      </w:tabs>
      <w:spacing w:after="160" w:line="300" w:lineRule="atLeast"/>
      <w:ind w:left="2268" w:hanging="709"/>
    </w:pPr>
  </w:style>
  <w:style w:type="paragraph" w:customStyle="1" w:styleId="ALegstyle-10">
    <w:name w:val="ALeg style - 1"/>
    <w:basedOn w:val="Normal"/>
    <w:uiPriority w:val="6"/>
    <w:rsid w:val="006319A6"/>
    <w:pPr>
      <w:keepNext/>
      <w:tabs>
        <w:tab w:val="left" w:pos="851"/>
      </w:tabs>
      <w:spacing w:after="160" w:line="300" w:lineRule="atLeast"/>
      <w:ind w:left="851" w:hanging="851"/>
    </w:pPr>
    <w:rPr>
      <w:b/>
    </w:rPr>
  </w:style>
  <w:style w:type="paragraph" w:customStyle="1" w:styleId="BQLegindent1">
    <w:name w:val="BQLeg indent 1"/>
    <w:basedOn w:val="Normal"/>
    <w:uiPriority w:val="6"/>
    <w:rsid w:val="006319A6"/>
    <w:pPr>
      <w:spacing w:after="160" w:line="300" w:lineRule="atLeast"/>
      <w:ind w:left="1418" w:right="567"/>
    </w:pPr>
    <w:rPr>
      <w:i/>
      <w:color w:val="4D4D4D"/>
    </w:rPr>
  </w:style>
  <w:style w:type="paragraph" w:customStyle="1" w:styleId="BQLegindent2">
    <w:name w:val="BQLeg indent 2"/>
    <w:basedOn w:val="Normal"/>
    <w:uiPriority w:val="6"/>
    <w:rsid w:val="006319A6"/>
    <w:pPr>
      <w:spacing w:after="160" w:line="300" w:lineRule="atLeast"/>
      <w:ind w:left="2126" w:right="567"/>
    </w:pPr>
    <w:rPr>
      <w:i/>
      <w:color w:val="4D4D4D"/>
    </w:rPr>
  </w:style>
  <w:style w:type="paragraph" w:customStyle="1" w:styleId="BQLegindent3">
    <w:name w:val="BQLeg indent 3"/>
    <w:basedOn w:val="Normal"/>
    <w:uiPriority w:val="6"/>
    <w:rsid w:val="006319A6"/>
    <w:pPr>
      <w:spacing w:after="160" w:line="300" w:lineRule="atLeast"/>
      <w:ind w:left="2835" w:right="567"/>
    </w:pPr>
    <w:rPr>
      <w:i/>
      <w:color w:val="4D4D4D"/>
    </w:rPr>
  </w:style>
  <w:style w:type="paragraph" w:customStyle="1" w:styleId="BQLegstyle-1">
    <w:name w:val="BQLeg style - (1)"/>
    <w:basedOn w:val="Normal"/>
    <w:uiPriority w:val="6"/>
    <w:rsid w:val="006319A6"/>
    <w:pPr>
      <w:tabs>
        <w:tab w:val="left" w:pos="1418"/>
      </w:tabs>
      <w:spacing w:after="160" w:line="300" w:lineRule="atLeast"/>
      <w:ind w:left="1418" w:right="567" w:hanging="851"/>
    </w:pPr>
    <w:rPr>
      <w:i/>
      <w:color w:val="4D4D4D"/>
    </w:rPr>
  </w:style>
  <w:style w:type="paragraph" w:customStyle="1" w:styleId="BQLegstyle-a">
    <w:name w:val="BQLeg style - (a)"/>
    <w:basedOn w:val="Normal"/>
    <w:uiPriority w:val="6"/>
    <w:rsid w:val="006319A6"/>
    <w:pPr>
      <w:tabs>
        <w:tab w:val="left" w:pos="2126"/>
      </w:tabs>
      <w:spacing w:after="160" w:line="300" w:lineRule="atLeast"/>
      <w:ind w:left="2127" w:right="567" w:hanging="709"/>
    </w:pPr>
    <w:rPr>
      <w:i/>
      <w:color w:val="4D4D4D"/>
    </w:rPr>
  </w:style>
  <w:style w:type="paragraph" w:customStyle="1" w:styleId="BQLegstyle-i">
    <w:name w:val="BQLeg style - (i)"/>
    <w:basedOn w:val="Normal"/>
    <w:uiPriority w:val="6"/>
    <w:rsid w:val="006319A6"/>
    <w:pPr>
      <w:tabs>
        <w:tab w:val="left" w:pos="2835"/>
      </w:tabs>
      <w:spacing w:after="160" w:line="300" w:lineRule="atLeast"/>
      <w:ind w:left="2835" w:right="567" w:hanging="709"/>
    </w:pPr>
    <w:rPr>
      <w:i/>
      <w:color w:val="4D4D4D"/>
    </w:rPr>
  </w:style>
  <w:style w:type="paragraph" w:customStyle="1" w:styleId="BQLegstyle-10">
    <w:name w:val="BQLeg style - 1"/>
    <w:basedOn w:val="Normal"/>
    <w:uiPriority w:val="6"/>
    <w:rsid w:val="006319A6"/>
    <w:pPr>
      <w:keepNext/>
      <w:tabs>
        <w:tab w:val="left" w:pos="1418"/>
      </w:tabs>
      <w:spacing w:after="160" w:line="300" w:lineRule="atLeast"/>
      <w:ind w:left="1418" w:right="567" w:hanging="851"/>
    </w:pPr>
    <w:rPr>
      <w:b/>
      <w:i/>
      <w:color w:val="4D4D4D"/>
    </w:rPr>
  </w:style>
  <w:style w:type="paragraph" w:customStyle="1" w:styleId="SQLegindent1">
    <w:name w:val="SQLeg indent 1"/>
    <w:basedOn w:val="Normal"/>
    <w:uiPriority w:val="6"/>
    <w:rsid w:val="006319A6"/>
    <w:pPr>
      <w:spacing w:after="160" w:line="300" w:lineRule="atLeast"/>
      <w:ind w:left="1985" w:right="567"/>
    </w:pPr>
    <w:rPr>
      <w:i/>
      <w:color w:val="4D4D4D"/>
    </w:rPr>
  </w:style>
  <w:style w:type="paragraph" w:customStyle="1" w:styleId="SQLegindent2">
    <w:name w:val="SQLeg indent 2"/>
    <w:basedOn w:val="Normal"/>
    <w:uiPriority w:val="6"/>
    <w:rsid w:val="006319A6"/>
    <w:pPr>
      <w:spacing w:after="160" w:line="300" w:lineRule="atLeast"/>
      <w:ind w:left="2693" w:right="567"/>
    </w:pPr>
    <w:rPr>
      <w:i/>
      <w:color w:val="4D4D4D"/>
    </w:rPr>
  </w:style>
  <w:style w:type="paragraph" w:customStyle="1" w:styleId="SQLegindent3">
    <w:name w:val="SQLeg indent 3"/>
    <w:basedOn w:val="Normal"/>
    <w:uiPriority w:val="6"/>
    <w:rsid w:val="006319A6"/>
    <w:pPr>
      <w:spacing w:after="160" w:line="300" w:lineRule="atLeast"/>
      <w:ind w:left="3402" w:right="567"/>
    </w:pPr>
    <w:rPr>
      <w:i/>
      <w:color w:val="4D4D4D"/>
    </w:rPr>
  </w:style>
  <w:style w:type="paragraph" w:customStyle="1" w:styleId="SQLegstyle-1">
    <w:name w:val="SQLeg style - (1)"/>
    <w:basedOn w:val="Normal"/>
    <w:uiPriority w:val="6"/>
    <w:rsid w:val="006319A6"/>
    <w:pPr>
      <w:tabs>
        <w:tab w:val="left" w:pos="1985"/>
      </w:tabs>
      <w:spacing w:after="160" w:line="300" w:lineRule="atLeast"/>
      <w:ind w:left="1985" w:right="567" w:hanging="851"/>
    </w:pPr>
    <w:rPr>
      <w:i/>
      <w:color w:val="4D4D4D"/>
    </w:rPr>
  </w:style>
  <w:style w:type="paragraph" w:customStyle="1" w:styleId="SQLegstyle-a">
    <w:name w:val="SQLeg style - (a)"/>
    <w:basedOn w:val="Normal"/>
    <w:uiPriority w:val="6"/>
    <w:rsid w:val="006319A6"/>
    <w:pPr>
      <w:tabs>
        <w:tab w:val="left" w:pos="2693"/>
      </w:tabs>
      <w:spacing w:after="160" w:line="300" w:lineRule="atLeast"/>
      <w:ind w:left="2694" w:right="567" w:hanging="709"/>
    </w:pPr>
    <w:rPr>
      <w:i/>
      <w:color w:val="4D4D4D"/>
    </w:rPr>
  </w:style>
  <w:style w:type="paragraph" w:customStyle="1" w:styleId="SQLegstyle-i">
    <w:name w:val="SQLeg style - (i)"/>
    <w:basedOn w:val="Normal"/>
    <w:uiPriority w:val="6"/>
    <w:rsid w:val="006319A6"/>
    <w:pPr>
      <w:tabs>
        <w:tab w:val="left" w:pos="3402"/>
      </w:tabs>
      <w:spacing w:after="160" w:line="300" w:lineRule="atLeast"/>
      <w:ind w:left="3402" w:right="567" w:hanging="709"/>
    </w:pPr>
    <w:rPr>
      <w:i/>
      <w:color w:val="4D4D4D"/>
    </w:rPr>
  </w:style>
  <w:style w:type="paragraph" w:customStyle="1" w:styleId="SQLegstyle-10">
    <w:name w:val="SQLeg style - 1"/>
    <w:basedOn w:val="Normal"/>
    <w:uiPriority w:val="6"/>
    <w:rsid w:val="006319A6"/>
    <w:pPr>
      <w:keepNext/>
      <w:tabs>
        <w:tab w:val="left" w:pos="1985"/>
      </w:tabs>
      <w:spacing w:after="160" w:line="300" w:lineRule="atLeast"/>
      <w:ind w:left="1985" w:right="567" w:hanging="851"/>
    </w:pPr>
    <w:rPr>
      <w:b/>
      <w:i/>
      <w:color w:val="4D4D4D"/>
    </w:rPr>
  </w:style>
  <w:style w:type="character" w:customStyle="1" w:styleId="EmphasisItalics">
    <w:name w:val="Emphasis Italics"/>
    <w:basedOn w:val="DefaultParagraphFont"/>
    <w:uiPriority w:val="2"/>
    <w:rsid w:val="006319A6"/>
    <w:rPr>
      <w:b/>
      <w:i/>
    </w:rPr>
  </w:style>
  <w:style w:type="paragraph" w:styleId="ListParagraph">
    <w:name w:val="List Paragraph"/>
    <w:basedOn w:val="Normal"/>
    <w:uiPriority w:val="34"/>
    <w:semiHidden/>
    <w:rsid w:val="006319A6"/>
    <w:pPr>
      <w:ind w:left="720"/>
      <w:contextualSpacing/>
    </w:pPr>
  </w:style>
  <w:style w:type="character" w:customStyle="1" w:styleId="A2">
    <w:name w:val="A2"/>
    <w:uiPriority w:val="99"/>
    <w:rsid w:val="00F635AA"/>
    <w:rPr>
      <w:rFonts w:cs="Myriad Pro"/>
      <w:color w:val="000000"/>
      <w:sz w:val="18"/>
      <w:szCs w:val="18"/>
    </w:rPr>
  </w:style>
  <w:style w:type="character" w:customStyle="1" w:styleId="Bullet1Char">
    <w:name w:val="Bullet 1 Char"/>
    <w:basedOn w:val="DefaultParagraphFont"/>
    <w:link w:val="Bullet1"/>
    <w:uiPriority w:val="2"/>
    <w:locked/>
    <w:rsid w:val="00657923"/>
    <w:rPr>
      <w:rFonts w:ascii="Calibri" w:hAnsi="Calibri"/>
      <w:color w:val="1E1E1E"/>
      <w:sz w:val="24"/>
    </w:rPr>
  </w:style>
  <w:style w:type="character" w:styleId="CommentReference">
    <w:name w:val="annotation reference"/>
    <w:basedOn w:val="DefaultParagraphFont"/>
    <w:uiPriority w:val="99"/>
    <w:semiHidden/>
    <w:unhideWhenUsed/>
    <w:rsid w:val="00F073C0"/>
    <w:rPr>
      <w:sz w:val="16"/>
      <w:szCs w:val="16"/>
    </w:rPr>
  </w:style>
  <w:style w:type="character" w:styleId="UnresolvedMention">
    <w:name w:val="Unresolved Mention"/>
    <w:basedOn w:val="DefaultParagraphFont"/>
    <w:uiPriority w:val="99"/>
    <w:semiHidden/>
    <w:unhideWhenUsed/>
    <w:rsid w:val="00F073C0"/>
    <w:rPr>
      <w:color w:val="605E5C"/>
      <w:shd w:val="clear" w:color="auto" w:fill="E1DFDD"/>
    </w:rPr>
  </w:style>
  <w:style w:type="table" w:styleId="TableGrid">
    <w:name w:val="Table Grid"/>
    <w:basedOn w:val="TableNormal"/>
    <w:uiPriority w:val="59"/>
    <w:rsid w:val="005224A7"/>
    <w:pPr>
      <w:spacing w:line="240" w:lineRule="atLeast"/>
      <w:jc w:val="both"/>
    </w:pPr>
    <w:rPr>
      <w:rFonts w:ascii="Calibri" w:hAnsi="Calibri"/>
    </w:rPr>
    <w:tblPr>
      <w:tblStyleRowBandSize w:val="1"/>
      <w:tblStyleColBandSize w:val="1"/>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CellMar>
        <w:top w:w="28" w:type="dxa"/>
        <w:bottom w:w="28" w:type="dxa"/>
      </w:tblCellMar>
    </w:tblPr>
    <w:tblStylePr w:type="firstRow">
      <w:tblPr/>
      <w:trPr>
        <w:tblHeader/>
      </w:trPr>
      <w:tcPr>
        <w:tcBorders>
          <w:top w:val="single" w:sz="2" w:space="0" w:color="595959"/>
          <w:left w:val="single" w:sz="2" w:space="0" w:color="595959"/>
          <w:bottom w:val="single" w:sz="2" w:space="0" w:color="595959"/>
          <w:right w:val="single" w:sz="2" w:space="0" w:color="595959"/>
          <w:insideH w:val="nil"/>
          <w:insideV w:val="single" w:sz="2" w:space="0" w:color="BFBFBF"/>
          <w:tl2br w:val="nil"/>
          <w:tr2bl w:val="nil"/>
        </w:tcBorders>
        <w:shd w:val="clear" w:color="auto" w:fill="595959"/>
      </w:tcPr>
    </w:tblStylePr>
    <w:tblStylePr w:type="firstCol">
      <w:tblPr/>
      <w:tcPr>
        <w:shd w:val="clear" w:color="auto" w:fill="D3D3D3"/>
      </w:tcPr>
    </w:tblStylePr>
    <w:tblStylePr w:type="band1Vert">
      <w:tblPr/>
      <w:tcPr>
        <w:shd w:val="clear" w:color="auto" w:fill="E9E9E9"/>
      </w:tcPr>
    </w:tblStylePr>
    <w:tblStylePr w:type="band1Horz">
      <w:tblPr/>
      <w:tcPr>
        <w:shd w:val="clear" w:color="auto" w:fill="E9E9E9"/>
      </w:tcPr>
    </w:tblStylePr>
  </w:style>
  <w:style w:type="table" w:customStyle="1" w:styleId="TableGridAnnualReport221">
    <w:name w:val="Table Grid (Annual Report)221"/>
    <w:basedOn w:val="TableNormal"/>
    <w:uiPriority w:val="99"/>
    <w:rsid w:val="002E3A29"/>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1">
    <w:name w:val="Table Grid (Annual Report)1"/>
    <w:basedOn w:val="TableNormal"/>
    <w:uiPriority w:val="99"/>
    <w:rsid w:val="00291457"/>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2">
    <w:name w:val="Table Grid (Annual Report)2"/>
    <w:basedOn w:val="TableNormal"/>
    <w:uiPriority w:val="99"/>
    <w:rsid w:val="0074015C"/>
    <w:pPr>
      <w:spacing w:after="0" w:line="240" w:lineRule="auto"/>
    </w:pPr>
    <w:tblPr>
      <w:tblStyleRowBandSize w:val="1"/>
      <w:tblStyleColBandSize w:val="1"/>
      <w:tblInd w:w="0" w:type="nil"/>
    </w:tblPr>
    <w:tblStylePr w:type="firstRow">
      <w:rPr>
        <w:sz w:val="22"/>
        <w:szCs w:val="22"/>
      </w:rPr>
      <w:tblPr/>
      <w:tcPr>
        <w:tcBorders>
          <w:top w:val="single" w:sz="8" w:space="0" w:color="FFFFFF"/>
          <w:left w:val="single" w:sz="8" w:space="0" w:color="FFFFFF"/>
          <w:bottom w:val="single" w:sz="8" w:space="0" w:color="FFFFFF"/>
          <w:right w:val="single" w:sz="8" w:space="0" w:color="FFFFFF"/>
          <w:insideH w:val="nil"/>
          <w:insideV w:val="single" w:sz="8" w:space="0" w:color="FFFFFF"/>
          <w:tl2br w:val="nil"/>
          <w:tr2bl w:val="nil"/>
        </w:tcBorders>
        <w:shd w:val="clear" w:color="auto" w:fill="2BB673"/>
      </w:tcPr>
    </w:tblStylePr>
    <w:tblStylePr w:type="la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BFBFBF"/>
      </w:tcPr>
    </w:tblStylePr>
    <w:tblStylePr w:type="firstCol">
      <w:tblPr/>
      <w:tcPr>
        <w:tcBorders>
          <w:top w:val="nil"/>
          <w:left w:val="single" w:sz="8" w:space="0" w:color="FFFFFF"/>
          <w:bottom w:val="single" w:sz="8" w:space="0" w:color="FFFFFF"/>
          <w:right w:val="nil"/>
          <w:insideH w:val="nil"/>
          <w:insideV w:val="nil"/>
          <w:tl2br w:val="nil"/>
          <w:tr2bl w:val="nil"/>
        </w:tcBorders>
        <w:shd w:val="clear" w:color="auto" w:fill="BFBFBF"/>
      </w:tcPr>
    </w:tblStylePr>
    <w:tblStylePr w:type="lastCol">
      <w:tblPr/>
      <w:tcPr>
        <w:tcBorders>
          <w:top w:val="nil"/>
          <w:left w:val="single" w:sz="8" w:space="0" w:color="FFFFFF"/>
          <w:bottom w:val="single" w:sz="8" w:space="0" w:color="FFFFFF"/>
          <w:right w:val="single" w:sz="8" w:space="0" w:color="FFFFFF"/>
          <w:insideH w:val="nil"/>
          <w:insideV w:val="nil"/>
          <w:tl2br w:val="nil"/>
          <w:tr2bl w:val="nil"/>
        </w:tcBorders>
        <w:shd w:val="clear" w:color="auto" w:fill="BFBFB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E9E9E9"/>
      </w:tcPr>
    </w:tblStylePr>
    <w:tblStylePr w:type="band2Vert">
      <w:tblPr/>
      <w:tcPr>
        <w:tcBorders>
          <w:top w:val="single" w:sz="8" w:space="0" w:color="FFFFFF"/>
          <w:left w:val="nil"/>
          <w:bottom w:val="nil"/>
          <w:right w:val="nil"/>
          <w:insideH w:val="nil"/>
          <w:insideV w:val="nil"/>
          <w:tl2br w:val="nil"/>
          <w:tr2bl w:val="nil"/>
        </w:tcBorders>
        <w:shd w:val="clear" w:color="auto" w:fill="E9E9E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E9E9E9"/>
      </w:tcPr>
    </w:tblStylePr>
    <w:tblStylePr w:type="band2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E9E9E9"/>
      </w:tcPr>
    </w:tblStylePr>
  </w:style>
  <w:style w:type="table" w:customStyle="1" w:styleId="TableGridAnnualReport21">
    <w:name w:val="Table Grid (Annual Report)21"/>
    <w:basedOn w:val="TableNormal"/>
    <w:uiPriority w:val="99"/>
    <w:rsid w:val="0074015C"/>
    <w:pPr>
      <w:spacing w:after="0" w:line="240" w:lineRule="auto"/>
    </w:pPr>
    <w:rPr>
      <w:rFonts w:ascii="Calibri" w:eastAsia="Calibri" w:hAnsi="Calibri" w:cs="Times New Roman"/>
    </w:rPr>
    <w:tblPr>
      <w:tblStyleRowBandSize w:val="1"/>
      <w:tblStyleColBandSize w:val="1"/>
      <w:tblInd w:w="0" w:type="nil"/>
    </w:tblPr>
    <w:tblStylePr w:type="firstRow">
      <w:rPr>
        <w:sz w:val="22"/>
        <w:szCs w:val="22"/>
      </w:rPr>
      <w:tblPr/>
      <w:tcPr>
        <w:tcBorders>
          <w:top w:val="single" w:sz="8" w:space="0" w:color="FFFFFF"/>
          <w:left w:val="single" w:sz="8" w:space="0" w:color="FFFFFF"/>
          <w:bottom w:val="single" w:sz="8" w:space="0" w:color="FFFFFF"/>
          <w:right w:val="single" w:sz="8" w:space="0" w:color="FFFFFF"/>
          <w:insideH w:val="nil"/>
          <w:insideV w:val="single" w:sz="8" w:space="0" w:color="FFFFFF"/>
          <w:tl2br w:val="nil"/>
          <w:tr2bl w:val="nil"/>
        </w:tcBorders>
        <w:shd w:val="clear" w:color="auto" w:fill="2BB673"/>
      </w:tcPr>
    </w:tblStylePr>
    <w:tblStylePr w:type="la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BFBFBF"/>
      </w:tcPr>
    </w:tblStylePr>
    <w:tblStylePr w:type="firstCol">
      <w:tblPr/>
      <w:tcPr>
        <w:tcBorders>
          <w:top w:val="nil"/>
          <w:left w:val="single" w:sz="8" w:space="0" w:color="FFFFFF"/>
          <w:bottom w:val="single" w:sz="8" w:space="0" w:color="FFFFFF"/>
          <w:right w:val="nil"/>
          <w:insideH w:val="nil"/>
          <w:insideV w:val="nil"/>
          <w:tl2br w:val="nil"/>
          <w:tr2bl w:val="nil"/>
        </w:tcBorders>
        <w:shd w:val="clear" w:color="auto" w:fill="BFBFBF"/>
      </w:tcPr>
    </w:tblStylePr>
    <w:tblStylePr w:type="lastCol">
      <w:tblPr/>
      <w:tcPr>
        <w:tcBorders>
          <w:top w:val="nil"/>
          <w:left w:val="single" w:sz="8" w:space="0" w:color="FFFFFF"/>
          <w:bottom w:val="single" w:sz="8" w:space="0" w:color="FFFFFF"/>
          <w:right w:val="single" w:sz="8" w:space="0" w:color="FFFFFF"/>
          <w:insideH w:val="nil"/>
          <w:insideV w:val="nil"/>
          <w:tl2br w:val="nil"/>
          <w:tr2bl w:val="nil"/>
        </w:tcBorders>
        <w:shd w:val="clear" w:color="auto" w:fill="BFBFB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E9E9E9"/>
      </w:tcPr>
    </w:tblStylePr>
    <w:tblStylePr w:type="band2Vert">
      <w:tblPr/>
      <w:tcPr>
        <w:tcBorders>
          <w:top w:val="single" w:sz="8" w:space="0" w:color="FFFFFF"/>
          <w:left w:val="nil"/>
          <w:bottom w:val="nil"/>
          <w:right w:val="nil"/>
          <w:insideH w:val="nil"/>
          <w:insideV w:val="nil"/>
          <w:tl2br w:val="nil"/>
          <w:tr2bl w:val="nil"/>
        </w:tcBorders>
        <w:shd w:val="clear" w:color="auto" w:fill="E9E9E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E9E9E9"/>
      </w:tcPr>
    </w:tblStylePr>
    <w:tblStylePr w:type="band2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E9E9E9"/>
      </w:tcPr>
    </w:tblStylePr>
  </w:style>
  <w:style w:type="character" w:customStyle="1" w:styleId="FootnoteNumber">
    <w:name w:val="Footnote Number"/>
    <w:rsid w:val="00C77E38"/>
    <w:rPr>
      <w:position w:val="8"/>
      <w:sz w:val="14"/>
      <w:szCs w:val="14"/>
      <w:u w:val="none"/>
      <w:vertAlign w:val="baseline"/>
    </w:rPr>
  </w:style>
  <w:style w:type="table" w:customStyle="1" w:styleId="TableGridAnnualReport4">
    <w:name w:val="Table Grid (Annual Report)4"/>
    <w:basedOn w:val="TableNormal"/>
    <w:uiPriority w:val="99"/>
    <w:rsid w:val="00BB4E33"/>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5">
    <w:name w:val="Table Grid (Annual Report)5"/>
    <w:basedOn w:val="TableNormal"/>
    <w:uiPriority w:val="99"/>
    <w:rsid w:val="00F018CA"/>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3">
    <w:name w:val="Table Grid (Annual Report)3"/>
    <w:basedOn w:val="TableNormal"/>
    <w:uiPriority w:val="99"/>
    <w:rsid w:val="00C1082F"/>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paragraph" w:styleId="Revision">
    <w:name w:val="Revision"/>
    <w:hidden/>
    <w:uiPriority w:val="99"/>
    <w:semiHidden/>
    <w:rsid w:val="00A20E3C"/>
    <w:pPr>
      <w:spacing w:after="0" w:line="240" w:lineRule="auto"/>
    </w:pPr>
    <w:rPr>
      <w:rFonts w:ascii="Calibri" w:hAnsi="Calibri"/>
      <w:color w:val="1E1E1E"/>
      <w:sz w:val="24"/>
    </w:rPr>
  </w:style>
  <w:style w:type="table" w:customStyle="1" w:styleId="TableGridAnnualReport6">
    <w:name w:val="Table Grid (Annual Report)6"/>
    <w:basedOn w:val="TableNormal"/>
    <w:uiPriority w:val="99"/>
    <w:rsid w:val="009D7FD7"/>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7">
    <w:name w:val="Table Grid (Annual Report)7"/>
    <w:basedOn w:val="TableNormal"/>
    <w:uiPriority w:val="99"/>
    <w:rsid w:val="009D7FD7"/>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9">
    <w:name w:val="Table Grid (Annual Report)9"/>
    <w:basedOn w:val="TableNormal"/>
    <w:uiPriority w:val="99"/>
    <w:rsid w:val="00331C36"/>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10">
    <w:name w:val="Table Grid (Annual Report)10"/>
    <w:basedOn w:val="TableNormal"/>
    <w:uiPriority w:val="99"/>
    <w:rsid w:val="00331C36"/>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11">
    <w:name w:val="Table Grid (Annual Report)11"/>
    <w:basedOn w:val="TableNormal"/>
    <w:uiPriority w:val="99"/>
    <w:rsid w:val="00331C36"/>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14">
    <w:name w:val="Table Grid (Annual Report)14"/>
    <w:basedOn w:val="TableNormal"/>
    <w:uiPriority w:val="99"/>
    <w:rsid w:val="00331C36"/>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131">
    <w:name w:val="Table Grid (Annual Report)131"/>
    <w:basedOn w:val="TableNormal"/>
    <w:uiPriority w:val="99"/>
    <w:rsid w:val="004A497F"/>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151">
    <w:name w:val="Table Grid (Annual Report)151"/>
    <w:basedOn w:val="TableNormal"/>
    <w:uiPriority w:val="99"/>
    <w:rsid w:val="004A497F"/>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171">
    <w:name w:val="Table Grid (Annual Report)171"/>
    <w:basedOn w:val="TableNormal"/>
    <w:uiPriority w:val="99"/>
    <w:rsid w:val="008D44DA"/>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181">
    <w:name w:val="Table Grid (Annual Report)181"/>
    <w:basedOn w:val="TableNormal"/>
    <w:uiPriority w:val="99"/>
    <w:rsid w:val="008D44DA"/>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191">
    <w:name w:val="Table Grid (Annual Report)191"/>
    <w:basedOn w:val="TableNormal"/>
    <w:uiPriority w:val="99"/>
    <w:rsid w:val="008D44DA"/>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211">
    <w:name w:val="Table Grid (Annual Report)211"/>
    <w:basedOn w:val="TableNormal"/>
    <w:uiPriority w:val="99"/>
    <w:rsid w:val="00376036"/>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201">
    <w:name w:val="Table Grid (Annual Report)201"/>
    <w:basedOn w:val="TableNormal"/>
    <w:uiPriority w:val="99"/>
    <w:rsid w:val="00E05112"/>
    <w:pPr>
      <w:spacing w:after="0" w:line="240" w:lineRule="auto"/>
    </w:pPr>
    <w:tblPr>
      <w:tblStyleRowBandSize w:val="1"/>
      <w:tblStyleColBandSize w:val="1"/>
      <w:tblInd w:w="0" w:type="nil"/>
    </w:tblPr>
    <w:tblStylePr w:type="firstRow">
      <w:rPr>
        <w:sz w:val="22"/>
        <w:szCs w:val="22"/>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2BB673"/>
      </w:tcPr>
    </w:tblStylePr>
    <w:tblStylePr w:type="lastRow">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BFBFBF"/>
      </w:tcPr>
    </w:tblStylePr>
    <w:tblStylePr w:type="firstCol">
      <w:tblPr/>
      <w:tcPr>
        <w:tcBorders>
          <w:top w:val="nil"/>
          <w:left w:val="single" w:sz="8" w:space="0" w:color="FFFFFF" w:themeColor="background1"/>
          <w:bottom w:val="single" w:sz="8" w:space="0" w:color="FFFFFF" w:themeColor="background1"/>
          <w:right w:val="nil"/>
          <w:insideH w:val="nil"/>
          <w:insideV w:val="nil"/>
          <w:tl2br w:val="nil"/>
          <w:tr2bl w:val="nil"/>
        </w:tcBorders>
        <w:shd w:val="clear" w:color="auto" w:fill="BFBFBF"/>
      </w:tcPr>
    </w:tblStylePr>
    <w:tblStylePr w:type="lastCol">
      <w:tblPr/>
      <w:tcPr>
        <w:tcBorders>
          <w:top w:val="nil"/>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BFBFBF"/>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l2br w:val="nil"/>
          <w:tr2bl w:val="nil"/>
        </w:tcBorders>
        <w:shd w:val="clear" w:color="auto" w:fill="E9E9E9"/>
      </w:tcPr>
    </w:tblStylePr>
    <w:tblStylePr w:type="band2Vert">
      <w:tblPr/>
      <w:tcPr>
        <w:tcBorders>
          <w:top w:val="single" w:sz="8" w:space="0" w:color="FFFFFF" w:themeColor="background1"/>
          <w:left w:val="nil"/>
          <w:bottom w:val="nil"/>
          <w:right w:val="nil"/>
          <w:insideH w:val="nil"/>
          <w:insideV w:val="nil"/>
          <w:tl2br w:val="nil"/>
          <w:tr2bl w:val="nil"/>
        </w:tcBorders>
        <w:shd w:val="clear" w:color="auto" w:fill="E9E9E9"/>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tblStylePr w:type="band2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l2br w:val="nil"/>
          <w:tr2bl w:val="nil"/>
        </w:tcBorders>
        <w:shd w:val="clear" w:color="auto" w:fill="E9E9E9"/>
      </w:tcPr>
    </w:tblStylePr>
  </w:style>
  <w:style w:type="table" w:customStyle="1" w:styleId="TableGridAnnualReport8">
    <w:name w:val="Table Grid (Annual Report)8"/>
    <w:basedOn w:val="TableNormal"/>
    <w:uiPriority w:val="99"/>
    <w:rsid w:val="00957ECE"/>
    <w:pPr>
      <w:spacing w:after="0" w:line="240" w:lineRule="auto"/>
    </w:pPr>
    <w:rPr>
      <w:rFonts w:ascii="Calibri" w:eastAsia="Calibri" w:hAnsi="Calibri" w:cs="Times New Roman"/>
    </w:rPr>
    <w:tblPr>
      <w:tblStyleRowBandSize w:val="1"/>
      <w:tblStyleColBandSize w:val="1"/>
      <w:tblInd w:w="0" w:type="nil"/>
    </w:tblPr>
    <w:tblStylePr w:type="firstRow">
      <w:rPr>
        <w:sz w:val="22"/>
        <w:szCs w:val="22"/>
      </w:rPr>
      <w:tblPr/>
      <w:tcPr>
        <w:tcBorders>
          <w:top w:val="single" w:sz="8" w:space="0" w:color="FFFFFF"/>
          <w:left w:val="single" w:sz="8" w:space="0" w:color="FFFFFF"/>
          <w:bottom w:val="single" w:sz="8" w:space="0" w:color="FFFFFF"/>
          <w:right w:val="single" w:sz="8" w:space="0" w:color="FFFFFF"/>
          <w:insideH w:val="nil"/>
          <w:insideV w:val="single" w:sz="8" w:space="0" w:color="FFFFFF"/>
          <w:tl2br w:val="nil"/>
          <w:tr2bl w:val="nil"/>
        </w:tcBorders>
        <w:shd w:val="clear" w:color="auto" w:fill="2BB673"/>
      </w:tcPr>
    </w:tblStylePr>
    <w:tblStylePr w:type="lastRow">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BFBFBF"/>
      </w:tcPr>
    </w:tblStylePr>
    <w:tblStylePr w:type="firstCol">
      <w:tblPr/>
      <w:tcPr>
        <w:tcBorders>
          <w:top w:val="nil"/>
          <w:left w:val="single" w:sz="8" w:space="0" w:color="FFFFFF"/>
          <w:bottom w:val="single" w:sz="8" w:space="0" w:color="FFFFFF"/>
          <w:right w:val="nil"/>
          <w:insideH w:val="nil"/>
          <w:insideV w:val="nil"/>
          <w:tl2br w:val="nil"/>
          <w:tr2bl w:val="nil"/>
        </w:tcBorders>
        <w:shd w:val="clear" w:color="auto" w:fill="BFBFBF"/>
      </w:tcPr>
    </w:tblStylePr>
    <w:tblStylePr w:type="lastCol">
      <w:tblPr/>
      <w:tcPr>
        <w:tcBorders>
          <w:top w:val="nil"/>
          <w:left w:val="single" w:sz="8" w:space="0" w:color="FFFFFF"/>
          <w:bottom w:val="single" w:sz="8" w:space="0" w:color="FFFFFF"/>
          <w:right w:val="single" w:sz="8" w:space="0" w:color="FFFFFF"/>
          <w:insideH w:val="nil"/>
          <w:insideV w:val="nil"/>
          <w:tl2br w:val="nil"/>
          <w:tr2bl w:val="nil"/>
        </w:tcBorders>
        <w:shd w:val="clear" w:color="auto" w:fill="BFBFB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E9E9E9"/>
      </w:tcPr>
    </w:tblStylePr>
    <w:tblStylePr w:type="band2Vert">
      <w:tblPr/>
      <w:tcPr>
        <w:tcBorders>
          <w:top w:val="single" w:sz="8" w:space="0" w:color="FFFFFF"/>
          <w:left w:val="nil"/>
          <w:bottom w:val="nil"/>
          <w:right w:val="nil"/>
          <w:insideH w:val="nil"/>
          <w:insideV w:val="nil"/>
          <w:tl2br w:val="nil"/>
          <w:tr2bl w:val="nil"/>
        </w:tcBorders>
        <w:shd w:val="clear" w:color="auto" w:fill="E9E9E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E9E9E9"/>
      </w:tcPr>
    </w:tblStylePr>
    <w:tblStylePr w:type="band2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E9E9E9"/>
      </w:tcPr>
    </w:tblStylePr>
  </w:style>
  <w:style w:type="paragraph" w:customStyle="1" w:styleId="AOHeading-L2">
    <w:name w:val="AO Heading - L2"/>
    <w:basedOn w:val="Normal"/>
    <w:next w:val="Normal"/>
    <w:qFormat/>
    <w:rsid w:val="006A5682"/>
    <w:pPr>
      <w:keepNext/>
      <w:numPr>
        <w:ilvl w:val="1"/>
      </w:numPr>
      <w:spacing w:before="360" w:after="240" w:line="300" w:lineRule="atLeast"/>
    </w:pPr>
    <w:rPr>
      <w:rFonts w:eastAsia="Times New Roman" w:cs="Times New Roman"/>
      <w:b/>
      <w:color w:val="000000" w:themeColor="text1"/>
      <w:kern w:val="28"/>
      <w:sz w:val="26"/>
      <w:szCs w:val="20"/>
    </w:rPr>
  </w:style>
  <w:style w:type="paragraph" w:customStyle="1" w:styleId="AOBodyText">
    <w:name w:val="AO Body Text"/>
    <w:basedOn w:val="Normal"/>
    <w:link w:val="AOBodyTextChar"/>
    <w:qFormat/>
    <w:rsid w:val="006A5682"/>
    <w:pPr>
      <w:spacing w:after="240" w:line="300" w:lineRule="atLeast"/>
    </w:pPr>
    <w:rPr>
      <w:rFonts w:eastAsia="Times New Roman" w:cs="Times New Roman"/>
      <w:color w:val="000000" w:themeColor="text1"/>
      <w:sz w:val="22"/>
      <w:lang w:eastAsia="en-GB"/>
    </w:rPr>
  </w:style>
  <w:style w:type="character" w:customStyle="1" w:styleId="AOBodyTextChar">
    <w:name w:val="AO Body Text Char"/>
    <w:basedOn w:val="DefaultParagraphFont"/>
    <w:link w:val="AOBodyText"/>
    <w:rsid w:val="006A5682"/>
    <w:rPr>
      <w:rFonts w:ascii="Calibri" w:eastAsia="Times New Roman" w:hAnsi="Calibri" w:cs="Times New Roman"/>
      <w:color w:val="000000" w:themeColor="text1"/>
      <w:lang w:eastAsia="en-GB"/>
    </w:rPr>
  </w:style>
  <w:style w:type="paragraph" w:customStyle="1" w:styleId="AOBulletLevel1">
    <w:name w:val="AO Bullet Level 1"/>
    <w:basedOn w:val="AOBodyText"/>
    <w:qFormat/>
    <w:rsid w:val="006A5682"/>
    <w:pPr>
      <w:numPr>
        <w:numId w:val="31"/>
      </w:numPr>
      <w:tabs>
        <w:tab w:val="num" w:pos="567"/>
      </w:tabs>
      <w:ind w:left="567" w:hanging="283"/>
    </w:pPr>
  </w:style>
  <w:style w:type="paragraph" w:customStyle="1" w:styleId="AOBulletLevel2">
    <w:name w:val="AO Bullet Level 2"/>
    <w:basedOn w:val="Normal"/>
    <w:qFormat/>
    <w:rsid w:val="006A5682"/>
    <w:pPr>
      <w:numPr>
        <w:ilvl w:val="1"/>
        <w:numId w:val="31"/>
      </w:numPr>
      <w:spacing w:after="240" w:line="300" w:lineRule="atLeast"/>
    </w:pPr>
    <w:rPr>
      <w:rFonts w:eastAsia="Times New Roman" w:cs="Times New Roman"/>
      <w:color w:val="000000" w:themeColor="text1"/>
      <w:sz w:val="22"/>
      <w:lang w:eastAsia="en-GB"/>
    </w:rPr>
  </w:style>
  <w:style w:type="paragraph" w:customStyle="1" w:styleId="AOBulletLevel3">
    <w:name w:val="AO Bullet Level 3"/>
    <w:basedOn w:val="Normal"/>
    <w:qFormat/>
    <w:rsid w:val="006A5682"/>
    <w:pPr>
      <w:numPr>
        <w:ilvl w:val="2"/>
        <w:numId w:val="31"/>
      </w:numPr>
      <w:spacing w:after="240" w:line="300" w:lineRule="atLeast"/>
    </w:pPr>
    <w:rPr>
      <w:rFonts w:eastAsia="Times New Roman" w:cs="Times New Roman"/>
      <w:color w:val="000000" w:themeColor="text1"/>
      <w:sz w:val="22"/>
      <w:lang w:eastAsia="en-GB"/>
    </w:rPr>
  </w:style>
  <w:style w:type="paragraph" w:styleId="BlockText">
    <w:name w:val="Block Text"/>
    <w:basedOn w:val="Normal"/>
    <w:uiPriority w:val="99"/>
    <w:semiHidden/>
    <w:unhideWhenUsed/>
    <w:rsid w:val="00DF5A1A"/>
    <w:pPr>
      <w:pBdr>
        <w:top w:val="single" w:sz="2" w:space="10" w:color="2BB673" w:themeColor="accent1"/>
        <w:left w:val="single" w:sz="2" w:space="10" w:color="2BB673" w:themeColor="accent1"/>
        <w:bottom w:val="single" w:sz="2" w:space="10" w:color="2BB673" w:themeColor="accent1"/>
        <w:right w:val="single" w:sz="2" w:space="10" w:color="2BB673" w:themeColor="accent1"/>
      </w:pBdr>
      <w:ind w:left="1152" w:right="1152"/>
    </w:pPr>
    <w:rPr>
      <w:rFonts w:asciiTheme="minorHAnsi" w:eastAsiaTheme="minorEastAsia" w:hAnsiTheme="minorHAnsi"/>
      <w:i/>
      <w:iCs/>
      <w:color w:val="2BB673" w:themeColor="accent1"/>
    </w:rPr>
  </w:style>
  <w:style w:type="paragraph" w:styleId="BodyText2">
    <w:name w:val="Body Text 2"/>
    <w:basedOn w:val="Normal"/>
    <w:link w:val="BodyText2Char"/>
    <w:uiPriority w:val="99"/>
    <w:semiHidden/>
    <w:unhideWhenUsed/>
    <w:rsid w:val="00DF5A1A"/>
    <w:pPr>
      <w:spacing w:after="120" w:line="480" w:lineRule="auto"/>
    </w:pPr>
  </w:style>
  <w:style w:type="character" w:customStyle="1" w:styleId="BodyText2Char">
    <w:name w:val="Body Text 2 Char"/>
    <w:basedOn w:val="DefaultParagraphFont"/>
    <w:link w:val="BodyText2"/>
    <w:uiPriority w:val="99"/>
    <w:semiHidden/>
    <w:rsid w:val="00DF5A1A"/>
    <w:rPr>
      <w:rFonts w:ascii="Calibri" w:hAnsi="Calibri"/>
      <w:color w:val="1E1E1E"/>
      <w:sz w:val="24"/>
    </w:rPr>
  </w:style>
  <w:style w:type="paragraph" w:styleId="BodyText3">
    <w:name w:val="Body Text 3"/>
    <w:basedOn w:val="Normal"/>
    <w:link w:val="BodyText3Char"/>
    <w:uiPriority w:val="99"/>
    <w:semiHidden/>
    <w:unhideWhenUsed/>
    <w:rsid w:val="00DF5A1A"/>
    <w:pPr>
      <w:spacing w:after="120"/>
    </w:pPr>
    <w:rPr>
      <w:sz w:val="16"/>
      <w:szCs w:val="16"/>
    </w:rPr>
  </w:style>
  <w:style w:type="character" w:customStyle="1" w:styleId="BodyText3Char">
    <w:name w:val="Body Text 3 Char"/>
    <w:basedOn w:val="DefaultParagraphFont"/>
    <w:link w:val="BodyText3"/>
    <w:uiPriority w:val="99"/>
    <w:semiHidden/>
    <w:rsid w:val="00DF5A1A"/>
    <w:rPr>
      <w:rFonts w:ascii="Calibri" w:hAnsi="Calibri"/>
      <w:color w:val="1E1E1E"/>
      <w:sz w:val="16"/>
      <w:szCs w:val="16"/>
    </w:rPr>
  </w:style>
  <w:style w:type="paragraph" w:styleId="BodyTextFirstIndent">
    <w:name w:val="Body Text First Indent"/>
    <w:basedOn w:val="BodyText"/>
    <w:link w:val="BodyTextFirstIndentChar"/>
    <w:uiPriority w:val="99"/>
    <w:semiHidden/>
    <w:unhideWhenUsed/>
    <w:rsid w:val="00DF5A1A"/>
    <w:pPr>
      <w:ind w:firstLine="360"/>
    </w:pPr>
  </w:style>
  <w:style w:type="character" w:customStyle="1" w:styleId="BodyTextFirstIndentChar">
    <w:name w:val="Body Text First Indent Char"/>
    <w:basedOn w:val="BodyTextChar"/>
    <w:link w:val="BodyTextFirstIndent"/>
    <w:uiPriority w:val="99"/>
    <w:semiHidden/>
    <w:rsid w:val="00DF5A1A"/>
    <w:rPr>
      <w:rFonts w:ascii="Calibri" w:hAnsi="Calibri"/>
      <w:color w:val="1E1E1E"/>
      <w:sz w:val="24"/>
    </w:rPr>
  </w:style>
  <w:style w:type="paragraph" w:styleId="BodyTextIndent">
    <w:name w:val="Body Text Indent"/>
    <w:basedOn w:val="Normal"/>
    <w:link w:val="BodyTextIndentChar"/>
    <w:uiPriority w:val="99"/>
    <w:semiHidden/>
    <w:unhideWhenUsed/>
    <w:rsid w:val="00DF5A1A"/>
    <w:pPr>
      <w:spacing w:after="120"/>
      <w:ind w:left="283"/>
    </w:pPr>
  </w:style>
  <w:style w:type="character" w:customStyle="1" w:styleId="BodyTextIndentChar">
    <w:name w:val="Body Text Indent Char"/>
    <w:basedOn w:val="DefaultParagraphFont"/>
    <w:link w:val="BodyTextIndent"/>
    <w:uiPriority w:val="99"/>
    <w:semiHidden/>
    <w:rsid w:val="00DF5A1A"/>
    <w:rPr>
      <w:rFonts w:ascii="Calibri" w:hAnsi="Calibri"/>
      <w:color w:val="1E1E1E"/>
      <w:sz w:val="24"/>
    </w:rPr>
  </w:style>
  <w:style w:type="paragraph" w:styleId="BodyTextFirstIndent2">
    <w:name w:val="Body Text First Indent 2"/>
    <w:basedOn w:val="BodyTextIndent"/>
    <w:link w:val="BodyTextFirstIndent2Char"/>
    <w:uiPriority w:val="99"/>
    <w:semiHidden/>
    <w:unhideWhenUsed/>
    <w:rsid w:val="00DF5A1A"/>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DF5A1A"/>
    <w:rPr>
      <w:rFonts w:ascii="Calibri" w:hAnsi="Calibri"/>
      <w:color w:val="1E1E1E"/>
      <w:sz w:val="24"/>
    </w:rPr>
  </w:style>
  <w:style w:type="paragraph" w:styleId="BodyTextIndent2">
    <w:name w:val="Body Text Indent 2"/>
    <w:basedOn w:val="Normal"/>
    <w:link w:val="BodyTextIndent2Char"/>
    <w:uiPriority w:val="99"/>
    <w:semiHidden/>
    <w:unhideWhenUsed/>
    <w:rsid w:val="00DF5A1A"/>
    <w:pPr>
      <w:spacing w:after="120" w:line="480" w:lineRule="auto"/>
      <w:ind w:left="283"/>
    </w:pPr>
  </w:style>
  <w:style w:type="character" w:customStyle="1" w:styleId="BodyTextIndent2Char">
    <w:name w:val="Body Text Indent 2 Char"/>
    <w:basedOn w:val="DefaultParagraphFont"/>
    <w:link w:val="BodyTextIndent2"/>
    <w:uiPriority w:val="99"/>
    <w:semiHidden/>
    <w:rsid w:val="00DF5A1A"/>
    <w:rPr>
      <w:rFonts w:ascii="Calibri" w:hAnsi="Calibri"/>
      <w:color w:val="1E1E1E"/>
      <w:sz w:val="24"/>
    </w:rPr>
  </w:style>
  <w:style w:type="paragraph" w:styleId="BodyTextIndent3">
    <w:name w:val="Body Text Indent 3"/>
    <w:basedOn w:val="Normal"/>
    <w:link w:val="BodyTextIndent3Char"/>
    <w:uiPriority w:val="99"/>
    <w:semiHidden/>
    <w:unhideWhenUsed/>
    <w:rsid w:val="00DF5A1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F5A1A"/>
    <w:rPr>
      <w:rFonts w:ascii="Calibri" w:hAnsi="Calibri"/>
      <w:color w:val="1E1E1E"/>
      <w:sz w:val="16"/>
      <w:szCs w:val="16"/>
    </w:rPr>
  </w:style>
  <w:style w:type="character" w:styleId="BookTitle">
    <w:name w:val="Book Title"/>
    <w:basedOn w:val="DefaultParagraphFont"/>
    <w:uiPriority w:val="33"/>
    <w:semiHidden/>
    <w:rsid w:val="00DF5A1A"/>
    <w:rPr>
      <w:b/>
      <w:bCs/>
      <w:i/>
      <w:iCs/>
      <w:spacing w:val="5"/>
    </w:rPr>
  </w:style>
  <w:style w:type="paragraph" w:styleId="Closing">
    <w:name w:val="Closing"/>
    <w:basedOn w:val="Normal"/>
    <w:link w:val="ClosingChar"/>
    <w:uiPriority w:val="99"/>
    <w:semiHidden/>
    <w:unhideWhenUsed/>
    <w:rsid w:val="00DF5A1A"/>
    <w:pPr>
      <w:spacing w:after="0" w:line="240" w:lineRule="auto"/>
      <w:ind w:left="4252"/>
    </w:pPr>
  </w:style>
  <w:style w:type="character" w:customStyle="1" w:styleId="ClosingChar">
    <w:name w:val="Closing Char"/>
    <w:basedOn w:val="DefaultParagraphFont"/>
    <w:link w:val="Closing"/>
    <w:uiPriority w:val="99"/>
    <w:semiHidden/>
    <w:rsid w:val="00DF5A1A"/>
    <w:rPr>
      <w:rFonts w:ascii="Calibri" w:hAnsi="Calibri"/>
      <w:color w:val="1E1E1E"/>
      <w:sz w:val="24"/>
    </w:rPr>
  </w:style>
  <w:style w:type="table" w:styleId="ColourfulGrid">
    <w:name w:val="Colorful Grid"/>
    <w:basedOn w:val="TableNormal"/>
    <w:uiPriority w:val="73"/>
    <w:semiHidden/>
    <w:unhideWhenUsed/>
    <w:rsid w:val="00DF5A1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DF5A1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F4E3" w:themeFill="accent1" w:themeFillTint="33"/>
    </w:tcPr>
    <w:tblStylePr w:type="firstRow">
      <w:rPr>
        <w:b/>
        <w:bCs/>
      </w:rPr>
      <w:tblPr/>
      <w:tcPr>
        <w:shd w:val="clear" w:color="auto" w:fill="A2E9C7" w:themeFill="accent1" w:themeFillTint="66"/>
      </w:tcPr>
    </w:tblStylePr>
    <w:tblStylePr w:type="lastRow">
      <w:rPr>
        <w:b/>
        <w:bCs/>
        <w:color w:val="000000" w:themeColor="text1"/>
      </w:rPr>
      <w:tblPr/>
      <w:tcPr>
        <w:shd w:val="clear" w:color="auto" w:fill="A2E9C7" w:themeFill="accent1" w:themeFillTint="66"/>
      </w:tcPr>
    </w:tblStylePr>
    <w:tblStylePr w:type="firstCol">
      <w:rPr>
        <w:color w:val="FFFFFF" w:themeColor="background1"/>
      </w:rPr>
      <w:tblPr/>
      <w:tcPr>
        <w:shd w:val="clear" w:color="auto" w:fill="208855" w:themeFill="accent1" w:themeFillShade="BF"/>
      </w:tcPr>
    </w:tblStylePr>
    <w:tblStylePr w:type="lastCol">
      <w:rPr>
        <w:color w:val="FFFFFF" w:themeColor="background1"/>
      </w:rPr>
      <w:tblPr/>
      <w:tcPr>
        <w:shd w:val="clear" w:color="auto" w:fill="208855" w:themeFill="accent1" w:themeFillShade="BF"/>
      </w:tc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ColourfulGridAccent2">
    <w:name w:val="Colorful Grid Accent 2"/>
    <w:basedOn w:val="TableNormal"/>
    <w:uiPriority w:val="73"/>
    <w:semiHidden/>
    <w:unhideWhenUsed/>
    <w:rsid w:val="00DF5A1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F7C9" w:themeFill="accent2" w:themeFillTint="33"/>
    </w:tcPr>
    <w:tblStylePr w:type="firstRow">
      <w:rPr>
        <w:b/>
        <w:bCs/>
      </w:rPr>
      <w:tblPr/>
      <w:tcPr>
        <w:shd w:val="clear" w:color="auto" w:fill="DCEF94" w:themeFill="accent2" w:themeFillTint="66"/>
      </w:tcPr>
    </w:tblStylePr>
    <w:tblStylePr w:type="lastRow">
      <w:rPr>
        <w:b/>
        <w:bCs/>
        <w:color w:val="000000" w:themeColor="text1"/>
      </w:rPr>
      <w:tblPr/>
      <w:tcPr>
        <w:shd w:val="clear" w:color="auto" w:fill="DCEF94" w:themeFill="accent2" w:themeFillTint="66"/>
      </w:tcPr>
    </w:tblStylePr>
    <w:tblStylePr w:type="firstCol">
      <w:rPr>
        <w:color w:val="FFFFFF" w:themeColor="background1"/>
      </w:rPr>
      <w:tblPr/>
      <w:tcPr>
        <w:shd w:val="clear" w:color="auto" w:fill="6D8613" w:themeFill="accent2" w:themeFillShade="BF"/>
      </w:tcPr>
    </w:tblStylePr>
    <w:tblStylePr w:type="lastCol">
      <w:rPr>
        <w:color w:val="FFFFFF" w:themeColor="background1"/>
      </w:rPr>
      <w:tblPr/>
      <w:tcPr>
        <w:shd w:val="clear" w:color="auto" w:fill="6D8613" w:themeFill="accent2" w:themeFillShade="BF"/>
      </w:tc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ColourfulGridAccent3">
    <w:name w:val="Colorful Grid Accent 3"/>
    <w:basedOn w:val="TableNormal"/>
    <w:uiPriority w:val="73"/>
    <w:semiHidden/>
    <w:unhideWhenUsed/>
    <w:rsid w:val="00DF5A1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1D7" w:themeFill="accent3" w:themeFillTint="33"/>
    </w:tcPr>
    <w:tblStylePr w:type="firstRow">
      <w:rPr>
        <w:b/>
        <w:bCs/>
      </w:rPr>
      <w:tblPr/>
      <w:tcPr>
        <w:shd w:val="clear" w:color="auto" w:fill="F9C3B0" w:themeFill="accent3" w:themeFillTint="66"/>
      </w:tcPr>
    </w:tblStylePr>
    <w:tblStylePr w:type="lastRow">
      <w:rPr>
        <w:b/>
        <w:bCs/>
        <w:color w:val="000000" w:themeColor="text1"/>
      </w:rPr>
      <w:tblPr/>
      <w:tcPr>
        <w:shd w:val="clear" w:color="auto" w:fill="F9C3B0" w:themeFill="accent3" w:themeFillTint="66"/>
      </w:tcPr>
    </w:tblStylePr>
    <w:tblStylePr w:type="firstCol">
      <w:rPr>
        <w:color w:val="FFFFFF" w:themeColor="background1"/>
      </w:rPr>
      <w:tblPr/>
      <w:tcPr>
        <w:shd w:val="clear" w:color="auto" w:fill="CF4110" w:themeFill="accent3" w:themeFillShade="BF"/>
      </w:tcPr>
    </w:tblStylePr>
    <w:tblStylePr w:type="lastCol">
      <w:rPr>
        <w:color w:val="FFFFFF" w:themeColor="background1"/>
      </w:rPr>
      <w:tblPr/>
      <w:tcPr>
        <w:shd w:val="clear" w:color="auto" w:fill="CF4110" w:themeFill="accent3" w:themeFillShade="BF"/>
      </w:tc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ColourfulGridAccent4">
    <w:name w:val="Colorful Grid Accent 4"/>
    <w:basedOn w:val="TableNormal"/>
    <w:uiPriority w:val="73"/>
    <w:semiHidden/>
    <w:unhideWhenUsed/>
    <w:rsid w:val="00DF5A1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DFF4" w:themeFill="accent4" w:themeFillTint="33"/>
    </w:tcPr>
    <w:tblStylePr w:type="firstRow">
      <w:rPr>
        <w:b/>
        <w:bCs/>
      </w:rPr>
      <w:tblPr/>
      <w:tcPr>
        <w:shd w:val="clear" w:color="auto" w:fill="D4BFEA" w:themeFill="accent4" w:themeFillTint="66"/>
      </w:tcPr>
    </w:tblStylePr>
    <w:tblStylePr w:type="lastRow">
      <w:rPr>
        <w:b/>
        <w:bCs/>
        <w:color w:val="000000" w:themeColor="text1"/>
      </w:rPr>
      <w:tblPr/>
      <w:tcPr>
        <w:shd w:val="clear" w:color="auto" w:fill="D4BFEA" w:themeFill="accent4" w:themeFillTint="66"/>
      </w:tcPr>
    </w:tblStylePr>
    <w:tblStylePr w:type="firstCol">
      <w:rPr>
        <w:color w:val="FFFFFF" w:themeColor="background1"/>
      </w:rPr>
      <w:tblPr/>
      <w:tcPr>
        <w:shd w:val="clear" w:color="auto" w:fill="6E37AA" w:themeFill="accent4" w:themeFillShade="BF"/>
      </w:tcPr>
    </w:tblStylePr>
    <w:tblStylePr w:type="lastCol">
      <w:rPr>
        <w:color w:val="FFFFFF" w:themeColor="background1"/>
      </w:rPr>
      <w:tblPr/>
      <w:tcPr>
        <w:shd w:val="clear" w:color="auto" w:fill="6E37AA" w:themeFill="accent4" w:themeFillShade="BF"/>
      </w:tc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ColourfulGridAccent5">
    <w:name w:val="Colorful Grid Accent 5"/>
    <w:basedOn w:val="TableNormal"/>
    <w:uiPriority w:val="73"/>
    <w:semiHidden/>
    <w:unhideWhenUsed/>
    <w:rsid w:val="00DF5A1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F6FF" w:themeFill="accent5" w:themeFillTint="33"/>
    </w:tcPr>
    <w:tblStylePr w:type="firstRow">
      <w:rPr>
        <w:b/>
        <w:bCs/>
      </w:rPr>
      <w:tblPr/>
      <w:tcPr>
        <w:shd w:val="clear" w:color="auto" w:fill="82EEFF" w:themeFill="accent5" w:themeFillTint="66"/>
      </w:tcPr>
    </w:tblStylePr>
    <w:tblStylePr w:type="lastRow">
      <w:rPr>
        <w:b/>
        <w:bCs/>
        <w:color w:val="000000" w:themeColor="text1"/>
      </w:rPr>
      <w:tblPr/>
      <w:tcPr>
        <w:shd w:val="clear" w:color="auto" w:fill="82EEFF" w:themeFill="accent5" w:themeFillTint="66"/>
      </w:tcPr>
    </w:tblStylePr>
    <w:tblStylePr w:type="firstCol">
      <w:rPr>
        <w:color w:val="FFFFFF" w:themeColor="background1"/>
      </w:rPr>
      <w:tblPr/>
      <w:tcPr>
        <w:shd w:val="clear" w:color="auto" w:fill="008094" w:themeFill="accent5" w:themeFillShade="BF"/>
      </w:tcPr>
    </w:tblStylePr>
    <w:tblStylePr w:type="lastCol">
      <w:rPr>
        <w:color w:val="FFFFFF" w:themeColor="background1"/>
      </w:rPr>
      <w:tblPr/>
      <w:tcPr>
        <w:shd w:val="clear" w:color="auto" w:fill="008094" w:themeFill="accent5" w:themeFillShade="BF"/>
      </w:tc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ColourfulGridAccent6">
    <w:name w:val="Colorful Grid Accent 6"/>
    <w:basedOn w:val="TableNormal"/>
    <w:uiPriority w:val="73"/>
    <w:semiHidden/>
    <w:unhideWhenUsed/>
    <w:rsid w:val="00DF5A1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8CD" w:themeFill="accent6" w:themeFillTint="33"/>
    </w:tcPr>
    <w:tblStylePr w:type="firstRow">
      <w:rPr>
        <w:b/>
        <w:bCs/>
      </w:rPr>
      <w:tblPr/>
      <w:tcPr>
        <w:shd w:val="clear" w:color="auto" w:fill="FED19C" w:themeFill="accent6" w:themeFillTint="66"/>
      </w:tcPr>
    </w:tblStylePr>
    <w:tblStylePr w:type="lastRow">
      <w:rPr>
        <w:b/>
        <w:bCs/>
        <w:color w:val="000000" w:themeColor="text1"/>
      </w:rPr>
      <w:tblPr/>
      <w:tcPr>
        <w:shd w:val="clear" w:color="auto" w:fill="FED19C" w:themeFill="accent6" w:themeFillTint="66"/>
      </w:tcPr>
    </w:tblStylePr>
    <w:tblStylePr w:type="firstCol">
      <w:rPr>
        <w:color w:val="FFFFFF" w:themeColor="background1"/>
      </w:rPr>
      <w:tblPr/>
      <w:tcPr>
        <w:shd w:val="clear" w:color="auto" w:fill="C36B01" w:themeFill="accent6" w:themeFillShade="BF"/>
      </w:tcPr>
    </w:tblStylePr>
    <w:tblStylePr w:type="lastCol">
      <w:rPr>
        <w:color w:val="FFFFFF" w:themeColor="background1"/>
      </w:rPr>
      <w:tblPr/>
      <w:tcPr>
        <w:shd w:val="clear" w:color="auto" w:fill="C36B01" w:themeFill="accent6" w:themeFillShade="BF"/>
      </w:tc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ColourfulList">
    <w:name w:val="Colorful List"/>
    <w:basedOn w:val="TableNormal"/>
    <w:uiPriority w:val="72"/>
    <w:semiHidden/>
    <w:unhideWhenUsed/>
    <w:rsid w:val="00DF5A1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DF5A1A"/>
    <w:pPr>
      <w:spacing w:after="0" w:line="240" w:lineRule="auto"/>
    </w:pPr>
    <w:rPr>
      <w:color w:val="000000" w:themeColor="text1"/>
    </w:rPr>
    <w:tblPr>
      <w:tblStyleRowBandSize w:val="1"/>
      <w:tblStyleColBandSize w:val="1"/>
    </w:tblPr>
    <w:tcPr>
      <w:shd w:val="clear" w:color="auto" w:fill="E8F9F1" w:themeFill="accent1"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F1DC" w:themeFill="accent1" w:themeFillTint="3F"/>
      </w:tcPr>
    </w:tblStylePr>
    <w:tblStylePr w:type="band1Horz">
      <w:tblPr/>
      <w:tcPr>
        <w:shd w:val="clear" w:color="auto" w:fill="D0F4E3" w:themeFill="accent1" w:themeFillTint="33"/>
      </w:tcPr>
    </w:tblStylePr>
  </w:style>
  <w:style w:type="table" w:styleId="ColourfulListAccent2">
    <w:name w:val="Colorful List Accent 2"/>
    <w:basedOn w:val="TableNormal"/>
    <w:uiPriority w:val="72"/>
    <w:semiHidden/>
    <w:unhideWhenUsed/>
    <w:rsid w:val="00DF5A1A"/>
    <w:pPr>
      <w:spacing w:after="0" w:line="240" w:lineRule="auto"/>
    </w:pPr>
    <w:rPr>
      <w:color w:val="000000" w:themeColor="text1"/>
    </w:rPr>
    <w:tblPr>
      <w:tblStyleRowBandSize w:val="1"/>
      <w:tblStyleColBandSize w:val="1"/>
    </w:tblPr>
    <w:tcPr>
      <w:shd w:val="clear" w:color="auto" w:fill="F6FBE4" w:themeFill="accent2" w:themeFillTint="19"/>
    </w:tcPr>
    <w:tblStylePr w:type="firstRow">
      <w:rPr>
        <w:b/>
        <w:bCs/>
        <w:color w:val="FFFFFF" w:themeColor="background1"/>
      </w:rPr>
      <w:tblPr/>
      <w:tcPr>
        <w:tcBorders>
          <w:bottom w:val="single" w:sz="12" w:space="0" w:color="FFFFFF" w:themeColor="background1"/>
        </w:tcBorders>
        <w:shd w:val="clear" w:color="auto" w:fill="758F14" w:themeFill="accent2" w:themeFillShade="CC"/>
      </w:tcPr>
    </w:tblStylePr>
    <w:tblStylePr w:type="lastRow">
      <w:rPr>
        <w:b/>
        <w:bCs/>
        <w:color w:val="758F1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5BD" w:themeFill="accent2" w:themeFillTint="3F"/>
      </w:tcPr>
    </w:tblStylePr>
    <w:tblStylePr w:type="band1Horz">
      <w:tblPr/>
      <w:tcPr>
        <w:shd w:val="clear" w:color="auto" w:fill="EDF7C9" w:themeFill="accent2" w:themeFillTint="33"/>
      </w:tcPr>
    </w:tblStylePr>
  </w:style>
  <w:style w:type="table" w:styleId="ColourfulListAccent3">
    <w:name w:val="Colorful List Accent 3"/>
    <w:basedOn w:val="TableNormal"/>
    <w:uiPriority w:val="72"/>
    <w:semiHidden/>
    <w:unhideWhenUsed/>
    <w:rsid w:val="00DF5A1A"/>
    <w:pPr>
      <w:spacing w:after="0" w:line="240" w:lineRule="auto"/>
    </w:pPr>
    <w:rPr>
      <w:color w:val="000000" w:themeColor="text1"/>
    </w:rPr>
    <w:tblPr>
      <w:tblStyleRowBandSize w:val="1"/>
      <w:tblStyleColBandSize w:val="1"/>
    </w:tblPr>
    <w:tcPr>
      <w:shd w:val="clear" w:color="auto" w:fill="FDF0EB" w:themeFill="accent3" w:themeFillTint="19"/>
    </w:tcPr>
    <w:tblStylePr w:type="firstRow">
      <w:rPr>
        <w:b/>
        <w:bCs/>
        <w:color w:val="FFFFFF" w:themeColor="background1"/>
      </w:rPr>
      <w:tblPr/>
      <w:tcPr>
        <w:tcBorders>
          <w:bottom w:val="single" w:sz="12" w:space="0" w:color="FFFFFF" w:themeColor="background1"/>
        </w:tcBorders>
        <w:shd w:val="clear" w:color="auto" w:fill="763AB5" w:themeFill="accent4" w:themeFillShade="CC"/>
      </w:tcPr>
    </w:tblStylePr>
    <w:tblStylePr w:type="lastRow">
      <w:rPr>
        <w:b/>
        <w:bCs/>
        <w:color w:val="763AB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9CE" w:themeFill="accent3" w:themeFillTint="3F"/>
      </w:tcPr>
    </w:tblStylePr>
    <w:tblStylePr w:type="band1Horz">
      <w:tblPr/>
      <w:tcPr>
        <w:shd w:val="clear" w:color="auto" w:fill="FCE1D7" w:themeFill="accent3" w:themeFillTint="33"/>
      </w:tcPr>
    </w:tblStylePr>
  </w:style>
  <w:style w:type="table" w:styleId="ColourfulListAccent4">
    <w:name w:val="Colorful List Accent 4"/>
    <w:basedOn w:val="TableNormal"/>
    <w:uiPriority w:val="72"/>
    <w:semiHidden/>
    <w:unhideWhenUsed/>
    <w:rsid w:val="00DF5A1A"/>
    <w:pPr>
      <w:spacing w:after="0" w:line="240" w:lineRule="auto"/>
    </w:pPr>
    <w:rPr>
      <w:color w:val="000000" w:themeColor="text1"/>
    </w:rPr>
    <w:tblPr>
      <w:tblStyleRowBandSize w:val="1"/>
      <w:tblStyleColBandSize w:val="1"/>
    </w:tblPr>
    <w:tcPr>
      <w:shd w:val="clear" w:color="auto" w:fill="F4EFFA" w:themeFill="accent4" w:themeFillTint="19"/>
    </w:tcPr>
    <w:tblStylePr w:type="firstRow">
      <w:rPr>
        <w:b/>
        <w:bCs/>
        <w:color w:val="FFFFFF" w:themeColor="background1"/>
      </w:rPr>
      <w:tblPr/>
      <w:tcPr>
        <w:tcBorders>
          <w:bottom w:val="single" w:sz="12" w:space="0" w:color="FFFFFF" w:themeColor="background1"/>
        </w:tcBorders>
        <w:shd w:val="clear" w:color="auto" w:fill="DD4611" w:themeFill="accent3" w:themeFillShade="CC"/>
      </w:tcPr>
    </w:tblStylePr>
    <w:tblStylePr w:type="lastRow">
      <w:rPr>
        <w:b/>
        <w:bCs/>
        <w:color w:val="DD461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D7F2" w:themeFill="accent4" w:themeFillTint="3F"/>
      </w:tcPr>
    </w:tblStylePr>
    <w:tblStylePr w:type="band1Horz">
      <w:tblPr/>
      <w:tcPr>
        <w:shd w:val="clear" w:color="auto" w:fill="E9DFF4" w:themeFill="accent4" w:themeFillTint="33"/>
      </w:tcPr>
    </w:tblStylePr>
  </w:style>
  <w:style w:type="table" w:styleId="ColourfulListAccent5">
    <w:name w:val="Colorful List Accent 5"/>
    <w:basedOn w:val="TableNormal"/>
    <w:uiPriority w:val="72"/>
    <w:semiHidden/>
    <w:unhideWhenUsed/>
    <w:rsid w:val="00DF5A1A"/>
    <w:pPr>
      <w:spacing w:after="0" w:line="240" w:lineRule="auto"/>
    </w:pPr>
    <w:rPr>
      <w:color w:val="000000" w:themeColor="text1"/>
    </w:rPr>
    <w:tblPr>
      <w:tblStyleRowBandSize w:val="1"/>
      <w:tblStyleColBandSize w:val="1"/>
    </w:tblPr>
    <w:tcPr>
      <w:shd w:val="clear" w:color="auto" w:fill="E0FBFF" w:themeFill="accent5" w:themeFillTint="19"/>
    </w:tcPr>
    <w:tblStylePr w:type="firstRow">
      <w:rPr>
        <w:b/>
        <w:bCs/>
        <w:color w:val="FFFFFF" w:themeColor="background1"/>
      </w:rPr>
      <w:tblPr/>
      <w:tcPr>
        <w:tcBorders>
          <w:bottom w:val="single" w:sz="12" w:space="0" w:color="FFFFFF" w:themeColor="background1"/>
        </w:tcBorders>
        <w:shd w:val="clear" w:color="auto" w:fill="D07201" w:themeFill="accent6" w:themeFillShade="CC"/>
      </w:tcPr>
    </w:tblStylePr>
    <w:tblStylePr w:type="lastRow">
      <w:rPr>
        <w:b/>
        <w:bCs/>
        <w:color w:val="D0720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F4FF" w:themeFill="accent5" w:themeFillTint="3F"/>
      </w:tcPr>
    </w:tblStylePr>
    <w:tblStylePr w:type="band1Horz">
      <w:tblPr/>
      <w:tcPr>
        <w:shd w:val="clear" w:color="auto" w:fill="C0F6FF" w:themeFill="accent5" w:themeFillTint="33"/>
      </w:tcPr>
    </w:tblStylePr>
  </w:style>
  <w:style w:type="table" w:styleId="ColourfulListAccent6">
    <w:name w:val="Colorful List Accent 6"/>
    <w:basedOn w:val="TableNormal"/>
    <w:uiPriority w:val="72"/>
    <w:semiHidden/>
    <w:unhideWhenUsed/>
    <w:rsid w:val="00DF5A1A"/>
    <w:pPr>
      <w:spacing w:after="0" w:line="240" w:lineRule="auto"/>
    </w:pPr>
    <w:rPr>
      <w:color w:val="000000" w:themeColor="text1"/>
    </w:rPr>
    <w:tblPr>
      <w:tblStyleRowBandSize w:val="1"/>
      <w:tblStyleColBandSize w:val="1"/>
    </w:tblPr>
    <w:tcPr>
      <w:shd w:val="clear" w:color="auto" w:fill="FEF3E6" w:themeFill="accent6" w:themeFillTint="19"/>
    </w:tcPr>
    <w:tblStylePr w:type="firstRow">
      <w:rPr>
        <w:b/>
        <w:bCs/>
        <w:color w:val="FFFFFF" w:themeColor="background1"/>
      </w:rPr>
      <w:tblPr/>
      <w:tcPr>
        <w:tcBorders>
          <w:bottom w:val="single" w:sz="12" w:space="0" w:color="FFFFFF" w:themeColor="background1"/>
        </w:tcBorders>
        <w:shd w:val="clear" w:color="auto" w:fill="00899E" w:themeFill="accent5" w:themeFillShade="CC"/>
      </w:tcPr>
    </w:tblStylePr>
    <w:tblStylePr w:type="lastRow">
      <w:rPr>
        <w:b/>
        <w:bCs/>
        <w:color w:val="00899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3C2" w:themeFill="accent6" w:themeFillTint="3F"/>
      </w:tcPr>
    </w:tblStylePr>
    <w:tblStylePr w:type="band1Horz">
      <w:tblPr/>
      <w:tcPr>
        <w:shd w:val="clear" w:color="auto" w:fill="FEE8CD" w:themeFill="accent6" w:themeFillTint="33"/>
      </w:tcPr>
    </w:tblStylePr>
  </w:style>
  <w:style w:type="table" w:styleId="ColourfulShading">
    <w:name w:val="Colorful Shading"/>
    <w:basedOn w:val="TableNormal"/>
    <w:uiPriority w:val="71"/>
    <w:semiHidden/>
    <w:unhideWhenUsed/>
    <w:rsid w:val="00DF5A1A"/>
    <w:pPr>
      <w:spacing w:after="0" w:line="240" w:lineRule="auto"/>
    </w:pPr>
    <w:rPr>
      <w:color w:val="000000" w:themeColor="text1"/>
    </w:rPr>
    <w:tblPr>
      <w:tblStyleRowBandSize w:val="1"/>
      <w:tblStyleColBandSize w:val="1"/>
      <w:tblBorders>
        <w:top w:val="single" w:sz="24" w:space="0" w:color="93B4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DF5A1A"/>
    <w:pPr>
      <w:spacing w:after="0" w:line="240" w:lineRule="auto"/>
    </w:pPr>
    <w:rPr>
      <w:color w:val="000000" w:themeColor="text1"/>
    </w:rPr>
    <w:tblPr>
      <w:tblStyleRowBandSize w:val="1"/>
      <w:tblStyleColBandSize w:val="1"/>
      <w:tblBorders>
        <w:top w:val="single" w:sz="24" w:space="0" w:color="93B41A" w:themeColor="accent2"/>
        <w:left w:val="single" w:sz="4" w:space="0" w:color="2BB673" w:themeColor="accent1"/>
        <w:bottom w:val="single" w:sz="4" w:space="0" w:color="2BB673" w:themeColor="accent1"/>
        <w:right w:val="single" w:sz="4" w:space="0" w:color="2BB673" w:themeColor="accent1"/>
        <w:insideH w:val="single" w:sz="4" w:space="0" w:color="FFFFFF" w:themeColor="background1"/>
        <w:insideV w:val="single" w:sz="4" w:space="0" w:color="FFFFFF" w:themeColor="background1"/>
      </w:tblBorders>
    </w:tblPr>
    <w:tcPr>
      <w:shd w:val="clear" w:color="auto" w:fill="E8F9F1" w:themeFill="accent1"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6D44" w:themeFill="accent1" w:themeFillShade="99"/>
      </w:tcPr>
    </w:tblStylePr>
    <w:tblStylePr w:type="firstCol">
      <w:rPr>
        <w:color w:val="FFFFFF" w:themeColor="background1"/>
      </w:rPr>
      <w:tblPr/>
      <w:tcPr>
        <w:tcBorders>
          <w:top w:val="nil"/>
          <w:left w:val="nil"/>
          <w:bottom w:val="nil"/>
          <w:right w:val="nil"/>
          <w:insideH w:val="single" w:sz="4" w:space="0" w:color="196D44" w:themeColor="accent1" w:themeShade="99"/>
          <w:insideV w:val="nil"/>
        </w:tcBorders>
        <w:shd w:val="clear" w:color="auto" w:fill="196D4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96D44" w:themeFill="accent1" w:themeFillShade="99"/>
      </w:tcPr>
    </w:tblStylePr>
    <w:tblStylePr w:type="band1Vert">
      <w:tblPr/>
      <w:tcPr>
        <w:shd w:val="clear" w:color="auto" w:fill="A2E9C7" w:themeFill="accent1" w:themeFillTint="66"/>
      </w:tcPr>
    </w:tblStylePr>
    <w:tblStylePr w:type="band1Horz">
      <w:tblPr/>
      <w:tcPr>
        <w:shd w:val="clear" w:color="auto" w:fill="8CE4B9"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DF5A1A"/>
    <w:pPr>
      <w:spacing w:after="0" w:line="240" w:lineRule="auto"/>
    </w:pPr>
    <w:rPr>
      <w:color w:val="000000" w:themeColor="text1"/>
    </w:rPr>
    <w:tblPr>
      <w:tblStyleRowBandSize w:val="1"/>
      <w:tblStyleColBandSize w:val="1"/>
      <w:tblBorders>
        <w:top w:val="single" w:sz="24" w:space="0" w:color="93B41A" w:themeColor="accent2"/>
        <w:left w:val="single" w:sz="4" w:space="0" w:color="93B41A" w:themeColor="accent2"/>
        <w:bottom w:val="single" w:sz="4" w:space="0" w:color="93B41A" w:themeColor="accent2"/>
        <w:right w:val="single" w:sz="4" w:space="0" w:color="93B41A" w:themeColor="accent2"/>
        <w:insideH w:val="single" w:sz="4" w:space="0" w:color="FFFFFF" w:themeColor="background1"/>
        <w:insideV w:val="single" w:sz="4" w:space="0" w:color="FFFFFF" w:themeColor="background1"/>
      </w:tblBorders>
    </w:tblPr>
    <w:tcPr>
      <w:shd w:val="clear" w:color="auto" w:fill="F6FBE4" w:themeFill="accent2" w:themeFillTint="19"/>
    </w:tcPr>
    <w:tblStylePr w:type="firstRow">
      <w:rPr>
        <w:b/>
        <w:bCs/>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6B0F" w:themeFill="accent2" w:themeFillShade="99"/>
      </w:tcPr>
    </w:tblStylePr>
    <w:tblStylePr w:type="firstCol">
      <w:rPr>
        <w:color w:val="FFFFFF" w:themeColor="background1"/>
      </w:rPr>
      <w:tblPr/>
      <w:tcPr>
        <w:tcBorders>
          <w:top w:val="nil"/>
          <w:left w:val="nil"/>
          <w:bottom w:val="nil"/>
          <w:right w:val="nil"/>
          <w:insideH w:val="single" w:sz="4" w:space="0" w:color="576B0F" w:themeColor="accent2" w:themeShade="99"/>
          <w:insideV w:val="nil"/>
        </w:tcBorders>
        <w:shd w:val="clear" w:color="auto" w:fill="576B0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76B0F" w:themeFill="accent2" w:themeFillShade="99"/>
      </w:tcPr>
    </w:tblStylePr>
    <w:tblStylePr w:type="band1Vert">
      <w:tblPr/>
      <w:tcPr>
        <w:shd w:val="clear" w:color="auto" w:fill="DCEF94" w:themeFill="accent2" w:themeFillTint="66"/>
      </w:tcPr>
    </w:tblStylePr>
    <w:tblStylePr w:type="band1Horz">
      <w:tblPr/>
      <w:tcPr>
        <w:shd w:val="clear" w:color="auto" w:fill="D3EB7A"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DF5A1A"/>
    <w:pPr>
      <w:spacing w:after="0" w:line="240" w:lineRule="auto"/>
    </w:pPr>
    <w:rPr>
      <w:color w:val="000000" w:themeColor="text1"/>
    </w:rPr>
    <w:tblPr>
      <w:tblStyleRowBandSize w:val="1"/>
      <w:tblStyleColBandSize w:val="1"/>
      <w:tblBorders>
        <w:top w:val="single" w:sz="24" w:space="0" w:color="9561CC" w:themeColor="accent4"/>
        <w:left w:val="single" w:sz="4" w:space="0" w:color="F06A3B" w:themeColor="accent3"/>
        <w:bottom w:val="single" w:sz="4" w:space="0" w:color="F06A3B" w:themeColor="accent3"/>
        <w:right w:val="single" w:sz="4" w:space="0" w:color="F06A3B" w:themeColor="accent3"/>
        <w:insideH w:val="single" w:sz="4" w:space="0" w:color="FFFFFF" w:themeColor="background1"/>
        <w:insideV w:val="single" w:sz="4" w:space="0" w:color="FFFFFF" w:themeColor="background1"/>
      </w:tblBorders>
    </w:tblPr>
    <w:tcPr>
      <w:shd w:val="clear" w:color="auto" w:fill="FDF0EB" w:themeFill="accent3" w:themeFillTint="19"/>
    </w:tcPr>
    <w:tblStylePr w:type="firstRow">
      <w:rPr>
        <w:b/>
        <w:bCs/>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6340C" w:themeFill="accent3" w:themeFillShade="99"/>
      </w:tcPr>
    </w:tblStylePr>
    <w:tblStylePr w:type="firstCol">
      <w:rPr>
        <w:color w:val="FFFFFF" w:themeColor="background1"/>
      </w:rPr>
      <w:tblPr/>
      <w:tcPr>
        <w:tcBorders>
          <w:top w:val="nil"/>
          <w:left w:val="nil"/>
          <w:bottom w:val="nil"/>
          <w:right w:val="nil"/>
          <w:insideH w:val="single" w:sz="4" w:space="0" w:color="A6340C" w:themeColor="accent3" w:themeShade="99"/>
          <w:insideV w:val="nil"/>
        </w:tcBorders>
        <w:shd w:val="clear" w:color="auto" w:fill="A6340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6340C" w:themeFill="accent3" w:themeFillShade="99"/>
      </w:tcPr>
    </w:tblStylePr>
    <w:tblStylePr w:type="band1Vert">
      <w:tblPr/>
      <w:tcPr>
        <w:shd w:val="clear" w:color="auto" w:fill="F9C3B0" w:themeFill="accent3" w:themeFillTint="66"/>
      </w:tcPr>
    </w:tblStylePr>
    <w:tblStylePr w:type="band1Horz">
      <w:tblPr/>
      <w:tcPr>
        <w:shd w:val="clear" w:color="auto" w:fill="F7B49D" w:themeFill="accent3" w:themeFillTint="7F"/>
      </w:tcPr>
    </w:tblStylePr>
  </w:style>
  <w:style w:type="table" w:styleId="ColourfulShadingAccent4">
    <w:name w:val="Colorful Shading Accent 4"/>
    <w:basedOn w:val="TableNormal"/>
    <w:uiPriority w:val="71"/>
    <w:semiHidden/>
    <w:unhideWhenUsed/>
    <w:rsid w:val="00DF5A1A"/>
    <w:pPr>
      <w:spacing w:after="0" w:line="240" w:lineRule="auto"/>
    </w:pPr>
    <w:rPr>
      <w:color w:val="000000" w:themeColor="text1"/>
    </w:rPr>
    <w:tblPr>
      <w:tblStyleRowBandSize w:val="1"/>
      <w:tblStyleColBandSize w:val="1"/>
      <w:tblBorders>
        <w:top w:val="single" w:sz="24" w:space="0" w:color="F06A3B" w:themeColor="accent3"/>
        <w:left w:val="single" w:sz="4" w:space="0" w:color="9561CC" w:themeColor="accent4"/>
        <w:bottom w:val="single" w:sz="4" w:space="0" w:color="9561CC" w:themeColor="accent4"/>
        <w:right w:val="single" w:sz="4" w:space="0" w:color="9561CC" w:themeColor="accent4"/>
        <w:insideH w:val="single" w:sz="4" w:space="0" w:color="FFFFFF" w:themeColor="background1"/>
        <w:insideV w:val="single" w:sz="4" w:space="0" w:color="FFFFFF" w:themeColor="background1"/>
      </w:tblBorders>
    </w:tblPr>
    <w:tcPr>
      <w:shd w:val="clear" w:color="auto" w:fill="F4EFFA" w:themeFill="accent4" w:themeFillTint="19"/>
    </w:tcPr>
    <w:tblStylePr w:type="firstRow">
      <w:rPr>
        <w:b/>
        <w:bCs/>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2C88" w:themeFill="accent4" w:themeFillShade="99"/>
      </w:tcPr>
    </w:tblStylePr>
    <w:tblStylePr w:type="firstCol">
      <w:rPr>
        <w:color w:val="FFFFFF" w:themeColor="background1"/>
      </w:rPr>
      <w:tblPr/>
      <w:tcPr>
        <w:tcBorders>
          <w:top w:val="nil"/>
          <w:left w:val="nil"/>
          <w:bottom w:val="nil"/>
          <w:right w:val="nil"/>
          <w:insideH w:val="single" w:sz="4" w:space="0" w:color="582C88" w:themeColor="accent4" w:themeShade="99"/>
          <w:insideV w:val="nil"/>
        </w:tcBorders>
        <w:shd w:val="clear" w:color="auto" w:fill="582C8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82C88" w:themeFill="accent4" w:themeFillShade="99"/>
      </w:tcPr>
    </w:tblStylePr>
    <w:tblStylePr w:type="band1Vert">
      <w:tblPr/>
      <w:tcPr>
        <w:shd w:val="clear" w:color="auto" w:fill="D4BFEA" w:themeFill="accent4" w:themeFillTint="66"/>
      </w:tcPr>
    </w:tblStylePr>
    <w:tblStylePr w:type="band1Horz">
      <w:tblPr/>
      <w:tcPr>
        <w:shd w:val="clear" w:color="auto" w:fill="C9B0E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DF5A1A"/>
    <w:pPr>
      <w:spacing w:after="0" w:line="240" w:lineRule="auto"/>
    </w:pPr>
    <w:rPr>
      <w:color w:val="000000" w:themeColor="text1"/>
    </w:rPr>
    <w:tblPr>
      <w:tblStyleRowBandSize w:val="1"/>
      <w:tblStyleColBandSize w:val="1"/>
      <w:tblBorders>
        <w:top w:val="single" w:sz="24" w:space="0" w:color="FD8F0A" w:themeColor="accent6"/>
        <w:left w:val="single" w:sz="4" w:space="0" w:color="00ADC6" w:themeColor="accent5"/>
        <w:bottom w:val="single" w:sz="4" w:space="0" w:color="00ADC6" w:themeColor="accent5"/>
        <w:right w:val="single" w:sz="4" w:space="0" w:color="00ADC6" w:themeColor="accent5"/>
        <w:insideH w:val="single" w:sz="4" w:space="0" w:color="FFFFFF" w:themeColor="background1"/>
        <w:insideV w:val="single" w:sz="4" w:space="0" w:color="FFFFFF" w:themeColor="background1"/>
      </w:tblBorders>
    </w:tblPr>
    <w:tcPr>
      <w:shd w:val="clear" w:color="auto" w:fill="E0FBFF" w:themeFill="accent5" w:themeFillTint="19"/>
    </w:tcPr>
    <w:tblStylePr w:type="firstRow">
      <w:rPr>
        <w:b/>
        <w:bCs/>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76" w:themeFill="accent5" w:themeFillShade="99"/>
      </w:tcPr>
    </w:tblStylePr>
    <w:tblStylePr w:type="firstCol">
      <w:rPr>
        <w:color w:val="FFFFFF" w:themeColor="background1"/>
      </w:rPr>
      <w:tblPr/>
      <w:tcPr>
        <w:tcBorders>
          <w:top w:val="nil"/>
          <w:left w:val="nil"/>
          <w:bottom w:val="nil"/>
          <w:right w:val="nil"/>
          <w:insideH w:val="single" w:sz="4" w:space="0" w:color="006776" w:themeColor="accent5" w:themeShade="99"/>
          <w:insideV w:val="nil"/>
        </w:tcBorders>
        <w:shd w:val="clear" w:color="auto" w:fill="00677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776" w:themeFill="accent5" w:themeFillShade="99"/>
      </w:tcPr>
    </w:tblStylePr>
    <w:tblStylePr w:type="band1Vert">
      <w:tblPr/>
      <w:tcPr>
        <w:shd w:val="clear" w:color="auto" w:fill="82EEFF" w:themeFill="accent5" w:themeFillTint="66"/>
      </w:tcPr>
    </w:tblStylePr>
    <w:tblStylePr w:type="band1Horz">
      <w:tblPr/>
      <w:tcPr>
        <w:shd w:val="clear" w:color="auto" w:fill="63EA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DF5A1A"/>
    <w:pPr>
      <w:spacing w:after="0" w:line="240" w:lineRule="auto"/>
    </w:pPr>
    <w:rPr>
      <w:color w:val="000000" w:themeColor="text1"/>
    </w:rPr>
    <w:tblPr>
      <w:tblStyleRowBandSize w:val="1"/>
      <w:tblStyleColBandSize w:val="1"/>
      <w:tblBorders>
        <w:top w:val="single" w:sz="24" w:space="0" w:color="00ADC6" w:themeColor="accent5"/>
        <w:left w:val="single" w:sz="4" w:space="0" w:color="FD8F0A" w:themeColor="accent6"/>
        <w:bottom w:val="single" w:sz="4" w:space="0" w:color="FD8F0A" w:themeColor="accent6"/>
        <w:right w:val="single" w:sz="4" w:space="0" w:color="FD8F0A" w:themeColor="accent6"/>
        <w:insideH w:val="single" w:sz="4" w:space="0" w:color="FFFFFF" w:themeColor="background1"/>
        <w:insideV w:val="single" w:sz="4" w:space="0" w:color="FFFFFF" w:themeColor="background1"/>
      </w:tblBorders>
    </w:tblPr>
    <w:tcPr>
      <w:shd w:val="clear" w:color="auto" w:fill="FEF3E6" w:themeFill="accent6" w:themeFillTint="19"/>
    </w:tcPr>
    <w:tblStylePr w:type="firstRow">
      <w:rPr>
        <w:b/>
        <w:bCs/>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5501" w:themeFill="accent6" w:themeFillShade="99"/>
      </w:tcPr>
    </w:tblStylePr>
    <w:tblStylePr w:type="firstCol">
      <w:rPr>
        <w:color w:val="FFFFFF" w:themeColor="background1"/>
      </w:rPr>
      <w:tblPr/>
      <w:tcPr>
        <w:tcBorders>
          <w:top w:val="nil"/>
          <w:left w:val="nil"/>
          <w:bottom w:val="nil"/>
          <w:right w:val="nil"/>
          <w:insideH w:val="single" w:sz="4" w:space="0" w:color="9C5501" w:themeColor="accent6" w:themeShade="99"/>
          <w:insideV w:val="nil"/>
        </w:tcBorders>
        <w:shd w:val="clear" w:color="auto" w:fill="9C55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C5501" w:themeFill="accent6" w:themeFillShade="99"/>
      </w:tcPr>
    </w:tblStylePr>
    <w:tblStylePr w:type="band1Vert">
      <w:tblPr/>
      <w:tcPr>
        <w:shd w:val="clear" w:color="auto" w:fill="FED19C" w:themeFill="accent6" w:themeFillTint="66"/>
      </w:tcPr>
    </w:tblStylePr>
    <w:tblStylePr w:type="band1Horz">
      <w:tblPr/>
      <w:tcPr>
        <w:shd w:val="clear" w:color="auto" w:fill="FEC684"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F5A1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F5A1A"/>
    <w:pPr>
      <w:spacing w:after="0" w:line="240" w:lineRule="auto"/>
    </w:pPr>
    <w:rPr>
      <w:color w:val="FFFFFF" w:themeColor="background1"/>
    </w:rPr>
    <w:tblPr>
      <w:tblStyleRowBandSize w:val="1"/>
      <w:tblStyleColBandSize w:val="1"/>
    </w:tblPr>
    <w:tcPr>
      <w:shd w:val="clear" w:color="auto" w:fill="2BB67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5A3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0885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08855" w:themeFill="accent1" w:themeFillShade="BF"/>
      </w:tcPr>
    </w:tblStylePr>
    <w:tblStylePr w:type="band1Vert">
      <w:tblPr/>
      <w:tcPr>
        <w:tcBorders>
          <w:top w:val="nil"/>
          <w:left w:val="nil"/>
          <w:bottom w:val="nil"/>
          <w:right w:val="nil"/>
          <w:insideH w:val="nil"/>
          <w:insideV w:val="nil"/>
        </w:tcBorders>
        <w:shd w:val="clear" w:color="auto" w:fill="208855" w:themeFill="accent1" w:themeFillShade="BF"/>
      </w:tcPr>
    </w:tblStylePr>
    <w:tblStylePr w:type="band1Horz">
      <w:tblPr/>
      <w:tcPr>
        <w:tcBorders>
          <w:top w:val="nil"/>
          <w:left w:val="nil"/>
          <w:bottom w:val="nil"/>
          <w:right w:val="nil"/>
          <w:insideH w:val="nil"/>
          <w:insideV w:val="nil"/>
        </w:tcBorders>
        <w:shd w:val="clear" w:color="auto" w:fill="208855" w:themeFill="accent1" w:themeFillShade="BF"/>
      </w:tcPr>
    </w:tblStylePr>
  </w:style>
  <w:style w:type="table" w:styleId="DarkList-Accent2">
    <w:name w:val="Dark List Accent 2"/>
    <w:basedOn w:val="TableNormal"/>
    <w:uiPriority w:val="70"/>
    <w:semiHidden/>
    <w:unhideWhenUsed/>
    <w:rsid w:val="00DF5A1A"/>
    <w:pPr>
      <w:spacing w:after="0" w:line="240" w:lineRule="auto"/>
    </w:pPr>
    <w:rPr>
      <w:color w:val="FFFFFF" w:themeColor="background1"/>
    </w:rPr>
    <w:tblPr>
      <w:tblStyleRowBandSize w:val="1"/>
      <w:tblStyleColBandSize w:val="1"/>
    </w:tblPr>
    <w:tcPr>
      <w:shd w:val="clear" w:color="auto" w:fill="93B4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59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D861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D8613" w:themeFill="accent2" w:themeFillShade="BF"/>
      </w:tcPr>
    </w:tblStylePr>
    <w:tblStylePr w:type="band1Vert">
      <w:tblPr/>
      <w:tcPr>
        <w:tcBorders>
          <w:top w:val="nil"/>
          <w:left w:val="nil"/>
          <w:bottom w:val="nil"/>
          <w:right w:val="nil"/>
          <w:insideH w:val="nil"/>
          <w:insideV w:val="nil"/>
        </w:tcBorders>
        <w:shd w:val="clear" w:color="auto" w:fill="6D8613" w:themeFill="accent2" w:themeFillShade="BF"/>
      </w:tcPr>
    </w:tblStylePr>
    <w:tblStylePr w:type="band1Horz">
      <w:tblPr/>
      <w:tcPr>
        <w:tcBorders>
          <w:top w:val="nil"/>
          <w:left w:val="nil"/>
          <w:bottom w:val="nil"/>
          <w:right w:val="nil"/>
          <w:insideH w:val="nil"/>
          <w:insideV w:val="nil"/>
        </w:tcBorders>
        <w:shd w:val="clear" w:color="auto" w:fill="6D8613" w:themeFill="accent2" w:themeFillShade="BF"/>
      </w:tcPr>
    </w:tblStylePr>
  </w:style>
  <w:style w:type="table" w:styleId="DarkList-Accent3">
    <w:name w:val="Dark List Accent 3"/>
    <w:basedOn w:val="TableNormal"/>
    <w:uiPriority w:val="70"/>
    <w:semiHidden/>
    <w:unhideWhenUsed/>
    <w:rsid w:val="00DF5A1A"/>
    <w:pPr>
      <w:spacing w:after="0" w:line="240" w:lineRule="auto"/>
    </w:pPr>
    <w:rPr>
      <w:color w:val="FFFFFF" w:themeColor="background1"/>
    </w:rPr>
    <w:tblPr>
      <w:tblStyleRowBandSize w:val="1"/>
      <w:tblStyleColBandSize w:val="1"/>
    </w:tblPr>
    <w:tcPr>
      <w:shd w:val="clear" w:color="auto" w:fill="F06A3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2B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F411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F4110" w:themeFill="accent3" w:themeFillShade="BF"/>
      </w:tcPr>
    </w:tblStylePr>
    <w:tblStylePr w:type="band1Vert">
      <w:tblPr/>
      <w:tcPr>
        <w:tcBorders>
          <w:top w:val="nil"/>
          <w:left w:val="nil"/>
          <w:bottom w:val="nil"/>
          <w:right w:val="nil"/>
          <w:insideH w:val="nil"/>
          <w:insideV w:val="nil"/>
        </w:tcBorders>
        <w:shd w:val="clear" w:color="auto" w:fill="CF4110" w:themeFill="accent3" w:themeFillShade="BF"/>
      </w:tcPr>
    </w:tblStylePr>
    <w:tblStylePr w:type="band1Horz">
      <w:tblPr/>
      <w:tcPr>
        <w:tcBorders>
          <w:top w:val="nil"/>
          <w:left w:val="nil"/>
          <w:bottom w:val="nil"/>
          <w:right w:val="nil"/>
          <w:insideH w:val="nil"/>
          <w:insideV w:val="nil"/>
        </w:tcBorders>
        <w:shd w:val="clear" w:color="auto" w:fill="CF4110" w:themeFill="accent3" w:themeFillShade="BF"/>
      </w:tcPr>
    </w:tblStylePr>
  </w:style>
  <w:style w:type="table" w:styleId="DarkList-Accent4">
    <w:name w:val="Dark List Accent 4"/>
    <w:basedOn w:val="TableNormal"/>
    <w:uiPriority w:val="70"/>
    <w:semiHidden/>
    <w:unhideWhenUsed/>
    <w:rsid w:val="00DF5A1A"/>
    <w:pPr>
      <w:spacing w:after="0" w:line="240" w:lineRule="auto"/>
    </w:pPr>
    <w:rPr>
      <w:color w:val="FFFFFF" w:themeColor="background1"/>
    </w:rPr>
    <w:tblPr>
      <w:tblStyleRowBandSize w:val="1"/>
      <w:tblStyleColBandSize w:val="1"/>
    </w:tblPr>
    <w:tcPr>
      <w:shd w:val="clear" w:color="auto" w:fill="9561C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247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E37A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E37AA" w:themeFill="accent4" w:themeFillShade="BF"/>
      </w:tcPr>
    </w:tblStylePr>
    <w:tblStylePr w:type="band1Vert">
      <w:tblPr/>
      <w:tcPr>
        <w:tcBorders>
          <w:top w:val="nil"/>
          <w:left w:val="nil"/>
          <w:bottom w:val="nil"/>
          <w:right w:val="nil"/>
          <w:insideH w:val="nil"/>
          <w:insideV w:val="nil"/>
        </w:tcBorders>
        <w:shd w:val="clear" w:color="auto" w:fill="6E37AA" w:themeFill="accent4" w:themeFillShade="BF"/>
      </w:tcPr>
    </w:tblStylePr>
    <w:tblStylePr w:type="band1Horz">
      <w:tblPr/>
      <w:tcPr>
        <w:tcBorders>
          <w:top w:val="nil"/>
          <w:left w:val="nil"/>
          <w:bottom w:val="nil"/>
          <w:right w:val="nil"/>
          <w:insideH w:val="nil"/>
          <w:insideV w:val="nil"/>
        </w:tcBorders>
        <w:shd w:val="clear" w:color="auto" w:fill="6E37AA" w:themeFill="accent4" w:themeFillShade="BF"/>
      </w:tcPr>
    </w:tblStylePr>
  </w:style>
  <w:style w:type="table" w:styleId="DarkList-Accent5">
    <w:name w:val="Dark List Accent 5"/>
    <w:basedOn w:val="TableNormal"/>
    <w:uiPriority w:val="70"/>
    <w:semiHidden/>
    <w:unhideWhenUsed/>
    <w:rsid w:val="00DF5A1A"/>
    <w:pPr>
      <w:spacing w:after="0" w:line="240" w:lineRule="auto"/>
    </w:pPr>
    <w:rPr>
      <w:color w:val="FFFFFF" w:themeColor="background1"/>
    </w:rPr>
    <w:tblPr>
      <w:tblStyleRowBandSize w:val="1"/>
      <w:tblStyleColBandSize w:val="1"/>
    </w:tblPr>
    <w:tcPr>
      <w:shd w:val="clear" w:color="auto" w:fill="00AD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6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809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8094" w:themeFill="accent5" w:themeFillShade="BF"/>
      </w:tcPr>
    </w:tblStylePr>
    <w:tblStylePr w:type="band1Vert">
      <w:tblPr/>
      <w:tcPr>
        <w:tcBorders>
          <w:top w:val="nil"/>
          <w:left w:val="nil"/>
          <w:bottom w:val="nil"/>
          <w:right w:val="nil"/>
          <w:insideH w:val="nil"/>
          <w:insideV w:val="nil"/>
        </w:tcBorders>
        <w:shd w:val="clear" w:color="auto" w:fill="008094" w:themeFill="accent5" w:themeFillShade="BF"/>
      </w:tcPr>
    </w:tblStylePr>
    <w:tblStylePr w:type="band1Horz">
      <w:tblPr/>
      <w:tcPr>
        <w:tcBorders>
          <w:top w:val="nil"/>
          <w:left w:val="nil"/>
          <w:bottom w:val="nil"/>
          <w:right w:val="nil"/>
          <w:insideH w:val="nil"/>
          <w:insideV w:val="nil"/>
        </w:tcBorders>
        <w:shd w:val="clear" w:color="auto" w:fill="008094" w:themeFill="accent5" w:themeFillShade="BF"/>
      </w:tcPr>
    </w:tblStylePr>
  </w:style>
  <w:style w:type="table" w:styleId="DarkList-Accent6">
    <w:name w:val="Dark List Accent 6"/>
    <w:basedOn w:val="TableNormal"/>
    <w:uiPriority w:val="70"/>
    <w:semiHidden/>
    <w:unhideWhenUsed/>
    <w:rsid w:val="00DF5A1A"/>
    <w:pPr>
      <w:spacing w:after="0" w:line="240" w:lineRule="auto"/>
    </w:pPr>
    <w:rPr>
      <w:color w:val="FFFFFF" w:themeColor="background1"/>
    </w:rPr>
    <w:tblPr>
      <w:tblStyleRowBandSize w:val="1"/>
      <w:tblStyleColBandSize w:val="1"/>
    </w:tblPr>
    <w:tcPr>
      <w:shd w:val="clear" w:color="auto" w:fill="FD8F0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147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36B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36B01" w:themeFill="accent6" w:themeFillShade="BF"/>
      </w:tcPr>
    </w:tblStylePr>
    <w:tblStylePr w:type="band1Vert">
      <w:tblPr/>
      <w:tcPr>
        <w:tcBorders>
          <w:top w:val="nil"/>
          <w:left w:val="nil"/>
          <w:bottom w:val="nil"/>
          <w:right w:val="nil"/>
          <w:insideH w:val="nil"/>
          <w:insideV w:val="nil"/>
        </w:tcBorders>
        <w:shd w:val="clear" w:color="auto" w:fill="C36B01" w:themeFill="accent6" w:themeFillShade="BF"/>
      </w:tcPr>
    </w:tblStylePr>
    <w:tblStylePr w:type="band1Horz">
      <w:tblPr/>
      <w:tcPr>
        <w:tcBorders>
          <w:top w:val="nil"/>
          <w:left w:val="nil"/>
          <w:bottom w:val="nil"/>
          <w:right w:val="nil"/>
          <w:insideH w:val="nil"/>
          <w:insideV w:val="nil"/>
        </w:tcBorders>
        <w:shd w:val="clear" w:color="auto" w:fill="C36B01" w:themeFill="accent6" w:themeFillShade="BF"/>
      </w:tcPr>
    </w:tblStylePr>
  </w:style>
  <w:style w:type="paragraph" w:styleId="DocumentMap">
    <w:name w:val="Document Map"/>
    <w:basedOn w:val="Normal"/>
    <w:link w:val="DocumentMapChar"/>
    <w:uiPriority w:val="99"/>
    <w:semiHidden/>
    <w:unhideWhenUsed/>
    <w:rsid w:val="00DF5A1A"/>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F5A1A"/>
    <w:rPr>
      <w:rFonts w:ascii="Segoe UI" w:hAnsi="Segoe UI" w:cs="Segoe UI"/>
      <w:color w:val="1E1E1E"/>
      <w:sz w:val="16"/>
      <w:szCs w:val="16"/>
    </w:rPr>
  </w:style>
  <w:style w:type="table" w:styleId="GridTable1Light">
    <w:name w:val="Grid Table 1 Light"/>
    <w:basedOn w:val="TableNormal"/>
    <w:uiPriority w:val="46"/>
    <w:rsid w:val="00DF5A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F5A1A"/>
    <w:pPr>
      <w:spacing w:after="0" w:line="240" w:lineRule="auto"/>
    </w:pPr>
    <w:tblPr>
      <w:tblStyleRowBandSize w:val="1"/>
      <w:tblStyleColBandSize w:val="1"/>
      <w:tblBorders>
        <w:top w:val="single" w:sz="4" w:space="0" w:color="A2E9C7" w:themeColor="accent1" w:themeTint="66"/>
        <w:left w:val="single" w:sz="4" w:space="0" w:color="A2E9C7" w:themeColor="accent1" w:themeTint="66"/>
        <w:bottom w:val="single" w:sz="4" w:space="0" w:color="A2E9C7" w:themeColor="accent1" w:themeTint="66"/>
        <w:right w:val="single" w:sz="4" w:space="0" w:color="A2E9C7" w:themeColor="accent1" w:themeTint="66"/>
        <w:insideH w:val="single" w:sz="4" w:space="0" w:color="A2E9C7" w:themeColor="accent1" w:themeTint="66"/>
        <w:insideV w:val="single" w:sz="4" w:space="0" w:color="A2E9C7" w:themeColor="accent1" w:themeTint="66"/>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2" w:space="0" w:color="74DEA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F5A1A"/>
    <w:pPr>
      <w:spacing w:after="0" w:line="240" w:lineRule="auto"/>
    </w:pPr>
    <w:tblPr>
      <w:tblStyleRowBandSize w:val="1"/>
      <w:tblStyleColBandSize w:val="1"/>
      <w:tblBorders>
        <w:top w:val="single" w:sz="4" w:space="0" w:color="DCEF94" w:themeColor="accent2" w:themeTint="66"/>
        <w:left w:val="single" w:sz="4" w:space="0" w:color="DCEF94" w:themeColor="accent2" w:themeTint="66"/>
        <w:bottom w:val="single" w:sz="4" w:space="0" w:color="DCEF94" w:themeColor="accent2" w:themeTint="66"/>
        <w:right w:val="single" w:sz="4" w:space="0" w:color="DCEF94" w:themeColor="accent2" w:themeTint="66"/>
        <w:insideH w:val="single" w:sz="4" w:space="0" w:color="DCEF94" w:themeColor="accent2" w:themeTint="66"/>
        <w:insideV w:val="single" w:sz="4" w:space="0" w:color="DCEF94" w:themeColor="accent2" w:themeTint="66"/>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2" w:space="0" w:color="CAE85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F5A1A"/>
    <w:pPr>
      <w:spacing w:after="0" w:line="240" w:lineRule="auto"/>
    </w:pPr>
    <w:tblPr>
      <w:tblStyleRowBandSize w:val="1"/>
      <w:tblStyleColBandSize w:val="1"/>
      <w:tblBorders>
        <w:top w:val="single" w:sz="4" w:space="0" w:color="F9C3B0" w:themeColor="accent3" w:themeTint="66"/>
        <w:left w:val="single" w:sz="4" w:space="0" w:color="F9C3B0" w:themeColor="accent3" w:themeTint="66"/>
        <w:bottom w:val="single" w:sz="4" w:space="0" w:color="F9C3B0" w:themeColor="accent3" w:themeTint="66"/>
        <w:right w:val="single" w:sz="4" w:space="0" w:color="F9C3B0" w:themeColor="accent3" w:themeTint="66"/>
        <w:insideH w:val="single" w:sz="4" w:space="0" w:color="F9C3B0" w:themeColor="accent3" w:themeTint="66"/>
        <w:insideV w:val="single" w:sz="4" w:space="0" w:color="F9C3B0" w:themeColor="accent3" w:themeTint="66"/>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2" w:space="0" w:color="F6A58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F5A1A"/>
    <w:pPr>
      <w:spacing w:after="0" w:line="240" w:lineRule="auto"/>
    </w:pPr>
    <w:tblPr>
      <w:tblStyleRowBandSize w:val="1"/>
      <w:tblStyleColBandSize w:val="1"/>
      <w:tblBorders>
        <w:top w:val="single" w:sz="4" w:space="0" w:color="D4BFEA" w:themeColor="accent4" w:themeTint="66"/>
        <w:left w:val="single" w:sz="4" w:space="0" w:color="D4BFEA" w:themeColor="accent4" w:themeTint="66"/>
        <w:bottom w:val="single" w:sz="4" w:space="0" w:color="D4BFEA" w:themeColor="accent4" w:themeTint="66"/>
        <w:right w:val="single" w:sz="4" w:space="0" w:color="D4BFEA" w:themeColor="accent4" w:themeTint="66"/>
        <w:insideH w:val="single" w:sz="4" w:space="0" w:color="D4BFEA" w:themeColor="accent4" w:themeTint="66"/>
        <w:insideV w:val="single" w:sz="4" w:space="0" w:color="D4BFEA" w:themeColor="accent4" w:themeTint="66"/>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2" w:space="0" w:color="BFA0E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F5A1A"/>
    <w:pPr>
      <w:spacing w:after="0" w:line="240" w:lineRule="auto"/>
    </w:pPr>
    <w:tblPr>
      <w:tblStyleRowBandSize w:val="1"/>
      <w:tblStyleColBandSize w:val="1"/>
      <w:tblBorders>
        <w:top w:val="single" w:sz="4" w:space="0" w:color="82EEFF" w:themeColor="accent5" w:themeTint="66"/>
        <w:left w:val="single" w:sz="4" w:space="0" w:color="82EEFF" w:themeColor="accent5" w:themeTint="66"/>
        <w:bottom w:val="single" w:sz="4" w:space="0" w:color="82EEFF" w:themeColor="accent5" w:themeTint="66"/>
        <w:right w:val="single" w:sz="4" w:space="0" w:color="82EEFF" w:themeColor="accent5" w:themeTint="66"/>
        <w:insideH w:val="single" w:sz="4" w:space="0" w:color="82EEFF" w:themeColor="accent5" w:themeTint="66"/>
        <w:insideV w:val="single" w:sz="4" w:space="0" w:color="82EEFF" w:themeColor="accent5" w:themeTint="66"/>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2" w:space="0" w:color="43E6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F5A1A"/>
    <w:pPr>
      <w:spacing w:after="0" w:line="240" w:lineRule="auto"/>
    </w:pPr>
    <w:tblPr>
      <w:tblStyleRowBandSize w:val="1"/>
      <w:tblStyleColBandSize w:val="1"/>
      <w:tblBorders>
        <w:top w:val="single" w:sz="4" w:space="0" w:color="FED19C" w:themeColor="accent6" w:themeTint="66"/>
        <w:left w:val="single" w:sz="4" w:space="0" w:color="FED19C" w:themeColor="accent6" w:themeTint="66"/>
        <w:bottom w:val="single" w:sz="4" w:space="0" w:color="FED19C" w:themeColor="accent6" w:themeTint="66"/>
        <w:right w:val="single" w:sz="4" w:space="0" w:color="FED19C" w:themeColor="accent6" w:themeTint="66"/>
        <w:insideH w:val="single" w:sz="4" w:space="0" w:color="FED19C" w:themeColor="accent6" w:themeTint="66"/>
        <w:insideV w:val="single" w:sz="4" w:space="0" w:color="FED19C" w:themeColor="accent6" w:themeTint="66"/>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2" w:space="0" w:color="FDBB6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F5A1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F5A1A"/>
    <w:pPr>
      <w:spacing w:after="0" w:line="240" w:lineRule="auto"/>
    </w:pPr>
    <w:tblPr>
      <w:tblStyleRowBandSize w:val="1"/>
      <w:tblStyleColBandSize w:val="1"/>
      <w:tblBorders>
        <w:top w:val="single" w:sz="2" w:space="0" w:color="74DEAB" w:themeColor="accent1" w:themeTint="99"/>
        <w:bottom w:val="single" w:sz="2" w:space="0" w:color="74DEAB" w:themeColor="accent1" w:themeTint="99"/>
        <w:insideH w:val="single" w:sz="2" w:space="0" w:color="74DEAB" w:themeColor="accent1" w:themeTint="99"/>
        <w:insideV w:val="single" w:sz="2" w:space="0" w:color="74DEAB" w:themeColor="accent1" w:themeTint="99"/>
      </w:tblBorders>
    </w:tblPr>
    <w:tblStylePr w:type="firstRow">
      <w:rPr>
        <w:b/>
        <w:bCs/>
      </w:rPr>
      <w:tblPr/>
      <w:tcPr>
        <w:tcBorders>
          <w:top w:val="nil"/>
          <w:bottom w:val="single" w:sz="12" w:space="0" w:color="74DEAB" w:themeColor="accent1" w:themeTint="99"/>
          <w:insideH w:val="nil"/>
          <w:insideV w:val="nil"/>
        </w:tcBorders>
        <w:shd w:val="clear" w:color="auto" w:fill="FFFFFF" w:themeFill="background1"/>
      </w:tcPr>
    </w:tblStylePr>
    <w:tblStylePr w:type="lastRow">
      <w:rPr>
        <w:b/>
        <w:bCs/>
      </w:rPr>
      <w:tblPr/>
      <w:tcPr>
        <w:tcBorders>
          <w:top w:val="double" w:sz="2" w:space="0" w:color="74DEA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2-Accent2">
    <w:name w:val="Grid Table 2 Accent 2"/>
    <w:basedOn w:val="TableNormal"/>
    <w:uiPriority w:val="47"/>
    <w:rsid w:val="00DF5A1A"/>
    <w:pPr>
      <w:spacing w:after="0" w:line="240" w:lineRule="auto"/>
    </w:pPr>
    <w:tblPr>
      <w:tblStyleRowBandSize w:val="1"/>
      <w:tblStyleColBandSize w:val="1"/>
      <w:tblBorders>
        <w:top w:val="single" w:sz="2" w:space="0" w:color="CAE85F" w:themeColor="accent2" w:themeTint="99"/>
        <w:bottom w:val="single" w:sz="2" w:space="0" w:color="CAE85F" w:themeColor="accent2" w:themeTint="99"/>
        <w:insideH w:val="single" w:sz="2" w:space="0" w:color="CAE85F" w:themeColor="accent2" w:themeTint="99"/>
        <w:insideV w:val="single" w:sz="2" w:space="0" w:color="CAE85F" w:themeColor="accent2" w:themeTint="99"/>
      </w:tblBorders>
    </w:tblPr>
    <w:tblStylePr w:type="firstRow">
      <w:rPr>
        <w:b/>
        <w:bCs/>
      </w:rPr>
      <w:tblPr/>
      <w:tcPr>
        <w:tcBorders>
          <w:top w:val="nil"/>
          <w:bottom w:val="single" w:sz="12" w:space="0" w:color="CAE85F" w:themeColor="accent2" w:themeTint="99"/>
          <w:insideH w:val="nil"/>
          <w:insideV w:val="nil"/>
        </w:tcBorders>
        <w:shd w:val="clear" w:color="auto" w:fill="FFFFFF" w:themeFill="background1"/>
      </w:tcPr>
    </w:tblStylePr>
    <w:tblStylePr w:type="lastRow">
      <w:rPr>
        <w:b/>
        <w:bCs/>
      </w:rPr>
      <w:tblPr/>
      <w:tcPr>
        <w:tcBorders>
          <w:top w:val="double" w:sz="2" w:space="0" w:color="CAE85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2-Accent3">
    <w:name w:val="Grid Table 2 Accent 3"/>
    <w:basedOn w:val="TableNormal"/>
    <w:uiPriority w:val="47"/>
    <w:rsid w:val="00DF5A1A"/>
    <w:pPr>
      <w:spacing w:after="0" w:line="240" w:lineRule="auto"/>
    </w:pPr>
    <w:tblPr>
      <w:tblStyleRowBandSize w:val="1"/>
      <w:tblStyleColBandSize w:val="1"/>
      <w:tblBorders>
        <w:top w:val="single" w:sz="2" w:space="0" w:color="F6A589" w:themeColor="accent3" w:themeTint="99"/>
        <w:bottom w:val="single" w:sz="2" w:space="0" w:color="F6A589" w:themeColor="accent3" w:themeTint="99"/>
        <w:insideH w:val="single" w:sz="2" w:space="0" w:color="F6A589" w:themeColor="accent3" w:themeTint="99"/>
        <w:insideV w:val="single" w:sz="2" w:space="0" w:color="F6A589" w:themeColor="accent3" w:themeTint="99"/>
      </w:tblBorders>
    </w:tblPr>
    <w:tblStylePr w:type="firstRow">
      <w:rPr>
        <w:b/>
        <w:bCs/>
      </w:rPr>
      <w:tblPr/>
      <w:tcPr>
        <w:tcBorders>
          <w:top w:val="nil"/>
          <w:bottom w:val="single" w:sz="12" w:space="0" w:color="F6A589" w:themeColor="accent3" w:themeTint="99"/>
          <w:insideH w:val="nil"/>
          <w:insideV w:val="nil"/>
        </w:tcBorders>
        <w:shd w:val="clear" w:color="auto" w:fill="FFFFFF" w:themeFill="background1"/>
      </w:tcPr>
    </w:tblStylePr>
    <w:tblStylePr w:type="lastRow">
      <w:rPr>
        <w:b/>
        <w:bCs/>
      </w:rPr>
      <w:tblPr/>
      <w:tcPr>
        <w:tcBorders>
          <w:top w:val="double" w:sz="2" w:space="0" w:color="F6A58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2-Accent4">
    <w:name w:val="Grid Table 2 Accent 4"/>
    <w:basedOn w:val="TableNormal"/>
    <w:uiPriority w:val="47"/>
    <w:rsid w:val="00DF5A1A"/>
    <w:pPr>
      <w:spacing w:after="0" w:line="240" w:lineRule="auto"/>
    </w:pPr>
    <w:tblPr>
      <w:tblStyleRowBandSize w:val="1"/>
      <w:tblStyleColBandSize w:val="1"/>
      <w:tblBorders>
        <w:top w:val="single" w:sz="2" w:space="0" w:color="BFA0E0" w:themeColor="accent4" w:themeTint="99"/>
        <w:bottom w:val="single" w:sz="2" w:space="0" w:color="BFA0E0" w:themeColor="accent4" w:themeTint="99"/>
        <w:insideH w:val="single" w:sz="2" w:space="0" w:color="BFA0E0" w:themeColor="accent4" w:themeTint="99"/>
        <w:insideV w:val="single" w:sz="2" w:space="0" w:color="BFA0E0" w:themeColor="accent4" w:themeTint="99"/>
      </w:tblBorders>
    </w:tblPr>
    <w:tblStylePr w:type="firstRow">
      <w:rPr>
        <w:b/>
        <w:bCs/>
      </w:rPr>
      <w:tblPr/>
      <w:tcPr>
        <w:tcBorders>
          <w:top w:val="nil"/>
          <w:bottom w:val="single" w:sz="12" w:space="0" w:color="BFA0E0" w:themeColor="accent4" w:themeTint="99"/>
          <w:insideH w:val="nil"/>
          <w:insideV w:val="nil"/>
        </w:tcBorders>
        <w:shd w:val="clear" w:color="auto" w:fill="FFFFFF" w:themeFill="background1"/>
      </w:tcPr>
    </w:tblStylePr>
    <w:tblStylePr w:type="lastRow">
      <w:rPr>
        <w:b/>
        <w:bCs/>
      </w:rPr>
      <w:tblPr/>
      <w:tcPr>
        <w:tcBorders>
          <w:top w:val="double" w:sz="2" w:space="0" w:color="BFA0E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2-Accent5">
    <w:name w:val="Grid Table 2 Accent 5"/>
    <w:basedOn w:val="TableNormal"/>
    <w:uiPriority w:val="47"/>
    <w:rsid w:val="00DF5A1A"/>
    <w:pPr>
      <w:spacing w:after="0" w:line="240" w:lineRule="auto"/>
    </w:pPr>
    <w:tblPr>
      <w:tblStyleRowBandSize w:val="1"/>
      <w:tblStyleColBandSize w:val="1"/>
      <w:tblBorders>
        <w:top w:val="single" w:sz="2" w:space="0" w:color="43E6FF" w:themeColor="accent5" w:themeTint="99"/>
        <w:bottom w:val="single" w:sz="2" w:space="0" w:color="43E6FF" w:themeColor="accent5" w:themeTint="99"/>
        <w:insideH w:val="single" w:sz="2" w:space="0" w:color="43E6FF" w:themeColor="accent5" w:themeTint="99"/>
        <w:insideV w:val="single" w:sz="2" w:space="0" w:color="43E6FF" w:themeColor="accent5" w:themeTint="99"/>
      </w:tblBorders>
    </w:tblPr>
    <w:tblStylePr w:type="firstRow">
      <w:rPr>
        <w:b/>
        <w:bCs/>
      </w:rPr>
      <w:tblPr/>
      <w:tcPr>
        <w:tcBorders>
          <w:top w:val="nil"/>
          <w:bottom w:val="single" w:sz="12" w:space="0" w:color="43E6FF" w:themeColor="accent5" w:themeTint="99"/>
          <w:insideH w:val="nil"/>
          <w:insideV w:val="nil"/>
        </w:tcBorders>
        <w:shd w:val="clear" w:color="auto" w:fill="FFFFFF" w:themeFill="background1"/>
      </w:tcPr>
    </w:tblStylePr>
    <w:tblStylePr w:type="lastRow">
      <w:rPr>
        <w:b/>
        <w:bCs/>
      </w:rPr>
      <w:tblPr/>
      <w:tcPr>
        <w:tcBorders>
          <w:top w:val="double" w:sz="2" w:space="0" w:color="43E6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2-Accent6">
    <w:name w:val="Grid Table 2 Accent 6"/>
    <w:basedOn w:val="TableNormal"/>
    <w:uiPriority w:val="47"/>
    <w:rsid w:val="00DF5A1A"/>
    <w:pPr>
      <w:spacing w:after="0" w:line="240" w:lineRule="auto"/>
    </w:pPr>
    <w:tblPr>
      <w:tblStyleRowBandSize w:val="1"/>
      <w:tblStyleColBandSize w:val="1"/>
      <w:tblBorders>
        <w:top w:val="single" w:sz="2" w:space="0" w:color="FDBB6B" w:themeColor="accent6" w:themeTint="99"/>
        <w:bottom w:val="single" w:sz="2" w:space="0" w:color="FDBB6B" w:themeColor="accent6" w:themeTint="99"/>
        <w:insideH w:val="single" w:sz="2" w:space="0" w:color="FDBB6B" w:themeColor="accent6" w:themeTint="99"/>
        <w:insideV w:val="single" w:sz="2" w:space="0" w:color="FDBB6B" w:themeColor="accent6" w:themeTint="99"/>
      </w:tblBorders>
    </w:tblPr>
    <w:tblStylePr w:type="firstRow">
      <w:rPr>
        <w:b/>
        <w:bCs/>
      </w:rPr>
      <w:tblPr/>
      <w:tcPr>
        <w:tcBorders>
          <w:top w:val="nil"/>
          <w:bottom w:val="single" w:sz="12" w:space="0" w:color="FDBB6B" w:themeColor="accent6" w:themeTint="99"/>
          <w:insideH w:val="nil"/>
          <w:insideV w:val="nil"/>
        </w:tcBorders>
        <w:shd w:val="clear" w:color="auto" w:fill="FFFFFF" w:themeFill="background1"/>
      </w:tcPr>
    </w:tblStylePr>
    <w:tblStylePr w:type="lastRow">
      <w:rPr>
        <w:b/>
        <w:bCs/>
      </w:rPr>
      <w:tblPr/>
      <w:tcPr>
        <w:tcBorders>
          <w:top w:val="double" w:sz="2" w:space="0" w:color="FDBB6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3">
    <w:name w:val="Grid Table 3"/>
    <w:basedOn w:val="TableNormal"/>
    <w:uiPriority w:val="48"/>
    <w:rsid w:val="00DF5A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F5A1A"/>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3-Accent2">
    <w:name w:val="Grid Table 3 Accent 2"/>
    <w:basedOn w:val="TableNormal"/>
    <w:uiPriority w:val="48"/>
    <w:rsid w:val="00DF5A1A"/>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3-Accent3">
    <w:name w:val="Grid Table 3 Accent 3"/>
    <w:basedOn w:val="TableNormal"/>
    <w:uiPriority w:val="48"/>
    <w:rsid w:val="00DF5A1A"/>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3-Accent4">
    <w:name w:val="Grid Table 3 Accent 4"/>
    <w:basedOn w:val="TableNormal"/>
    <w:uiPriority w:val="48"/>
    <w:rsid w:val="00DF5A1A"/>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3-Accent5">
    <w:name w:val="Grid Table 3 Accent 5"/>
    <w:basedOn w:val="TableNormal"/>
    <w:uiPriority w:val="48"/>
    <w:rsid w:val="00DF5A1A"/>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3-Accent6">
    <w:name w:val="Grid Table 3 Accent 6"/>
    <w:basedOn w:val="TableNormal"/>
    <w:uiPriority w:val="48"/>
    <w:rsid w:val="00DF5A1A"/>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table" w:styleId="GridTable4">
    <w:name w:val="Grid Table 4"/>
    <w:basedOn w:val="TableNormal"/>
    <w:uiPriority w:val="49"/>
    <w:rsid w:val="00DF5A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F5A1A"/>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insideV w:val="nil"/>
        </w:tcBorders>
        <w:shd w:val="clear" w:color="auto" w:fill="2BB673" w:themeFill="accent1"/>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4-Accent2">
    <w:name w:val="Grid Table 4 Accent 2"/>
    <w:basedOn w:val="TableNormal"/>
    <w:uiPriority w:val="49"/>
    <w:rsid w:val="00DF5A1A"/>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insideV w:val="nil"/>
        </w:tcBorders>
        <w:shd w:val="clear" w:color="auto" w:fill="93B41A" w:themeFill="accent2"/>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4-Accent3">
    <w:name w:val="Grid Table 4 Accent 3"/>
    <w:basedOn w:val="TableNormal"/>
    <w:uiPriority w:val="49"/>
    <w:rsid w:val="00DF5A1A"/>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insideV w:val="nil"/>
        </w:tcBorders>
        <w:shd w:val="clear" w:color="auto" w:fill="F06A3B" w:themeFill="accent3"/>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4-Accent4">
    <w:name w:val="Grid Table 4 Accent 4"/>
    <w:basedOn w:val="TableNormal"/>
    <w:uiPriority w:val="49"/>
    <w:rsid w:val="00DF5A1A"/>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insideV w:val="nil"/>
        </w:tcBorders>
        <w:shd w:val="clear" w:color="auto" w:fill="9561CC" w:themeFill="accent4"/>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4-Accent5">
    <w:name w:val="Grid Table 4 Accent 5"/>
    <w:basedOn w:val="TableNormal"/>
    <w:uiPriority w:val="49"/>
    <w:rsid w:val="00DF5A1A"/>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insideV w:val="nil"/>
        </w:tcBorders>
        <w:shd w:val="clear" w:color="auto" w:fill="00ADC6" w:themeFill="accent5"/>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4-Accent6">
    <w:name w:val="Grid Table 4 Accent 6"/>
    <w:basedOn w:val="TableNormal"/>
    <w:uiPriority w:val="49"/>
    <w:rsid w:val="00DF5A1A"/>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insideV w:val="nil"/>
        </w:tcBorders>
        <w:shd w:val="clear" w:color="auto" w:fill="FD8F0A" w:themeFill="accent6"/>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5Dark">
    <w:name w:val="Grid Table 5 Dark"/>
    <w:basedOn w:val="TableNormal"/>
    <w:uiPriority w:val="50"/>
    <w:rsid w:val="00DF5A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F5A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F4E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B67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B67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B67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B673" w:themeFill="accent1"/>
      </w:tcPr>
    </w:tblStylePr>
    <w:tblStylePr w:type="band1Vert">
      <w:tblPr/>
      <w:tcPr>
        <w:shd w:val="clear" w:color="auto" w:fill="A2E9C7" w:themeFill="accent1" w:themeFillTint="66"/>
      </w:tcPr>
    </w:tblStylePr>
    <w:tblStylePr w:type="band1Horz">
      <w:tblPr/>
      <w:tcPr>
        <w:shd w:val="clear" w:color="auto" w:fill="A2E9C7" w:themeFill="accent1" w:themeFillTint="66"/>
      </w:tcPr>
    </w:tblStylePr>
  </w:style>
  <w:style w:type="table" w:styleId="GridTable5Dark-Accent2">
    <w:name w:val="Grid Table 5 Dark Accent 2"/>
    <w:basedOn w:val="TableNormal"/>
    <w:uiPriority w:val="50"/>
    <w:rsid w:val="00DF5A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B4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B4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B4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B41A" w:themeFill="accent2"/>
      </w:tcPr>
    </w:tblStylePr>
    <w:tblStylePr w:type="band1Vert">
      <w:tblPr/>
      <w:tcPr>
        <w:shd w:val="clear" w:color="auto" w:fill="DCEF94" w:themeFill="accent2" w:themeFillTint="66"/>
      </w:tcPr>
    </w:tblStylePr>
    <w:tblStylePr w:type="band1Horz">
      <w:tblPr/>
      <w:tcPr>
        <w:shd w:val="clear" w:color="auto" w:fill="DCEF94" w:themeFill="accent2" w:themeFillTint="66"/>
      </w:tcPr>
    </w:tblStylePr>
  </w:style>
  <w:style w:type="table" w:styleId="GridTable5Dark-Accent3">
    <w:name w:val="Grid Table 5 Dark Accent 3"/>
    <w:basedOn w:val="TableNormal"/>
    <w:uiPriority w:val="50"/>
    <w:rsid w:val="00DF5A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1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6A3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6A3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6A3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6A3B" w:themeFill="accent3"/>
      </w:tcPr>
    </w:tblStylePr>
    <w:tblStylePr w:type="band1Vert">
      <w:tblPr/>
      <w:tcPr>
        <w:shd w:val="clear" w:color="auto" w:fill="F9C3B0" w:themeFill="accent3" w:themeFillTint="66"/>
      </w:tcPr>
    </w:tblStylePr>
    <w:tblStylePr w:type="band1Horz">
      <w:tblPr/>
      <w:tcPr>
        <w:shd w:val="clear" w:color="auto" w:fill="F9C3B0" w:themeFill="accent3" w:themeFillTint="66"/>
      </w:tcPr>
    </w:tblStylePr>
  </w:style>
  <w:style w:type="table" w:styleId="GridTable5Dark-Accent4">
    <w:name w:val="Grid Table 5 Dark Accent 4"/>
    <w:basedOn w:val="TableNormal"/>
    <w:uiPriority w:val="50"/>
    <w:rsid w:val="00DF5A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DF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61C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61C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61C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61CC" w:themeFill="accent4"/>
      </w:tcPr>
    </w:tblStylePr>
    <w:tblStylePr w:type="band1Vert">
      <w:tblPr/>
      <w:tcPr>
        <w:shd w:val="clear" w:color="auto" w:fill="D4BFEA" w:themeFill="accent4" w:themeFillTint="66"/>
      </w:tcPr>
    </w:tblStylePr>
    <w:tblStylePr w:type="band1Horz">
      <w:tblPr/>
      <w:tcPr>
        <w:shd w:val="clear" w:color="auto" w:fill="D4BFEA" w:themeFill="accent4" w:themeFillTint="66"/>
      </w:tcPr>
    </w:tblStylePr>
  </w:style>
  <w:style w:type="table" w:styleId="GridTable5Dark-Accent5">
    <w:name w:val="Grid Table 5 Dark Accent 5"/>
    <w:basedOn w:val="TableNormal"/>
    <w:uiPriority w:val="50"/>
    <w:rsid w:val="00DF5A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F6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D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D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D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DC6" w:themeFill="accent5"/>
      </w:tcPr>
    </w:tblStylePr>
    <w:tblStylePr w:type="band1Vert">
      <w:tblPr/>
      <w:tcPr>
        <w:shd w:val="clear" w:color="auto" w:fill="82EEFF" w:themeFill="accent5" w:themeFillTint="66"/>
      </w:tcPr>
    </w:tblStylePr>
    <w:tblStylePr w:type="band1Horz">
      <w:tblPr/>
      <w:tcPr>
        <w:shd w:val="clear" w:color="auto" w:fill="82EEFF" w:themeFill="accent5" w:themeFillTint="66"/>
      </w:tcPr>
    </w:tblStylePr>
  </w:style>
  <w:style w:type="table" w:styleId="GridTable5Dark-Accent6">
    <w:name w:val="Grid Table 5 Dark Accent 6"/>
    <w:basedOn w:val="TableNormal"/>
    <w:uiPriority w:val="50"/>
    <w:rsid w:val="00DF5A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8C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8F0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8F0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8F0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8F0A" w:themeFill="accent6"/>
      </w:tcPr>
    </w:tblStylePr>
    <w:tblStylePr w:type="band1Vert">
      <w:tblPr/>
      <w:tcPr>
        <w:shd w:val="clear" w:color="auto" w:fill="FED19C" w:themeFill="accent6" w:themeFillTint="66"/>
      </w:tcPr>
    </w:tblStylePr>
    <w:tblStylePr w:type="band1Horz">
      <w:tblPr/>
      <w:tcPr>
        <w:shd w:val="clear" w:color="auto" w:fill="FED19C" w:themeFill="accent6" w:themeFillTint="66"/>
      </w:tcPr>
    </w:tblStylePr>
  </w:style>
  <w:style w:type="table" w:styleId="GridTable6Colourful">
    <w:name w:val="Grid Table 6 Colorful"/>
    <w:basedOn w:val="TableNormal"/>
    <w:uiPriority w:val="51"/>
    <w:rsid w:val="00DF5A1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DF5A1A"/>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bottom w:val="single" w:sz="12" w:space="0" w:color="74DEAB" w:themeColor="accent1" w:themeTint="99"/>
        </w:tcBorders>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GridTable6ColourfulAccent2">
    <w:name w:val="Grid Table 6 Colorful Accent 2"/>
    <w:basedOn w:val="TableNormal"/>
    <w:uiPriority w:val="51"/>
    <w:rsid w:val="00DF5A1A"/>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bottom w:val="single" w:sz="12" w:space="0" w:color="CAE85F" w:themeColor="accent2" w:themeTint="99"/>
        </w:tcBorders>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GridTable6ColourfulAccent3">
    <w:name w:val="Grid Table 6 Colorful Accent 3"/>
    <w:basedOn w:val="TableNormal"/>
    <w:uiPriority w:val="51"/>
    <w:rsid w:val="00DF5A1A"/>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bottom w:val="single" w:sz="12" w:space="0" w:color="F6A589" w:themeColor="accent3" w:themeTint="99"/>
        </w:tcBorders>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GridTable6ColourfulAccent4">
    <w:name w:val="Grid Table 6 Colorful Accent 4"/>
    <w:basedOn w:val="TableNormal"/>
    <w:uiPriority w:val="51"/>
    <w:rsid w:val="00DF5A1A"/>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bottom w:val="single" w:sz="12" w:space="0" w:color="BFA0E0" w:themeColor="accent4" w:themeTint="99"/>
        </w:tcBorders>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GridTable6ColourfulAccent5">
    <w:name w:val="Grid Table 6 Colorful Accent 5"/>
    <w:basedOn w:val="TableNormal"/>
    <w:uiPriority w:val="51"/>
    <w:rsid w:val="00DF5A1A"/>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bottom w:val="single" w:sz="12" w:space="0" w:color="43E6FF" w:themeColor="accent5" w:themeTint="99"/>
        </w:tcBorders>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GridTable6ColourfulAccent6">
    <w:name w:val="Grid Table 6 Colorful Accent 6"/>
    <w:basedOn w:val="TableNormal"/>
    <w:uiPriority w:val="51"/>
    <w:rsid w:val="00DF5A1A"/>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bottom w:val="single" w:sz="12" w:space="0" w:color="FDBB6B" w:themeColor="accent6" w:themeTint="99"/>
        </w:tcBorders>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GridTable7Colourful">
    <w:name w:val="Grid Table 7 Colorful"/>
    <w:basedOn w:val="TableNormal"/>
    <w:uiPriority w:val="52"/>
    <w:rsid w:val="00DF5A1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DF5A1A"/>
    <w:pPr>
      <w:spacing w:after="0" w:line="240" w:lineRule="auto"/>
    </w:pPr>
    <w:rPr>
      <w:color w:val="208855" w:themeColor="accent1" w:themeShade="BF"/>
    </w:r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insideV w:val="single" w:sz="4" w:space="0" w:color="74DEA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bottom w:val="single" w:sz="4" w:space="0" w:color="74DEAB" w:themeColor="accent1" w:themeTint="99"/>
        </w:tcBorders>
      </w:tcPr>
    </w:tblStylePr>
    <w:tblStylePr w:type="nwCell">
      <w:tblPr/>
      <w:tcPr>
        <w:tcBorders>
          <w:bottom w:val="single" w:sz="4" w:space="0" w:color="74DEAB" w:themeColor="accent1" w:themeTint="99"/>
        </w:tcBorders>
      </w:tcPr>
    </w:tblStylePr>
    <w:tblStylePr w:type="seCell">
      <w:tblPr/>
      <w:tcPr>
        <w:tcBorders>
          <w:top w:val="single" w:sz="4" w:space="0" w:color="74DEAB" w:themeColor="accent1" w:themeTint="99"/>
        </w:tcBorders>
      </w:tcPr>
    </w:tblStylePr>
    <w:tblStylePr w:type="swCell">
      <w:tblPr/>
      <w:tcPr>
        <w:tcBorders>
          <w:top w:val="single" w:sz="4" w:space="0" w:color="74DEAB" w:themeColor="accent1" w:themeTint="99"/>
        </w:tcBorders>
      </w:tcPr>
    </w:tblStylePr>
  </w:style>
  <w:style w:type="table" w:styleId="GridTable7ColourfulAccent2">
    <w:name w:val="Grid Table 7 Colorful Accent 2"/>
    <w:basedOn w:val="TableNormal"/>
    <w:uiPriority w:val="52"/>
    <w:rsid w:val="00DF5A1A"/>
    <w:pPr>
      <w:spacing w:after="0" w:line="240" w:lineRule="auto"/>
    </w:pPr>
    <w:rPr>
      <w:color w:val="6D8613" w:themeColor="accent2" w:themeShade="BF"/>
    </w:r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insideV w:val="single" w:sz="4" w:space="0" w:color="CAE85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bottom w:val="single" w:sz="4" w:space="0" w:color="CAE85F" w:themeColor="accent2" w:themeTint="99"/>
        </w:tcBorders>
      </w:tcPr>
    </w:tblStylePr>
    <w:tblStylePr w:type="nwCell">
      <w:tblPr/>
      <w:tcPr>
        <w:tcBorders>
          <w:bottom w:val="single" w:sz="4" w:space="0" w:color="CAE85F" w:themeColor="accent2" w:themeTint="99"/>
        </w:tcBorders>
      </w:tcPr>
    </w:tblStylePr>
    <w:tblStylePr w:type="seCell">
      <w:tblPr/>
      <w:tcPr>
        <w:tcBorders>
          <w:top w:val="single" w:sz="4" w:space="0" w:color="CAE85F" w:themeColor="accent2" w:themeTint="99"/>
        </w:tcBorders>
      </w:tcPr>
    </w:tblStylePr>
    <w:tblStylePr w:type="swCell">
      <w:tblPr/>
      <w:tcPr>
        <w:tcBorders>
          <w:top w:val="single" w:sz="4" w:space="0" w:color="CAE85F" w:themeColor="accent2" w:themeTint="99"/>
        </w:tcBorders>
      </w:tcPr>
    </w:tblStylePr>
  </w:style>
  <w:style w:type="table" w:styleId="GridTable7ColourfulAccent3">
    <w:name w:val="Grid Table 7 Colorful Accent 3"/>
    <w:basedOn w:val="TableNormal"/>
    <w:uiPriority w:val="52"/>
    <w:rsid w:val="00DF5A1A"/>
    <w:pPr>
      <w:spacing w:after="0" w:line="240" w:lineRule="auto"/>
    </w:pPr>
    <w:rPr>
      <w:color w:val="CF4110" w:themeColor="accent3" w:themeShade="BF"/>
    </w:r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insideV w:val="single" w:sz="4" w:space="0" w:color="F6A5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bottom w:val="single" w:sz="4" w:space="0" w:color="F6A589" w:themeColor="accent3" w:themeTint="99"/>
        </w:tcBorders>
      </w:tcPr>
    </w:tblStylePr>
    <w:tblStylePr w:type="nwCell">
      <w:tblPr/>
      <w:tcPr>
        <w:tcBorders>
          <w:bottom w:val="single" w:sz="4" w:space="0" w:color="F6A589" w:themeColor="accent3" w:themeTint="99"/>
        </w:tcBorders>
      </w:tcPr>
    </w:tblStylePr>
    <w:tblStylePr w:type="seCell">
      <w:tblPr/>
      <w:tcPr>
        <w:tcBorders>
          <w:top w:val="single" w:sz="4" w:space="0" w:color="F6A589" w:themeColor="accent3" w:themeTint="99"/>
        </w:tcBorders>
      </w:tcPr>
    </w:tblStylePr>
    <w:tblStylePr w:type="swCell">
      <w:tblPr/>
      <w:tcPr>
        <w:tcBorders>
          <w:top w:val="single" w:sz="4" w:space="0" w:color="F6A589" w:themeColor="accent3" w:themeTint="99"/>
        </w:tcBorders>
      </w:tcPr>
    </w:tblStylePr>
  </w:style>
  <w:style w:type="table" w:styleId="GridTable7ColourfulAccent4">
    <w:name w:val="Grid Table 7 Colorful Accent 4"/>
    <w:basedOn w:val="TableNormal"/>
    <w:uiPriority w:val="52"/>
    <w:rsid w:val="00DF5A1A"/>
    <w:pPr>
      <w:spacing w:after="0" w:line="240" w:lineRule="auto"/>
    </w:pPr>
    <w:rPr>
      <w:color w:val="6E37AA" w:themeColor="accent4" w:themeShade="BF"/>
    </w:r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insideV w:val="single" w:sz="4" w:space="0" w:color="BFA0E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bottom w:val="single" w:sz="4" w:space="0" w:color="BFA0E0" w:themeColor="accent4" w:themeTint="99"/>
        </w:tcBorders>
      </w:tcPr>
    </w:tblStylePr>
    <w:tblStylePr w:type="nwCell">
      <w:tblPr/>
      <w:tcPr>
        <w:tcBorders>
          <w:bottom w:val="single" w:sz="4" w:space="0" w:color="BFA0E0" w:themeColor="accent4" w:themeTint="99"/>
        </w:tcBorders>
      </w:tcPr>
    </w:tblStylePr>
    <w:tblStylePr w:type="seCell">
      <w:tblPr/>
      <w:tcPr>
        <w:tcBorders>
          <w:top w:val="single" w:sz="4" w:space="0" w:color="BFA0E0" w:themeColor="accent4" w:themeTint="99"/>
        </w:tcBorders>
      </w:tcPr>
    </w:tblStylePr>
    <w:tblStylePr w:type="swCell">
      <w:tblPr/>
      <w:tcPr>
        <w:tcBorders>
          <w:top w:val="single" w:sz="4" w:space="0" w:color="BFA0E0" w:themeColor="accent4" w:themeTint="99"/>
        </w:tcBorders>
      </w:tcPr>
    </w:tblStylePr>
  </w:style>
  <w:style w:type="table" w:styleId="GridTable7ColourfulAccent5">
    <w:name w:val="Grid Table 7 Colorful Accent 5"/>
    <w:basedOn w:val="TableNormal"/>
    <w:uiPriority w:val="52"/>
    <w:rsid w:val="00DF5A1A"/>
    <w:pPr>
      <w:spacing w:after="0" w:line="240" w:lineRule="auto"/>
    </w:pPr>
    <w:rPr>
      <w:color w:val="008094" w:themeColor="accent5" w:themeShade="BF"/>
    </w:r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insideV w:val="single" w:sz="4" w:space="0" w:color="43E6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bottom w:val="single" w:sz="4" w:space="0" w:color="43E6FF" w:themeColor="accent5" w:themeTint="99"/>
        </w:tcBorders>
      </w:tcPr>
    </w:tblStylePr>
    <w:tblStylePr w:type="nwCell">
      <w:tblPr/>
      <w:tcPr>
        <w:tcBorders>
          <w:bottom w:val="single" w:sz="4" w:space="0" w:color="43E6FF" w:themeColor="accent5" w:themeTint="99"/>
        </w:tcBorders>
      </w:tcPr>
    </w:tblStylePr>
    <w:tblStylePr w:type="seCell">
      <w:tblPr/>
      <w:tcPr>
        <w:tcBorders>
          <w:top w:val="single" w:sz="4" w:space="0" w:color="43E6FF" w:themeColor="accent5" w:themeTint="99"/>
        </w:tcBorders>
      </w:tcPr>
    </w:tblStylePr>
    <w:tblStylePr w:type="swCell">
      <w:tblPr/>
      <w:tcPr>
        <w:tcBorders>
          <w:top w:val="single" w:sz="4" w:space="0" w:color="43E6FF" w:themeColor="accent5" w:themeTint="99"/>
        </w:tcBorders>
      </w:tcPr>
    </w:tblStylePr>
  </w:style>
  <w:style w:type="table" w:styleId="GridTable7ColourfulAccent6">
    <w:name w:val="Grid Table 7 Colorful Accent 6"/>
    <w:basedOn w:val="TableNormal"/>
    <w:uiPriority w:val="52"/>
    <w:rsid w:val="00DF5A1A"/>
    <w:pPr>
      <w:spacing w:after="0" w:line="240" w:lineRule="auto"/>
    </w:pPr>
    <w:rPr>
      <w:color w:val="C36B01" w:themeColor="accent6" w:themeShade="BF"/>
    </w:r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insideV w:val="single" w:sz="4" w:space="0" w:color="FDBB6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bottom w:val="single" w:sz="4" w:space="0" w:color="FDBB6B" w:themeColor="accent6" w:themeTint="99"/>
        </w:tcBorders>
      </w:tcPr>
    </w:tblStylePr>
    <w:tblStylePr w:type="nwCell">
      <w:tblPr/>
      <w:tcPr>
        <w:tcBorders>
          <w:bottom w:val="single" w:sz="4" w:space="0" w:color="FDBB6B" w:themeColor="accent6" w:themeTint="99"/>
        </w:tcBorders>
      </w:tcPr>
    </w:tblStylePr>
    <w:tblStylePr w:type="seCell">
      <w:tblPr/>
      <w:tcPr>
        <w:tcBorders>
          <w:top w:val="single" w:sz="4" w:space="0" w:color="FDBB6B" w:themeColor="accent6" w:themeTint="99"/>
        </w:tcBorders>
      </w:tcPr>
    </w:tblStylePr>
    <w:tblStylePr w:type="swCell">
      <w:tblPr/>
      <w:tcPr>
        <w:tcBorders>
          <w:top w:val="single" w:sz="4" w:space="0" w:color="FDBB6B" w:themeColor="accent6" w:themeTint="99"/>
        </w:tcBorders>
      </w:tcPr>
    </w:tblStylePr>
  </w:style>
  <w:style w:type="character" w:styleId="Hashtag">
    <w:name w:val="Hashtag"/>
    <w:basedOn w:val="DefaultParagraphFont"/>
    <w:uiPriority w:val="99"/>
    <w:semiHidden/>
    <w:unhideWhenUsed/>
    <w:rsid w:val="00DF5A1A"/>
    <w:rPr>
      <w:color w:val="2B579A"/>
      <w:shd w:val="clear" w:color="auto" w:fill="E1DFDD"/>
    </w:rPr>
  </w:style>
  <w:style w:type="character" w:styleId="HTMLAcronym">
    <w:name w:val="HTML Acronym"/>
    <w:basedOn w:val="DefaultParagraphFont"/>
    <w:uiPriority w:val="99"/>
    <w:semiHidden/>
    <w:unhideWhenUsed/>
    <w:rsid w:val="00DF5A1A"/>
  </w:style>
  <w:style w:type="character" w:styleId="HTMLCite">
    <w:name w:val="HTML Cite"/>
    <w:basedOn w:val="DefaultParagraphFont"/>
    <w:uiPriority w:val="99"/>
    <w:semiHidden/>
    <w:unhideWhenUsed/>
    <w:rsid w:val="00DF5A1A"/>
    <w:rPr>
      <w:i/>
      <w:iCs/>
    </w:rPr>
  </w:style>
  <w:style w:type="character" w:styleId="HTMLCode">
    <w:name w:val="HTML Code"/>
    <w:basedOn w:val="DefaultParagraphFont"/>
    <w:uiPriority w:val="99"/>
    <w:semiHidden/>
    <w:unhideWhenUsed/>
    <w:rsid w:val="00DF5A1A"/>
    <w:rPr>
      <w:rFonts w:ascii="Consolas" w:hAnsi="Consolas"/>
      <w:sz w:val="20"/>
      <w:szCs w:val="20"/>
    </w:rPr>
  </w:style>
  <w:style w:type="character" w:styleId="HTMLDefinition">
    <w:name w:val="HTML Definition"/>
    <w:basedOn w:val="DefaultParagraphFont"/>
    <w:uiPriority w:val="99"/>
    <w:semiHidden/>
    <w:unhideWhenUsed/>
    <w:rsid w:val="00DF5A1A"/>
    <w:rPr>
      <w:i/>
      <w:iCs/>
    </w:rPr>
  </w:style>
  <w:style w:type="character" w:styleId="HTMLKeyboard">
    <w:name w:val="HTML Keyboard"/>
    <w:basedOn w:val="DefaultParagraphFont"/>
    <w:uiPriority w:val="99"/>
    <w:semiHidden/>
    <w:unhideWhenUsed/>
    <w:rsid w:val="00DF5A1A"/>
    <w:rPr>
      <w:rFonts w:ascii="Consolas" w:hAnsi="Consolas"/>
      <w:sz w:val="20"/>
      <w:szCs w:val="20"/>
    </w:rPr>
  </w:style>
  <w:style w:type="character" w:styleId="HTMLSample">
    <w:name w:val="HTML Sample"/>
    <w:basedOn w:val="DefaultParagraphFont"/>
    <w:uiPriority w:val="99"/>
    <w:semiHidden/>
    <w:unhideWhenUsed/>
    <w:rsid w:val="00DF5A1A"/>
    <w:rPr>
      <w:rFonts w:ascii="Consolas" w:hAnsi="Consolas"/>
      <w:sz w:val="24"/>
      <w:szCs w:val="24"/>
    </w:rPr>
  </w:style>
  <w:style w:type="character" w:styleId="HTMLTypewriter">
    <w:name w:val="HTML Typewriter"/>
    <w:basedOn w:val="DefaultParagraphFont"/>
    <w:uiPriority w:val="99"/>
    <w:semiHidden/>
    <w:unhideWhenUsed/>
    <w:rsid w:val="00DF5A1A"/>
    <w:rPr>
      <w:rFonts w:ascii="Consolas" w:hAnsi="Consolas"/>
      <w:sz w:val="20"/>
      <w:szCs w:val="20"/>
    </w:rPr>
  </w:style>
  <w:style w:type="character" w:styleId="HTMLVariable">
    <w:name w:val="HTML Variable"/>
    <w:basedOn w:val="DefaultParagraphFont"/>
    <w:uiPriority w:val="99"/>
    <w:semiHidden/>
    <w:unhideWhenUsed/>
    <w:rsid w:val="00DF5A1A"/>
    <w:rPr>
      <w:i/>
      <w:iCs/>
    </w:rPr>
  </w:style>
  <w:style w:type="character" w:styleId="IntenseEmphasis">
    <w:name w:val="Intense Emphasis"/>
    <w:basedOn w:val="DefaultParagraphFont"/>
    <w:uiPriority w:val="21"/>
    <w:semiHidden/>
    <w:rsid w:val="00DF5A1A"/>
    <w:rPr>
      <w:i/>
      <w:iCs/>
      <w:color w:val="2BB673" w:themeColor="accent1"/>
    </w:rPr>
  </w:style>
  <w:style w:type="paragraph" w:styleId="IntenseQuote">
    <w:name w:val="Intense Quote"/>
    <w:basedOn w:val="Normal"/>
    <w:next w:val="Normal"/>
    <w:link w:val="IntenseQuoteChar"/>
    <w:uiPriority w:val="30"/>
    <w:semiHidden/>
    <w:rsid w:val="00DF5A1A"/>
    <w:pPr>
      <w:pBdr>
        <w:top w:val="single" w:sz="4" w:space="10" w:color="2BB673" w:themeColor="accent1"/>
        <w:bottom w:val="single" w:sz="4" w:space="10" w:color="2BB673" w:themeColor="accent1"/>
      </w:pBdr>
      <w:spacing w:before="360" w:after="360"/>
      <w:ind w:left="864" w:right="864"/>
      <w:jc w:val="center"/>
    </w:pPr>
    <w:rPr>
      <w:i/>
      <w:iCs/>
      <w:color w:val="2BB673" w:themeColor="accent1"/>
    </w:rPr>
  </w:style>
  <w:style w:type="character" w:customStyle="1" w:styleId="IntenseQuoteChar">
    <w:name w:val="Intense Quote Char"/>
    <w:basedOn w:val="DefaultParagraphFont"/>
    <w:link w:val="IntenseQuote"/>
    <w:uiPriority w:val="30"/>
    <w:semiHidden/>
    <w:rsid w:val="00DF5A1A"/>
    <w:rPr>
      <w:rFonts w:ascii="Calibri" w:hAnsi="Calibri"/>
      <w:i/>
      <w:iCs/>
      <w:color w:val="2BB673" w:themeColor="accent1"/>
      <w:sz w:val="24"/>
    </w:rPr>
  </w:style>
  <w:style w:type="character" w:styleId="IntenseReference">
    <w:name w:val="Intense Reference"/>
    <w:basedOn w:val="DefaultParagraphFont"/>
    <w:uiPriority w:val="32"/>
    <w:semiHidden/>
    <w:rsid w:val="00DF5A1A"/>
    <w:rPr>
      <w:b/>
      <w:bCs/>
      <w:smallCaps/>
      <w:color w:val="2BB673" w:themeColor="accent1"/>
      <w:spacing w:val="5"/>
    </w:rPr>
  </w:style>
  <w:style w:type="table" w:styleId="LightGrid">
    <w:name w:val="Light Grid"/>
    <w:basedOn w:val="TableNormal"/>
    <w:uiPriority w:val="62"/>
    <w:semiHidden/>
    <w:unhideWhenUsed/>
    <w:rsid w:val="00DF5A1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F5A1A"/>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18" w:space="0" w:color="2BB673" w:themeColor="accent1"/>
          <w:right w:val="single" w:sz="8" w:space="0" w:color="2BB673" w:themeColor="accent1"/>
          <w:insideH w:val="nil"/>
          <w:insideV w:val="single" w:sz="8" w:space="0" w:color="2BB67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insideH w:val="nil"/>
          <w:insideV w:val="single" w:sz="8" w:space="0" w:color="2BB67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shd w:val="clear" w:color="auto" w:fill="C5F1DC" w:themeFill="accent1" w:themeFillTint="3F"/>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shd w:val="clear" w:color="auto" w:fill="C5F1DC" w:themeFill="accent1" w:themeFillTint="3F"/>
      </w:tcPr>
    </w:tblStylePr>
    <w:tblStylePr w:type="band2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insideV w:val="single" w:sz="8" w:space="0" w:color="2BB673" w:themeColor="accent1"/>
        </w:tcBorders>
      </w:tcPr>
    </w:tblStylePr>
  </w:style>
  <w:style w:type="table" w:styleId="LightGrid-Accent2">
    <w:name w:val="Light Grid Accent 2"/>
    <w:basedOn w:val="TableNormal"/>
    <w:uiPriority w:val="62"/>
    <w:semiHidden/>
    <w:unhideWhenUsed/>
    <w:rsid w:val="00DF5A1A"/>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18" w:space="0" w:color="93B41A" w:themeColor="accent2"/>
          <w:right w:val="single" w:sz="8" w:space="0" w:color="93B41A" w:themeColor="accent2"/>
          <w:insideH w:val="nil"/>
          <w:insideV w:val="single" w:sz="8" w:space="0" w:color="93B4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insideH w:val="nil"/>
          <w:insideV w:val="single" w:sz="8" w:space="0" w:color="93B4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shd w:val="clear" w:color="auto" w:fill="E9F5BD" w:themeFill="accent2" w:themeFillTint="3F"/>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shd w:val="clear" w:color="auto" w:fill="E9F5BD" w:themeFill="accent2" w:themeFillTint="3F"/>
      </w:tcPr>
    </w:tblStylePr>
    <w:tblStylePr w:type="band2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insideV w:val="single" w:sz="8" w:space="0" w:color="93B41A" w:themeColor="accent2"/>
        </w:tcBorders>
      </w:tcPr>
    </w:tblStylePr>
  </w:style>
  <w:style w:type="table" w:styleId="LightGrid-Accent3">
    <w:name w:val="Light Grid Accent 3"/>
    <w:basedOn w:val="TableNormal"/>
    <w:uiPriority w:val="62"/>
    <w:semiHidden/>
    <w:unhideWhenUsed/>
    <w:rsid w:val="00DF5A1A"/>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18" w:space="0" w:color="F06A3B" w:themeColor="accent3"/>
          <w:right w:val="single" w:sz="8" w:space="0" w:color="F06A3B" w:themeColor="accent3"/>
          <w:insideH w:val="nil"/>
          <w:insideV w:val="single" w:sz="8" w:space="0" w:color="F06A3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insideH w:val="nil"/>
          <w:insideV w:val="single" w:sz="8" w:space="0" w:color="F06A3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shd w:val="clear" w:color="auto" w:fill="FBD9CE" w:themeFill="accent3" w:themeFillTint="3F"/>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shd w:val="clear" w:color="auto" w:fill="FBD9CE" w:themeFill="accent3" w:themeFillTint="3F"/>
      </w:tcPr>
    </w:tblStylePr>
    <w:tblStylePr w:type="band2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insideV w:val="single" w:sz="8" w:space="0" w:color="F06A3B" w:themeColor="accent3"/>
        </w:tcBorders>
      </w:tcPr>
    </w:tblStylePr>
  </w:style>
  <w:style w:type="table" w:styleId="LightGrid-Accent4">
    <w:name w:val="Light Grid Accent 4"/>
    <w:basedOn w:val="TableNormal"/>
    <w:uiPriority w:val="62"/>
    <w:semiHidden/>
    <w:unhideWhenUsed/>
    <w:rsid w:val="00DF5A1A"/>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18" w:space="0" w:color="9561CC" w:themeColor="accent4"/>
          <w:right w:val="single" w:sz="8" w:space="0" w:color="9561CC" w:themeColor="accent4"/>
          <w:insideH w:val="nil"/>
          <w:insideV w:val="single" w:sz="8" w:space="0" w:color="9561C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insideH w:val="nil"/>
          <w:insideV w:val="single" w:sz="8" w:space="0" w:color="9561C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shd w:val="clear" w:color="auto" w:fill="E4D7F2" w:themeFill="accent4" w:themeFillTint="3F"/>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shd w:val="clear" w:color="auto" w:fill="E4D7F2" w:themeFill="accent4" w:themeFillTint="3F"/>
      </w:tcPr>
    </w:tblStylePr>
    <w:tblStylePr w:type="band2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insideV w:val="single" w:sz="8" w:space="0" w:color="9561CC" w:themeColor="accent4"/>
        </w:tcBorders>
      </w:tcPr>
    </w:tblStylePr>
  </w:style>
  <w:style w:type="table" w:styleId="LightGrid-Accent5">
    <w:name w:val="Light Grid Accent 5"/>
    <w:basedOn w:val="TableNormal"/>
    <w:uiPriority w:val="62"/>
    <w:semiHidden/>
    <w:unhideWhenUsed/>
    <w:rsid w:val="00DF5A1A"/>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18" w:space="0" w:color="00ADC6" w:themeColor="accent5"/>
          <w:right w:val="single" w:sz="8" w:space="0" w:color="00ADC6" w:themeColor="accent5"/>
          <w:insideH w:val="nil"/>
          <w:insideV w:val="single" w:sz="8" w:space="0" w:color="00AD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insideH w:val="nil"/>
          <w:insideV w:val="single" w:sz="8" w:space="0" w:color="00AD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shd w:val="clear" w:color="auto" w:fill="B1F4FF" w:themeFill="accent5" w:themeFillTint="3F"/>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shd w:val="clear" w:color="auto" w:fill="B1F4FF" w:themeFill="accent5" w:themeFillTint="3F"/>
      </w:tcPr>
    </w:tblStylePr>
    <w:tblStylePr w:type="band2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insideV w:val="single" w:sz="8" w:space="0" w:color="00ADC6" w:themeColor="accent5"/>
        </w:tcBorders>
      </w:tcPr>
    </w:tblStylePr>
  </w:style>
  <w:style w:type="table" w:styleId="LightGrid-Accent6">
    <w:name w:val="Light Grid Accent 6"/>
    <w:basedOn w:val="TableNormal"/>
    <w:uiPriority w:val="62"/>
    <w:semiHidden/>
    <w:unhideWhenUsed/>
    <w:rsid w:val="00DF5A1A"/>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18" w:space="0" w:color="FD8F0A" w:themeColor="accent6"/>
          <w:right w:val="single" w:sz="8" w:space="0" w:color="FD8F0A" w:themeColor="accent6"/>
          <w:insideH w:val="nil"/>
          <w:insideV w:val="single" w:sz="8" w:space="0" w:color="FD8F0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insideH w:val="nil"/>
          <w:insideV w:val="single" w:sz="8" w:space="0" w:color="FD8F0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shd w:val="clear" w:color="auto" w:fill="FEE3C2" w:themeFill="accent6" w:themeFillTint="3F"/>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shd w:val="clear" w:color="auto" w:fill="FEE3C2" w:themeFill="accent6" w:themeFillTint="3F"/>
      </w:tcPr>
    </w:tblStylePr>
    <w:tblStylePr w:type="band2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insideV w:val="single" w:sz="8" w:space="0" w:color="FD8F0A" w:themeColor="accent6"/>
        </w:tcBorders>
      </w:tcPr>
    </w:tblStylePr>
  </w:style>
  <w:style w:type="table" w:styleId="LightList">
    <w:name w:val="Light List"/>
    <w:basedOn w:val="TableNormal"/>
    <w:uiPriority w:val="61"/>
    <w:semiHidden/>
    <w:unhideWhenUsed/>
    <w:rsid w:val="00DF5A1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F5A1A"/>
    <w:pPr>
      <w:spacing w:after="0" w:line="240" w:lineRule="auto"/>
    </w:p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pPr>
        <w:spacing w:before="0" w:after="0" w:line="240" w:lineRule="auto"/>
      </w:pPr>
      <w:rPr>
        <w:b/>
        <w:bCs/>
        <w:color w:val="FFFFFF" w:themeColor="background1"/>
      </w:rPr>
      <w:tblPr/>
      <w:tcPr>
        <w:shd w:val="clear" w:color="auto" w:fill="2BB673" w:themeFill="accent1"/>
      </w:tcPr>
    </w:tblStylePr>
    <w:tblStylePr w:type="lastRow">
      <w:pPr>
        <w:spacing w:before="0" w:after="0" w:line="240" w:lineRule="auto"/>
      </w:pPr>
      <w:rPr>
        <w:b/>
        <w:bCs/>
      </w:rPr>
      <w:tblPr/>
      <w:tcPr>
        <w:tcBorders>
          <w:top w:val="double" w:sz="6" w:space="0" w:color="2BB673" w:themeColor="accent1"/>
          <w:left w:val="single" w:sz="8" w:space="0" w:color="2BB673" w:themeColor="accent1"/>
          <w:bottom w:val="single" w:sz="8" w:space="0" w:color="2BB673" w:themeColor="accent1"/>
          <w:right w:val="single" w:sz="8" w:space="0" w:color="2BB673" w:themeColor="accent1"/>
        </w:tcBorders>
      </w:tcPr>
    </w:tblStylePr>
    <w:tblStylePr w:type="firstCol">
      <w:rPr>
        <w:b/>
        <w:bCs/>
      </w:rPr>
    </w:tblStylePr>
    <w:tblStylePr w:type="lastCol">
      <w:rPr>
        <w:b/>
        <w:bCs/>
      </w:rPr>
    </w:tblStylePr>
    <w:tblStylePr w:type="band1Vert">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tblStylePr w:type="band1Horz">
      <w:tblPr/>
      <w:tcPr>
        <w:tcBorders>
          <w:top w:val="single" w:sz="8" w:space="0" w:color="2BB673" w:themeColor="accent1"/>
          <w:left w:val="single" w:sz="8" w:space="0" w:color="2BB673" w:themeColor="accent1"/>
          <w:bottom w:val="single" w:sz="8" w:space="0" w:color="2BB673" w:themeColor="accent1"/>
          <w:right w:val="single" w:sz="8" w:space="0" w:color="2BB673" w:themeColor="accent1"/>
        </w:tcBorders>
      </w:tcPr>
    </w:tblStylePr>
  </w:style>
  <w:style w:type="table" w:styleId="LightList-Accent2">
    <w:name w:val="Light List Accent 2"/>
    <w:basedOn w:val="TableNormal"/>
    <w:uiPriority w:val="61"/>
    <w:semiHidden/>
    <w:unhideWhenUsed/>
    <w:rsid w:val="00DF5A1A"/>
    <w:pPr>
      <w:spacing w:after="0" w:line="240" w:lineRule="auto"/>
    </w:p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pPr>
        <w:spacing w:before="0" w:after="0" w:line="240" w:lineRule="auto"/>
      </w:pPr>
      <w:rPr>
        <w:b/>
        <w:bCs/>
        <w:color w:val="FFFFFF" w:themeColor="background1"/>
      </w:rPr>
      <w:tblPr/>
      <w:tcPr>
        <w:shd w:val="clear" w:color="auto" w:fill="93B41A" w:themeFill="accent2"/>
      </w:tcPr>
    </w:tblStylePr>
    <w:tblStylePr w:type="lastRow">
      <w:pPr>
        <w:spacing w:before="0" w:after="0" w:line="240" w:lineRule="auto"/>
      </w:pPr>
      <w:rPr>
        <w:b/>
        <w:bCs/>
      </w:rPr>
      <w:tblPr/>
      <w:tcPr>
        <w:tcBorders>
          <w:top w:val="double" w:sz="6" w:space="0" w:color="93B41A" w:themeColor="accent2"/>
          <w:left w:val="single" w:sz="8" w:space="0" w:color="93B41A" w:themeColor="accent2"/>
          <w:bottom w:val="single" w:sz="8" w:space="0" w:color="93B41A" w:themeColor="accent2"/>
          <w:right w:val="single" w:sz="8" w:space="0" w:color="93B41A" w:themeColor="accent2"/>
        </w:tcBorders>
      </w:tcPr>
    </w:tblStylePr>
    <w:tblStylePr w:type="firstCol">
      <w:rPr>
        <w:b/>
        <w:bCs/>
      </w:rPr>
    </w:tblStylePr>
    <w:tblStylePr w:type="lastCol">
      <w:rPr>
        <w:b/>
        <w:bCs/>
      </w:rPr>
    </w:tblStylePr>
    <w:tblStylePr w:type="band1Vert">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tblStylePr w:type="band1Horz">
      <w:tblPr/>
      <w:tcPr>
        <w:tcBorders>
          <w:top w:val="single" w:sz="8" w:space="0" w:color="93B41A" w:themeColor="accent2"/>
          <w:left w:val="single" w:sz="8" w:space="0" w:color="93B41A" w:themeColor="accent2"/>
          <w:bottom w:val="single" w:sz="8" w:space="0" w:color="93B41A" w:themeColor="accent2"/>
          <w:right w:val="single" w:sz="8" w:space="0" w:color="93B41A" w:themeColor="accent2"/>
        </w:tcBorders>
      </w:tcPr>
    </w:tblStylePr>
  </w:style>
  <w:style w:type="table" w:styleId="LightList-Accent3">
    <w:name w:val="Light List Accent 3"/>
    <w:basedOn w:val="TableNormal"/>
    <w:uiPriority w:val="61"/>
    <w:semiHidden/>
    <w:unhideWhenUsed/>
    <w:rsid w:val="00DF5A1A"/>
    <w:pPr>
      <w:spacing w:after="0" w:line="240" w:lineRule="auto"/>
    </w:p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pPr>
        <w:spacing w:before="0" w:after="0" w:line="240" w:lineRule="auto"/>
      </w:pPr>
      <w:rPr>
        <w:b/>
        <w:bCs/>
        <w:color w:val="FFFFFF" w:themeColor="background1"/>
      </w:rPr>
      <w:tblPr/>
      <w:tcPr>
        <w:shd w:val="clear" w:color="auto" w:fill="F06A3B" w:themeFill="accent3"/>
      </w:tcPr>
    </w:tblStylePr>
    <w:tblStylePr w:type="lastRow">
      <w:pPr>
        <w:spacing w:before="0" w:after="0" w:line="240" w:lineRule="auto"/>
      </w:pPr>
      <w:rPr>
        <w:b/>
        <w:bCs/>
      </w:rPr>
      <w:tblPr/>
      <w:tcPr>
        <w:tcBorders>
          <w:top w:val="double" w:sz="6" w:space="0" w:color="F06A3B" w:themeColor="accent3"/>
          <w:left w:val="single" w:sz="8" w:space="0" w:color="F06A3B" w:themeColor="accent3"/>
          <w:bottom w:val="single" w:sz="8" w:space="0" w:color="F06A3B" w:themeColor="accent3"/>
          <w:right w:val="single" w:sz="8" w:space="0" w:color="F06A3B" w:themeColor="accent3"/>
        </w:tcBorders>
      </w:tcPr>
    </w:tblStylePr>
    <w:tblStylePr w:type="firstCol">
      <w:rPr>
        <w:b/>
        <w:bCs/>
      </w:rPr>
    </w:tblStylePr>
    <w:tblStylePr w:type="lastCol">
      <w:rPr>
        <w:b/>
        <w:bCs/>
      </w:rPr>
    </w:tblStylePr>
    <w:tblStylePr w:type="band1Vert">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tblStylePr w:type="band1Horz">
      <w:tblPr/>
      <w:tcPr>
        <w:tcBorders>
          <w:top w:val="single" w:sz="8" w:space="0" w:color="F06A3B" w:themeColor="accent3"/>
          <w:left w:val="single" w:sz="8" w:space="0" w:color="F06A3B" w:themeColor="accent3"/>
          <w:bottom w:val="single" w:sz="8" w:space="0" w:color="F06A3B" w:themeColor="accent3"/>
          <w:right w:val="single" w:sz="8" w:space="0" w:color="F06A3B" w:themeColor="accent3"/>
        </w:tcBorders>
      </w:tcPr>
    </w:tblStylePr>
  </w:style>
  <w:style w:type="table" w:styleId="LightList-Accent4">
    <w:name w:val="Light List Accent 4"/>
    <w:basedOn w:val="TableNormal"/>
    <w:uiPriority w:val="61"/>
    <w:semiHidden/>
    <w:unhideWhenUsed/>
    <w:rsid w:val="00DF5A1A"/>
    <w:pPr>
      <w:spacing w:after="0" w:line="240" w:lineRule="auto"/>
    </w:p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pPr>
        <w:spacing w:before="0" w:after="0" w:line="240" w:lineRule="auto"/>
      </w:pPr>
      <w:rPr>
        <w:b/>
        <w:bCs/>
        <w:color w:val="FFFFFF" w:themeColor="background1"/>
      </w:rPr>
      <w:tblPr/>
      <w:tcPr>
        <w:shd w:val="clear" w:color="auto" w:fill="9561CC" w:themeFill="accent4"/>
      </w:tcPr>
    </w:tblStylePr>
    <w:tblStylePr w:type="lastRow">
      <w:pPr>
        <w:spacing w:before="0" w:after="0" w:line="240" w:lineRule="auto"/>
      </w:pPr>
      <w:rPr>
        <w:b/>
        <w:bCs/>
      </w:rPr>
      <w:tblPr/>
      <w:tcPr>
        <w:tcBorders>
          <w:top w:val="double" w:sz="6" w:space="0" w:color="9561CC" w:themeColor="accent4"/>
          <w:left w:val="single" w:sz="8" w:space="0" w:color="9561CC" w:themeColor="accent4"/>
          <w:bottom w:val="single" w:sz="8" w:space="0" w:color="9561CC" w:themeColor="accent4"/>
          <w:right w:val="single" w:sz="8" w:space="0" w:color="9561CC" w:themeColor="accent4"/>
        </w:tcBorders>
      </w:tcPr>
    </w:tblStylePr>
    <w:tblStylePr w:type="firstCol">
      <w:rPr>
        <w:b/>
        <w:bCs/>
      </w:rPr>
    </w:tblStylePr>
    <w:tblStylePr w:type="lastCol">
      <w:rPr>
        <w:b/>
        <w:bCs/>
      </w:rPr>
    </w:tblStylePr>
    <w:tblStylePr w:type="band1Vert">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tblStylePr w:type="band1Horz">
      <w:tblPr/>
      <w:tcPr>
        <w:tcBorders>
          <w:top w:val="single" w:sz="8" w:space="0" w:color="9561CC" w:themeColor="accent4"/>
          <w:left w:val="single" w:sz="8" w:space="0" w:color="9561CC" w:themeColor="accent4"/>
          <w:bottom w:val="single" w:sz="8" w:space="0" w:color="9561CC" w:themeColor="accent4"/>
          <w:right w:val="single" w:sz="8" w:space="0" w:color="9561CC" w:themeColor="accent4"/>
        </w:tcBorders>
      </w:tcPr>
    </w:tblStylePr>
  </w:style>
  <w:style w:type="table" w:styleId="LightList-Accent5">
    <w:name w:val="Light List Accent 5"/>
    <w:basedOn w:val="TableNormal"/>
    <w:uiPriority w:val="61"/>
    <w:semiHidden/>
    <w:unhideWhenUsed/>
    <w:rsid w:val="00DF5A1A"/>
    <w:pPr>
      <w:spacing w:after="0" w:line="240" w:lineRule="auto"/>
    </w:p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pPr>
        <w:spacing w:before="0" w:after="0" w:line="240" w:lineRule="auto"/>
      </w:pPr>
      <w:rPr>
        <w:b/>
        <w:bCs/>
        <w:color w:val="FFFFFF" w:themeColor="background1"/>
      </w:rPr>
      <w:tblPr/>
      <w:tcPr>
        <w:shd w:val="clear" w:color="auto" w:fill="00ADC6" w:themeFill="accent5"/>
      </w:tcPr>
    </w:tblStylePr>
    <w:tblStylePr w:type="lastRow">
      <w:pPr>
        <w:spacing w:before="0" w:after="0" w:line="240" w:lineRule="auto"/>
      </w:pPr>
      <w:rPr>
        <w:b/>
        <w:bCs/>
      </w:rPr>
      <w:tblPr/>
      <w:tcPr>
        <w:tcBorders>
          <w:top w:val="double" w:sz="6" w:space="0" w:color="00ADC6" w:themeColor="accent5"/>
          <w:left w:val="single" w:sz="8" w:space="0" w:color="00ADC6" w:themeColor="accent5"/>
          <w:bottom w:val="single" w:sz="8" w:space="0" w:color="00ADC6" w:themeColor="accent5"/>
          <w:right w:val="single" w:sz="8" w:space="0" w:color="00ADC6" w:themeColor="accent5"/>
        </w:tcBorders>
      </w:tcPr>
    </w:tblStylePr>
    <w:tblStylePr w:type="firstCol">
      <w:rPr>
        <w:b/>
        <w:bCs/>
      </w:rPr>
    </w:tblStylePr>
    <w:tblStylePr w:type="lastCol">
      <w:rPr>
        <w:b/>
        <w:bCs/>
      </w:rPr>
    </w:tblStylePr>
    <w:tblStylePr w:type="band1Vert">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tblStylePr w:type="band1Horz">
      <w:tblPr/>
      <w:tcPr>
        <w:tcBorders>
          <w:top w:val="single" w:sz="8" w:space="0" w:color="00ADC6" w:themeColor="accent5"/>
          <w:left w:val="single" w:sz="8" w:space="0" w:color="00ADC6" w:themeColor="accent5"/>
          <w:bottom w:val="single" w:sz="8" w:space="0" w:color="00ADC6" w:themeColor="accent5"/>
          <w:right w:val="single" w:sz="8" w:space="0" w:color="00ADC6" w:themeColor="accent5"/>
        </w:tcBorders>
      </w:tcPr>
    </w:tblStylePr>
  </w:style>
  <w:style w:type="table" w:styleId="LightList-Accent6">
    <w:name w:val="Light List Accent 6"/>
    <w:basedOn w:val="TableNormal"/>
    <w:uiPriority w:val="61"/>
    <w:semiHidden/>
    <w:unhideWhenUsed/>
    <w:rsid w:val="00DF5A1A"/>
    <w:pPr>
      <w:spacing w:after="0" w:line="240" w:lineRule="auto"/>
    </w:p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pPr>
        <w:spacing w:before="0" w:after="0" w:line="240" w:lineRule="auto"/>
      </w:pPr>
      <w:rPr>
        <w:b/>
        <w:bCs/>
        <w:color w:val="FFFFFF" w:themeColor="background1"/>
      </w:rPr>
      <w:tblPr/>
      <w:tcPr>
        <w:shd w:val="clear" w:color="auto" w:fill="FD8F0A" w:themeFill="accent6"/>
      </w:tcPr>
    </w:tblStylePr>
    <w:tblStylePr w:type="lastRow">
      <w:pPr>
        <w:spacing w:before="0" w:after="0" w:line="240" w:lineRule="auto"/>
      </w:pPr>
      <w:rPr>
        <w:b/>
        <w:bCs/>
      </w:rPr>
      <w:tblPr/>
      <w:tcPr>
        <w:tcBorders>
          <w:top w:val="double" w:sz="6" w:space="0" w:color="FD8F0A" w:themeColor="accent6"/>
          <w:left w:val="single" w:sz="8" w:space="0" w:color="FD8F0A" w:themeColor="accent6"/>
          <w:bottom w:val="single" w:sz="8" w:space="0" w:color="FD8F0A" w:themeColor="accent6"/>
          <w:right w:val="single" w:sz="8" w:space="0" w:color="FD8F0A" w:themeColor="accent6"/>
        </w:tcBorders>
      </w:tcPr>
    </w:tblStylePr>
    <w:tblStylePr w:type="firstCol">
      <w:rPr>
        <w:b/>
        <w:bCs/>
      </w:rPr>
    </w:tblStylePr>
    <w:tblStylePr w:type="lastCol">
      <w:rPr>
        <w:b/>
        <w:bCs/>
      </w:rPr>
    </w:tblStylePr>
    <w:tblStylePr w:type="band1Vert">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tblStylePr w:type="band1Horz">
      <w:tblPr/>
      <w:tcPr>
        <w:tcBorders>
          <w:top w:val="single" w:sz="8" w:space="0" w:color="FD8F0A" w:themeColor="accent6"/>
          <w:left w:val="single" w:sz="8" w:space="0" w:color="FD8F0A" w:themeColor="accent6"/>
          <w:bottom w:val="single" w:sz="8" w:space="0" w:color="FD8F0A" w:themeColor="accent6"/>
          <w:right w:val="single" w:sz="8" w:space="0" w:color="FD8F0A" w:themeColor="accent6"/>
        </w:tcBorders>
      </w:tcPr>
    </w:tblStylePr>
  </w:style>
  <w:style w:type="table" w:styleId="LightShading">
    <w:name w:val="Light Shading"/>
    <w:basedOn w:val="TableNormal"/>
    <w:uiPriority w:val="60"/>
    <w:semiHidden/>
    <w:unhideWhenUsed/>
    <w:rsid w:val="00DF5A1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F5A1A"/>
    <w:pPr>
      <w:spacing w:after="0" w:line="240" w:lineRule="auto"/>
    </w:pPr>
    <w:rPr>
      <w:color w:val="208855" w:themeColor="accent1" w:themeShade="BF"/>
    </w:rPr>
    <w:tblPr>
      <w:tblStyleRowBandSize w:val="1"/>
      <w:tblStyleColBandSize w:val="1"/>
      <w:tblBorders>
        <w:top w:val="single" w:sz="8" w:space="0" w:color="2BB673" w:themeColor="accent1"/>
        <w:bottom w:val="single" w:sz="8" w:space="0" w:color="2BB673" w:themeColor="accent1"/>
      </w:tblBorders>
    </w:tblPr>
    <w:tblStylePr w:type="fir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lastRow">
      <w:pPr>
        <w:spacing w:before="0" w:after="0" w:line="240" w:lineRule="auto"/>
      </w:pPr>
      <w:rPr>
        <w:b/>
        <w:bCs/>
      </w:rPr>
      <w:tblPr/>
      <w:tcPr>
        <w:tcBorders>
          <w:top w:val="single" w:sz="8" w:space="0" w:color="2BB673" w:themeColor="accent1"/>
          <w:left w:val="nil"/>
          <w:bottom w:val="single" w:sz="8" w:space="0" w:color="2BB6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left w:val="nil"/>
          <w:right w:val="nil"/>
          <w:insideH w:val="nil"/>
          <w:insideV w:val="nil"/>
        </w:tcBorders>
        <w:shd w:val="clear" w:color="auto" w:fill="C5F1DC" w:themeFill="accent1" w:themeFillTint="3F"/>
      </w:tcPr>
    </w:tblStylePr>
  </w:style>
  <w:style w:type="table" w:styleId="LightShading-Accent2">
    <w:name w:val="Light Shading Accent 2"/>
    <w:basedOn w:val="TableNormal"/>
    <w:uiPriority w:val="60"/>
    <w:semiHidden/>
    <w:unhideWhenUsed/>
    <w:rsid w:val="00DF5A1A"/>
    <w:pPr>
      <w:spacing w:after="0" w:line="240" w:lineRule="auto"/>
    </w:pPr>
    <w:rPr>
      <w:color w:val="6D8613" w:themeColor="accent2" w:themeShade="BF"/>
    </w:rPr>
    <w:tblPr>
      <w:tblStyleRowBandSize w:val="1"/>
      <w:tblStyleColBandSize w:val="1"/>
      <w:tblBorders>
        <w:top w:val="single" w:sz="8" w:space="0" w:color="93B41A" w:themeColor="accent2"/>
        <w:bottom w:val="single" w:sz="8" w:space="0" w:color="93B41A" w:themeColor="accent2"/>
      </w:tblBorders>
    </w:tblPr>
    <w:tblStylePr w:type="fir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lastRow">
      <w:pPr>
        <w:spacing w:before="0" w:after="0" w:line="240" w:lineRule="auto"/>
      </w:pPr>
      <w:rPr>
        <w:b/>
        <w:bCs/>
      </w:rPr>
      <w:tblPr/>
      <w:tcPr>
        <w:tcBorders>
          <w:top w:val="single" w:sz="8" w:space="0" w:color="93B41A" w:themeColor="accent2"/>
          <w:left w:val="nil"/>
          <w:bottom w:val="single" w:sz="8" w:space="0" w:color="93B4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left w:val="nil"/>
          <w:right w:val="nil"/>
          <w:insideH w:val="nil"/>
          <w:insideV w:val="nil"/>
        </w:tcBorders>
        <w:shd w:val="clear" w:color="auto" w:fill="E9F5BD" w:themeFill="accent2" w:themeFillTint="3F"/>
      </w:tcPr>
    </w:tblStylePr>
  </w:style>
  <w:style w:type="table" w:styleId="LightShading-Accent3">
    <w:name w:val="Light Shading Accent 3"/>
    <w:basedOn w:val="TableNormal"/>
    <w:uiPriority w:val="60"/>
    <w:semiHidden/>
    <w:unhideWhenUsed/>
    <w:rsid w:val="00DF5A1A"/>
    <w:pPr>
      <w:spacing w:after="0" w:line="240" w:lineRule="auto"/>
    </w:pPr>
    <w:rPr>
      <w:color w:val="CF4110" w:themeColor="accent3" w:themeShade="BF"/>
    </w:rPr>
    <w:tblPr>
      <w:tblStyleRowBandSize w:val="1"/>
      <w:tblStyleColBandSize w:val="1"/>
      <w:tblBorders>
        <w:top w:val="single" w:sz="8" w:space="0" w:color="F06A3B" w:themeColor="accent3"/>
        <w:bottom w:val="single" w:sz="8" w:space="0" w:color="F06A3B" w:themeColor="accent3"/>
      </w:tblBorders>
    </w:tblPr>
    <w:tblStylePr w:type="fir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lastRow">
      <w:pPr>
        <w:spacing w:before="0" w:after="0" w:line="240" w:lineRule="auto"/>
      </w:pPr>
      <w:rPr>
        <w:b/>
        <w:bCs/>
      </w:rPr>
      <w:tblPr/>
      <w:tcPr>
        <w:tcBorders>
          <w:top w:val="single" w:sz="8" w:space="0" w:color="F06A3B" w:themeColor="accent3"/>
          <w:left w:val="nil"/>
          <w:bottom w:val="single" w:sz="8" w:space="0" w:color="F06A3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left w:val="nil"/>
          <w:right w:val="nil"/>
          <w:insideH w:val="nil"/>
          <w:insideV w:val="nil"/>
        </w:tcBorders>
        <w:shd w:val="clear" w:color="auto" w:fill="FBD9CE" w:themeFill="accent3" w:themeFillTint="3F"/>
      </w:tcPr>
    </w:tblStylePr>
  </w:style>
  <w:style w:type="table" w:styleId="LightShading-Accent4">
    <w:name w:val="Light Shading Accent 4"/>
    <w:basedOn w:val="TableNormal"/>
    <w:uiPriority w:val="60"/>
    <w:semiHidden/>
    <w:unhideWhenUsed/>
    <w:rsid w:val="00DF5A1A"/>
    <w:pPr>
      <w:spacing w:after="0" w:line="240" w:lineRule="auto"/>
    </w:pPr>
    <w:rPr>
      <w:color w:val="6E37AA" w:themeColor="accent4" w:themeShade="BF"/>
    </w:rPr>
    <w:tblPr>
      <w:tblStyleRowBandSize w:val="1"/>
      <w:tblStyleColBandSize w:val="1"/>
      <w:tblBorders>
        <w:top w:val="single" w:sz="8" w:space="0" w:color="9561CC" w:themeColor="accent4"/>
        <w:bottom w:val="single" w:sz="8" w:space="0" w:color="9561CC" w:themeColor="accent4"/>
      </w:tblBorders>
    </w:tblPr>
    <w:tblStylePr w:type="fir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lastRow">
      <w:pPr>
        <w:spacing w:before="0" w:after="0" w:line="240" w:lineRule="auto"/>
      </w:pPr>
      <w:rPr>
        <w:b/>
        <w:bCs/>
      </w:rPr>
      <w:tblPr/>
      <w:tcPr>
        <w:tcBorders>
          <w:top w:val="single" w:sz="8" w:space="0" w:color="9561CC" w:themeColor="accent4"/>
          <w:left w:val="nil"/>
          <w:bottom w:val="single" w:sz="8" w:space="0" w:color="9561C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left w:val="nil"/>
          <w:right w:val="nil"/>
          <w:insideH w:val="nil"/>
          <w:insideV w:val="nil"/>
        </w:tcBorders>
        <w:shd w:val="clear" w:color="auto" w:fill="E4D7F2" w:themeFill="accent4" w:themeFillTint="3F"/>
      </w:tcPr>
    </w:tblStylePr>
  </w:style>
  <w:style w:type="table" w:styleId="LightShading-Accent5">
    <w:name w:val="Light Shading Accent 5"/>
    <w:basedOn w:val="TableNormal"/>
    <w:uiPriority w:val="60"/>
    <w:semiHidden/>
    <w:unhideWhenUsed/>
    <w:rsid w:val="00DF5A1A"/>
    <w:pPr>
      <w:spacing w:after="0" w:line="240" w:lineRule="auto"/>
    </w:pPr>
    <w:rPr>
      <w:color w:val="008094" w:themeColor="accent5" w:themeShade="BF"/>
    </w:rPr>
    <w:tblPr>
      <w:tblStyleRowBandSize w:val="1"/>
      <w:tblStyleColBandSize w:val="1"/>
      <w:tblBorders>
        <w:top w:val="single" w:sz="8" w:space="0" w:color="00ADC6" w:themeColor="accent5"/>
        <w:bottom w:val="single" w:sz="8" w:space="0" w:color="00ADC6" w:themeColor="accent5"/>
      </w:tblBorders>
    </w:tblPr>
    <w:tblStylePr w:type="fir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lastRow">
      <w:pPr>
        <w:spacing w:before="0" w:after="0" w:line="240" w:lineRule="auto"/>
      </w:pPr>
      <w:rPr>
        <w:b/>
        <w:bCs/>
      </w:rPr>
      <w:tblPr/>
      <w:tcPr>
        <w:tcBorders>
          <w:top w:val="single" w:sz="8" w:space="0" w:color="00ADC6" w:themeColor="accent5"/>
          <w:left w:val="nil"/>
          <w:bottom w:val="single" w:sz="8" w:space="0" w:color="00AD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left w:val="nil"/>
          <w:right w:val="nil"/>
          <w:insideH w:val="nil"/>
          <w:insideV w:val="nil"/>
        </w:tcBorders>
        <w:shd w:val="clear" w:color="auto" w:fill="B1F4FF" w:themeFill="accent5" w:themeFillTint="3F"/>
      </w:tcPr>
    </w:tblStylePr>
  </w:style>
  <w:style w:type="table" w:styleId="LightShading-Accent6">
    <w:name w:val="Light Shading Accent 6"/>
    <w:basedOn w:val="TableNormal"/>
    <w:uiPriority w:val="60"/>
    <w:semiHidden/>
    <w:unhideWhenUsed/>
    <w:rsid w:val="00DF5A1A"/>
    <w:pPr>
      <w:spacing w:after="0" w:line="240" w:lineRule="auto"/>
    </w:pPr>
    <w:rPr>
      <w:color w:val="C36B01" w:themeColor="accent6" w:themeShade="BF"/>
    </w:rPr>
    <w:tblPr>
      <w:tblStyleRowBandSize w:val="1"/>
      <w:tblStyleColBandSize w:val="1"/>
      <w:tblBorders>
        <w:top w:val="single" w:sz="8" w:space="0" w:color="FD8F0A" w:themeColor="accent6"/>
        <w:bottom w:val="single" w:sz="8" w:space="0" w:color="FD8F0A" w:themeColor="accent6"/>
      </w:tblBorders>
    </w:tblPr>
    <w:tblStylePr w:type="fir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lastRow">
      <w:pPr>
        <w:spacing w:before="0" w:after="0" w:line="240" w:lineRule="auto"/>
      </w:pPr>
      <w:rPr>
        <w:b/>
        <w:bCs/>
      </w:rPr>
      <w:tblPr/>
      <w:tcPr>
        <w:tcBorders>
          <w:top w:val="single" w:sz="8" w:space="0" w:color="FD8F0A" w:themeColor="accent6"/>
          <w:left w:val="nil"/>
          <w:bottom w:val="single" w:sz="8" w:space="0" w:color="FD8F0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left w:val="nil"/>
          <w:right w:val="nil"/>
          <w:insideH w:val="nil"/>
          <w:insideV w:val="nil"/>
        </w:tcBorders>
        <w:shd w:val="clear" w:color="auto" w:fill="FEE3C2" w:themeFill="accent6" w:themeFillTint="3F"/>
      </w:tcPr>
    </w:tblStylePr>
  </w:style>
  <w:style w:type="character" w:styleId="LineNumber">
    <w:name w:val="line number"/>
    <w:basedOn w:val="DefaultParagraphFont"/>
    <w:uiPriority w:val="99"/>
    <w:semiHidden/>
    <w:unhideWhenUsed/>
    <w:rsid w:val="00DF5A1A"/>
  </w:style>
  <w:style w:type="paragraph" w:styleId="List">
    <w:name w:val="List"/>
    <w:basedOn w:val="Normal"/>
    <w:uiPriority w:val="99"/>
    <w:semiHidden/>
    <w:unhideWhenUsed/>
    <w:rsid w:val="00DF5A1A"/>
    <w:pPr>
      <w:ind w:left="283" w:hanging="283"/>
      <w:contextualSpacing/>
    </w:pPr>
  </w:style>
  <w:style w:type="paragraph" w:styleId="List2">
    <w:name w:val="List 2"/>
    <w:basedOn w:val="Normal"/>
    <w:uiPriority w:val="99"/>
    <w:semiHidden/>
    <w:unhideWhenUsed/>
    <w:rsid w:val="00DF5A1A"/>
    <w:pPr>
      <w:ind w:left="566" w:hanging="283"/>
      <w:contextualSpacing/>
    </w:pPr>
  </w:style>
  <w:style w:type="paragraph" w:styleId="List3">
    <w:name w:val="List 3"/>
    <w:basedOn w:val="Normal"/>
    <w:uiPriority w:val="99"/>
    <w:semiHidden/>
    <w:unhideWhenUsed/>
    <w:rsid w:val="00DF5A1A"/>
    <w:pPr>
      <w:ind w:left="849" w:hanging="283"/>
      <w:contextualSpacing/>
    </w:pPr>
  </w:style>
  <w:style w:type="paragraph" w:styleId="List4">
    <w:name w:val="List 4"/>
    <w:basedOn w:val="Normal"/>
    <w:uiPriority w:val="99"/>
    <w:semiHidden/>
    <w:unhideWhenUsed/>
    <w:rsid w:val="00DF5A1A"/>
    <w:pPr>
      <w:ind w:left="1132" w:hanging="283"/>
      <w:contextualSpacing/>
    </w:pPr>
  </w:style>
  <w:style w:type="paragraph" w:styleId="List5">
    <w:name w:val="List 5"/>
    <w:basedOn w:val="Normal"/>
    <w:uiPriority w:val="99"/>
    <w:semiHidden/>
    <w:unhideWhenUsed/>
    <w:rsid w:val="00DF5A1A"/>
    <w:pPr>
      <w:ind w:left="1415" w:hanging="283"/>
      <w:contextualSpacing/>
    </w:pPr>
  </w:style>
  <w:style w:type="paragraph" w:styleId="ListBullet5">
    <w:name w:val="List Bullet 5"/>
    <w:basedOn w:val="Normal"/>
    <w:uiPriority w:val="99"/>
    <w:semiHidden/>
    <w:rsid w:val="00DF5A1A"/>
    <w:pPr>
      <w:numPr>
        <w:numId w:val="32"/>
      </w:numPr>
      <w:contextualSpacing/>
    </w:pPr>
  </w:style>
  <w:style w:type="paragraph" w:styleId="ListNumber4">
    <w:name w:val="List Number 4"/>
    <w:basedOn w:val="Normal"/>
    <w:uiPriority w:val="97"/>
    <w:semiHidden/>
    <w:unhideWhenUsed/>
    <w:rsid w:val="00DF5A1A"/>
    <w:pPr>
      <w:numPr>
        <w:numId w:val="33"/>
      </w:numPr>
      <w:contextualSpacing/>
    </w:pPr>
  </w:style>
  <w:style w:type="paragraph" w:styleId="ListNumber5">
    <w:name w:val="List Number 5"/>
    <w:basedOn w:val="Normal"/>
    <w:uiPriority w:val="99"/>
    <w:semiHidden/>
    <w:rsid w:val="00DF5A1A"/>
    <w:pPr>
      <w:numPr>
        <w:numId w:val="34"/>
      </w:numPr>
      <w:contextualSpacing/>
    </w:pPr>
  </w:style>
  <w:style w:type="table" w:styleId="ListTable1Light">
    <w:name w:val="List Table 1 Light"/>
    <w:basedOn w:val="TableNormal"/>
    <w:uiPriority w:val="46"/>
    <w:rsid w:val="00DF5A1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F5A1A"/>
    <w:pPr>
      <w:spacing w:after="0" w:line="240" w:lineRule="auto"/>
    </w:pPr>
    <w:tblPr>
      <w:tblStyleRowBandSize w:val="1"/>
      <w:tblStyleColBandSize w:val="1"/>
    </w:tblPr>
    <w:tblStylePr w:type="firstRow">
      <w:rPr>
        <w:b/>
        <w:bCs/>
      </w:rPr>
      <w:tblPr/>
      <w:tcPr>
        <w:tcBorders>
          <w:bottom w:val="single" w:sz="4" w:space="0" w:color="74DEAB" w:themeColor="accent1" w:themeTint="99"/>
        </w:tcBorders>
      </w:tcPr>
    </w:tblStylePr>
    <w:tblStylePr w:type="lastRow">
      <w:rPr>
        <w:b/>
        <w:bCs/>
      </w:rPr>
      <w:tblPr/>
      <w:tcPr>
        <w:tcBorders>
          <w:top w:val="sing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1Light-Accent2">
    <w:name w:val="List Table 1 Light Accent 2"/>
    <w:basedOn w:val="TableNormal"/>
    <w:uiPriority w:val="46"/>
    <w:rsid w:val="00DF5A1A"/>
    <w:pPr>
      <w:spacing w:after="0" w:line="240" w:lineRule="auto"/>
    </w:pPr>
    <w:tblPr>
      <w:tblStyleRowBandSize w:val="1"/>
      <w:tblStyleColBandSize w:val="1"/>
    </w:tblPr>
    <w:tblStylePr w:type="firstRow">
      <w:rPr>
        <w:b/>
        <w:bCs/>
      </w:rPr>
      <w:tblPr/>
      <w:tcPr>
        <w:tcBorders>
          <w:bottom w:val="single" w:sz="4" w:space="0" w:color="CAE85F" w:themeColor="accent2" w:themeTint="99"/>
        </w:tcBorders>
      </w:tcPr>
    </w:tblStylePr>
    <w:tblStylePr w:type="lastRow">
      <w:rPr>
        <w:b/>
        <w:bCs/>
      </w:rPr>
      <w:tblPr/>
      <w:tcPr>
        <w:tcBorders>
          <w:top w:val="sing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1Light-Accent3">
    <w:name w:val="List Table 1 Light Accent 3"/>
    <w:basedOn w:val="TableNormal"/>
    <w:uiPriority w:val="46"/>
    <w:rsid w:val="00DF5A1A"/>
    <w:pPr>
      <w:spacing w:after="0" w:line="240" w:lineRule="auto"/>
    </w:pPr>
    <w:tblPr>
      <w:tblStyleRowBandSize w:val="1"/>
      <w:tblStyleColBandSize w:val="1"/>
    </w:tblPr>
    <w:tblStylePr w:type="firstRow">
      <w:rPr>
        <w:b/>
        <w:bCs/>
      </w:rPr>
      <w:tblPr/>
      <w:tcPr>
        <w:tcBorders>
          <w:bottom w:val="single" w:sz="4" w:space="0" w:color="F6A589" w:themeColor="accent3" w:themeTint="99"/>
        </w:tcBorders>
      </w:tcPr>
    </w:tblStylePr>
    <w:tblStylePr w:type="lastRow">
      <w:rPr>
        <w:b/>
        <w:bCs/>
      </w:rPr>
      <w:tblPr/>
      <w:tcPr>
        <w:tcBorders>
          <w:top w:val="sing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1Light-Accent4">
    <w:name w:val="List Table 1 Light Accent 4"/>
    <w:basedOn w:val="TableNormal"/>
    <w:uiPriority w:val="46"/>
    <w:rsid w:val="00DF5A1A"/>
    <w:pPr>
      <w:spacing w:after="0" w:line="240" w:lineRule="auto"/>
    </w:pPr>
    <w:tblPr>
      <w:tblStyleRowBandSize w:val="1"/>
      <w:tblStyleColBandSize w:val="1"/>
    </w:tblPr>
    <w:tblStylePr w:type="firstRow">
      <w:rPr>
        <w:b/>
        <w:bCs/>
      </w:rPr>
      <w:tblPr/>
      <w:tcPr>
        <w:tcBorders>
          <w:bottom w:val="single" w:sz="4" w:space="0" w:color="BFA0E0" w:themeColor="accent4" w:themeTint="99"/>
        </w:tcBorders>
      </w:tcPr>
    </w:tblStylePr>
    <w:tblStylePr w:type="lastRow">
      <w:rPr>
        <w:b/>
        <w:bCs/>
      </w:rPr>
      <w:tblPr/>
      <w:tcPr>
        <w:tcBorders>
          <w:top w:val="sing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1Light-Accent5">
    <w:name w:val="List Table 1 Light Accent 5"/>
    <w:basedOn w:val="TableNormal"/>
    <w:uiPriority w:val="46"/>
    <w:rsid w:val="00DF5A1A"/>
    <w:pPr>
      <w:spacing w:after="0" w:line="240" w:lineRule="auto"/>
    </w:pPr>
    <w:tblPr>
      <w:tblStyleRowBandSize w:val="1"/>
      <w:tblStyleColBandSize w:val="1"/>
    </w:tblPr>
    <w:tblStylePr w:type="firstRow">
      <w:rPr>
        <w:b/>
        <w:bCs/>
      </w:rPr>
      <w:tblPr/>
      <w:tcPr>
        <w:tcBorders>
          <w:bottom w:val="single" w:sz="4" w:space="0" w:color="43E6FF" w:themeColor="accent5" w:themeTint="99"/>
        </w:tcBorders>
      </w:tcPr>
    </w:tblStylePr>
    <w:tblStylePr w:type="lastRow">
      <w:rPr>
        <w:b/>
        <w:bCs/>
      </w:rPr>
      <w:tblPr/>
      <w:tcPr>
        <w:tcBorders>
          <w:top w:val="sing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1Light-Accent6">
    <w:name w:val="List Table 1 Light Accent 6"/>
    <w:basedOn w:val="TableNormal"/>
    <w:uiPriority w:val="46"/>
    <w:rsid w:val="00DF5A1A"/>
    <w:pPr>
      <w:spacing w:after="0" w:line="240" w:lineRule="auto"/>
    </w:pPr>
    <w:tblPr>
      <w:tblStyleRowBandSize w:val="1"/>
      <w:tblStyleColBandSize w:val="1"/>
    </w:tblPr>
    <w:tblStylePr w:type="firstRow">
      <w:rPr>
        <w:b/>
        <w:bCs/>
      </w:rPr>
      <w:tblPr/>
      <w:tcPr>
        <w:tcBorders>
          <w:bottom w:val="single" w:sz="4" w:space="0" w:color="FDBB6B" w:themeColor="accent6" w:themeTint="99"/>
        </w:tcBorders>
      </w:tcPr>
    </w:tblStylePr>
    <w:tblStylePr w:type="lastRow">
      <w:rPr>
        <w:b/>
        <w:bCs/>
      </w:rPr>
      <w:tblPr/>
      <w:tcPr>
        <w:tcBorders>
          <w:top w:val="sing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2">
    <w:name w:val="List Table 2"/>
    <w:basedOn w:val="TableNormal"/>
    <w:uiPriority w:val="47"/>
    <w:rsid w:val="00DF5A1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F5A1A"/>
    <w:pPr>
      <w:spacing w:after="0" w:line="240" w:lineRule="auto"/>
    </w:pPr>
    <w:tblPr>
      <w:tblStyleRowBandSize w:val="1"/>
      <w:tblStyleColBandSize w:val="1"/>
      <w:tblBorders>
        <w:top w:val="single" w:sz="4" w:space="0" w:color="74DEAB" w:themeColor="accent1" w:themeTint="99"/>
        <w:bottom w:val="single" w:sz="4" w:space="0" w:color="74DEAB" w:themeColor="accent1" w:themeTint="99"/>
        <w:insideH w:val="single" w:sz="4" w:space="0" w:color="74DEA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2-Accent2">
    <w:name w:val="List Table 2 Accent 2"/>
    <w:basedOn w:val="TableNormal"/>
    <w:uiPriority w:val="47"/>
    <w:rsid w:val="00DF5A1A"/>
    <w:pPr>
      <w:spacing w:after="0" w:line="240" w:lineRule="auto"/>
    </w:pPr>
    <w:tblPr>
      <w:tblStyleRowBandSize w:val="1"/>
      <w:tblStyleColBandSize w:val="1"/>
      <w:tblBorders>
        <w:top w:val="single" w:sz="4" w:space="0" w:color="CAE85F" w:themeColor="accent2" w:themeTint="99"/>
        <w:bottom w:val="single" w:sz="4" w:space="0" w:color="CAE85F" w:themeColor="accent2" w:themeTint="99"/>
        <w:insideH w:val="single" w:sz="4" w:space="0" w:color="CAE85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2-Accent3">
    <w:name w:val="List Table 2 Accent 3"/>
    <w:basedOn w:val="TableNormal"/>
    <w:uiPriority w:val="47"/>
    <w:rsid w:val="00DF5A1A"/>
    <w:pPr>
      <w:spacing w:after="0" w:line="240" w:lineRule="auto"/>
    </w:pPr>
    <w:tblPr>
      <w:tblStyleRowBandSize w:val="1"/>
      <w:tblStyleColBandSize w:val="1"/>
      <w:tblBorders>
        <w:top w:val="single" w:sz="4" w:space="0" w:color="F6A589" w:themeColor="accent3" w:themeTint="99"/>
        <w:bottom w:val="single" w:sz="4" w:space="0" w:color="F6A589" w:themeColor="accent3" w:themeTint="99"/>
        <w:insideH w:val="single" w:sz="4" w:space="0" w:color="F6A58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2-Accent4">
    <w:name w:val="List Table 2 Accent 4"/>
    <w:basedOn w:val="TableNormal"/>
    <w:uiPriority w:val="47"/>
    <w:rsid w:val="00DF5A1A"/>
    <w:pPr>
      <w:spacing w:after="0" w:line="240" w:lineRule="auto"/>
    </w:pPr>
    <w:tblPr>
      <w:tblStyleRowBandSize w:val="1"/>
      <w:tblStyleColBandSize w:val="1"/>
      <w:tblBorders>
        <w:top w:val="single" w:sz="4" w:space="0" w:color="BFA0E0" w:themeColor="accent4" w:themeTint="99"/>
        <w:bottom w:val="single" w:sz="4" w:space="0" w:color="BFA0E0" w:themeColor="accent4" w:themeTint="99"/>
        <w:insideH w:val="single" w:sz="4" w:space="0" w:color="BFA0E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2-Accent5">
    <w:name w:val="List Table 2 Accent 5"/>
    <w:basedOn w:val="TableNormal"/>
    <w:uiPriority w:val="47"/>
    <w:rsid w:val="00DF5A1A"/>
    <w:pPr>
      <w:spacing w:after="0" w:line="240" w:lineRule="auto"/>
    </w:pPr>
    <w:tblPr>
      <w:tblStyleRowBandSize w:val="1"/>
      <w:tblStyleColBandSize w:val="1"/>
      <w:tblBorders>
        <w:top w:val="single" w:sz="4" w:space="0" w:color="43E6FF" w:themeColor="accent5" w:themeTint="99"/>
        <w:bottom w:val="single" w:sz="4" w:space="0" w:color="43E6FF" w:themeColor="accent5" w:themeTint="99"/>
        <w:insideH w:val="single" w:sz="4" w:space="0" w:color="43E6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2-Accent6">
    <w:name w:val="List Table 2 Accent 6"/>
    <w:basedOn w:val="TableNormal"/>
    <w:uiPriority w:val="47"/>
    <w:rsid w:val="00DF5A1A"/>
    <w:pPr>
      <w:spacing w:after="0" w:line="240" w:lineRule="auto"/>
    </w:pPr>
    <w:tblPr>
      <w:tblStyleRowBandSize w:val="1"/>
      <w:tblStyleColBandSize w:val="1"/>
      <w:tblBorders>
        <w:top w:val="single" w:sz="4" w:space="0" w:color="FDBB6B" w:themeColor="accent6" w:themeTint="99"/>
        <w:bottom w:val="single" w:sz="4" w:space="0" w:color="FDBB6B" w:themeColor="accent6" w:themeTint="99"/>
        <w:insideH w:val="single" w:sz="4" w:space="0" w:color="FDBB6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3">
    <w:name w:val="List Table 3"/>
    <w:basedOn w:val="TableNormal"/>
    <w:uiPriority w:val="48"/>
    <w:rsid w:val="00DF5A1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F5A1A"/>
    <w:pPr>
      <w:spacing w:after="0" w:line="240" w:lineRule="auto"/>
    </w:pPr>
    <w:tblPr>
      <w:tblStyleRowBandSize w:val="1"/>
      <w:tblStyleColBandSize w:val="1"/>
      <w:tblBorders>
        <w:top w:val="single" w:sz="4" w:space="0" w:color="2BB673" w:themeColor="accent1"/>
        <w:left w:val="single" w:sz="4" w:space="0" w:color="2BB673" w:themeColor="accent1"/>
        <w:bottom w:val="single" w:sz="4" w:space="0" w:color="2BB673" w:themeColor="accent1"/>
        <w:right w:val="single" w:sz="4" w:space="0" w:color="2BB673" w:themeColor="accent1"/>
      </w:tblBorders>
    </w:tblPr>
    <w:tblStylePr w:type="firstRow">
      <w:rPr>
        <w:b/>
        <w:bCs/>
        <w:color w:val="FFFFFF" w:themeColor="background1"/>
      </w:rPr>
      <w:tblPr/>
      <w:tcPr>
        <w:shd w:val="clear" w:color="auto" w:fill="2BB673" w:themeFill="accent1"/>
      </w:tcPr>
    </w:tblStylePr>
    <w:tblStylePr w:type="lastRow">
      <w:rPr>
        <w:b/>
        <w:bCs/>
      </w:rPr>
      <w:tblPr/>
      <w:tcPr>
        <w:tcBorders>
          <w:top w:val="double" w:sz="4" w:space="0" w:color="2BB67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B673" w:themeColor="accent1"/>
          <w:right w:val="single" w:sz="4" w:space="0" w:color="2BB673" w:themeColor="accent1"/>
        </w:tcBorders>
      </w:tcPr>
    </w:tblStylePr>
    <w:tblStylePr w:type="band1Horz">
      <w:tblPr/>
      <w:tcPr>
        <w:tcBorders>
          <w:top w:val="single" w:sz="4" w:space="0" w:color="2BB673" w:themeColor="accent1"/>
          <w:bottom w:val="single" w:sz="4" w:space="0" w:color="2BB67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B673" w:themeColor="accent1"/>
          <w:left w:val="nil"/>
        </w:tcBorders>
      </w:tcPr>
    </w:tblStylePr>
    <w:tblStylePr w:type="swCell">
      <w:tblPr/>
      <w:tcPr>
        <w:tcBorders>
          <w:top w:val="double" w:sz="4" w:space="0" w:color="2BB673" w:themeColor="accent1"/>
          <w:right w:val="nil"/>
        </w:tcBorders>
      </w:tcPr>
    </w:tblStylePr>
  </w:style>
  <w:style w:type="table" w:styleId="ListTable3-Accent2">
    <w:name w:val="List Table 3 Accent 2"/>
    <w:basedOn w:val="TableNormal"/>
    <w:uiPriority w:val="48"/>
    <w:rsid w:val="00DF5A1A"/>
    <w:pPr>
      <w:spacing w:after="0" w:line="240" w:lineRule="auto"/>
    </w:pPr>
    <w:tblPr>
      <w:tblStyleRowBandSize w:val="1"/>
      <w:tblStyleColBandSize w:val="1"/>
      <w:tblBorders>
        <w:top w:val="single" w:sz="4" w:space="0" w:color="93B41A" w:themeColor="accent2"/>
        <w:left w:val="single" w:sz="4" w:space="0" w:color="93B41A" w:themeColor="accent2"/>
        <w:bottom w:val="single" w:sz="4" w:space="0" w:color="93B41A" w:themeColor="accent2"/>
        <w:right w:val="single" w:sz="4" w:space="0" w:color="93B41A" w:themeColor="accent2"/>
      </w:tblBorders>
    </w:tblPr>
    <w:tblStylePr w:type="firstRow">
      <w:rPr>
        <w:b/>
        <w:bCs/>
        <w:color w:val="FFFFFF" w:themeColor="background1"/>
      </w:rPr>
      <w:tblPr/>
      <w:tcPr>
        <w:shd w:val="clear" w:color="auto" w:fill="93B41A" w:themeFill="accent2"/>
      </w:tcPr>
    </w:tblStylePr>
    <w:tblStylePr w:type="lastRow">
      <w:rPr>
        <w:b/>
        <w:bCs/>
      </w:rPr>
      <w:tblPr/>
      <w:tcPr>
        <w:tcBorders>
          <w:top w:val="double" w:sz="4" w:space="0" w:color="93B4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3B41A" w:themeColor="accent2"/>
          <w:right w:val="single" w:sz="4" w:space="0" w:color="93B41A" w:themeColor="accent2"/>
        </w:tcBorders>
      </w:tcPr>
    </w:tblStylePr>
    <w:tblStylePr w:type="band1Horz">
      <w:tblPr/>
      <w:tcPr>
        <w:tcBorders>
          <w:top w:val="single" w:sz="4" w:space="0" w:color="93B41A" w:themeColor="accent2"/>
          <w:bottom w:val="single" w:sz="4" w:space="0" w:color="93B4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3B41A" w:themeColor="accent2"/>
          <w:left w:val="nil"/>
        </w:tcBorders>
      </w:tcPr>
    </w:tblStylePr>
    <w:tblStylePr w:type="swCell">
      <w:tblPr/>
      <w:tcPr>
        <w:tcBorders>
          <w:top w:val="double" w:sz="4" w:space="0" w:color="93B41A" w:themeColor="accent2"/>
          <w:right w:val="nil"/>
        </w:tcBorders>
      </w:tcPr>
    </w:tblStylePr>
  </w:style>
  <w:style w:type="table" w:styleId="ListTable3-Accent3">
    <w:name w:val="List Table 3 Accent 3"/>
    <w:basedOn w:val="TableNormal"/>
    <w:uiPriority w:val="48"/>
    <w:rsid w:val="00DF5A1A"/>
    <w:pPr>
      <w:spacing w:after="0" w:line="240" w:lineRule="auto"/>
    </w:pPr>
    <w:tblPr>
      <w:tblStyleRowBandSize w:val="1"/>
      <w:tblStyleColBandSize w:val="1"/>
      <w:tblBorders>
        <w:top w:val="single" w:sz="4" w:space="0" w:color="F06A3B" w:themeColor="accent3"/>
        <w:left w:val="single" w:sz="4" w:space="0" w:color="F06A3B" w:themeColor="accent3"/>
        <w:bottom w:val="single" w:sz="4" w:space="0" w:color="F06A3B" w:themeColor="accent3"/>
        <w:right w:val="single" w:sz="4" w:space="0" w:color="F06A3B" w:themeColor="accent3"/>
      </w:tblBorders>
    </w:tblPr>
    <w:tblStylePr w:type="firstRow">
      <w:rPr>
        <w:b/>
        <w:bCs/>
        <w:color w:val="FFFFFF" w:themeColor="background1"/>
      </w:rPr>
      <w:tblPr/>
      <w:tcPr>
        <w:shd w:val="clear" w:color="auto" w:fill="F06A3B" w:themeFill="accent3"/>
      </w:tcPr>
    </w:tblStylePr>
    <w:tblStylePr w:type="lastRow">
      <w:rPr>
        <w:b/>
        <w:bCs/>
      </w:rPr>
      <w:tblPr/>
      <w:tcPr>
        <w:tcBorders>
          <w:top w:val="double" w:sz="4" w:space="0" w:color="F06A3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6A3B" w:themeColor="accent3"/>
          <w:right w:val="single" w:sz="4" w:space="0" w:color="F06A3B" w:themeColor="accent3"/>
        </w:tcBorders>
      </w:tcPr>
    </w:tblStylePr>
    <w:tblStylePr w:type="band1Horz">
      <w:tblPr/>
      <w:tcPr>
        <w:tcBorders>
          <w:top w:val="single" w:sz="4" w:space="0" w:color="F06A3B" w:themeColor="accent3"/>
          <w:bottom w:val="single" w:sz="4" w:space="0" w:color="F06A3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6A3B" w:themeColor="accent3"/>
          <w:left w:val="nil"/>
        </w:tcBorders>
      </w:tcPr>
    </w:tblStylePr>
    <w:tblStylePr w:type="swCell">
      <w:tblPr/>
      <w:tcPr>
        <w:tcBorders>
          <w:top w:val="double" w:sz="4" w:space="0" w:color="F06A3B" w:themeColor="accent3"/>
          <w:right w:val="nil"/>
        </w:tcBorders>
      </w:tcPr>
    </w:tblStylePr>
  </w:style>
  <w:style w:type="table" w:styleId="ListTable3-Accent4">
    <w:name w:val="List Table 3 Accent 4"/>
    <w:basedOn w:val="TableNormal"/>
    <w:uiPriority w:val="48"/>
    <w:rsid w:val="00DF5A1A"/>
    <w:pPr>
      <w:spacing w:after="0" w:line="240" w:lineRule="auto"/>
    </w:pPr>
    <w:tblPr>
      <w:tblStyleRowBandSize w:val="1"/>
      <w:tblStyleColBandSize w:val="1"/>
      <w:tblBorders>
        <w:top w:val="single" w:sz="4" w:space="0" w:color="9561CC" w:themeColor="accent4"/>
        <w:left w:val="single" w:sz="4" w:space="0" w:color="9561CC" w:themeColor="accent4"/>
        <w:bottom w:val="single" w:sz="4" w:space="0" w:color="9561CC" w:themeColor="accent4"/>
        <w:right w:val="single" w:sz="4" w:space="0" w:color="9561CC" w:themeColor="accent4"/>
      </w:tblBorders>
    </w:tblPr>
    <w:tblStylePr w:type="firstRow">
      <w:rPr>
        <w:b/>
        <w:bCs/>
        <w:color w:val="FFFFFF" w:themeColor="background1"/>
      </w:rPr>
      <w:tblPr/>
      <w:tcPr>
        <w:shd w:val="clear" w:color="auto" w:fill="9561CC" w:themeFill="accent4"/>
      </w:tcPr>
    </w:tblStylePr>
    <w:tblStylePr w:type="lastRow">
      <w:rPr>
        <w:b/>
        <w:bCs/>
      </w:rPr>
      <w:tblPr/>
      <w:tcPr>
        <w:tcBorders>
          <w:top w:val="double" w:sz="4" w:space="0" w:color="9561C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561CC" w:themeColor="accent4"/>
          <w:right w:val="single" w:sz="4" w:space="0" w:color="9561CC" w:themeColor="accent4"/>
        </w:tcBorders>
      </w:tcPr>
    </w:tblStylePr>
    <w:tblStylePr w:type="band1Horz">
      <w:tblPr/>
      <w:tcPr>
        <w:tcBorders>
          <w:top w:val="single" w:sz="4" w:space="0" w:color="9561CC" w:themeColor="accent4"/>
          <w:bottom w:val="single" w:sz="4" w:space="0" w:color="9561C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61CC" w:themeColor="accent4"/>
          <w:left w:val="nil"/>
        </w:tcBorders>
      </w:tcPr>
    </w:tblStylePr>
    <w:tblStylePr w:type="swCell">
      <w:tblPr/>
      <w:tcPr>
        <w:tcBorders>
          <w:top w:val="double" w:sz="4" w:space="0" w:color="9561CC" w:themeColor="accent4"/>
          <w:right w:val="nil"/>
        </w:tcBorders>
      </w:tcPr>
    </w:tblStylePr>
  </w:style>
  <w:style w:type="table" w:styleId="ListTable3-Accent5">
    <w:name w:val="List Table 3 Accent 5"/>
    <w:basedOn w:val="TableNormal"/>
    <w:uiPriority w:val="48"/>
    <w:rsid w:val="00DF5A1A"/>
    <w:pPr>
      <w:spacing w:after="0" w:line="240" w:lineRule="auto"/>
    </w:pPr>
    <w:tblPr>
      <w:tblStyleRowBandSize w:val="1"/>
      <w:tblStyleColBandSize w:val="1"/>
      <w:tblBorders>
        <w:top w:val="single" w:sz="4" w:space="0" w:color="00ADC6" w:themeColor="accent5"/>
        <w:left w:val="single" w:sz="4" w:space="0" w:color="00ADC6" w:themeColor="accent5"/>
        <w:bottom w:val="single" w:sz="4" w:space="0" w:color="00ADC6" w:themeColor="accent5"/>
        <w:right w:val="single" w:sz="4" w:space="0" w:color="00ADC6" w:themeColor="accent5"/>
      </w:tblBorders>
    </w:tblPr>
    <w:tblStylePr w:type="firstRow">
      <w:rPr>
        <w:b/>
        <w:bCs/>
        <w:color w:val="FFFFFF" w:themeColor="background1"/>
      </w:rPr>
      <w:tblPr/>
      <w:tcPr>
        <w:shd w:val="clear" w:color="auto" w:fill="00ADC6" w:themeFill="accent5"/>
      </w:tcPr>
    </w:tblStylePr>
    <w:tblStylePr w:type="lastRow">
      <w:rPr>
        <w:b/>
        <w:bCs/>
      </w:rPr>
      <w:tblPr/>
      <w:tcPr>
        <w:tcBorders>
          <w:top w:val="double" w:sz="4" w:space="0" w:color="00AD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DC6" w:themeColor="accent5"/>
          <w:right w:val="single" w:sz="4" w:space="0" w:color="00ADC6" w:themeColor="accent5"/>
        </w:tcBorders>
      </w:tcPr>
    </w:tblStylePr>
    <w:tblStylePr w:type="band1Horz">
      <w:tblPr/>
      <w:tcPr>
        <w:tcBorders>
          <w:top w:val="single" w:sz="4" w:space="0" w:color="00ADC6" w:themeColor="accent5"/>
          <w:bottom w:val="single" w:sz="4" w:space="0" w:color="00AD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DC6" w:themeColor="accent5"/>
          <w:left w:val="nil"/>
        </w:tcBorders>
      </w:tcPr>
    </w:tblStylePr>
    <w:tblStylePr w:type="swCell">
      <w:tblPr/>
      <w:tcPr>
        <w:tcBorders>
          <w:top w:val="double" w:sz="4" w:space="0" w:color="00ADC6" w:themeColor="accent5"/>
          <w:right w:val="nil"/>
        </w:tcBorders>
      </w:tcPr>
    </w:tblStylePr>
  </w:style>
  <w:style w:type="table" w:styleId="ListTable3-Accent6">
    <w:name w:val="List Table 3 Accent 6"/>
    <w:basedOn w:val="TableNormal"/>
    <w:uiPriority w:val="48"/>
    <w:rsid w:val="00DF5A1A"/>
    <w:pPr>
      <w:spacing w:after="0" w:line="240" w:lineRule="auto"/>
    </w:pPr>
    <w:tblPr>
      <w:tblStyleRowBandSize w:val="1"/>
      <w:tblStyleColBandSize w:val="1"/>
      <w:tblBorders>
        <w:top w:val="single" w:sz="4" w:space="0" w:color="FD8F0A" w:themeColor="accent6"/>
        <w:left w:val="single" w:sz="4" w:space="0" w:color="FD8F0A" w:themeColor="accent6"/>
        <w:bottom w:val="single" w:sz="4" w:space="0" w:color="FD8F0A" w:themeColor="accent6"/>
        <w:right w:val="single" w:sz="4" w:space="0" w:color="FD8F0A" w:themeColor="accent6"/>
      </w:tblBorders>
    </w:tblPr>
    <w:tblStylePr w:type="firstRow">
      <w:rPr>
        <w:b/>
        <w:bCs/>
        <w:color w:val="FFFFFF" w:themeColor="background1"/>
      </w:rPr>
      <w:tblPr/>
      <w:tcPr>
        <w:shd w:val="clear" w:color="auto" w:fill="FD8F0A" w:themeFill="accent6"/>
      </w:tcPr>
    </w:tblStylePr>
    <w:tblStylePr w:type="lastRow">
      <w:rPr>
        <w:b/>
        <w:bCs/>
      </w:rPr>
      <w:tblPr/>
      <w:tcPr>
        <w:tcBorders>
          <w:top w:val="double" w:sz="4" w:space="0" w:color="FD8F0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8F0A" w:themeColor="accent6"/>
          <w:right w:val="single" w:sz="4" w:space="0" w:color="FD8F0A" w:themeColor="accent6"/>
        </w:tcBorders>
      </w:tcPr>
    </w:tblStylePr>
    <w:tblStylePr w:type="band1Horz">
      <w:tblPr/>
      <w:tcPr>
        <w:tcBorders>
          <w:top w:val="single" w:sz="4" w:space="0" w:color="FD8F0A" w:themeColor="accent6"/>
          <w:bottom w:val="single" w:sz="4" w:space="0" w:color="FD8F0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8F0A" w:themeColor="accent6"/>
          <w:left w:val="nil"/>
        </w:tcBorders>
      </w:tcPr>
    </w:tblStylePr>
    <w:tblStylePr w:type="swCell">
      <w:tblPr/>
      <w:tcPr>
        <w:tcBorders>
          <w:top w:val="double" w:sz="4" w:space="0" w:color="FD8F0A" w:themeColor="accent6"/>
          <w:right w:val="nil"/>
        </w:tcBorders>
      </w:tcPr>
    </w:tblStylePr>
  </w:style>
  <w:style w:type="table" w:styleId="ListTable4">
    <w:name w:val="List Table 4"/>
    <w:basedOn w:val="TableNormal"/>
    <w:uiPriority w:val="49"/>
    <w:rsid w:val="00DF5A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F5A1A"/>
    <w:pPr>
      <w:spacing w:after="0" w:line="240" w:lineRule="auto"/>
    </w:pPr>
    <w:tblPr>
      <w:tblStyleRowBandSize w:val="1"/>
      <w:tblStyleColBandSize w:val="1"/>
      <w:tblBorders>
        <w:top w:val="single" w:sz="4" w:space="0" w:color="74DEAB" w:themeColor="accent1" w:themeTint="99"/>
        <w:left w:val="single" w:sz="4" w:space="0" w:color="74DEAB" w:themeColor="accent1" w:themeTint="99"/>
        <w:bottom w:val="single" w:sz="4" w:space="0" w:color="74DEAB" w:themeColor="accent1" w:themeTint="99"/>
        <w:right w:val="single" w:sz="4" w:space="0" w:color="74DEAB" w:themeColor="accent1" w:themeTint="99"/>
        <w:insideH w:val="single" w:sz="4" w:space="0" w:color="74DEAB" w:themeColor="accent1" w:themeTint="99"/>
      </w:tblBorders>
    </w:tblPr>
    <w:tblStylePr w:type="firstRow">
      <w:rPr>
        <w:b/>
        <w:bCs/>
        <w:color w:val="FFFFFF" w:themeColor="background1"/>
      </w:rPr>
      <w:tblPr/>
      <w:tcPr>
        <w:tcBorders>
          <w:top w:val="single" w:sz="4" w:space="0" w:color="2BB673" w:themeColor="accent1"/>
          <w:left w:val="single" w:sz="4" w:space="0" w:color="2BB673" w:themeColor="accent1"/>
          <w:bottom w:val="single" w:sz="4" w:space="0" w:color="2BB673" w:themeColor="accent1"/>
          <w:right w:val="single" w:sz="4" w:space="0" w:color="2BB673" w:themeColor="accent1"/>
          <w:insideH w:val="nil"/>
        </w:tcBorders>
        <w:shd w:val="clear" w:color="auto" w:fill="2BB673" w:themeFill="accent1"/>
      </w:tcPr>
    </w:tblStylePr>
    <w:tblStylePr w:type="lastRow">
      <w:rPr>
        <w:b/>
        <w:bCs/>
      </w:rPr>
      <w:tblPr/>
      <w:tcPr>
        <w:tcBorders>
          <w:top w:val="double" w:sz="4" w:space="0" w:color="74DEAB" w:themeColor="accent1" w:themeTint="99"/>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4-Accent2">
    <w:name w:val="List Table 4 Accent 2"/>
    <w:basedOn w:val="TableNormal"/>
    <w:uiPriority w:val="49"/>
    <w:rsid w:val="00DF5A1A"/>
    <w:pPr>
      <w:spacing w:after="0" w:line="240" w:lineRule="auto"/>
    </w:pPr>
    <w:tblPr>
      <w:tblStyleRowBandSize w:val="1"/>
      <w:tblStyleColBandSize w:val="1"/>
      <w:tblBorders>
        <w:top w:val="single" w:sz="4" w:space="0" w:color="CAE85F" w:themeColor="accent2" w:themeTint="99"/>
        <w:left w:val="single" w:sz="4" w:space="0" w:color="CAE85F" w:themeColor="accent2" w:themeTint="99"/>
        <w:bottom w:val="single" w:sz="4" w:space="0" w:color="CAE85F" w:themeColor="accent2" w:themeTint="99"/>
        <w:right w:val="single" w:sz="4" w:space="0" w:color="CAE85F" w:themeColor="accent2" w:themeTint="99"/>
        <w:insideH w:val="single" w:sz="4" w:space="0" w:color="CAE85F" w:themeColor="accent2" w:themeTint="99"/>
      </w:tblBorders>
    </w:tblPr>
    <w:tblStylePr w:type="firstRow">
      <w:rPr>
        <w:b/>
        <w:bCs/>
        <w:color w:val="FFFFFF" w:themeColor="background1"/>
      </w:rPr>
      <w:tblPr/>
      <w:tcPr>
        <w:tcBorders>
          <w:top w:val="single" w:sz="4" w:space="0" w:color="93B41A" w:themeColor="accent2"/>
          <w:left w:val="single" w:sz="4" w:space="0" w:color="93B41A" w:themeColor="accent2"/>
          <w:bottom w:val="single" w:sz="4" w:space="0" w:color="93B41A" w:themeColor="accent2"/>
          <w:right w:val="single" w:sz="4" w:space="0" w:color="93B41A" w:themeColor="accent2"/>
          <w:insideH w:val="nil"/>
        </w:tcBorders>
        <w:shd w:val="clear" w:color="auto" w:fill="93B41A" w:themeFill="accent2"/>
      </w:tcPr>
    </w:tblStylePr>
    <w:tblStylePr w:type="lastRow">
      <w:rPr>
        <w:b/>
        <w:bCs/>
      </w:rPr>
      <w:tblPr/>
      <w:tcPr>
        <w:tcBorders>
          <w:top w:val="double" w:sz="4" w:space="0" w:color="CAE85F" w:themeColor="accent2" w:themeTint="99"/>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4-Accent3">
    <w:name w:val="List Table 4 Accent 3"/>
    <w:basedOn w:val="TableNormal"/>
    <w:uiPriority w:val="49"/>
    <w:rsid w:val="00DF5A1A"/>
    <w:pPr>
      <w:spacing w:after="0" w:line="240" w:lineRule="auto"/>
    </w:pPr>
    <w:tblPr>
      <w:tblStyleRowBandSize w:val="1"/>
      <w:tblStyleColBandSize w:val="1"/>
      <w:tblBorders>
        <w:top w:val="single" w:sz="4" w:space="0" w:color="F6A589" w:themeColor="accent3" w:themeTint="99"/>
        <w:left w:val="single" w:sz="4" w:space="0" w:color="F6A589" w:themeColor="accent3" w:themeTint="99"/>
        <w:bottom w:val="single" w:sz="4" w:space="0" w:color="F6A589" w:themeColor="accent3" w:themeTint="99"/>
        <w:right w:val="single" w:sz="4" w:space="0" w:color="F6A589" w:themeColor="accent3" w:themeTint="99"/>
        <w:insideH w:val="single" w:sz="4" w:space="0" w:color="F6A589" w:themeColor="accent3" w:themeTint="99"/>
      </w:tblBorders>
    </w:tblPr>
    <w:tblStylePr w:type="firstRow">
      <w:rPr>
        <w:b/>
        <w:bCs/>
        <w:color w:val="FFFFFF" w:themeColor="background1"/>
      </w:rPr>
      <w:tblPr/>
      <w:tcPr>
        <w:tcBorders>
          <w:top w:val="single" w:sz="4" w:space="0" w:color="F06A3B" w:themeColor="accent3"/>
          <w:left w:val="single" w:sz="4" w:space="0" w:color="F06A3B" w:themeColor="accent3"/>
          <w:bottom w:val="single" w:sz="4" w:space="0" w:color="F06A3B" w:themeColor="accent3"/>
          <w:right w:val="single" w:sz="4" w:space="0" w:color="F06A3B" w:themeColor="accent3"/>
          <w:insideH w:val="nil"/>
        </w:tcBorders>
        <w:shd w:val="clear" w:color="auto" w:fill="F06A3B" w:themeFill="accent3"/>
      </w:tcPr>
    </w:tblStylePr>
    <w:tblStylePr w:type="lastRow">
      <w:rPr>
        <w:b/>
        <w:bCs/>
      </w:rPr>
      <w:tblPr/>
      <w:tcPr>
        <w:tcBorders>
          <w:top w:val="double" w:sz="4" w:space="0" w:color="F6A589" w:themeColor="accent3" w:themeTint="99"/>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4-Accent4">
    <w:name w:val="List Table 4 Accent 4"/>
    <w:basedOn w:val="TableNormal"/>
    <w:uiPriority w:val="49"/>
    <w:rsid w:val="00DF5A1A"/>
    <w:pPr>
      <w:spacing w:after="0" w:line="240" w:lineRule="auto"/>
    </w:pPr>
    <w:tblPr>
      <w:tblStyleRowBandSize w:val="1"/>
      <w:tblStyleColBandSize w:val="1"/>
      <w:tblBorders>
        <w:top w:val="single" w:sz="4" w:space="0" w:color="BFA0E0" w:themeColor="accent4" w:themeTint="99"/>
        <w:left w:val="single" w:sz="4" w:space="0" w:color="BFA0E0" w:themeColor="accent4" w:themeTint="99"/>
        <w:bottom w:val="single" w:sz="4" w:space="0" w:color="BFA0E0" w:themeColor="accent4" w:themeTint="99"/>
        <w:right w:val="single" w:sz="4" w:space="0" w:color="BFA0E0" w:themeColor="accent4" w:themeTint="99"/>
        <w:insideH w:val="single" w:sz="4" w:space="0" w:color="BFA0E0" w:themeColor="accent4" w:themeTint="99"/>
      </w:tblBorders>
    </w:tblPr>
    <w:tblStylePr w:type="firstRow">
      <w:rPr>
        <w:b/>
        <w:bCs/>
        <w:color w:val="FFFFFF" w:themeColor="background1"/>
      </w:rPr>
      <w:tblPr/>
      <w:tcPr>
        <w:tcBorders>
          <w:top w:val="single" w:sz="4" w:space="0" w:color="9561CC" w:themeColor="accent4"/>
          <w:left w:val="single" w:sz="4" w:space="0" w:color="9561CC" w:themeColor="accent4"/>
          <w:bottom w:val="single" w:sz="4" w:space="0" w:color="9561CC" w:themeColor="accent4"/>
          <w:right w:val="single" w:sz="4" w:space="0" w:color="9561CC" w:themeColor="accent4"/>
          <w:insideH w:val="nil"/>
        </w:tcBorders>
        <w:shd w:val="clear" w:color="auto" w:fill="9561CC" w:themeFill="accent4"/>
      </w:tcPr>
    </w:tblStylePr>
    <w:tblStylePr w:type="lastRow">
      <w:rPr>
        <w:b/>
        <w:bCs/>
      </w:rPr>
      <w:tblPr/>
      <w:tcPr>
        <w:tcBorders>
          <w:top w:val="double" w:sz="4" w:space="0" w:color="BFA0E0" w:themeColor="accent4" w:themeTint="99"/>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4-Accent5">
    <w:name w:val="List Table 4 Accent 5"/>
    <w:basedOn w:val="TableNormal"/>
    <w:uiPriority w:val="49"/>
    <w:rsid w:val="00DF5A1A"/>
    <w:pPr>
      <w:spacing w:after="0" w:line="240" w:lineRule="auto"/>
    </w:pPr>
    <w:tblPr>
      <w:tblStyleRowBandSize w:val="1"/>
      <w:tblStyleColBandSize w:val="1"/>
      <w:tblBorders>
        <w:top w:val="single" w:sz="4" w:space="0" w:color="43E6FF" w:themeColor="accent5" w:themeTint="99"/>
        <w:left w:val="single" w:sz="4" w:space="0" w:color="43E6FF" w:themeColor="accent5" w:themeTint="99"/>
        <w:bottom w:val="single" w:sz="4" w:space="0" w:color="43E6FF" w:themeColor="accent5" w:themeTint="99"/>
        <w:right w:val="single" w:sz="4" w:space="0" w:color="43E6FF" w:themeColor="accent5" w:themeTint="99"/>
        <w:insideH w:val="single" w:sz="4" w:space="0" w:color="43E6FF" w:themeColor="accent5" w:themeTint="99"/>
      </w:tblBorders>
    </w:tblPr>
    <w:tblStylePr w:type="firstRow">
      <w:rPr>
        <w:b/>
        <w:bCs/>
        <w:color w:val="FFFFFF" w:themeColor="background1"/>
      </w:rPr>
      <w:tblPr/>
      <w:tcPr>
        <w:tcBorders>
          <w:top w:val="single" w:sz="4" w:space="0" w:color="00ADC6" w:themeColor="accent5"/>
          <w:left w:val="single" w:sz="4" w:space="0" w:color="00ADC6" w:themeColor="accent5"/>
          <w:bottom w:val="single" w:sz="4" w:space="0" w:color="00ADC6" w:themeColor="accent5"/>
          <w:right w:val="single" w:sz="4" w:space="0" w:color="00ADC6" w:themeColor="accent5"/>
          <w:insideH w:val="nil"/>
        </w:tcBorders>
        <w:shd w:val="clear" w:color="auto" w:fill="00ADC6" w:themeFill="accent5"/>
      </w:tcPr>
    </w:tblStylePr>
    <w:tblStylePr w:type="lastRow">
      <w:rPr>
        <w:b/>
        <w:bCs/>
      </w:rPr>
      <w:tblPr/>
      <w:tcPr>
        <w:tcBorders>
          <w:top w:val="double" w:sz="4" w:space="0" w:color="43E6FF" w:themeColor="accent5" w:themeTint="99"/>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4-Accent6">
    <w:name w:val="List Table 4 Accent 6"/>
    <w:basedOn w:val="TableNormal"/>
    <w:uiPriority w:val="49"/>
    <w:rsid w:val="00DF5A1A"/>
    <w:pPr>
      <w:spacing w:after="0" w:line="240" w:lineRule="auto"/>
    </w:pPr>
    <w:tblPr>
      <w:tblStyleRowBandSize w:val="1"/>
      <w:tblStyleColBandSize w:val="1"/>
      <w:tblBorders>
        <w:top w:val="single" w:sz="4" w:space="0" w:color="FDBB6B" w:themeColor="accent6" w:themeTint="99"/>
        <w:left w:val="single" w:sz="4" w:space="0" w:color="FDBB6B" w:themeColor="accent6" w:themeTint="99"/>
        <w:bottom w:val="single" w:sz="4" w:space="0" w:color="FDBB6B" w:themeColor="accent6" w:themeTint="99"/>
        <w:right w:val="single" w:sz="4" w:space="0" w:color="FDBB6B" w:themeColor="accent6" w:themeTint="99"/>
        <w:insideH w:val="single" w:sz="4" w:space="0" w:color="FDBB6B" w:themeColor="accent6" w:themeTint="99"/>
      </w:tblBorders>
    </w:tblPr>
    <w:tblStylePr w:type="firstRow">
      <w:rPr>
        <w:b/>
        <w:bCs/>
        <w:color w:val="FFFFFF" w:themeColor="background1"/>
      </w:rPr>
      <w:tblPr/>
      <w:tcPr>
        <w:tcBorders>
          <w:top w:val="single" w:sz="4" w:space="0" w:color="FD8F0A" w:themeColor="accent6"/>
          <w:left w:val="single" w:sz="4" w:space="0" w:color="FD8F0A" w:themeColor="accent6"/>
          <w:bottom w:val="single" w:sz="4" w:space="0" w:color="FD8F0A" w:themeColor="accent6"/>
          <w:right w:val="single" w:sz="4" w:space="0" w:color="FD8F0A" w:themeColor="accent6"/>
          <w:insideH w:val="nil"/>
        </w:tcBorders>
        <w:shd w:val="clear" w:color="auto" w:fill="FD8F0A" w:themeFill="accent6"/>
      </w:tcPr>
    </w:tblStylePr>
    <w:tblStylePr w:type="lastRow">
      <w:rPr>
        <w:b/>
        <w:bCs/>
      </w:rPr>
      <w:tblPr/>
      <w:tcPr>
        <w:tcBorders>
          <w:top w:val="double" w:sz="4" w:space="0" w:color="FDBB6B" w:themeColor="accent6" w:themeTint="99"/>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5Dark">
    <w:name w:val="List Table 5 Dark"/>
    <w:basedOn w:val="TableNormal"/>
    <w:uiPriority w:val="50"/>
    <w:rsid w:val="00DF5A1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F5A1A"/>
    <w:pPr>
      <w:spacing w:after="0" w:line="240" w:lineRule="auto"/>
    </w:pPr>
    <w:rPr>
      <w:color w:val="FFFFFF" w:themeColor="background1"/>
    </w:rPr>
    <w:tblPr>
      <w:tblStyleRowBandSize w:val="1"/>
      <w:tblStyleColBandSize w:val="1"/>
      <w:tblBorders>
        <w:top w:val="single" w:sz="24" w:space="0" w:color="2BB673" w:themeColor="accent1"/>
        <w:left w:val="single" w:sz="24" w:space="0" w:color="2BB673" w:themeColor="accent1"/>
        <w:bottom w:val="single" w:sz="24" w:space="0" w:color="2BB673" w:themeColor="accent1"/>
        <w:right w:val="single" w:sz="24" w:space="0" w:color="2BB673" w:themeColor="accent1"/>
      </w:tblBorders>
    </w:tblPr>
    <w:tcPr>
      <w:shd w:val="clear" w:color="auto" w:fill="2BB67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F5A1A"/>
    <w:pPr>
      <w:spacing w:after="0" w:line="240" w:lineRule="auto"/>
    </w:pPr>
    <w:rPr>
      <w:color w:val="FFFFFF" w:themeColor="background1"/>
    </w:rPr>
    <w:tblPr>
      <w:tblStyleRowBandSize w:val="1"/>
      <w:tblStyleColBandSize w:val="1"/>
      <w:tblBorders>
        <w:top w:val="single" w:sz="24" w:space="0" w:color="93B41A" w:themeColor="accent2"/>
        <w:left w:val="single" w:sz="24" w:space="0" w:color="93B41A" w:themeColor="accent2"/>
        <w:bottom w:val="single" w:sz="24" w:space="0" w:color="93B41A" w:themeColor="accent2"/>
        <w:right w:val="single" w:sz="24" w:space="0" w:color="93B41A" w:themeColor="accent2"/>
      </w:tblBorders>
    </w:tblPr>
    <w:tcPr>
      <w:shd w:val="clear" w:color="auto" w:fill="93B4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F5A1A"/>
    <w:pPr>
      <w:spacing w:after="0" w:line="240" w:lineRule="auto"/>
    </w:pPr>
    <w:rPr>
      <w:color w:val="FFFFFF" w:themeColor="background1"/>
    </w:rPr>
    <w:tblPr>
      <w:tblStyleRowBandSize w:val="1"/>
      <w:tblStyleColBandSize w:val="1"/>
      <w:tblBorders>
        <w:top w:val="single" w:sz="24" w:space="0" w:color="F06A3B" w:themeColor="accent3"/>
        <w:left w:val="single" w:sz="24" w:space="0" w:color="F06A3B" w:themeColor="accent3"/>
        <w:bottom w:val="single" w:sz="24" w:space="0" w:color="F06A3B" w:themeColor="accent3"/>
        <w:right w:val="single" w:sz="24" w:space="0" w:color="F06A3B" w:themeColor="accent3"/>
      </w:tblBorders>
    </w:tblPr>
    <w:tcPr>
      <w:shd w:val="clear" w:color="auto" w:fill="F06A3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F5A1A"/>
    <w:pPr>
      <w:spacing w:after="0" w:line="240" w:lineRule="auto"/>
    </w:pPr>
    <w:rPr>
      <w:color w:val="FFFFFF" w:themeColor="background1"/>
    </w:rPr>
    <w:tblPr>
      <w:tblStyleRowBandSize w:val="1"/>
      <w:tblStyleColBandSize w:val="1"/>
      <w:tblBorders>
        <w:top w:val="single" w:sz="24" w:space="0" w:color="9561CC" w:themeColor="accent4"/>
        <w:left w:val="single" w:sz="24" w:space="0" w:color="9561CC" w:themeColor="accent4"/>
        <w:bottom w:val="single" w:sz="24" w:space="0" w:color="9561CC" w:themeColor="accent4"/>
        <w:right w:val="single" w:sz="24" w:space="0" w:color="9561CC" w:themeColor="accent4"/>
      </w:tblBorders>
    </w:tblPr>
    <w:tcPr>
      <w:shd w:val="clear" w:color="auto" w:fill="9561C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F5A1A"/>
    <w:pPr>
      <w:spacing w:after="0" w:line="240" w:lineRule="auto"/>
    </w:pPr>
    <w:rPr>
      <w:color w:val="FFFFFF" w:themeColor="background1"/>
    </w:rPr>
    <w:tblPr>
      <w:tblStyleRowBandSize w:val="1"/>
      <w:tblStyleColBandSize w:val="1"/>
      <w:tblBorders>
        <w:top w:val="single" w:sz="24" w:space="0" w:color="00ADC6" w:themeColor="accent5"/>
        <w:left w:val="single" w:sz="24" w:space="0" w:color="00ADC6" w:themeColor="accent5"/>
        <w:bottom w:val="single" w:sz="24" w:space="0" w:color="00ADC6" w:themeColor="accent5"/>
        <w:right w:val="single" w:sz="24" w:space="0" w:color="00ADC6" w:themeColor="accent5"/>
      </w:tblBorders>
    </w:tblPr>
    <w:tcPr>
      <w:shd w:val="clear" w:color="auto" w:fill="00AD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F5A1A"/>
    <w:pPr>
      <w:spacing w:after="0" w:line="240" w:lineRule="auto"/>
    </w:pPr>
    <w:rPr>
      <w:color w:val="FFFFFF" w:themeColor="background1"/>
    </w:rPr>
    <w:tblPr>
      <w:tblStyleRowBandSize w:val="1"/>
      <w:tblStyleColBandSize w:val="1"/>
      <w:tblBorders>
        <w:top w:val="single" w:sz="24" w:space="0" w:color="FD8F0A" w:themeColor="accent6"/>
        <w:left w:val="single" w:sz="24" w:space="0" w:color="FD8F0A" w:themeColor="accent6"/>
        <w:bottom w:val="single" w:sz="24" w:space="0" w:color="FD8F0A" w:themeColor="accent6"/>
        <w:right w:val="single" w:sz="24" w:space="0" w:color="FD8F0A" w:themeColor="accent6"/>
      </w:tblBorders>
    </w:tblPr>
    <w:tcPr>
      <w:shd w:val="clear" w:color="auto" w:fill="FD8F0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DF5A1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DF5A1A"/>
    <w:pPr>
      <w:spacing w:after="0" w:line="240" w:lineRule="auto"/>
    </w:pPr>
    <w:rPr>
      <w:color w:val="208855" w:themeColor="accent1" w:themeShade="BF"/>
    </w:rPr>
    <w:tblPr>
      <w:tblStyleRowBandSize w:val="1"/>
      <w:tblStyleColBandSize w:val="1"/>
      <w:tblBorders>
        <w:top w:val="single" w:sz="4" w:space="0" w:color="2BB673" w:themeColor="accent1"/>
        <w:bottom w:val="single" w:sz="4" w:space="0" w:color="2BB673" w:themeColor="accent1"/>
      </w:tblBorders>
    </w:tblPr>
    <w:tblStylePr w:type="firstRow">
      <w:rPr>
        <w:b/>
        <w:bCs/>
      </w:rPr>
      <w:tblPr/>
      <w:tcPr>
        <w:tcBorders>
          <w:bottom w:val="single" w:sz="4" w:space="0" w:color="2BB673" w:themeColor="accent1"/>
        </w:tcBorders>
      </w:tcPr>
    </w:tblStylePr>
    <w:tblStylePr w:type="lastRow">
      <w:rPr>
        <w:b/>
        <w:bCs/>
      </w:rPr>
      <w:tblPr/>
      <w:tcPr>
        <w:tcBorders>
          <w:top w:val="double" w:sz="4" w:space="0" w:color="2BB673" w:themeColor="accent1"/>
        </w:tcBorders>
      </w:tcPr>
    </w:tblStylePr>
    <w:tblStylePr w:type="firstCol">
      <w:rPr>
        <w:b/>
        <w:bCs/>
      </w:rPr>
    </w:tblStylePr>
    <w:tblStylePr w:type="lastCol">
      <w:rPr>
        <w:b/>
        <w:bCs/>
      </w:rPr>
    </w:tblStylePr>
    <w:tblStylePr w:type="band1Vert">
      <w:tblPr/>
      <w:tcPr>
        <w:shd w:val="clear" w:color="auto" w:fill="D0F4E3" w:themeFill="accent1" w:themeFillTint="33"/>
      </w:tcPr>
    </w:tblStylePr>
    <w:tblStylePr w:type="band1Horz">
      <w:tblPr/>
      <w:tcPr>
        <w:shd w:val="clear" w:color="auto" w:fill="D0F4E3" w:themeFill="accent1" w:themeFillTint="33"/>
      </w:tcPr>
    </w:tblStylePr>
  </w:style>
  <w:style w:type="table" w:styleId="ListTable6ColourfulAccent2">
    <w:name w:val="List Table 6 Colorful Accent 2"/>
    <w:basedOn w:val="TableNormal"/>
    <w:uiPriority w:val="51"/>
    <w:rsid w:val="00DF5A1A"/>
    <w:pPr>
      <w:spacing w:after="0" w:line="240" w:lineRule="auto"/>
    </w:pPr>
    <w:rPr>
      <w:color w:val="6D8613" w:themeColor="accent2" w:themeShade="BF"/>
    </w:rPr>
    <w:tblPr>
      <w:tblStyleRowBandSize w:val="1"/>
      <w:tblStyleColBandSize w:val="1"/>
      <w:tblBorders>
        <w:top w:val="single" w:sz="4" w:space="0" w:color="93B41A" w:themeColor="accent2"/>
        <w:bottom w:val="single" w:sz="4" w:space="0" w:color="93B41A" w:themeColor="accent2"/>
      </w:tblBorders>
    </w:tblPr>
    <w:tblStylePr w:type="firstRow">
      <w:rPr>
        <w:b/>
        <w:bCs/>
      </w:rPr>
      <w:tblPr/>
      <w:tcPr>
        <w:tcBorders>
          <w:bottom w:val="single" w:sz="4" w:space="0" w:color="93B41A" w:themeColor="accent2"/>
        </w:tcBorders>
      </w:tcPr>
    </w:tblStylePr>
    <w:tblStylePr w:type="lastRow">
      <w:rPr>
        <w:b/>
        <w:bCs/>
      </w:rPr>
      <w:tblPr/>
      <w:tcPr>
        <w:tcBorders>
          <w:top w:val="double" w:sz="4" w:space="0" w:color="93B41A" w:themeColor="accent2"/>
        </w:tcBorders>
      </w:tcPr>
    </w:tblStylePr>
    <w:tblStylePr w:type="firstCol">
      <w:rPr>
        <w:b/>
        <w:bCs/>
      </w:rPr>
    </w:tblStylePr>
    <w:tblStylePr w:type="lastCol">
      <w:rPr>
        <w:b/>
        <w:bCs/>
      </w:rPr>
    </w:tblStylePr>
    <w:tblStylePr w:type="band1Vert">
      <w:tblPr/>
      <w:tcPr>
        <w:shd w:val="clear" w:color="auto" w:fill="EDF7C9" w:themeFill="accent2" w:themeFillTint="33"/>
      </w:tcPr>
    </w:tblStylePr>
    <w:tblStylePr w:type="band1Horz">
      <w:tblPr/>
      <w:tcPr>
        <w:shd w:val="clear" w:color="auto" w:fill="EDF7C9" w:themeFill="accent2" w:themeFillTint="33"/>
      </w:tcPr>
    </w:tblStylePr>
  </w:style>
  <w:style w:type="table" w:styleId="ListTable6ColourfulAccent3">
    <w:name w:val="List Table 6 Colorful Accent 3"/>
    <w:basedOn w:val="TableNormal"/>
    <w:uiPriority w:val="51"/>
    <w:rsid w:val="00DF5A1A"/>
    <w:pPr>
      <w:spacing w:after="0" w:line="240" w:lineRule="auto"/>
    </w:pPr>
    <w:rPr>
      <w:color w:val="CF4110" w:themeColor="accent3" w:themeShade="BF"/>
    </w:rPr>
    <w:tblPr>
      <w:tblStyleRowBandSize w:val="1"/>
      <w:tblStyleColBandSize w:val="1"/>
      <w:tblBorders>
        <w:top w:val="single" w:sz="4" w:space="0" w:color="F06A3B" w:themeColor="accent3"/>
        <w:bottom w:val="single" w:sz="4" w:space="0" w:color="F06A3B" w:themeColor="accent3"/>
      </w:tblBorders>
    </w:tblPr>
    <w:tblStylePr w:type="firstRow">
      <w:rPr>
        <w:b/>
        <w:bCs/>
      </w:rPr>
      <w:tblPr/>
      <w:tcPr>
        <w:tcBorders>
          <w:bottom w:val="single" w:sz="4" w:space="0" w:color="F06A3B" w:themeColor="accent3"/>
        </w:tcBorders>
      </w:tcPr>
    </w:tblStylePr>
    <w:tblStylePr w:type="lastRow">
      <w:rPr>
        <w:b/>
        <w:bCs/>
      </w:rPr>
      <w:tblPr/>
      <w:tcPr>
        <w:tcBorders>
          <w:top w:val="double" w:sz="4" w:space="0" w:color="F06A3B" w:themeColor="accent3"/>
        </w:tcBorders>
      </w:tcPr>
    </w:tblStylePr>
    <w:tblStylePr w:type="firstCol">
      <w:rPr>
        <w:b/>
        <w:bCs/>
      </w:rPr>
    </w:tblStylePr>
    <w:tblStylePr w:type="lastCol">
      <w:rPr>
        <w:b/>
        <w:bCs/>
      </w:rPr>
    </w:tblStylePr>
    <w:tblStylePr w:type="band1Vert">
      <w:tblPr/>
      <w:tcPr>
        <w:shd w:val="clear" w:color="auto" w:fill="FCE1D7" w:themeFill="accent3" w:themeFillTint="33"/>
      </w:tcPr>
    </w:tblStylePr>
    <w:tblStylePr w:type="band1Horz">
      <w:tblPr/>
      <w:tcPr>
        <w:shd w:val="clear" w:color="auto" w:fill="FCE1D7" w:themeFill="accent3" w:themeFillTint="33"/>
      </w:tcPr>
    </w:tblStylePr>
  </w:style>
  <w:style w:type="table" w:styleId="ListTable6ColourfulAccent4">
    <w:name w:val="List Table 6 Colorful Accent 4"/>
    <w:basedOn w:val="TableNormal"/>
    <w:uiPriority w:val="51"/>
    <w:rsid w:val="00DF5A1A"/>
    <w:pPr>
      <w:spacing w:after="0" w:line="240" w:lineRule="auto"/>
    </w:pPr>
    <w:rPr>
      <w:color w:val="6E37AA" w:themeColor="accent4" w:themeShade="BF"/>
    </w:rPr>
    <w:tblPr>
      <w:tblStyleRowBandSize w:val="1"/>
      <w:tblStyleColBandSize w:val="1"/>
      <w:tblBorders>
        <w:top w:val="single" w:sz="4" w:space="0" w:color="9561CC" w:themeColor="accent4"/>
        <w:bottom w:val="single" w:sz="4" w:space="0" w:color="9561CC" w:themeColor="accent4"/>
      </w:tblBorders>
    </w:tblPr>
    <w:tblStylePr w:type="firstRow">
      <w:rPr>
        <w:b/>
        <w:bCs/>
      </w:rPr>
      <w:tblPr/>
      <w:tcPr>
        <w:tcBorders>
          <w:bottom w:val="single" w:sz="4" w:space="0" w:color="9561CC" w:themeColor="accent4"/>
        </w:tcBorders>
      </w:tcPr>
    </w:tblStylePr>
    <w:tblStylePr w:type="lastRow">
      <w:rPr>
        <w:b/>
        <w:bCs/>
      </w:rPr>
      <w:tblPr/>
      <w:tcPr>
        <w:tcBorders>
          <w:top w:val="double" w:sz="4" w:space="0" w:color="9561CC" w:themeColor="accent4"/>
        </w:tcBorders>
      </w:tcPr>
    </w:tblStylePr>
    <w:tblStylePr w:type="firstCol">
      <w:rPr>
        <w:b/>
        <w:bCs/>
      </w:rPr>
    </w:tblStylePr>
    <w:tblStylePr w:type="lastCol">
      <w:rPr>
        <w:b/>
        <w:bCs/>
      </w:rPr>
    </w:tblStylePr>
    <w:tblStylePr w:type="band1Vert">
      <w:tblPr/>
      <w:tcPr>
        <w:shd w:val="clear" w:color="auto" w:fill="E9DFF4" w:themeFill="accent4" w:themeFillTint="33"/>
      </w:tcPr>
    </w:tblStylePr>
    <w:tblStylePr w:type="band1Horz">
      <w:tblPr/>
      <w:tcPr>
        <w:shd w:val="clear" w:color="auto" w:fill="E9DFF4" w:themeFill="accent4" w:themeFillTint="33"/>
      </w:tcPr>
    </w:tblStylePr>
  </w:style>
  <w:style w:type="table" w:styleId="ListTable6ColourfulAccent5">
    <w:name w:val="List Table 6 Colorful Accent 5"/>
    <w:basedOn w:val="TableNormal"/>
    <w:uiPriority w:val="51"/>
    <w:rsid w:val="00DF5A1A"/>
    <w:pPr>
      <w:spacing w:after="0" w:line="240" w:lineRule="auto"/>
    </w:pPr>
    <w:rPr>
      <w:color w:val="008094" w:themeColor="accent5" w:themeShade="BF"/>
    </w:rPr>
    <w:tblPr>
      <w:tblStyleRowBandSize w:val="1"/>
      <w:tblStyleColBandSize w:val="1"/>
      <w:tblBorders>
        <w:top w:val="single" w:sz="4" w:space="0" w:color="00ADC6" w:themeColor="accent5"/>
        <w:bottom w:val="single" w:sz="4" w:space="0" w:color="00ADC6" w:themeColor="accent5"/>
      </w:tblBorders>
    </w:tblPr>
    <w:tblStylePr w:type="firstRow">
      <w:rPr>
        <w:b/>
        <w:bCs/>
      </w:rPr>
      <w:tblPr/>
      <w:tcPr>
        <w:tcBorders>
          <w:bottom w:val="single" w:sz="4" w:space="0" w:color="00ADC6" w:themeColor="accent5"/>
        </w:tcBorders>
      </w:tcPr>
    </w:tblStylePr>
    <w:tblStylePr w:type="lastRow">
      <w:rPr>
        <w:b/>
        <w:bCs/>
      </w:rPr>
      <w:tblPr/>
      <w:tcPr>
        <w:tcBorders>
          <w:top w:val="double" w:sz="4" w:space="0" w:color="00ADC6" w:themeColor="accent5"/>
        </w:tcBorders>
      </w:tcPr>
    </w:tblStylePr>
    <w:tblStylePr w:type="firstCol">
      <w:rPr>
        <w:b/>
        <w:bCs/>
      </w:rPr>
    </w:tblStylePr>
    <w:tblStylePr w:type="lastCol">
      <w:rPr>
        <w:b/>
        <w:bCs/>
      </w:rPr>
    </w:tblStylePr>
    <w:tblStylePr w:type="band1Vert">
      <w:tblPr/>
      <w:tcPr>
        <w:shd w:val="clear" w:color="auto" w:fill="C0F6FF" w:themeFill="accent5" w:themeFillTint="33"/>
      </w:tcPr>
    </w:tblStylePr>
    <w:tblStylePr w:type="band1Horz">
      <w:tblPr/>
      <w:tcPr>
        <w:shd w:val="clear" w:color="auto" w:fill="C0F6FF" w:themeFill="accent5" w:themeFillTint="33"/>
      </w:tcPr>
    </w:tblStylePr>
  </w:style>
  <w:style w:type="table" w:styleId="ListTable6ColourfulAccent6">
    <w:name w:val="List Table 6 Colorful Accent 6"/>
    <w:basedOn w:val="TableNormal"/>
    <w:uiPriority w:val="51"/>
    <w:rsid w:val="00DF5A1A"/>
    <w:pPr>
      <w:spacing w:after="0" w:line="240" w:lineRule="auto"/>
    </w:pPr>
    <w:rPr>
      <w:color w:val="C36B01" w:themeColor="accent6" w:themeShade="BF"/>
    </w:rPr>
    <w:tblPr>
      <w:tblStyleRowBandSize w:val="1"/>
      <w:tblStyleColBandSize w:val="1"/>
      <w:tblBorders>
        <w:top w:val="single" w:sz="4" w:space="0" w:color="FD8F0A" w:themeColor="accent6"/>
        <w:bottom w:val="single" w:sz="4" w:space="0" w:color="FD8F0A" w:themeColor="accent6"/>
      </w:tblBorders>
    </w:tblPr>
    <w:tblStylePr w:type="firstRow">
      <w:rPr>
        <w:b/>
        <w:bCs/>
      </w:rPr>
      <w:tblPr/>
      <w:tcPr>
        <w:tcBorders>
          <w:bottom w:val="single" w:sz="4" w:space="0" w:color="FD8F0A" w:themeColor="accent6"/>
        </w:tcBorders>
      </w:tcPr>
    </w:tblStylePr>
    <w:tblStylePr w:type="lastRow">
      <w:rPr>
        <w:b/>
        <w:bCs/>
      </w:rPr>
      <w:tblPr/>
      <w:tcPr>
        <w:tcBorders>
          <w:top w:val="double" w:sz="4" w:space="0" w:color="FD8F0A" w:themeColor="accent6"/>
        </w:tcBorders>
      </w:tcPr>
    </w:tblStylePr>
    <w:tblStylePr w:type="firstCol">
      <w:rPr>
        <w:b/>
        <w:bCs/>
      </w:rPr>
    </w:tblStylePr>
    <w:tblStylePr w:type="lastCol">
      <w:rPr>
        <w:b/>
        <w:bCs/>
      </w:rPr>
    </w:tblStylePr>
    <w:tblStylePr w:type="band1Vert">
      <w:tblPr/>
      <w:tcPr>
        <w:shd w:val="clear" w:color="auto" w:fill="FEE8CD" w:themeFill="accent6" w:themeFillTint="33"/>
      </w:tcPr>
    </w:tblStylePr>
    <w:tblStylePr w:type="band1Horz">
      <w:tblPr/>
      <w:tcPr>
        <w:shd w:val="clear" w:color="auto" w:fill="FEE8CD" w:themeFill="accent6" w:themeFillTint="33"/>
      </w:tcPr>
    </w:tblStylePr>
  </w:style>
  <w:style w:type="table" w:styleId="ListTable7Colourful">
    <w:name w:val="List Table 7 Colorful"/>
    <w:basedOn w:val="TableNormal"/>
    <w:uiPriority w:val="52"/>
    <w:rsid w:val="00DF5A1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DF5A1A"/>
    <w:pPr>
      <w:spacing w:after="0" w:line="240" w:lineRule="auto"/>
    </w:pPr>
    <w:rPr>
      <w:color w:val="20885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B67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B67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B67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B673" w:themeColor="accent1"/>
        </w:tcBorders>
        <w:shd w:val="clear" w:color="auto" w:fill="FFFFFF" w:themeFill="background1"/>
      </w:tcPr>
    </w:tblStylePr>
    <w:tblStylePr w:type="band1Vert">
      <w:tblPr/>
      <w:tcPr>
        <w:shd w:val="clear" w:color="auto" w:fill="D0F4E3" w:themeFill="accent1" w:themeFillTint="33"/>
      </w:tcPr>
    </w:tblStylePr>
    <w:tblStylePr w:type="band1Horz">
      <w:tblPr/>
      <w:tcPr>
        <w:shd w:val="clear" w:color="auto" w:fill="D0F4E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DF5A1A"/>
    <w:pPr>
      <w:spacing w:after="0" w:line="240" w:lineRule="auto"/>
    </w:pPr>
    <w:rPr>
      <w:color w:val="6D861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B4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B4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B4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B41A" w:themeColor="accent2"/>
        </w:tcBorders>
        <w:shd w:val="clear" w:color="auto" w:fill="FFFFFF" w:themeFill="background1"/>
      </w:tcPr>
    </w:tblStylePr>
    <w:tblStylePr w:type="band1Vert">
      <w:tblPr/>
      <w:tcPr>
        <w:shd w:val="clear" w:color="auto" w:fill="EDF7C9" w:themeFill="accent2" w:themeFillTint="33"/>
      </w:tcPr>
    </w:tblStylePr>
    <w:tblStylePr w:type="band1Horz">
      <w:tblPr/>
      <w:tcPr>
        <w:shd w:val="clear" w:color="auto" w:fill="EDF7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DF5A1A"/>
    <w:pPr>
      <w:spacing w:after="0" w:line="240" w:lineRule="auto"/>
    </w:pPr>
    <w:rPr>
      <w:color w:val="CF411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6A3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6A3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6A3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6A3B" w:themeColor="accent3"/>
        </w:tcBorders>
        <w:shd w:val="clear" w:color="auto" w:fill="FFFFFF" w:themeFill="background1"/>
      </w:tcPr>
    </w:tblStylePr>
    <w:tblStylePr w:type="band1Vert">
      <w:tblPr/>
      <w:tcPr>
        <w:shd w:val="clear" w:color="auto" w:fill="FCE1D7" w:themeFill="accent3" w:themeFillTint="33"/>
      </w:tcPr>
    </w:tblStylePr>
    <w:tblStylePr w:type="band1Horz">
      <w:tblPr/>
      <w:tcPr>
        <w:shd w:val="clear" w:color="auto" w:fill="FCE1D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DF5A1A"/>
    <w:pPr>
      <w:spacing w:after="0" w:line="240" w:lineRule="auto"/>
    </w:pPr>
    <w:rPr>
      <w:color w:val="6E37A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561C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561C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561C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561CC" w:themeColor="accent4"/>
        </w:tcBorders>
        <w:shd w:val="clear" w:color="auto" w:fill="FFFFFF" w:themeFill="background1"/>
      </w:tcPr>
    </w:tblStylePr>
    <w:tblStylePr w:type="band1Vert">
      <w:tblPr/>
      <w:tcPr>
        <w:shd w:val="clear" w:color="auto" w:fill="E9DFF4" w:themeFill="accent4" w:themeFillTint="33"/>
      </w:tcPr>
    </w:tblStylePr>
    <w:tblStylePr w:type="band1Horz">
      <w:tblPr/>
      <w:tcPr>
        <w:shd w:val="clear" w:color="auto" w:fill="E9DF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DF5A1A"/>
    <w:pPr>
      <w:spacing w:after="0" w:line="240" w:lineRule="auto"/>
    </w:pPr>
    <w:rPr>
      <w:color w:val="00809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D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D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D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DC6" w:themeColor="accent5"/>
        </w:tcBorders>
        <w:shd w:val="clear" w:color="auto" w:fill="FFFFFF" w:themeFill="background1"/>
      </w:tcPr>
    </w:tblStylePr>
    <w:tblStylePr w:type="band1Vert">
      <w:tblPr/>
      <w:tcPr>
        <w:shd w:val="clear" w:color="auto" w:fill="C0F6FF" w:themeFill="accent5" w:themeFillTint="33"/>
      </w:tcPr>
    </w:tblStylePr>
    <w:tblStylePr w:type="band1Horz">
      <w:tblPr/>
      <w:tcPr>
        <w:shd w:val="clear" w:color="auto" w:fill="C0F6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DF5A1A"/>
    <w:pPr>
      <w:spacing w:after="0" w:line="240" w:lineRule="auto"/>
    </w:pPr>
    <w:rPr>
      <w:color w:val="C36B0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8F0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8F0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8F0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8F0A" w:themeColor="accent6"/>
        </w:tcBorders>
        <w:shd w:val="clear" w:color="auto" w:fill="FFFFFF" w:themeFill="background1"/>
      </w:tcPr>
    </w:tblStylePr>
    <w:tblStylePr w:type="band1Vert">
      <w:tblPr/>
      <w:tcPr>
        <w:shd w:val="clear" w:color="auto" w:fill="FEE8CD" w:themeFill="accent6" w:themeFillTint="33"/>
      </w:tcPr>
    </w:tblStylePr>
    <w:tblStylePr w:type="band1Horz">
      <w:tblPr/>
      <w:tcPr>
        <w:shd w:val="clear" w:color="auto" w:fill="FEE8C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F5A1A"/>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color w:val="1E1E1E"/>
      <w:sz w:val="20"/>
      <w:szCs w:val="20"/>
    </w:rPr>
  </w:style>
  <w:style w:type="character" w:customStyle="1" w:styleId="MacroTextChar">
    <w:name w:val="Macro Text Char"/>
    <w:basedOn w:val="DefaultParagraphFont"/>
    <w:link w:val="MacroText"/>
    <w:uiPriority w:val="99"/>
    <w:semiHidden/>
    <w:rsid w:val="00DF5A1A"/>
    <w:rPr>
      <w:rFonts w:ascii="Consolas" w:hAnsi="Consolas"/>
      <w:color w:val="1E1E1E"/>
      <w:sz w:val="20"/>
      <w:szCs w:val="20"/>
    </w:rPr>
  </w:style>
  <w:style w:type="table" w:styleId="MediumGrid1">
    <w:name w:val="Medium Grid 1"/>
    <w:basedOn w:val="TableNormal"/>
    <w:uiPriority w:val="67"/>
    <w:semiHidden/>
    <w:unhideWhenUsed/>
    <w:rsid w:val="00DF5A1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F5A1A"/>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insideV w:val="single" w:sz="8" w:space="0" w:color="52D696" w:themeColor="accent1" w:themeTint="BF"/>
      </w:tblBorders>
    </w:tblPr>
    <w:tcPr>
      <w:shd w:val="clear" w:color="auto" w:fill="C5F1DC" w:themeFill="accent1" w:themeFillTint="3F"/>
    </w:tcPr>
    <w:tblStylePr w:type="firstRow">
      <w:rPr>
        <w:b/>
        <w:bCs/>
      </w:rPr>
    </w:tblStylePr>
    <w:tblStylePr w:type="lastRow">
      <w:rPr>
        <w:b/>
        <w:bCs/>
      </w:rPr>
      <w:tblPr/>
      <w:tcPr>
        <w:tcBorders>
          <w:top w:val="single" w:sz="18" w:space="0" w:color="52D696" w:themeColor="accent1" w:themeTint="BF"/>
        </w:tcBorders>
      </w:tcPr>
    </w:tblStylePr>
    <w:tblStylePr w:type="firstCol">
      <w:rPr>
        <w:b/>
        <w:bCs/>
      </w:rPr>
    </w:tblStylePr>
    <w:tblStylePr w:type="lastCol">
      <w:rPr>
        <w:b/>
        <w:bCs/>
      </w:rPr>
    </w:tblStylePr>
    <w:tblStylePr w:type="band1Vert">
      <w:tblPr/>
      <w:tcPr>
        <w:shd w:val="clear" w:color="auto" w:fill="8CE4B9" w:themeFill="accent1" w:themeFillTint="7F"/>
      </w:tcPr>
    </w:tblStylePr>
    <w:tblStylePr w:type="band1Horz">
      <w:tblPr/>
      <w:tcPr>
        <w:shd w:val="clear" w:color="auto" w:fill="8CE4B9" w:themeFill="accent1" w:themeFillTint="7F"/>
      </w:tcPr>
    </w:tblStylePr>
  </w:style>
  <w:style w:type="table" w:styleId="MediumGrid1-Accent2">
    <w:name w:val="Medium Grid 1 Accent 2"/>
    <w:basedOn w:val="TableNormal"/>
    <w:uiPriority w:val="67"/>
    <w:semiHidden/>
    <w:unhideWhenUsed/>
    <w:rsid w:val="00DF5A1A"/>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insideV w:val="single" w:sz="8" w:space="0" w:color="BDE237" w:themeColor="accent2" w:themeTint="BF"/>
      </w:tblBorders>
    </w:tblPr>
    <w:tcPr>
      <w:shd w:val="clear" w:color="auto" w:fill="E9F5BD" w:themeFill="accent2" w:themeFillTint="3F"/>
    </w:tcPr>
    <w:tblStylePr w:type="firstRow">
      <w:rPr>
        <w:b/>
        <w:bCs/>
      </w:rPr>
    </w:tblStylePr>
    <w:tblStylePr w:type="lastRow">
      <w:rPr>
        <w:b/>
        <w:bCs/>
      </w:rPr>
      <w:tblPr/>
      <w:tcPr>
        <w:tcBorders>
          <w:top w:val="single" w:sz="18" w:space="0" w:color="BDE237" w:themeColor="accent2" w:themeTint="BF"/>
        </w:tcBorders>
      </w:tcPr>
    </w:tblStylePr>
    <w:tblStylePr w:type="firstCol">
      <w:rPr>
        <w:b/>
        <w:bCs/>
      </w:rPr>
    </w:tblStylePr>
    <w:tblStylePr w:type="lastCol">
      <w:rPr>
        <w:b/>
        <w:bCs/>
      </w:rPr>
    </w:tblStylePr>
    <w:tblStylePr w:type="band1Vert">
      <w:tblPr/>
      <w:tcPr>
        <w:shd w:val="clear" w:color="auto" w:fill="D3EB7A" w:themeFill="accent2" w:themeFillTint="7F"/>
      </w:tcPr>
    </w:tblStylePr>
    <w:tblStylePr w:type="band1Horz">
      <w:tblPr/>
      <w:tcPr>
        <w:shd w:val="clear" w:color="auto" w:fill="D3EB7A" w:themeFill="accent2" w:themeFillTint="7F"/>
      </w:tcPr>
    </w:tblStylePr>
  </w:style>
  <w:style w:type="table" w:styleId="MediumGrid1-Accent3">
    <w:name w:val="Medium Grid 1 Accent 3"/>
    <w:basedOn w:val="TableNormal"/>
    <w:uiPriority w:val="67"/>
    <w:semiHidden/>
    <w:unhideWhenUsed/>
    <w:rsid w:val="00DF5A1A"/>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insideV w:val="single" w:sz="8" w:space="0" w:color="F38F6B" w:themeColor="accent3" w:themeTint="BF"/>
      </w:tblBorders>
    </w:tblPr>
    <w:tcPr>
      <w:shd w:val="clear" w:color="auto" w:fill="FBD9CE" w:themeFill="accent3" w:themeFillTint="3F"/>
    </w:tcPr>
    <w:tblStylePr w:type="firstRow">
      <w:rPr>
        <w:b/>
        <w:bCs/>
      </w:rPr>
    </w:tblStylePr>
    <w:tblStylePr w:type="lastRow">
      <w:rPr>
        <w:b/>
        <w:bCs/>
      </w:rPr>
      <w:tblPr/>
      <w:tcPr>
        <w:tcBorders>
          <w:top w:val="single" w:sz="18" w:space="0" w:color="F38F6B" w:themeColor="accent3" w:themeTint="BF"/>
        </w:tcBorders>
      </w:tcPr>
    </w:tblStylePr>
    <w:tblStylePr w:type="firstCol">
      <w:rPr>
        <w:b/>
        <w:bCs/>
      </w:rPr>
    </w:tblStylePr>
    <w:tblStylePr w:type="lastCol">
      <w:rPr>
        <w:b/>
        <w:bCs/>
      </w:rPr>
    </w:tblStylePr>
    <w:tblStylePr w:type="band1Vert">
      <w:tblPr/>
      <w:tcPr>
        <w:shd w:val="clear" w:color="auto" w:fill="F7B49D" w:themeFill="accent3" w:themeFillTint="7F"/>
      </w:tcPr>
    </w:tblStylePr>
    <w:tblStylePr w:type="band1Horz">
      <w:tblPr/>
      <w:tcPr>
        <w:shd w:val="clear" w:color="auto" w:fill="F7B49D" w:themeFill="accent3" w:themeFillTint="7F"/>
      </w:tcPr>
    </w:tblStylePr>
  </w:style>
  <w:style w:type="table" w:styleId="MediumGrid1-Accent4">
    <w:name w:val="Medium Grid 1 Accent 4"/>
    <w:basedOn w:val="TableNormal"/>
    <w:uiPriority w:val="67"/>
    <w:semiHidden/>
    <w:unhideWhenUsed/>
    <w:rsid w:val="00DF5A1A"/>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insideV w:val="single" w:sz="8" w:space="0" w:color="AF88D8" w:themeColor="accent4" w:themeTint="BF"/>
      </w:tblBorders>
    </w:tblPr>
    <w:tcPr>
      <w:shd w:val="clear" w:color="auto" w:fill="E4D7F2" w:themeFill="accent4" w:themeFillTint="3F"/>
    </w:tcPr>
    <w:tblStylePr w:type="firstRow">
      <w:rPr>
        <w:b/>
        <w:bCs/>
      </w:rPr>
    </w:tblStylePr>
    <w:tblStylePr w:type="lastRow">
      <w:rPr>
        <w:b/>
        <w:bCs/>
      </w:rPr>
      <w:tblPr/>
      <w:tcPr>
        <w:tcBorders>
          <w:top w:val="single" w:sz="18" w:space="0" w:color="AF88D8" w:themeColor="accent4" w:themeTint="BF"/>
        </w:tcBorders>
      </w:tcPr>
    </w:tblStylePr>
    <w:tblStylePr w:type="firstCol">
      <w:rPr>
        <w:b/>
        <w:bCs/>
      </w:rPr>
    </w:tblStylePr>
    <w:tblStylePr w:type="lastCol">
      <w:rPr>
        <w:b/>
        <w:bCs/>
      </w:rPr>
    </w:tblStylePr>
    <w:tblStylePr w:type="band1Vert">
      <w:tblPr/>
      <w:tcPr>
        <w:shd w:val="clear" w:color="auto" w:fill="C9B0E5" w:themeFill="accent4" w:themeFillTint="7F"/>
      </w:tcPr>
    </w:tblStylePr>
    <w:tblStylePr w:type="band1Horz">
      <w:tblPr/>
      <w:tcPr>
        <w:shd w:val="clear" w:color="auto" w:fill="C9B0E5" w:themeFill="accent4" w:themeFillTint="7F"/>
      </w:tcPr>
    </w:tblStylePr>
  </w:style>
  <w:style w:type="table" w:styleId="MediumGrid1-Accent5">
    <w:name w:val="Medium Grid 1 Accent 5"/>
    <w:basedOn w:val="TableNormal"/>
    <w:uiPriority w:val="67"/>
    <w:semiHidden/>
    <w:unhideWhenUsed/>
    <w:rsid w:val="00DF5A1A"/>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insideV w:val="single" w:sz="8" w:space="0" w:color="15E0FF" w:themeColor="accent5" w:themeTint="BF"/>
      </w:tblBorders>
    </w:tblPr>
    <w:tcPr>
      <w:shd w:val="clear" w:color="auto" w:fill="B1F4FF" w:themeFill="accent5" w:themeFillTint="3F"/>
    </w:tcPr>
    <w:tblStylePr w:type="firstRow">
      <w:rPr>
        <w:b/>
        <w:bCs/>
      </w:rPr>
    </w:tblStylePr>
    <w:tblStylePr w:type="lastRow">
      <w:rPr>
        <w:b/>
        <w:bCs/>
      </w:rPr>
      <w:tblPr/>
      <w:tcPr>
        <w:tcBorders>
          <w:top w:val="single" w:sz="18" w:space="0" w:color="15E0FF" w:themeColor="accent5" w:themeTint="BF"/>
        </w:tcBorders>
      </w:tcPr>
    </w:tblStylePr>
    <w:tblStylePr w:type="firstCol">
      <w:rPr>
        <w:b/>
        <w:bCs/>
      </w:rPr>
    </w:tblStylePr>
    <w:tblStylePr w:type="lastCol">
      <w:rPr>
        <w:b/>
        <w:bCs/>
      </w:rPr>
    </w:tblStylePr>
    <w:tblStylePr w:type="band1Vert">
      <w:tblPr/>
      <w:tcPr>
        <w:shd w:val="clear" w:color="auto" w:fill="63EAFF" w:themeFill="accent5" w:themeFillTint="7F"/>
      </w:tcPr>
    </w:tblStylePr>
    <w:tblStylePr w:type="band1Horz">
      <w:tblPr/>
      <w:tcPr>
        <w:shd w:val="clear" w:color="auto" w:fill="63EAFF" w:themeFill="accent5" w:themeFillTint="7F"/>
      </w:tcPr>
    </w:tblStylePr>
  </w:style>
  <w:style w:type="table" w:styleId="MediumGrid1-Accent6">
    <w:name w:val="Medium Grid 1 Accent 6"/>
    <w:basedOn w:val="TableNormal"/>
    <w:uiPriority w:val="67"/>
    <w:semiHidden/>
    <w:unhideWhenUsed/>
    <w:rsid w:val="00DF5A1A"/>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insideV w:val="single" w:sz="8" w:space="0" w:color="FDAA47" w:themeColor="accent6" w:themeTint="BF"/>
      </w:tblBorders>
    </w:tblPr>
    <w:tcPr>
      <w:shd w:val="clear" w:color="auto" w:fill="FEE3C2" w:themeFill="accent6" w:themeFillTint="3F"/>
    </w:tcPr>
    <w:tblStylePr w:type="firstRow">
      <w:rPr>
        <w:b/>
        <w:bCs/>
      </w:rPr>
    </w:tblStylePr>
    <w:tblStylePr w:type="lastRow">
      <w:rPr>
        <w:b/>
        <w:bCs/>
      </w:rPr>
      <w:tblPr/>
      <w:tcPr>
        <w:tcBorders>
          <w:top w:val="single" w:sz="18" w:space="0" w:color="FDAA47" w:themeColor="accent6" w:themeTint="BF"/>
        </w:tcBorders>
      </w:tcPr>
    </w:tblStylePr>
    <w:tblStylePr w:type="firstCol">
      <w:rPr>
        <w:b/>
        <w:bCs/>
      </w:rPr>
    </w:tblStylePr>
    <w:tblStylePr w:type="lastCol">
      <w:rPr>
        <w:b/>
        <w:bCs/>
      </w:rPr>
    </w:tblStylePr>
    <w:tblStylePr w:type="band1Vert">
      <w:tblPr/>
      <w:tcPr>
        <w:shd w:val="clear" w:color="auto" w:fill="FEC684" w:themeFill="accent6" w:themeFillTint="7F"/>
      </w:tcPr>
    </w:tblStylePr>
    <w:tblStylePr w:type="band1Horz">
      <w:tblPr/>
      <w:tcPr>
        <w:shd w:val="clear" w:color="auto" w:fill="FEC684" w:themeFill="accent6" w:themeFillTint="7F"/>
      </w:tcPr>
    </w:tblStylePr>
  </w:style>
  <w:style w:type="table" w:styleId="MediumGrid2">
    <w:name w:val="Medium Grid 2"/>
    <w:basedOn w:val="TableNormal"/>
    <w:uiPriority w:val="68"/>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insideH w:val="single" w:sz="8" w:space="0" w:color="2BB673" w:themeColor="accent1"/>
        <w:insideV w:val="single" w:sz="8" w:space="0" w:color="2BB673" w:themeColor="accent1"/>
      </w:tblBorders>
    </w:tblPr>
    <w:tcPr>
      <w:shd w:val="clear" w:color="auto" w:fill="C5F1DC" w:themeFill="accent1" w:themeFillTint="3F"/>
    </w:tcPr>
    <w:tblStylePr w:type="firstRow">
      <w:rPr>
        <w:b/>
        <w:bCs/>
        <w:color w:val="000000" w:themeColor="text1"/>
      </w:rPr>
      <w:tblPr/>
      <w:tcPr>
        <w:shd w:val="clear" w:color="auto" w:fill="E8F9F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F4E3" w:themeFill="accent1" w:themeFillTint="33"/>
      </w:tcPr>
    </w:tblStylePr>
    <w:tblStylePr w:type="band1Vert">
      <w:tblPr/>
      <w:tcPr>
        <w:shd w:val="clear" w:color="auto" w:fill="8CE4B9" w:themeFill="accent1" w:themeFillTint="7F"/>
      </w:tcPr>
    </w:tblStylePr>
    <w:tblStylePr w:type="band1Horz">
      <w:tblPr/>
      <w:tcPr>
        <w:tcBorders>
          <w:insideH w:val="single" w:sz="6" w:space="0" w:color="2BB673" w:themeColor="accent1"/>
          <w:insideV w:val="single" w:sz="6" w:space="0" w:color="2BB673" w:themeColor="accent1"/>
        </w:tcBorders>
        <w:shd w:val="clear" w:color="auto" w:fill="8CE4B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insideH w:val="single" w:sz="8" w:space="0" w:color="93B41A" w:themeColor="accent2"/>
        <w:insideV w:val="single" w:sz="8" w:space="0" w:color="93B41A" w:themeColor="accent2"/>
      </w:tblBorders>
    </w:tblPr>
    <w:tcPr>
      <w:shd w:val="clear" w:color="auto" w:fill="E9F5BD" w:themeFill="accent2" w:themeFillTint="3F"/>
    </w:tcPr>
    <w:tblStylePr w:type="firstRow">
      <w:rPr>
        <w:b/>
        <w:bCs/>
        <w:color w:val="000000" w:themeColor="text1"/>
      </w:rPr>
      <w:tblPr/>
      <w:tcPr>
        <w:shd w:val="clear" w:color="auto" w:fill="F6FB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7C9" w:themeFill="accent2" w:themeFillTint="33"/>
      </w:tcPr>
    </w:tblStylePr>
    <w:tblStylePr w:type="band1Vert">
      <w:tblPr/>
      <w:tcPr>
        <w:shd w:val="clear" w:color="auto" w:fill="D3EB7A" w:themeFill="accent2" w:themeFillTint="7F"/>
      </w:tcPr>
    </w:tblStylePr>
    <w:tblStylePr w:type="band1Horz">
      <w:tblPr/>
      <w:tcPr>
        <w:tcBorders>
          <w:insideH w:val="single" w:sz="6" w:space="0" w:color="93B41A" w:themeColor="accent2"/>
          <w:insideV w:val="single" w:sz="6" w:space="0" w:color="93B41A" w:themeColor="accent2"/>
        </w:tcBorders>
        <w:shd w:val="clear" w:color="auto" w:fill="D3EB7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insideH w:val="single" w:sz="8" w:space="0" w:color="F06A3B" w:themeColor="accent3"/>
        <w:insideV w:val="single" w:sz="8" w:space="0" w:color="F06A3B" w:themeColor="accent3"/>
      </w:tblBorders>
    </w:tblPr>
    <w:tcPr>
      <w:shd w:val="clear" w:color="auto" w:fill="FBD9CE" w:themeFill="accent3" w:themeFillTint="3F"/>
    </w:tcPr>
    <w:tblStylePr w:type="firstRow">
      <w:rPr>
        <w:b/>
        <w:bCs/>
        <w:color w:val="000000" w:themeColor="text1"/>
      </w:rPr>
      <w:tblPr/>
      <w:tcPr>
        <w:shd w:val="clear" w:color="auto" w:fill="FDF0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1D7" w:themeFill="accent3" w:themeFillTint="33"/>
      </w:tcPr>
    </w:tblStylePr>
    <w:tblStylePr w:type="band1Vert">
      <w:tblPr/>
      <w:tcPr>
        <w:shd w:val="clear" w:color="auto" w:fill="F7B49D" w:themeFill="accent3" w:themeFillTint="7F"/>
      </w:tcPr>
    </w:tblStylePr>
    <w:tblStylePr w:type="band1Horz">
      <w:tblPr/>
      <w:tcPr>
        <w:tcBorders>
          <w:insideH w:val="single" w:sz="6" w:space="0" w:color="F06A3B" w:themeColor="accent3"/>
          <w:insideV w:val="single" w:sz="6" w:space="0" w:color="F06A3B" w:themeColor="accent3"/>
        </w:tcBorders>
        <w:shd w:val="clear" w:color="auto" w:fill="F7B49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insideH w:val="single" w:sz="8" w:space="0" w:color="9561CC" w:themeColor="accent4"/>
        <w:insideV w:val="single" w:sz="8" w:space="0" w:color="9561CC" w:themeColor="accent4"/>
      </w:tblBorders>
    </w:tblPr>
    <w:tcPr>
      <w:shd w:val="clear" w:color="auto" w:fill="E4D7F2" w:themeFill="accent4" w:themeFillTint="3F"/>
    </w:tcPr>
    <w:tblStylePr w:type="firstRow">
      <w:rPr>
        <w:b/>
        <w:bCs/>
        <w:color w:val="000000" w:themeColor="text1"/>
      </w:rPr>
      <w:tblPr/>
      <w:tcPr>
        <w:shd w:val="clear" w:color="auto" w:fill="F4EF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DFF4" w:themeFill="accent4" w:themeFillTint="33"/>
      </w:tcPr>
    </w:tblStylePr>
    <w:tblStylePr w:type="band1Vert">
      <w:tblPr/>
      <w:tcPr>
        <w:shd w:val="clear" w:color="auto" w:fill="C9B0E5" w:themeFill="accent4" w:themeFillTint="7F"/>
      </w:tcPr>
    </w:tblStylePr>
    <w:tblStylePr w:type="band1Horz">
      <w:tblPr/>
      <w:tcPr>
        <w:tcBorders>
          <w:insideH w:val="single" w:sz="6" w:space="0" w:color="9561CC" w:themeColor="accent4"/>
          <w:insideV w:val="single" w:sz="6" w:space="0" w:color="9561CC" w:themeColor="accent4"/>
        </w:tcBorders>
        <w:shd w:val="clear" w:color="auto" w:fill="C9B0E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insideH w:val="single" w:sz="8" w:space="0" w:color="00ADC6" w:themeColor="accent5"/>
        <w:insideV w:val="single" w:sz="8" w:space="0" w:color="00ADC6" w:themeColor="accent5"/>
      </w:tblBorders>
    </w:tblPr>
    <w:tcPr>
      <w:shd w:val="clear" w:color="auto" w:fill="B1F4FF" w:themeFill="accent5" w:themeFillTint="3F"/>
    </w:tcPr>
    <w:tblStylePr w:type="firstRow">
      <w:rPr>
        <w:b/>
        <w:bCs/>
        <w:color w:val="000000" w:themeColor="text1"/>
      </w:rPr>
      <w:tblPr/>
      <w:tcPr>
        <w:shd w:val="clear" w:color="auto" w:fill="E0FB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F6FF" w:themeFill="accent5" w:themeFillTint="33"/>
      </w:tcPr>
    </w:tblStylePr>
    <w:tblStylePr w:type="band1Vert">
      <w:tblPr/>
      <w:tcPr>
        <w:shd w:val="clear" w:color="auto" w:fill="63EAFF" w:themeFill="accent5" w:themeFillTint="7F"/>
      </w:tcPr>
    </w:tblStylePr>
    <w:tblStylePr w:type="band1Horz">
      <w:tblPr/>
      <w:tcPr>
        <w:tcBorders>
          <w:insideH w:val="single" w:sz="6" w:space="0" w:color="00ADC6" w:themeColor="accent5"/>
          <w:insideV w:val="single" w:sz="6" w:space="0" w:color="00ADC6" w:themeColor="accent5"/>
        </w:tcBorders>
        <w:shd w:val="clear" w:color="auto" w:fill="63EA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insideH w:val="single" w:sz="8" w:space="0" w:color="FD8F0A" w:themeColor="accent6"/>
        <w:insideV w:val="single" w:sz="8" w:space="0" w:color="FD8F0A" w:themeColor="accent6"/>
      </w:tblBorders>
    </w:tblPr>
    <w:tcPr>
      <w:shd w:val="clear" w:color="auto" w:fill="FEE3C2" w:themeFill="accent6" w:themeFillTint="3F"/>
    </w:tcPr>
    <w:tblStylePr w:type="firstRow">
      <w:rPr>
        <w:b/>
        <w:bCs/>
        <w:color w:val="000000" w:themeColor="text1"/>
      </w:rPr>
      <w:tblPr/>
      <w:tcPr>
        <w:shd w:val="clear" w:color="auto" w:fill="FEF3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8CD" w:themeFill="accent6" w:themeFillTint="33"/>
      </w:tcPr>
    </w:tblStylePr>
    <w:tblStylePr w:type="band1Vert">
      <w:tblPr/>
      <w:tcPr>
        <w:shd w:val="clear" w:color="auto" w:fill="FEC684" w:themeFill="accent6" w:themeFillTint="7F"/>
      </w:tcPr>
    </w:tblStylePr>
    <w:tblStylePr w:type="band1Horz">
      <w:tblPr/>
      <w:tcPr>
        <w:tcBorders>
          <w:insideH w:val="single" w:sz="6" w:space="0" w:color="FD8F0A" w:themeColor="accent6"/>
          <w:insideV w:val="single" w:sz="6" w:space="0" w:color="FD8F0A" w:themeColor="accent6"/>
        </w:tcBorders>
        <w:shd w:val="clear" w:color="auto" w:fill="FEC68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F5A1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F5A1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F1D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B67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B67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B67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E4B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E4B9" w:themeFill="accent1" w:themeFillTint="7F"/>
      </w:tcPr>
    </w:tblStylePr>
  </w:style>
  <w:style w:type="table" w:styleId="MediumGrid3-Accent2">
    <w:name w:val="Medium Grid 3 Accent 2"/>
    <w:basedOn w:val="TableNormal"/>
    <w:uiPriority w:val="69"/>
    <w:semiHidden/>
    <w:unhideWhenUsed/>
    <w:rsid w:val="00DF5A1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5B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B4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B4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B4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B7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B7A" w:themeFill="accent2" w:themeFillTint="7F"/>
      </w:tcPr>
    </w:tblStylePr>
  </w:style>
  <w:style w:type="table" w:styleId="MediumGrid3-Accent3">
    <w:name w:val="Medium Grid 3 Accent 3"/>
    <w:basedOn w:val="TableNormal"/>
    <w:uiPriority w:val="69"/>
    <w:semiHidden/>
    <w:unhideWhenUsed/>
    <w:rsid w:val="00DF5A1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9C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6A3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6A3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6A3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B4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B49D" w:themeFill="accent3" w:themeFillTint="7F"/>
      </w:tcPr>
    </w:tblStylePr>
  </w:style>
  <w:style w:type="table" w:styleId="MediumGrid3-Accent4">
    <w:name w:val="Medium Grid 3 Accent 4"/>
    <w:basedOn w:val="TableNormal"/>
    <w:uiPriority w:val="69"/>
    <w:semiHidden/>
    <w:unhideWhenUsed/>
    <w:rsid w:val="00DF5A1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D7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561C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561C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561C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B0E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B0E5" w:themeFill="accent4" w:themeFillTint="7F"/>
      </w:tcPr>
    </w:tblStylePr>
  </w:style>
  <w:style w:type="table" w:styleId="MediumGrid3-Accent5">
    <w:name w:val="Medium Grid 3 Accent 5"/>
    <w:basedOn w:val="TableNormal"/>
    <w:uiPriority w:val="69"/>
    <w:semiHidden/>
    <w:unhideWhenUsed/>
    <w:rsid w:val="00DF5A1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F4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3EA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3EAFF" w:themeFill="accent5" w:themeFillTint="7F"/>
      </w:tcPr>
    </w:tblStylePr>
  </w:style>
  <w:style w:type="table" w:styleId="MediumGrid3-Accent6">
    <w:name w:val="Medium Grid 3 Accent 6"/>
    <w:basedOn w:val="TableNormal"/>
    <w:uiPriority w:val="69"/>
    <w:semiHidden/>
    <w:unhideWhenUsed/>
    <w:rsid w:val="00DF5A1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3C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8F0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8F0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8F0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C68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C684" w:themeFill="accent6" w:themeFillTint="7F"/>
      </w:tcPr>
    </w:tblStylePr>
  </w:style>
  <w:style w:type="table" w:styleId="MediumList1">
    <w:name w:val="Medium List 1"/>
    <w:basedOn w:val="TableNormal"/>
    <w:uiPriority w:val="65"/>
    <w:semiHidden/>
    <w:unhideWhenUsed/>
    <w:rsid w:val="00DF5A1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626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F5A1A"/>
    <w:pPr>
      <w:spacing w:after="0" w:line="240" w:lineRule="auto"/>
    </w:pPr>
    <w:rPr>
      <w:color w:val="000000" w:themeColor="text1"/>
    </w:rPr>
    <w:tblPr>
      <w:tblStyleRowBandSize w:val="1"/>
      <w:tblStyleColBandSize w:val="1"/>
      <w:tblBorders>
        <w:top w:val="single" w:sz="8" w:space="0" w:color="2BB673" w:themeColor="accent1"/>
        <w:bottom w:val="single" w:sz="8" w:space="0" w:color="2BB673" w:themeColor="accent1"/>
      </w:tblBorders>
    </w:tblPr>
    <w:tblStylePr w:type="firstRow">
      <w:rPr>
        <w:rFonts w:asciiTheme="majorHAnsi" w:eastAsiaTheme="majorEastAsia" w:hAnsiTheme="majorHAnsi" w:cstheme="majorBidi"/>
      </w:rPr>
      <w:tblPr/>
      <w:tcPr>
        <w:tcBorders>
          <w:top w:val="nil"/>
          <w:bottom w:val="single" w:sz="8" w:space="0" w:color="2BB673" w:themeColor="accent1"/>
        </w:tcBorders>
      </w:tcPr>
    </w:tblStylePr>
    <w:tblStylePr w:type="lastRow">
      <w:rPr>
        <w:b/>
        <w:bCs/>
        <w:color w:val="262626" w:themeColor="text2"/>
      </w:rPr>
      <w:tblPr/>
      <w:tcPr>
        <w:tcBorders>
          <w:top w:val="single" w:sz="8" w:space="0" w:color="2BB673" w:themeColor="accent1"/>
          <w:bottom w:val="single" w:sz="8" w:space="0" w:color="2BB673" w:themeColor="accent1"/>
        </w:tcBorders>
      </w:tcPr>
    </w:tblStylePr>
    <w:tblStylePr w:type="firstCol">
      <w:rPr>
        <w:b/>
        <w:bCs/>
      </w:rPr>
    </w:tblStylePr>
    <w:tblStylePr w:type="lastCol">
      <w:rPr>
        <w:b/>
        <w:bCs/>
      </w:rPr>
      <w:tblPr/>
      <w:tcPr>
        <w:tcBorders>
          <w:top w:val="single" w:sz="8" w:space="0" w:color="2BB673" w:themeColor="accent1"/>
          <w:bottom w:val="single" w:sz="8" w:space="0" w:color="2BB673" w:themeColor="accent1"/>
        </w:tcBorders>
      </w:tcPr>
    </w:tblStylePr>
    <w:tblStylePr w:type="band1Vert">
      <w:tblPr/>
      <w:tcPr>
        <w:shd w:val="clear" w:color="auto" w:fill="C5F1DC" w:themeFill="accent1" w:themeFillTint="3F"/>
      </w:tcPr>
    </w:tblStylePr>
    <w:tblStylePr w:type="band1Horz">
      <w:tblPr/>
      <w:tcPr>
        <w:shd w:val="clear" w:color="auto" w:fill="C5F1DC" w:themeFill="accent1" w:themeFillTint="3F"/>
      </w:tcPr>
    </w:tblStylePr>
  </w:style>
  <w:style w:type="table" w:styleId="MediumList1-Accent2">
    <w:name w:val="Medium List 1 Accent 2"/>
    <w:basedOn w:val="TableNormal"/>
    <w:uiPriority w:val="65"/>
    <w:semiHidden/>
    <w:unhideWhenUsed/>
    <w:rsid w:val="00DF5A1A"/>
    <w:pPr>
      <w:spacing w:after="0" w:line="240" w:lineRule="auto"/>
    </w:pPr>
    <w:rPr>
      <w:color w:val="000000" w:themeColor="text1"/>
    </w:rPr>
    <w:tblPr>
      <w:tblStyleRowBandSize w:val="1"/>
      <w:tblStyleColBandSize w:val="1"/>
      <w:tblBorders>
        <w:top w:val="single" w:sz="8" w:space="0" w:color="93B41A" w:themeColor="accent2"/>
        <w:bottom w:val="single" w:sz="8" w:space="0" w:color="93B41A" w:themeColor="accent2"/>
      </w:tblBorders>
    </w:tblPr>
    <w:tblStylePr w:type="firstRow">
      <w:rPr>
        <w:rFonts w:asciiTheme="majorHAnsi" w:eastAsiaTheme="majorEastAsia" w:hAnsiTheme="majorHAnsi" w:cstheme="majorBidi"/>
      </w:rPr>
      <w:tblPr/>
      <w:tcPr>
        <w:tcBorders>
          <w:top w:val="nil"/>
          <w:bottom w:val="single" w:sz="8" w:space="0" w:color="93B41A" w:themeColor="accent2"/>
        </w:tcBorders>
      </w:tcPr>
    </w:tblStylePr>
    <w:tblStylePr w:type="lastRow">
      <w:rPr>
        <w:b/>
        <w:bCs/>
        <w:color w:val="262626" w:themeColor="text2"/>
      </w:rPr>
      <w:tblPr/>
      <w:tcPr>
        <w:tcBorders>
          <w:top w:val="single" w:sz="8" w:space="0" w:color="93B41A" w:themeColor="accent2"/>
          <w:bottom w:val="single" w:sz="8" w:space="0" w:color="93B41A" w:themeColor="accent2"/>
        </w:tcBorders>
      </w:tcPr>
    </w:tblStylePr>
    <w:tblStylePr w:type="firstCol">
      <w:rPr>
        <w:b/>
        <w:bCs/>
      </w:rPr>
    </w:tblStylePr>
    <w:tblStylePr w:type="lastCol">
      <w:rPr>
        <w:b/>
        <w:bCs/>
      </w:rPr>
      <w:tblPr/>
      <w:tcPr>
        <w:tcBorders>
          <w:top w:val="single" w:sz="8" w:space="0" w:color="93B41A" w:themeColor="accent2"/>
          <w:bottom w:val="single" w:sz="8" w:space="0" w:color="93B41A" w:themeColor="accent2"/>
        </w:tcBorders>
      </w:tcPr>
    </w:tblStylePr>
    <w:tblStylePr w:type="band1Vert">
      <w:tblPr/>
      <w:tcPr>
        <w:shd w:val="clear" w:color="auto" w:fill="E9F5BD" w:themeFill="accent2" w:themeFillTint="3F"/>
      </w:tcPr>
    </w:tblStylePr>
    <w:tblStylePr w:type="band1Horz">
      <w:tblPr/>
      <w:tcPr>
        <w:shd w:val="clear" w:color="auto" w:fill="E9F5BD" w:themeFill="accent2" w:themeFillTint="3F"/>
      </w:tcPr>
    </w:tblStylePr>
  </w:style>
  <w:style w:type="table" w:styleId="MediumList1-Accent3">
    <w:name w:val="Medium List 1 Accent 3"/>
    <w:basedOn w:val="TableNormal"/>
    <w:uiPriority w:val="65"/>
    <w:semiHidden/>
    <w:unhideWhenUsed/>
    <w:rsid w:val="00DF5A1A"/>
    <w:pPr>
      <w:spacing w:after="0" w:line="240" w:lineRule="auto"/>
    </w:pPr>
    <w:rPr>
      <w:color w:val="000000" w:themeColor="text1"/>
    </w:rPr>
    <w:tblPr>
      <w:tblStyleRowBandSize w:val="1"/>
      <w:tblStyleColBandSize w:val="1"/>
      <w:tblBorders>
        <w:top w:val="single" w:sz="8" w:space="0" w:color="F06A3B" w:themeColor="accent3"/>
        <w:bottom w:val="single" w:sz="8" w:space="0" w:color="F06A3B" w:themeColor="accent3"/>
      </w:tblBorders>
    </w:tblPr>
    <w:tblStylePr w:type="firstRow">
      <w:rPr>
        <w:rFonts w:asciiTheme="majorHAnsi" w:eastAsiaTheme="majorEastAsia" w:hAnsiTheme="majorHAnsi" w:cstheme="majorBidi"/>
      </w:rPr>
      <w:tblPr/>
      <w:tcPr>
        <w:tcBorders>
          <w:top w:val="nil"/>
          <w:bottom w:val="single" w:sz="8" w:space="0" w:color="F06A3B" w:themeColor="accent3"/>
        </w:tcBorders>
      </w:tcPr>
    </w:tblStylePr>
    <w:tblStylePr w:type="lastRow">
      <w:rPr>
        <w:b/>
        <w:bCs/>
        <w:color w:val="262626" w:themeColor="text2"/>
      </w:rPr>
      <w:tblPr/>
      <w:tcPr>
        <w:tcBorders>
          <w:top w:val="single" w:sz="8" w:space="0" w:color="F06A3B" w:themeColor="accent3"/>
          <w:bottom w:val="single" w:sz="8" w:space="0" w:color="F06A3B" w:themeColor="accent3"/>
        </w:tcBorders>
      </w:tcPr>
    </w:tblStylePr>
    <w:tblStylePr w:type="firstCol">
      <w:rPr>
        <w:b/>
        <w:bCs/>
      </w:rPr>
    </w:tblStylePr>
    <w:tblStylePr w:type="lastCol">
      <w:rPr>
        <w:b/>
        <w:bCs/>
      </w:rPr>
      <w:tblPr/>
      <w:tcPr>
        <w:tcBorders>
          <w:top w:val="single" w:sz="8" w:space="0" w:color="F06A3B" w:themeColor="accent3"/>
          <w:bottom w:val="single" w:sz="8" w:space="0" w:color="F06A3B" w:themeColor="accent3"/>
        </w:tcBorders>
      </w:tcPr>
    </w:tblStylePr>
    <w:tblStylePr w:type="band1Vert">
      <w:tblPr/>
      <w:tcPr>
        <w:shd w:val="clear" w:color="auto" w:fill="FBD9CE" w:themeFill="accent3" w:themeFillTint="3F"/>
      </w:tcPr>
    </w:tblStylePr>
    <w:tblStylePr w:type="band1Horz">
      <w:tblPr/>
      <w:tcPr>
        <w:shd w:val="clear" w:color="auto" w:fill="FBD9CE" w:themeFill="accent3" w:themeFillTint="3F"/>
      </w:tcPr>
    </w:tblStylePr>
  </w:style>
  <w:style w:type="table" w:styleId="MediumList1-Accent4">
    <w:name w:val="Medium List 1 Accent 4"/>
    <w:basedOn w:val="TableNormal"/>
    <w:uiPriority w:val="65"/>
    <w:semiHidden/>
    <w:unhideWhenUsed/>
    <w:rsid w:val="00DF5A1A"/>
    <w:pPr>
      <w:spacing w:after="0" w:line="240" w:lineRule="auto"/>
    </w:pPr>
    <w:rPr>
      <w:color w:val="000000" w:themeColor="text1"/>
    </w:rPr>
    <w:tblPr>
      <w:tblStyleRowBandSize w:val="1"/>
      <w:tblStyleColBandSize w:val="1"/>
      <w:tblBorders>
        <w:top w:val="single" w:sz="8" w:space="0" w:color="9561CC" w:themeColor="accent4"/>
        <w:bottom w:val="single" w:sz="8" w:space="0" w:color="9561CC" w:themeColor="accent4"/>
      </w:tblBorders>
    </w:tblPr>
    <w:tblStylePr w:type="firstRow">
      <w:rPr>
        <w:rFonts w:asciiTheme="majorHAnsi" w:eastAsiaTheme="majorEastAsia" w:hAnsiTheme="majorHAnsi" w:cstheme="majorBidi"/>
      </w:rPr>
      <w:tblPr/>
      <w:tcPr>
        <w:tcBorders>
          <w:top w:val="nil"/>
          <w:bottom w:val="single" w:sz="8" w:space="0" w:color="9561CC" w:themeColor="accent4"/>
        </w:tcBorders>
      </w:tcPr>
    </w:tblStylePr>
    <w:tblStylePr w:type="lastRow">
      <w:rPr>
        <w:b/>
        <w:bCs/>
        <w:color w:val="262626" w:themeColor="text2"/>
      </w:rPr>
      <w:tblPr/>
      <w:tcPr>
        <w:tcBorders>
          <w:top w:val="single" w:sz="8" w:space="0" w:color="9561CC" w:themeColor="accent4"/>
          <w:bottom w:val="single" w:sz="8" w:space="0" w:color="9561CC" w:themeColor="accent4"/>
        </w:tcBorders>
      </w:tcPr>
    </w:tblStylePr>
    <w:tblStylePr w:type="firstCol">
      <w:rPr>
        <w:b/>
        <w:bCs/>
      </w:rPr>
    </w:tblStylePr>
    <w:tblStylePr w:type="lastCol">
      <w:rPr>
        <w:b/>
        <w:bCs/>
      </w:rPr>
      <w:tblPr/>
      <w:tcPr>
        <w:tcBorders>
          <w:top w:val="single" w:sz="8" w:space="0" w:color="9561CC" w:themeColor="accent4"/>
          <w:bottom w:val="single" w:sz="8" w:space="0" w:color="9561CC" w:themeColor="accent4"/>
        </w:tcBorders>
      </w:tcPr>
    </w:tblStylePr>
    <w:tblStylePr w:type="band1Vert">
      <w:tblPr/>
      <w:tcPr>
        <w:shd w:val="clear" w:color="auto" w:fill="E4D7F2" w:themeFill="accent4" w:themeFillTint="3F"/>
      </w:tcPr>
    </w:tblStylePr>
    <w:tblStylePr w:type="band1Horz">
      <w:tblPr/>
      <w:tcPr>
        <w:shd w:val="clear" w:color="auto" w:fill="E4D7F2" w:themeFill="accent4" w:themeFillTint="3F"/>
      </w:tcPr>
    </w:tblStylePr>
  </w:style>
  <w:style w:type="table" w:styleId="MediumList1-Accent5">
    <w:name w:val="Medium List 1 Accent 5"/>
    <w:basedOn w:val="TableNormal"/>
    <w:uiPriority w:val="65"/>
    <w:semiHidden/>
    <w:unhideWhenUsed/>
    <w:rsid w:val="00DF5A1A"/>
    <w:pPr>
      <w:spacing w:after="0" w:line="240" w:lineRule="auto"/>
    </w:pPr>
    <w:rPr>
      <w:color w:val="000000" w:themeColor="text1"/>
    </w:rPr>
    <w:tblPr>
      <w:tblStyleRowBandSize w:val="1"/>
      <w:tblStyleColBandSize w:val="1"/>
      <w:tblBorders>
        <w:top w:val="single" w:sz="8" w:space="0" w:color="00ADC6" w:themeColor="accent5"/>
        <w:bottom w:val="single" w:sz="8" w:space="0" w:color="00ADC6" w:themeColor="accent5"/>
      </w:tblBorders>
    </w:tblPr>
    <w:tblStylePr w:type="firstRow">
      <w:rPr>
        <w:rFonts w:asciiTheme="majorHAnsi" w:eastAsiaTheme="majorEastAsia" w:hAnsiTheme="majorHAnsi" w:cstheme="majorBidi"/>
      </w:rPr>
      <w:tblPr/>
      <w:tcPr>
        <w:tcBorders>
          <w:top w:val="nil"/>
          <w:bottom w:val="single" w:sz="8" w:space="0" w:color="00ADC6" w:themeColor="accent5"/>
        </w:tcBorders>
      </w:tcPr>
    </w:tblStylePr>
    <w:tblStylePr w:type="lastRow">
      <w:rPr>
        <w:b/>
        <w:bCs/>
        <w:color w:val="262626" w:themeColor="text2"/>
      </w:rPr>
      <w:tblPr/>
      <w:tcPr>
        <w:tcBorders>
          <w:top w:val="single" w:sz="8" w:space="0" w:color="00ADC6" w:themeColor="accent5"/>
          <w:bottom w:val="single" w:sz="8" w:space="0" w:color="00ADC6" w:themeColor="accent5"/>
        </w:tcBorders>
      </w:tcPr>
    </w:tblStylePr>
    <w:tblStylePr w:type="firstCol">
      <w:rPr>
        <w:b/>
        <w:bCs/>
      </w:rPr>
    </w:tblStylePr>
    <w:tblStylePr w:type="lastCol">
      <w:rPr>
        <w:b/>
        <w:bCs/>
      </w:rPr>
      <w:tblPr/>
      <w:tcPr>
        <w:tcBorders>
          <w:top w:val="single" w:sz="8" w:space="0" w:color="00ADC6" w:themeColor="accent5"/>
          <w:bottom w:val="single" w:sz="8" w:space="0" w:color="00ADC6" w:themeColor="accent5"/>
        </w:tcBorders>
      </w:tcPr>
    </w:tblStylePr>
    <w:tblStylePr w:type="band1Vert">
      <w:tblPr/>
      <w:tcPr>
        <w:shd w:val="clear" w:color="auto" w:fill="B1F4FF" w:themeFill="accent5" w:themeFillTint="3F"/>
      </w:tcPr>
    </w:tblStylePr>
    <w:tblStylePr w:type="band1Horz">
      <w:tblPr/>
      <w:tcPr>
        <w:shd w:val="clear" w:color="auto" w:fill="B1F4FF" w:themeFill="accent5" w:themeFillTint="3F"/>
      </w:tcPr>
    </w:tblStylePr>
  </w:style>
  <w:style w:type="table" w:styleId="MediumList1-Accent6">
    <w:name w:val="Medium List 1 Accent 6"/>
    <w:basedOn w:val="TableNormal"/>
    <w:uiPriority w:val="65"/>
    <w:semiHidden/>
    <w:unhideWhenUsed/>
    <w:rsid w:val="00DF5A1A"/>
    <w:pPr>
      <w:spacing w:after="0" w:line="240" w:lineRule="auto"/>
    </w:pPr>
    <w:rPr>
      <w:color w:val="000000" w:themeColor="text1"/>
    </w:rPr>
    <w:tblPr>
      <w:tblStyleRowBandSize w:val="1"/>
      <w:tblStyleColBandSize w:val="1"/>
      <w:tblBorders>
        <w:top w:val="single" w:sz="8" w:space="0" w:color="FD8F0A" w:themeColor="accent6"/>
        <w:bottom w:val="single" w:sz="8" w:space="0" w:color="FD8F0A" w:themeColor="accent6"/>
      </w:tblBorders>
    </w:tblPr>
    <w:tblStylePr w:type="firstRow">
      <w:rPr>
        <w:rFonts w:asciiTheme="majorHAnsi" w:eastAsiaTheme="majorEastAsia" w:hAnsiTheme="majorHAnsi" w:cstheme="majorBidi"/>
      </w:rPr>
      <w:tblPr/>
      <w:tcPr>
        <w:tcBorders>
          <w:top w:val="nil"/>
          <w:bottom w:val="single" w:sz="8" w:space="0" w:color="FD8F0A" w:themeColor="accent6"/>
        </w:tcBorders>
      </w:tcPr>
    </w:tblStylePr>
    <w:tblStylePr w:type="lastRow">
      <w:rPr>
        <w:b/>
        <w:bCs/>
        <w:color w:val="262626" w:themeColor="text2"/>
      </w:rPr>
      <w:tblPr/>
      <w:tcPr>
        <w:tcBorders>
          <w:top w:val="single" w:sz="8" w:space="0" w:color="FD8F0A" w:themeColor="accent6"/>
          <w:bottom w:val="single" w:sz="8" w:space="0" w:color="FD8F0A" w:themeColor="accent6"/>
        </w:tcBorders>
      </w:tcPr>
    </w:tblStylePr>
    <w:tblStylePr w:type="firstCol">
      <w:rPr>
        <w:b/>
        <w:bCs/>
      </w:rPr>
    </w:tblStylePr>
    <w:tblStylePr w:type="lastCol">
      <w:rPr>
        <w:b/>
        <w:bCs/>
      </w:rPr>
      <w:tblPr/>
      <w:tcPr>
        <w:tcBorders>
          <w:top w:val="single" w:sz="8" w:space="0" w:color="FD8F0A" w:themeColor="accent6"/>
          <w:bottom w:val="single" w:sz="8" w:space="0" w:color="FD8F0A" w:themeColor="accent6"/>
        </w:tcBorders>
      </w:tcPr>
    </w:tblStylePr>
    <w:tblStylePr w:type="band1Vert">
      <w:tblPr/>
      <w:tcPr>
        <w:shd w:val="clear" w:color="auto" w:fill="FEE3C2" w:themeFill="accent6" w:themeFillTint="3F"/>
      </w:tcPr>
    </w:tblStylePr>
    <w:tblStylePr w:type="band1Horz">
      <w:tblPr/>
      <w:tcPr>
        <w:shd w:val="clear" w:color="auto" w:fill="FEE3C2" w:themeFill="accent6" w:themeFillTint="3F"/>
      </w:tcPr>
    </w:tblStylePr>
  </w:style>
  <w:style w:type="table" w:styleId="MediumList2">
    <w:name w:val="Medium List 2"/>
    <w:basedOn w:val="TableNormal"/>
    <w:uiPriority w:val="66"/>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BB673" w:themeColor="accent1"/>
        <w:left w:val="single" w:sz="8" w:space="0" w:color="2BB673" w:themeColor="accent1"/>
        <w:bottom w:val="single" w:sz="8" w:space="0" w:color="2BB673" w:themeColor="accent1"/>
        <w:right w:val="single" w:sz="8" w:space="0" w:color="2BB673" w:themeColor="accent1"/>
      </w:tblBorders>
    </w:tblPr>
    <w:tblStylePr w:type="firstRow">
      <w:rPr>
        <w:sz w:val="24"/>
        <w:szCs w:val="24"/>
      </w:rPr>
      <w:tblPr/>
      <w:tcPr>
        <w:tcBorders>
          <w:top w:val="nil"/>
          <w:left w:val="nil"/>
          <w:bottom w:val="single" w:sz="24" w:space="0" w:color="2BB673" w:themeColor="accent1"/>
          <w:right w:val="nil"/>
          <w:insideH w:val="nil"/>
          <w:insideV w:val="nil"/>
        </w:tcBorders>
        <w:shd w:val="clear" w:color="auto" w:fill="FFFFFF" w:themeFill="background1"/>
      </w:tcPr>
    </w:tblStylePr>
    <w:tblStylePr w:type="lastRow">
      <w:tblPr/>
      <w:tcPr>
        <w:tcBorders>
          <w:top w:val="single" w:sz="8" w:space="0" w:color="2BB67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B673" w:themeColor="accent1"/>
          <w:insideH w:val="nil"/>
          <w:insideV w:val="nil"/>
        </w:tcBorders>
        <w:shd w:val="clear" w:color="auto" w:fill="FFFFFF" w:themeFill="background1"/>
      </w:tcPr>
    </w:tblStylePr>
    <w:tblStylePr w:type="lastCol">
      <w:tblPr/>
      <w:tcPr>
        <w:tcBorders>
          <w:top w:val="nil"/>
          <w:left w:val="single" w:sz="8" w:space="0" w:color="2BB67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F1DC" w:themeFill="accent1" w:themeFillTint="3F"/>
      </w:tcPr>
    </w:tblStylePr>
    <w:tblStylePr w:type="band1Horz">
      <w:tblPr/>
      <w:tcPr>
        <w:tcBorders>
          <w:top w:val="nil"/>
          <w:bottom w:val="nil"/>
          <w:insideH w:val="nil"/>
          <w:insideV w:val="nil"/>
        </w:tcBorders>
        <w:shd w:val="clear" w:color="auto" w:fill="C5F1D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B41A" w:themeColor="accent2"/>
        <w:left w:val="single" w:sz="8" w:space="0" w:color="93B41A" w:themeColor="accent2"/>
        <w:bottom w:val="single" w:sz="8" w:space="0" w:color="93B41A" w:themeColor="accent2"/>
        <w:right w:val="single" w:sz="8" w:space="0" w:color="93B41A" w:themeColor="accent2"/>
      </w:tblBorders>
    </w:tblPr>
    <w:tblStylePr w:type="firstRow">
      <w:rPr>
        <w:sz w:val="24"/>
        <w:szCs w:val="24"/>
      </w:rPr>
      <w:tblPr/>
      <w:tcPr>
        <w:tcBorders>
          <w:top w:val="nil"/>
          <w:left w:val="nil"/>
          <w:bottom w:val="single" w:sz="24" w:space="0" w:color="93B41A" w:themeColor="accent2"/>
          <w:right w:val="nil"/>
          <w:insideH w:val="nil"/>
          <w:insideV w:val="nil"/>
        </w:tcBorders>
        <w:shd w:val="clear" w:color="auto" w:fill="FFFFFF" w:themeFill="background1"/>
      </w:tcPr>
    </w:tblStylePr>
    <w:tblStylePr w:type="lastRow">
      <w:tblPr/>
      <w:tcPr>
        <w:tcBorders>
          <w:top w:val="single" w:sz="8" w:space="0" w:color="93B41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93B41A" w:themeColor="accent2"/>
          <w:insideH w:val="nil"/>
          <w:insideV w:val="nil"/>
        </w:tcBorders>
        <w:shd w:val="clear" w:color="auto" w:fill="FFFFFF" w:themeFill="background1"/>
      </w:tcPr>
    </w:tblStylePr>
    <w:tblStylePr w:type="lastCol">
      <w:tblPr/>
      <w:tcPr>
        <w:tcBorders>
          <w:top w:val="nil"/>
          <w:left w:val="single" w:sz="8" w:space="0" w:color="93B4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5BD" w:themeFill="accent2" w:themeFillTint="3F"/>
      </w:tcPr>
    </w:tblStylePr>
    <w:tblStylePr w:type="band1Horz">
      <w:tblPr/>
      <w:tcPr>
        <w:tcBorders>
          <w:top w:val="nil"/>
          <w:bottom w:val="nil"/>
          <w:insideH w:val="nil"/>
          <w:insideV w:val="nil"/>
        </w:tcBorders>
        <w:shd w:val="clear" w:color="auto" w:fill="E9F5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6A3B" w:themeColor="accent3"/>
        <w:left w:val="single" w:sz="8" w:space="0" w:color="F06A3B" w:themeColor="accent3"/>
        <w:bottom w:val="single" w:sz="8" w:space="0" w:color="F06A3B" w:themeColor="accent3"/>
        <w:right w:val="single" w:sz="8" w:space="0" w:color="F06A3B" w:themeColor="accent3"/>
      </w:tblBorders>
    </w:tblPr>
    <w:tblStylePr w:type="firstRow">
      <w:rPr>
        <w:sz w:val="24"/>
        <w:szCs w:val="24"/>
      </w:rPr>
      <w:tblPr/>
      <w:tcPr>
        <w:tcBorders>
          <w:top w:val="nil"/>
          <w:left w:val="nil"/>
          <w:bottom w:val="single" w:sz="24" w:space="0" w:color="F06A3B" w:themeColor="accent3"/>
          <w:right w:val="nil"/>
          <w:insideH w:val="nil"/>
          <w:insideV w:val="nil"/>
        </w:tcBorders>
        <w:shd w:val="clear" w:color="auto" w:fill="FFFFFF" w:themeFill="background1"/>
      </w:tcPr>
    </w:tblStylePr>
    <w:tblStylePr w:type="lastRow">
      <w:tblPr/>
      <w:tcPr>
        <w:tcBorders>
          <w:top w:val="single" w:sz="8" w:space="0" w:color="F06A3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6A3B" w:themeColor="accent3"/>
          <w:insideH w:val="nil"/>
          <w:insideV w:val="nil"/>
        </w:tcBorders>
        <w:shd w:val="clear" w:color="auto" w:fill="FFFFFF" w:themeFill="background1"/>
      </w:tcPr>
    </w:tblStylePr>
    <w:tblStylePr w:type="lastCol">
      <w:tblPr/>
      <w:tcPr>
        <w:tcBorders>
          <w:top w:val="nil"/>
          <w:left w:val="single" w:sz="8" w:space="0" w:color="F06A3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9CE" w:themeFill="accent3" w:themeFillTint="3F"/>
      </w:tcPr>
    </w:tblStylePr>
    <w:tblStylePr w:type="band1Horz">
      <w:tblPr/>
      <w:tcPr>
        <w:tcBorders>
          <w:top w:val="nil"/>
          <w:bottom w:val="nil"/>
          <w:insideH w:val="nil"/>
          <w:insideV w:val="nil"/>
        </w:tcBorders>
        <w:shd w:val="clear" w:color="auto" w:fill="FBD9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561CC" w:themeColor="accent4"/>
        <w:left w:val="single" w:sz="8" w:space="0" w:color="9561CC" w:themeColor="accent4"/>
        <w:bottom w:val="single" w:sz="8" w:space="0" w:color="9561CC" w:themeColor="accent4"/>
        <w:right w:val="single" w:sz="8" w:space="0" w:color="9561CC" w:themeColor="accent4"/>
      </w:tblBorders>
    </w:tblPr>
    <w:tblStylePr w:type="firstRow">
      <w:rPr>
        <w:sz w:val="24"/>
        <w:szCs w:val="24"/>
      </w:rPr>
      <w:tblPr/>
      <w:tcPr>
        <w:tcBorders>
          <w:top w:val="nil"/>
          <w:left w:val="nil"/>
          <w:bottom w:val="single" w:sz="24" w:space="0" w:color="9561CC" w:themeColor="accent4"/>
          <w:right w:val="nil"/>
          <w:insideH w:val="nil"/>
          <w:insideV w:val="nil"/>
        </w:tcBorders>
        <w:shd w:val="clear" w:color="auto" w:fill="FFFFFF" w:themeFill="background1"/>
      </w:tcPr>
    </w:tblStylePr>
    <w:tblStylePr w:type="lastRow">
      <w:tblPr/>
      <w:tcPr>
        <w:tcBorders>
          <w:top w:val="single" w:sz="8" w:space="0" w:color="9561C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561CC" w:themeColor="accent4"/>
          <w:insideH w:val="nil"/>
          <w:insideV w:val="nil"/>
        </w:tcBorders>
        <w:shd w:val="clear" w:color="auto" w:fill="FFFFFF" w:themeFill="background1"/>
      </w:tcPr>
    </w:tblStylePr>
    <w:tblStylePr w:type="lastCol">
      <w:tblPr/>
      <w:tcPr>
        <w:tcBorders>
          <w:top w:val="nil"/>
          <w:left w:val="single" w:sz="8" w:space="0" w:color="9561C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D7F2" w:themeFill="accent4" w:themeFillTint="3F"/>
      </w:tcPr>
    </w:tblStylePr>
    <w:tblStylePr w:type="band1Horz">
      <w:tblPr/>
      <w:tcPr>
        <w:tcBorders>
          <w:top w:val="nil"/>
          <w:bottom w:val="nil"/>
          <w:insideH w:val="nil"/>
          <w:insideV w:val="nil"/>
        </w:tcBorders>
        <w:shd w:val="clear" w:color="auto" w:fill="E4D7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C6" w:themeColor="accent5"/>
        <w:left w:val="single" w:sz="8" w:space="0" w:color="00ADC6" w:themeColor="accent5"/>
        <w:bottom w:val="single" w:sz="8" w:space="0" w:color="00ADC6" w:themeColor="accent5"/>
        <w:right w:val="single" w:sz="8" w:space="0" w:color="00ADC6" w:themeColor="accent5"/>
      </w:tblBorders>
    </w:tblPr>
    <w:tblStylePr w:type="firstRow">
      <w:rPr>
        <w:sz w:val="24"/>
        <w:szCs w:val="24"/>
      </w:rPr>
      <w:tblPr/>
      <w:tcPr>
        <w:tcBorders>
          <w:top w:val="nil"/>
          <w:left w:val="nil"/>
          <w:bottom w:val="single" w:sz="24" w:space="0" w:color="00ADC6" w:themeColor="accent5"/>
          <w:right w:val="nil"/>
          <w:insideH w:val="nil"/>
          <w:insideV w:val="nil"/>
        </w:tcBorders>
        <w:shd w:val="clear" w:color="auto" w:fill="FFFFFF" w:themeFill="background1"/>
      </w:tcPr>
    </w:tblStylePr>
    <w:tblStylePr w:type="lastRow">
      <w:tblPr/>
      <w:tcPr>
        <w:tcBorders>
          <w:top w:val="single" w:sz="8" w:space="0" w:color="00AD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C6" w:themeColor="accent5"/>
          <w:insideH w:val="nil"/>
          <w:insideV w:val="nil"/>
        </w:tcBorders>
        <w:shd w:val="clear" w:color="auto" w:fill="FFFFFF" w:themeFill="background1"/>
      </w:tcPr>
    </w:tblStylePr>
    <w:tblStylePr w:type="lastCol">
      <w:tblPr/>
      <w:tcPr>
        <w:tcBorders>
          <w:top w:val="nil"/>
          <w:left w:val="single" w:sz="8" w:space="0" w:color="00AD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F4FF" w:themeFill="accent5" w:themeFillTint="3F"/>
      </w:tcPr>
    </w:tblStylePr>
    <w:tblStylePr w:type="band1Horz">
      <w:tblPr/>
      <w:tcPr>
        <w:tcBorders>
          <w:top w:val="nil"/>
          <w:bottom w:val="nil"/>
          <w:insideH w:val="nil"/>
          <w:insideV w:val="nil"/>
        </w:tcBorders>
        <w:shd w:val="clear" w:color="auto" w:fill="B1F4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F5A1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8F0A" w:themeColor="accent6"/>
        <w:left w:val="single" w:sz="8" w:space="0" w:color="FD8F0A" w:themeColor="accent6"/>
        <w:bottom w:val="single" w:sz="8" w:space="0" w:color="FD8F0A" w:themeColor="accent6"/>
        <w:right w:val="single" w:sz="8" w:space="0" w:color="FD8F0A" w:themeColor="accent6"/>
      </w:tblBorders>
    </w:tblPr>
    <w:tblStylePr w:type="firstRow">
      <w:rPr>
        <w:sz w:val="24"/>
        <w:szCs w:val="24"/>
      </w:rPr>
      <w:tblPr/>
      <w:tcPr>
        <w:tcBorders>
          <w:top w:val="nil"/>
          <w:left w:val="nil"/>
          <w:bottom w:val="single" w:sz="24" w:space="0" w:color="FD8F0A" w:themeColor="accent6"/>
          <w:right w:val="nil"/>
          <w:insideH w:val="nil"/>
          <w:insideV w:val="nil"/>
        </w:tcBorders>
        <w:shd w:val="clear" w:color="auto" w:fill="FFFFFF" w:themeFill="background1"/>
      </w:tcPr>
    </w:tblStylePr>
    <w:tblStylePr w:type="lastRow">
      <w:tblPr/>
      <w:tcPr>
        <w:tcBorders>
          <w:top w:val="single" w:sz="8" w:space="0" w:color="FD8F0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8F0A" w:themeColor="accent6"/>
          <w:insideH w:val="nil"/>
          <w:insideV w:val="nil"/>
        </w:tcBorders>
        <w:shd w:val="clear" w:color="auto" w:fill="FFFFFF" w:themeFill="background1"/>
      </w:tcPr>
    </w:tblStylePr>
    <w:tblStylePr w:type="lastCol">
      <w:tblPr/>
      <w:tcPr>
        <w:tcBorders>
          <w:top w:val="nil"/>
          <w:left w:val="single" w:sz="8" w:space="0" w:color="FD8F0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3C2" w:themeFill="accent6" w:themeFillTint="3F"/>
      </w:tcPr>
    </w:tblStylePr>
    <w:tblStylePr w:type="band1Horz">
      <w:tblPr/>
      <w:tcPr>
        <w:tcBorders>
          <w:top w:val="nil"/>
          <w:bottom w:val="nil"/>
          <w:insideH w:val="nil"/>
          <w:insideV w:val="nil"/>
        </w:tcBorders>
        <w:shd w:val="clear" w:color="auto" w:fill="FEE3C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F5A1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F5A1A"/>
    <w:pPr>
      <w:spacing w:after="0" w:line="240" w:lineRule="auto"/>
    </w:pPr>
    <w:tblPr>
      <w:tblStyleRowBandSize w:val="1"/>
      <w:tblStyleColBandSize w:val="1"/>
      <w:tbl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single" w:sz="8" w:space="0" w:color="52D696" w:themeColor="accent1" w:themeTint="BF"/>
      </w:tblBorders>
    </w:tblPr>
    <w:tblStylePr w:type="firstRow">
      <w:pPr>
        <w:spacing w:before="0" w:after="0" w:line="240" w:lineRule="auto"/>
      </w:pPr>
      <w:rPr>
        <w:b/>
        <w:bCs/>
        <w:color w:val="FFFFFF" w:themeColor="background1"/>
      </w:rPr>
      <w:tblPr/>
      <w:tcPr>
        <w:tcBorders>
          <w:top w:val="single" w:sz="8"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shd w:val="clear" w:color="auto" w:fill="2BB673" w:themeFill="accent1"/>
      </w:tcPr>
    </w:tblStylePr>
    <w:tblStylePr w:type="lastRow">
      <w:pPr>
        <w:spacing w:before="0" w:after="0" w:line="240" w:lineRule="auto"/>
      </w:pPr>
      <w:rPr>
        <w:b/>
        <w:bCs/>
      </w:rPr>
      <w:tblPr/>
      <w:tcPr>
        <w:tcBorders>
          <w:top w:val="double" w:sz="6" w:space="0" w:color="52D696" w:themeColor="accent1" w:themeTint="BF"/>
          <w:left w:val="single" w:sz="8" w:space="0" w:color="52D696" w:themeColor="accent1" w:themeTint="BF"/>
          <w:bottom w:val="single" w:sz="8" w:space="0" w:color="52D696" w:themeColor="accent1" w:themeTint="BF"/>
          <w:right w:val="single" w:sz="8" w:space="0" w:color="52D696"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F1DC" w:themeFill="accent1" w:themeFillTint="3F"/>
      </w:tcPr>
    </w:tblStylePr>
    <w:tblStylePr w:type="band1Horz">
      <w:tblPr/>
      <w:tcPr>
        <w:tcBorders>
          <w:insideH w:val="nil"/>
          <w:insideV w:val="nil"/>
        </w:tcBorders>
        <w:shd w:val="clear" w:color="auto" w:fill="C5F1D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F5A1A"/>
    <w:pPr>
      <w:spacing w:after="0" w:line="240" w:lineRule="auto"/>
    </w:pPr>
    <w:tblPr>
      <w:tblStyleRowBandSize w:val="1"/>
      <w:tblStyleColBandSize w:val="1"/>
      <w:tbl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single" w:sz="8" w:space="0" w:color="BDE237" w:themeColor="accent2" w:themeTint="BF"/>
      </w:tblBorders>
    </w:tblPr>
    <w:tblStylePr w:type="firstRow">
      <w:pPr>
        <w:spacing w:before="0" w:after="0" w:line="240" w:lineRule="auto"/>
      </w:pPr>
      <w:rPr>
        <w:b/>
        <w:bCs/>
        <w:color w:val="FFFFFF" w:themeColor="background1"/>
      </w:rPr>
      <w:tblPr/>
      <w:tcPr>
        <w:tcBorders>
          <w:top w:val="single" w:sz="8"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shd w:val="clear" w:color="auto" w:fill="93B41A" w:themeFill="accent2"/>
      </w:tcPr>
    </w:tblStylePr>
    <w:tblStylePr w:type="lastRow">
      <w:pPr>
        <w:spacing w:before="0" w:after="0" w:line="240" w:lineRule="auto"/>
      </w:pPr>
      <w:rPr>
        <w:b/>
        <w:bCs/>
      </w:rPr>
      <w:tblPr/>
      <w:tcPr>
        <w:tcBorders>
          <w:top w:val="double" w:sz="6" w:space="0" w:color="BDE237" w:themeColor="accent2" w:themeTint="BF"/>
          <w:left w:val="single" w:sz="8" w:space="0" w:color="BDE237" w:themeColor="accent2" w:themeTint="BF"/>
          <w:bottom w:val="single" w:sz="8" w:space="0" w:color="BDE237" w:themeColor="accent2" w:themeTint="BF"/>
          <w:right w:val="single" w:sz="8" w:space="0" w:color="BDE23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9F5BD" w:themeFill="accent2" w:themeFillTint="3F"/>
      </w:tcPr>
    </w:tblStylePr>
    <w:tblStylePr w:type="band1Horz">
      <w:tblPr/>
      <w:tcPr>
        <w:tcBorders>
          <w:insideH w:val="nil"/>
          <w:insideV w:val="nil"/>
        </w:tcBorders>
        <w:shd w:val="clear" w:color="auto" w:fill="E9F5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F5A1A"/>
    <w:pPr>
      <w:spacing w:after="0" w:line="240" w:lineRule="auto"/>
    </w:pPr>
    <w:tblPr>
      <w:tblStyleRowBandSize w:val="1"/>
      <w:tblStyleColBandSize w:val="1"/>
      <w:tbl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single" w:sz="8" w:space="0" w:color="F38F6B" w:themeColor="accent3" w:themeTint="BF"/>
      </w:tblBorders>
    </w:tblPr>
    <w:tblStylePr w:type="firstRow">
      <w:pPr>
        <w:spacing w:before="0" w:after="0" w:line="240" w:lineRule="auto"/>
      </w:pPr>
      <w:rPr>
        <w:b/>
        <w:bCs/>
        <w:color w:val="FFFFFF" w:themeColor="background1"/>
      </w:rPr>
      <w:tblPr/>
      <w:tcPr>
        <w:tcBorders>
          <w:top w:val="single" w:sz="8"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shd w:val="clear" w:color="auto" w:fill="F06A3B" w:themeFill="accent3"/>
      </w:tcPr>
    </w:tblStylePr>
    <w:tblStylePr w:type="lastRow">
      <w:pPr>
        <w:spacing w:before="0" w:after="0" w:line="240" w:lineRule="auto"/>
      </w:pPr>
      <w:rPr>
        <w:b/>
        <w:bCs/>
      </w:rPr>
      <w:tblPr/>
      <w:tcPr>
        <w:tcBorders>
          <w:top w:val="double" w:sz="6" w:space="0" w:color="F38F6B" w:themeColor="accent3" w:themeTint="BF"/>
          <w:left w:val="single" w:sz="8" w:space="0" w:color="F38F6B" w:themeColor="accent3" w:themeTint="BF"/>
          <w:bottom w:val="single" w:sz="8" w:space="0" w:color="F38F6B" w:themeColor="accent3" w:themeTint="BF"/>
          <w:right w:val="single" w:sz="8" w:space="0" w:color="F38F6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9CE" w:themeFill="accent3" w:themeFillTint="3F"/>
      </w:tcPr>
    </w:tblStylePr>
    <w:tblStylePr w:type="band1Horz">
      <w:tblPr/>
      <w:tcPr>
        <w:tcBorders>
          <w:insideH w:val="nil"/>
          <w:insideV w:val="nil"/>
        </w:tcBorders>
        <w:shd w:val="clear" w:color="auto" w:fill="FBD9C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F5A1A"/>
    <w:pPr>
      <w:spacing w:after="0" w:line="240" w:lineRule="auto"/>
    </w:pPr>
    <w:tblPr>
      <w:tblStyleRowBandSize w:val="1"/>
      <w:tblStyleColBandSize w:val="1"/>
      <w:tbl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single" w:sz="8" w:space="0" w:color="AF88D8" w:themeColor="accent4" w:themeTint="BF"/>
      </w:tblBorders>
    </w:tblPr>
    <w:tblStylePr w:type="firstRow">
      <w:pPr>
        <w:spacing w:before="0" w:after="0" w:line="240" w:lineRule="auto"/>
      </w:pPr>
      <w:rPr>
        <w:b/>
        <w:bCs/>
        <w:color w:val="FFFFFF" w:themeColor="background1"/>
      </w:rPr>
      <w:tblPr/>
      <w:tcPr>
        <w:tcBorders>
          <w:top w:val="single" w:sz="8"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shd w:val="clear" w:color="auto" w:fill="9561CC" w:themeFill="accent4"/>
      </w:tcPr>
    </w:tblStylePr>
    <w:tblStylePr w:type="lastRow">
      <w:pPr>
        <w:spacing w:before="0" w:after="0" w:line="240" w:lineRule="auto"/>
      </w:pPr>
      <w:rPr>
        <w:b/>
        <w:bCs/>
      </w:rPr>
      <w:tblPr/>
      <w:tcPr>
        <w:tcBorders>
          <w:top w:val="double" w:sz="6" w:space="0" w:color="AF88D8" w:themeColor="accent4" w:themeTint="BF"/>
          <w:left w:val="single" w:sz="8" w:space="0" w:color="AF88D8" w:themeColor="accent4" w:themeTint="BF"/>
          <w:bottom w:val="single" w:sz="8" w:space="0" w:color="AF88D8" w:themeColor="accent4" w:themeTint="BF"/>
          <w:right w:val="single" w:sz="8" w:space="0" w:color="AF88D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4D7F2" w:themeFill="accent4" w:themeFillTint="3F"/>
      </w:tcPr>
    </w:tblStylePr>
    <w:tblStylePr w:type="band1Horz">
      <w:tblPr/>
      <w:tcPr>
        <w:tcBorders>
          <w:insideH w:val="nil"/>
          <w:insideV w:val="nil"/>
        </w:tcBorders>
        <w:shd w:val="clear" w:color="auto" w:fill="E4D7F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F5A1A"/>
    <w:pPr>
      <w:spacing w:after="0" w:line="240" w:lineRule="auto"/>
    </w:pPr>
    <w:tblPr>
      <w:tblStyleRowBandSize w:val="1"/>
      <w:tblStyleColBandSize w:val="1"/>
      <w:tbl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single" w:sz="8" w:space="0" w:color="15E0FF" w:themeColor="accent5" w:themeTint="BF"/>
      </w:tblBorders>
    </w:tblPr>
    <w:tblStylePr w:type="firstRow">
      <w:pPr>
        <w:spacing w:before="0" w:after="0" w:line="240" w:lineRule="auto"/>
      </w:pPr>
      <w:rPr>
        <w:b/>
        <w:bCs/>
        <w:color w:val="FFFFFF" w:themeColor="background1"/>
      </w:rPr>
      <w:tblPr/>
      <w:tcPr>
        <w:tcBorders>
          <w:top w:val="single" w:sz="8"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shd w:val="clear" w:color="auto" w:fill="00ADC6" w:themeFill="accent5"/>
      </w:tcPr>
    </w:tblStylePr>
    <w:tblStylePr w:type="lastRow">
      <w:pPr>
        <w:spacing w:before="0" w:after="0" w:line="240" w:lineRule="auto"/>
      </w:pPr>
      <w:rPr>
        <w:b/>
        <w:bCs/>
      </w:rPr>
      <w:tblPr/>
      <w:tcPr>
        <w:tcBorders>
          <w:top w:val="double" w:sz="6" w:space="0" w:color="15E0FF" w:themeColor="accent5" w:themeTint="BF"/>
          <w:left w:val="single" w:sz="8" w:space="0" w:color="15E0FF" w:themeColor="accent5" w:themeTint="BF"/>
          <w:bottom w:val="single" w:sz="8" w:space="0" w:color="15E0FF" w:themeColor="accent5" w:themeTint="BF"/>
          <w:right w:val="single" w:sz="8" w:space="0" w:color="15E0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1F4FF" w:themeFill="accent5" w:themeFillTint="3F"/>
      </w:tcPr>
    </w:tblStylePr>
    <w:tblStylePr w:type="band1Horz">
      <w:tblPr/>
      <w:tcPr>
        <w:tcBorders>
          <w:insideH w:val="nil"/>
          <w:insideV w:val="nil"/>
        </w:tcBorders>
        <w:shd w:val="clear" w:color="auto" w:fill="B1F4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F5A1A"/>
    <w:pPr>
      <w:spacing w:after="0" w:line="240" w:lineRule="auto"/>
    </w:pPr>
    <w:tblPr>
      <w:tblStyleRowBandSize w:val="1"/>
      <w:tblStyleColBandSize w:val="1"/>
      <w:tbl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single" w:sz="8" w:space="0" w:color="FDAA47" w:themeColor="accent6" w:themeTint="BF"/>
      </w:tblBorders>
    </w:tblPr>
    <w:tblStylePr w:type="firstRow">
      <w:pPr>
        <w:spacing w:before="0" w:after="0" w:line="240" w:lineRule="auto"/>
      </w:pPr>
      <w:rPr>
        <w:b/>
        <w:bCs/>
        <w:color w:val="FFFFFF" w:themeColor="background1"/>
      </w:rPr>
      <w:tblPr/>
      <w:tcPr>
        <w:tcBorders>
          <w:top w:val="single" w:sz="8"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shd w:val="clear" w:color="auto" w:fill="FD8F0A" w:themeFill="accent6"/>
      </w:tcPr>
    </w:tblStylePr>
    <w:tblStylePr w:type="lastRow">
      <w:pPr>
        <w:spacing w:before="0" w:after="0" w:line="240" w:lineRule="auto"/>
      </w:pPr>
      <w:rPr>
        <w:b/>
        <w:bCs/>
      </w:rPr>
      <w:tblPr/>
      <w:tcPr>
        <w:tcBorders>
          <w:top w:val="double" w:sz="6" w:space="0" w:color="FDAA47" w:themeColor="accent6" w:themeTint="BF"/>
          <w:left w:val="single" w:sz="8" w:space="0" w:color="FDAA47" w:themeColor="accent6" w:themeTint="BF"/>
          <w:bottom w:val="single" w:sz="8" w:space="0" w:color="FDAA47" w:themeColor="accent6" w:themeTint="BF"/>
          <w:right w:val="single" w:sz="8" w:space="0" w:color="FDAA47"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E3C2" w:themeFill="accent6" w:themeFillTint="3F"/>
      </w:tcPr>
    </w:tblStylePr>
    <w:tblStylePr w:type="band1Horz">
      <w:tblPr/>
      <w:tcPr>
        <w:tcBorders>
          <w:insideH w:val="nil"/>
          <w:insideV w:val="nil"/>
        </w:tcBorders>
        <w:shd w:val="clear" w:color="auto" w:fill="FEE3C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F5A1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F5A1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B67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BB673" w:themeFill="accent1"/>
      </w:tcPr>
    </w:tblStylePr>
    <w:tblStylePr w:type="lastCol">
      <w:rPr>
        <w:b/>
        <w:bCs/>
        <w:color w:val="FFFFFF" w:themeColor="background1"/>
      </w:rPr>
      <w:tblPr/>
      <w:tcPr>
        <w:tcBorders>
          <w:left w:val="nil"/>
          <w:right w:val="nil"/>
          <w:insideH w:val="nil"/>
          <w:insideV w:val="nil"/>
        </w:tcBorders>
        <w:shd w:val="clear" w:color="auto" w:fill="2BB67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F5A1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B4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3B41A" w:themeFill="accent2"/>
      </w:tcPr>
    </w:tblStylePr>
    <w:tblStylePr w:type="lastCol">
      <w:rPr>
        <w:b/>
        <w:bCs/>
        <w:color w:val="FFFFFF" w:themeColor="background1"/>
      </w:rPr>
      <w:tblPr/>
      <w:tcPr>
        <w:tcBorders>
          <w:left w:val="nil"/>
          <w:right w:val="nil"/>
          <w:insideH w:val="nil"/>
          <w:insideV w:val="nil"/>
        </w:tcBorders>
        <w:shd w:val="clear" w:color="auto" w:fill="93B4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F5A1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6A3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6A3B" w:themeFill="accent3"/>
      </w:tcPr>
    </w:tblStylePr>
    <w:tblStylePr w:type="lastCol">
      <w:rPr>
        <w:b/>
        <w:bCs/>
        <w:color w:val="FFFFFF" w:themeColor="background1"/>
      </w:rPr>
      <w:tblPr/>
      <w:tcPr>
        <w:tcBorders>
          <w:left w:val="nil"/>
          <w:right w:val="nil"/>
          <w:insideH w:val="nil"/>
          <w:insideV w:val="nil"/>
        </w:tcBorders>
        <w:shd w:val="clear" w:color="auto" w:fill="F06A3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F5A1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61C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561CC" w:themeFill="accent4"/>
      </w:tcPr>
    </w:tblStylePr>
    <w:tblStylePr w:type="lastCol">
      <w:rPr>
        <w:b/>
        <w:bCs/>
        <w:color w:val="FFFFFF" w:themeColor="background1"/>
      </w:rPr>
      <w:tblPr/>
      <w:tcPr>
        <w:tcBorders>
          <w:left w:val="nil"/>
          <w:right w:val="nil"/>
          <w:insideH w:val="nil"/>
          <w:insideV w:val="nil"/>
        </w:tcBorders>
        <w:shd w:val="clear" w:color="auto" w:fill="9561C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F5A1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DC6" w:themeFill="accent5"/>
      </w:tcPr>
    </w:tblStylePr>
    <w:tblStylePr w:type="lastCol">
      <w:rPr>
        <w:b/>
        <w:bCs/>
        <w:color w:val="FFFFFF" w:themeColor="background1"/>
      </w:rPr>
      <w:tblPr/>
      <w:tcPr>
        <w:tcBorders>
          <w:left w:val="nil"/>
          <w:right w:val="nil"/>
          <w:insideH w:val="nil"/>
          <w:insideV w:val="nil"/>
        </w:tcBorders>
        <w:shd w:val="clear" w:color="auto" w:fill="00AD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F5A1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8F0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8F0A" w:themeFill="accent6"/>
      </w:tcPr>
    </w:tblStylePr>
    <w:tblStylePr w:type="lastCol">
      <w:rPr>
        <w:b/>
        <w:bCs/>
        <w:color w:val="FFFFFF" w:themeColor="background1"/>
      </w:rPr>
      <w:tblPr/>
      <w:tcPr>
        <w:tcBorders>
          <w:left w:val="nil"/>
          <w:right w:val="nil"/>
          <w:insideH w:val="nil"/>
          <w:insideV w:val="nil"/>
        </w:tcBorders>
        <w:shd w:val="clear" w:color="auto" w:fill="FD8F0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DF5A1A"/>
    <w:rPr>
      <w:color w:val="2B579A"/>
      <w:shd w:val="clear" w:color="auto" w:fill="E1DFDD"/>
    </w:rPr>
  </w:style>
  <w:style w:type="paragraph" w:styleId="MessageHeader">
    <w:name w:val="Message Header"/>
    <w:basedOn w:val="Normal"/>
    <w:link w:val="MessageHeaderChar"/>
    <w:uiPriority w:val="99"/>
    <w:semiHidden/>
    <w:unhideWhenUsed/>
    <w:rsid w:val="00DF5A1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F5A1A"/>
    <w:rPr>
      <w:rFonts w:asciiTheme="majorHAnsi" w:eastAsiaTheme="majorEastAsia" w:hAnsiTheme="majorHAnsi" w:cstheme="majorBidi"/>
      <w:color w:val="1E1E1E"/>
      <w:sz w:val="24"/>
      <w:szCs w:val="24"/>
      <w:shd w:val="pct20" w:color="auto" w:fill="auto"/>
    </w:rPr>
  </w:style>
  <w:style w:type="paragraph" w:styleId="NoSpacing">
    <w:name w:val="No Spacing"/>
    <w:uiPriority w:val="1"/>
    <w:semiHidden/>
    <w:rsid w:val="00DF5A1A"/>
    <w:pPr>
      <w:spacing w:after="0" w:line="240" w:lineRule="auto"/>
    </w:pPr>
    <w:rPr>
      <w:rFonts w:ascii="Calibri" w:hAnsi="Calibri"/>
      <w:color w:val="1E1E1E"/>
      <w:sz w:val="24"/>
    </w:rPr>
  </w:style>
  <w:style w:type="paragraph" w:styleId="NormalIndent">
    <w:name w:val="Normal Indent"/>
    <w:basedOn w:val="Normal"/>
    <w:uiPriority w:val="99"/>
    <w:semiHidden/>
    <w:unhideWhenUsed/>
    <w:rsid w:val="00DF5A1A"/>
    <w:pPr>
      <w:ind w:left="720"/>
    </w:pPr>
  </w:style>
  <w:style w:type="paragraph" w:styleId="NoteHeading">
    <w:name w:val="Note Heading"/>
    <w:basedOn w:val="Normal"/>
    <w:next w:val="Normal"/>
    <w:link w:val="NoteHeadingChar"/>
    <w:uiPriority w:val="99"/>
    <w:semiHidden/>
    <w:unhideWhenUsed/>
    <w:rsid w:val="00DF5A1A"/>
    <w:pPr>
      <w:spacing w:after="0" w:line="240" w:lineRule="auto"/>
    </w:pPr>
  </w:style>
  <w:style w:type="character" w:customStyle="1" w:styleId="NoteHeadingChar">
    <w:name w:val="Note Heading Char"/>
    <w:basedOn w:val="DefaultParagraphFont"/>
    <w:link w:val="NoteHeading"/>
    <w:uiPriority w:val="99"/>
    <w:semiHidden/>
    <w:rsid w:val="00DF5A1A"/>
    <w:rPr>
      <w:rFonts w:ascii="Calibri" w:hAnsi="Calibri"/>
      <w:color w:val="1E1E1E"/>
      <w:sz w:val="24"/>
    </w:rPr>
  </w:style>
  <w:style w:type="character" w:styleId="PlaceholderText">
    <w:name w:val="Placeholder Text"/>
    <w:basedOn w:val="DefaultParagraphFont"/>
    <w:uiPriority w:val="99"/>
    <w:semiHidden/>
    <w:rsid w:val="00DF5A1A"/>
    <w:rPr>
      <w:color w:val="666666"/>
    </w:rPr>
  </w:style>
  <w:style w:type="table" w:styleId="PlainTable1">
    <w:name w:val="Plain Table 1"/>
    <w:basedOn w:val="TableNormal"/>
    <w:uiPriority w:val="41"/>
    <w:rsid w:val="00DF5A1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F5A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F5A1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F5A1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F5A1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F5A1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F5A1A"/>
    <w:rPr>
      <w:rFonts w:ascii="Consolas" w:hAnsi="Consolas"/>
      <w:color w:val="1E1E1E"/>
      <w:sz w:val="21"/>
      <w:szCs w:val="21"/>
    </w:rPr>
  </w:style>
  <w:style w:type="paragraph" w:styleId="Quote">
    <w:name w:val="Quote"/>
    <w:basedOn w:val="Normal"/>
    <w:next w:val="Normal"/>
    <w:link w:val="QuoteChar"/>
    <w:uiPriority w:val="29"/>
    <w:semiHidden/>
    <w:rsid w:val="00DF5A1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F5A1A"/>
    <w:rPr>
      <w:rFonts w:ascii="Calibri" w:hAnsi="Calibri"/>
      <w:i/>
      <w:iCs/>
      <w:color w:val="404040" w:themeColor="text1" w:themeTint="BF"/>
      <w:sz w:val="24"/>
    </w:rPr>
  </w:style>
  <w:style w:type="paragraph" w:styleId="Salutation">
    <w:name w:val="Salutation"/>
    <w:basedOn w:val="Normal"/>
    <w:next w:val="Normal"/>
    <w:link w:val="SalutationChar"/>
    <w:uiPriority w:val="99"/>
    <w:semiHidden/>
    <w:unhideWhenUsed/>
    <w:rsid w:val="00DF5A1A"/>
  </w:style>
  <w:style w:type="character" w:customStyle="1" w:styleId="SalutationChar">
    <w:name w:val="Salutation Char"/>
    <w:basedOn w:val="DefaultParagraphFont"/>
    <w:link w:val="Salutation"/>
    <w:uiPriority w:val="99"/>
    <w:semiHidden/>
    <w:rsid w:val="00DF5A1A"/>
    <w:rPr>
      <w:rFonts w:ascii="Calibri" w:hAnsi="Calibri"/>
      <w:color w:val="1E1E1E"/>
      <w:sz w:val="24"/>
    </w:rPr>
  </w:style>
  <w:style w:type="paragraph" w:styleId="Signature">
    <w:name w:val="Signature"/>
    <w:basedOn w:val="Normal"/>
    <w:link w:val="SignatureChar"/>
    <w:uiPriority w:val="99"/>
    <w:semiHidden/>
    <w:unhideWhenUsed/>
    <w:rsid w:val="00DF5A1A"/>
    <w:pPr>
      <w:spacing w:after="0" w:line="240" w:lineRule="auto"/>
      <w:ind w:left="4252"/>
    </w:pPr>
  </w:style>
  <w:style w:type="character" w:customStyle="1" w:styleId="SignatureChar">
    <w:name w:val="Signature Char"/>
    <w:basedOn w:val="DefaultParagraphFont"/>
    <w:link w:val="Signature"/>
    <w:uiPriority w:val="99"/>
    <w:semiHidden/>
    <w:rsid w:val="00DF5A1A"/>
    <w:rPr>
      <w:rFonts w:ascii="Calibri" w:hAnsi="Calibri"/>
      <w:color w:val="1E1E1E"/>
      <w:sz w:val="24"/>
    </w:rPr>
  </w:style>
  <w:style w:type="character" w:styleId="SmartHyperlink">
    <w:name w:val="Smart Hyperlink"/>
    <w:basedOn w:val="DefaultParagraphFont"/>
    <w:uiPriority w:val="99"/>
    <w:semiHidden/>
    <w:unhideWhenUsed/>
    <w:rsid w:val="00DF5A1A"/>
    <w:rPr>
      <w:u w:val="dotted"/>
    </w:rPr>
  </w:style>
  <w:style w:type="character" w:styleId="SmartLink">
    <w:name w:val="Smart Link"/>
    <w:basedOn w:val="DefaultParagraphFont"/>
    <w:uiPriority w:val="99"/>
    <w:semiHidden/>
    <w:unhideWhenUsed/>
    <w:rsid w:val="00DF5A1A"/>
    <w:rPr>
      <w:color w:val="0000FF"/>
      <w:u w:val="single"/>
      <w:shd w:val="clear" w:color="auto" w:fill="F3F2F1"/>
    </w:rPr>
  </w:style>
  <w:style w:type="character" w:styleId="Strong">
    <w:name w:val="Strong"/>
    <w:basedOn w:val="DefaultParagraphFont"/>
    <w:uiPriority w:val="22"/>
    <w:semiHidden/>
    <w:rsid w:val="00DF5A1A"/>
    <w:rPr>
      <w:b/>
      <w:bCs/>
    </w:rPr>
  </w:style>
  <w:style w:type="paragraph" w:styleId="Subtitle">
    <w:name w:val="Subtitle"/>
    <w:basedOn w:val="Normal"/>
    <w:next w:val="Normal"/>
    <w:link w:val="SubtitleChar"/>
    <w:uiPriority w:val="11"/>
    <w:semiHidden/>
    <w:rsid w:val="00DF5A1A"/>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semiHidden/>
    <w:rsid w:val="00DF5A1A"/>
    <w:rPr>
      <w:rFonts w:eastAsiaTheme="minorEastAsia"/>
      <w:color w:val="5A5A5A" w:themeColor="text1" w:themeTint="A5"/>
      <w:spacing w:val="15"/>
    </w:rPr>
  </w:style>
  <w:style w:type="character" w:styleId="SubtleEmphasis">
    <w:name w:val="Subtle Emphasis"/>
    <w:basedOn w:val="DefaultParagraphFont"/>
    <w:uiPriority w:val="19"/>
    <w:semiHidden/>
    <w:rsid w:val="00DF5A1A"/>
    <w:rPr>
      <w:i/>
      <w:iCs/>
      <w:color w:val="404040" w:themeColor="text1" w:themeTint="BF"/>
    </w:rPr>
  </w:style>
  <w:style w:type="character" w:styleId="SubtleReference">
    <w:name w:val="Subtle Reference"/>
    <w:basedOn w:val="DefaultParagraphFont"/>
    <w:uiPriority w:val="31"/>
    <w:semiHidden/>
    <w:rsid w:val="00DF5A1A"/>
    <w:rPr>
      <w:smallCaps/>
      <w:color w:val="5A5A5A" w:themeColor="text1" w:themeTint="A5"/>
    </w:rPr>
  </w:style>
  <w:style w:type="table" w:styleId="Table3Deffects1">
    <w:name w:val="Table 3D effects 1"/>
    <w:basedOn w:val="TableNormal"/>
    <w:uiPriority w:val="99"/>
    <w:semiHidden/>
    <w:unhideWhenUsed/>
    <w:rsid w:val="00DF5A1A"/>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F5A1A"/>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F5A1A"/>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F5A1A"/>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F5A1A"/>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F5A1A"/>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F5A1A"/>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DF5A1A"/>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DF5A1A"/>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DF5A1A"/>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F5A1A"/>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F5A1A"/>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F5A1A"/>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F5A1A"/>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F5A1A"/>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F5A1A"/>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F5A1A"/>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F5A1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F5A1A"/>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F5A1A"/>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F5A1A"/>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F5A1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F5A1A"/>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F5A1A"/>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F5A1A"/>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F5A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F5A1A"/>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F5A1A"/>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F5A1A"/>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F5A1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F5A1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F5A1A"/>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F5A1A"/>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F5A1A"/>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F5A1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F5A1A"/>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F5A1A"/>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F5A1A"/>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F5A1A"/>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F5A1A"/>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F5A1A"/>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F5A1A"/>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F5A1A"/>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F5A1A"/>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OIPI-Cover-title2">
    <w:name w:val="OIPI - Cover - title 2"/>
    <w:basedOn w:val="Normal"/>
    <w:uiPriority w:val="98"/>
    <w:rsid w:val="00993BD6"/>
    <w:pPr>
      <w:spacing w:before="240" w:after="160" w:line="240" w:lineRule="auto"/>
      <w:contextualSpacing/>
    </w:pPr>
    <w:rPr>
      <w:b/>
      <w:color w:val="FFFFFF" w:themeColor="background1"/>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972">
      <w:bodyDiv w:val="1"/>
      <w:marLeft w:val="0"/>
      <w:marRight w:val="0"/>
      <w:marTop w:val="0"/>
      <w:marBottom w:val="0"/>
      <w:divBdr>
        <w:top w:val="none" w:sz="0" w:space="0" w:color="auto"/>
        <w:left w:val="none" w:sz="0" w:space="0" w:color="auto"/>
        <w:bottom w:val="none" w:sz="0" w:space="0" w:color="auto"/>
        <w:right w:val="none" w:sz="0" w:space="0" w:color="auto"/>
      </w:divBdr>
    </w:div>
    <w:div w:id="23335931">
      <w:bodyDiv w:val="1"/>
      <w:marLeft w:val="0"/>
      <w:marRight w:val="0"/>
      <w:marTop w:val="0"/>
      <w:marBottom w:val="0"/>
      <w:divBdr>
        <w:top w:val="none" w:sz="0" w:space="0" w:color="auto"/>
        <w:left w:val="none" w:sz="0" w:space="0" w:color="auto"/>
        <w:bottom w:val="none" w:sz="0" w:space="0" w:color="auto"/>
        <w:right w:val="none" w:sz="0" w:space="0" w:color="auto"/>
      </w:divBdr>
    </w:div>
    <w:div w:id="56515610">
      <w:bodyDiv w:val="1"/>
      <w:marLeft w:val="0"/>
      <w:marRight w:val="0"/>
      <w:marTop w:val="0"/>
      <w:marBottom w:val="0"/>
      <w:divBdr>
        <w:top w:val="none" w:sz="0" w:space="0" w:color="auto"/>
        <w:left w:val="none" w:sz="0" w:space="0" w:color="auto"/>
        <w:bottom w:val="none" w:sz="0" w:space="0" w:color="auto"/>
        <w:right w:val="none" w:sz="0" w:space="0" w:color="auto"/>
      </w:divBdr>
    </w:div>
    <w:div w:id="59913649">
      <w:bodyDiv w:val="1"/>
      <w:marLeft w:val="0"/>
      <w:marRight w:val="0"/>
      <w:marTop w:val="0"/>
      <w:marBottom w:val="0"/>
      <w:divBdr>
        <w:top w:val="none" w:sz="0" w:space="0" w:color="auto"/>
        <w:left w:val="none" w:sz="0" w:space="0" w:color="auto"/>
        <w:bottom w:val="none" w:sz="0" w:space="0" w:color="auto"/>
        <w:right w:val="none" w:sz="0" w:space="0" w:color="auto"/>
      </w:divBdr>
    </w:div>
    <w:div w:id="93748921">
      <w:bodyDiv w:val="1"/>
      <w:marLeft w:val="0"/>
      <w:marRight w:val="0"/>
      <w:marTop w:val="0"/>
      <w:marBottom w:val="0"/>
      <w:divBdr>
        <w:top w:val="none" w:sz="0" w:space="0" w:color="auto"/>
        <w:left w:val="none" w:sz="0" w:space="0" w:color="auto"/>
        <w:bottom w:val="none" w:sz="0" w:space="0" w:color="auto"/>
        <w:right w:val="none" w:sz="0" w:space="0" w:color="auto"/>
      </w:divBdr>
    </w:div>
    <w:div w:id="95759705">
      <w:bodyDiv w:val="1"/>
      <w:marLeft w:val="0"/>
      <w:marRight w:val="0"/>
      <w:marTop w:val="0"/>
      <w:marBottom w:val="0"/>
      <w:divBdr>
        <w:top w:val="none" w:sz="0" w:space="0" w:color="auto"/>
        <w:left w:val="none" w:sz="0" w:space="0" w:color="auto"/>
        <w:bottom w:val="none" w:sz="0" w:space="0" w:color="auto"/>
        <w:right w:val="none" w:sz="0" w:space="0" w:color="auto"/>
      </w:divBdr>
    </w:div>
    <w:div w:id="128518327">
      <w:bodyDiv w:val="1"/>
      <w:marLeft w:val="0"/>
      <w:marRight w:val="0"/>
      <w:marTop w:val="0"/>
      <w:marBottom w:val="0"/>
      <w:divBdr>
        <w:top w:val="none" w:sz="0" w:space="0" w:color="auto"/>
        <w:left w:val="none" w:sz="0" w:space="0" w:color="auto"/>
        <w:bottom w:val="none" w:sz="0" w:space="0" w:color="auto"/>
        <w:right w:val="none" w:sz="0" w:space="0" w:color="auto"/>
      </w:divBdr>
    </w:div>
    <w:div w:id="133527051">
      <w:bodyDiv w:val="1"/>
      <w:marLeft w:val="0"/>
      <w:marRight w:val="0"/>
      <w:marTop w:val="0"/>
      <w:marBottom w:val="0"/>
      <w:divBdr>
        <w:top w:val="none" w:sz="0" w:space="0" w:color="auto"/>
        <w:left w:val="none" w:sz="0" w:space="0" w:color="auto"/>
        <w:bottom w:val="none" w:sz="0" w:space="0" w:color="auto"/>
        <w:right w:val="none" w:sz="0" w:space="0" w:color="auto"/>
      </w:divBdr>
    </w:div>
    <w:div w:id="135611697">
      <w:bodyDiv w:val="1"/>
      <w:marLeft w:val="0"/>
      <w:marRight w:val="0"/>
      <w:marTop w:val="0"/>
      <w:marBottom w:val="0"/>
      <w:divBdr>
        <w:top w:val="none" w:sz="0" w:space="0" w:color="auto"/>
        <w:left w:val="none" w:sz="0" w:space="0" w:color="auto"/>
        <w:bottom w:val="none" w:sz="0" w:space="0" w:color="auto"/>
        <w:right w:val="none" w:sz="0" w:space="0" w:color="auto"/>
      </w:divBdr>
    </w:div>
    <w:div w:id="135727305">
      <w:bodyDiv w:val="1"/>
      <w:marLeft w:val="0"/>
      <w:marRight w:val="0"/>
      <w:marTop w:val="0"/>
      <w:marBottom w:val="0"/>
      <w:divBdr>
        <w:top w:val="none" w:sz="0" w:space="0" w:color="auto"/>
        <w:left w:val="none" w:sz="0" w:space="0" w:color="auto"/>
        <w:bottom w:val="none" w:sz="0" w:space="0" w:color="auto"/>
        <w:right w:val="none" w:sz="0" w:space="0" w:color="auto"/>
      </w:divBdr>
    </w:div>
    <w:div w:id="140925611">
      <w:bodyDiv w:val="1"/>
      <w:marLeft w:val="0"/>
      <w:marRight w:val="0"/>
      <w:marTop w:val="0"/>
      <w:marBottom w:val="0"/>
      <w:divBdr>
        <w:top w:val="none" w:sz="0" w:space="0" w:color="auto"/>
        <w:left w:val="none" w:sz="0" w:space="0" w:color="auto"/>
        <w:bottom w:val="none" w:sz="0" w:space="0" w:color="auto"/>
        <w:right w:val="none" w:sz="0" w:space="0" w:color="auto"/>
      </w:divBdr>
    </w:div>
    <w:div w:id="153646440">
      <w:bodyDiv w:val="1"/>
      <w:marLeft w:val="0"/>
      <w:marRight w:val="0"/>
      <w:marTop w:val="0"/>
      <w:marBottom w:val="0"/>
      <w:divBdr>
        <w:top w:val="none" w:sz="0" w:space="0" w:color="auto"/>
        <w:left w:val="none" w:sz="0" w:space="0" w:color="auto"/>
        <w:bottom w:val="none" w:sz="0" w:space="0" w:color="auto"/>
        <w:right w:val="none" w:sz="0" w:space="0" w:color="auto"/>
      </w:divBdr>
    </w:div>
    <w:div w:id="157811815">
      <w:bodyDiv w:val="1"/>
      <w:marLeft w:val="0"/>
      <w:marRight w:val="0"/>
      <w:marTop w:val="0"/>
      <w:marBottom w:val="0"/>
      <w:divBdr>
        <w:top w:val="none" w:sz="0" w:space="0" w:color="auto"/>
        <w:left w:val="none" w:sz="0" w:space="0" w:color="auto"/>
        <w:bottom w:val="none" w:sz="0" w:space="0" w:color="auto"/>
        <w:right w:val="none" w:sz="0" w:space="0" w:color="auto"/>
      </w:divBdr>
    </w:div>
    <w:div w:id="165173275">
      <w:bodyDiv w:val="1"/>
      <w:marLeft w:val="0"/>
      <w:marRight w:val="0"/>
      <w:marTop w:val="0"/>
      <w:marBottom w:val="0"/>
      <w:divBdr>
        <w:top w:val="none" w:sz="0" w:space="0" w:color="auto"/>
        <w:left w:val="none" w:sz="0" w:space="0" w:color="auto"/>
        <w:bottom w:val="none" w:sz="0" w:space="0" w:color="auto"/>
        <w:right w:val="none" w:sz="0" w:space="0" w:color="auto"/>
      </w:divBdr>
    </w:div>
    <w:div w:id="213740667">
      <w:bodyDiv w:val="1"/>
      <w:marLeft w:val="0"/>
      <w:marRight w:val="0"/>
      <w:marTop w:val="0"/>
      <w:marBottom w:val="0"/>
      <w:divBdr>
        <w:top w:val="none" w:sz="0" w:space="0" w:color="auto"/>
        <w:left w:val="none" w:sz="0" w:space="0" w:color="auto"/>
        <w:bottom w:val="none" w:sz="0" w:space="0" w:color="auto"/>
        <w:right w:val="none" w:sz="0" w:space="0" w:color="auto"/>
      </w:divBdr>
    </w:div>
    <w:div w:id="220823039">
      <w:bodyDiv w:val="1"/>
      <w:marLeft w:val="0"/>
      <w:marRight w:val="0"/>
      <w:marTop w:val="0"/>
      <w:marBottom w:val="0"/>
      <w:divBdr>
        <w:top w:val="none" w:sz="0" w:space="0" w:color="auto"/>
        <w:left w:val="none" w:sz="0" w:space="0" w:color="auto"/>
        <w:bottom w:val="none" w:sz="0" w:space="0" w:color="auto"/>
        <w:right w:val="none" w:sz="0" w:space="0" w:color="auto"/>
      </w:divBdr>
    </w:div>
    <w:div w:id="254945281">
      <w:bodyDiv w:val="1"/>
      <w:marLeft w:val="0"/>
      <w:marRight w:val="0"/>
      <w:marTop w:val="0"/>
      <w:marBottom w:val="0"/>
      <w:divBdr>
        <w:top w:val="none" w:sz="0" w:space="0" w:color="auto"/>
        <w:left w:val="none" w:sz="0" w:space="0" w:color="auto"/>
        <w:bottom w:val="none" w:sz="0" w:space="0" w:color="auto"/>
        <w:right w:val="none" w:sz="0" w:space="0" w:color="auto"/>
      </w:divBdr>
    </w:div>
    <w:div w:id="271086523">
      <w:bodyDiv w:val="1"/>
      <w:marLeft w:val="0"/>
      <w:marRight w:val="0"/>
      <w:marTop w:val="0"/>
      <w:marBottom w:val="0"/>
      <w:divBdr>
        <w:top w:val="none" w:sz="0" w:space="0" w:color="auto"/>
        <w:left w:val="none" w:sz="0" w:space="0" w:color="auto"/>
        <w:bottom w:val="none" w:sz="0" w:space="0" w:color="auto"/>
        <w:right w:val="none" w:sz="0" w:space="0" w:color="auto"/>
      </w:divBdr>
    </w:div>
    <w:div w:id="300500309">
      <w:bodyDiv w:val="1"/>
      <w:marLeft w:val="0"/>
      <w:marRight w:val="0"/>
      <w:marTop w:val="0"/>
      <w:marBottom w:val="0"/>
      <w:divBdr>
        <w:top w:val="none" w:sz="0" w:space="0" w:color="auto"/>
        <w:left w:val="none" w:sz="0" w:space="0" w:color="auto"/>
        <w:bottom w:val="none" w:sz="0" w:space="0" w:color="auto"/>
        <w:right w:val="none" w:sz="0" w:space="0" w:color="auto"/>
      </w:divBdr>
    </w:div>
    <w:div w:id="311523679">
      <w:bodyDiv w:val="1"/>
      <w:marLeft w:val="0"/>
      <w:marRight w:val="0"/>
      <w:marTop w:val="0"/>
      <w:marBottom w:val="0"/>
      <w:divBdr>
        <w:top w:val="none" w:sz="0" w:space="0" w:color="auto"/>
        <w:left w:val="none" w:sz="0" w:space="0" w:color="auto"/>
        <w:bottom w:val="none" w:sz="0" w:space="0" w:color="auto"/>
        <w:right w:val="none" w:sz="0" w:space="0" w:color="auto"/>
      </w:divBdr>
    </w:div>
    <w:div w:id="319623423">
      <w:bodyDiv w:val="1"/>
      <w:marLeft w:val="0"/>
      <w:marRight w:val="0"/>
      <w:marTop w:val="0"/>
      <w:marBottom w:val="0"/>
      <w:divBdr>
        <w:top w:val="none" w:sz="0" w:space="0" w:color="auto"/>
        <w:left w:val="none" w:sz="0" w:space="0" w:color="auto"/>
        <w:bottom w:val="none" w:sz="0" w:space="0" w:color="auto"/>
        <w:right w:val="none" w:sz="0" w:space="0" w:color="auto"/>
      </w:divBdr>
    </w:div>
    <w:div w:id="341469799">
      <w:bodyDiv w:val="1"/>
      <w:marLeft w:val="0"/>
      <w:marRight w:val="0"/>
      <w:marTop w:val="0"/>
      <w:marBottom w:val="0"/>
      <w:divBdr>
        <w:top w:val="none" w:sz="0" w:space="0" w:color="auto"/>
        <w:left w:val="none" w:sz="0" w:space="0" w:color="auto"/>
        <w:bottom w:val="none" w:sz="0" w:space="0" w:color="auto"/>
        <w:right w:val="none" w:sz="0" w:space="0" w:color="auto"/>
      </w:divBdr>
    </w:div>
    <w:div w:id="402946828">
      <w:bodyDiv w:val="1"/>
      <w:marLeft w:val="0"/>
      <w:marRight w:val="0"/>
      <w:marTop w:val="0"/>
      <w:marBottom w:val="0"/>
      <w:divBdr>
        <w:top w:val="none" w:sz="0" w:space="0" w:color="auto"/>
        <w:left w:val="none" w:sz="0" w:space="0" w:color="auto"/>
        <w:bottom w:val="none" w:sz="0" w:space="0" w:color="auto"/>
        <w:right w:val="none" w:sz="0" w:space="0" w:color="auto"/>
      </w:divBdr>
    </w:div>
    <w:div w:id="412049688">
      <w:bodyDiv w:val="1"/>
      <w:marLeft w:val="0"/>
      <w:marRight w:val="0"/>
      <w:marTop w:val="0"/>
      <w:marBottom w:val="0"/>
      <w:divBdr>
        <w:top w:val="none" w:sz="0" w:space="0" w:color="auto"/>
        <w:left w:val="none" w:sz="0" w:space="0" w:color="auto"/>
        <w:bottom w:val="none" w:sz="0" w:space="0" w:color="auto"/>
        <w:right w:val="none" w:sz="0" w:space="0" w:color="auto"/>
      </w:divBdr>
    </w:div>
    <w:div w:id="442960523">
      <w:bodyDiv w:val="1"/>
      <w:marLeft w:val="0"/>
      <w:marRight w:val="0"/>
      <w:marTop w:val="0"/>
      <w:marBottom w:val="0"/>
      <w:divBdr>
        <w:top w:val="none" w:sz="0" w:space="0" w:color="auto"/>
        <w:left w:val="none" w:sz="0" w:space="0" w:color="auto"/>
        <w:bottom w:val="none" w:sz="0" w:space="0" w:color="auto"/>
        <w:right w:val="none" w:sz="0" w:space="0" w:color="auto"/>
      </w:divBdr>
    </w:div>
    <w:div w:id="452797282">
      <w:bodyDiv w:val="1"/>
      <w:marLeft w:val="0"/>
      <w:marRight w:val="0"/>
      <w:marTop w:val="0"/>
      <w:marBottom w:val="0"/>
      <w:divBdr>
        <w:top w:val="none" w:sz="0" w:space="0" w:color="auto"/>
        <w:left w:val="none" w:sz="0" w:space="0" w:color="auto"/>
        <w:bottom w:val="none" w:sz="0" w:space="0" w:color="auto"/>
        <w:right w:val="none" w:sz="0" w:space="0" w:color="auto"/>
      </w:divBdr>
    </w:div>
    <w:div w:id="537546944">
      <w:bodyDiv w:val="1"/>
      <w:marLeft w:val="0"/>
      <w:marRight w:val="0"/>
      <w:marTop w:val="0"/>
      <w:marBottom w:val="0"/>
      <w:divBdr>
        <w:top w:val="none" w:sz="0" w:space="0" w:color="auto"/>
        <w:left w:val="none" w:sz="0" w:space="0" w:color="auto"/>
        <w:bottom w:val="none" w:sz="0" w:space="0" w:color="auto"/>
        <w:right w:val="none" w:sz="0" w:space="0" w:color="auto"/>
      </w:divBdr>
    </w:div>
    <w:div w:id="538588608">
      <w:bodyDiv w:val="1"/>
      <w:marLeft w:val="0"/>
      <w:marRight w:val="0"/>
      <w:marTop w:val="0"/>
      <w:marBottom w:val="0"/>
      <w:divBdr>
        <w:top w:val="none" w:sz="0" w:space="0" w:color="auto"/>
        <w:left w:val="none" w:sz="0" w:space="0" w:color="auto"/>
        <w:bottom w:val="none" w:sz="0" w:space="0" w:color="auto"/>
        <w:right w:val="none" w:sz="0" w:space="0" w:color="auto"/>
      </w:divBdr>
    </w:div>
    <w:div w:id="553010708">
      <w:bodyDiv w:val="1"/>
      <w:marLeft w:val="0"/>
      <w:marRight w:val="0"/>
      <w:marTop w:val="0"/>
      <w:marBottom w:val="0"/>
      <w:divBdr>
        <w:top w:val="none" w:sz="0" w:space="0" w:color="auto"/>
        <w:left w:val="none" w:sz="0" w:space="0" w:color="auto"/>
        <w:bottom w:val="none" w:sz="0" w:space="0" w:color="auto"/>
        <w:right w:val="none" w:sz="0" w:space="0" w:color="auto"/>
      </w:divBdr>
    </w:div>
    <w:div w:id="553589812">
      <w:bodyDiv w:val="1"/>
      <w:marLeft w:val="0"/>
      <w:marRight w:val="0"/>
      <w:marTop w:val="0"/>
      <w:marBottom w:val="0"/>
      <w:divBdr>
        <w:top w:val="none" w:sz="0" w:space="0" w:color="auto"/>
        <w:left w:val="none" w:sz="0" w:space="0" w:color="auto"/>
        <w:bottom w:val="none" w:sz="0" w:space="0" w:color="auto"/>
        <w:right w:val="none" w:sz="0" w:space="0" w:color="auto"/>
      </w:divBdr>
    </w:div>
    <w:div w:id="602492843">
      <w:bodyDiv w:val="1"/>
      <w:marLeft w:val="0"/>
      <w:marRight w:val="0"/>
      <w:marTop w:val="0"/>
      <w:marBottom w:val="0"/>
      <w:divBdr>
        <w:top w:val="none" w:sz="0" w:space="0" w:color="auto"/>
        <w:left w:val="none" w:sz="0" w:space="0" w:color="auto"/>
        <w:bottom w:val="none" w:sz="0" w:space="0" w:color="auto"/>
        <w:right w:val="none" w:sz="0" w:space="0" w:color="auto"/>
      </w:divBdr>
    </w:div>
    <w:div w:id="612982507">
      <w:bodyDiv w:val="1"/>
      <w:marLeft w:val="0"/>
      <w:marRight w:val="0"/>
      <w:marTop w:val="0"/>
      <w:marBottom w:val="0"/>
      <w:divBdr>
        <w:top w:val="none" w:sz="0" w:space="0" w:color="auto"/>
        <w:left w:val="none" w:sz="0" w:space="0" w:color="auto"/>
        <w:bottom w:val="none" w:sz="0" w:space="0" w:color="auto"/>
        <w:right w:val="none" w:sz="0" w:space="0" w:color="auto"/>
      </w:divBdr>
    </w:div>
    <w:div w:id="616715441">
      <w:bodyDiv w:val="1"/>
      <w:marLeft w:val="0"/>
      <w:marRight w:val="0"/>
      <w:marTop w:val="0"/>
      <w:marBottom w:val="0"/>
      <w:divBdr>
        <w:top w:val="none" w:sz="0" w:space="0" w:color="auto"/>
        <w:left w:val="none" w:sz="0" w:space="0" w:color="auto"/>
        <w:bottom w:val="none" w:sz="0" w:space="0" w:color="auto"/>
        <w:right w:val="none" w:sz="0" w:space="0" w:color="auto"/>
      </w:divBdr>
    </w:div>
    <w:div w:id="690953863">
      <w:bodyDiv w:val="1"/>
      <w:marLeft w:val="0"/>
      <w:marRight w:val="0"/>
      <w:marTop w:val="0"/>
      <w:marBottom w:val="0"/>
      <w:divBdr>
        <w:top w:val="none" w:sz="0" w:space="0" w:color="auto"/>
        <w:left w:val="none" w:sz="0" w:space="0" w:color="auto"/>
        <w:bottom w:val="none" w:sz="0" w:space="0" w:color="auto"/>
        <w:right w:val="none" w:sz="0" w:space="0" w:color="auto"/>
      </w:divBdr>
    </w:div>
    <w:div w:id="700981612">
      <w:bodyDiv w:val="1"/>
      <w:marLeft w:val="0"/>
      <w:marRight w:val="0"/>
      <w:marTop w:val="0"/>
      <w:marBottom w:val="0"/>
      <w:divBdr>
        <w:top w:val="none" w:sz="0" w:space="0" w:color="auto"/>
        <w:left w:val="none" w:sz="0" w:space="0" w:color="auto"/>
        <w:bottom w:val="none" w:sz="0" w:space="0" w:color="auto"/>
        <w:right w:val="none" w:sz="0" w:space="0" w:color="auto"/>
      </w:divBdr>
    </w:div>
    <w:div w:id="715592912">
      <w:bodyDiv w:val="1"/>
      <w:marLeft w:val="0"/>
      <w:marRight w:val="0"/>
      <w:marTop w:val="0"/>
      <w:marBottom w:val="0"/>
      <w:divBdr>
        <w:top w:val="none" w:sz="0" w:space="0" w:color="auto"/>
        <w:left w:val="none" w:sz="0" w:space="0" w:color="auto"/>
        <w:bottom w:val="none" w:sz="0" w:space="0" w:color="auto"/>
        <w:right w:val="none" w:sz="0" w:space="0" w:color="auto"/>
      </w:divBdr>
    </w:div>
    <w:div w:id="716275493">
      <w:bodyDiv w:val="1"/>
      <w:marLeft w:val="0"/>
      <w:marRight w:val="0"/>
      <w:marTop w:val="0"/>
      <w:marBottom w:val="0"/>
      <w:divBdr>
        <w:top w:val="none" w:sz="0" w:space="0" w:color="auto"/>
        <w:left w:val="none" w:sz="0" w:space="0" w:color="auto"/>
        <w:bottom w:val="none" w:sz="0" w:space="0" w:color="auto"/>
        <w:right w:val="none" w:sz="0" w:space="0" w:color="auto"/>
      </w:divBdr>
    </w:div>
    <w:div w:id="719405720">
      <w:bodyDiv w:val="1"/>
      <w:marLeft w:val="0"/>
      <w:marRight w:val="0"/>
      <w:marTop w:val="0"/>
      <w:marBottom w:val="0"/>
      <w:divBdr>
        <w:top w:val="none" w:sz="0" w:space="0" w:color="auto"/>
        <w:left w:val="none" w:sz="0" w:space="0" w:color="auto"/>
        <w:bottom w:val="none" w:sz="0" w:space="0" w:color="auto"/>
        <w:right w:val="none" w:sz="0" w:space="0" w:color="auto"/>
      </w:divBdr>
    </w:div>
    <w:div w:id="723404732">
      <w:bodyDiv w:val="1"/>
      <w:marLeft w:val="0"/>
      <w:marRight w:val="0"/>
      <w:marTop w:val="0"/>
      <w:marBottom w:val="0"/>
      <w:divBdr>
        <w:top w:val="none" w:sz="0" w:space="0" w:color="auto"/>
        <w:left w:val="none" w:sz="0" w:space="0" w:color="auto"/>
        <w:bottom w:val="none" w:sz="0" w:space="0" w:color="auto"/>
        <w:right w:val="none" w:sz="0" w:space="0" w:color="auto"/>
      </w:divBdr>
    </w:div>
    <w:div w:id="731730137">
      <w:bodyDiv w:val="1"/>
      <w:marLeft w:val="0"/>
      <w:marRight w:val="0"/>
      <w:marTop w:val="0"/>
      <w:marBottom w:val="0"/>
      <w:divBdr>
        <w:top w:val="none" w:sz="0" w:space="0" w:color="auto"/>
        <w:left w:val="none" w:sz="0" w:space="0" w:color="auto"/>
        <w:bottom w:val="none" w:sz="0" w:space="0" w:color="auto"/>
        <w:right w:val="none" w:sz="0" w:space="0" w:color="auto"/>
      </w:divBdr>
    </w:div>
    <w:div w:id="752702021">
      <w:bodyDiv w:val="1"/>
      <w:marLeft w:val="0"/>
      <w:marRight w:val="0"/>
      <w:marTop w:val="0"/>
      <w:marBottom w:val="0"/>
      <w:divBdr>
        <w:top w:val="none" w:sz="0" w:space="0" w:color="auto"/>
        <w:left w:val="none" w:sz="0" w:space="0" w:color="auto"/>
        <w:bottom w:val="none" w:sz="0" w:space="0" w:color="auto"/>
        <w:right w:val="none" w:sz="0" w:space="0" w:color="auto"/>
      </w:divBdr>
    </w:div>
    <w:div w:id="778909102">
      <w:bodyDiv w:val="1"/>
      <w:marLeft w:val="0"/>
      <w:marRight w:val="0"/>
      <w:marTop w:val="0"/>
      <w:marBottom w:val="0"/>
      <w:divBdr>
        <w:top w:val="none" w:sz="0" w:space="0" w:color="auto"/>
        <w:left w:val="none" w:sz="0" w:space="0" w:color="auto"/>
        <w:bottom w:val="none" w:sz="0" w:space="0" w:color="auto"/>
        <w:right w:val="none" w:sz="0" w:space="0" w:color="auto"/>
      </w:divBdr>
    </w:div>
    <w:div w:id="813715890">
      <w:bodyDiv w:val="1"/>
      <w:marLeft w:val="0"/>
      <w:marRight w:val="0"/>
      <w:marTop w:val="0"/>
      <w:marBottom w:val="0"/>
      <w:divBdr>
        <w:top w:val="none" w:sz="0" w:space="0" w:color="auto"/>
        <w:left w:val="none" w:sz="0" w:space="0" w:color="auto"/>
        <w:bottom w:val="none" w:sz="0" w:space="0" w:color="auto"/>
        <w:right w:val="none" w:sz="0" w:space="0" w:color="auto"/>
      </w:divBdr>
    </w:div>
    <w:div w:id="820851678">
      <w:bodyDiv w:val="1"/>
      <w:marLeft w:val="0"/>
      <w:marRight w:val="0"/>
      <w:marTop w:val="0"/>
      <w:marBottom w:val="0"/>
      <w:divBdr>
        <w:top w:val="none" w:sz="0" w:space="0" w:color="auto"/>
        <w:left w:val="none" w:sz="0" w:space="0" w:color="auto"/>
        <w:bottom w:val="none" w:sz="0" w:space="0" w:color="auto"/>
        <w:right w:val="none" w:sz="0" w:space="0" w:color="auto"/>
      </w:divBdr>
    </w:div>
    <w:div w:id="855189611">
      <w:bodyDiv w:val="1"/>
      <w:marLeft w:val="0"/>
      <w:marRight w:val="0"/>
      <w:marTop w:val="0"/>
      <w:marBottom w:val="0"/>
      <w:divBdr>
        <w:top w:val="none" w:sz="0" w:space="0" w:color="auto"/>
        <w:left w:val="none" w:sz="0" w:space="0" w:color="auto"/>
        <w:bottom w:val="none" w:sz="0" w:space="0" w:color="auto"/>
        <w:right w:val="none" w:sz="0" w:space="0" w:color="auto"/>
      </w:divBdr>
    </w:div>
    <w:div w:id="901600149">
      <w:bodyDiv w:val="1"/>
      <w:marLeft w:val="0"/>
      <w:marRight w:val="0"/>
      <w:marTop w:val="0"/>
      <w:marBottom w:val="0"/>
      <w:divBdr>
        <w:top w:val="none" w:sz="0" w:space="0" w:color="auto"/>
        <w:left w:val="none" w:sz="0" w:space="0" w:color="auto"/>
        <w:bottom w:val="none" w:sz="0" w:space="0" w:color="auto"/>
        <w:right w:val="none" w:sz="0" w:space="0" w:color="auto"/>
      </w:divBdr>
    </w:div>
    <w:div w:id="907154031">
      <w:bodyDiv w:val="1"/>
      <w:marLeft w:val="0"/>
      <w:marRight w:val="0"/>
      <w:marTop w:val="0"/>
      <w:marBottom w:val="0"/>
      <w:divBdr>
        <w:top w:val="none" w:sz="0" w:space="0" w:color="auto"/>
        <w:left w:val="none" w:sz="0" w:space="0" w:color="auto"/>
        <w:bottom w:val="none" w:sz="0" w:space="0" w:color="auto"/>
        <w:right w:val="none" w:sz="0" w:space="0" w:color="auto"/>
      </w:divBdr>
    </w:div>
    <w:div w:id="907224689">
      <w:bodyDiv w:val="1"/>
      <w:marLeft w:val="0"/>
      <w:marRight w:val="0"/>
      <w:marTop w:val="0"/>
      <w:marBottom w:val="0"/>
      <w:divBdr>
        <w:top w:val="none" w:sz="0" w:space="0" w:color="auto"/>
        <w:left w:val="none" w:sz="0" w:space="0" w:color="auto"/>
        <w:bottom w:val="none" w:sz="0" w:space="0" w:color="auto"/>
        <w:right w:val="none" w:sz="0" w:space="0" w:color="auto"/>
      </w:divBdr>
    </w:div>
    <w:div w:id="921530673">
      <w:bodyDiv w:val="1"/>
      <w:marLeft w:val="0"/>
      <w:marRight w:val="0"/>
      <w:marTop w:val="0"/>
      <w:marBottom w:val="0"/>
      <w:divBdr>
        <w:top w:val="none" w:sz="0" w:space="0" w:color="auto"/>
        <w:left w:val="none" w:sz="0" w:space="0" w:color="auto"/>
        <w:bottom w:val="none" w:sz="0" w:space="0" w:color="auto"/>
        <w:right w:val="none" w:sz="0" w:space="0" w:color="auto"/>
      </w:divBdr>
    </w:div>
    <w:div w:id="954945897">
      <w:bodyDiv w:val="1"/>
      <w:marLeft w:val="0"/>
      <w:marRight w:val="0"/>
      <w:marTop w:val="0"/>
      <w:marBottom w:val="0"/>
      <w:divBdr>
        <w:top w:val="none" w:sz="0" w:space="0" w:color="auto"/>
        <w:left w:val="none" w:sz="0" w:space="0" w:color="auto"/>
        <w:bottom w:val="none" w:sz="0" w:space="0" w:color="auto"/>
        <w:right w:val="none" w:sz="0" w:space="0" w:color="auto"/>
      </w:divBdr>
    </w:div>
    <w:div w:id="962733621">
      <w:bodyDiv w:val="1"/>
      <w:marLeft w:val="0"/>
      <w:marRight w:val="0"/>
      <w:marTop w:val="0"/>
      <w:marBottom w:val="0"/>
      <w:divBdr>
        <w:top w:val="none" w:sz="0" w:space="0" w:color="auto"/>
        <w:left w:val="none" w:sz="0" w:space="0" w:color="auto"/>
        <w:bottom w:val="none" w:sz="0" w:space="0" w:color="auto"/>
        <w:right w:val="none" w:sz="0" w:space="0" w:color="auto"/>
      </w:divBdr>
    </w:div>
    <w:div w:id="973367436">
      <w:bodyDiv w:val="1"/>
      <w:marLeft w:val="0"/>
      <w:marRight w:val="0"/>
      <w:marTop w:val="0"/>
      <w:marBottom w:val="0"/>
      <w:divBdr>
        <w:top w:val="none" w:sz="0" w:space="0" w:color="auto"/>
        <w:left w:val="none" w:sz="0" w:space="0" w:color="auto"/>
        <w:bottom w:val="none" w:sz="0" w:space="0" w:color="auto"/>
        <w:right w:val="none" w:sz="0" w:space="0" w:color="auto"/>
      </w:divBdr>
    </w:div>
    <w:div w:id="1007946348">
      <w:bodyDiv w:val="1"/>
      <w:marLeft w:val="0"/>
      <w:marRight w:val="0"/>
      <w:marTop w:val="0"/>
      <w:marBottom w:val="0"/>
      <w:divBdr>
        <w:top w:val="none" w:sz="0" w:space="0" w:color="auto"/>
        <w:left w:val="none" w:sz="0" w:space="0" w:color="auto"/>
        <w:bottom w:val="none" w:sz="0" w:space="0" w:color="auto"/>
        <w:right w:val="none" w:sz="0" w:space="0" w:color="auto"/>
      </w:divBdr>
    </w:div>
    <w:div w:id="1032656802">
      <w:bodyDiv w:val="1"/>
      <w:marLeft w:val="0"/>
      <w:marRight w:val="0"/>
      <w:marTop w:val="0"/>
      <w:marBottom w:val="0"/>
      <w:divBdr>
        <w:top w:val="none" w:sz="0" w:space="0" w:color="auto"/>
        <w:left w:val="none" w:sz="0" w:space="0" w:color="auto"/>
        <w:bottom w:val="none" w:sz="0" w:space="0" w:color="auto"/>
        <w:right w:val="none" w:sz="0" w:space="0" w:color="auto"/>
      </w:divBdr>
    </w:div>
    <w:div w:id="1033534340">
      <w:bodyDiv w:val="1"/>
      <w:marLeft w:val="0"/>
      <w:marRight w:val="0"/>
      <w:marTop w:val="0"/>
      <w:marBottom w:val="0"/>
      <w:divBdr>
        <w:top w:val="none" w:sz="0" w:space="0" w:color="auto"/>
        <w:left w:val="none" w:sz="0" w:space="0" w:color="auto"/>
        <w:bottom w:val="none" w:sz="0" w:space="0" w:color="auto"/>
        <w:right w:val="none" w:sz="0" w:space="0" w:color="auto"/>
      </w:divBdr>
    </w:div>
    <w:div w:id="1066758531">
      <w:bodyDiv w:val="1"/>
      <w:marLeft w:val="0"/>
      <w:marRight w:val="0"/>
      <w:marTop w:val="0"/>
      <w:marBottom w:val="0"/>
      <w:divBdr>
        <w:top w:val="none" w:sz="0" w:space="0" w:color="auto"/>
        <w:left w:val="none" w:sz="0" w:space="0" w:color="auto"/>
        <w:bottom w:val="none" w:sz="0" w:space="0" w:color="auto"/>
        <w:right w:val="none" w:sz="0" w:space="0" w:color="auto"/>
      </w:divBdr>
    </w:div>
    <w:div w:id="1081953248">
      <w:bodyDiv w:val="1"/>
      <w:marLeft w:val="0"/>
      <w:marRight w:val="0"/>
      <w:marTop w:val="0"/>
      <w:marBottom w:val="0"/>
      <w:divBdr>
        <w:top w:val="none" w:sz="0" w:space="0" w:color="auto"/>
        <w:left w:val="none" w:sz="0" w:space="0" w:color="auto"/>
        <w:bottom w:val="none" w:sz="0" w:space="0" w:color="auto"/>
        <w:right w:val="none" w:sz="0" w:space="0" w:color="auto"/>
      </w:divBdr>
    </w:div>
    <w:div w:id="1117987024">
      <w:bodyDiv w:val="1"/>
      <w:marLeft w:val="0"/>
      <w:marRight w:val="0"/>
      <w:marTop w:val="0"/>
      <w:marBottom w:val="0"/>
      <w:divBdr>
        <w:top w:val="none" w:sz="0" w:space="0" w:color="auto"/>
        <w:left w:val="none" w:sz="0" w:space="0" w:color="auto"/>
        <w:bottom w:val="none" w:sz="0" w:space="0" w:color="auto"/>
        <w:right w:val="none" w:sz="0" w:space="0" w:color="auto"/>
      </w:divBdr>
    </w:div>
    <w:div w:id="1132790821">
      <w:bodyDiv w:val="1"/>
      <w:marLeft w:val="0"/>
      <w:marRight w:val="0"/>
      <w:marTop w:val="0"/>
      <w:marBottom w:val="0"/>
      <w:divBdr>
        <w:top w:val="none" w:sz="0" w:space="0" w:color="auto"/>
        <w:left w:val="none" w:sz="0" w:space="0" w:color="auto"/>
        <w:bottom w:val="none" w:sz="0" w:space="0" w:color="auto"/>
        <w:right w:val="none" w:sz="0" w:space="0" w:color="auto"/>
      </w:divBdr>
    </w:div>
    <w:div w:id="1171678996">
      <w:bodyDiv w:val="1"/>
      <w:marLeft w:val="0"/>
      <w:marRight w:val="0"/>
      <w:marTop w:val="0"/>
      <w:marBottom w:val="0"/>
      <w:divBdr>
        <w:top w:val="none" w:sz="0" w:space="0" w:color="auto"/>
        <w:left w:val="none" w:sz="0" w:space="0" w:color="auto"/>
        <w:bottom w:val="none" w:sz="0" w:space="0" w:color="auto"/>
        <w:right w:val="none" w:sz="0" w:space="0" w:color="auto"/>
      </w:divBdr>
    </w:div>
    <w:div w:id="1208418406">
      <w:bodyDiv w:val="1"/>
      <w:marLeft w:val="0"/>
      <w:marRight w:val="0"/>
      <w:marTop w:val="0"/>
      <w:marBottom w:val="0"/>
      <w:divBdr>
        <w:top w:val="none" w:sz="0" w:space="0" w:color="auto"/>
        <w:left w:val="none" w:sz="0" w:space="0" w:color="auto"/>
        <w:bottom w:val="none" w:sz="0" w:space="0" w:color="auto"/>
        <w:right w:val="none" w:sz="0" w:space="0" w:color="auto"/>
      </w:divBdr>
    </w:div>
    <w:div w:id="1238517068">
      <w:bodyDiv w:val="1"/>
      <w:marLeft w:val="0"/>
      <w:marRight w:val="0"/>
      <w:marTop w:val="0"/>
      <w:marBottom w:val="0"/>
      <w:divBdr>
        <w:top w:val="none" w:sz="0" w:space="0" w:color="auto"/>
        <w:left w:val="none" w:sz="0" w:space="0" w:color="auto"/>
        <w:bottom w:val="none" w:sz="0" w:space="0" w:color="auto"/>
        <w:right w:val="none" w:sz="0" w:space="0" w:color="auto"/>
      </w:divBdr>
    </w:div>
    <w:div w:id="1263494969">
      <w:bodyDiv w:val="1"/>
      <w:marLeft w:val="0"/>
      <w:marRight w:val="0"/>
      <w:marTop w:val="0"/>
      <w:marBottom w:val="0"/>
      <w:divBdr>
        <w:top w:val="none" w:sz="0" w:space="0" w:color="auto"/>
        <w:left w:val="none" w:sz="0" w:space="0" w:color="auto"/>
        <w:bottom w:val="none" w:sz="0" w:space="0" w:color="auto"/>
        <w:right w:val="none" w:sz="0" w:space="0" w:color="auto"/>
      </w:divBdr>
    </w:div>
    <w:div w:id="1297954498">
      <w:bodyDiv w:val="1"/>
      <w:marLeft w:val="0"/>
      <w:marRight w:val="0"/>
      <w:marTop w:val="0"/>
      <w:marBottom w:val="0"/>
      <w:divBdr>
        <w:top w:val="none" w:sz="0" w:space="0" w:color="auto"/>
        <w:left w:val="none" w:sz="0" w:space="0" w:color="auto"/>
        <w:bottom w:val="none" w:sz="0" w:space="0" w:color="auto"/>
        <w:right w:val="none" w:sz="0" w:space="0" w:color="auto"/>
      </w:divBdr>
    </w:div>
    <w:div w:id="1302150798">
      <w:bodyDiv w:val="1"/>
      <w:marLeft w:val="0"/>
      <w:marRight w:val="0"/>
      <w:marTop w:val="0"/>
      <w:marBottom w:val="0"/>
      <w:divBdr>
        <w:top w:val="none" w:sz="0" w:space="0" w:color="auto"/>
        <w:left w:val="none" w:sz="0" w:space="0" w:color="auto"/>
        <w:bottom w:val="none" w:sz="0" w:space="0" w:color="auto"/>
        <w:right w:val="none" w:sz="0" w:space="0" w:color="auto"/>
      </w:divBdr>
    </w:div>
    <w:div w:id="1327054330">
      <w:bodyDiv w:val="1"/>
      <w:marLeft w:val="0"/>
      <w:marRight w:val="0"/>
      <w:marTop w:val="0"/>
      <w:marBottom w:val="0"/>
      <w:divBdr>
        <w:top w:val="none" w:sz="0" w:space="0" w:color="auto"/>
        <w:left w:val="none" w:sz="0" w:space="0" w:color="auto"/>
        <w:bottom w:val="none" w:sz="0" w:space="0" w:color="auto"/>
        <w:right w:val="none" w:sz="0" w:space="0" w:color="auto"/>
      </w:divBdr>
    </w:div>
    <w:div w:id="1367635617">
      <w:bodyDiv w:val="1"/>
      <w:marLeft w:val="0"/>
      <w:marRight w:val="0"/>
      <w:marTop w:val="0"/>
      <w:marBottom w:val="0"/>
      <w:divBdr>
        <w:top w:val="none" w:sz="0" w:space="0" w:color="auto"/>
        <w:left w:val="none" w:sz="0" w:space="0" w:color="auto"/>
        <w:bottom w:val="none" w:sz="0" w:space="0" w:color="auto"/>
        <w:right w:val="none" w:sz="0" w:space="0" w:color="auto"/>
      </w:divBdr>
    </w:div>
    <w:div w:id="1374190906">
      <w:bodyDiv w:val="1"/>
      <w:marLeft w:val="0"/>
      <w:marRight w:val="0"/>
      <w:marTop w:val="0"/>
      <w:marBottom w:val="0"/>
      <w:divBdr>
        <w:top w:val="none" w:sz="0" w:space="0" w:color="auto"/>
        <w:left w:val="none" w:sz="0" w:space="0" w:color="auto"/>
        <w:bottom w:val="none" w:sz="0" w:space="0" w:color="auto"/>
        <w:right w:val="none" w:sz="0" w:space="0" w:color="auto"/>
      </w:divBdr>
    </w:div>
    <w:div w:id="1379285930">
      <w:bodyDiv w:val="1"/>
      <w:marLeft w:val="0"/>
      <w:marRight w:val="0"/>
      <w:marTop w:val="0"/>
      <w:marBottom w:val="0"/>
      <w:divBdr>
        <w:top w:val="none" w:sz="0" w:space="0" w:color="auto"/>
        <w:left w:val="none" w:sz="0" w:space="0" w:color="auto"/>
        <w:bottom w:val="none" w:sz="0" w:space="0" w:color="auto"/>
        <w:right w:val="none" w:sz="0" w:space="0" w:color="auto"/>
      </w:divBdr>
    </w:div>
    <w:div w:id="1389499382">
      <w:bodyDiv w:val="1"/>
      <w:marLeft w:val="0"/>
      <w:marRight w:val="0"/>
      <w:marTop w:val="0"/>
      <w:marBottom w:val="0"/>
      <w:divBdr>
        <w:top w:val="none" w:sz="0" w:space="0" w:color="auto"/>
        <w:left w:val="none" w:sz="0" w:space="0" w:color="auto"/>
        <w:bottom w:val="none" w:sz="0" w:space="0" w:color="auto"/>
        <w:right w:val="none" w:sz="0" w:space="0" w:color="auto"/>
      </w:divBdr>
    </w:div>
    <w:div w:id="1409109739">
      <w:bodyDiv w:val="1"/>
      <w:marLeft w:val="0"/>
      <w:marRight w:val="0"/>
      <w:marTop w:val="0"/>
      <w:marBottom w:val="0"/>
      <w:divBdr>
        <w:top w:val="none" w:sz="0" w:space="0" w:color="auto"/>
        <w:left w:val="none" w:sz="0" w:space="0" w:color="auto"/>
        <w:bottom w:val="none" w:sz="0" w:space="0" w:color="auto"/>
        <w:right w:val="none" w:sz="0" w:space="0" w:color="auto"/>
      </w:divBdr>
    </w:div>
    <w:div w:id="1417745848">
      <w:bodyDiv w:val="1"/>
      <w:marLeft w:val="0"/>
      <w:marRight w:val="0"/>
      <w:marTop w:val="0"/>
      <w:marBottom w:val="0"/>
      <w:divBdr>
        <w:top w:val="none" w:sz="0" w:space="0" w:color="auto"/>
        <w:left w:val="none" w:sz="0" w:space="0" w:color="auto"/>
        <w:bottom w:val="none" w:sz="0" w:space="0" w:color="auto"/>
        <w:right w:val="none" w:sz="0" w:space="0" w:color="auto"/>
      </w:divBdr>
    </w:div>
    <w:div w:id="1423378612">
      <w:bodyDiv w:val="1"/>
      <w:marLeft w:val="0"/>
      <w:marRight w:val="0"/>
      <w:marTop w:val="0"/>
      <w:marBottom w:val="0"/>
      <w:divBdr>
        <w:top w:val="none" w:sz="0" w:space="0" w:color="auto"/>
        <w:left w:val="none" w:sz="0" w:space="0" w:color="auto"/>
        <w:bottom w:val="none" w:sz="0" w:space="0" w:color="auto"/>
        <w:right w:val="none" w:sz="0" w:space="0" w:color="auto"/>
      </w:divBdr>
    </w:div>
    <w:div w:id="1442071051">
      <w:bodyDiv w:val="1"/>
      <w:marLeft w:val="0"/>
      <w:marRight w:val="0"/>
      <w:marTop w:val="0"/>
      <w:marBottom w:val="0"/>
      <w:divBdr>
        <w:top w:val="none" w:sz="0" w:space="0" w:color="auto"/>
        <w:left w:val="none" w:sz="0" w:space="0" w:color="auto"/>
        <w:bottom w:val="none" w:sz="0" w:space="0" w:color="auto"/>
        <w:right w:val="none" w:sz="0" w:space="0" w:color="auto"/>
      </w:divBdr>
    </w:div>
    <w:div w:id="1463499999">
      <w:bodyDiv w:val="1"/>
      <w:marLeft w:val="0"/>
      <w:marRight w:val="0"/>
      <w:marTop w:val="0"/>
      <w:marBottom w:val="0"/>
      <w:divBdr>
        <w:top w:val="none" w:sz="0" w:space="0" w:color="auto"/>
        <w:left w:val="none" w:sz="0" w:space="0" w:color="auto"/>
        <w:bottom w:val="none" w:sz="0" w:space="0" w:color="auto"/>
        <w:right w:val="none" w:sz="0" w:space="0" w:color="auto"/>
      </w:divBdr>
    </w:div>
    <w:div w:id="1474563432">
      <w:bodyDiv w:val="1"/>
      <w:marLeft w:val="0"/>
      <w:marRight w:val="0"/>
      <w:marTop w:val="0"/>
      <w:marBottom w:val="0"/>
      <w:divBdr>
        <w:top w:val="none" w:sz="0" w:space="0" w:color="auto"/>
        <w:left w:val="none" w:sz="0" w:space="0" w:color="auto"/>
        <w:bottom w:val="none" w:sz="0" w:space="0" w:color="auto"/>
        <w:right w:val="none" w:sz="0" w:space="0" w:color="auto"/>
      </w:divBdr>
    </w:div>
    <w:div w:id="1505701891">
      <w:bodyDiv w:val="1"/>
      <w:marLeft w:val="0"/>
      <w:marRight w:val="0"/>
      <w:marTop w:val="0"/>
      <w:marBottom w:val="0"/>
      <w:divBdr>
        <w:top w:val="none" w:sz="0" w:space="0" w:color="auto"/>
        <w:left w:val="none" w:sz="0" w:space="0" w:color="auto"/>
        <w:bottom w:val="none" w:sz="0" w:space="0" w:color="auto"/>
        <w:right w:val="none" w:sz="0" w:space="0" w:color="auto"/>
      </w:divBdr>
    </w:div>
    <w:div w:id="1551117053">
      <w:bodyDiv w:val="1"/>
      <w:marLeft w:val="0"/>
      <w:marRight w:val="0"/>
      <w:marTop w:val="0"/>
      <w:marBottom w:val="0"/>
      <w:divBdr>
        <w:top w:val="none" w:sz="0" w:space="0" w:color="auto"/>
        <w:left w:val="none" w:sz="0" w:space="0" w:color="auto"/>
        <w:bottom w:val="none" w:sz="0" w:space="0" w:color="auto"/>
        <w:right w:val="none" w:sz="0" w:space="0" w:color="auto"/>
      </w:divBdr>
    </w:div>
    <w:div w:id="1555695309">
      <w:bodyDiv w:val="1"/>
      <w:marLeft w:val="0"/>
      <w:marRight w:val="0"/>
      <w:marTop w:val="0"/>
      <w:marBottom w:val="0"/>
      <w:divBdr>
        <w:top w:val="none" w:sz="0" w:space="0" w:color="auto"/>
        <w:left w:val="none" w:sz="0" w:space="0" w:color="auto"/>
        <w:bottom w:val="none" w:sz="0" w:space="0" w:color="auto"/>
        <w:right w:val="none" w:sz="0" w:space="0" w:color="auto"/>
      </w:divBdr>
    </w:div>
    <w:div w:id="1560676805">
      <w:bodyDiv w:val="1"/>
      <w:marLeft w:val="0"/>
      <w:marRight w:val="0"/>
      <w:marTop w:val="0"/>
      <w:marBottom w:val="0"/>
      <w:divBdr>
        <w:top w:val="none" w:sz="0" w:space="0" w:color="auto"/>
        <w:left w:val="none" w:sz="0" w:space="0" w:color="auto"/>
        <w:bottom w:val="none" w:sz="0" w:space="0" w:color="auto"/>
        <w:right w:val="none" w:sz="0" w:space="0" w:color="auto"/>
      </w:divBdr>
    </w:div>
    <w:div w:id="1566181835">
      <w:bodyDiv w:val="1"/>
      <w:marLeft w:val="0"/>
      <w:marRight w:val="0"/>
      <w:marTop w:val="0"/>
      <w:marBottom w:val="0"/>
      <w:divBdr>
        <w:top w:val="none" w:sz="0" w:space="0" w:color="auto"/>
        <w:left w:val="none" w:sz="0" w:space="0" w:color="auto"/>
        <w:bottom w:val="none" w:sz="0" w:space="0" w:color="auto"/>
        <w:right w:val="none" w:sz="0" w:space="0" w:color="auto"/>
      </w:divBdr>
    </w:div>
    <w:div w:id="1566257250">
      <w:bodyDiv w:val="1"/>
      <w:marLeft w:val="0"/>
      <w:marRight w:val="0"/>
      <w:marTop w:val="0"/>
      <w:marBottom w:val="0"/>
      <w:divBdr>
        <w:top w:val="none" w:sz="0" w:space="0" w:color="auto"/>
        <w:left w:val="none" w:sz="0" w:space="0" w:color="auto"/>
        <w:bottom w:val="none" w:sz="0" w:space="0" w:color="auto"/>
        <w:right w:val="none" w:sz="0" w:space="0" w:color="auto"/>
      </w:divBdr>
    </w:div>
    <w:div w:id="1611624626">
      <w:bodyDiv w:val="1"/>
      <w:marLeft w:val="0"/>
      <w:marRight w:val="0"/>
      <w:marTop w:val="0"/>
      <w:marBottom w:val="0"/>
      <w:divBdr>
        <w:top w:val="none" w:sz="0" w:space="0" w:color="auto"/>
        <w:left w:val="none" w:sz="0" w:space="0" w:color="auto"/>
        <w:bottom w:val="none" w:sz="0" w:space="0" w:color="auto"/>
        <w:right w:val="none" w:sz="0" w:space="0" w:color="auto"/>
      </w:divBdr>
    </w:div>
    <w:div w:id="1635790379">
      <w:bodyDiv w:val="1"/>
      <w:marLeft w:val="0"/>
      <w:marRight w:val="0"/>
      <w:marTop w:val="0"/>
      <w:marBottom w:val="0"/>
      <w:divBdr>
        <w:top w:val="none" w:sz="0" w:space="0" w:color="auto"/>
        <w:left w:val="none" w:sz="0" w:space="0" w:color="auto"/>
        <w:bottom w:val="none" w:sz="0" w:space="0" w:color="auto"/>
        <w:right w:val="none" w:sz="0" w:space="0" w:color="auto"/>
      </w:divBdr>
    </w:div>
    <w:div w:id="1638338034">
      <w:bodyDiv w:val="1"/>
      <w:marLeft w:val="0"/>
      <w:marRight w:val="0"/>
      <w:marTop w:val="0"/>
      <w:marBottom w:val="0"/>
      <w:divBdr>
        <w:top w:val="none" w:sz="0" w:space="0" w:color="auto"/>
        <w:left w:val="none" w:sz="0" w:space="0" w:color="auto"/>
        <w:bottom w:val="none" w:sz="0" w:space="0" w:color="auto"/>
        <w:right w:val="none" w:sz="0" w:space="0" w:color="auto"/>
      </w:divBdr>
    </w:div>
    <w:div w:id="1640374808">
      <w:bodyDiv w:val="1"/>
      <w:marLeft w:val="0"/>
      <w:marRight w:val="0"/>
      <w:marTop w:val="0"/>
      <w:marBottom w:val="0"/>
      <w:divBdr>
        <w:top w:val="none" w:sz="0" w:space="0" w:color="auto"/>
        <w:left w:val="none" w:sz="0" w:space="0" w:color="auto"/>
        <w:bottom w:val="none" w:sz="0" w:space="0" w:color="auto"/>
        <w:right w:val="none" w:sz="0" w:space="0" w:color="auto"/>
      </w:divBdr>
    </w:div>
    <w:div w:id="1661806841">
      <w:bodyDiv w:val="1"/>
      <w:marLeft w:val="0"/>
      <w:marRight w:val="0"/>
      <w:marTop w:val="0"/>
      <w:marBottom w:val="0"/>
      <w:divBdr>
        <w:top w:val="none" w:sz="0" w:space="0" w:color="auto"/>
        <w:left w:val="none" w:sz="0" w:space="0" w:color="auto"/>
        <w:bottom w:val="none" w:sz="0" w:space="0" w:color="auto"/>
        <w:right w:val="none" w:sz="0" w:space="0" w:color="auto"/>
      </w:divBdr>
    </w:div>
    <w:div w:id="1686205153">
      <w:bodyDiv w:val="1"/>
      <w:marLeft w:val="0"/>
      <w:marRight w:val="0"/>
      <w:marTop w:val="0"/>
      <w:marBottom w:val="0"/>
      <w:divBdr>
        <w:top w:val="none" w:sz="0" w:space="0" w:color="auto"/>
        <w:left w:val="none" w:sz="0" w:space="0" w:color="auto"/>
        <w:bottom w:val="none" w:sz="0" w:space="0" w:color="auto"/>
        <w:right w:val="none" w:sz="0" w:space="0" w:color="auto"/>
      </w:divBdr>
    </w:div>
    <w:div w:id="1699889757">
      <w:bodyDiv w:val="1"/>
      <w:marLeft w:val="0"/>
      <w:marRight w:val="0"/>
      <w:marTop w:val="0"/>
      <w:marBottom w:val="0"/>
      <w:divBdr>
        <w:top w:val="none" w:sz="0" w:space="0" w:color="auto"/>
        <w:left w:val="none" w:sz="0" w:space="0" w:color="auto"/>
        <w:bottom w:val="none" w:sz="0" w:space="0" w:color="auto"/>
        <w:right w:val="none" w:sz="0" w:space="0" w:color="auto"/>
      </w:divBdr>
    </w:div>
    <w:div w:id="1713964575">
      <w:bodyDiv w:val="1"/>
      <w:marLeft w:val="0"/>
      <w:marRight w:val="0"/>
      <w:marTop w:val="0"/>
      <w:marBottom w:val="0"/>
      <w:divBdr>
        <w:top w:val="none" w:sz="0" w:space="0" w:color="auto"/>
        <w:left w:val="none" w:sz="0" w:space="0" w:color="auto"/>
        <w:bottom w:val="none" w:sz="0" w:space="0" w:color="auto"/>
        <w:right w:val="none" w:sz="0" w:space="0" w:color="auto"/>
      </w:divBdr>
    </w:div>
    <w:div w:id="1724792403">
      <w:bodyDiv w:val="1"/>
      <w:marLeft w:val="0"/>
      <w:marRight w:val="0"/>
      <w:marTop w:val="0"/>
      <w:marBottom w:val="0"/>
      <w:divBdr>
        <w:top w:val="none" w:sz="0" w:space="0" w:color="auto"/>
        <w:left w:val="none" w:sz="0" w:space="0" w:color="auto"/>
        <w:bottom w:val="none" w:sz="0" w:space="0" w:color="auto"/>
        <w:right w:val="none" w:sz="0" w:space="0" w:color="auto"/>
      </w:divBdr>
    </w:div>
    <w:div w:id="1780368424">
      <w:bodyDiv w:val="1"/>
      <w:marLeft w:val="0"/>
      <w:marRight w:val="0"/>
      <w:marTop w:val="0"/>
      <w:marBottom w:val="0"/>
      <w:divBdr>
        <w:top w:val="none" w:sz="0" w:space="0" w:color="auto"/>
        <w:left w:val="none" w:sz="0" w:space="0" w:color="auto"/>
        <w:bottom w:val="none" w:sz="0" w:space="0" w:color="auto"/>
        <w:right w:val="none" w:sz="0" w:space="0" w:color="auto"/>
      </w:divBdr>
    </w:div>
    <w:div w:id="1787969432">
      <w:bodyDiv w:val="1"/>
      <w:marLeft w:val="0"/>
      <w:marRight w:val="0"/>
      <w:marTop w:val="0"/>
      <w:marBottom w:val="0"/>
      <w:divBdr>
        <w:top w:val="none" w:sz="0" w:space="0" w:color="auto"/>
        <w:left w:val="none" w:sz="0" w:space="0" w:color="auto"/>
        <w:bottom w:val="none" w:sz="0" w:space="0" w:color="auto"/>
        <w:right w:val="none" w:sz="0" w:space="0" w:color="auto"/>
      </w:divBdr>
    </w:div>
    <w:div w:id="1800490293">
      <w:bodyDiv w:val="1"/>
      <w:marLeft w:val="0"/>
      <w:marRight w:val="0"/>
      <w:marTop w:val="0"/>
      <w:marBottom w:val="0"/>
      <w:divBdr>
        <w:top w:val="none" w:sz="0" w:space="0" w:color="auto"/>
        <w:left w:val="none" w:sz="0" w:space="0" w:color="auto"/>
        <w:bottom w:val="none" w:sz="0" w:space="0" w:color="auto"/>
        <w:right w:val="none" w:sz="0" w:space="0" w:color="auto"/>
      </w:divBdr>
    </w:div>
    <w:div w:id="1814325733">
      <w:bodyDiv w:val="1"/>
      <w:marLeft w:val="0"/>
      <w:marRight w:val="0"/>
      <w:marTop w:val="0"/>
      <w:marBottom w:val="0"/>
      <w:divBdr>
        <w:top w:val="none" w:sz="0" w:space="0" w:color="auto"/>
        <w:left w:val="none" w:sz="0" w:space="0" w:color="auto"/>
        <w:bottom w:val="none" w:sz="0" w:space="0" w:color="auto"/>
        <w:right w:val="none" w:sz="0" w:space="0" w:color="auto"/>
      </w:divBdr>
    </w:div>
    <w:div w:id="1815097131">
      <w:bodyDiv w:val="1"/>
      <w:marLeft w:val="0"/>
      <w:marRight w:val="0"/>
      <w:marTop w:val="0"/>
      <w:marBottom w:val="0"/>
      <w:divBdr>
        <w:top w:val="none" w:sz="0" w:space="0" w:color="auto"/>
        <w:left w:val="none" w:sz="0" w:space="0" w:color="auto"/>
        <w:bottom w:val="none" w:sz="0" w:space="0" w:color="auto"/>
        <w:right w:val="none" w:sz="0" w:space="0" w:color="auto"/>
      </w:divBdr>
    </w:div>
    <w:div w:id="1817409794">
      <w:bodyDiv w:val="1"/>
      <w:marLeft w:val="0"/>
      <w:marRight w:val="0"/>
      <w:marTop w:val="0"/>
      <w:marBottom w:val="0"/>
      <w:divBdr>
        <w:top w:val="none" w:sz="0" w:space="0" w:color="auto"/>
        <w:left w:val="none" w:sz="0" w:space="0" w:color="auto"/>
        <w:bottom w:val="none" w:sz="0" w:space="0" w:color="auto"/>
        <w:right w:val="none" w:sz="0" w:space="0" w:color="auto"/>
      </w:divBdr>
    </w:div>
    <w:div w:id="1842623876">
      <w:bodyDiv w:val="1"/>
      <w:marLeft w:val="0"/>
      <w:marRight w:val="0"/>
      <w:marTop w:val="0"/>
      <w:marBottom w:val="0"/>
      <w:divBdr>
        <w:top w:val="none" w:sz="0" w:space="0" w:color="auto"/>
        <w:left w:val="none" w:sz="0" w:space="0" w:color="auto"/>
        <w:bottom w:val="none" w:sz="0" w:space="0" w:color="auto"/>
        <w:right w:val="none" w:sz="0" w:space="0" w:color="auto"/>
      </w:divBdr>
    </w:div>
    <w:div w:id="1845313601">
      <w:bodyDiv w:val="1"/>
      <w:marLeft w:val="0"/>
      <w:marRight w:val="0"/>
      <w:marTop w:val="0"/>
      <w:marBottom w:val="0"/>
      <w:divBdr>
        <w:top w:val="none" w:sz="0" w:space="0" w:color="auto"/>
        <w:left w:val="none" w:sz="0" w:space="0" w:color="auto"/>
        <w:bottom w:val="none" w:sz="0" w:space="0" w:color="auto"/>
        <w:right w:val="none" w:sz="0" w:space="0" w:color="auto"/>
      </w:divBdr>
    </w:div>
    <w:div w:id="1899199332">
      <w:bodyDiv w:val="1"/>
      <w:marLeft w:val="0"/>
      <w:marRight w:val="0"/>
      <w:marTop w:val="0"/>
      <w:marBottom w:val="0"/>
      <w:divBdr>
        <w:top w:val="none" w:sz="0" w:space="0" w:color="auto"/>
        <w:left w:val="none" w:sz="0" w:space="0" w:color="auto"/>
        <w:bottom w:val="none" w:sz="0" w:space="0" w:color="auto"/>
        <w:right w:val="none" w:sz="0" w:space="0" w:color="auto"/>
      </w:divBdr>
    </w:div>
    <w:div w:id="1917981314">
      <w:bodyDiv w:val="1"/>
      <w:marLeft w:val="0"/>
      <w:marRight w:val="0"/>
      <w:marTop w:val="0"/>
      <w:marBottom w:val="0"/>
      <w:divBdr>
        <w:top w:val="none" w:sz="0" w:space="0" w:color="auto"/>
        <w:left w:val="none" w:sz="0" w:space="0" w:color="auto"/>
        <w:bottom w:val="none" w:sz="0" w:space="0" w:color="auto"/>
        <w:right w:val="none" w:sz="0" w:space="0" w:color="auto"/>
      </w:divBdr>
    </w:div>
    <w:div w:id="1931574944">
      <w:bodyDiv w:val="1"/>
      <w:marLeft w:val="0"/>
      <w:marRight w:val="0"/>
      <w:marTop w:val="0"/>
      <w:marBottom w:val="0"/>
      <w:divBdr>
        <w:top w:val="none" w:sz="0" w:space="0" w:color="auto"/>
        <w:left w:val="none" w:sz="0" w:space="0" w:color="auto"/>
        <w:bottom w:val="none" w:sz="0" w:space="0" w:color="auto"/>
        <w:right w:val="none" w:sz="0" w:space="0" w:color="auto"/>
      </w:divBdr>
    </w:div>
    <w:div w:id="1932737363">
      <w:bodyDiv w:val="1"/>
      <w:marLeft w:val="0"/>
      <w:marRight w:val="0"/>
      <w:marTop w:val="0"/>
      <w:marBottom w:val="0"/>
      <w:divBdr>
        <w:top w:val="none" w:sz="0" w:space="0" w:color="auto"/>
        <w:left w:val="none" w:sz="0" w:space="0" w:color="auto"/>
        <w:bottom w:val="none" w:sz="0" w:space="0" w:color="auto"/>
        <w:right w:val="none" w:sz="0" w:space="0" w:color="auto"/>
      </w:divBdr>
    </w:div>
    <w:div w:id="1939291429">
      <w:bodyDiv w:val="1"/>
      <w:marLeft w:val="0"/>
      <w:marRight w:val="0"/>
      <w:marTop w:val="0"/>
      <w:marBottom w:val="0"/>
      <w:divBdr>
        <w:top w:val="none" w:sz="0" w:space="0" w:color="auto"/>
        <w:left w:val="none" w:sz="0" w:space="0" w:color="auto"/>
        <w:bottom w:val="none" w:sz="0" w:space="0" w:color="auto"/>
        <w:right w:val="none" w:sz="0" w:space="0" w:color="auto"/>
      </w:divBdr>
    </w:div>
    <w:div w:id="1980573662">
      <w:bodyDiv w:val="1"/>
      <w:marLeft w:val="0"/>
      <w:marRight w:val="0"/>
      <w:marTop w:val="0"/>
      <w:marBottom w:val="0"/>
      <w:divBdr>
        <w:top w:val="none" w:sz="0" w:space="0" w:color="auto"/>
        <w:left w:val="none" w:sz="0" w:space="0" w:color="auto"/>
        <w:bottom w:val="none" w:sz="0" w:space="0" w:color="auto"/>
        <w:right w:val="none" w:sz="0" w:space="0" w:color="auto"/>
      </w:divBdr>
    </w:div>
    <w:div w:id="1996257773">
      <w:bodyDiv w:val="1"/>
      <w:marLeft w:val="0"/>
      <w:marRight w:val="0"/>
      <w:marTop w:val="0"/>
      <w:marBottom w:val="0"/>
      <w:divBdr>
        <w:top w:val="none" w:sz="0" w:space="0" w:color="auto"/>
        <w:left w:val="none" w:sz="0" w:space="0" w:color="auto"/>
        <w:bottom w:val="none" w:sz="0" w:space="0" w:color="auto"/>
        <w:right w:val="none" w:sz="0" w:space="0" w:color="auto"/>
      </w:divBdr>
    </w:div>
    <w:div w:id="1998531170">
      <w:bodyDiv w:val="1"/>
      <w:marLeft w:val="0"/>
      <w:marRight w:val="0"/>
      <w:marTop w:val="0"/>
      <w:marBottom w:val="0"/>
      <w:divBdr>
        <w:top w:val="none" w:sz="0" w:space="0" w:color="auto"/>
        <w:left w:val="none" w:sz="0" w:space="0" w:color="auto"/>
        <w:bottom w:val="none" w:sz="0" w:space="0" w:color="auto"/>
        <w:right w:val="none" w:sz="0" w:space="0" w:color="auto"/>
      </w:divBdr>
    </w:div>
    <w:div w:id="2058773279">
      <w:bodyDiv w:val="1"/>
      <w:marLeft w:val="0"/>
      <w:marRight w:val="0"/>
      <w:marTop w:val="0"/>
      <w:marBottom w:val="0"/>
      <w:divBdr>
        <w:top w:val="none" w:sz="0" w:space="0" w:color="auto"/>
        <w:left w:val="none" w:sz="0" w:space="0" w:color="auto"/>
        <w:bottom w:val="none" w:sz="0" w:space="0" w:color="auto"/>
        <w:right w:val="none" w:sz="0" w:space="0" w:color="auto"/>
      </w:divBdr>
    </w:div>
    <w:div w:id="2080251342">
      <w:bodyDiv w:val="1"/>
      <w:marLeft w:val="0"/>
      <w:marRight w:val="0"/>
      <w:marTop w:val="0"/>
      <w:marBottom w:val="0"/>
      <w:divBdr>
        <w:top w:val="none" w:sz="0" w:space="0" w:color="auto"/>
        <w:left w:val="none" w:sz="0" w:space="0" w:color="auto"/>
        <w:bottom w:val="none" w:sz="0" w:space="0" w:color="auto"/>
        <w:right w:val="none" w:sz="0" w:space="0" w:color="auto"/>
      </w:divBdr>
    </w:div>
    <w:div w:id="2083406121">
      <w:bodyDiv w:val="1"/>
      <w:marLeft w:val="0"/>
      <w:marRight w:val="0"/>
      <w:marTop w:val="0"/>
      <w:marBottom w:val="0"/>
      <w:divBdr>
        <w:top w:val="none" w:sz="0" w:space="0" w:color="auto"/>
        <w:left w:val="none" w:sz="0" w:space="0" w:color="auto"/>
        <w:bottom w:val="none" w:sz="0" w:space="0" w:color="auto"/>
        <w:right w:val="none" w:sz="0" w:space="0" w:color="auto"/>
      </w:divBdr>
    </w:div>
    <w:div w:id="2085879839">
      <w:bodyDiv w:val="1"/>
      <w:marLeft w:val="0"/>
      <w:marRight w:val="0"/>
      <w:marTop w:val="0"/>
      <w:marBottom w:val="0"/>
      <w:divBdr>
        <w:top w:val="none" w:sz="0" w:space="0" w:color="auto"/>
        <w:left w:val="none" w:sz="0" w:space="0" w:color="auto"/>
        <w:bottom w:val="none" w:sz="0" w:space="0" w:color="auto"/>
        <w:right w:val="none" w:sz="0" w:space="0" w:color="auto"/>
      </w:divBdr>
    </w:div>
    <w:div w:id="2086415529">
      <w:bodyDiv w:val="1"/>
      <w:marLeft w:val="0"/>
      <w:marRight w:val="0"/>
      <w:marTop w:val="0"/>
      <w:marBottom w:val="0"/>
      <w:divBdr>
        <w:top w:val="none" w:sz="0" w:space="0" w:color="auto"/>
        <w:left w:val="none" w:sz="0" w:space="0" w:color="auto"/>
        <w:bottom w:val="none" w:sz="0" w:space="0" w:color="auto"/>
        <w:right w:val="none" w:sz="0" w:space="0" w:color="auto"/>
      </w:divBdr>
    </w:div>
    <w:div w:id="2110080481">
      <w:bodyDiv w:val="1"/>
      <w:marLeft w:val="0"/>
      <w:marRight w:val="0"/>
      <w:marTop w:val="0"/>
      <w:marBottom w:val="0"/>
      <w:divBdr>
        <w:top w:val="none" w:sz="0" w:space="0" w:color="auto"/>
        <w:left w:val="none" w:sz="0" w:space="0" w:color="auto"/>
        <w:bottom w:val="none" w:sz="0" w:space="0" w:color="auto"/>
        <w:right w:val="none" w:sz="0" w:space="0" w:color="auto"/>
      </w:divBdr>
    </w:div>
    <w:div w:id="2126734101">
      <w:bodyDiv w:val="1"/>
      <w:marLeft w:val="0"/>
      <w:marRight w:val="0"/>
      <w:marTop w:val="0"/>
      <w:marBottom w:val="0"/>
      <w:divBdr>
        <w:top w:val="none" w:sz="0" w:space="0" w:color="auto"/>
        <w:left w:val="none" w:sz="0" w:space="0" w:color="auto"/>
        <w:bottom w:val="none" w:sz="0" w:space="0" w:color="auto"/>
        <w:right w:val="none" w:sz="0" w:space="0" w:color="auto"/>
      </w:divBdr>
    </w:div>
    <w:div w:id="214265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www.ombudsman.parliament.nz/agency-assistance/te-puna-matauranga" TargetMode="External"/><Relationship Id="rId26" Type="http://schemas.openxmlformats.org/officeDocument/2006/relationships/chart" Target="charts/chart4.xml"/><Relationship Id="rId39" Type="http://schemas.openxmlformats.org/officeDocument/2006/relationships/hyperlink" Target="https://www.ombudsman.parliament.nz/resources/off-the-record" TargetMode="External"/><Relationship Id="rId21" Type="http://schemas.openxmlformats.org/officeDocument/2006/relationships/hyperlink" Target="https://www.ombudsman.parliament.nz/resources/category-3-voluntary-buy-out-offers-properties-affected-cyclone-gabrielle" TargetMode="External"/><Relationship Id="rId34" Type="http://schemas.openxmlformats.org/officeDocument/2006/relationships/hyperlink" Target="https://www.nau-mai.nz/" TargetMode="External"/><Relationship Id="rId42" Type="http://schemas.openxmlformats.org/officeDocument/2006/relationships/chart" Target="charts/chart7.xml"/><Relationship Id="rId47" Type="http://schemas.openxmlformats.org/officeDocument/2006/relationships/hyperlink" Target="https://www.ombudsman.parliament.nz/resources/opcat-aged-care-monitoring-chief-ombudsmans-observations-2021-2024" TargetMode="External"/><Relationship Id="rId50" Type="http://schemas.openxmlformats.org/officeDocument/2006/relationships/image" Target="media/image5.jpeg"/><Relationship Id="rId55" Type="http://schemas.openxmlformats.org/officeDocument/2006/relationships/hyperlink" Target="https://www.treasury.govt.nz/publications/estimates/vote-ombudsmen-finance-and-government-administration-sector-estimates-appropriations-2025-2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mbudsman.parliament.nz/about-ombudsman/te-ropu-kaiarahi-hauatanga" TargetMode="External"/><Relationship Id="rId29" Type="http://schemas.openxmlformats.org/officeDocument/2006/relationships/hyperlink" Target="https://www.ombudsman.parliament.nz/resources/ministry-educations-process-considering-claims-abuse-care" TargetMode="External"/><Relationship Id="rId11" Type="http://schemas.openxmlformats.org/officeDocument/2006/relationships/chart" Target="charts/chart1.xml"/><Relationship Id="rId24" Type="http://schemas.openxmlformats.org/officeDocument/2006/relationships/chart" Target="charts/chart3.xml"/><Relationship Id="rId32" Type="http://schemas.openxmlformats.org/officeDocument/2006/relationships/hyperlink" Target="https://www.nau-mai.nz/" TargetMode="External"/><Relationship Id="rId37" Type="http://schemas.openxmlformats.org/officeDocument/2006/relationships/hyperlink" Target="https://www.ombudsman.parliament.nz/resources/record-follow-report" TargetMode="External"/><Relationship Id="rId40" Type="http://schemas.openxmlformats.org/officeDocument/2006/relationships/hyperlink" Target="https://www.ombudsman.parliament.nz/resources/insight-briefing-inappropriate-placement-individuals-complex-mental-health-needs" TargetMode="External"/><Relationship Id="rId45" Type="http://schemas.openxmlformats.org/officeDocument/2006/relationships/hyperlink" Target="https://www.ombudsman.parliament.nz/resources/guidance-receivers" TargetMode="External"/><Relationship Id="rId53" Type="http://schemas.openxmlformats.org/officeDocument/2006/relationships/image" Target="media/image8.emf"/><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ombudsman.parliament.nz/resources/complaint-handling-process-overview" TargetMode="External"/><Relationship Id="rId14" Type="http://schemas.openxmlformats.org/officeDocument/2006/relationships/hyperlink" Target="https://www.ombudsman.parliament.nz/resources/whistle-blower-discloses-acc-manipulated-data-official-information-requests" TargetMode="External"/><Relationship Id="rId22" Type="http://schemas.openxmlformats.org/officeDocument/2006/relationships/hyperlink" Target="https://www.ombudsman.parliament.nz/resources/information-relating-smith-v-fonterra-proceedings" TargetMode="External"/><Relationship Id="rId27" Type="http://schemas.openxmlformats.org/officeDocument/2006/relationships/hyperlink" Target="https://www.ombudsman.parliament.nz/news/mixed-findings-ombudsmans-latest-investigation-oia-practices-govt-agencies" TargetMode="External"/><Relationship Id="rId30" Type="http://schemas.openxmlformats.org/officeDocument/2006/relationships/chart" Target="charts/chart5.xml"/><Relationship Id="rId35" Type="http://schemas.openxmlformats.org/officeDocument/2006/relationships/chart" Target="charts/chart6.xml"/><Relationship Id="rId43" Type="http://schemas.openxmlformats.org/officeDocument/2006/relationships/hyperlink" Target="https://www.ombudsman.parliament.nz/resources/whistle-blower-discloses-acc-manipulated-data-official-information-requests" TargetMode="External"/><Relationship Id="rId48" Type="http://schemas.openxmlformats.org/officeDocument/2006/relationships/hyperlink" Target="https://www.ombudsman.parliament.nz/resources?f%5B0%5D=category%3A2717" TargetMode="External"/><Relationship Id="rId56" Type="http://schemas.openxmlformats.org/officeDocument/2006/relationships/header" Target="header1.xml"/><Relationship Id="rId8" Type="http://schemas.openxmlformats.org/officeDocument/2006/relationships/image" Target="media/image1.jpg"/><Relationship Id="rId51" Type="http://schemas.openxmlformats.org/officeDocument/2006/relationships/image" Target="media/image6.png"/><Relationship Id="rId3" Type="http://schemas.openxmlformats.org/officeDocument/2006/relationships/styles" Target="styles.xml"/><Relationship Id="rId12" Type="http://schemas.openxmlformats.org/officeDocument/2006/relationships/hyperlink" Target="https://www.ombudsman.parliament.nz/resources/chief-ombudsmans-strategic-intentions-2025-2030" TargetMode="External"/><Relationship Id="rId17" Type="http://schemas.openxmlformats.org/officeDocument/2006/relationships/chart" Target="charts/chart2.xml"/><Relationship Id="rId25" Type="http://schemas.openxmlformats.org/officeDocument/2006/relationships/hyperlink" Target="https://www.ombudsman.parliament.nz/news/revised-approach-official-information-delay-complaints" TargetMode="External"/><Relationship Id="rId33" Type="http://schemas.openxmlformats.org/officeDocument/2006/relationships/hyperlink" Target="https://nau-mai.nz/get-help/story-when-things-dont-go-right" TargetMode="External"/><Relationship Id="rId38" Type="http://schemas.openxmlformats.org/officeDocument/2006/relationships/hyperlink" Target="https://www.ombudsman.parliament.nz/resources/off-the-record" TargetMode="External"/><Relationship Id="rId46" Type="http://schemas.openxmlformats.org/officeDocument/2006/relationships/hyperlink" Target="https://www.ombudsman.parliament.nz/resources/overview-protected-disclosures-protection-whistleblowers-act-2022" TargetMode="External"/><Relationship Id="rId59" Type="http://schemas.openxmlformats.org/officeDocument/2006/relationships/header" Target="header3.xml"/><Relationship Id="rId20" Type="http://schemas.openxmlformats.org/officeDocument/2006/relationships/hyperlink" Target="https://www.ombudsman.parliament.nz/resources/care-or-custody-providers-and-oia" TargetMode="External"/><Relationship Id="rId41" Type="http://schemas.openxmlformats.org/officeDocument/2006/relationships/hyperlink" Target="https://www.ombudsman.parliament.nz/resources/insight-briefing-disproportionality-wahine-maori-criminal-justice-system" TargetMode="External"/><Relationship Id="rId54" Type="http://schemas.openxmlformats.org/officeDocument/2006/relationships/hyperlink" Target="https://www.ombudsman.parliament.nz/resources/chief-ombudsmans-strategic-intentions-2025-203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ombudsman.parliament.nz/about-ombudsman/puhara-mana-tangata" TargetMode="External"/><Relationship Id="rId23" Type="http://schemas.openxmlformats.org/officeDocument/2006/relationships/hyperlink" Target="https://www.ombudsman.parliament.nz/resources" TargetMode="External"/><Relationship Id="rId28" Type="http://schemas.openxmlformats.org/officeDocument/2006/relationships/hyperlink" Target="https://www.ombudsman.parliament.nz/resources/open-business-report-chief-ombudsmans-investigation-local-council-meetings-and-workshops" TargetMode="External"/><Relationship Id="rId36" Type="http://schemas.openxmlformats.org/officeDocument/2006/relationships/hyperlink" Target="https://www.ombudsman.parliament.nz/resources/children-care-complaints-ombudsman-2019-2023" TargetMode="External"/><Relationship Id="rId49" Type="http://schemas.openxmlformats.org/officeDocument/2006/relationships/hyperlink" Target="https://www.ombudsman.parliament.nz/resources/accessibility-strategy-action-plan" TargetMode="External"/><Relationship Id="rId57" Type="http://schemas.openxmlformats.org/officeDocument/2006/relationships/footer" Target="footer1.xml"/><Relationship Id="rId10" Type="http://schemas.openxmlformats.org/officeDocument/2006/relationships/image" Target="media/image3.jpeg"/><Relationship Id="rId31" Type="http://schemas.openxmlformats.org/officeDocument/2006/relationships/hyperlink" Target="https://www.ombudsman.parliament.nz/resources?f%5B0%5D=category%3A1978" TargetMode="External"/><Relationship Id="rId44" Type="http://schemas.openxmlformats.org/officeDocument/2006/relationships/chart" Target="charts/chart8.xml"/><Relationship Id="rId52" Type="http://schemas.openxmlformats.org/officeDocument/2006/relationships/image" Target="media/image7.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parliament.nz/resources/chief-ombudsmans-strategic-intentions-2025-2030" TargetMode="External"/><Relationship Id="rId3" Type="http://schemas.openxmlformats.org/officeDocument/2006/relationships/hyperlink" Target="https://rightstracker.org/page/methodology?tab=report-physint&amp;iso=NZL" TargetMode="External"/><Relationship Id="rId7" Type="http://schemas.openxmlformats.org/officeDocument/2006/relationships/hyperlink" Target="https://www.ombudsman.parliament.nz/resources/chief-ombudsmans-strategic-intentions-2025-2030" TargetMode="External"/><Relationship Id="rId2" Type="http://schemas.openxmlformats.org/officeDocument/2006/relationships/hyperlink" Target="https://humanrightsmeasurement.org/" TargetMode="External"/><Relationship Id="rId1" Type="http://schemas.openxmlformats.org/officeDocument/2006/relationships/hyperlink" Target="https://www.publicservice.govt.nz/research-and-data/kiwis-count/" TargetMode="External"/><Relationship Id="rId6" Type="http://schemas.openxmlformats.org/officeDocument/2006/relationships/hyperlink" Target="https://www.ombudsman.parliament.nz/resources/chief-ombudsmans-strategic-intentions-2025-2030" TargetMode="External"/><Relationship Id="rId5" Type="http://schemas.openxmlformats.org/officeDocument/2006/relationships/hyperlink" Target="https://www.transparency.org/en/cpi" TargetMode="External"/><Relationship Id="rId4" Type="http://schemas.openxmlformats.org/officeDocument/2006/relationships/hyperlink" Target="https://www.ombudsman.parliament.nz/resources/chief-ombudsmans-strategic-intentions-2025-2030" TargetMode="External"/><Relationship Id="rId9" Type="http://schemas.openxmlformats.org/officeDocument/2006/relationships/hyperlink" Target="https://www.ombudsman.parliament.nz/resources/chief-ombudsmans-strategic-intentions-2025-203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oleObject" Target="https://wakacs.ooto.ombudsmen.govt.nz/otcsdav/nodes/14997028/AR%20viz%20draf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wakacs.ooto.ombudsmen.govt.nz/otcsdav/nodes/14997028/AR%20viz%20draf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wakacs.ooto.ombudsmen.govt.nz/otcsdav/nodes/14997028/AR%20viz%20draft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wakacs.ooto.ombudsmen.govt.nz/otcsdav/nodes/14997028/AR%20viz%20drafts.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Complaints</a:t>
            </a:r>
            <a:r>
              <a:rPr lang="en-NZ" baseline="0"/>
              <a:t> received and completed over ten years</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Z"/>
        </a:p>
      </c:txPr>
    </c:title>
    <c:autoTitleDeleted val="0"/>
    <c:plotArea>
      <c:layout/>
      <c:lineChart>
        <c:grouping val="standard"/>
        <c:varyColors val="0"/>
        <c:ser>
          <c:idx val="1"/>
          <c:order val="0"/>
          <c:tx>
            <c:strRef>
              <c:f>Clearance!$A$35</c:f>
              <c:strCache>
                <c:ptCount val="1"/>
                <c:pt idx="0">
                  <c:v>Completed</c:v>
                </c:pt>
              </c:strCache>
            </c:strRef>
          </c:tx>
          <c:spPr>
            <a:ln w="28575" cap="rnd">
              <a:solidFill>
                <a:schemeClr val="accent2"/>
              </a:solidFill>
              <a:round/>
            </a:ln>
            <a:effectLst/>
          </c:spPr>
          <c:marker>
            <c:symbol val="none"/>
          </c:marker>
          <c:cat>
            <c:strRef>
              <c:f>Clearance!$B$33:$K$33</c:f>
              <c:strCache>
                <c:ptCount val="10"/>
                <c:pt idx="0">
                  <c:v>16-17</c:v>
                </c:pt>
                <c:pt idx="1">
                  <c:v>17-18</c:v>
                </c:pt>
                <c:pt idx="2">
                  <c:v>18-19</c:v>
                </c:pt>
                <c:pt idx="3">
                  <c:v>19-20</c:v>
                </c:pt>
                <c:pt idx="4">
                  <c:v>20-21</c:v>
                </c:pt>
                <c:pt idx="5">
                  <c:v>21-22</c:v>
                </c:pt>
                <c:pt idx="6">
                  <c:v>22-23</c:v>
                </c:pt>
                <c:pt idx="7">
                  <c:v>23-24</c:v>
                </c:pt>
                <c:pt idx="8">
                  <c:v>24-25</c:v>
                </c:pt>
                <c:pt idx="9">
                  <c:v>25-26</c:v>
                </c:pt>
              </c:strCache>
            </c:strRef>
          </c:cat>
          <c:val>
            <c:numRef>
              <c:f>Clearance!$B$35:$K$35</c:f>
              <c:numCache>
                <c:formatCode>General</c:formatCode>
                <c:ptCount val="10"/>
                <c:pt idx="0">
                  <c:v>3918</c:v>
                </c:pt>
                <c:pt idx="1">
                  <c:v>4340</c:v>
                </c:pt>
                <c:pt idx="2">
                  <c:v>4552</c:v>
                </c:pt>
                <c:pt idx="3">
                  <c:v>4389</c:v>
                </c:pt>
                <c:pt idx="4">
                  <c:v>5054</c:v>
                </c:pt>
                <c:pt idx="5">
                  <c:v>6237</c:v>
                </c:pt>
                <c:pt idx="6">
                  <c:v>5807</c:v>
                </c:pt>
                <c:pt idx="7">
                  <c:v>6269</c:v>
                </c:pt>
                <c:pt idx="8">
                  <c:v>8163</c:v>
                </c:pt>
                <c:pt idx="9">
                  <c:v>11699</c:v>
                </c:pt>
              </c:numCache>
            </c:numRef>
          </c:val>
          <c:smooth val="0"/>
          <c:extLst>
            <c:ext xmlns:c16="http://schemas.microsoft.com/office/drawing/2014/chart" uri="{C3380CC4-5D6E-409C-BE32-E72D297353CC}">
              <c16:uniqueId val="{00000000-7781-4E5E-A9EC-DC06707792B4}"/>
            </c:ext>
          </c:extLst>
        </c:ser>
        <c:ser>
          <c:idx val="0"/>
          <c:order val="1"/>
          <c:tx>
            <c:strRef>
              <c:f>Clearance!$A$34</c:f>
              <c:strCache>
                <c:ptCount val="1"/>
                <c:pt idx="0">
                  <c:v>Received</c:v>
                </c:pt>
              </c:strCache>
            </c:strRef>
          </c:tx>
          <c:spPr>
            <a:ln w="28575" cap="rnd">
              <a:solidFill>
                <a:schemeClr val="accent1"/>
              </a:solidFill>
              <a:round/>
            </a:ln>
            <a:effectLst/>
          </c:spPr>
          <c:marker>
            <c:symbol val="none"/>
          </c:marker>
          <c:cat>
            <c:strRef>
              <c:f>Clearance!$B$33:$K$33</c:f>
              <c:strCache>
                <c:ptCount val="10"/>
                <c:pt idx="0">
                  <c:v>16-17</c:v>
                </c:pt>
                <c:pt idx="1">
                  <c:v>17-18</c:v>
                </c:pt>
                <c:pt idx="2">
                  <c:v>18-19</c:v>
                </c:pt>
                <c:pt idx="3">
                  <c:v>19-20</c:v>
                </c:pt>
                <c:pt idx="4">
                  <c:v>20-21</c:v>
                </c:pt>
                <c:pt idx="5">
                  <c:v>21-22</c:v>
                </c:pt>
                <c:pt idx="6">
                  <c:v>22-23</c:v>
                </c:pt>
                <c:pt idx="7">
                  <c:v>23-24</c:v>
                </c:pt>
                <c:pt idx="8">
                  <c:v>24-25</c:v>
                </c:pt>
                <c:pt idx="9">
                  <c:v>25-26</c:v>
                </c:pt>
              </c:strCache>
            </c:strRef>
          </c:cat>
          <c:val>
            <c:numRef>
              <c:f>Clearance!$B$34:$K$34</c:f>
              <c:numCache>
                <c:formatCode>General</c:formatCode>
                <c:ptCount val="10"/>
                <c:pt idx="0">
                  <c:v>3613</c:v>
                </c:pt>
                <c:pt idx="1">
                  <c:v>3940</c:v>
                </c:pt>
                <c:pt idx="2">
                  <c:v>4677</c:v>
                </c:pt>
                <c:pt idx="3">
                  <c:v>4494</c:v>
                </c:pt>
                <c:pt idx="4">
                  <c:v>5580</c:v>
                </c:pt>
                <c:pt idx="5">
                  <c:v>7311</c:v>
                </c:pt>
                <c:pt idx="6">
                  <c:v>6090</c:v>
                </c:pt>
                <c:pt idx="7">
                  <c:v>6669</c:v>
                </c:pt>
                <c:pt idx="8">
                  <c:v>7823</c:v>
                </c:pt>
                <c:pt idx="9">
                  <c:v>10768</c:v>
                </c:pt>
              </c:numCache>
            </c:numRef>
          </c:val>
          <c:smooth val="0"/>
          <c:extLst>
            <c:ext xmlns:c16="http://schemas.microsoft.com/office/drawing/2014/chart" uri="{C3380CC4-5D6E-409C-BE32-E72D297353CC}">
              <c16:uniqueId val="{00000001-7781-4E5E-A9EC-DC06707792B4}"/>
            </c:ext>
          </c:extLst>
        </c:ser>
        <c:dLbls>
          <c:showLegendKey val="0"/>
          <c:showVal val="0"/>
          <c:showCatName val="0"/>
          <c:showSerName val="0"/>
          <c:showPercent val="0"/>
          <c:showBubbleSize val="0"/>
        </c:dLbls>
        <c:smooth val="0"/>
        <c:axId val="1524468016"/>
        <c:axId val="1524464656"/>
      </c:lineChart>
      <c:catAx>
        <c:axId val="15244680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4464656"/>
        <c:crosses val="autoZero"/>
        <c:auto val="1"/>
        <c:lblAlgn val="ctr"/>
        <c:lblOffset val="100"/>
        <c:noMultiLvlLbl val="0"/>
      </c:catAx>
      <c:valAx>
        <c:axId val="1524464656"/>
        <c:scaling>
          <c:orientation val="minMax"/>
          <c:max val="12000"/>
          <c:min val="2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4468016"/>
        <c:crosses val="autoZero"/>
        <c:crossBetween val="between"/>
        <c:majorUnit val="2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Awareness</a:t>
            </a:r>
            <a:r>
              <a:rPr lang="en-NZ" baseline="0"/>
              <a:t> of the Ombudsman</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Z"/>
        </a:p>
      </c:txPr>
    </c:title>
    <c:autoTitleDeleted val="0"/>
    <c:plotArea>
      <c:layout/>
      <c:lineChart>
        <c:grouping val="standard"/>
        <c:varyColors val="0"/>
        <c:ser>
          <c:idx val="0"/>
          <c:order val="0"/>
          <c:tx>
            <c:strRef>
              <c:f>Awareness!$A$2</c:f>
              <c:strCache>
                <c:ptCount val="1"/>
                <c:pt idx="0">
                  <c:v>Overall</c:v>
                </c:pt>
              </c:strCache>
            </c:strRef>
          </c:tx>
          <c:spPr>
            <a:ln w="28575" cap="rnd">
              <a:solidFill>
                <a:schemeClr val="accent1"/>
              </a:solidFill>
              <a:round/>
            </a:ln>
            <a:effectLst/>
          </c:spPr>
          <c:marker>
            <c:symbol val="none"/>
          </c:marker>
          <c:cat>
            <c:strRef>
              <c:f>Awareness!$B$1:$F$1</c:f>
              <c:strCache>
                <c:ptCount val="5"/>
                <c:pt idx="0">
                  <c:v>2021/22</c:v>
                </c:pt>
                <c:pt idx="1">
                  <c:v>2022/23</c:v>
                </c:pt>
                <c:pt idx="2">
                  <c:v>2023/24</c:v>
                </c:pt>
                <c:pt idx="3">
                  <c:v>2024/25</c:v>
                </c:pt>
                <c:pt idx="4">
                  <c:v>2025/26</c:v>
                </c:pt>
              </c:strCache>
            </c:strRef>
          </c:cat>
          <c:val>
            <c:numRef>
              <c:f>Awareness!$B$2:$F$2</c:f>
              <c:numCache>
                <c:formatCode>0%</c:formatCode>
                <c:ptCount val="5"/>
                <c:pt idx="0">
                  <c:v>0.68</c:v>
                </c:pt>
                <c:pt idx="1">
                  <c:v>0.68</c:v>
                </c:pt>
                <c:pt idx="2">
                  <c:v>0.66</c:v>
                </c:pt>
                <c:pt idx="3">
                  <c:v>0.66</c:v>
                </c:pt>
                <c:pt idx="4">
                  <c:v>0.64</c:v>
                </c:pt>
              </c:numCache>
            </c:numRef>
          </c:val>
          <c:smooth val="0"/>
          <c:extLst>
            <c:ext xmlns:c16="http://schemas.microsoft.com/office/drawing/2014/chart" uri="{C3380CC4-5D6E-409C-BE32-E72D297353CC}">
              <c16:uniqueId val="{00000000-BF77-4880-AF45-E56DBDE44650}"/>
            </c:ext>
          </c:extLst>
        </c:ser>
        <c:ser>
          <c:idx val="1"/>
          <c:order val="1"/>
          <c:tx>
            <c:strRef>
              <c:f>Awareness!$A$3</c:f>
              <c:strCache>
                <c:ptCount val="1"/>
                <c:pt idx="0">
                  <c:v>Māori</c:v>
                </c:pt>
              </c:strCache>
            </c:strRef>
          </c:tx>
          <c:spPr>
            <a:ln w="28575" cap="rnd">
              <a:solidFill>
                <a:schemeClr val="accent2"/>
              </a:solidFill>
              <a:round/>
            </a:ln>
            <a:effectLst/>
          </c:spPr>
          <c:marker>
            <c:symbol val="none"/>
          </c:marker>
          <c:cat>
            <c:strRef>
              <c:f>Awareness!$B$1:$F$1</c:f>
              <c:strCache>
                <c:ptCount val="5"/>
                <c:pt idx="0">
                  <c:v>2021/22</c:v>
                </c:pt>
                <c:pt idx="1">
                  <c:v>2022/23</c:v>
                </c:pt>
                <c:pt idx="2">
                  <c:v>2023/24</c:v>
                </c:pt>
                <c:pt idx="3">
                  <c:v>2024/25</c:v>
                </c:pt>
                <c:pt idx="4">
                  <c:v>2025/26</c:v>
                </c:pt>
              </c:strCache>
            </c:strRef>
          </c:cat>
          <c:val>
            <c:numRef>
              <c:f>Awareness!$B$3:$F$3</c:f>
              <c:numCache>
                <c:formatCode>0%</c:formatCode>
                <c:ptCount val="5"/>
                <c:pt idx="0">
                  <c:v>0.59</c:v>
                </c:pt>
                <c:pt idx="1">
                  <c:v>0.53</c:v>
                </c:pt>
                <c:pt idx="2">
                  <c:v>0.5</c:v>
                </c:pt>
                <c:pt idx="3">
                  <c:v>0.55000000000000004</c:v>
                </c:pt>
                <c:pt idx="4">
                  <c:v>0.46</c:v>
                </c:pt>
              </c:numCache>
            </c:numRef>
          </c:val>
          <c:smooth val="0"/>
          <c:extLst>
            <c:ext xmlns:c16="http://schemas.microsoft.com/office/drawing/2014/chart" uri="{C3380CC4-5D6E-409C-BE32-E72D297353CC}">
              <c16:uniqueId val="{00000001-BF77-4880-AF45-E56DBDE44650}"/>
            </c:ext>
          </c:extLst>
        </c:ser>
        <c:ser>
          <c:idx val="2"/>
          <c:order val="2"/>
          <c:tx>
            <c:strRef>
              <c:f>Awareness!$A$4</c:f>
              <c:strCache>
                <c:ptCount val="1"/>
                <c:pt idx="0">
                  <c:v>Asian</c:v>
                </c:pt>
              </c:strCache>
            </c:strRef>
          </c:tx>
          <c:spPr>
            <a:ln w="28575" cap="rnd">
              <a:solidFill>
                <a:schemeClr val="accent3"/>
              </a:solidFill>
              <a:round/>
            </a:ln>
            <a:effectLst/>
          </c:spPr>
          <c:marker>
            <c:symbol val="none"/>
          </c:marker>
          <c:cat>
            <c:strRef>
              <c:f>Awareness!$B$1:$F$1</c:f>
              <c:strCache>
                <c:ptCount val="5"/>
                <c:pt idx="0">
                  <c:v>2021/22</c:v>
                </c:pt>
                <c:pt idx="1">
                  <c:v>2022/23</c:v>
                </c:pt>
                <c:pt idx="2">
                  <c:v>2023/24</c:v>
                </c:pt>
                <c:pt idx="3">
                  <c:v>2024/25</c:v>
                </c:pt>
                <c:pt idx="4">
                  <c:v>2025/26</c:v>
                </c:pt>
              </c:strCache>
            </c:strRef>
          </c:cat>
          <c:val>
            <c:numRef>
              <c:f>Awareness!$B$4:$F$4</c:f>
              <c:numCache>
                <c:formatCode>0%</c:formatCode>
                <c:ptCount val="5"/>
                <c:pt idx="0">
                  <c:v>0.5</c:v>
                </c:pt>
                <c:pt idx="1">
                  <c:v>0.52</c:v>
                </c:pt>
                <c:pt idx="2">
                  <c:v>0.5</c:v>
                </c:pt>
                <c:pt idx="3">
                  <c:v>0.53</c:v>
                </c:pt>
                <c:pt idx="4">
                  <c:v>0.53</c:v>
                </c:pt>
              </c:numCache>
            </c:numRef>
          </c:val>
          <c:smooth val="0"/>
          <c:extLst>
            <c:ext xmlns:c16="http://schemas.microsoft.com/office/drawing/2014/chart" uri="{C3380CC4-5D6E-409C-BE32-E72D297353CC}">
              <c16:uniqueId val="{00000002-BF77-4880-AF45-E56DBDE44650}"/>
            </c:ext>
          </c:extLst>
        </c:ser>
        <c:ser>
          <c:idx val="3"/>
          <c:order val="3"/>
          <c:tx>
            <c:strRef>
              <c:f>Awareness!$A$5</c:f>
              <c:strCache>
                <c:ptCount val="1"/>
                <c:pt idx="0">
                  <c:v>Pasifika</c:v>
                </c:pt>
              </c:strCache>
            </c:strRef>
          </c:tx>
          <c:spPr>
            <a:ln w="28575" cap="rnd">
              <a:solidFill>
                <a:schemeClr val="accent4"/>
              </a:solidFill>
              <a:round/>
            </a:ln>
            <a:effectLst/>
          </c:spPr>
          <c:marker>
            <c:symbol val="none"/>
          </c:marker>
          <c:cat>
            <c:strRef>
              <c:f>Awareness!$B$1:$F$1</c:f>
              <c:strCache>
                <c:ptCount val="5"/>
                <c:pt idx="0">
                  <c:v>2021/22</c:v>
                </c:pt>
                <c:pt idx="1">
                  <c:v>2022/23</c:v>
                </c:pt>
                <c:pt idx="2">
                  <c:v>2023/24</c:v>
                </c:pt>
                <c:pt idx="3">
                  <c:v>2024/25</c:v>
                </c:pt>
                <c:pt idx="4">
                  <c:v>2025/26</c:v>
                </c:pt>
              </c:strCache>
            </c:strRef>
          </c:cat>
          <c:val>
            <c:numRef>
              <c:f>Awareness!$B$5:$F$5</c:f>
              <c:numCache>
                <c:formatCode>0%</c:formatCode>
                <c:ptCount val="5"/>
                <c:pt idx="0">
                  <c:v>0.65</c:v>
                </c:pt>
                <c:pt idx="1">
                  <c:v>0.47</c:v>
                </c:pt>
                <c:pt idx="2">
                  <c:v>0.5</c:v>
                </c:pt>
                <c:pt idx="3">
                  <c:v>0.47</c:v>
                </c:pt>
                <c:pt idx="4">
                  <c:v>0.39</c:v>
                </c:pt>
              </c:numCache>
            </c:numRef>
          </c:val>
          <c:smooth val="0"/>
          <c:extLst>
            <c:ext xmlns:c16="http://schemas.microsoft.com/office/drawing/2014/chart" uri="{C3380CC4-5D6E-409C-BE32-E72D297353CC}">
              <c16:uniqueId val="{00000003-BF77-4880-AF45-E56DBDE44650}"/>
            </c:ext>
          </c:extLst>
        </c:ser>
        <c:dLbls>
          <c:showLegendKey val="0"/>
          <c:showVal val="0"/>
          <c:showCatName val="0"/>
          <c:showSerName val="0"/>
          <c:showPercent val="0"/>
          <c:showBubbleSize val="0"/>
        </c:dLbls>
        <c:smooth val="0"/>
        <c:axId val="638631007"/>
        <c:axId val="638643007"/>
      </c:lineChart>
      <c:catAx>
        <c:axId val="638631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8643007"/>
        <c:crosses val="autoZero"/>
        <c:auto val="1"/>
        <c:lblAlgn val="ctr"/>
        <c:lblOffset val="100"/>
        <c:noMultiLvlLbl val="0"/>
      </c:catAx>
      <c:valAx>
        <c:axId val="638643007"/>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8631007"/>
        <c:crosses val="autoZero"/>
        <c:crossBetween val="between"/>
        <c:maj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Official</a:t>
            </a:r>
            <a:r>
              <a:rPr lang="en-NZ" baseline="0"/>
              <a:t> Information complaints received and completed</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Z"/>
        </a:p>
      </c:txPr>
    </c:title>
    <c:autoTitleDeleted val="0"/>
    <c:plotArea>
      <c:layout/>
      <c:lineChart>
        <c:grouping val="standard"/>
        <c:varyColors val="0"/>
        <c:ser>
          <c:idx val="0"/>
          <c:order val="0"/>
          <c:tx>
            <c:strRef>
              <c:f>'OI Throughput'!$B$2</c:f>
              <c:strCache>
                <c:ptCount val="1"/>
                <c:pt idx="0">
                  <c:v>Received</c:v>
                </c:pt>
              </c:strCache>
            </c:strRef>
          </c:tx>
          <c:spPr>
            <a:ln w="28575" cap="rnd">
              <a:solidFill>
                <a:schemeClr val="accent1"/>
              </a:solidFill>
              <a:round/>
            </a:ln>
            <a:effectLst/>
          </c:spPr>
          <c:marker>
            <c:symbol val="none"/>
          </c:marker>
          <c:cat>
            <c:strRef>
              <c:f>'OI Throughput'!$A$10:$A$19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'OI Throughput'!$B$10:$B$19</c:f>
              <c:numCache>
                <c:formatCode>#,##0</c:formatCode>
                <c:ptCount val="10"/>
                <c:pt idx="0">
                  <c:v>1422</c:v>
                </c:pt>
                <c:pt idx="1">
                  <c:v>1677</c:v>
                </c:pt>
                <c:pt idx="2">
                  <c:v>2265</c:v>
                </c:pt>
                <c:pt idx="3">
                  <c:v>1683</c:v>
                </c:pt>
                <c:pt idx="4">
                  <c:v>1718</c:v>
                </c:pt>
                <c:pt idx="5">
                  <c:v>2591</c:v>
                </c:pt>
                <c:pt idx="6">
                  <c:v>2059</c:v>
                </c:pt>
                <c:pt idx="7">
                  <c:v>2222</c:v>
                </c:pt>
                <c:pt idx="8">
                  <c:v>2554</c:v>
                </c:pt>
                <c:pt idx="9" formatCode="General">
                  <c:v>3166</c:v>
                </c:pt>
              </c:numCache>
            </c:numRef>
          </c:val>
          <c:smooth val="0"/>
          <c:extLst>
            <c:ext xmlns:c16="http://schemas.microsoft.com/office/drawing/2014/chart" uri="{C3380CC4-5D6E-409C-BE32-E72D297353CC}">
              <c16:uniqueId val="{00000000-6B24-41BF-A154-E1C0EF7C4D9B}"/>
            </c:ext>
          </c:extLst>
        </c:ser>
        <c:ser>
          <c:idx val="1"/>
          <c:order val="1"/>
          <c:tx>
            <c:strRef>
              <c:f>'OI Throughput'!$C$2</c:f>
              <c:strCache>
                <c:ptCount val="1"/>
                <c:pt idx="0">
                  <c:v>Under Action in the Year</c:v>
                </c:pt>
              </c:strCache>
            </c:strRef>
          </c:tx>
          <c:spPr>
            <a:ln w="28575" cap="rnd">
              <a:solidFill>
                <a:schemeClr val="accent2"/>
              </a:solidFill>
              <a:round/>
            </a:ln>
            <a:effectLst/>
          </c:spPr>
          <c:marker>
            <c:symbol val="none"/>
          </c:marker>
          <c:cat>
            <c:strRef>
              <c:f>'OI Throughput'!$A$10:$A$19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'OI Throughput'!$C$10:$C$19</c:f>
              <c:numCache>
                <c:formatCode>#,##0</c:formatCode>
                <c:ptCount val="10"/>
                <c:pt idx="0">
                  <c:v>2422</c:v>
                </c:pt>
                <c:pt idx="1">
                  <c:v>2513</c:v>
                </c:pt>
                <c:pt idx="2">
                  <c:v>2789</c:v>
                </c:pt>
                <c:pt idx="3">
                  <c:v>2274</c:v>
                </c:pt>
                <c:pt idx="4">
                  <c:v>2281</c:v>
                </c:pt>
                <c:pt idx="5">
                  <c:v>3371</c:v>
                </c:pt>
                <c:pt idx="6">
                  <c:v>3333</c:v>
                </c:pt>
                <c:pt idx="7">
                  <c:v>3750</c:v>
                </c:pt>
                <c:pt idx="8">
                  <c:v>4181</c:v>
                </c:pt>
                <c:pt idx="9" formatCode="General">
                  <c:v>4487</c:v>
                </c:pt>
              </c:numCache>
            </c:numRef>
          </c:val>
          <c:smooth val="0"/>
          <c:extLst>
            <c:ext xmlns:c16="http://schemas.microsoft.com/office/drawing/2014/chart" uri="{C3380CC4-5D6E-409C-BE32-E72D297353CC}">
              <c16:uniqueId val="{00000001-6B24-41BF-A154-E1C0EF7C4D9B}"/>
            </c:ext>
          </c:extLst>
        </c:ser>
        <c:ser>
          <c:idx val="2"/>
          <c:order val="2"/>
          <c:tx>
            <c:strRef>
              <c:f>'OI Throughput'!$D$2</c:f>
              <c:strCache>
                <c:ptCount val="1"/>
                <c:pt idx="0">
                  <c:v>Completed</c:v>
                </c:pt>
              </c:strCache>
            </c:strRef>
          </c:tx>
          <c:spPr>
            <a:ln w="28575" cap="rnd">
              <a:solidFill>
                <a:schemeClr val="accent3"/>
              </a:solidFill>
              <a:round/>
            </a:ln>
            <a:effectLst/>
          </c:spPr>
          <c:marker>
            <c:symbol val="none"/>
          </c:marker>
          <c:cat>
            <c:strRef>
              <c:f>'OI Throughput'!$A$10:$A$19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'OI Throughput'!$D$10:$D$19</c:f>
              <c:numCache>
                <c:formatCode>#,##0</c:formatCode>
                <c:ptCount val="10"/>
                <c:pt idx="0">
                  <c:v>1633</c:v>
                </c:pt>
                <c:pt idx="1">
                  <c:v>1942</c:v>
                </c:pt>
                <c:pt idx="2">
                  <c:v>2198</c:v>
                </c:pt>
                <c:pt idx="3">
                  <c:v>1724</c:v>
                </c:pt>
                <c:pt idx="4">
                  <c:v>1507</c:v>
                </c:pt>
                <c:pt idx="5">
                  <c:v>2078</c:v>
                </c:pt>
                <c:pt idx="6">
                  <c:v>1804</c:v>
                </c:pt>
                <c:pt idx="7">
                  <c:v>2126</c:v>
                </c:pt>
                <c:pt idx="8">
                  <c:v>2858</c:v>
                </c:pt>
                <c:pt idx="9" formatCode="General">
                  <c:v>3671</c:v>
                </c:pt>
              </c:numCache>
            </c:numRef>
          </c:val>
          <c:smooth val="0"/>
          <c:extLst>
            <c:ext xmlns:c16="http://schemas.microsoft.com/office/drawing/2014/chart" uri="{C3380CC4-5D6E-409C-BE32-E72D297353CC}">
              <c16:uniqueId val="{00000002-6B24-41BF-A154-E1C0EF7C4D9B}"/>
            </c:ext>
          </c:extLst>
        </c:ser>
        <c:ser>
          <c:idx val="3"/>
          <c:order val="3"/>
          <c:tx>
            <c:strRef>
              <c:f>'OI Throughput'!$E$2</c:f>
              <c:strCache>
                <c:ptCount val="1"/>
                <c:pt idx="0">
                  <c:v>On Hand at Year End</c:v>
                </c:pt>
              </c:strCache>
            </c:strRef>
          </c:tx>
          <c:spPr>
            <a:ln w="28575" cap="rnd">
              <a:solidFill>
                <a:schemeClr val="accent4"/>
              </a:solidFill>
              <a:round/>
            </a:ln>
            <a:effectLst/>
          </c:spPr>
          <c:marker>
            <c:symbol val="none"/>
          </c:marker>
          <c:cat>
            <c:strRef>
              <c:f>'OI Throughput'!$A$10:$A$19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'OI Throughput'!$E$10:$E$19</c:f>
              <c:numCache>
                <c:formatCode>#,##0</c:formatCode>
                <c:ptCount val="10"/>
                <c:pt idx="0">
                  <c:v>789</c:v>
                </c:pt>
                <c:pt idx="1">
                  <c:v>571</c:v>
                </c:pt>
                <c:pt idx="2">
                  <c:v>591</c:v>
                </c:pt>
                <c:pt idx="3">
                  <c:v>551</c:v>
                </c:pt>
                <c:pt idx="4">
                  <c:v>762</c:v>
                </c:pt>
                <c:pt idx="5">
                  <c:v>1275</c:v>
                </c:pt>
                <c:pt idx="6">
                  <c:v>1529</c:v>
                </c:pt>
                <c:pt idx="7">
                  <c:v>1624</c:v>
                </c:pt>
                <c:pt idx="8">
                  <c:v>1323</c:v>
                </c:pt>
                <c:pt idx="9" formatCode="General">
                  <c:v>816</c:v>
                </c:pt>
              </c:numCache>
            </c:numRef>
          </c:val>
          <c:smooth val="0"/>
          <c:extLst>
            <c:ext xmlns:c16="http://schemas.microsoft.com/office/drawing/2014/chart" uri="{C3380CC4-5D6E-409C-BE32-E72D297353CC}">
              <c16:uniqueId val="{00000003-6B24-41BF-A154-E1C0EF7C4D9B}"/>
            </c:ext>
          </c:extLst>
        </c:ser>
        <c:dLbls>
          <c:showLegendKey val="0"/>
          <c:showVal val="0"/>
          <c:showCatName val="0"/>
          <c:showSerName val="0"/>
          <c:showPercent val="0"/>
          <c:showBubbleSize val="0"/>
        </c:dLbls>
        <c:smooth val="0"/>
        <c:axId val="451896432"/>
        <c:axId val="451900696"/>
      </c:lineChart>
      <c:catAx>
        <c:axId val="451896432"/>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900696"/>
        <c:crosses val="autoZero"/>
        <c:auto val="1"/>
        <c:lblAlgn val="ctr"/>
        <c:lblOffset val="100"/>
        <c:noMultiLvlLbl val="0"/>
      </c:catAx>
      <c:valAx>
        <c:axId val="451900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8964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days to close -</a:t>
            </a:r>
            <a:r>
              <a:rPr lang="en-US" baseline="0"/>
              <a:t> OI delay requests</a:t>
            </a:r>
            <a:endParaRPr lang="en-US"/>
          </a:p>
        </c:rich>
      </c:tx>
      <c:layout>
        <c:manualLayout>
          <c:xMode val="edge"/>
          <c:yMode val="edge"/>
          <c:x val="0.21324144854664642"/>
          <c:y val="2.507836990595611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'RS OI'!$O$2</c:f>
              <c:strCache>
                <c:ptCount val="1"/>
                <c:pt idx="0">
                  <c:v>Avg. Days</c:v>
                </c:pt>
              </c:strCache>
            </c:strRef>
          </c:tx>
          <c:spPr>
            <a:ln w="28575" cap="rnd">
              <a:solidFill>
                <a:schemeClr val="accent1"/>
              </a:solidFill>
              <a:round/>
            </a:ln>
            <a:effectLst/>
          </c:spPr>
          <c:marker>
            <c:symbol val="none"/>
          </c:marker>
          <c:cat>
            <c:numRef>
              <c:f>'RS OI'!$N$3:$N$14</c:f>
              <c:numCache>
                <c:formatCode>mmm\-yyyy</c:formatCode>
                <c:ptCount val="12"/>
                <c:pt idx="0">
                  <c:v>46174</c:v>
                </c:pt>
                <c:pt idx="1">
                  <c:v>46143</c:v>
                </c:pt>
                <c:pt idx="2">
                  <c:v>46113</c:v>
                </c:pt>
                <c:pt idx="3">
                  <c:v>46082</c:v>
                </c:pt>
                <c:pt idx="4">
                  <c:v>46054</c:v>
                </c:pt>
                <c:pt idx="5">
                  <c:v>46023</c:v>
                </c:pt>
                <c:pt idx="6">
                  <c:v>45992</c:v>
                </c:pt>
                <c:pt idx="7">
                  <c:v>45962</c:v>
                </c:pt>
                <c:pt idx="8">
                  <c:v>45931</c:v>
                </c:pt>
                <c:pt idx="9">
                  <c:v>45901</c:v>
                </c:pt>
                <c:pt idx="10">
                  <c:v>45870</c:v>
                </c:pt>
                <c:pt idx="11">
                  <c:v>45839</c:v>
                </c:pt>
              </c:numCache>
            </c:numRef>
          </c:cat>
          <c:val>
            <c:numRef>
              <c:f>'RS OI'!$O$3:$O$14</c:f>
              <c:numCache>
                <c:formatCode>#,##0</c:formatCode>
                <c:ptCount val="12"/>
                <c:pt idx="0">
                  <c:v>27.4</c:v>
                </c:pt>
                <c:pt idx="1">
                  <c:v>28.898734177215189</c:v>
                </c:pt>
                <c:pt idx="2">
                  <c:v>42.276595744680847</c:v>
                </c:pt>
                <c:pt idx="3">
                  <c:v>29.807228915662652</c:v>
                </c:pt>
                <c:pt idx="4">
                  <c:v>28.964285714285719</c:v>
                </c:pt>
                <c:pt idx="5">
                  <c:v>46.866666666666667</c:v>
                </c:pt>
                <c:pt idx="6">
                  <c:v>61.75</c:v>
                </c:pt>
                <c:pt idx="7">
                  <c:v>66</c:v>
                </c:pt>
                <c:pt idx="8">
                  <c:v>49.452830188679243</c:v>
                </c:pt>
                <c:pt idx="9">
                  <c:v>76.043478260869563</c:v>
                </c:pt>
                <c:pt idx="10">
                  <c:v>67.863013698630141</c:v>
                </c:pt>
                <c:pt idx="11">
                  <c:v>74.107692307692304</c:v>
                </c:pt>
              </c:numCache>
            </c:numRef>
          </c:val>
          <c:smooth val="0"/>
          <c:extLst>
            <c:ext xmlns:c16="http://schemas.microsoft.com/office/drawing/2014/chart" uri="{C3380CC4-5D6E-409C-BE32-E72D297353CC}">
              <c16:uniqueId val="{00000000-37D4-460D-BEBF-11DB7851A0A2}"/>
            </c:ext>
          </c:extLst>
        </c:ser>
        <c:dLbls>
          <c:showLegendKey val="0"/>
          <c:showVal val="0"/>
          <c:showCatName val="0"/>
          <c:showSerName val="0"/>
          <c:showPercent val="0"/>
          <c:showBubbleSize val="0"/>
        </c:dLbls>
        <c:smooth val="0"/>
        <c:axId val="1090500144"/>
        <c:axId val="1090501104"/>
      </c:lineChart>
      <c:dateAx>
        <c:axId val="1090500144"/>
        <c:scaling>
          <c:orientation val="minMax"/>
        </c:scaling>
        <c:delete val="0"/>
        <c:axPos val="b"/>
        <c:numFmt formatCode="m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0501104"/>
        <c:crosses val="autoZero"/>
        <c:auto val="1"/>
        <c:lblOffset val="100"/>
        <c:baseTimeUnit val="months"/>
      </c:dateAx>
      <c:valAx>
        <c:axId val="109050110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0500144"/>
        <c:crosses val="autoZero"/>
        <c:crossBetween val="between"/>
        <c:majorUnit val="2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Ombudsmen</a:t>
            </a:r>
            <a:r>
              <a:rPr lang="en-US" baseline="0"/>
              <a:t> Act complaints received and completed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'OA Throughput '!$B$2</c:f>
              <c:strCache>
                <c:ptCount val="1"/>
                <c:pt idx="0">
                  <c:v>Received</c:v>
                </c:pt>
              </c:strCache>
            </c:strRef>
          </c:tx>
          <c:spPr>
            <a:ln w="28575" cap="rnd">
              <a:solidFill>
                <a:schemeClr val="accent1"/>
              </a:solidFill>
              <a:round/>
            </a:ln>
            <a:effectLst/>
          </c:spPr>
          <c:marker>
            <c:symbol val="none"/>
          </c:marker>
          <c:cat>
            <c:strRef>
              <c:f>'OA Throughput '!$A$10:$A$19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'OA Throughput '!$B$10:$B$19</c:f>
              <c:numCache>
                <c:formatCode>#,##0</c:formatCode>
                <c:ptCount val="10"/>
                <c:pt idx="0">
                  <c:v>2191</c:v>
                </c:pt>
                <c:pt idx="1">
                  <c:v>2263</c:v>
                </c:pt>
                <c:pt idx="2">
                  <c:v>2413</c:v>
                </c:pt>
                <c:pt idx="3">
                  <c:v>2811</c:v>
                </c:pt>
                <c:pt idx="4">
                  <c:v>3862</c:v>
                </c:pt>
                <c:pt idx="5">
                  <c:v>4730</c:v>
                </c:pt>
                <c:pt idx="6">
                  <c:v>4027</c:v>
                </c:pt>
                <c:pt idx="7">
                  <c:v>4443</c:v>
                </c:pt>
                <c:pt idx="8">
                  <c:v>5269</c:v>
                </c:pt>
                <c:pt idx="9">
                  <c:v>7601</c:v>
                </c:pt>
              </c:numCache>
            </c:numRef>
          </c:val>
          <c:smooth val="0"/>
          <c:extLst>
            <c:ext xmlns:c16="http://schemas.microsoft.com/office/drawing/2014/chart" uri="{C3380CC4-5D6E-409C-BE32-E72D297353CC}">
              <c16:uniqueId val="{00000000-55DF-4587-A8AF-3261E019C415}"/>
            </c:ext>
          </c:extLst>
        </c:ser>
        <c:ser>
          <c:idx val="1"/>
          <c:order val="1"/>
          <c:tx>
            <c:strRef>
              <c:f>'OA Throughput '!$C$2</c:f>
              <c:strCache>
                <c:ptCount val="1"/>
                <c:pt idx="0">
                  <c:v>Under Action in the Year</c:v>
                </c:pt>
              </c:strCache>
            </c:strRef>
          </c:tx>
          <c:spPr>
            <a:ln w="28575" cap="rnd">
              <a:solidFill>
                <a:schemeClr val="accent2"/>
              </a:solidFill>
              <a:round/>
            </a:ln>
            <a:effectLst/>
          </c:spPr>
          <c:marker>
            <c:symbol val="none"/>
          </c:marker>
          <c:cat>
            <c:strRef>
              <c:f>'OA Throughput '!$A$10:$A$19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'OA Throughput '!$C$10:$C$19</c:f>
              <c:numCache>
                <c:formatCode>#,##0</c:formatCode>
                <c:ptCount val="10"/>
                <c:pt idx="0">
                  <c:v>2733</c:v>
                </c:pt>
                <c:pt idx="1">
                  <c:v>2693</c:v>
                </c:pt>
                <c:pt idx="2">
                  <c:v>2709</c:v>
                </c:pt>
                <c:pt idx="3">
                  <c:v>3165</c:v>
                </c:pt>
                <c:pt idx="4">
                  <c:v>4380</c:v>
                </c:pt>
                <c:pt idx="5">
                  <c:v>5570</c:v>
                </c:pt>
                <c:pt idx="6" formatCode="General">
                  <c:v>5404</c:v>
                </c:pt>
                <c:pt idx="7">
                  <c:v>5864</c:v>
                </c:pt>
                <c:pt idx="8">
                  <c:v>6975</c:v>
                </c:pt>
                <c:pt idx="9">
                  <c:v>9273</c:v>
                </c:pt>
              </c:numCache>
            </c:numRef>
          </c:val>
          <c:smooth val="0"/>
          <c:extLst>
            <c:ext xmlns:c16="http://schemas.microsoft.com/office/drawing/2014/chart" uri="{C3380CC4-5D6E-409C-BE32-E72D297353CC}">
              <c16:uniqueId val="{00000001-55DF-4587-A8AF-3261E019C415}"/>
            </c:ext>
          </c:extLst>
        </c:ser>
        <c:ser>
          <c:idx val="2"/>
          <c:order val="2"/>
          <c:tx>
            <c:strRef>
              <c:f>'OA Throughput '!$D$2</c:f>
              <c:strCache>
                <c:ptCount val="1"/>
                <c:pt idx="0">
                  <c:v>Completed</c:v>
                </c:pt>
              </c:strCache>
            </c:strRef>
          </c:tx>
          <c:spPr>
            <a:ln w="28575" cap="rnd">
              <a:solidFill>
                <a:schemeClr val="accent3"/>
              </a:solidFill>
              <a:round/>
            </a:ln>
            <a:effectLst/>
          </c:spPr>
          <c:marker>
            <c:symbol val="none"/>
          </c:marker>
          <c:cat>
            <c:strRef>
              <c:f>'OA Throughput '!$A$10:$A$19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'OA Throughput '!$D$10:$D$19</c:f>
              <c:numCache>
                <c:formatCode>#,##0</c:formatCode>
                <c:ptCount val="10"/>
                <c:pt idx="0">
                  <c:v>2285</c:v>
                </c:pt>
                <c:pt idx="1">
                  <c:v>2398</c:v>
                </c:pt>
                <c:pt idx="2">
                  <c:v>2355</c:v>
                </c:pt>
                <c:pt idx="3">
                  <c:v>2665</c:v>
                </c:pt>
                <c:pt idx="4">
                  <c:v>3547</c:v>
                </c:pt>
                <c:pt idx="5">
                  <c:v>4165</c:v>
                </c:pt>
                <c:pt idx="6">
                  <c:v>4003</c:v>
                </c:pt>
                <c:pt idx="7">
                  <c:v>4143</c:v>
                </c:pt>
                <c:pt idx="8">
                  <c:v>5305</c:v>
                </c:pt>
                <c:pt idx="9">
                  <c:v>8207</c:v>
                </c:pt>
              </c:numCache>
            </c:numRef>
          </c:val>
          <c:smooth val="0"/>
          <c:extLst>
            <c:ext xmlns:c16="http://schemas.microsoft.com/office/drawing/2014/chart" uri="{C3380CC4-5D6E-409C-BE32-E72D297353CC}">
              <c16:uniqueId val="{00000002-55DF-4587-A8AF-3261E019C415}"/>
            </c:ext>
          </c:extLst>
        </c:ser>
        <c:ser>
          <c:idx val="3"/>
          <c:order val="3"/>
          <c:tx>
            <c:strRef>
              <c:f>'OA Throughput '!$E$2</c:f>
              <c:strCache>
                <c:ptCount val="1"/>
                <c:pt idx="0">
                  <c:v>On Hand at Year End</c:v>
                </c:pt>
              </c:strCache>
            </c:strRef>
          </c:tx>
          <c:spPr>
            <a:ln w="28575" cap="rnd">
              <a:solidFill>
                <a:schemeClr val="accent4"/>
              </a:solidFill>
              <a:round/>
            </a:ln>
            <a:effectLst/>
          </c:spPr>
          <c:marker>
            <c:symbol val="none"/>
          </c:marker>
          <c:cat>
            <c:strRef>
              <c:f>'OA Throughput '!$A$10:$A$19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'OA Throughput '!$E$10:$E$19</c:f>
              <c:numCache>
                <c:formatCode>General</c:formatCode>
                <c:ptCount val="10"/>
                <c:pt idx="0">
                  <c:v>430</c:v>
                </c:pt>
                <c:pt idx="1">
                  <c:v>296</c:v>
                </c:pt>
                <c:pt idx="2">
                  <c:v>354</c:v>
                </c:pt>
                <c:pt idx="3">
                  <c:v>500</c:v>
                </c:pt>
                <c:pt idx="4">
                  <c:v>815</c:v>
                </c:pt>
                <c:pt idx="5" formatCode="#,##0">
                  <c:v>1379</c:v>
                </c:pt>
                <c:pt idx="6">
                  <c:v>1401</c:v>
                </c:pt>
                <c:pt idx="7" formatCode="#,##0">
                  <c:v>1721</c:v>
                </c:pt>
                <c:pt idx="8" formatCode="#,##0">
                  <c:v>1670</c:v>
                </c:pt>
                <c:pt idx="9" formatCode="#,##0">
                  <c:v>1246</c:v>
                </c:pt>
              </c:numCache>
            </c:numRef>
          </c:val>
          <c:smooth val="0"/>
          <c:extLst>
            <c:ext xmlns:c16="http://schemas.microsoft.com/office/drawing/2014/chart" uri="{C3380CC4-5D6E-409C-BE32-E72D297353CC}">
              <c16:uniqueId val="{00000003-55DF-4587-A8AF-3261E019C415}"/>
            </c:ext>
          </c:extLst>
        </c:ser>
        <c:dLbls>
          <c:showLegendKey val="0"/>
          <c:showVal val="0"/>
          <c:showCatName val="0"/>
          <c:showSerName val="0"/>
          <c:showPercent val="0"/>
          <c:showBubbleSize val="0"/>
        </c:dLbls>
        <c:smooth val="0"/>
        <c:axId val="451896432"/>
        <c:axId val="451900696"/>
      </c:lineChart>
      <c:catAx>
        <c:axId val="451896432"/>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900696"/>
        <c:crosses val="autoZero"/>
        <c:auto val="1"/>
        <c:lblAlgn val="ctr"/>
        <c:lblOffset val="100"/>
        <c:noMultiLvlLbl val="0"/>
      </c:catAx>
      <c:valAx>
        <c:axId val="451900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8964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Complaints and enquiries received and completed against</a:t>
            </a:r>
            <a:r>
              <a:rPr lang="en-NZ" baseline="0"/>
              <a:t> Oranga Tamariki</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Z"/>
        </a:p>
      </c:txPr>
    </c:title>
    <c:autoTitleDeleted val="0"/>
    <c:plotArea>
      <c:layout/>
      <c:lineChart>
        <c:grouping val="standard"/>
        <c:varyColors val="0"/>
        <c:ser>
          <c:idx val="0"/>
          <c:order val="0"/>
          <c:tx>
            <c:strRef>
              <c:f>OT!$B$1</c:f>
              <c:strCache>
                <c:ptCount val="1"/>
                <c:pt idx="0">
                  <c:v>Received</c:v>
                </c:pt>
              </c:strCache>
            </c:strRef>
          </c:tx>
          <c:spPr>
            <a:ln w="28575" cap="rnd">
              <a:solidFill>
                <a:schemeClr val="accent1"/>
              </a:solidFill>
              <a:round/>
            </a:ln>
            <a:effectLst/>
          </c:spPr>
          <c:marker>
            <c:symbol val="none"/>
          </c:marker>
          <c:cat>
            <c:strRef>
              <c:f>OT!$A$2:$A$11</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OT!$B$2:$B$11</c:f>
              <c:numCache>
                <c:formatCode>General</c:formatCode>
                <c:ptCount val="10"/>
                <c:pt idx="0">
                  <c:v>100</c:v>
                </c:pt>
                <c:pt idx="1">
                  <c:v>314</c:v>
                </c:pt>
                <c:pt idx="2">
                  <c:v>292</c:v>
                </c:pt>
                <c:pt idx="3">
                  <c:v>360</c:v>
                </c:pt>
                <c:pt idx="4">
                  <c:v>544</c:v>
                </c:pt>
                <c:pt idx="5">
                  <c:v>477</c:v>
                </c:pt>
                <c:pt idx="6">
                  <c:v>725</c:v>
                </c:pt>
                <c:pt idx="7">
                  <c:v>772</c:v>
                </c:pt>
                <c:pt idx="8">
                  <c:v>793</c:v>
                </c:pt>
                <c:pt idx="9">
                  <c:v>1247</c:v>
                </c:pt>
              </c:numCache>
            </c:numRef>
          </c:val>
          <c:smooth val="0"/>
          <c:extLst>
            <c:ext xmlns:c16="http://schemas.microsoft.com/office/drawing/2014/chart" uri="{C3380CC4-5D6E-409C-BE32-E72D297353CC}">
              <c16:uniqueId val="{00000000-1218-41F6-89AD-C158A5D8AFB1}"/>
            </c:ext>
          </c:extLst>
        </c:ser>
        <c:ser>
          <c:idx val="2"/>
          <c:order val="2"/>
          <c:tx>
            <c:strRef>
              <c:f>OT!$D$1</c:f>
              <c:strCache>
                <c:ptCount val="1"/>
                <c:pt idx="0">
                  <c:v>Completed</c:v>
                </c:pt>
              </c:strCache>
            </c:strRef>
          </c:tx>
          <c:spPr>
            <a:ln w="28575" cap="rnd">
              <a:solidFill>
                <a:schemeClr val="accent3"/>
              </a:solidFill>
              <a:round/>
            </a:ln>
            <a:effectLst/>
          </c:spPr>
          <c:marker>
            <c:symbol val="none"/>
          </c:marker>
          <c:cat>
            <c:strRef>
              <c:f>OT!$A$2:$A$11</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OT!$D$2:$D$11</c:f>
              <c:numCache>
                <c:formatCode>General</c:formatCode>
                <c:ptCount val="10"/>
                <c:pt idx="0">
                  <c:v>77</c:v>
                </c:pt>
                <c:pt idx="1">
                  <c:v>328</c:v>
                </c:pt>
                <c:pt idx="2">
                  <c:v>286</c:v>
                </c:pt>
                <c:pt idx="3">
                  <c:v>325</c:v>
                </c:pt>
                <c:pt idx="4">
                  <c:v>489</c:v>
                </c:pt>
                <c:pt idx="5">
                  <c:v>496</c:v>
                </c:pt>
                <c:pt idx="6">
                  <c:v>618</c:v>
                </c:pt>
                <c:pt idx="7">
                  <c:v>637</c:v>
                </c:pt>
                <c:pt idx="8">
                  <c:v>823</c:v>
                </c:pt>
                <c:pt idx="9">
                  <c:v>1395</c:v>
                </c:pt>
              </c:numCache>
            </c:numRef>
          </c:val>
          <c:smooth val="0"/>
          <c:extLst>
            <c:ext xmlns:c16="http://schemas.microsoft.com/office/drawing/2014/chart" uri="{C3380CC4-5D6E-409C-BE32-E72D297353CC}">
              <c16:uniqueId val="{00000001-1218-41F6-89AD-C158A5D8AFB1}"/>
            </c:ext>
          </c:extLst>
        </c:ser>
        <c:dLbls>
          <c:showLegendKey val="0"/>
          <c:showVal val="0"/>
          <c:showCatName val="0"/>
          <c:showSerName val="0"/>
          <c:showPercent val="0"/>
          <c:showBubbleSize val="0"/>
        </c:dLbls>
        <c:smooth val="0"/>
        <c:axId val="451896432"/>
        <c:axId val="451900696"/>
        <c:extLst>
          <c:ext xmlns:c15="http://schemas.microsoft.com/office/drawing/2012/chart" uri="{02D57815-91ED-43cb-92C2-25804820EDAC}">
            <c15:filteredLineSeries>
              <c15:ser>
                <c:idx val="1"/>
                <c:order val="1"/>
                <c:tx>
                  <c:strRef>
                    <c:extLst>
                      <c:ext uri="{02D57815-91ED-43cb-92C2-25804820EDAC}">
                        <c15:formulaRef>
                          <c15:sqref>OT!$C$1</c15:sqref>
                        </c15:formulaRef>
                      </c:ext>
                    </c:extLst>
                    <c:strCache>
                      <c:ptCount val="1"/>
                      <c:pt idx="0">
                        <c:v>YoY change</c:v>
                      </c:pt>
                    </c:strCache>
                  </c:strRef>
                </c:tx>
                <c:spPr>
                  <a:ln w="28575" cap="rnd">
                    <a:solidFill>
                      <a:schemeClr val="accent2"/>
                    </a:solidFill>
                    <a:round/>
                  </a:ln>
                  <a:effectLst/>
                </c:spPr>
                <c:marker>
                  <c:symbol val="none"/>
                </c:marker>
                <c:cat>
                  <c:strRef>
                    <c:extLst>
                      <c:ext uri="{02D57815-91ED-43cb-92C2-25804820EDAC}">
                        <c15:formulaRef>
                          <c15:sqref>OT!$A$2:$A$11</c15:sqref>
                        </c15:formulaRef>
                      </c:ext>
                    </c:extLst>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extLst>
                      <c:ext uri="{02D57815-91ED-43cb-92C2-25804820EDAC}">
                        <c15:formulaRef>
                          <c15:sqref>OT!$C$2:$C$11</c15:sqref>
                        </c15:formulaRef>
                      </c:ext>
                    </c:extLst>
                    <c:numCache>
                      <c:formatCode>0%</c:formatCode>
                      <c:ptCount val="10"/>
                      <c:pt idx="0">
                        <c:v>0</c:v>
                      </c:pt>
                      <c:pt idx="1">
                        <c:v>2.14</c:v>
                      </c:pt>
                      <c:pt idx="2">
                        <c:v>-7.0063694267515922E-2</c:v>
                      </c:pt>
                      <c:pt idx="3">
                        <c:v>0.23287671232876711</c:v>
                      </c:pt>
                      <c:pt idx="4">
                        <c:v>0.51111111111111107</c:v>
                      </c:pt>
                      <c:pt idx="5">
                        <c:v>-0.12316176470588236</c:v>
                      </c:pt>
                      <c:pt idx="6">
                        <c:v>0.51991614255765195</c:v>
                      </c:pt>
                      <c:pt idx="7">
                        <c:v>6.4827586206896548E-2</c:v>
                      </c:pt>
                      <c:pt idx="8">
                        <c:v>2.7202072538860103E-2</c:v>
                      </c:pt>
                      <c:pt idx="9">
                        <c:v>0.57250945775535944</c:v>
                      </c:pt>
                    </c:numCache>
                  </c:numRef>
                </c:val>
                <c:smooth val="0"/>
                <c:extLst>
                  <c:ext xmlns:c16="http://schemas.microsoft.com/office/drawing/2014/chart" uri="{C3380CC4-5D6E-409C-BE32-E72D297353CC}">
                    <c16:uniqueId val="{00000002-1218-41F6-89AD-C158A5D8AFB1}"/>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OT!$E$1</c15:sqref>
                        </c15:formulaRef>
                      </c:ext>
                    </c:extLst>
                    <c:strCache>
                      <c:ptCount val="1"/>
                      <c:pt idx="0">
                        <c:v>YoY change</c:v>
                      </c:pt>
                    </c:strCache>
                  </c:strRef>
                </c:tx>
                <c:spPr>
                  <a:ln w="28575" cap="rnd">
                    <a:solidFill>
                      <a:schemeClr val="accent4"/>
                    </a:solidFill>
                    <a:round/>
                  </a:ln>
                  <a:effectLst/>
                </c:spPr>
                <c:marker>
                  <c:symbol val="none"/>
                </c:marker>
                <c:cat>
                  <c:strRef>
                    <c:extLst xmlns:c15="http://schemas.microsoft.com/office/drawing/2012/chart">
                      <c:ext xmlns:c15="http://schemas.microsoft.com/office/drawing/2012/chart" uri="{02D57815-91ED-43cb-92C2-25804820EDAC}">
                        <c15:formulaRef>
                          <c15:sqref>OT!$A$2:$A$11</c15:sqref>
                        </c15:formulaRef>
                      </c:ext>
                    </c:extLst>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extLst xmlns:c15="http://schemas.microsoft.com/office/drawing/2012/chart">
                      <c:ext xmlns:c15="http://schemas.microsoft.com/office/drawing/2012/chart" uri="{02D57815-91ED-43cb-92C2-25804820EDAC}">
                        <c15:formulaRef>
                          <c15:sqref>OT!$E$2:$E$11</c15:sqref>
                        </c15:formulaRef>
                      </c:ext>
                    </c:extLst>
                    <c:numCache>
                      <c:formatCode>0%</c:formatCode>
                      <c:ptCount val="10"/>
                      <c:pt idx="0">
                        <c:v>0</c:v>
                      </c:pt>
                      <c:pt idx="1">
                        <c:v>3.2597402597402598</c:v>
                      </c:pt>
                      <c:pt idx="2">
                        <c:v>-0.12804878048780488</c:v>
                      </c:pt>
                      <c:pt idx="3">
                        <c:v>0.13636363636363635</c:v>
                      </c:pt>
                      <c:pt idx="4">
                        <c:v>0.50461538461538458</c:v>
                      </c:pt>
                      <c:pt idx="5">
                        <c:v>1.4314928425357873E-2</c:v>
                      </c:pt>
                      <c:pt idx="6">
                        <c:v>0.24596774193548387</c:v>
                      </c:pt>
                      <c:pt idx="7">
                        <c:v>3.0744336569579287E-2</c:v>
                      </c:pt>
                      <c:pt idx="8">
                        <c:v>0.29199372056514916</c:v>
                      </c:pt>
                      <c:pt idx="9">
                        <c:v>0.69501822600243013</c:v>
                      </c:pt>
                    </c:numCache>
                  </c:numRef>
                </c:val>
                <c:smooth val="0"/>
                <c:extLst xmlns:c15="http://schemas.microsoft.com/office/drawing/2012/chart">
                  <c:ext xmlns:c16="http://schemas.microsoft.com/office/drawing/2014/chart" uri="{C3380CC4-5D6E-409C-BE32-E72D297353CC}">
                    <c16:uniqueId val="{00000003-1218-41F6-89AD-C158A5D8AFB1}"/>
                  </c:ext>
                </c:extLst>
              </c15:ser>
            </c15:filteredLineSeries>
          </c:ext>
        </c:extLst>
      </c:lineChart>
      <c:catAx>
        <c:axId val="451896432"/>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900696"/>
        <c:crosses val="autoZero"/>
        <c:auto val="1"/>
        <c:lblAlgn val="ctr"/>
        <c:lblOffset val="100"/>
        <c:noMultiLvlLbl val="0"/>
      </c:catAx>
      <c:valAx>
        <c:axId val="451900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8964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Protected disclosures</a:t>
            </a:r>
            <a:r>
              <a:rPr lang="en-NZ" baseline="0"/>
              <a:t>, enquiries and monitoring received and completed </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Z"/>
        </a:p>
      </c:txPr>
    </c:title>
    <c:autoTitleDeleted val="0"/>
    <c:plotArea>
      <c:layout/>
      <c:lineChart>
        <c:grouping val="standard"/>
        <c:varyColors val="0"/>
        <c:ser>
          <c:idx val="0"/>
          <c:order val="0"/>
          <c:tx>
            <c:strRef>
              <c:f>'PDA Throughput'!$B$2</c:f>
              <c:strCache>
                <c:ptCount val="1"/>
                <c:pt idx="0">
                  <c:v>Received</c:v>
                </c:pt>
              </c:strCache>
            </c:strRef>
          </c:tx>
          <c:spPr>
            <a:ln w="28575" cap="rnd">
              <a:solidFill>
                <a:schemeClr val="accent1"/>
              </a:solidFill>
              <a:round/>
            </a:ln>
            <a:effectLst/>
          </c:spPr>
          <c:marker>
            <c:symbol val="none"/>
          </c:marker>
          <c:cat>
            <c:strRef>
              <c:f>'PDA Throughput'!$A$10:$A$19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'PDA Throughput'!$B$10:$B$19</c:f>
              <c:numCache>
                <c:formatCode>General</c:formatCode>
                <c:ptCount val="10"/>
                <c:pt idx="0">
                  <c:v>45</c:v>
                </c:pt>
                <c:pt idx="1">
                  <c:v>77</c:v>
                </c:pt>
                <c:pt idx="2">
                  <c:v>88</c:v>
                </c:pt>
                <c:pt idx="3">
                  <c:v>78</c:v>
                </c:pt>
                <c:pt idx="4">
                  <c:v>116</c:v>
                </c:pt>
                <c:pt idx="5">
                  <c:v>71</c:v>
                </c:pt>
                <c:pt idx="6">
                  <c:v>128</c:v>
                </c:pt>
                <c:pt idx="7">
                  <c:v>206</c:v>
                </c:pt>
                <c:pt idx="8">
                  <c:v>287</c:v>
                </c:pt>
                <c:pt idx="9">
                  <c:v>330</c:v>
                </c:pt>
              </c:numCache>
            </c:numRef>
          </c:val>
          <c:smooth val="0"/>
          <c:extLst>
            <c:ext xmlns:c16="http://schemas.microsoft.com/office/drawing/2014/chart" uri="{C3380CC4-5D6E-409C-BE32-E72D297353CC}">
              <c16:uniqueId val="{00000000-BEA5-4901-84FA-450A3EAFCBC5}"/>
            </c:ext>
          </c:extLst>
        </c:ser>
        <c:ser>
          <c:idx val="2"/>
          <c:order val="2"/>
          <c:tx>
            <c:strRef>
              <c:f>'PDA Throughput'!$D$2</c:f>
              <c:strCache>
                <c:ptCount val="1"/>
                <c:pt idx="0">
                  <c:v>Completed</c:v>
                </c:pt>
              </c:strCache>
            </c:strRef>
          </c:tx>
          <c:spPr>
            <a:ln w="28575" cap="rnd">
              <a:solidFill>
                <a:schemeClr val="accent3"/>
              </a:solidFill>
              <a:round/>
            </a:ln>
            <a:effectLst/>
          </c:spPr>
          <c:marker>
            <c:symbol val="none"/>
          </c:marker>
          <c:cat>
            <c:strRef>
              <c:f>'PDA Throughput'!$A$10:$A$19</c:f>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f>'PDA Throughput'!$D$10:$D$19</c:f>
              <c:numCache>
                <c:formatCode>General</c:formatCode>
                <c:ptCount val="10"/>
                <c:pt idx="0">
                  <c:v>44</c:v>
                </c:pt>
                <c:pt idx="1">
                  <c:v>79</c:v>
                </c:pt>
                <c:pt idx="2">
                  <c:v>90</c:v>
                </c:pt>
                <c:pt idx="3">
                  <c:v>74</c:v>
                </c:pt>
                <c:pt idx="4">
                  <c:v>116</c:v>
                </c:pt>
                <c:pt idx="5">
                  <c:v>70</c:v>
                </c:pt>
                <c:pt idx="6">
                  <c:v>85</c:v>
                </c:pt>
                <c:pt idx="7">
                  <c:v>220</c:v>
                </c:pt>
                <c:pt idx="8">
                  <c:v>278</c:v>
                </c:pt>
                <c:pt idx="9">
                  <c:v>354</c:v>
                </c:pt>
              </c:numCache>
            </c:numRef>
          </c:val>
          <c:smooth val="0"/>
          <c:extLst>
            <c:ext xmlns:c16="http://schemas.microsoft.com/office/drawing/2014/chart" uri="{C3380CC4-5D6E-409C-BE32-E72D297353CC}">
              <c16:uniqueId val="{00000001-BEA5-4901-84FA-450A3EAFCBC5}"/>
            </c:ext>
          </c:extLst>
        </c:ser>
        <c:dLbls>
          <c:showLegendKey val="0"/>
          <c:showVal val="0"/>
          <c:showCatName val="0"/>
          <c:showSerName val="0"/>
          <c:showPercent val="0"/>
          <c:showBubbleSize val="0"/>
        </c:dLbls>
        <c:smooth val="0"/>
        <c:axId val="451896432"/>
        <c:axId val="451900696"/>
        <c:extLst>
          <c:ext xmlns:c15="http://schemas.microsoft.com/office/drawing/2012/chart" uri="{02D57815-91ED-43cb-92C2-25804820EDAC}">
            <c15:filteredLineSeries>
              <c15:ser>
                <c:idx val="1"/>
                <c:order val="1"/>
                <c:tx>
                  <c:strRef>
                    <c:extLst>
                      <c:ext uri="{02D57815-91ED-43cb-92C2-25804820EDAC}">
                        <c15:formulaRef>
                          <c15:sqref>'PDA Throughput'!$C$2</c15:sqref>
                        </c15:formulaRef>
                      </c:ext>
                    </c:extLst>
                    <c:strCache>
                      <c:ptCount val="1"/>
                      <c:pt idx="0">
                        <c:v>YoY change</c:v>
                      </c:pt>
                    </c:strCache>
                  </c:strRef>
                </c:tx>
                <c:spPr>
                  <a:ln w="28575" cap="rnd">
                    <a:solidFill>
                      <a:schemeClr val="accent2"/>
                    </a:solidFill>
                    <a:round/>
                  </a:ln>
                  <a:effectLst/>
                </c:spPr>
                <c:marker>
                  <c:symbol val="none"/>
                </c:marker>
                <c:cat>
                  <c:strRef>
                    <c:extLst>
                      <c:ext uri="{02D57815-91ED-43cb-92C2-25804820EDAC}">
                        <c15:formulaRef>
                          <c15:sqref>'PDA Throughput'!$A$10:$A$19</c15:sqref>
                        </c15:formulaRef>
                      </c:ext>
                    </c:extLst>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extLst>
                      <c:ext uri="{02D57815-91ED-43cb-92C2-25804820EDAC}">
                        <c15:formulaRef>
                          <c15:sqref>'PDA Throughput'!$C$10:$C$19</c15:sqref>
                        </c15:formulaRef>
                      </c:ext>
                    </c:extLst>
                    <c:numCache>
                      <c:formatCode>0%</c:formatCode>
                      <c:ptCount val="10"/>
                      <c:pt idx="0">
                        <c:v>9.7560975609756101E-2</c:v>
                      </c:pt>
                      <c:pt idx="1">
                        <c:v>0.71111111111111114</c:v>
                      </c:pt>
                      <c:pt idx="2">
                        <c:v>0.14285714285714285</c:v>
                      </c:pt>
                      <c:pt idx="3">
                        <c:v>-0.11363636363636363</c:v>
                      </c:pt>
                      <c:pt idx="4">
                        <c:v>0.48717948717948717</c:v>
                      </c:pt>
                      <c:pt idx="5">
                        <c:v>-0.38793103448275862</c:v>
                      </c:pt>
                      <c:pt idx="6">
                        <c:v>0.80281690140845074</c:v>
                      </c:pt>
                      <c:pt idx="7">
                        <c:v>0.609375</c:v>
                      </c:pt>
                      <c:pt idx="8">
                        <c:v>0.39320388349514562</c:v>
                      </c:pt>
                      <c:pt idx="9">
                        <c:v>0.14982578397212543</c:v>
                      </c:pt>
                    </c:numCache>
                  </c:numRef>
                </c:val>
                <c:smooth val="0"/>
                <c:extLst>
                  <c:ext xmlns:c16="http://schemas.microsoft.com/office/drawing/2014/chart" uri="{C3380CC4-5D6E-409C-BE32-E72D297353CC}">
                    <c16:uniqueId val="{00000002-BEA5-4901-84FA-450A3EAFCBC5}"/>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'PDA Throughput'!$E$2</c15:sqref>
                        </c15:formulaRef>
                      </c:ext>
                    </c:extLst>
                    <c:strCache>
                      <c:ptCount val="1"/>
                      <c:pt idx="0">
                        <c:v>YoY change</c:v>
                      </c:pt>
                    </c:strCache>
                  </c:strRef>
                </c:tx>
                <c:spPr>
                  <a:ln w="28575" cap="rnd">
                    <a:solidFill>
                      <a:schemeClr val="accent4"/>
                    </a:solidFill>
                    <a:round/>
                  </a:ln>
                  <a:effectLst/>
                </c:spPr>
                <c:marker>
                  <c:symbol val="none"/>
                </c:marker>
                <c:cat>
                  <c:strRef>
                    <c:extLst xmlns:c15="http://schemas.microsoft.com/office/drawing/2012/chart">
                      <c:ext xmlns:c15="http://schemas.microsoft.com/office/drawing/2012/chart" uri="{02D57815-91ED-43cb-92C2-25804820EDAC}">
                        <c15:formulaRef>
                          <c15:sqref>'PDA Throughput'!$A$10:$A$19</c15:sqref>
                        </c15:formulaRef>
                      </c:ext>
                    </c:extLst>
                    <c:strCache>
                      <c:ptCount val="10"/>
                      <c:pt idx="0">
                        <c:v>2016/17</c:v>
                      </c:pt>
                      <c:pt idx="1">
                        <c:v>2017/18</c:v>
                      </c:pt>
                      <c:pt idx="2">
                        <c:v>2018/19</c:v>
                      </c:pt>
                      <c:pt idx="3">
                        <c:v>2019/20</c:v>
                      </c:pt>
                      <c:pt idx="4">
                        <c:v>2020/21</c:v>
                      </c:pt>
                      <c:pt idx="5">
                        <c:v>2021/22</c:v>
                      </c:pt>
                      <c:pt idx="6">
                        <c:v>2022/23</c:v>
                      </c:pt>
                      <c:pt idx="7">
                        <c:v>2023/24</c:v>
                      </c:pt>
                      <c:pt idx="8">
                        <c:v>2024/25</c:v>
                      </c:pt>
                      <c:pt idx="9">
                        <c:v>2025/26</c:v>
                      </c:pt>
                    </c:strCache>
                  </c:strRef>
                </c:cat>
                <c:val>
                  <c:numRef>
                    <c:extLst xmlns:c15="http://schemas.microsoft.com/office/drawing/2012/chart">
                      <c:ext xmlns:c15="http://schemas.microsoft.com/office/drawing/2012/chart" uri="{02D57815-91ED-43cb-92C2-25804820EDAC}">
                        <c15:formulaRef>
                          <c15:sqref>'PDA Throughput'!$E$10:$E$19</c15:sqref>
                        </c15:formulaRef>
                      </c:ext>
                    </c:extLst>
                    <c:numCache>
                      <c:formatCode>0%</c:formatCode>
                      <c:ptCount val="10"/>
                      <c:pt idx="0">
                        <c:v>4.7619047619047616E-2</c:v>
                      </c:pt>
                      <c:pt idx="1">
                        <c:v>0.79545454545454541</c:v>
                      </c:pt>
                      <c:pt idx="2">
                        <c:v>0.13924050632911392</c:v>
                      </c:pt>
                      <c:pt idx="3">
                        <c:v>-0.17777777777777778</c:v>
                      </c:pt>
                      <c:pt idx="4">
                        <c:v>0.56756756756756754</c:v>
                      </c:pt>
                      <c:pt idx="5">
                        <c:v>-0.39655172413793105</c:v>
                      </c:pt>
                      <c:pt idx="6">
                        <c:v>0.21428571428571427</c:v>
                      </c:pt>
                      <c:pt idx="7">
                        <c:v>1.588235294117647</c:v>
                      </c:pt>
                      <c:pt idx="8">
                        <c:v>0.26363636363636361</c:v>
                      </c:pt>
                      <c:pt idx="9">
                        <c:v>0.2733812949640288</c:v>
                      </c:pt>
                    </c:numCache>
                  </c:numRef>
                </c:val>
                <c:smooth val="0"/>
                <c:extLst xmlns:c15="http://schemas.microsoft.com/office/drawing/2012/chart">
                  <c:ext xmlns:c16="http://schemas.microsoft.com/office/drawing/2014/chart" uri="{C3380CC4-5D6E-409C-BE32-E72D297353CC}">
                    <c16:uniqueId val="{00000003-BEA5-4901-84FA-450A3EAFCBC5}"/>
                  </c:ext>
                </c:extLst>
              </c15:ser>
            </c15:filteredLineSeries>
          </c:ext>
        </c:extLst>
      </c:lineChart>
      <c:catAx>
        <c:axId val="451896432"/>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900696"/>
        <c:crosses val="autoZero"/>
        <c:auto val="1"/>
        <c:lblAlgn val="ctr"/>
        <c:lblOffset val="100"/>
        <c:noMultiLvlLbl val="0"/>
      </c:catAx>
      <c:valAx>
        <c:axId val="451900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8964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Awareness</a:t>
            </a:r>
            <a:r>
              <a:rPr lang="en-NZ" baseline="0"/>
              <a:t> of the PDA public survey</a:t>
            </a:r>
            <a:endParaRPr lang="en-N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NZ"/>
        </a:p>
      </c:txPr>
    </c:title>
    <c:autoTitleDeleted val="0"/>
    <c:plotArea>
      <c:layout>
        <c:manualLayout>
          <c:layoutTarget val="inner"/>
          <c:xMode val="edge"/>
          <c:yMode val="edge"/>
          <c:x val="7.5207944134967647E-2"/>
          <c:y val="0.14776892430278885"/>
          <c:w val="0.89898005328383213"/>
          <c:h val="0.49337108259873891"/>
        </c:manualLayout>
      </c:layout>
      <c:lineChart>
        <c:grouping val="standard"/>
        <c:varyColors val="0"/>
        <c:ser>
          <c:idx val="0"/>
          <c:order val="0"/>
          <c:tx>
            <c:strRef>
              <c:f>PDA!$A$2</c:f>
              <c:strCache>
                <c:ptCount val="1"/>
                <c:pt idx="0">
                  <c:v>Has heard of the PDA</c:v>
                </c:pt>
              </c:strCache>
            </c:strRef>
          </c:tx>
          <c:spPr>
            <a:ln w="28575" cap="rnd">
              <a:solidFill>
                <a:schemeClr val="accent1"/>
              </a:solidFill>
              <a:round/>
            </a:ln>
            <a:effectLst/>
          </c:spPr>
          <c:marker>
            <c:symbol val="none"/>
          </c:marker>
          <c:cat>
            <c:strRef>
              <c:f>PDA!$B$1:$G$1</c:f>
              <c:strCache>
                <c:ptCount val="6"/>
                <c:pt idx="0">
                  <c:v>20-21</c:v>
                </c:pt>
                <c:pt idx="1">
                  <c:v>21-22</c:v>
                </c:pt>
                <c:pt idx="2">
                  <c:v>22-23</c:v>
                </c:pt>
                <c:pt idx="3">
                  <c:v>23-24</c:v>
                </c:pt>
                <c:pt idx="4">
                  <c:v>24-25</c:v>
                </c:pt>
                <c:pt idx="5">
                  <c:v>25-26</c:v>
                </c:pt>
              </c:strCache>
            </c:strRef>
          </c:cat>
          <c:val>
            <c:numRef>
              <c:f>PDA!$B$2:$G$2</c:f>
              <c:numCache>
                <c:formatCode>0%</c:formatCode>
                <c:ptCount val="6"/>
                <c:pt idx="0">
                  <c:v>0.16</c:v>
                </c:pt>
                <c:pt idx="1">
                  <c:v>0.14000000000000001</c:v>
                </c:pt>
                <c:pt idx="2">
                  <c:v>0.2</c:v>
                </c:pt>
                <c:pt idx="3">
                  <c:v>0.25</c:v>
                </c:pt>
                <c:pt idx="4">
                  <c:v>0.36</c:v>
                </c:pt>
                <c:pt idx="5">
                  <c:v>0.3</c:v>
                </c:pt>
              </c:numCache>
            </c:numRef>
          </c:val>
          <c:smooth val="0"/>
          <c:extLst>
            <c:ext xmlns:c16="http://schemas.microsoft.com/office/drawing/2014/chart" uri="{C3380CC4-5D6E-409C-BE32-E72D297353CC}">
              <c16:uniqueId val="{00000000-1B15-4A71-AE24-C094946CF5B0}"/>
            </c:ext>
          </c:extLst>
        </c:ser>
        <c:ser>
          <c:idx val="1"/>
          <c:order val="1"/>
          <c:tx>
            <c:strRef>
              <c:f>PDA!$A$3</c:f>
              <c:strCache>
                <c:ptCount val="1"/>
                <c:pt idx="0">
                  <c:v>Has witnessed serious wrongdoing at work</c:v>
                </c:pt>
              </c:strCache>
            </c:strRef>
          </c:tx>
          <c:spPr>
            <a:ln w="28575" cap="rnd">
              <a:solidFill>
                <a:schemeClr val="accent2"/>
              </a:solidFill>
              <a:round/>
            </a:ln>
            <a:effectLst/>
          </c:spPr>
          <c:marker>
            <c:symbol val="none"/>
          </c:marker>
          <c:cat>
            <c:strRef>
              <c:f>PDA!$B$1:$G$1</c:f>
              <c:strCache>
                <c:ptCount val="6"/>
                <c:pt idx="0">
                  <c:v>20-21</c:v>
                </c:pt>
                <c:pt idx="1">
                  <c:v>21-22</c:v>
                </c:pt>
                <c:pt idx="2">
                  <c:v>22-23</c:v>
                </c:pt>
                <c:pt idx="3">
                  <c:v>23-24</c:v>
                </c:pt>
                <c:pt idx="4">
                  <c:v>24-25</c:v>
                </c:pt>
                <c:pt idx="5">
                  <c:v>25-26</c:v>
                </c:pt>
              </c:strCache>
            </c:strRef>
          </c:cat>
          <c:val>
            <c:numRef>
              <c:f>PDA!$B$3:$G$3</c:f>
              <c:numCache>
                <c:formatCode>0%</c:formatCode>
                <c:ptCount val="6"/>
                <c:pt idx="0">
                  <c:v>0.26</c:v>
                </c:pt>
                <c:pt idx="1">
                  <c:v>0.24</c:v>
                </c:pt>
                <c:pt idx="2">
                  <c:v>0.23</c:v>
                </c:pt>
                <c:pt idx="3">
                  <c:v>0.25</c:v>
                </c:pt>
                <c:pt idx="4">
                  <c:v>0.31</c:v>
                </c:pt>
                <c:pt idx="5">
                  <c:v>0.24</c:v>
                </c:pt>
              </c:numCache>
            </c:numRef>
          </c:val>
          <c:smooth val="0"/>
          <c:extLst>
            <c:ext xmlns:c16="http://schemas.microsoft.com/office/drawing/2014/chart" uri="{C3380CC4-5D6E-409C-BE32-E72D297353CC}">
              <c16:uniqueId val="{00000001-1B15-4A71-AE24-C094946CF5B0}"/>
            </c:ext>
          </c:extLst>
        </c:ser>
        <c:ser>
          <c:idx val="2"/>
          <c:order val="2"/>
          <c:tx>
            <c:strRef>
              <c:f>PDA!$A$4</c:f>
              <c:strCache>
                <c:ptCount val="1"/>
                <c:pt idx="0">
                  <c:v>Would feel safe if made a disclosure</c:v>
                </c:pt>
              </c:strCache>
            </c:strRef>
          </c:tx>
          <c:spPr>
            <a:ln w="28575" cap="rnd">
              <a:solidFill>
                <a:schemeClr val="accent3"/>
              </a:solidFill>
              <a:round/>
            </a:ln>
            <a:effectLst/>
          </c:spPr>
          <c:marker>
            <c:symbol val="none"/>
          </c:marker>
          <c:cat>
            <c:strRef>
              <c:f>PDA!$B$1:$G$1</c:f>
              <c:strCache>
                <c:ptCount val="6"/>
                <c:pt idx="0">
                  <c:v>20-21</c:v>
                </c:pt>
                <c:pt idx="1">
                  <c:v>21-22</c:v>
                </c:pt>
                <c:pt idx="2">
                  <c:v>22-23</c:v>
                </c:pt>
                <c:pt idx="3">
                  <c:v>23-24</c:v>
                </c:pt>
                <c:pt idx="4">
                  <c:v>24-25</c:v>
                </c:pt>
                <c:pt idx="5">
                  <c:v>25-26</c:v>
                </c:pt>
              </c:strCache>
            </c:strRef>
          </c:cat>
          <c:val>
            <c:numRef>
              <c:f>PDA!$B$4:$G$4</c:f>
              <c:numCache>
                <c:formatCode>0%</c:formatCode>
                <c:ptCount val="6"/>
                <c:pt idx="0">
                  <c:v>0.4</c:v>
                </c:pt>
                <c:pt idx="1">
                  <c:v>0.42</c:v>
                </c:pt>
                <c:pt idx="2">
                  <c:v>0.39</c:v>
                </c:pt>
                <c:pt idx="3">
                  <c:v>0.44</c:v>
                </c:pt>
                <c:pt idx="4">
                  <c:v>0.48</c:v>
                </c:pt>
                <c:pt idx="5">
                  <c:v>0.44</c:v>
                </c:pt>
              </c:numCache>
            </c:numRef>
          </c:val>
          <c:smooth val="0"/>
          <c:extLst>
            <c:ext xmlns:c16="http://schemas.microsoft.com/office/drawing/2014/chart" uri="{C3380CC4-5D6E-409C-BE32-E72D297353CC}">
              <c16:uniqueId val="{00000002-1B15-4A71-AE24-C094946CF5B0}"/>
            </c:ext>
          </c:extLst>
        </c:ser>
        <c:ser>
          <c:idx val="3"/>
          <c:order val="3"/>
          <c:tx>
            <c:strRef>
              <c:f>PDA!$A$5</c:f>
              <c:strCache>
                <c:ptCount val="1"/>
                <c:pt idx="0">
                  <c:v>Would contact the Ombudsman for advice</c:v>
                </c:pt>
              </c:strCache>
            </c:strRef>
          </c:tx>
          <c:spPr>
            <a:ln w="28575" cap="rnd">
              <a:solidFill>
                <a:schemeClr val="accent4"/>
              </a:solidFill>
              <a:round/>
            </a:ln>
            <a:effectLst/>
          </c:spPr>
          <c:marker>
            <c:symbol val="none"/>
          </c:marker>
          <c:cat>
            <c:strRef>
              <c:f>PDA!$B$1:$G$1</c:f>
              <c:strCache>
                <c:ptCount val="6"/>
                <c:pt idx="0">
                  <c:v>20-21</c:v>
                </c:pt>
                <c:pt idx="1">
                  <c:v>21-22</c:v>
                </c:pt>
                <c:pt idx="2">
                  <c:v>22-23</c:v>
                </c:pt>
                <c:pt idx="3">
                  <c:v>23-24</c:v>
                </c:pt>
                <c:pt idx="4">
                  <c:v>24-25</c:v>
                </c:pt>
                <c:pt idx="5">
                  <c:v>25-26</c:v>
                </c:pt>
              </c:strCache>
            </c:strRef>
          </c:cat>
          <c:val>
            <c:numRef>
              <c:f>PDA!$B$5:$G$5</c:f>
              <c:numCache>
                <c:formatCode>0%</c:formatCode>
                <c:ptCount val="6"/>
                <c:pt idx="0">
                  <c:v>0.55000000000000004</c:v>
                </c:pt>
                <c:pt idx="1">
                  <c:v>0.59</c:v>
                </c:pt>
                <c:pt idx="2">
                  <c:v>0.61</c:v>
                </c:pt>
                <c:pt idx="3">
                  <c:v>0.63</c:v>
                </c:pt>
                <c:pt idx="4">
                  <c:v>0.67</c:v>
                </c:pt>
                <c:pt idx="5">
                  <c:v>0.63</c:v>
                </c:pt>
              </c:numCache>
            </c:numRef>
          </c:val>
          <c:smooth val="0"/>
          <c:extLst>
            <c:ext xmlns:c16="http://schemas.microsoft.com/office/drawing/2014/chart" uri="{C3380CC4-5D6E-409C-BE32-E72D297353CC}">
              <c16:uniqueId val="{00000003-1B15-4A71-AE24-C094946CF5B0}"/>
            </c:ext>
          </c:extLst>
        </c:ser>
        <c:ser>
          <c:idx val="4"/>
          <c:order val="4"/>
          <c:tx>
            <c:strRef>
              <c:f>PDA!$A$6</c:f>
              <c:strCache>
                <c:ptCount val="1"/>
                <c:pt idx="0">
                  <c:v>Made a protected disclosure after witnessing wrongdoing</c:v>
                </c:pt>
              </c:strCache>
            </c:strRef>
          </c:tx>
          <c:spPr>
            <a:ln w="28575" cap="rnd">
              <a:solidFill>
                <a:schemeClr val="accent5"/>
              </a:solidFill>
              <a:round/>
            </a:ln>
            <a:effectLst/>
          </c:spPr>
          <c:marker>
            <c:symbol val="none"/>
          </c:marker>
          <c:cat>
            <c:strRef>
              <c:f>PDA!$B$1:$G$1</c:f>
              <c:strCache>
                <c:ptCount val="6"/>
                <c:pt idx="0">
                  <c:v>20-21</c:v>
                </c:pt>
                <c:pt idx="1">
                  <c:v>21-22</c:v>
                </c:pt>
                <c:pt idx="2">
                  <c:v>22-23</c:v>
                </c:pt>
                <c:pt idx="3">
                  <c:v>23-24</c:v>
                </c:pt>
                <c:pt idx="4">
                  <c:v>24-25</c:v>
                </c:pt>
                <c:pt idx="5">
                  <c:v>25-26</c:v>
                </c:pt>
              </c:strCache>
            </c:strRef>
          </c:cat>
          <c:val>
            <c:numRef>
              <c:f>PDA!$B$6:$G$6</c:f>
              <c:numCache>
                <c:formatCode>0%</c:formatCode>
                <c:ptCount val="6"/>
                <c:pt idx="0">
                  <c:v>0.49</c:v>
                </c:pt>
                <c:pt idx="1">
                  <c:v>0.41</c:v>
                </c:pt>
                <c:pt idx="2">
                  <c:v>0.4</c:v>
                </c:pt>
                <c:pt idx="3">
                  <c:v>0.41</c:v>
                </c:pt>
                <c:pt idx="4">
                  <c:v>0.5</c:v>
                </c:pt>
                <c:pt idx="5">
                  <c:v>0.37</c:v>
                </c:pt>
              </c:numCache>
            </c:numRef>
          </c:val>
          <c:smooth val="0"/>
          <c:extLst>
            <c:ext xmlns:c16="http://schemas.microsoft.com/office/drawing/2014/chart" uri="{C3380CC4-5D6E-409C-BE32-E72D297353CC}">
              <c16:uniqueId val="{00000004-1B15-4A71-AE24-C094946CF5B0}"/>
            </c:ext>
          </c:extLst>
        </c:ser>
        <c:dLbls>
          <c:showLegendKey val="0"/>
          <c:showVal val="0"/>
          <c:showCatName val="0"/>
          <c:showSerName val="0"/>
          <c:showPercent val="0"/>
          <c:showBubbleSize val="0"/>
        </c:dLbls>
        <c:smooth val="0"/>
        <c:axId val="556340048"/>
        <c:axId val="556339568"/>
      </c:lineChart>
      <c:catAx>
        <c:axId val="556340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339568"/>
        <c:crosses val="autoZero"/>
        <c:auto val="1"/>
        <c:lblAlgn val="ctr"/>
        <c:lblOffset val="100"/>
        <c:noMultiLvlLbl val="0"/>
      </c:catAx>
      <c:valAx>
        <c:axId val="556339568"/>
        <c:scaling>
          <c:orientation val="minMax"/>
          <c:max val="1"/>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340048"/>
        <c:crosses val="autoZero"/>
        <c:crossBetween val="between"/>
        <c:majorUnit val="0.2"/>
      </c:valAx>
      <c:spPr>
        <a:noFill/>
        <a:ln>
          <a:noFill/>
        </a:ln>
        <a:effectLst/>
      </c:spPr>
    </c:plotArea>
    <c:legend>
      <c:legendPos val="b"/>
      <c:layout>
        <c:manualLayout>
          <c:xMode val="edge"/>
          <c:yMode val="edge"/>
          <c:x val="4.2964959020905344E-2"/>
          <c:y val="0.72957932051322283"/>
          <c:w val="0.91622091280319362"/>
          <c:h val="0.258468488251717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87C58-4B58-446A-8013-C9F610FFC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24109</Words>
  <Characters>137426</Characters>
  <Application>Microsoft Office Word</Application>
  <DocSecurity>0</DocSecurity>
  <Lines>1145</Lines>
  <Paragraphs>322</Paragraphs>
  <ScaleCrop>false</ScaleCrop>
  <Company/>
  <LinksUpToDate>false</LinksUpToDate>
  <CharactersWithSpaces>161213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2026-10-18T22:36:00Z</dcterms:created>
  <dcterms:modified xsi:type="dcterms:W3CDTF">2026-10-18T22:36:00Z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2026-10-18T22:36:15Z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36e44e9a-4476-410d-b73c-1cd105f0521b</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