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86884A" w14:textId="77777777" w:rsidR="00FB0E28" w:rsidRDefault="004D6486">
      <w:pPr>
        <w:spacing w:after="200" w:line="276" w:lineRule="auto"/>
        <w:sectPr w:rsidR="00FB0E28" w:rsidSect="00C2020E">
          <w:footerReference w:type="default" r:id="rId8"/>
          <w:endnotePr>
            <w:numFmt w:val="decimal"/>
          </w:endnotePr>
          <w:type w:val="continuous"/>
          <w:pgSz w:w="11906" w:h="16838" w:code="9"/>
          <w:pgMar w:top="1701" w:right="1304" w:bottom="1701" w:left="1304" w:header="680" w:footer="680" w:gutter="0"/>
          <w:pgNumType w:fmt="lowerRoman" w:start="1"/>
          <w:cols w:space="708"/>
          <w:titlePg/>
          <w:docGrid w:linePitch="360"/>
        </w:sectPr>
      </w:pPr>
      <w:r>
        <w:rPr>
          <w:noProof/>
          <w:lang w:eastAsia="en-NZ"/>
        </w:rPr>
        <w:drawing>
          <wp:anchor distT="0" distB="0" distL="114300" distR="114300" simplePos="0" relativeHeight="251662336" behindDoc="0" locked="0" layoutInCell="1" allowOverlap="1" wp14:anchorId="49A5102A" wp14:editId="43C2012E">
            <wp:simplePos x="0" y="0"/>
            <wp:positionH relativeFrom="column">
              <wp:posOffset>635</wp:posOffset>
            </wp:positionH>
            <wp:positionV relativeFrom="paragraph">
              <wp:posOffset>-1482</wp:posOffset>
            </wp:positionV>
            <wp:extent cx="5902828" cy="8511497"/>
            <wp:effectExtent l="0" t="0" r="3175"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9">
                      <a:extLst>
                        <a:ext uri="{96DAC541-7B7A-43D3-8B79-37D633B846F1}">
                          <asvg:svgBlip xmlns:asvg="http://schemas.microsoft.com/office/drawing/2016/SVG/main" r:embed="rId10"/>
                        </a:ext>
                      </a:extLst>
                    </a:blip>
                    <a:stretch>
                      <a:fillRect/>
                    </a:stretch>
                  </pic:blipFill>
                  <pic:spPr>
                    <a:xfrm>
                      <a:off x="0" y="0"/>
                      <a:ext cx="5902828" cy="8511497"/>
                    </a:xfrm>
                    <a:prstGeom prst="rect">
                      <a:avLst/>
                    </a:prstGeom>
                  </pic:spPr>
                </pic:pic>
              </a:graphicData>
            </a:graphic>
            <wp14:sizeRelV relativeFrom="margin">
              <wp14:pctHeight>0</wp14:pctHeight>
            </wp14:sizeRelV>
          </wp:anchor>
        </w:drawing>
      </w:r>
      <w:r>
        <w:rPr>
          <w:noProof/>
          <w:lang w:eastAsia="en-NZ"/>
        </w:rPr>
        <mc:AlternateContent>
          <mc:Choice Requires="wps">
            <w:drawing>
              <wp:anchor distT="0" distB="0" distL="114300" distR="114300" simplePos="0" relativeHeight="251663360" behindDoc="0" locked="0" layoutInCell="1" allowOverlap="1" wp14:anchorId="6928C387" wp14:editId="5BE1F279">
                <wp:simplePos x="0" y="0"/>
                <wp:positionH relativeFrom="column">
                  <wp:posOffset>-2279</wp:posOffset>
                </wp:positionH>
                <wp:positionV relativeFrom="paragraph">
                  <wp:posOffset>5623866</wp:posOffset>
                </wp:positionV>
                <wp:extent cx="5903998" cy="2922647"/>
                <wp:effectExtent l="0" t="0" r="1905" b="0"/>
                <wp:wrapNone/>
                <wp:docPr id="6" name="Rectangle 6"/>
                <wp:cNvGraphicFramePr/>
                <a:graphic xmlns:a="http://schemas.openxmlformats.org/drawingml/2006/main">
                  <a:graphicData uri="http://schemas.microsoft.com/office/word/2010/wordprocessingShape">
                    <wps:wsp>
                      <wps:cNvSpPr/>
                      <wps:spPr>
                        <a:xfrm>
                          <a:off x="0" y="0"/>
                          <a:ext cx="5903998" cy="2922647"/>
                        </a:xfrm>
                        <a:prstGeom prst="rect">
                          <a:avLst/>
                        </a:prstGeom>
                        <a:solidFill>
                          <a:srgbClr val="2BB67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63D5AE2" id="Rectangle 6" o:spid="_x0000_s1026" style="position:absolute;margin-left:-.2pt;margin-top:442.8pt;width:464.9pt;height:230.1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" fillcolor="#2bb673" stroked="f" strokeweight="2pt"/>
            </w:pict>
          </mc:Fallback>
        </mc:AlternateContent>
      </w:r>
      <w:r>
        <w:rPr>
          <w:noProof/>
          <w:lang w:eastAsia="en-NZ"/>
        </w:rPr>
        <mc:AlternateContent>
          <mc:Choice Requires="wps">
            <w:drawing>
              <wp:anchor distT="0" distB="0" distL="114300" distR="114300" simplePos="0" relativeHeight="251664384" behindDoc="0" locked="0" layoutInCell="1" allowOverlap="1" wp14:anchorId="06200366" wp14:editId="152F01B3">
                <wp:simplePos x="0" y="0"/>
                <wp:positionH relativeFrom="column">
                  <wp:posOffset>-2279</wp:posOffset>
                </wp:positionH>
                <wp:positionV relativeFrom="paragraph">
                  <wp:posOffset>5694228</wp:posOffset>
                </wp:positionV>
                <wp:extent cx="5903998" cy="2928924"/>
                <wp:effectExtent l="0" t="0" r="0" b="0"/>
                <wp:wrapNone/>
                <wp:docPr id="7" name="Text Box 7"/>
                <wp:cNvGraphicFramePr/>
                <a:graphic xmlns:a="http://schemas.openxmlformats.org/drawingml/2006/main">
                  <a:graphicData uri="http://schemas.microsoft.com/office/word/2010/wordprocessingShape">
                    <wps:wsp>
                      <wps:cNvSpPr txBox="1"/>
                      <wps:spPr>
                        <a:xfrm>
                          <a:off x="0" y="0"/>
                          <a:ext cx="5903998" cy="2928924"/>
                        </a:xfrm>
                        <a:prstGeom prst="rect">
                          <a:avLst/>
                        </a:prstGeom>
                        <a:noFill/>
                        <a:ln w="6350">
                          <a:noFill/>
                        </a:ln>
                      </wps:spPr>
                      <wps:txbx>
                        <w:txbxContent>
                          <w:p w14:paraId="50A3A0D6" w14:textId="06E9CF01" w:rsidR="008C6ACE" w:rsidRPr="00704C60" w:rsidRDefault="001A342A" w:rsidP="00DF69E8">
                            <w:pPr>
                              <w:pStyle w:val="OIPI-Cover-title1"/>
                            </w:pPr>
                            <w:r>
                              <w:t xml:space="preserve">Final </w:t>
                            </w:r>
                            <w:r w:rsidR="008C6ACE" w:rsidRPr="00704C60">
                              <w:t>opinion of the Chief Ombudsman</w:t>
                            </w:r>
                          </w:p>
                          <w:p w14:paraId="305E17A5" w14:textId="7E8631EB" w:rsidR="008C6ACE" w:rsidRPr="00D16793" w:rsidRDefault="008C6ACE" w:rsidP="00054F2D">
                            <w:pPr>
                              <w:pStyle w:val="OIPI-Cover-title2"/>
                              <w:spacing w:before="320" w:after="0"/>
                              <w:contextualSpacing w:val="0"/>
                            </w:pPr>
                            <w:r>
                              <w:t>Official Information</w:t>
                            </w:r>
                            <w:r w:rsidR="00A57A93">
                              <w:t xml:space="preserve"> </w:t>
                            </w:r>
                            <w:r>
                              <w:t xml:space="preserve">Act </w:t>
                            </w:r>
                            <w:r w:rsidRPr="00D16793">
                              <w:t>compliance and practice</w:t>
                            </w:r>
                            <w:r>
                              <w:t xml:space="preserve"> in</w:t>
                            </w:r>
                          </w:p>
                          <w:p w14:paraId="25AC3E43" w14:textId="79DFF4B6" w:rsidR="008C6ACE" w:rsidRDefault="00B220C6" w:rsidP="00054F2D">
                            <w:pPr>
                              <w:pStyle w:val="OIPI-Cover-agencyname"/>
                              <w:spacing w:after="0"/>
                            </w:pPr>
                            <w:r>
                              <w:t>Ministry for the Environment</w:t>
                            </w:r>
                            <w:r w:rsidR="007A14AE">
                              <w:t xml:space="preserve"> </w:t>
                            </w:r>
                            <w:r w:rsidR="003A21D8">
                              <w:t>|</w:t>
                            </w:r>
                            <w:r w:rsidR="007A14AE">
                              <w:t xml:space="preserve"> </w:t>
                            </w:r>
                            <w:r w:rsidR="003A21D8">
                              <w:br/>
                            </w:r>
                            <w:proofErr w:type="spellStart"/>
                            <w:r w:rsidR="007A14AE" w:rsidRPr="007A14AE">
                              <w:t>Te</w:t>
                            </w:r>
                            <w:proofErr w:type="spellEnd"/>
                            <w:r w:rsidR="007A14AE" w:rsidRPr="007A14AE">
                              <w:t xml:space="preserve"> </w:t>
                            </w:r>
                            <w:proofErr w:type="spellStart"/>
                            <w:r w:rsidR="007A14AE" w:rsidRPr="007A14AE">
                              <w:t>Manatū</w:t>
                            </w:r>
                            <w:proofErr w:type="spellEnd"/>
                            <w:r w:rsidR="007A14AE" w:rsidRPr="007A14AE">
                              <w:t xml:space="preserve"> </w:t>
                            </w:r>
                            <w:proofErr w:type="spellStart"/>
                            <w:r w:rsidR="007A14AE" w:rsidRPr="007A14AE">
                              <w:t>mō</w:t>
                            </w:r>
                            <w:proofErr w:type="spellEnd"/>
                            <w:r w:rsidR="007A14AE" w:rsidRPr="007A14AE">
                              <w:t xml:space="preserve"> </w:t>
                            </w:r>
                            <w:proofErr w:type="spellStart"/>
                            <w:r w:rsidR="007A14AE" w:rsidRPr="007A14AE">
                              <w:t>te</w:t>
                            </w:r>
                            <w:proofErr w:type="spellEnd"/>
                            <w:r w:rsidR="007A14AE" w:rsidRPr="007A14AE">
                              <w:t xml:space="preserve"> Taiao</w:t>
                            </w:r>
                          </w:p>
                          <w:p w14:paraId="5BDD4E28" w14:textId="44E8493E" w:rsidR="008C6ACE" w:rsidRPr="00054F2D" w:rsidRDefault="008A6A2E" w:rsidP="00DF69E8">
                            <w:pPr>
                              <w:pStyle w:val="OIPI-Cover-title4"/>
                            </w:pPr>
                            <w:r>
                              <w:t xml:space="preserve">June </w:t>
                            </w:r>
                            <w:r w:rsidR="008C6ACE">
                              <w:t>202</w:t>
                            </w:r>
                            <w:r w:rsidR="00A57A93">
                              <w:t>6</w:t>
                            </w:r>
                          </w:p>
                        </w:txbxContent>
                      </wps:txbx>
                      <wps:bodyPr rot="0" spcFirstLastPara="0" vertOverflow="overflow" horzOverflow="overflow" vert="horz" wrap="square" lIns="360000" tIns="252000" rIns="360000" bIns="252000" numCol="1" spcCol="0" rtlCol="0" fromWordArt="0" anchor="ctr" anchorCtr="0" forceAA="0" compatLnSpc="1">
                        <a:prstTxWarp prst="textNoShape">
                          <a:avLst/>
                        </a:prstTxWarp>
                        <a:noAutofit/>
                      </wps:bodyPr>
                    </wps:wsp>
                  </a:graphicData>
                </a:graphic>
              </wp:anchor>
            </w:drawing>
          </mc:Choice>
          <mc:Fallback>
            <w:pict>
              <v:shapetype w14:anchorId="06200366" id="_x0000_t202" coordsize="21600,21600" o:spt="202" path="m,l,21600r21600,l21600,xe">
                <v:stroke joinstyle="miter"/>
                <v:path gradientshapeok="t" o:connecttype="rect"/>
              </v:shapetype>
              <v:shape id="Text Box 7" o:spid="_x0000_s1026" type="#_x0000_t202" style="position:absolute;margin-left:-.2pt;margin-top:448.35pt;width:464.9pt;height:230.6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" filled="f" stroked="f" strokeweight=".5pt">
                <v:textbox inset="10mm,7mm,10mm,7mm">
                  <w:txbxContent>
                    <w:p w14:paraId="50A3A0D6" w14:textId="06E9CF01" w:rsidR="008C6ACE" w:rsidRPr="00704C60" w:rsidRDefault="001A342A" w:rsidP="00DF69E8">
                      <w:pPr>
                        <w:pStyle w:val="OIPI-Cover-title1"/>
                      </w:pPr>
                      <w:r>
                        <w:t xml:space="preserve">Final </w:t>
                      </w:r>
                      <w:r w:rsidR="008C6ACE" w:rsidRPr="00704C60">
                        <w:t>opinion of the Chief Ombudsman</w:t>
                      </w:r>
                    </w:p>
                    <w:p w14:paraId="305E17A5" w14:textId="7E8631EB" w:rsidR="008C6ACE" w:rsidRPr="00D16793" w:rsidRDefault="008C6ACE" w:rsidP="00054F2D">
                      <w:pPr>
                        <w:pStyle w:val="OIPI-Cover-title2"/>
                        <w:spacing w:before="320" w:after="0"/>
                        <w:contextualSpacing w:val="0"/>
                      </w:pPr>
                      <w:r>
                        <w:t>Official Information</w:t>
                      </w:r>
                      <w:r w:rsidR="00A57A93">
                        <w:t xml:space="preserve"> </w:t>
                      </w:r>
                      <w:r>
                        <w:t xml:space="preserve">Act </w:t>
                      </w:r>
                      <w:r w:rsidRPr="00D16793">
                        <w:t>compliance and practice</w:t>
                      </w:r>
                      <w:r>
                        <w:t xml:space="preserve"> in</w:t>
                      </w:r>
                    </w:p>
                    <w:p w14:paraId="25AC3E43" w14:textId="79DFF4B6" w:rsidR="008C6ACE" w:rsidRDefault="00B220C6" w:rsidP="00054F2D">
                      <w:pPr>
                        <w:pStyle w:val="OIPI-Cover-agencyname"/>
                        <w:spacing w:after="0"/>
                      </w:pPr>
                      <w:r>
                        <w:t>Ministry for the Environment</w:t>
                      </w:r>
                      <w:r w:rsidR="007A14AE">
                        <w:t xml:space="preserve"> </w:t>
                      </w:r>
                      <w:r w:rsidR="003A21D8">
                        <w:t>|</w:t>
                      </w:r>
                      <w:r w:rsidR="007A14AE">
                        <w:t xml:space="preserve"> </w:t>
                      </w:r>
                      <w:r w:rsidR="003A21D8">
                        <w:br/>
                      </w:r>
                      <w:proofErr w:type="spellStart"/>
                      <w:r w:rsidR="007A14AE" w:rsidRPr="007A14AE">
                        <w:t>Te</w:t>
                      </w:r>
                      <w:proofErr w:type="spellEnd"/>
                      <w:r w:rsidR="007A14AE" w:rsidRPr="007A14AE">
                        <w:t xml:space="preserve"> </w:t>
                      </w:r>
                      <w:proofErr w:type="spellStart"/>
                      <w:r w:rsidR="007A14AE" w:rsidRPr="007A14AE">
                        <w:t>Manatū</w:t>
                      </w:r>
                      <w:proofErr w:type="spellEnd"/>
                      <w:r w:rsidR="007A14AE" w:rsidRPr="007A14AE">
                        <w:t xml:space="preserve"> </w:t>
                      </w:r>
                      <w:proofErr w:type="spellStart"/>
                      <w:r w:rsidR="007A14AE" w:rsidRPr="007A14AE">
                        <w:t>mō</w:t>
                      </w:r>
                      <w:proofErr w:type="spellEnd"/>
                      <w:r w:rsidR="007A14AE" w:rsidRPr="007A14AE">
                        <w:t xml:space="preserve"> </w:t>
                      </w:r>
                      <w:proofErr w:type="spellStart"/>
                      <w:r w:rsidR="007A14AE" w:rsidRPr="007A14AE">
                        <w:t>te</w:t>
                      </w:r>
                      <w:proofErr w:type="spellEnd"/>
                      <w:r w:rsidR="007A14AE" w:rsidRPr="007A14AE">
                        <w:t xml:space="preserve"> Taiao</w:t>
                      </w:r>
                    </w:p>
                    <w:p w14:paraId="5BDD4E28" w14:textId="44E8493E" w:rsidR="008C6ACE" w:rsidRPr="00054F2D" w:rsidRDefault="008A6A2E" w:rsidP="00DF69E8">
                      <w:pPr>
                        <w:pStyle w:val="OIPI-Cover-title4"/>
                      </w:pPr>
                      <w:r>
                        <w:t xml:space="preserve">June </w:t>
                      </w:r>
                      <w:r w:rsidR="008C6ACE">
                        <w:t>202</w:t>
                      </w:r>
                      <w:r w:rsidR="00A57A93">
                        <w:t>6</w:t>
                      </w:r>
                    </w:p>
                  </w:txbxContent>
                </v:textbox>
              </v:shape>
            </w:pict>
          </mc:Fallback>
        </mc:AlternateContent>
      </w:r>
      <w:r w:rsidR="00A5292B">
        <w:br w:type="page"/>
      </w:r>
    </w:p>
    <w:p w14:paraId="3B213323" w14:textId="4D286A8C" w:rsidR="00205FAE" w:rsidRDefault="0082375B" w:rsidP="00205FAE">
      <w:pPr>
        <w:pStyle w:val="TOCHeading"/>
      </w:pPr>
      <w:bookmarkStart w:id="0" w:name="GoToContents"/>
      <w:bookmarkStart w:id="1" w:name="TOCSection"/>
      <w:r>
        <w:rPr>
          <w:noProof/>
        </w:rPr>
        <w:lastRenderedPageBreak/>
        <w:drawing>
          <wp:anchor distT="0" distB="0" distL="114300" distR="114300" simplePos="0" relativeHeight="251667456" behindDoc="1" locked="0" layoutInCell="1" allowOverlap="1" wp14:anchorId="1F072F2B" wp14:editId="49D0BE46">
            <wp:simplePos x="0" y="0"/>
            <wp:positionH relativeFrom="column">
              <wp:posOffset>5715</wp:posOffset>
            </wp:positionH>
            <wp:positionV relativeFrom="page">
              <wp:posOffset>8626475</wp:posOffset>
            </wp:positionV>
            <wp:extent cx="935990" cy="935990"/>
            <wp:effectExtent l="0" t="0" r="0" b="0"/>
            <wp:wrapTight wrapText="bothSides">
              <wp:wrapPolygon edited="0">
                <wp:start x="0" y="0"/>
                <wp:lineTo x="0" y="21102"/>
                <wp:lineTo x="21102" y="21102"/>
                <wp:lineTo x="21102" y="0"/>
                <wp:lineTo x="0" y="0"/>
              </wp:wrapPolygon>
            </wp:wrapTight>
            <wp:docPr id="443345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45133" name="Picture 443345133"/>
                    <pic:cNvPicPr/>
                  </pic:nvPicPr>
                  <pic:blipFill>
                    <a:blip r:embed="rId11">
                      <a:extLst>
                        <a:ext uri="{28A0092B-C50C-407E-A947-70E740481C1C}">
                          <a14:useLocalDpi xmlns:a14="http://schemas.microsoft.com/office/drawing/2010/main" val="0"/>
                        </a:ext>
                      </a:extLst>
                    </a:blip>
                    <a:stretch>
                      <a:fillRect/>
                    </a:stretch>
                  </pic:blipFill>
                  <pic:spPr>
                    <a:xfrm>
                      <a:off x="0" y="0"/>
                      <a:ext cx="935990" cy="935990"/>
                    </a:xfrm>
                    <a:prstGeom prst="rect">
                      <a:avLst/>
                    </a:prstGeom>
                  </pic:spPr>
                </pic:pic>
              </a:graphicData>
            </a:graphic>
            <wp14:sizeRelH relativeFrom="page">
              <wp14:pctWidth>0</wp14:pctWidth>
            </wp14:sizeRelH>
            <wp14:sizeRelV relativeFrom="page">
              <wp14:pctHeight>0</wp14:pctHeight>
            </wp14:sizeRelV>
          </wp:anchor>
        </w:drawing>
      </w:r>
      <w:r>
        <w:rPr>
          <w:noProof/>
          <w:lang w:eastAsia="en-NZ"/>
        </w:rPr>
        <mc:AlternateContent>
          <mc:Choice Requires="wps">
            <w:drawing>
              <wp:anchor distT="0" distB="0" distL="114300" distR="114300" simplePos="0" relativeHeight="251666432" behindDoc="1" locked="0" layoutInCell="1" allowOverlap="1" wp14:anchorId="780A400D" wp14:editId="228C4E62">
                <wp:simplePos x="0" y="0"/>
                <wp:positionH relativeFrom="column">
                  <wp:posOffset>992505</wp:posOffset>
                </wp:positionH>
                <wp:positionV relativeFrom="page">
                  <wp:posOffset>8506460</wp:posOffset>
                </wp:positionV>
                <wp:extent cx="4874895" cy="1191260"/>
                <wp:effectExtent l="0" t="0" r="1905" b="8890"/>
                <wp:wrapTight wrapText="bothSides">
                  <wp:wrapPolygon edited="0">
                    <wp:start x="0" y="0"/>
                    <wp:lineTo x="0" y="21416"/>
                    <wp:lineTo x="21524" y="21416"/>
                    <wp:lineTo x="21524" y="0"/>
                    <wp:lineTo x="0" y="0"/>
                  </wp:wrapPolygon>
                </wp:wrapTight>
                <wp:docPr id="571352189" name="Text Box 1"/>
                <wp:cNvGraphicFramePr/>
                <a:graphic xmlns:a="http://schemas.openxmlformats.org/drawingml/2006/main">
                  <a:graphicData uri="http://schemas.microsoft.com/office/word/2010/wordprocessingShape">
                    <wps:wsp>
                      <wps:cNvSpPr txBox="1"/>
                      <wps:spPr>
                        <a:xfrm>
                          <a:off x="0" y="0"/>
                          <a:ext cx="4874895" cy="1191260"/>
                        </a:xfrm>
                        <a:prstGeom prst="rect">
                          <a:avLst/>
                        </a:prstGeom>
                        <a:noFill/>
                        <a:ln w="6350">
                          <a:noFill/>
                        </a:ln>
                      </wps:spPr>
                      <wps:txbx>
                        <w:txbxContent>
                          <w:p w14:paraId="2ECE87BD" w14:textId="77777777" w:rsidR="0082375B" w:rsidRDefault="0082375B" w:rsidP="0082375B">
                            <w:pPr>
                              <w:spacing w:before="20" w:after="40" w:line="240" w:lineRule="auto"/>
                              <w:rPr>
                                <w:b/>
                                <w:color w:val="000000" w:themeColor="text1"/>
                                <w:sz w:val="20"/>
                                <w:szCs w:val="20"/>
                              </w:rPr>
                            </w:pPr>
                            <w:bookmarkStart w:id="2" w:name="_Hlk238810257"/>
                            <w:bookmarkStart w:id="3" w:name="_Hlk238810258"/>
                            <w:r w:rsidRPr="0082375B">
                              <w:rPr>
                                <w:b/>
                                <w:color w:val="000000" w:themeColor="text1"/>
                                <w:sz w:val="20"/>
                                <w:szCs w:val="20"/>
                              </w:rPr>
                              <w:t>Official Information Act compliance and practice in</w:t>
                            </w:r>
                            <w:r>
                              <w:rPr>
                                <w:b/>
                                <w:color w:val="000000" w:themeColor="text1"/>
                                <w:sz w:val="20"/>
                                <w:szCs w:val="20"/>
                              </w:rPr>
                              <w:t xml:space="preserve"> </w:t>
                            </w:r>
                            <w:r w:rsidRPr="0082375B">
                              <w:rPr>
                                <w:b/>
                                <w:color w:val="000000" w:themeColor="text1"/>
                                <w:sz w:val="20"/>
                                <w:szCs w:val="20"/>
                              </w:rPr>
                              <w:t xml:space="preserve">Ministry for the Environment | </w:t>
                            </w:r>
                            <w:proofErr w:type="spellStart"/>
                            <w:r w:rsidRPr="0082375B">
                              <w:rPr>
                                <w:b/>
                                <w:color w:val="000000" w:themeColor="text1"/>
                                <w:sz w:val="20"/>
                                <w:szCs w:val="20"/>
                              </w:rPr>
                              <w:t>Te</w:t>
                            </w:r>
                            <w:proofErr w:type="spellEnd"/>
                            <w:r w:rsidRPr="0082375B">
                              <w:rPr>
                                <w:b/>
                                <w:color w:val="000000" w:themeColor="text1"/>
                                <w:sz w:val="20"/>
                                <w:szCs w:val="20"/>
                              </w:rPr>
                              <w:t xml:space="preserve"> </w:t>
                            </w:r>
                            <w:proofErr w:type="spellStart"/>
                            <w:r w:rsidRPr="0082375B">
                              <w:rPr>
                                <w:b/>
                                <w:color w:val="000000" w:themeColor="text1"/>
                                <w:sz w:val="20"/>
                                <w:szCs w:val="20"/>
                              </w:rPr>
                              <w:t>Manatū</w:t>
                            </w:r>
                            <w:proofErr w:type="spellEnd"/>
                            <w:r w:rsidRPr="0082375B">
                              <w:rPr>
                                <w:b/>
                                <w:color w:val="000000" w:themeColor="text1"/>
                                <w:sz w:val="20"/>
                                <w:szCs w:val="20"/>
                              </w:rPr>
                              <w:t xml:space="preserve"> </w:t>
                            </w:r>
                            <w:proofErr w:type="spellStart"/>
                            <w:r w:rsidRPr="0082375B">
                              <w:rPr>
                                <w:b/>
                                <w:color w:val="000000" w:themeColor="text1"/>
                                <w:sz w:val="20"/>
                                <w:szCs w:val="20"/>
                              </w:rPr>
                              <w:t>mō</w:t>
                            </w:r>
                            <w:proofErr w:type="spellEnd"/>
                            <w:r w:rsidRPr="0082375B">
                              <w:rPr>
                                <w:b/>
                                <w:color w:val="000000" w:themeColor="text1"/>
                                <w:sz w:val="20"/>
                                <w:szCs w:val="20"/>
                              </w:rPr>
                              <w:t xml:space="preserve"> </w:t>
                            </w:r>
                            <w:proofErr w:type="spellStart"/>
                            <w:r w:rsidRPr="0082375B">
                              <w:rPr>
                                <w:b/>
                                <w:color w:val="000000" w:themeColor="text1"/>
                                <w:sz w:val="20"/>
                                <w:szCs w:val="20"/>
                              </w:rPr>
                              <w:t>te</w:t>
                            </w:r>
                            <w:proofErr w:type="spellEnd"/>
                            <w:r w:rsidRPr="0082375B">
                              <w:rPr>
                                <w:b/>
                                <w:color w:val="000000" w:themeColor="text1"/>
                                <w:sz w:val="20"/>
                                <w:szCs w:val="20"/>
                              </w:rPr>
                              <w:t xml:space="preserve"> Taiao</w:t>
                            </w:r>
                          </w:p>
                          <w:p w14:paraId="1ED3EEF3" w14:textId="61A1C855" w:rsidR="00205FAE" w:rsidRPr="00117E0B" w:rsidRDefault="00205FAE" w:rsidP="0082375B">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0082375B" w:rsidRPr="0082375B">
                              <w:rPr>
                                <w:rFonts w:cs="Calibri"/>
                                <w:color w:val="000000"/>
                                <w:sz w:val="20"/>
                                <w:szCs w:val="20"/>
                                <w:lang w:eastAsia="en-NZ"/>
                              </w:rPr>
                              <w:t xml:space="preserve">978-1-0672908-2-5 </w:t>
                            </w:r>
                            <w:r w:rsidRPr="00117E0B">
                              <w:rPr>
                                <w:rFonts w:cs="Calibri"/>
                                <w:color w:val="000000"/>
                                <w:sz w:val="20"/>
                                <w:szCs w:val="20"/>
                                <w:lang w:eastAsia="en-NZ"/>
                              </w:rPr>
                              <w:t>(Digital)</w:t>
                            </w:r>
                          </w:p>
                          <w:p w14:paraId="4382928E" w14:textId="77777777" w:rsidR="00205FAE" w:rsidRDefault="00205FAE" w:rsidP="00205FAE">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033D26DC" w14:textId="77777777" w:rsidR="00205FAE" w:rsidRDefault="00205FAE" w:rsidP="00205FAE">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4A76E321" w14:textId="720ABE7E" w:rsidR="00205FAE" w:rsidRPr="0082375B" w:rsidRDefault="00205FAE" w:rsidP="0082375B">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bookmarkEnd w:id="2"/>
                            <w:bookmarkEnd w:id="3"/>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0A400D" id="Text Box 1" o:spid="_x0000_s1027" type="#_x0000_t202" style="position:absolute;left:0;text-align:left;margin-left:78.15pt;margin-top:669.8pt;width:383.85pt;height:93.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" filled="f" stroked="f" strokeweight=".5pt">
                <v:textbox inset="0,0,0,0">
                  <w:txbxContent>
                    <w:p w14:paraId="2ECE87BD" w14:textId="77777777" w:rsidR="0082375B" w:rsidRDefault="0082375B" w:rsidP="0082375B">
                      <w:pPr>
                        <w:spacing w:before="20" w:after="40" w:line="240" w:lineRule="auto"/>
                        <w:rPr>
                          <w:b/>
                          <w:color w:val="000000" w:themeColor="text1"/>
                          <w:sz w:val="20"/>
                          <w:szCs w:val="20"/>
                        </w:rPr>
                      </w:pPr>
                      <w:bookmarkStart w:id="4" w:name="_Hlk238810257"/>
                      <w:bookmarkStart w:id="5" w:name="_Hlk238810258"/>
                      <w:r w:rsidRPr="0082375B">
                        <w:rPr>
                          <w:b/>
                          <w:color w:val="000000" w:themeColor="text1"/>
                          <w:sz w:val="20"/>
                          <w:szCs w:val="20"/>
                        </w:rPr>
                        <w:t>Official Information Act compliance and practice in</w:t>
                      </w:r>
                      <w:r>
                        <w:rPr>
                          <w:b/>
                          <w:color w:val="000000" w:themeColor="text1"/>
                          <w:sz w:val="20"/>
                          <w:szCs w:val="20"/>
                        </w:rPr>
                        <w:t xml:space="preserve"> </w:t>
                      </w:r>
                      <w:r w:rsidRPr="0082375B">
                        <w:rPr>
                          <w:b/>
                          <w:color w:val="000000" w:themeColor="text1"/>
                          <w:sz w:val="20"/>
                          <w:szCs w:val="20"/>
                        </w:rPr>
                        <w:t xml:space="preserve">Ministry for the Environment | </w:t>
                      </w:r>
                      <w:proofErr w:type="spellStart"/>
                      <w:r w:rsidRPr="0082375B">
                        <w:rPr>
                          <w:b/>
                          <w:color w:val="000000" w:themeColor="text1"/>
                          <w:sz w:val="20"/>
                          <w:szCs w:val="20"/>
                        </w:rPr>
                        <w:t>Te</w:t>
                      </w:r>
                      <w:proofErr w:type="spellEnd"/>
                      <w:r w:rsidRPr="0082375B">
                        <w:rPr>
                          <w:b/>
                          <w:color w:val="000000" w:themeColor="text1"/>
                          <w:sz w:val="20"/>
                          <w:szCs w:val="20"/>
                        </w:rPr>
                        <w:t xml:space="preserve"> </w:t>
                      </w:r>
                      <w:proofErr w:type="spellStart"/>
                      <w:r w:rsidRPr="0082375B">
                        <w:rPr>
                          <w:b/>
                          <w:color w:val="000000" w:themeColor="text1"/>
                          <w:sz w:val="20"/>
                          <w:szCs w:val="20"/>
                        </w:rPr>
                        <w:t>Manatū</w:t>
                      </w:r>
                      <w:proofErr w:type="spellEnd"/>
                      <w:r w:rsidRPr="0082375B">
                        <w:rPr>
                          <w:b/>
                          <w:color w:val="000000" w:themeColor="text1"/>
                          <w:sz w:val="20"/>
                          <w:szCs w:val="20"/>
                        </w:rPr>
                        <w:t xml:space="preserve"> </w:t>
                      </w:r>
                      <w:proofErr w:type="spellStart"/>
                      <w:r w:rsidRPr="0082375B">
                        <w:rPr>
                          <w:b/>
                          <w:color w:val="000000" w:themeColor="text1"/>
                          <w:sz w:val="20"/>
                          <w:szCs w:val="20"/>
                        </w:rPr>
                        <w:t>mō</w:t>
                      </w:r>
                      <w:proofErr w:type="spellEnd"/>
                      <w:r w:rsidRPr="0082375B">
                        <w:rPr>
                          <w:b/>
                          <w:color w:val="000000" w:themeColor="text1"/>
                          <w:sz w:val="20"/>
                          <w:szCs w:val="20"/>
                        </w:rPr>
                        <w:t xml:space="preserve"> </w:t>
                      </w:r>
                      <w:proofErr w:type="spellStart"/>
                      <w:r w:rsidRPr="0082375B">
                        <w:rPr>
                          <w:b/>
                          <w:color w:val="000000" w:themeColor="text1"/>
                          <w:sz w:val="20"/>
                          <w:szCs w:val="20"/>
                        </w:rPr>
                        <w:t>te</w:t>
                      </w:r>
                      <w:proofErr w:type="spellEnd"/>
                      <w:r w:rsidRPr="0082375B">
                        <w:rPr>
                          <w:b/>
                          <w:color w:val="000000" w:themeColor="text1"/>
                          <w:sz w:val="20"/>
                          <w:szCs w:val="20"/>
                        </w:rPr>
                        <w:t xml:space="preserve"> Taiao</w:t>
                      </w:r>
                    </w:p>
                    <w:p w14:paraId="1ED3EEF3" w14:textId="61A1C855" w:rsidR="00205FAE" w:rsidRPr="00117E0B" w:rsidRDefault="00205FAE" w:rsidP="0082375B">
                      <w:pPr>
                        <w:spacing w:before="20" w:after="40" w:line="240" w:lineRule="auto"/>
                        <w:rPr>
                          <w:rFonts w:cs="Calibri"/>
                          <w:color w:val="000000"/>
                          <w:sz w:val="20"/>
                          <w:szCs w:val="20"/>
                          <w:lang w:eastAsia="en-NZ"/>
                        </w:rPr>
                      </w:pPr>
                      <w:r w:rsidRPr="00117E0B">
                        <w:rPr>
                          <w:color w:val="000000" w:themeColor="text1"/>
                          <w:sz w:val="20"/>
                          <w:szCs w:val="20"/>
                        </w:rPr>
                        <w:t xml:space="preserve">ISBN: </w:t>
                      </w:r>
                      <w:r w:rsidR="0082375B" w:rsidRPr="0082375B">
                        <w:rPr>
                          <w:rFonts w:cs="Calibri"/>
                          <w:color w:val="000000"/>
                          <w:sz w:val="20"/>
                          <w:szCs w:val="20"/>
                          <w:lang w:eastAsia="en-NZ"/>
                        </w:rPr>
                        <w:t xml:space="preserve">978-1-0672908-2-5 </w:t>
                      </w:r>
                      <w:r w:rsidRPr="00117E0B">
                        <w:rPr>
                          <w:rFonts w:cs="Calibri"/>
                          <w:color w:val="000000"/>
                          <w:sz w:val="20"/>
                          <w:szCs w:val="20"/>
                          <w:lang w:eastAsia="en-NZ"/>
                        </w:rPr>
                        <w:t>(Digital)</w:t>
                      </w:r>
                    </w:p>
                    <w:p w14:paraId="4382928E" w14:textId="77777777" w:rsidR="00205FAE" w:rsidRDefault="00205FAE" w:rsidP="00205FAE">
                      <w:pPr>
                        <w:spacing w:before="20" w:after="40" w:line="240" w:lineRule="auto"/>
                        <w:rPr>
                          <w:rFonts w:cs="Calibri"/>
                          <w:color w:val="000000"/>
                          <w:sz w:val="20"/>
                          <w:szCs w:val="20"/>
                          <w:lang w:eastAsia="en-NZ"/>
                        </w:rPr>
                      </w:pPr>
                      <w:r w:rsidRPr="00117E0B">
                        <w:rPr>
                          <w:rFonts w:cs="Calibri"/>
                          <w:color w:val="000000"/>
                          <w:sz w:val="20"/>
                          <w:szCs w:val="20"/>
                          <w:lang w:eastAsia="en-NZ"/>
                        </w:rPr>
                        <w:t>Published August 2026</w:t>
                      </w:r>
                    </w:p>
                    <w:p w14:paraId="033D26DC" w14:textId="77777777" w:rsidR="00205FAE" w:rsidRDefault="00205FAE" w:rsidP="00205FAE">
                      <w:pPr>
                        <w:spacing w:before="20" w:after="40" w:line="240" w:lineRule="auto"/>
                        <w:rPr>
                          <w:rFonts w:cs="Calibri"/>
                          <w:color w:val="000000"/>
                          <w:sz w:val="20"/>
                          <w:szCs w:val="20"/>
                          <w:lang w:eastAsia="en-NZ"/>
                        </w:rPr>
                      </w:pPr>
                      <w:r w:rsidRPr="00C34ED4">
                        <w:rPr>
                          <w:rFonts w:cs="Calibri"/>
                          <w:color w:val="000000"/>
                          <w:sz w:val="20"/>
                          <w:szCs w:val="20"/>
                          <w:lang w:eastAsia="en-NZ"/>
                        </w:rPr>
                        <w:t>All text and images copyright © Office of the Ombudsman</w:t>
                      </w:r>
                    </w:p>
                    <w:p w14:paraId="4A76E321" w14:textId="720ABE7E" w:rsidR="00205FAE" w:rsidRPr="0082375B" w:rsidRDefault="00205FAE" w:rsidP="0082375B">
                      <w:pPr>
                        <w:spacing w:before="80" w:after="0" w:line="240" w:lineRule="auto"/>
                        <w:rPr>
                          <w:b/>
                          <w:bCs/>
                          <w:sz w:val="20"/>
                          <w:szCs w:val="20"/>
                        </w:rPr>
                      </w:pPr>
                      <w:r w:rsidRPr="00C34ED4">
                        <w:rPr>
                          <w:b/>
                          <w:bCs/>
                          <w:sz w:val="20"/>
                          <w:szCs w:val="20"/>
                        </w:rPr>
                        <w:t xml:space="preserve">Office of the </w:t>
                      </w:r>
                      <w:proofErr w:type="gramStart"/>
                      <w:r w:rsidRPr="00C34ED4">
                        <w:rPr>
                          <w:b/>
                          <w:bCs/>
                          <w:sz w:val="20"/>
                          <w:szCs w:val="20"/>
                        </w:rPr>
                        <w:t>Ombudsman  |</w:t>
                      </w:r>
                      <w:proofErr w:type="gramEnd"/>
                      <w:r w:rsidRPr="00C34ED4">
                        <w:rPr>
                          <w:b/>
                          <w:bCs/>
                          <w:sz w:val="20"/>
                          <w:szCs w:val="20"/>
                        </w:rPr>
                        <w:t xml:space="preserve">  Wellington, New Zealand  |  www.ombudsman.parliament.nz</w:t>
                      </w:r>
                      <w:bookmarkEnd w:id="4"/>
                      <w:bookmarkEnd w:id="5"/>
                    </w:p>
                  </w:txbxContent>
                </v:textbox>
                <w10:wrap type="tight" anchory="page"/>
              </v:shape>
            </w:pict>
          </mc:Fallback>
        </mc:AlternateContent>
      </w:r>
      <w:r w:rsidR="00205FAE">
        <w:br w:type="page"/>
      </w:r>
    </w:p>
    <w:p w14:paraId="03B38AF4" w14:textId="77777777" w:rsidR="00205FAE" w:rsidRDefault="00205FAE" w:rsidP="00205FAE">
      <w:pPr>
        <w:pStyle w:val="TOCHeading"/>
        <w:sectPr w:rsidR="00205FAE" w:rsidSect="000D1B15">
          <w:headerReference w:type="default" r:id="rId12"/>
          <w:footerReference w:type="default" r:id="rId13"/>
          <w:endnotePr>
            <w:numFmt w:val="decimal"/>
          </w:endnotePr>
          <w:pgSz w:w="11906" w:h="16838" w:code="9"/>
          <w:pgMar w:top="1701" w:right="1304" w:bottom="1701" w:left="1304" w:header="680" w:footer="680" w:gutter="0"/>
          <w:pgNumType w:start="1"/>
          <w:cols w:space="708"/>
          <w:docGrid w:linePitch="360"/>
        </w:sectPr>
      </w:pPr>
    </w:p>
    <w:p w14:paraId="3DB20278" w14:textId="1729D6C6" w:rsidR="00AB26E0" w:rsidRDefault="00AB26E0" w:rsidP="00205FAE">
      <w:pPr>
        <w:pStyle w:val="TOCHeading"/>
      </w:pPr>
      <w:r>
        <w:t>Contents</w:t>
      </w:r>
      <w:bookmarkEnd w:id="0"/>
    </w:p>
    <w:tbl>
      <w:tblPr>
        <w:tblStyle w:val="TableGridnoborders"/>
        <w:tblW w:w="9354" w:type="dxa"/>
        <w:tblInd w:w="0" w:type="dxa"/>
        <w:tblCellMar>
          <w:top w:w="0" w:type="dxa"/>
          <w:left w:w="0" w:type="dxa"/>
          <w:bottom w:w="0" w:type="dxa"/>
          <w:right w:w="0" w:type="dxa"/>
        </w:tblCellMar>
        <w:tblLook w:val="04A0" w:firstRow="1" w:lastRow="0" w:firstColumn="1" w:lastColumn="0" w:noHBand="0" w:noVBand="1"/>
        <w:tblCaption w:val="Contents page table"/>
      </w:tblPr>
      <w:tblGrid>
        <w:gridCol w:w="9354"/>
      </w:tblGrid>
      <w:tr w:rsidR="00AB26E0" w14:paraId="2F14851A" w14:textId="77777777" w:rsidTr="00506B8B">
        <w:tc>
          <w:tcPr>
            <w:tcW w:w="9354" w:type="dxa"/>
          </w:tcPr>
          <w:bookmarkStart w:id="6" w:name="TOCMain" w:colFirst="0" w:colLast="0"/>
          <w:p w14:paraId="6AA05114" w14:textId="0E54C22B" w:rsidR="00EB2789" w:rsidRDefault="00AB26E0">
            <w:pPr>
              <w:pStyle w:val="TOC1"/>
              <w:rPr>
                <w:rFonts w:asciiTheme="minorHAnsi" w:eastAsiaTheme="minorEastAsia" w:hAnsiTheme="minorHAnsi"/>
                <w:b w:val="0"/>
                <w:noProof/>
                <w:color w:val="auto"/>
                <w:kern w:val="2"/>
                <w:sz w:val="24"/>
                <w:szCs w:val="24"/>
                <w:lang w:eastAsia="en-NZ"/>
                <w14:ligatures w14:val="standardContextual"/>
              </w:rPr>
            </w:pPr>
            <w:r>
              <w:fldChar w:fldCharType="begin"/>
            </w:r>
            <w:r>
              <w:instrText xml:space="preserve"> TOC \o "1-3" \h \z \t "Heading Appendix, 1" </w:instrText>
            </w:r>
            <w:r>
              <w:fldChar w:fldCharType="separate"/>
            </w:r>
            <w:hyperlink w:anchor="_Toc239154241" w:history="1">
              <w:r w:rsidR="00EB2789" w:rsidRPr="002D6437">
                <w:rPr>
                  <w:rStyle w:val="Hyperlink"/>
                  <w:noProof/>
                </w:rPr>
                <w:t>Introduction</w:t>
              </w:r>
              <w:r w:rsidR="00EB2789">
                <w:rPr>
                  <w:noProof/>
                  <w:webHidden/>
                </w:rPr>
                <w:tab/>
              </w:r>
              <w:r w:rsidR="00EB2789">
                <w:rPr>
                  <w:noProof/>
                  <w:webHidden/>
                </w:rPr>
                <w:fldChar w:fldCharType="begin"/>
              </w:r>
              <w:r w:rsidR="00EB2789">
                <w:rPr>
                  <w:noProof/>
                  <w:webHidden/>
                </w:rPr>
                <w:instrText xml:space="preserve"> PAGEREF _Toc239154241 \h </w:instrText>
              </w:r>
              <w:r w:rsidR="00EB2789">
                <w:rPr>
                  <w:noProof/>
                  <w:webHidden/>
                </w:rPr>
              </w:r>
              <w:r w:rsidR="00EB2789">
                <w:rPr>
                  <w:noProof/>
                  <w:webHidden/>
                </w:rPr>
                <w:fldChar w:fldCharType="separate"/>
              </w:r>
              <w:r w:rsidR="00EB2789">
                <w:rPr>
                  <w:noProof/>
                  <w:webHidden/>
                </w:rPr>
                <w:t>1</w:t>
              </w:r>
              <w:r w:rsidR="00EB2789">
                <w:rPr>
                  <w:noProof/>
                  <w:webHidden/>
                </w:rPr>
                <w:fldChar w:fldCharType="end"/>
              </w:r>
            </w:hyperlink>
          </w:p>
          <w:p w14:paraId="2353679A" w14:textId="5B578799"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42" w:history="1">
              <w:r w:rsidRPr="002D6437">
                <w:rPr>
                  <w:rStyle w:val="Hyperlink"/>
                  <w:noProof/>
                </w:rPr>
                <w:t>Methodology</w:t>
              </w:r>
              <w:r>
                <w:rPr>
                  <w:noProof/>
                  <w:webHidden/>
                </w:rPr>
                <w:tab/>
              </w:r>
              <w:r>
                <w:rPr>
                  <w:noProof/>
                  <w:webHidden/>
                </w:rPr>
                <w:fldChar w:fldCharType="begin"/>
              </w:r>
              <w:r>
                <w:rPr>
                  <w:noProof/>
                  <w:webHidden/>
                </w:rPr>
                <w:instrText xml:space="preserve"> PAGEREF _Toc239154242 \h </w:instrText>
              </w:r>
              <w:r>
                <w:rPr>
                  <w:noProof/>
                  <w:webHidden/>
                </w:rPr>
              </w:r>
              <w:r>
                <w:rPr>
                  <w:noProof/>
                  <w:webHidden/>
                </w:rPr>
                <w:fldChar w:fldCharType="separate"/>
              </w:r>
              <w:r>
                <w:rPr>
                  <w:noProof/>
                  <w:webHidden/>
                </w:rPr>
                <w:t>1</w:t>
              </w:r>
              <w:r>
                <w:rPr>
                  <w:noProof/>
                  <w:webHidden/>
                </w:rPr>
                <w:fldChar w:fldCharType="end"/>
              </w:r>
            </w:hyperlink>
          </w:p>
          <w:p w14:paraId="51BA31AC" w14:textId="55695226" w:rsidR="00EB2789" w:rsidRDefault="00EB2789">
            <w:pPr>
              <w:pStyle w:val="TOC1"/>
              <w:rPr>
                <w:rFonts w:asciiTheme="minorHAnsi" w:eastAsiaTheme="minorEastAsia" w:hAnsiTheme="minorHAnsi"/>
                <w:b w:val="0"/>
                <w:noProof/>
                <w:color w:val="auto"/>
                <w:kern w:val="2"/>
                <w:sz w:val="24"/>
                <w:szCs w:val="24"/>
                <w:lang w:eastAsia="en-NZ"/>
                <w14:ligatures w14:val="standardContextual"/>
              </w:rPr>
            </w:pPr>
            <w:hyperlink w:anchor="_Toc239154243" w:history="1">
              <w:r w:rsidRPr="002D6437">
                <w:rPr>
                  <w:rStyle w:val="Hyperlink"/>
                  <w:noProof/>
                </w:rPr>
                <w:t>Leadership and culture</w:t>
              </w:r>
              <w:r>
                <w:rPr>
                  <w:noProof/>
                  <w:webHidden/>
                </w:rPr>
                <w:tab/>
              </w:r>
              <w:r>
                <w:rPr>
                  <w:noProof/>
                  <w:webHidden/>
                </w:rPr>
                <w:fldChar w:fldCharType="begin"/>
              </w:r>
              <w:r>
                <w:rPr>
                  <w:noProof/>
                  <w:webHidden/>
                </w:rPr>
                <w:instrText xml:space="preserve"> PAGEREF _Toc239154243 \h </w:instrText>
              </w:r>
              <w:r>
                <w:rPr>
                  <w:noProof/>
                  <w:webHidden/>
                </w:rPr>
              </w:r>
              <w:r>
                <w:rPr>
                  <w:noProof/>
                  <w:webHidden/>
                </w:rPr>
                <w:fldChar w:fldCharType="separate"/>
              </w:r>
              <w:r>
                <w:rPr>
                  <w:noProof/>
                  <w:webHidden/>
                </w:rPr>
                <w:t>4</w:t>
              </w:r>
              <w:r>
                <w:rPr>
                  <w:noProof/>
                  <w:webHidden/>
                </w:rPr>
                <w:fldChar w:fldCharType="end"/>
              </w:r>
            </w:hyperlink>
          </w:p>
          <w:p w14:paraId="6F106C32" w14:textId="30C52C5B"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44" w:history="1">
              <w:r w:rsidRPr="002D6437">
                <w:rPr>
                  <w:rStyle w:val="Hyperlink"/>
                  <w:noProof/>
                </w:rPr>
                <w:t>Messaging to staff</w:t>
              </w:r>
              <w:r>
                <w:rPr>
                  <w:noProof/>
                  <w:webHidden/>
                </w:rPr>
                <w:tab/>
              </w:r>
              <w:r>
                <w:rPr>
                  <w:noProof/>
                  <w:webHidden/>
                </w:rPr>
                <w:fldChar w:fldCharType="begin"/>
              </w:r>
              <w:r>
                <w:rPr>
                  <w:noProof/>
                  <w:webHidden/>
                </w:rPr>
                <w:instrText xml:space="preserve"> PAGEREF _Toc239154244 \h </w:instrText>
              </w:r>
              <w:r>
                <w:rPr>
                  <w:noProof/>
                  <w:webHidden/>
                </w:rPr>
              </w:r>
              <w:r>
                <w:rPr>
                  <w:noProof/>
                  <w:webHidden/>
                </w:rPr>
                <w:fldChar w:fldCharType="separate"/>
              </w:r>
              <w:r>
                <w:rPr>
                  <w:noProof/>
                  <w:webHidden/>
                </w:rPr>
                <w:t>4</w:t>
              </w:r>
              <w:r>
                <w:rPr>
                  <w:noProof/>
                  <w:webHidden/>
                </w:rPr>
                <w:fldChar w:fldCharType="end"/>
              </w:r>
            </w:hyperlink>
          </w:p>
          <w:p w14:paraId="6413BCC3" w14:textId="1134703B"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45" w:history="1">
              <w:r w:rsidRPr="002D6437">
                <w:rPr>
                  <w:rStyle w:val="Hyperlink"/>
                  <w:noProof/>
                </w:rPr>
                <w:t>OIA strategy</w:t>
              </w:r>
              <w:r>
                <w:rPr>
                  <w:noProof/>
                  <w:webHidden/>
                </w:rPr>
                <w:tab/>
              </w:r>
              <w:r>
                <w:rPr>
                  <w:noProof/>
                  <w:webHidden/>
                </w:rPr>
                <w:fldChar w:fldCharType="begin"/>
              </w:r>
              <w:r>
                <w:rPr>
                  <w:noProof/>
                  <w:webHidden/>
                </w:rPr>
                <w:instrText xml:space="preserve"> PAGEREF _Toc239154245 \h </w:instrText>
              </w:r>
              <w:r>
                <w:rPr>
                  <w:noProof/>
                  <w:webHidden/>
                </w:rPr>
              </w:r>
              <w:r>
                <w:rPr>
                  <w:noProof/>
                  <w:webHidden/>
                </w:rPr>
                <w:fldChar w:fldCharType="separate"/>
              </w:r>
              <w:r>
                <w:rPr>
                  <w:noProof/>
                  <w:webHidden/>
                </w:rPr>
                <w:t>7</w:t>
              </w:r>
              <w:r>
                <w:rPr>
                  <w:noProof/>
                  <w:webHidden/>
                </w:rPr>
                <w:fldChar w:fldCharType="end"/>
              </w:r>
            </w:hyperlink>
          </w:p>
          <w:p w14:paraId="643D75C1" w14:textId="6FEFF092"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46" w:history="1">
              <w:r w:rsidRPr="002D6437">
                <w:rPr>
                  <w:rStyle w:val="Hyperlink"/>
                  <w:noProof/>
                </w:rPr>
                <w:t>Interactions with Ministers on OIA requests</w:t>
              </w:r>
              <w:r>
                <w:rPr>
                  <w:noProof/>
                  <w:webHidden/>
                </w:rPr>
                <w:tab/>
              </w:r>
              <w:r>
                <w:rPr>
                  <w:noProof/>
                  <w:webHidden/>
                </w:rPr>
                <w:fldChar w:fldCharType="begin"/>
              </w:r>
              <w:r>
                <w:rPr>
                  <w:noProof/>
                  <w:webHidden/>
                </w:rPr>
                <w:instrText xml:space="preserve"> PAGEREF _Toc239154246 \h </w:instrText>
              </w:r>
              <w:r>
                <w:rPr>
                  <w:noProof/>
                  <w:webHidden/>
                </w:rPr>
              </w:r>
              <w:r>
                <w:rPr>
                  <w:noProof/>
                  <w:webHidden/>
                </w:rPr>
                <w:fldChar w:fldCharType="separate"/>
              </w:r>
              <w:r>
                <w:rPr>
                  <w:noProof/>
                  <w:webHidden/>
                </w:rPr>
                <w:t>9</w:t>
              </w:r>
              <w:r>
                <w:rPr>
                  <w:noProof/>
                  <w:webHidden/>
                </w:rPr>
                <w:fldChar w:fldCharType="end"/>
              </w:r>
            </w:hyperlink>
          </w:p>
          <w:p w14:paraId="24DB630D" w14:textId="379978DD"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47" w:history="1">
              <w:r w:rsidRPr="002D6437">
                <w:rPr>
                  <w:rStyle w:val="Hyperlink"/>
                  <w:noProof/>
                </w:rPr>
                <w:t>Oversight of OIA compliance and practice</w:t>
              </w:r>
              <w:r>
                <w:rPr>
                  <w:noProof/>
                  <w:webHidden/>
                </w:rPr>
                <w:tab/>
              </w:r>
              <w:r>
                <w:rPr>
                  <w:noProof/>
                  <w:webHidden/>
                </w:rPr>
                <w:fldChar w:fldCharType="begin"/>
              </w:r>
              <w:r>
                <w:rPr>
                  <w:noProof/>
                  <w:webHidden/>
                </w:rPr>
                <w:instrText xml:space="preserve"> PAGEREF _Toc239154247 \h </w:instrText>
              </w:r>
              <w:r>
                <w:rPr>
                  <w:noProof/>
                  <w:webHidden/>
                </w:rPr>
              </w:r>
              <w:r>
                <w:rPr>
                  <w:noProof/>
                  <w:webHidden/>
                </w:rPr>
                <w:fldChar w:fldCharType="separate"/>
              </w:r>
              <w:r>
                <w:rPr>
                  <w:noProof/>
                  <w:webHidden/>
                </w:rPr>
                <w:t>11</w:t>
              </w:r>
              <w:r>
                <w:rPr>
                  <w:noProof/>
                  <w:webHidden/>
                </w:rPr>
                <w:fldChar w:fldCharType="end"/>
              </w:r>
            </w:hyperlink>
          </w:p>
          <w:p w14:paraId="0F73BFD2" w14:textId="48F42115" w:rsidR="00EB2789" w:rsidRDefault="00EB2789">
            <w:pPr>
              <w:pStyle w:val="TOC3"/>
              <w:rPr>
                <w:rFonts w:asciiTheme="minorHAnsi" w:eastAsiaTheme="minorEastAsia" w:hAnsiTheme="minorHAnsi"/>
                <w:noProof/>
                <w:color w:val="auto"/>
                <w:kern w:val="2"/>
                <w:szCs w:val="24"/>
                <w:lang w:eastAsia="en-NZ"/>
                <w14:ligatures w14:val="standardContextual"/>
              </w:rPr>
            </w:pPr>
            <w:hyperlink w:anchor="_Toc239154248" w:history="1">
              <w:r w:rsidRPr="002D6437">
                <w:rPr>
                  <w:rStyle w:val="Hyperlink"/>
                  <w:noProof/>
                </w:rPr>
                <w:t>Communicating decisions on OIA requests</w:t>
              </w:r>
              <w:r>
                <w:rPr>
                  <w:noProof/>
                  <w:webHidden/>
                </w:rPr>
                <w:tab/>
              </w:r>
              <w:r>
                <w:rPr>
                  <w:noProof/>
                  <w:webHidden/>
                </w:rPr>
                <w:fldChar w:fldCharType="begin"/>
              </w:r>
              <w:r>
                <w:rPr>
                  <w:noProof/>
                  <w:webHidden/>
                </w:rPr>
                <w:instrText xml:space="preserve"> PAGEREF _Toc239154248 \h </w:instrText>
              </w:r>
              <w:r>
                <w:rPr>
                  <w:noProof/>
                  <w:webHidden/>
                </w:rPr>
              </w:r>
              <w:r>
                <w:rPr>
                  <w:noProof/>
                  <w:webHidden/>
                </w:rPr>
                <w:fldChar w:fldCharType="separate"/>
              </w:r>
              <w:r>
                <w:rPr>
                  <w:noProof/>
                  <w:webHidden/>
                </w:rPr>
                <w:t>11</w:t>
              </w:r>
              <w:r>
                <w:rPr>
                  <w:noProof/>
                  <w:webHidden/>
                </w:rPr>
                <w:fldChar w:fldCharType="end"/>
              </w:r>
            </w:hyperlink>
          </w:p>
          <w:p w14:paraId="66928373" w14:textId="75431D33" w:rsidR="00EB2789" w:rsidRDefault="00EB2789">
            <w:pPr>
              <w:pStyle w:val="TOC3"/>
              <w:rPr>
                <w:rFonts w:asciiTheme="minorHAnsi" w:eastAsiaTheme="minorEastAsia" w:hAnsiTheme="minorHAnsi"/>
                <w:noProof/>
                <w:color w:val="auto"/>
                <w:kern w:val="2"/>
                <w:szCs w:val="24"/>
                <w:lang w:eastAsia="en-NZ"/>
                <w14:ligatures w14:val="standardContextual"/>
              </w:rPr>
            </w:pPr>
            <w:hyperlink w:anchor="_Toc239154249" w:history="1">
              <w:r w:rsidRPr="002D6437">
                <w:rPr>
                  <w:rStyle w:val="Hyperlink"/>
                  <w:noProof/>
                </w:rPr>
                <w:t>Ensuring transparency in OIA decision-making</w:t>
              </w:r>
              <w:r>
                <w:rPr>
                  <w:noProof/>
                  <w:webHidden/>
                </w:rPr>
                <w:tab/>
              </w:r>
              <w:r>
                <w:rPr>
                  <w:noProof/>
                  <w:webHidden/>
                </w:rPr>
                <w:fldChar w:fldCharType="begin"/>
              </w:r>
              <w:r>
                <w:rPr>
                  <w:noProof/>
                  <w:webHidden/>
                </w:rPr>
                <w:instrText xml:space="preserve"> PAGEREF _Toc239154249 \h </w:instrText>
              </w:r>
              <w:r>
                <w:rPr>
                  <w:noProof/>
                  <w:webHidden/>
                </w:rPr>
              </w:r>
              <w:r>
                <w:rPr>
                  <w:noProof/>
                  <w:webHidden/>
                </w:rPr>
                <w:fldChar w:fldCharType="separate"/>
              </w:r>
              <w:r>
                <w:rPr>
                  <w:noProof/>
                  <w:webHidden/>
                </w:rPr>
                <w:t>12</w:t>
              </w:r>
              <w:r>
                <w:rPr>
                  <w:noProof/>
                  <w:webHidden/>
                </w:rPr>
                <w:fldChar w:fldCharType="end"/>
              </w:r>
            </w:hyperlink>
          </w:p>
          <w:p w14:paraId="1DC9BA68" w14:textId="4140E618"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50" w:history="1">
              <w:r w:rsidRPr="002D6437">
                <w:rPr>
                  <w:rStyle w:val="Hyperlink"/>
                  <w:noProof/>
                </w:rPr>
                <w:t>Messaging to the public</w:t>
              </w:r>
              <w:r>
                <w:rPr>
                  <w:noProof/>
                  <w:webHidden/>
                </w:rPr>
                <w:tab/>
              </w:r>
              <w:r>
                <w:rPr>
                  <w:noProof/>
                  <w:webHidden/>
                </w:rPr>
                <w:fldChar w:fldCharType="begin"/>
              </w:r>
              <w:r>
                <w:rPr>
                  <w:noProof/>
                  <w:webHidden/>
                </w:rPr>
                <w:instrText xml:space="preserve"> PAGEREF _Toc239154250 \h </w:instrText>
              </w:r>
              <w:r>
                <w:rPr>
                  <w:noProof/>
                  <w:webHidden/>
                </w:rPr>
              </w:r>
              <w:r>
                <w:rPr>
                  <w:noProof/>
                  <w:webHidden/>
                </w:rPr>
                <w:fldChar w:fldCharType="separate"/>
              </w:r>
              <w:r>
                <w:rPr>
                  <w:noProof/>
                  <w:webHidden/>
                </w:rPr>
                <w:t>14</w:t>
              </w:r>
              <w:r>
                <w:rPr>
                  <w:noProof/>
                  <w:webHidden/>
                </w:rPr>
                <w:fldChar w:fldCharType="end"/>
              </w:r>
            </w:hyperlink>
          </w:p>
          <w:p w14:paraId="5F00E346" w14:textId="213A5A94" w:rsidR="00EB2789" w:rsidRDefault="00EB2789">
            <w:pPr>
              <w:pStyle w:val="TOC1"/>
              <w:rPr>
                <w:rFonts w:asciiTheme="minorHAnsi" w:eastAsiaTheme="minorEastAsia" w:hAnsiTheme="minorHAnsi"/>
                <w:b w:val="0"/>
                <w:noProof/>
                <w:color w:val="auto"/>
                <w:kern w:val="2"/>
                <w:sz w:val="24"/>
                <w:szCs w:val="24"/>
                <w:lang w:eastAsia="en-NZ"/>
                <w14:ligatures w14:val="standardContextual"/>
              </w:rPr>
            </w:pPr>
            <w:hyperlink w:anchor="_Toc239154251" w:history="1">
              <w:r w:rsidRPr="002D6437">
                <w:rPr>
                  <w:rStyle w:val="Hyperlink"/>
                  <w:noProof/>
                </w:rPr>
                <w:t>Performance monitoring and learning</w:t>
              </w:r>
              <w:r>
                <w:rPr>
                  <w:noProof/>
                  <w:webHidden/>
                </w:rPr>
                <w:tab/>
              </w:r>
              <w:r>
                <w:rPr>
                  <w:noProof/>
                  <w:webHidden/>
                </w:rPr>
                <w:fldChar w:fldCharType="begin"/>
              </w:r>
              <w:r>
                <w:rPr>
                  <w:noProof/>
                  <w:webHidden/>
                </w:rPr>
                <w:instrText xml:space="preserve"> PAGEREF _Toc239154251 \h </w:instrText>
              </w:r>
              <w:r>
                <w:rPr>
                  <w:noProof/>
                  <w:webHidden/>
                </w:rPr>
              </w:r>
              <w:r>
                <w:rPr>
                  <w:noProof/>
                  <w:webHidden/>
                </w:rPr>
                <w:fldChar w:fldCharType="separate"/>
              </w:r>
              <w:r>
                <w:rPr>
                  <w:noProof/>
                  <w:webHidden/>
                </w:rPr>
                <w:t>16</w:t>
              </w:r>
              <w:r>
                <w:rPr>
                  <w:noProof/>
                  <w:webHidden/>
                </w:rPr>
                <w:fldChar w:fldCharType="end"/>
              </w:r>
            </w:hyperlink>
          </w:p>
          <w:p w14:paraId="401BD6D0" w14:textId="7A050E2B"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52" w:history="1">
              <w:r w:rsidRPr="002D6437">
                <w:rPr>
                  <w:rStyle w:val="Hyperlink"/>
                  <w:noProof/>
                </w:rPr>
                <w:t>PSC reporting</w:t>
              </w:r>
              <w:r>
                <w:rPr>
                  <w:noProof/>
                  <w:webHidden/>
                </w:rPr>
                <w:tab/>
              </w:r>
              <w:r>
                <w:rPr>
                  <w:noProof/>
                  <w:webHidden/>
                </w:rPr>
                <w:fldChar w:fldCharType="begin"/>
              </w:r>
              <w:r>
                <w:rPr>
                  <w:noProof/>
                  <w:webHidden/>
                </w:rPr>
                <w:instrText xml:space="preserve"> PAGEREF _Toc239154252 \h </w:instrText>
              </w:r>
              <w:r>
                <w:rPr>
                  <w:noProof/>
                  <w:webHidden/>
                </w:rPr>
              </w:r>
              <w:r>
                <w:rPr>
                  <w:noProof/>
                  <w:webHidden/>
                </w:rPr>
                <w:fldChar w:fldCharType="separate"/>
              </w:r>
              <w:r>
                <w:rPr>
                  <w:noProof/>
                  <w:webHidden/>
                </w:rPr>
                <w:t>16</w:t>
              </w:r>
              <w:r>
                <w:rPr>
                  <w:noProof/>
                  <w:webHidden/>
                </w:rPr>
                <w:fldChar w:fldCharType="end"/>
              </w:r>
            </w:hyperlink>
          </w:p>
          <w:p w14:paraId="070CB000" w14:textId="4EFFFF05"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53" w:history="1">
              <w:r w:rsidRPr="002D6437">
                <w:rPr>
                  <w:rStyle w:val="Hyperlink"/>
                  <w:noProof/>
                </w:rPr>
                <w:t>Internal OIA reporting</w:t>
              </w:r>
              <w:r>
                <w:rPr>
                  <w:noProof/>
                  <w:webHidden/>
                </w:rPr>
                <w:tab/>
              </w:r>
              <w:r>
                <w:rPr>
                  <w:noProof/>
                  <w:webHidden/>
                </w:rPr>
                <w:fldChar w:fldCharType="begin"/>
              </w:r>
              <w:r>
                <w:rPr>
                  <w:noProof/>
                  <w:webHidden/>
                </w:rPr>
                <w:instrText xml:space="preserve"> PAGEREF _Toc239154253 \h </w:instrText>
              </w:r>
              <w:r>
                <w:rPr>
                  <w:noProof/>
                  <w:webHidden/>
                </w:rPr>
              </w:r>
              <w:r>
                <w:rPr>
                  <w:noProof/>
                  <w:webHidden/>
                </w:rPr>
                <w:fldChar w:fldCharType="separate"/>
              </w:r>
              <w:r>
                <w:rPr>
                  <w:noProof/>
                  <w:webHidden/>
                </w:rPr>
                <w:t>16</w:t>
              </w:r>
              <w:r>
                <w:rPr>
                  <w:noProof/>
                  <w:webHidden/>
                </w:rPr>
                <w:fldChar w:fldCharType="end"/>
              </w:r>
            </w:hyperlink>
          </w:p>
          <w:p w14:paraId="0CC89997" w14:textId="3C145EEF" w:rsidR="00EB2789" w:rsidRDefault="00EB2789">
            <w:pPr>
              <w:pStyle w:val="TOC2"/>
              <w:rPr>
                <w:rFonts w:asciiTheme="minorHAnsi" w:eastAsiaTheme="minorEastAsia" w:hAnsiTheme="minorHAnsi"/>
                <w:noProof/>
                <w:color w:val="auto"/>
                <w:kern w:val="2"/>
                <w:szCs w:val="24"/>
                <w:lang w:eastAsia="en-NZ"/>
                <w14:ligatures w14:val="standardContextual"/>
              </w:rPr>
            </w:pPr>
            <w:hyperlink w:anchor="_Toc239154254" w:history="1">
              <w:r w:rsidRPr="002D6437">
                <w:rPr>
                  <w:rStyle w:val="Hyperlink"/>
                  <w:noProof/>
                </w:rPr>
                <w:t>Quality assurance</w:t>
              </w:r>
              <w:r>
                <w:rPr>
                  <w:noProof/>
                  <w:webHidden/>
                </w:rPr>
                <w:tab/>
              </w:r>
              <w:r>
                <w:rPr>
                  <w:noProof/>
                  <w:webHidden/>
                </w:rPr>
                <w:fldChar w:fldCharType="begin"/>
              </w:r>
              <w:r>
                <w:rPr>
                  <w:noProof/>
                  <w:webHidden/>
                </w:rPr>
                <w:instrText xml:space="preserve"> PAGEREF _Toc239154254 \h </w:instrText>
              </w:r>
              <w:r>
                <w:rPr>
                  <w:noProof/>
                  <w:webHidden/>
                </w:rPr>
              </w:r>
              <w:r>
                <w:rPr>
                  <w:noProof/>
                  <w:webHidden/>
                </w:rPr>
                <w:fldChar w:fldCharType="separate"/>
              </w:r>
              <w:r>
                <w:rPr>
                  <w:noProof/>
                  <w:webHidden/>
                </w:rPr>
                <w:t>19</w:t>
              </w:r>
              <w:r>
                <w:rPr>
                  <w:noProof/>
                  <w:webHidden/>
                </w:rPr>
                <w:fldChar w:fldCharType="end"/>
              </w:r>
            </w:hyperlink>
          </w:p>
          <w:p w14:paraId="04BBAE25" w14:textId="06B8E211" w:rsidR="00AB26E0" w:rsidRDefault="00AB26E0" w:rsidP="00987A54">
            <w:pPr>
              <w:pStyle w:val="Whitespace"/>
            </w:pPr>
            <w:r>
              <w:fldChar w:fldCharType="end"/>
            </w:r>
          </w:p>
        </w:tc>
      </w:tr>
      <w:bookmarkEnd w:id="1"/>
      <w:bookmarkEnd w:id="6"/>
    </w:tbl>
    <w:p w14:paraId="144BC056" w14:textId="77777777" w:rsidR="00205FAE" w:rsidRDefault="00D16793">
      <w:pPr>
        <w:spacing w:after="200" w:line="276" w:lineRule="auto"/>
        <w:sectPr w:rsidR="00205FAE" w:rsidSect="000D1B15">
          <w:footerReference w:type="default" r:id="rId14"/>
          <w:endnotePr>
            <w:numFmt w:val="decimal"/>
          </w:endnotePr>
          <w:pgSz w:w="11906" w:h="16838" w:code="9"/>
          <w:pgMar w:top="1701" w:right="1304" w:bottom="1701" w:left="1304" w:header="680" w:footer="680" w:gutter="0"/>
          <w:pgNumType w:start="1"/>
          <w:cols w:space="708"/>
          <w:docGrid w:linePitch="360"/>
        </w:sectPr>
      </w:pPr>
      <w:r>
        <w:br w:type="page"/>
      </w:r>
    </w:p>
    <w:p w14:paraId="4143111C" w14:textId="78C7C7CA" w:rsidR="00DD3E17" w:rsidRPr="009406E2" w:rsidRDefault="00DD3E17">
      <w:pPr>
        <w:spacing w:after="200" w:line="276" w:lineRule="auto"/>
      </w:pPr>
    </w:p>
    <w:p w14:paraId="68D51131" w14:textId="77777777" w:rsidR="00492E65" w:rsidRDefault="00492E65" w:rsidP="00492E65">
      <w:pPr>
        <w:pStyle w:val="Heading1"/>
      </w:pPr>
      <w:bookmarkStart w:id="7" w:name="_Council_culture_and"/>
      <w:bookmarkStart w:id="8" w:name="_Toc225953123"/>
      <w:bookmarkStart w:id="9" w:name="_Toc239154241"/>
      <w:bookmarkStart w:id="10" w:name="_Hlk224302400"/>
      <w:bookmarkEnd w:id="7"/>
      <w:r>
        <w:t>Introduction</w:t>
      </w:r>
      <w:bookmarkEnd w:id="8"/>
      <w:bookmarkEnd w:id="9"/>
    </w:p>
    <w:p w14:paraId="510184B4" w14:textId="0508208F" w:rsidR="00492E65" w:rsidRDefault="00492E65" w:rsidP="00492E65">
      <w:pPr>
        <w:pStyle w:val="BodyText"/>
      </w:pPr>
      <w:r>
        <w:t>In September 2025, we commenced an investigation into the Ministry for the Environment</w:t>
      </w:r>
      <w:r w:rsidR="007A14AE">
        <w:t xml:space="preserve"> - </w:t>
      </w:r>
      <w:bookmarkStart w:id="11" w:name="_Hlk226634858"/>
      <w:proofErr w:type="spellStart"/>
      <w:r w:rsidR="007A14AE" w:rsidRPr="00020164">
        <w:t>Te</w:t>
      </w:r>
      <w:proofErr w:type="spellEnd"/>
      <w:r w:rsidR="007A14AE" w:rsidRPr="00020164">
        <w:t xml:space="preserve"> </w:t>
      </w:r>
      <w:proofErr w:type="spellStart"/>
      <w:r w:rsidR="007A14AE" w:rsidRPr="00020164">
        <w:t>Manatū</w:t>
      </w:r>
      <w:proofErr w:type="spellEnd"/>
      <w:r w:rsidR="007A14AE" w:rsidRPr="00020164">
        <w:t xml:space="preserve"> </w:t>
      </w:r>
      <w:proofErr w:type="spellStart"/>
      <w:r w:rsidR="007A14AE" w:rsidRPr="00020164">
        <w:t>mō</w:t>
      </w:r>
      <w:proofErr w:type="spellEnd"/>
      <w:r w:rsidR="007A14AE" w:rsidRPr="00020164">
        <w:t xml:space="preserve"> </w:t>
      </w:r>
      <w:proofErr w:type="spellStart"/>
      <w:r w:rsidR="007A14AE" w:rsidRPr="00020164">
        <w:t>te</w:t>
      </w:r>
      <w:proofErr w:type="spellEnd"/>
      <w:r w:rsidR="007A14AE" w:rsidRPr="00020164">
        <w:t xml:space="preserve"> Taiao</w:t>
      </w:r>
      <w:r>
        <w:t xml:space="preserve"> </w:t>
      </w:r>
      <w:bookmarkEnd w:id="11"/>
      <w:r>
        <w:t xml:space="preserve">(the Ministry) as part of our regular </w:t>
      </w:r>
      <w:r w:rsidR="00997DA3" w:rsidRPr="00997DA3">
        <w:t>program of proactive investigations into official information compliance and practice</w:t>
      </w:r>
      <w:r>
        <w:t xml:space="preserve">. </w:t>
      </w:r>
      <w:r w:rsidR="00371918">
        <w:t xml:space="preserve">The Ministry is </w:t>
      </w:r>
      <w:r>
        <w:t xml:space="preserve">one of five agencies selected – we also examined the Civil Aviation Authority, </w:t>
      </w:r>
      <w:r w:rsidR="00371918">
        <w:t xml:space="preserve">Inland Revenue, </w:t>
      </w:r>
      <w:r>
        <w:t>Ministry for Primary Industries, and the Ministry for Regulation.</w:t>
      </w:r>
    </w:p>
    <w:p w14:paraId="77812935" w14:textId="21249CEB" w:rsidR="00C60190" w:rsidRDefault="00C60190" w:rsidP="00C60190">
      <w:pPr>
        <w:pStyle w:val="BodyText"/>
      </w:pPr>
      <w:r>
        <w:t xml:space="preserve">This report sets out our observations on how </w:t>
      </w:r>
      <w:r w:rsidR="00B70938">
        <w:t xml:space="preserve">the Ministry </w:t>
      </w:r>
      <w:r>
        <w:t xml:space="preserve">meets the requirements and purposes of the </w:t>
      </w:r>
      <w:r w:rsidR="00997DA3" w:rsidRPr="00997DA3">
        <w:t>Official Information Act 1982 (</w:t>
      </w:r>
      <w:proofErr w:type="spellStart"/>
      <w:r w:rsidR="00997DA3" w:rsidRPr="00997DA3">
        <w:t>OIA</w:t>
      </w:r>
      <w:proofErr w:type="spellEnd"/>
      <w:r w:rsidR="00997DA3" w:rsidRPr="00997DA3">
        <w:t>)</w:t>
      </w:r>
      <w:r w:rsidR="00997DA3">
        <w:t xml:space="preserve"> </w:t>
      </w:r>
      <w:r>
        <w:t>against our indicators of good practice.</w:t>
      </w:r>
      <w:r w:rsidR="00570FC0">
        <w:rPr>
          <w:rStyle w:val="FootnoteReference"/>
        </w:rPr>
        <w:footnoteReference w:id="2"/>
      </w:r>
      <w:r>
        <w:t xml:space="preserve"> </w:t>
      </w:r>
      <w:r w:rsidR="000463EC" w:rsidRPr="000463EC">
        <w:t>Our investigation focussed on the dimensions of leadership and culture, and perform</w:t>
      </w:r>
      <w:r w:rsidR="00737253">
        <w:t>ance</w:t>
      </w:r>
      <w:r w:rsidR="000463EC" w:rsidRPr="000463EC">
        <w:t xml:space="preserve"> monitoring and learning, and</w:t>
      </w:r>
      <w:r w:rsidR="000F40B7">
        <w:t xml:space="preserve"> the interaction between them.</w:t>
      </w:r>
      <w:r w:rsidR="000463EC" w:rsidRPr="000463EC">
        <w:t xml:space="preserve"> </w:t>
      </w:r>
      <w:r>
        <w:t xml:space="preserve"> </w:t>
      </w:r>
    </w:p>
    <w:p w14:paraId="47995834" w14:textId="695EFA5E" w:rsidR="00462414" w:rsidRDefault="00462414" w:rsidP="00C60190">
      <w:pPr>
        <w:pStyle w:val="BodyText"/>
      </w:pPr>
      <w:r w:rsidRPr="00462414">
        <w:t xml:space="preserve">An agency’s culture around transparency, openness, and the strength of its </w:t>
      </w:r>
      <w:proofErr w:type="spellStart"/>
      <w:r w:rsidRPr="00462414">
        <w:t>OIA</w:t>
      </w:r>
      <w:proofErr w:type="spellEnd"/>
      <w:r w:rsidRPr="00462414">
        <w:t xml:space="preserve"> practices flows from the attitudes, messaging, and actions of its senior leaders</w:t>
      </w:r>
      <w:r w:rsidR="007537C5">
        <w:t xml:space="preserve"> –</w:t>
      </w:r>
      <w:r w:rsidR="00846062">
        <w:t xml:space="preserve"> </w:t>
      </w:r>
      <w:r w:rsidRPr="00462414">
        <w:t>particularly those of the Chief Executive. It is our expectation that leaders make clear, regular statements to staff and to the public in support of the principle and purposes of official information legislation</w:t>
      </w:r>
      <w:r w:rsidR="001A2281">
        <w:t xml:space="preserve"> specifically</w:t>
      </w:r>
      <w:r w:rsidRPr="00462414">
        <w:t>, and of the importance of openness more generally.</w:t>
      </w:r>
    </w:p>
    <w:p w14:paraId="760F79B0" w14:textId="70E477A8" w:rsidR="00C60190" w:rsidRDefault="00C60190" w:rsidP="00492E65">
      <w:pPr>
        <w:pStyle w:val="BodyText"/>
      </w:pPr>
      <w:r>
        <w:t xml:space="preserve">Accurate performance reporting is also crucial </w:t>
      </w:r>
      <w:r w:rsidR="000F40B7">
        <w:t xml:space="preserve">for responding to demands and reprioritising </w:t>
      </w:r>
      <w:r>
        <w:t>when required. Through regular reporting, s</w:t>
      </w:r>
      <w:r w:rsidRPr="005B2200">
        <w:t xml:space="preserve">enior leaders </w:t>
      </w:r>
      <w:r>
        <w:t xml:space="preserve">can </w:t>
      </w:r>
      <w:r w:rsidRPr="005B2200">
        <w:t xml:space="preserve">oversee the agency’s practice and compliance with the </w:t>
      </w:r>
      <w:proofErr w:type="spellStart"/>
      <w:r>
        <w:t>OIA</w:t>
      </w:r>
      <w:proofErr w:type="spellEnd"/>
      <w:r w:rsidRPr="005B2200">
        <w:t>, the effectiveness of i</w:t>
      </w:r>
      <w:r>
        <w:t>t</w:t>
      </w:r>
      <w:r w:rsidRPr="005B2200">
        <w:t>s structures, resources, capacity and capability</w:t>
      </w:r>
      <w:r>
        <w:t>.</w:t>
      </w:r>
      <w:r w:rsidRPr="005B2200">
        <w:t xml:space="preserve"> </w:t>
      </w:r>
      <w:r>
        <w:t>Any i</w:t>
      </w:r>
      <w:r w:rsidRPr="005B2200">
        <w:t xml:space="preserve">ssues </w:t>
      </w:r>
      <w:r>
        <w:t xml:space="preserve">identified that risk the agency’s ability to comply with the </w:t>
      </w:r>
      <w:proofErr w:type="spellStart"/>
      <w:r>
        <w:t>OIA</w:t>
      </w:r>
      <w:proofErr w:type="spellEnd"/>
      <w:r>
        <w:t xml:space="preserve"> should be</w:t>
      </w:r>
      <w:r w:rsidRPr="005B2200">
        <w:t xml:space="preserve"> actively considered</w:t>
      </w:r>
      <w:r w:rsidR="007537C5">
        <w:t>,</w:t>
      </w:r>
      <w:r w:rsidRPr="005B2200">
        <w:t xml:space="preserve"> addressed</w:t>
      </w:r>
      <w:r>
        <w:t xml:space="preserve"> and</w:t>
      </w:r>
      <w:r w:rsidR="00311529">
        <w:t>,</w:t>
      </w:r>
      <w:r>
        <w:t xml:space="preserve"> in effect, create a feedback loop.</w:t>
      </w:r>
    </w:p>
    <w:p w14:paraId="077BD52B" w14:textId="62E3640F" w:rsidR="002B2F96" w:rsidRDefault="002B2F96" w:rsidP="00492E65">
      <w:pPr>
        <w:pStyle w:val="BodyText"/>
      </w:pPr>
      <w:r>
        <w:t xml:space="preserve">At the time of writing this report, the </w:t>
      </w:r>
      <w:r w:rsidRPr="002B2F96">
        <w:t>Ministry is entering a transformative phase as it moves toward a merger into a new agency in July 2026. This new entity, the Ministry of Cities, Environment, Regions and Transport (</w:t>
      </w:r>
      <w:proofErr w:type="spellStart"/>
      <w:r w:rsidRPr="002B2F96">
        <w:t>MCERT</w:t>
      </w:r>
      <w:proofErr w:type="spellEnd"/>
      <w:r w:rsidRPr="002B2F96">
        <w:t xml:space="preserve">), will integrate </w:t>
      </w:r>
      <w:r>
        <w:t xml:space="preserve">the Ministry’s </w:t>
      </w:r>
      <w:r w:rsidRPr="002B2F96">
        <w:t xml:space="preserve">environmental stewardship with transport, housing, and local government functions. </w:t>
      </w:r>
    </w:p>
    <w:p w14:paraId="204E4387" w14:textId="3BCE34A1" w:rsidR="002B2F96" w:rsidRDefault="002B2F96" w:rsidP="00492E65">
      <w:pPr>
        <w:pStyle w:val="BodyText"/>
      </w:pPr>
      <w:r w:rsidRPr="002B2F96">
        <w:t xml:space="preserve">During the period of this </w:t>
      </w:r>
      <w:r>
        <w:t>investigatio</w:t>
      </w:r>
      <w:r w:rsidR="001F0583">
        <w:t>n</w:t>
      </w:r>
      <w:r>
        <w:t xml:space="preserve"> </w:t>
      </w:r>
      <w:r w:rsidRPr="002B2F96">
        <w:t xml:space="preserve">the </w:t>
      </w:r>
      <w:r>
        <w:t xml:space="preserve">Ministry </w:t>
      </w:r>
      <w:r w:rsidRPr="002B2F96">
        <w:t xml:space="preserve">was led by James Palmer, who served as the Secretary for the Environment and Chief Executive from March 2023 until early 2026. </w:t>
      </w:r>
      <w:r>
        <w:t xml:space="preserve">Throughout this report Mr Palmer will be referred to as </w:t>
      </w:r>
      <w:r w:rsidRPr="00A77DE4">
        <w:t>‘the Chief Executive’</w:t>
      </w:r>
      <w:r>
        <w:t xml:space="preserve">. </w:t>
      </w:r>
    </w:p>
    <w:p w14:paraId="7E29C92A" w14:textId="55E414E7" w:rsidR="00194C38" w:rsidRDefault="00194C38" w:rsidP="001F0583">
      <w:pPr>
        <w:pStyle w:val="Heading2"/>
      </w:pPr>
      <w:bookmarkStart w:id="12" w:name="_Toc239154242"/>
      <w:r>
        <w:t>Methodology</w:t>
      </w:r>
      <w:bookmarkEnd w:id="12"/>
    </w:p>
    <w:p w14:paraId="274D330D" w14:textId="77777777" w:rsidR="00C60190" w:rsidRDefault="00C60190" w:rsidP="00C60190">
      <w:pPr>
        <w:pStyle w:val="BodyText"/>
      </w:pPr>
      <w:r>
        <w:t>As part of this investigation, we gathered evidence through:</w:t>
      </w:r>
    </w:p>
    <w:p w14:paraId="57AC3EE1" w14:textId="49DB9C19" w:rsidR="00C60190" w:rsidRDefault="00C60190" w:rsidP="00D23AC7">
      <w:pPr>
        <w:pStyle w:val="Bullet1"/>
      </w:pPr>
      <w:r>
        <w:t xml:space="preserve">a staff </w:t>
      </w:r>
      <w:proofErr w:type="gramStart"/>
      <w:r>
        <w:t>survey</w:t>
      </w:r>
      <w:r w:rsidR="00BD2CC5">
        <w:t>;</w:t>
      </w:r>
      <w:proofErr w:type="gramEnd"/>
    </w:p>
    <w:p w14:paraId="05F530AF" w14:textId="43CA4A5E" w:rsidR="00C60190" w:rsidRDefault="00944729" w:rsidP="00D23AC7">
      <w:pPr>
        <w:pStyle w:val="Bullet1"/>
      </w:pPr>
      <w:r>
        <w:t xml:space="preserve">an </w:t>
      </w:r>
      <w:r w:rsidR="00C60190">
        <w:t xml:space="preserve">agency </w:t>
      </w:r>
      <w:proofErr w:type="gramStart"/>
      <w:r w:rsidR="00C60190">
        <w:t>questionnaire</w:t>
      </w:r>
      <w:r w:rsidR="00BD2CC5">
        <w:t>;</w:t>
      </w:r>
      <w:proofErr w:type="gramEnd"/>
      <w:r w:rsidR="00C60190">
        <w:t xml:space="preserve"> </w:t>
      </w:r>
    </w:p>
    <w:p w14:paraId="2A594F1D" w14:textId="3806BC24" w:rsidR="00C60190" w:rsidRDefault="00C60190" w:rsidP="00D23AC7">
      <w:pPr>
        <w:pStyle w:val="Bullet1"/>
      </w:pPr>
      <w:r>
        <w:t>interviews with staff</w:t>
      </w:r>
      <w:r w:rsidR="008848F2">
        <w:t>,</w:t>
      </w:r>
      <w:r w:rsidR="000B79BC">
        <w:t xml:space="preserve"> involved in different aspects of the </w:t>
      </w:r>
      <w:proofErr w:type="spellStart"/>
      <w:r w:rsidR="000B79BC">
        <w:t>OIA</w:t>
      </w:r>
      <w:proofErr w:type="spellEnd"/>
      <w:r w:rsidR="000B79BC">
        <w:t xml:space="preserve"> </w:t>
      </w:r>
      <w:proofErr w:type="gramStart"/>
      <w:r w:rsidR="000B79BC">
        <w:t>process</w:t>
      </w:r>
      <w:r w:rsidR="00BD2CC5">
        <w:t>;</w:t>
      </w:r>
      <w:proofErr w:type="gramEnd"/>
    </w:p>
    <w:p w14:paraId="3F3CE573" w14:textId="478F1C7E" w:rsidR="00C60190" w:rsidRDefault="00C60190" w:rsidP="00D23AC7">
      <w:pPr>
        <w:pStyle w:val="Bullet1"/>
      </w:pPr>
      <w:r>
        <w:t xml:space="preserve">a review of a sample of </w:t>
      </w:r>
      <w:proofErr w:type="spellStart"/>
      <w:r>
        <w:t>OIA</w:t>
      </w:r>
      <w:proofErr w:type="spellEnd"/>
      <w:r>
        <w:t xml:space="preserve"> files</w:t>
      </w:r>
      <w:r w:rsidR="00BD2CC5">
        <w:t>;</w:t>
      </w:r>
      <w:r w:rsidR="005C2532">
        <w:rPr>
          <w:rStyle w:val="FootnoteReference"/>
        </w:rPr>
        <w:footnoteReference w:id="3"/>
      </w:r>
      <w:r>
        <w:t xml:space="preserve"> and</w:t>
      </w:r>
    </w:p>
    <w:p w14:paraId="1E3B456B" w14:textId="77777777" w:rsidR="00C60190" w:rsidRDefault="00C60190" w:rsidP="00D23AC7">
      <w:pPr>
        <w:pStyle w:val="Bullet1"/>
      </w:pPr>
      <w:r>
        <w:t>Chief Executive questionnaire and interview.</w:t>
      </w:r>
    </w:p>
    <w:p w14:paraId="7D743DFE" w14:textId="62E2EF23" w:rsidR="00C60190" w:rsidRDefault="00C60190" w:rsidP="00C60190">
      <w:pPr>
        <w:pStyle w:val="BodyText"/>
      </w:pPr>
      <w:r>
        <w:t>These sources are referred to throughout the report.</w:t>
      </w:r>
    </w:p>
    <w:p w14:paraId="6E327F8C" w14:textId="19A11050" w:rsidR="004A48A3" w:rsidRPr="004A48A3" w:rsidRDefault="004A48A3" w:rsidP="004A48A3">
      <w:pPr>
        <w:keepNext/>
        <w:keepLines/>
        <w:numPr>
          <w:ilvl w:val="1"/>
          <w:numId w:val="9"/>
        </w:numPr>
        <w:spacing w:before="360" w:after="140" w:line="240" w:lineRule="auto"/>
        <w:ind w:right="284"/>
        <w:outlineLvl w:val="1"/>
        <w:rPr>
          <w:rFonts w:eastAsiaTheme="majorEastAsia" w:cstheme="majorBidi"/>
          <w:b/>
          <w:bCs/>
          <w:sz w:val="30"/>
          <w:szCs w:val="26"/>
        </w:rPr>
      </w:pPr>
      <w:bookmarkStart w:id="13" w:name="_Toc228277843"/>
      <w:r w:rsidRPr="004A48A3">
        <w:rPr>
          <w:rFonts w:eastAsiaTheme="majorEastAsia" w:cstheme="majorBidi"/>
          <w:b/>
          <w:bCs/>
          <w:sz w:val="30"/>
          <w:szCs w:val="26"/>
        </w:rPr>
        <w:t>My opinion</w:t>
      </w:r>
      <w:bookmarkEnd w:id="13"/>
    </w:p>
    <w:p w14:paraId="700E5CA6" w14:textId="622919D7" w:rsidR="004A48A3" w:rsidRDefault="004A48A3" w:rsidP="004A48A3">
      <w:pPr>
        <w:pStyle w:val="BodyText"/>
      </w:pPr>
      <w:r w:rsidRPr="004A48A3">
        <w:t xml:space="preserve">I have not identified any conduct by </w:t>
      </w:r>
      <w:r w:rsidR="008F629D">
        <w:t>the Ministry</w:t>
      </w:r>
      <w:r w:rsidRPr="004A48A3">
        <w:t xml:space="preserve"> that was wrong, unreasonable or contrary to law under the Ombudsm</w:t>
      </w:r>
      <w:r w:rsidR="0034061A">
        <w:t>e</w:t>
      </w:r>
      <w:r w:rsidRPr="004A48A3">
        <w:t>n Act</w:t>
      </w:r>
      <w:r w:rsidR="0034061A">
        <w:t xml:space="preserve"> 1975</w:t>
      </w:r>
      <w:r w:rsidRPr="004A48A3">
        <w:t>. As such</w:t>
      </w:r>
      <w:r w:rsidR="00327F42">
        <w:t>,</w:t>
      </w:r>
      <w:r w:rsidRPr="004A48A3">
        <w:t xml:space="preserve"> I have not made any formal recommendations. However, good practices</w:t>
      </w:r>
      <w:r w:rsidR="00187211">
        <w:t xml:space="preserve"> have been identified</w:t>
      </w:r>
      <w:r w:rsidRPr="004A48A3">
        <w:t xml:space="preserve">, as well as some opportunities for </w:t>
      </w:r>
      <w:r w:rsidR="0064712E">
        <w:t>the Ministry</w:t>
      </w:r>
      <w:r w:rsidRPr="004A48A3">
        <w:t xml:space="preserve"> to improve its </w:t>
      </w:r>
      <w:proofErr w:type="spellStart"/>
      <w:r w:rsidR="000B79BC">
        <w:t>OIA</w:t>
      </w:r>
      <w:proofErr w:type="spellEnd"/>
      <w:r w:rsidR="000B79BC">
        <w:t xml:space="preserve"> compliance and practice</w:t>
      </w:r>
      <w:r w:rsidRPr="004A48A3">
        <w:t>.</w:t>
      </w:r>
      <w:r w:rsidR="00DA6102">
        <w:t xml:space="preserve"> </w:t>
      </w:r>
    </w:p>
    <w:p w14:paraId="06BC877A" w14:textId="5FAB6086" w:rsidR="006B4EA9" w:rsidRDefault="00EB3D94" w:rsidP="0077522D">
      <w:pPr>
        <w:pStyle w:val="BodyText"/>
      </w:pPr>
      <w:r>
        <w:t xml:space="preserve">It was encouraging to hear from staff that the </w:t>
      </w:r>
      <w:r w:rsidRPr="00CC1823">
        <w:t>Chief Executive ha</w:t>
      </w:r>
      <w:r>
        <w:t>d</w:t>
      </w:r>
      <w:r w:rsidRPr="00CC1823">
        <w:t xml:space="preserve"> set </w:t>
      </w:r>
      <w:r w:rsidR="008D4D30">
        <w:t>the</w:t>
      </w:r>
      <w:r w:rsidRPr="00CC1823">
        <w:t xml:space="preserve"> tone for the agency by focusing on the intent of the </w:t>
      </w:r>
      <w:proofErr w:type="spellStart"/>
      <w:r w:rsidRPr="00CC1823">
        <w:t>OIA</w:t>
      </w:r>
      <w:proofErr w:type="spellEnd"/>
      <w:r w:rsidRPr="00CC1823">
        <w:t xml:space="preserve">, prioritising </w:t>
      </w:r>
      <w:proofErr w:type="spellStart"/>
      <w:r>
        <w:t>OIA</w:t>
      </w:r>
      <w:proofErr w:type="spellEnd"/>
      <w:r>
        <w:t xml:space="preserve"> </w:t>
      </w:r>
      <w:r w:rsidRPr="00CC1823">
        <w:t>requests as a core function, and engaging more effectively with requesters</w:t>
      </w:r>
      <w:r>
        <w:t>.</w:t>
      </w:r>
      <w:r w:rsidRPr="00EB3D94">
        <w:t xml:space="preserve"> </w:t>
      </w:r>
      <w:r>
        <w:t xml:space="preserve">The Ministry maintains a proactive strategic approach to the </w:t>
      </w:r>
      <w:proofErr w:type="spellStart"/>
      <w:r>
        <w:t>OIA</w:t>
      </w:r>
      <w:proofErr w:type="spellEnd"/>
      <w:r>
        <w:t xml:space="preserve">, demonstrated through strong executive stewardship and a culture of continuous improvement of </w:t>
      </w:r>
      <w:proofErr w:type="spellStart"/>
      <w:r>
        <w:t>OIA</w:t>
      </w:r>
      <w:proofErr w:type="spellEnd"/>
      <w:r>
        <w:t xml:space="preserve"> practice.</w:t>
      </w:r>
      <w:r w:rsidR="00C30083" w:rsidRPr="00C30083">
        <w:t xml:space="preserve"> </w:t>
      </w:r>
      <w:r w:rsidR="006F3A49">
        <w:t xml:space="preserve">Active </w:t>
      </w:r>
      <w:r w:rsidR="00C30083" w:rsidRPr="00C30083">
        <w:t xml:space="preserve">executive oversight has </w:t>
      </w:r>
      <w:r w:rsidR="001B4D26">
        <w:t xml:space="preserve">fostered a positive </w:t>
      </w:r>
      <w:proofErr w:type="spellStart"/>
      <w:r w:rsidR="001B4D26">
        <w:t>OIA</w:t>
      </w:r>
      <w:proofErr w:type="spellEnd"/>
      <w:r w:rsidR="001B4D26">
        <w:t xml:space="preserve"> culture</w:t>
      </w:r>
      <w:r w:rsidR="00FF2D95">
        <w:t xml:space="preserve"> within the </w:t>
      </w:r>
      <w:r w:rsidR="00A16524">
        <w:t>Ministry,</w:t>
      </w:r>
      <w:r w:rsidR="00A16524" w:rsidRPr="00C30083">
        <w:t xml:space="preserve"> priorit</w:t>
      </w:r>
      <w:r w:rsidR="00A16524">
        <w:t>ising</w:t>
      </w:r>
      <w:r w:rsidR="00C30083" w:rsidRPr="00C30083">
        <w:t xml:space="preserve"> statutory obligations</w:t>
      </w:r>
      <w:r w:rsidR="006F3A49">
        <w:t xml:space="preserve"> alongside </w:t>
      </w:r>
      <w:r w:rsidR="00C30083" w:rsidRPr="00C30083">
        <w:t>a sustained</w:t>
      </w:r>
      <w:r w:rsidR="00474B33">
        <w:t xml:space="preserve"> </w:t>
      </w:r>
      <w:r w:rsidR="00C30083" w:rsidRPr="00C30083">
        <w:t xml:space="preserve">lift in </w:t>
      </w:r>
      <w:proofErr w:type="spellStart"/>
      <w:r w:rsidR="00C30083" w:rsidRPr="00C30083">
        <w:t>OIA</w:t>
      </w:r>
      <w:proofErr w:type="spellEnd"/>
      <w:r w:rsidR="00C30083" w:rsidRPr="00C30083">
        <w:t xml:space="preserve"> timeliness. Notably, I welcome the </w:t>
      </w:r>
      <w:r w:rsidR="009A1F94">
        <w:t>Ministry’s</w:t>
      </w:r>
      <w:r w:rsidR="00C30083" w:rsidRPr="00C30083">
        <w:t xml:space="preserve"> efforts to look </w:t>
      </w:r>
      <w:r w:rsidR="009A1F94">
        <w:t xml:space="preserve">behind reported </w:t>
      </w:r>
      <w:proofErr w:type="spellStart"/>
      <w:r w:rsidR="009A1F94">
        <w:t>OIA</w:t>
      </w:r>
      <w:proofErr w:type="spellEnd"/>
      <w:r w:rsidR="009A1F94">
        <w:t xml:space="preserve"> statistics </w:t>
      </w:r>
      <w:r w:rsidR="00C30083" w:rsidRPr="00C30083">
        <w:t>to analy</w:t>
      </w:r>
      <w:r w:rsidR="009A1F94">
        <w:t>s</w:t>
      </w:r>
      <w:r w:rsidR="00C30083" w:rsidRPr="00C30083">
        <w:t xml:space="preserve">e the specific factors driving </w:t>
      </w:r>
      <w:r w:rsidR="009A1F94">
        <w:t xml:space="preserve">the agency’s </w:t>
      </w:r>
      <w:r w:rsidR="00C30083" w:rsidRPr="00C30083">
        <w:t>performance</w:t>
      </w:r>
      <w:r w:rsidR="00975C75">
        <w:t xml:space="preserve">, </w:t>
      </w:r>
      <w:r w:rsidR="00E3755D">
        <w:t xml:space="preserve">providing clear visibility of the Ministry’s </w:t>
      </w:r>
      <w:r w:rsidR="008D4D30" w:rsidRPr="006C73E2">
        <w:t>capacity or capability needs that basic timeliness data might not fully capture.</w:t>
      </w:r>
      <w:r w:rsidR="006B4EA9">
        <w:t xml:space="preserve"> </w:t>
      </w:r>
    </w:p>
    <w:p w14:paraId="7CEA5B9D" w14:textId="77777777" w:rsidR="002A2C44" w:rsidRDefault="006208BD" w:rsidP="004A48A3">
      <w:pPr>
        <w:pStyle w:val="BodyText"/>
      </w:pPr>
      <w:r>
        <w:t>The Ministry</w:t>
      </w:r>
      <w:r w:rsidRPr="006208BD">
        <w:t xml:space="preserve"> was provided the opportunity to comment on my provisional opinion, and I have taken its comments into consideration in forming my final opinion. </w:t>
      </w:r>
    </w:p>
    <w:p w14:paraId="6B2A3110" w14:textId="499F8B8F" w:rsidR="00A027B3" w:rsidRDefault="00A027B3" w:rsidP="004A48A3">
      <w:pPr>
        <w:pStyle w:val="BodyText"/>
      </w:pPr>
      <w:r>
        <w:t>In its response to my provisional opinion t</w:t>
      </w:r>
      <w:r w:rsidR="009C1437">
        <w:t>he Ministry</w:t>
      </w:r>
      <w:r w:rsidR="006208BD" w:rsidRPr="006208BD">
        <w:t xml:space="preserve"> advised that it accepted </w:t>
      </w:r>
      <w:r w:rsidR="00203F5C">
        <w:t>most</w:t>
      </w:r>
      <w:r w:rsidR="006208BD" w:rsidRPr="006208BD">
        <w:t xml:space="preserve"> </w:t>
      </w:r>
      <w:r w:rsidR="009C1437">
        <w:t>action points</w:t>
      </w:r>
      <w:r w:rsidR="00694DE9">
        <w:t xml:space="preserve">, while noting that the implementation of some </w:t>
      </w:r>
      <w:r w:rsidR="00203F5C">
        <w:t xml:space="preserve">would have to be the decision of the </w:t>
      </w:r>
      <w:proofErr w:type="spellStart"/>
      <w:r w:rsidR="00203F5C">
        <w:t>MCERT</w:t>
      </w:r>
      <w:proofErr w:type="spellEnd"/>
      <w:r w:rsidR="00203F5C">
        <w:t xml:space="preserve"> Chief Executive and </w:t>
      </w:r>
      <w:r w:rsidR="00E87504">
        <w:t>l</w:t>
      </w:r>
      <w:r w:rsidR="00203F5C">
        <w:t xml:space="preserve">eadership team once that entity is operational. </w:t>
      </w:r>
      <w:r w:rsidR="00324E88">
        <w:t xml:space="preserve">The Ministry </w:t>
      </w:r>
      <w:r>
        <w:t xml:space="preserve">stated as follows: </w:t>
      </w:r>
    </w:p>
    <w:p w14:paraId="578C6AD1" w14:textId="29169EBB" w:rsidR="00A027B3" w:rsidRDefault="00A027B3" w:rsidP="00A027B3">
      <w:pPr>
        <w:pStyle w:val="Quotationseparateparagraph"/>
      </w:pPr>
      <w:r w:rsidRPr="00A027B3">
        <w:t xml:space="preserve">The Action Points are well reasoned and a combination of actions that can be implemented immediately and actions that can be considered/pursued through the integration of the four ministerial services functions in </w:t>
      </w:r>
      <w:proofErr w:type="spellStart"/>
      <w:r w:rsidRPr="00A027B3">
        <w:t>MCERT</w:t>
      </w:r>
      <w:proofErr w:type="spellEnd"/>
      <w:r w:rsidRPr="00A027B3">
        <w:t>.</w:t>
      </w:r>
    </w:p>
    <w:p w14:paraId="1FE51FFA" w14:textId="77777777" w:rsidR="000D6A9D" w:rsidRDefault="00591396" w:rsidP="00CF542A">
      <w:pPr>
        <w:pStyle w:val="BodyText"/>
      </w:pPr>
      <w:r>
        <w:t>T</w:t>
      </w:r>
      <w:r w:rsidR="009E1959">
        <w:t>he Ministry</w:t>
      </w:r>
      <w:r w:rsidR="00337398">
        <w:t xml:space="preserve"> advised that </w:t>
      </w:r>
      <w:r w:rsidR="00AD3E9E">
        <w:t xml:space="preserve">it </w:t>
      </w:r>
      <w:proofErr w:type="gramStart"/>
      <w:r w:rsidR="00B71888">
        <w:t>would</w:t>
      </w:r>
      <w:r w:rsidR="00AD3E9E">
        <w:t xml:space="preserve"> recommend</w:t>
      </w:r>
      <w:proofErr w:type="gramEnd"/>
      <w:r w:rsidR="00AD3E9E">
        <w:t xml:space="preserve"> </w:t>
      </w:r>
      <w:proofErr w:type="spellStart"/>
      <w:r w:rsidR="00B07287">
        <w:t>MCERT</w:t>
      </w:r>
      <w:proofErr w:type="spellEnd"/>
      <w:r w:rsidR="00B07287">
        <w:t xml:space="preserve"> </w:t>
      </w:r>
      <w:r w:rsidR="00AD3E9E">
        <w:t>implement</w:t>
      </w:r>
      <w:r w:rsidR="00A027B3">
        <w:t xml:space="preserve"> (or continue to implement)</w:t>
      </w:r>
      <w:r w:rsidR="00AD3E9E">
        <w:t xml:space="preserve"> </w:t>
      </w:r>
      <w:r w:rsidR="0053121B">
        <w:t>most</w:t>
      </w:r>
      <w:r w:rsidR="00B07287">
        <w:t xml:space="preserve"> action points </w:t>
      </w:r>
      <w:r w:rsidR="00A027B3" w:rsidRPr="009E1959">
        <w:rPr>
          <w:rStyle w:val="Quotationwithinthesentence"/>
        </w:rPr>
        <w:t>‘</w:t>
      </w:r>
      <w:r w:rsidR="00AD3E9E" w:rsidRPr="009E1959">
        <w:rPr>
          <w:rStyle w:val="Quotationwithinthesentence"/>
        </w:rPr>
        <w:t xml:space="preserve">as </w:t>
      </w:r>
      <w:r w:rsidR="00A027B3" w:rsidRPr="009E1959">
        <w:rPr>
          <w:rStyle w:val="Quotationwithinthesentence"/>
        </w:rPr>
        <w:t xml:space="preserve">the ministerial servicing functions are integrated </w:t>
      </w:r>
      <w:r w:rsidR="00B71888">
        <w:rPr>
          <w:rStyle w:val="Quotationwithinthesentence"/>
        </w:rPr>
        <w:t xml:space="preserve">[in </w:t>
      </w:r>
      <w:proofErr w:type="spellStart"/>
      <w:r w:rsidR="00B71888">
        <w:rPr>
          <w:rStyle w:val="Quotationwithinthesentence"/>
        </w:rPr>
        <w:t>MCERT</w:t>
      </w:r>
      <w:proofErr w:type="spellEnd"/>
      <w:r w:rsidR="00B71888">
        <w:rPr>
          <w:rStyle w:val="Quotationwithinthesentence"/>
        </w:rPr>
        <w:t xml:space="preserve">] </w:t>
      </w:r>
      <w:r w:rsidR="009E1959" w:rsidRPr="009E1959">
        <w:rPr>
          <w:rStyle w:val="Quotationwithinthesentence"/>
        </w:rPr>
        <w:t>over the coming months’</w:t>
      </w:r>
      <w:r w:rsidR="009E1959">
        <w:t>.</w:t>
      </w:r>
      <w:r w:rsidR="00CF542A">
        <w:t xml:space="preserve"> </w:t>
      </w:r>
    </w:p>
    <w:p w14:paraId="1AE433DF" w14:textId="1505F06C" w:rsidR="00CF542A" w:rsidRDefault="00CF542A" w:rsidP="00CF542A">
      <w:pPr>
        <w:pStyle w:val="BodyText"/>
      </w:pPr>
      <w:r>
        <w:t>We</w:t>
      </w:r>
      <w:r w:rsidRPr="006208BD">
        <w:t xml:space="preserve"> look forward to </w:t>
      </w:r>
      <w:r w:rsidR="005612E2">
        <w:t>tracking</w:t>
      </w:r>
      <w:r w:rsidRPr="006208BD">
        <w:t xml:space="preserve"> </w:t>
      </w:r>
      <w:proofErr w:type="spellStart"/>
      <w:r w:rsidR="00077BFA">
        <w:t>MCERT’s</w:t>
      </w:r>
      <w:proofErr w:type="spellEnd"/>
      <w:r w:rsidR="00077BFA">
        <w:t xml:space="preserve"> </w:t>
      </w:r>
      <w:r w:rsidRPr="006208BD">
        <w:t xml:space="preserve">progress on </w:t>
      </w:r>
      <w:r w:rsidR="000B51D3">
        <w:t>implementing our</w:t>
      </w:r>
      <w:r>
        <w:t xml:space="preserve"> </w:t>
      </w:r>
      <w:r w:rsidRPr="006208BD">
        <w:t xml:space="preserve">action points over the </w:t>
      </w:r>
      <w:r w:rsidR="005612E2">
        <w:t>coming</w:t>
      </w:r>
      <w:r w:rsidRPr="006208BD">
        <w:t xml:space="preserve"> year, during which time </w:t>
      </w:r>
      <w:r w:rsidR="005612E2">
        <w:t>my Office</w:t>
      </w:r>
      <w:r>
        <w:t xml:space="preserve"> </w:t>
      </w:r>
      <w:r w:rsidRPr="006208BD">
        <w:t xml:space="preserve">will seek </w:t>
      </w:r>
      <w:r w:rsidR="005612E2">
        <w:t xml:space="preserve">periodic </w:t>
      </w:r>
      <w:r w:rsidRPr="006208BD">
        <w:t>updates.</w:t>
      </w:r>
      <w:r w:rsidR="00D6526D">
        <w:rPr>
          <w:rStyle w:val="FootnoteReference"/>
        </w:rPr>
        <w:footnoteReference w:id="4"/>
      </w:r>
    </w:p>
    <w:p w14:paraId="01440640" w14:textId="77777777" w:rsidR="00D45134" w:rsidRDefault="00A010D5" w:rsidP="004A48A3">
      <w:pPr>
        <w:pStyle w:val="BodyText"/>
      </w:pPr>
      <w:r w:rsidRPr="00A010D5">
        <w:t xml:space="preserve">We would like to extend thanks to the Ministry for the positive and open way it engaged with this investigation. </w:t>
      </w:r>
      <w:proofErr w:type="gramStart"/>
      <w:r w:rsidRPr="00A010D5">
        <w:t>In particular, our</w:t>
      </w:r>
      <w:proofErr w:type="gramEnd"/>
      <w:r w:rsidRPr="00A010D5">
        <w:t xml:space="preserve"> thanks</w:t>
      </w:r>
      <w:r>
        <w:t xml:space="preserve"> go</w:t>
      </w:r>
      <w:r w:rsidRPr="00A010D5">
        <w:t xml:space="preserve"> to those staff members who took the time to meet with the investigators</w:t>
      </w:r>
      <w:r w:rsidR="008E44B7">
        <w:t>,</w:t>
      </w:r>
      <w:r w:rsidRPr="00A010D5">
        <w:t xml:space="preserve"> completed the staff survey and liaised with our </w:t>
      </w:r>
      <w:r w:rsidR="002B4809">
        <w:t>O</w:t>
      </w:r>
      <w:r w:rsidRPr="00A010D5">
        <w:t>ffice throughout the investigation. We greatly value their contribution to this investigation</w:t>
      </w:r>
      <w:r w:rsidR="00D45134">
        <w:t>.</w:t>
      </w:r>
    </w:p>
    <w:p w14:paraId="2EBC1624" w14:textId="75D1E16A" w:rsidR="00756148" w:rsidRDefault="008F6079" w:rsidP="00756148">
      <w:pPr>
        <w:pStyle w:val="BodyText"/>
      </w:pPr>
      <w:r>
        <w:rPr>
          <w:noProof/>
        </w:rPr>
        <w:drawing>
          <wp:inline distT="0" distB="0" distL="0" distR="0" wp14:anchorId="75212772" wp14:editId="78092D3C">
            <wp:extent cx="2218944" cy="845820"/>
            <wp:effectExtent l="0" t="0" r="0" b="0"/>
            <wp:docPr id="2029338682" name="Picture 2" descr="Signature of Chief Ombudsman John Al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38682" name="Picture 2" descr="Signature of Chief Ombudsman John Allen"/>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18944" cy="845820"/>
                    </a:xfrm>
                    <a:prstGeom prst="rect">
                      <a:avLst/>
                    </a:prstGeom>
                  </pic:spPr>
                </pic:pic>
              </a:graphicData>
            </a:graphic>
          </wp:inline>
        </w:drawing>
      </w:r>
    </w:p>
    <w:p w14:paraId="00AA3162" w14:textId="77777777" w:rsidR="00756148" w:rsidRDefault="00756148" w:rsidP="00756148">
      <w:pPr>
        <w:pStyle w:val="DL-closingname"/>
      </w:pPr>
      <w:r>
        <w:t>John Allen</w:t>
      </w:r>
    </w:p>
    <w:p w14:paraId="1C3528F6" w14:textId="77777777" w:rsidR="00756148" w:rsidRDefault="00756148" w:rsidP="00756148">
      <w:pPr>
        <w:pStyle w:val="DL-closingname"/>
      </w:pPr>
      <w:r>
        <w:t xml:space="preserve">Chief Ombudsman </w:t>
      </w:r>
    </w:p>
    <w:p w14:paraId="171655A1" w14:textId="799A4FBC" w:rsidR="008442AB" w:rsidRDefault="00081316" w:rsidP="00492E65">
      <w:pPr>
        <w:pStyle w:val="Heading1"/>
        <w:pageBreakBefore/>
        <w:spacing w:after="240"/>
      </w:pPr>
      <w:bookmarkStart w:id="14" w:name="_Toc239154243"/>
      <w:r>
        <w:t>L</w:t>
      </w:r>
      <w:r w:rsidR="005958C8">
        <w:t>eadership</w:t>
      </w:r>
      <w:r>
        <w:t xml:space="preserve"> and culture</w:t>
      </w:r>
      <w:bookmarkEnd w:id="14"/>
    </w:p>
    <w:p w14:paraId="0D5705D8" w14:textId="5DBD0D80" w:rsidR="00D54CFF" w:rsidRDefault="00D54CFF" w:rsidP="00D54CFF">
      <w:pPr>
        <w:pStyle w:val="BodyText"/>
      </w:pPr>
      <w:r w:rsidRPr="0083173A">
        <w:t xml:space="preserve">Effective leadership is central to </w:t>
      </w:r>
      <w:r>
        <w:t>building and maintaining</w:t>
      </w:r>
      <w:r w:rsidRPr="0083173A">
        <w:t xml:space="preserve"> a culture that supports the </w:t>
      </w:r>
      <w:r>
        <w:t xml:space="preserve">principle and </w:t>
      </w:r>
      <w:r w:rsidRPr="0083173A">
        <w:t xml:space="preserve">purposes of the </w:t>
      </w:r>
      <w:proofErr w:type="spellStart"/>
      <w:r w:rsidRPr="0083173A">
        <w:t>OIA</w:t>
      </w:r>
      <w:proofErr w:type="spellEnd"/>
      <w:r w:rsidRPr="0083173A">
        <w:t xml:space="preserve">. </w:t>
      </w:r>
      <w:r w:rsidRPr="00FE27B7">
        <w:t>Culture is shaped by what leaders prioritise, model, and reinforce</w:t>
      </w:r>
      <w:r>
        <w:t xml:space="preserve"> through their actions and messaging. We expect chief executives, senior leaders and managers to demonstrate a commitment to the agency meeting its obligations under the </w:t>
      </w:r>
      <w:proofErr w:type="spellStart"/>
      <w:r w:rsidR="002D2D41">
        <w:t>OIA</w:t>
      </w:r>
      <w:proofErr w:type="spellEnd"/>
      <w:r>
        <w:t xml:space="preserve"> and to actively foster a culture of openness within the agency.</w:t>
      </w:r>
    </w:p>
    <w:p w14:paraId="2C441702" w14:textId="03FC40A6" w:rsidR="001470FE" w:rsidRPr="00A30AB6" w:rsidRDefault="008D0FF4" w:rsidP="0024103C">
      <w:pPr>
        <w:pStyle w:val="Heading2"/>
      </w:pPr>
      <w:bookmarkStart w:id="15" w:name="_Messaging_to_staff"/>
      <w:bookmarkStart w:id="16" w:name="_Toc239154244"/>
      <w:bookmarkStart w:id="17" w:name="_Hlk224302363"/>
      <w:bookmarkEnd w:id="10"/>
      <w:bookmarkEnd w:id="15"/>
      <w:r>
        <w:t>Messaging</w:t>
      </w:r>
      <w:r w:rsidR="00F633D9">
        <w:t xml:space="preserve"> to staff</w:t>
      </w:r>
      <w:bookmarkEnd w:id="16"/>
      <w:r w:rsidR="00F633D9">
        <w:t xml:space="preserve"> </w:t>
      </w:r>
    </w:p>
    <w:p w14:paraId="56776D9E" w14:textId="75F30F4C" w:rsidR="00A30AB6" w:rsidRDefault="00AA7797" w:rsidP="00D50A06">
      <w:pPr>
        <w:pStyle w:val="BodyText"/>
      </w:pPr>
      <w:r>
        <w:t>S</w:t>
      </w:r>
      <w:r w:rsidR="00A30AB6">
        <w:t>enior leaders</w:t>
      </w:r>
      <w:r>
        <w:t xml:space="preserve"> should make </w:t>
      </w:r>
      <w:r w:rsidR="00A30AB6">
        <w:t>clear, regular statements to staff and stakeholders in support of the principle and purposes of</w:t>
      </w:r>
      <w:r w:rsidR="00967EB3">
        <w:t xml:space="preserve"> the </w:t>
      </w:r>
      <w:proofErr w:type="spellStart"/>
      <w:r w:rsidR="00967EB3">
        <w:t>OIA</w:t>
      </w:r>
      <w:proofErr w:type="spellEnd"/>
      <w:r w:rsidR="00A30AB6">
        <w:t>, reminding staff of their obligations.</w:t>
      </w:r>
      <w:r w:rsidR="00E72749" w:rsidRPr="00E72749">
        <w:t xml:space="preserve"> Staff receive signals from senior leaders not only through overt messaging but through their actions</w:t>
      </w:r>
      <w:r w:rsidR="00E72749">
        <w:t xml:space="preserve">, including </w:t>
      </w:r>
      <w:r w:rsidR="00E72749" w:rsidRPr="00E72749">
        <w:t>role</w:t>
      </w:r>
      <w:r w:rsidR="00EB7D49">
        <w:t>-</w:t>
      </w:r>
      <w:r w:rsidR="00E72749" w:rsidRPr="00E72749">
        <w:t>model</w:t>
      </w:r>
      <w:r w:rsidR="00E72749">
        <w:t>ling</w:t>
      </w:r>
      <w:r w:rsidR="00E72749" w:rsidRPr="00E72749">
        <w:t xml:space="preserve"> openness and provid</w:t>
      </w:r>
      <w:r w:rsidR="00A77DE4">
        <w:t>ing</w:t>
      </w:r>
      <w:r w:rsidR="00E72749" w:rsidRPr="00E72749">
        <w:t xml:space="preserve"> staff with the systems, resources and support to facilitate the timely release of information.</w:t>
      </w:r>
    </w:p>
    <w:p w14:paraId="19A66EED" w14:textId="6AAEBEFC" w:rsidR="00EC2502" w:rsidRPr="00EC2502" w:rsidRDefault="00D50A06" w:rsidP="00EC2502">
      <w:pPr>
        <w:pStyle w:val="BodyText"/>
      </w:pPr>
      <w:r>
        <w:rPr>
          <w:rStyle w:val="Quotationwithinthesentence"/>
          <w:i w:val="0"/>
          <w:iCs/>
        </w:rPr>
        <w:t>During this investigation</w:t>
      </w:r>
      <w:r w:rsidR="00EB7D49">
        <w:rPr>
          <w:rStyle w:val="Quotationwithinthesentence"/>
          <w:i w:val="0"/>
          <w:iCs/>
        </w:rPr>
        <w:t>,</w:t>
      </w:r>
      <w:r>
        <w:rPr>
          <w:rStyle w:val="Quotationwithinthesentence"/>
          <w:i w:val="0"/>
          <w:iCs/>
        </w:rPr>
        <w:t xml:space="preserve"> the Ministry’s staff were surveyed about their </w:t>
      </w:r>
      <w:r w:rsidR="00EC2502" w:rsidRPr="00EC2502">
        <w:t>impressions of the Ministry’s commitment to a culture of openness.</w:t>
      </w:r>
      <w:r w:rsidR="00EC2502">
        <w:rPr>
          <w:rStyle w:val="FootnoteReference"/>
        </w:rPr>
        <w:footnoteReference w:id="5"/>
      </w:r>
      <w:r w:rsidR="00EC2502">
        <w:t xml:space="preserve"> </w:t>
      </w:r>
      <w:r w:rsidR="00EC2502" w:rsidRPr="00EC2502">
        <w:t>Of those who responded, the majority rated the agency as being strongly or moderately pro-openness as indicated below:</w:t>
      </w:r>
      <w:r w:rsidRPr="00EC2502">
        <w:rPr>
          <w:vertAlign w:val="superscript"/>
        </w:rPr>
        <w:footnoteReference w:id="6"/>
      </w:r>
    </w:p>
    <w:p w14:paraId="20FA3E5C" w14:textId="41064155" w:rsidR="00EC2502" w:rsidRPr="00EC2502" w:rsidRDefault="00EC2502" w:rsidP="00EC2502">
      <w:pPr>
        <w:keepNext/>
        <w:keepLines/>
        <w:numPr>
          <w:ilvl w:val="3"/>
          <w:numId w:val="0"/>
        </w:numPr>
        <w:spacing w:before="280" w:after="60" w:line="240" w:lineRule="auto"/>
        <w:ind w:right="284"/>
        <w:rPr>
          <w:rFonts w:eastAsiaTheme="majorEastAsia" w:cstheme="majorBidi"/>
          <w:b/>
          <w:bCs/>
          <w:iCs/>
          <w:sz w:val="26"/>
        </w:rPr>
      </w:pPr>
      <w:bookmarkStart w:id="18" w:name="_Hlk225857683"/>
      <w:r w:rsidRPr="00EC2502">
        <w:rPr>
          <w:rFonts w:eastAsiaTheme="majorEastAsia" w:cstheme="majorBidi"/>
          <w:b/>
          <w:bCs/>
          <w:iCs/>
          <w:sz w:val="26"/>
        </w:rPr>
        <w:t xml:space="preserve">Staff </w:t>
      </w:r>
      <w:r w:rsidR="00B04CB4">
        <w:rPr>
          <w:rFonts w:eastAsiaTheme="majorEastAsia" w:cstheme="majorBidi"/>
          <w:b/>
          <w:bCs/>
          <w:iCs/>
          <w:sz w:val="26"/>
        </w:rPr>
        <w:t xml:space="preserve">survey respondents’ </w:t>
      </w:r>
      <w:r w:rsidRPr="00EC2502">
        <w:rPr>
          <w:rFonts w:eastAsiaTheme="majorEastAsia" w:cstheme="majorBidi"/>
          <w:b/>
          <w:bCs/>
          <w:iCs/>
          <w:sz w:val="26"/>
        </w:rPr>
        <w:t xml:space="preserve">impressions of the </w:t>
      </w:r>
      <w:bookmarkStart w:id="19" w:name="_Hlk229472038"/>
      <w:r w:rsidRPr="00EC2502">
        <w:rPr>
          <w:rFonts w:eastAsiaTheme="majorEastAsia" w:cstheme="majorBidi"/>
          <w:b/>
          <w:bCs/>
          <w:iCs/>
          <w:sz w:val="26"/>
        </w:rPr>
        <w:t>agency's overall commitment to a culture of openness</w:t>
      </w:r>
      <w:bookmarkEnd w:id="19"/>
      <w:r w:rsidR="00B04CB4">
        <w:rPr>
          <w:rFonts w:eastAsiaTheme="majorEastAsia" w:cstheme="majorBidi"/>
          <w:b/>
          <w:bCs/>
          <w:iCs/>
          <w:sz w:val="26"/>
        </w:rPr>
        <w:t>:</w:t>
      </w:r>
    </w:p>
    <w:tbl>
      <w:tblPr>
        <w:tblStyle w:val="TableGrid"/>
        <w:tblW w:w="5000" w:type="pct"/>
        <w:tblLook w:val="04A0" w:firstRow="1" w:lastRow="0" w:firstColumn="1" w:lastColumn="0" w:noHBand="0" w:noVBand="1"/>
      </w:tblPr>
      <w:tblGrid>
        <w:gridCol w:w="3096"/>
        <w:gridCol w:w="3097"/>
        <w:gridCol w:w="3095"/>
      </w:tblGrid>
      <w:tr w:rsidR="008D53E4" w:rsidRPr="008D53E4" w14:paraId="45861B5D" w14:textId="77777777" w:rsidTr="00AE47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tcPr>
          <w:p w14:paraId="3B37151B" w14:textId="77777777" w:rsidR="00EC2502" w:rsidRPr="008D53E4" w:rsidRDefault="00EC2502" w:rsidP="008D53E4">
            <w:pPr>
              <w:pStyle w:val="BodyText"/>
              <w:rPr>
                <w:color w:val="FFFFFF" w:themeColor="background1"/>
              </w:rPr>
            </w:pPr>
            <w:r w:rsidRPr="008D53E4">
              <w:rPr>
                <w:color w:val="FFFFFF" w:themeColor="background1"/>
              </w:rPr>
              <w:t xml:space="preserve">Strongly or moderately pro-openness </w:t>
            </w:r>
          </w:p>
        </w:tc>
        <w:tc>
          <w:tcPr>
            <w:tcW w:w="1667" w:type="pct"/>
          </w:tcPr>
          <w:p w14:paraId="4B3183CD" w14:textId="77777777" w:rsidR="00EC2502" w:rsidRPr="008D53E4" w:rsidRDefault="00EC2502" w:rsidP="008D53E4">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sidRPr="008D53E4">
              <w:rPr>
                <w:color w:val="FFFFFF" w:themeColor="background1"/>
              </w:rPr>
              <w:t xml:space="preserve">Strongly or moderately anti-openness </w:t>
            </w:r>
          </w:p>
        </w:tc>
        <w:tc>
          <w:tcPr>
            <w:tcW w:w="1666" w:type="pct"/>
          </w:tcPr>
          <w:p w14:paraId="459A24E4" w14:textId="77777777" w:rsidR="00EC2502" w:rsidRPr="008D53E4" w:rsidRDefault="00EC2502" w:rsidP="008D53E4">
            <w:pPr>
              <w:pStyle w:val="BodyText"/>
              <w:cnfStyle w:val="100000000000" w:firstRow="1" w:lastRow="0" w:firstColumn="0" w:lastColumn="0" w:oddVBand="0" w:evenVBand="0" w:oddHBand="0" w:evenHBand="0" w:firstRowFirstColumn="0" w:firstRowLastColumn="0" w:lastRowFirstColumn="0" w:lastRowLastColumn="0"/>
              <w:rPr>
                <w:color w:val="FFFFFF" w:themeColor="background1"/>
              </w:rPr>
            </w:pPr>
            <w:r w:rsidRPr="008D53E4">
              <w:rPr>
                <w:color w:val="FFFFFF" w:themeColor="background1"/>
              </w:rPr>
              <w:t>It is silent on the issue or ‘I don’t know’</w:t>
            </w:r>
          </w:p>
        </w:tc>
      </w:tr>
      <w:tr w:rsidR="00EC2502" w:rsidRPr="00EC2502" w14:paraId="38398897" w14:textId="77777777" w:rsidTr="00AE47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7" w:type="pct"/>
            <w:shd w:val="clear" w:color="000000" w:fill="auto"/>
          </w:tcPr>
          <w:p w14:paraId="44D4A523" w14:textId="280522DC" w:rsidR="00EC2502" w:rsidRPr="00F256CB" w:rsidRDefault="00F256CB" w:rsidP="008D53E4">
            <w:pPr>
              <w:pStyle w:val="BodyText"/>
            </w:pPr>
            <w:r w:rsidRPr="00F256CB">
              <w:t>93</w:t>
            </w:r>
            <w:r w:rsidR="009408A6">
              <w:t>%</w:t>
            </w:r>
          </w:p>
        </w:tc>
        <w:tc>
          <w:tcPr>
            <w:tcW w:w="1667" w:type="pct"/>
            <w:shd w:val="clear" w:color="000000" w:fill="auto"/>
          </w:tcPr>
          <w:p w14:paraId="2CD00E33" w14:textId="6817289D" w:rsidR="00EC2502" w:rsidRPr="00F256CB" w:rsidRDefault="00F256CB" w:rsidP="008D53E4">
            <w:pPr>
              <w:pStyle w:val="BodyText"/>
              <w:cnfStyle w:val="000000100000" w:firstRow="0" w:lastRow="0" w:firstColumn="0" w:lastColumn="0" w:oddVBand="0" w:evenVBand="0" w:oddHBand="1" w:evenHBand="0" w:firstRowFirstColumn="0" w:firstRowLastColumn="0" w:lastRowFirstColumn="0" w:lastRowLastColumn="0"/>
            </w:pPr>
            <w:r>
              <w:t>3</w:t>
            </w:r>
            <w:r w:rsidR="009408A6">
              <w:t>%</w:t>
            </w:r>
          </w:p>
        </w:tc>
        <w:tc>
          <w:tcPr>
            <w:tcW w:w="1666" w:type="pct"/>
            <w:shd w:val="clear" w:color="000000" w:fill="auto"/>
          </w:tcPr>
          <w:p w14:paraId="44BD963D" w14:textId="5B7DEEF1" w:rsidR="00EC2502" w:rsidRPr="00EC2502" w:rsidRDefault="00F256CB" w:rsidP="008D53E4">
            <w:pPr>
              <w:pStyle w:val="BodyText"/>
              <w:cnfStyle w:val="000000100000" w:firstRow="0" w:lastRow="0" w:firstColumn="0" w:lastColumn="0" w:oddVBand="0" w:evenVBand="0" w:oddHBand="1" w:evenHBand="0" w:firstRowFirstColumn="0" w:firstRowLastColumn="0" w:lastRowFirstColumn="0" w:lastRowLastColumn="0"/>
            </w:pPr>
            <w:r>
              <w:t>4</w:t>
            </w:r>
            <w:r w:rsidR="009408A6">
              <w:t>%</w:t>
            </w:r>
          </w:p>
        </w:tc>
      </w:tr>
      <w:bookmarkEnd w:id="18"/>
    </w:tbl>
    <w:p w14:paraId="1239C7F3" w14:textId="77777777" w:rsidR="00EC2502" w:rsidRPr="00EC2502" w:rsidRDefault="00EC2502" w:rsidP="00EC2502">
      <w:pPr>
        <w:spacing w:after="0" w:line="240" w:lineRule="auto"/>
        <w:rPr>
          <w:sz w:val="16"/>
        </w:rPr>
      </w:pPr>
    </w:p>
    <w:p w14:paraId="4DB86681" w14:textId="7694E82E" w:rsidR="00EC2502" w:rsidRPr="00EC2502" w:rsidRDefault="00914985" w:rsidP="00D23AC7">
      <w:pPr>
        <w:pStyle w:val="BodyText"/>
      </w:pPr>
      <w:r>
        <w:t>R</w:t>
      </w:r>
      <w:r w:rsidR="00EC2502" w:rsidRPr="00AF4AC8">
        <w:t xml:space="preserve">espondents’ comments on the culture were </w:t>
      </w:r>
      <w:r w:rsidR="003C19AC">
        <w:t>overwhelmingly</w:t>
      </w:r>
      <w:r w:rsidR="00EC2502" w:rsidRPr="00AF4AC8">
        <w:t xml:space="preserve"> positive, for example:</w:t>
      </w:r>
      <w:r w:rsidR="00EC2502" w:rsidRPr="00EC2502">
        <w:t xml:space="preserve"> </w:t>
      </w:r>
    </w:p>
    <w:p w14:paraId="364149AA" w14:textId="77777777" w:rsidR="00EC2502" w:rsidRPr="00EC2502" w:rsidRDefault="00EC2502" w:rsidP="00D22268">
      <w:pPr>
        <w:pStyle w:val="Quotationseparateparagraph"/>
      </w:pPr>
      <w:r w:rsidRPr="00EC2502">
        <w:t>Our Senior Leadership team frequently talks about transparency in line with our role as public servants.</w:t>
      </w:r>
    </w:p>
    <w:p w14:paraId="01B3E0B1" w14:textId="77777777" w:rsidR="00EC2502" w:rsidRPr="00EC2502" w:rsidRDefault="00EC2502" w:rsidP="00D22268">
      <w:pPr>
        <w:pStyle w:val="Quotationseparateparagraph"/>
      </w:pPr>
      <w:r w:rsidRPr="00EC2502">
        <w:t>Feels like a good culture of pro-active release where appropriate and a default position of openness.</w:t>
      </w:r>
    </w:p>
    <w:p w14:paraId="6CBFA949" w14:textId="317DF74D" w:rsidR="00EC2502" w:rsidRPr="00EC2502" w:rsidRDefault="00EC2502" w:rsidP="00D22268">
      <w:pPr>
        <w:pStyle w:val="Quotationseparateparagraph"/>
      </w:pPr>
      <w:r w:rsidRPr="00EC2502">
        <w:t>Although open disclosure is resource intensive, it is prioriti</w:t>
      </w:r>
      <w:r w:rsidR="002473F2">
        <w:t>s</w:t>
      </w:r>
      <w:r w:rsidRPr="00EC2502">
        <w:t>ed by leadership and staff alike.</w:t>
      </w:r>
    </w:p>
    <w:p w14:paraId="0FCE3E33" w14:textId="77777777" w:rsidR="00EC2502" w:rsidRPr="00EC2502" w:rsidRDefault="00EC2502" w:rsidP="00D22268">
      <w:pPr>
        <w:pStyle w:val="Quotationseparateparagraph"/>
      </w:pPr>
      <w:proofErr w:type="spellStart"/>
      <w:r w:rsidRPr="00EC2502">
        <w:t>MfE</w:t>
      </w:r>
      <w:proofErr w:type="spellEnd"/>
      <w:r w:rsidRPr="00EC2502">
        <w:t xml:space="preserve"> has a very high standard of openness, transparency, and provides all the instruction and leadership to maintain this standard.</w:t>
      </w:r>
    </w:p>
    <w:p w14:paraId="7634EB7D" w14:textId="558BAC07" w:rsidR="00EC2502" w:rsidRPr="00EC2502" w:rsidRDefault="00EC2502" w:rsidP="00D22268">
      <w:pPr>
        <w:pStyle w:val="Quotationseparateparagraph"/>
      </w:pPr>
      <w:r w:rsidRPr="00EC2502">
        <w:t xml:space="preserve">My manager and </w:t>
      </w:r>
      <w:r w:rsidR="00EB7D49">
        <w:t xml:space="preserve">[General Manager] </w:t>
      </w:r>
      <w:r w:rsidRPr="00EC2502">
        <w:t>regularly emphasi</w:t>
      </w:r>
      <w:r w:rsidR="002473F2">
        <w:t>s</w:t>
      </w:r>
      <w:r w:rsidRPr="00EC2502">
        <w:t>e the importance of transparency. They model openness by communicating across teams, being candid about challenges…</w:t>
      </w:r>
    </w:p>
    <w:p w14:paraId="673B06C1" w14:textId="77777777" w:rsidR="00EC2502" w:rsidRPr="00EC2502" w:rsidRDefault="00EC2502" w:rsidP="00D22268">
      <w:pPr>
        <w:pStyle w:val="Quotationseparateparagraph"/>
      </w:pPr>
      <w:r w:rsidRPr="00EC2502">
        <w:t xml:space="preserve">I see acceptance across the agency of the importance of the </w:t>
      </w:r>
      <w:proofErr w:type="spellStart"/>
      <w:r w:rsidRPr="00EC2502">
        <w:t>OIA</w:t>
      </w:r>
      <w:proofErr w:type="spellEnd"/>
      <w:r w:rsidRPr="00EC2502">
        <w:t xml:space="preserve"> and of us as public service adhering to its intent</w:t>
      </w:r>
    </w:p>
    <w:p w14:paraId="1973B2BB" w14:textId="4CACEA41" w:rsidR="00CC1823" w:rsidRDefault="00CC1823" w:rsidP="00D23AC7">
      <w:pPr>
        <w:pStyle w:val="BodyText"/>
      </w:pPr>
      <w:r w:rsidRPr="00CC1823">
        <w:t xml:space="preserve">Interviews with staff highlighted a cultural shift following the Chief Executive’s appointment in 2023. </w:t>
      </w:r>
      <w:r>
        <w:t xml:space="preserve">Staff said that the </w:t>
      </w:r>
      <w:r w:rsidRPr="00CC1823">
        <w:t xml:space="preserve">Chief Executive has set a tone for the agency by focusing on the intent of the </w:t>
      </w:r>
      <w:proofErr w:type="spellStart"/>
      <w:r w:rsidRPr="00CC1823">
        <w:t>OIA</w:t>
      </w:r>
      <w:proofErr w:type="spellEnd"/>
      <w:r w:rsidRPr="00CC1823">
        <w:t>,</w:t>
      </w:r>
      <w:r w:rsidRPr="00AA5BE6">
        <w:rPr>
          <w:rStyle w:val="FootnoteReference"/>
        </w:rPr>
        <w:footnoteReference w:id="7"/>
      </w:r>
      <w:r w:rsidRPr="00CC1823">
        <w:t xml:space="preserve"> prioritising </w:t>
      </w:r>
      <w:proofErr w:type="spellStart"/>
      <w:r w:rsidR="00E703C3">
        <w:t>OIA</w:t>
      </w:r>
      <w:proofErr w:type="spellEnd"/>
      <w:r w:rsidR="00E703C3">
        <w:t xml:space="preserve"> </w:t>
      </w:r>
      <w:r w:rsidRPr="00CC1823">
        <w:t xml:space="preserve">requests as a core function, and engaging more effectively with requesters. </w:t>
      </w:r>
      <w:r w:rsidR="00D416B4">
        <w:t xml:space="preserve">Interviews indicated </w:t>
      </w:r>
      <w:r w:rsidR="00A5222A">
        <w:t xml:space="preserve">that this </w:t>
      </w:r>
      <w:r w:rsidRPr="00CC1823">
        <w:t>messaging has cascaded through</w:t>
      </w:r>
      <w:r w:rsidR="00F47871">
        <w:t>out</w:t>
      </w:r>
      <w:r w:rsidRPr="00CC1823">
        <w:t xml:space="preserve"> the organisation, with the executive leadership team communicating these expectations across all business areas.</w:t>
      </w:r>
    </w:p>
    <w:p w14:paraId="0067B723" w14:textId="3F31DE3D" w:rsidR="00E37932" w:rsidRDefault="00E37932" w:rsidP="00D23AC7">
      <w:pPr>
        <w:pStyle w:val="BodyText"/>
      </w:pPr>
      <w:r w:rsidRPr="00E37932">
        <w:t>It is encouraging to see this leader-led shift, which has coincided with a</w:t>
      </w:r>
      <w:r>
        <w:t xml:space="preserve">n </w:t>
      </w:r>
      <w:r w:rsidR="00DC791D">
        <w:t xml:space="preserve">upward trend in the Ministry’s </w:t>
      </w:r>
      <w:r w:rsidR="00A556F2">
        <w:t xml:space="preserve">reported </w:t>
      </w:r>
      <w:proofErr w:type="spellStart"/>
      <w:r w:rsidR="00DC791D">
        <w:t>OIA</w:t>
      </w:r>
      <w:proofErr w:type="spellEnd"/>
      <w:r w:rsidR="00DC791D">
        <w:t xml:space="preserve"> timeliness </w:t>
      </w:r>
      <w:r w:rsidR="00DC791D" w:rsidRPr="003036CF">
        <w:t xml:space="preserve">(discussed in </w:t>
      </w:r>
      <w:r w:rsidR="00986D14">
        <w:t>‘</w:t>
      </w:r>
      <w:hyperlink w:anchor="_PSC_reporting" w:history="1">
        <w:r w:rsidR="003036CF" w:rsidRPr="003036CF">
          <w:rPr>
            <w:rStyle w:val="Hyperlink"/>
            <w:i/>
            <w:iCs/>
          </w:rPr>
          <w:t>PSC reporting</w:t>
        </w:r>
      </w:hyperlink>
      <w:r w:rsidR="00986D14">
        <w:rPr>
          <w:i/>
          <w:iCs/>
        </w:rPr>
        <w:t>’</w:t>
      </w:r>
      <w:r w:rsidR="00351F96">
        <w:rPr>
          <w:i/>
          <w:iCs/>
        </w:rPr>
        <w:t xml:space="preserve"> </w:t>
      </w:r>
      <w:r w:rsidR="00351F96" w:rsidRPr="00351F96">
        <w:t>below</w:t>
      </w:r>
      <w:r w:rsidR="00DC791D" w:rsidRPr="003036CF">
        <w:t>)</w:t>
      </w:r>
      <w:r w:rsidR="00DC791D">
        <w:t>.</w:t>
      </w:r>
    </w:p>
    <w:p w14:paraId="074C170D" w14:textId="62DF1C03" w:rsidR="00021AD6" w:rsidRDefault="00452C91" w:rsidP="002C0F15">
      <w:pPr>
        <w:pStyle w:val="BodyText"/>
      </w:pPr>
      <w:r>
        <w:t>S</w:t>
      </w:r>
      <w:r w:rsidR="002C0F15" w:rsidRPr="00AA5BE6">
        <w:t>enior leaders’ messag</w:t>
      </w:r>
      <w:r w:rsidR="00C8368E" w:rsidRPr="00AA5BE6">
        <w:t xml:space="preserve">es are </w:t>
      </w:r>
      <w:r w:rsidR="002C0F15" w:rsidRPr="00AA5BE6">
        <w:t xml:space="preserve">delivered to staff </w:t>
      </w:r>
      <w:r w:rsidR="00021AD6" w:rsidRPr="00AA5BE6">
        <w:t xml:space="preserve">through </w:t>
      </w:r>
      <w:r w:rsidR="00F21156" w:rsidRPr="00AA5BE6">
        <w:t>various</w:t>
      </w:r>
      <w:r w:rsidR="00021AD6" w:rsidRPr="00AA5BE6">
        <w:t xml:space="preserve"> </w:t>
      </w:r>
      <w:r w:rsidR="002120CF" w:rsidRPr="00AA5BE6">
        <w:t xml:space="preserve">channels </w:t>
      </w:r>
      <w:r w:rsidR="00021AD6" w:rsidRPr="00AA5BE6">
        <w:t xml:space="preserve">such </w:t>
      </w:r>
      <w:r w:rsidR="002D5BFC">
        <w:t xml:space="preserve">as </w:t>
      </w:r>
      <w:r w:rsidR="00021AD6" w:rsidRPr="00AA5BE6">
        <w:t>all-staff meetings, emails and fortnightly blogs maintained by the Chief Executive and tier two managers. For example, an email from the Office</w:t>
      </w:r>
      <w:r w:rsidR="00021AD6">
        <w:t xml:space="preserve"> of the Chief Executive included the following statement: </w:t>
      </w:r>
    </w:p>
    <w:p w14:paraId="0D1D0612" w14:textId="3DBABB81" w:rsidR="00021AD6" w:rsidRPr="00B17DD5" w:rsidRDefault="00021AD6" w:rsidP="00021AD6">
      <w:pPr>
        <w:pStyle w:val="Quotationseparateparagraph"/>
      </w:pPr>
      <w:r w:rsidRPr="00D66EF7">
        <w:t>Responding to Official Information Act (</w:t>
      </w:r>
      <w:proofErr w:type="spellStart"/>
      <w:r w:rsidRPr="00D66EF7">
        <w:t>OIA</w:t>
      </w:r>
      <w:proofErr w:type="spellEnd"/>
      <w:r w:rsidRPr="00D66EF7">
        <w:t>) requests is a cornerstone of transparent and accountable Government. Ensuring our responses are accurate and appropriately managed is essential to maintaining the trust and confidence of our Ministers and the public</w:t>
      </w:r>
      <w:r w:rsidR="00B230BD">
        <w:t>..</w:t>
      </w:r>
      <w:r w:rsidRPr="00D66EF7">
        <w:t>.</w:t>
      </w:r>
    </w:p>
    <w:p w14:paraId="6DC45DA0" w14:textId="3B3F4C3B" w:rsidR="00934365" w:rsidRPr="00AA5BE6" w:rsidRDefault="003A51E0" w:rsidP="00D23AC7">
      <w:pPr>
        <w:pStyle w:val="BodyText"/>
      </w:pPr>
      <w:r>
        <w:t xml:space="preserve">The Ministry’s </w:t>
      </w:r>
      <w:proofErr w:type="spellStart"/>
      <w:r>
        <w:t>OIA</w:t>
      </w:r>
      <w:proofErr w:type="spellEnd"/>
      <w:r>
        <w:t xml:space="preserve"> training has also been instrumental in </w:t>
      </w:r>
      <w:r w:rsidR="00494F19">
        <w:t xml:space="preserve">fostering an </w:t>
      </w:r>
      <w:proofErr w:type="spellStart"/>
      <w:r>
        <w:t>OIA</w:t>
      </w:r>
      <w:proofErr w:type="spellEnd"/>
      <w:r>
        <w:t>-focused culture</w:t>
      </w:r>
      <w:r w:rsidR="008B6A70">
        <w:t xml:space="preserve"> and was praised by </w:t>
      </w:r>
      <w:r w:rsidR="00BA40DD">
        <w:t xml:space="preserve">many </w:t>
      </w:r>
      <w:r w:rsidR="008B6A70">
        <w:t>staff during interviews and surveys as engaging and informative</w:t>
      </w:r>
      <w:r>
        <w:t xml:space="preserve">. </w:t>
      </w:r>
      <w:r w:rsidR="00F63B88">
        <w:t xml:space="preserve">The </w:t>
      </w:r>
      <w:r w:rsidR="00CB144E">
        <w:t xml:space="preserve">recent </w:t>
      </w:r>
      <w:r w:rsidR="00F63B88">
        <w:t xml:space="preserve">training </w:t>
      </w:r>
      <w:r w:rsidR="00CB144E">
        <w:t xml:space="preserve">session was </w:t>
      </w:r>
      <w:r w:rsidR="00F63B88" w:rsidRPr="00AA5BE6">
        <w:t>promoted by the Office of the Chief Executive</w:t>
      </w:r>
      <w:r w:rsidR="00CB144E">
        <w:t xml:space="preserve"> and</w:t>
      </w:r>
      <w:r w:rsidR="00F63B88">
        <w:t xml:space="preserve"> included the following </w:t>
      </w:r>
      <w:r w:rsidR="002128C1" w:rsidRPr="00AA5BE6">
        <w:t>statement</w:t>
      </w:r>
      <w:r w:rsidR="006020AE" w:rsidRPr="00AA5BE6">
        <w:t>:</w:t>
      </w:r>
      <w:r w:rsidR="00262EF5" w:rsidRPr="00AA5BE6">
        <w:t xml:space="preserve"> </w:t>
      </w:r>
    </w:p>
    <w:p w14:paraId="3A65223D" w14:textId="3AD3FF56" w:rsidR="002F0932" w:rsidRPr="00F63B88" w:rsidRDefault="00021AD6" w:rsidP="00F63B88">
      <w:pPr>
        <w:pStyle w:val="Quotationseparateparagraph"/>
        <w:rPr>
          <w:b/>
          <w:highlight w:val="cyan"/>
          <w:u w:val="single"/>
        </w:rPr>
      </w:pPr>
      <w:bookmarkStart w:id="20" w:name="_Hlk225578235"/>
      <w:r w:rsidRPr="00A3246C">
        <w:t xml:space="preserve">Being able to request and access official information is part of New Zealand’s constitution. It allows the public to participate in our democracy and hold government and the State sector to account. </w:t>
      </w:r>
      <w:bookmarkEnd w:id="20"/>
    </w:p>
    <w:p w14:paraId="70210E71" w14:textId="4852C04C" w:rsidR="00021AD6" w:rsidRDefault="00021AD6" w:rsidP="00D23AC7">
      <w:pPr>
        <w:pStyle w:val="BodyText"/>
      </w:pPr>
      <w:r>
        <w:t>In addition to statements, senior leaders signal their commitments through action</w:t>
      </w:r>
      <w:r w:rsidR="00A17A90">
        <w:t>,</w:t>
      </w:r>
      <w:r w:rsidR="00037754">
        <w:t xml:space="preserve"> further evidencing the Ministry’s </w:t>
      </w:r>
      <w:r w:rsidR="00E766FA">
        <w:t>positive culture shift as described by staff</w:t>
      </w:r>
      <w:r>
        <w:t xml:space="preserve">. </w:t>
      </w:r>
    </w:p>
    <w:p w14:paraId="703E9EB3" w14:textId="77777777" w:rsidR="009E4326" w:rsidRDefault="008C3B42" w:rsidP="00D23AC7">
      <w:pPr>
        <w:pStyle w:val="BodyText"/>
      </w:pPr>
      <w:r w:rsidRPr="002F01EF">
        <w:t xml:space="preserve">For example, </w:t>
      </w:r>
      <w:r w:rsidR="00B230BD" w:rsidRPr="002F01EF">
        <w:t xml:space="preserve">the Ministry advised that </w:t>
      </w:r>
      <w:r w:rsidR="003A6A67" w:rsidRPr="002F01EF">
        <w:t>its</w:t>
      </w:r>
      <w:r w:rsidRPr="002F01EF">
        <w:t xml:space="preserve"> </w:t>
      </w:r>
      <w:proofErr w:type="spellStart"/>
      <w:r w:rsidRPr="002F01EF">
        <w:t>OIA</w:t>
      </w:r>
      <w:proofErr w:type="spellEnd"/>
      <w:r w:rsidRPr="002F01EF">
        <w:t xml:space="preserve"> team</w:t>
      </w:r>
      <w:r w:rsidR="003A6A67" w:rsidRPr="002F01EF">
        <w:rPr>
          <w:rStyle w:val="FootnoteReference"/>
        </w:rPr>
        <w:footnoteReference w:id="8"/>
      </w:r>
      <w:r w:rsidRPr="002F01EF">
        <w:t xml:space="preserve"> was recently moved</w:t>
      </w:r>
      <w:r w:rsidR="00021AD6" w:rsidRPr="002F01EF">
        <w:t xml:space="preserve"> </w:t>
      </w:r>
      <w:r w:rsidRPr="002F01EF">
        <w:t xml:space="preserve">into </w:t>
      </w:r>
      <w:r w:rsidR="00021AD6" w:rsidRPr="002F01EF">
        <w:t>the Office of the Chief Executive</w:t>
      </w:r>
      <w:r w:rsidR="00DC7E7F" w:rsidRPr="002F01EF">
        <w:t xml:space="preserve"> </w:t>
      </w:r>
      <w:r w:rsidR="006C0568" w:rsidRPr="002F01EF">
        <w:t xml:space="preserve">and </w:t>
      </w:r>
      <w:r w:rsidR="00021AD6" w:rsidRPr="002F01EF">
        <w:t xml:space="preserve">under the </w:t>
      </w:r>
      <w:r w:rsidR="006C0568" w:rsidRPr="002F01EF">
        <w:t xml:space="preserve">oversight of the </w:t>
      </w:r>
      <w:r w:rsidR="00021AD6" w:rsidRPr="002F01EF">
        <w:t>Chief of Staff</w:t>
      </w:r>
      <w:r w:rsidR="006C0568" w:rsidRPr="002F01EF">
        <w:t xml:space="preserve"> (a tier two manager) </w:t>
      </w:r>
      <w:r w:rsidR="00021AD6" w:rsidRPr="002F01EF">
        <w:t xml:space="preserve">to elevate </w:t>
      </w:r>
      <w:r w:rsidR="00021AD6" w:rsidRPr="00D23AC7">
        <w:rPr>
          <w:rStyle w:val="Quotationwithinthesentence"/>
        </w:rPr>
        <w:t>‘the team’s visibility and influence</w:t>
      </w:r>
      <w:r w:rsidR="003F5A90" w:rsidRPr="00D23AC7">
        <w:rPr>
          <w:rStyle w:val="Quotationwithinthesentence"/>
        </w:rPr>
        <w:t>’</w:t>
      </w:r>
      <w:r w:rsidR="00021AD6" w:rsidRPr="002F01EF">
        <w:t>.</w:t>
      </w:r>
      <w:r w:rsidR="00ED24E3" w:rsidRPr="002F01EF">
        <w:t xml:space="preserve"> </w:t>
      </w:r>
      <w:r w:rsidR="00760521" w:rsidRPr="00760521">
        <w:t xml:space="preserve">This move was supported by the appointment of a permanent Ministerial Services Manager tasked with </w:t>
      </w:r>
      <w:r w:rsidR="00595969">
        <w:t xml:space="preserve">monitoring performance targets, improving </w:t>
      </w:r>
      <w:proofErr w:type="spellStart"/>
      <w:r w:rsidR="00595969">
        <w:t>OIA</w:t>
      </w:r>
      <w:proofErr w:type="spellEnd"/>
      <w:r w:rsidR="00595969">
        <w:t xml:space="preserve"> timeliness and resourcing.</w:t>
      </w:r>
      <w:r w:rsidR="00760521">
        <w:t xml:space="preserve"> </w:t>
      </w:r>
    </w:p>
    <w:p w14:paraId="01FB6C51" w14:textId="77777777" w:rsidR="005D5211" w:rsidRDefault="00C9744A" w:rsidP="00D23AC7">
      <w:pPr>
        <w:pStyle w:val="BodyText"/>
      </w:pPr>
      <w:r w:rsidRPr="002F01EF">
        <w:t xml:space="preserve">The </w:t>
      </w:r>
      <w:r w:rsidR="004B0CDB" w:rsidRPr="002F01EF">
        <w:t xml:space="preserve">Chief Executive explained during an interview that he made </w:t>
      </w:r>
      <w:r w:rsidR="00397A10">
        <w:t xml:space="preserve">the </w:t>
      </w:r>
      <w:r w:rsidR="004B0CDB" w:rsidRPr="002F01EF">
        <w:t xml:space="preserve">decision </w:t>
      </w:r>
      <w:r w:rsidR="00397A10">
        <w:t xml:space="preserve">to move the </w:t>
      </w:r>
      <w:proofErr w:type="spellStart"/>
      <w:r w:rsidR="00397A10">
        <w:t>OIA</w:t>
      </w:r>
      <w:proofErr w:type="spellEnd"/>
      <w:r w:rsidR="00397A10">
        <w:t xml:space="preserve"> team </w:t>
      </w:r>
      <w:r w:rsidR="00074E4B" w:rsidRPr="002F01EF">
        <w:t xml:space="preserve">because the </w:t>
      </w:r>
      <w:proofErr w:type="spellStart"/>
      <w:r w:rsidRPr="002F01EF">
        <w:t>OIA</w:t>
      </w:r>
      <w:proofErr w:type="spellEnd"/>
      <w:r w:rsidRPr="002F01EF">
        <w:t xml:space="preserve"> function </w:t>
      </w:r>
      <w:r w:rsidR="00074E4B" w:rsidRPr="002F01EF">
        <w:t>w</w:t>
      </w:r>
      <w:r w:rsidR="004B0CDB" w:rsidRPr="002F01EF">
        <w:t xml:space="preserve">as </w:t>
      </w:r>
      <w:r w:rsidRPr="00D23AC7">
        <w:rPr>
          <w:rStyle w:val="Quotationwithinthesentence"/>
        </w:rPr>
        <w:t>‘mission critical to everything else the organisation does’</w:t>
      </w:r>
      <w:r w:rsidRPr="002F01EF">
        <w:t xml:space="preserve"> </w:t>
      </w:r>
      <w:r w:rsidR="00B12503" w:rsidRPr="002F01EF">
        <w:t>as</w:t>
      </w:r>
      <w:r w:rsidRPr="002F01EF">
        <w:t xml:space="preserve"> it </w:t>
      </w:r>
      <w:r w:rsidRPr="00D23AC7">
        <w:rPr>
          <w:rStyle w:val="Quotationwithinthesentence"/>
        </w:rPr>
        <w:t>‘define[s] the extent to which the organisation is seen as trusted and responsive’ and ‘adhering to the drivers of our democracy’</w:t>
      </w:r>
      <w:r w:rsidRPr="002F01EF">
        <w:t xml:space="preserve">. </w:t>
      </w:r>
      <w:r w:rsidR="00C369FA" w:rsidRPr="002F01EF">
        <w:t>T</w:t>
      </w:r>
      <w:r w:rsidR="00907F44" w:rsidRPr="002F01EF">
        <w:t xml:space="preserve">his </w:t>
      </w:r>
      <w:r w:rsidR="008C3B42" w:rsidRPr="002F01EF">
        <w:t xml:space="preserve">high-level support </w:t>
      </w:r>
      <w:r w:rsidR="00C369FA" w:rsidRPr="002F01EF">
        <w:t xml:space="preserve">was </w:t>
      </w:r>
      <w:r w:rsidR="008C3B42" w:rsidRPr="002F01EF">
        <w:t xml:space="preserve">mirrored </w:t>
      </w:r>
      <w:r w:rsidR="000B76DB" w:rsidRPr="002F01EF">
        <w:t xml:space="preserve">by staff, who reported in surveys and interviews that </w:t>
      </w:r>
      <w:r w:rsidR="00EC2502" w:rsidRPr="002F01EF">
        <w:t xml:space="preserve">the </w:t>
      </w:r>
      <w:proofErr w:type="spellStart"/>
      <w:r w:rsidR="00EC2502" w:rsidRPr="002F01EF">
        <w:t>OIA</w:t>
      </w:r>
      <w:proofErr w:type="spellEnd"/>
      <w:r w:rsidR="00EC2502" w:rsidRPr="002F01EF">
        <w:t xml:space="preserve"> team </w:t>
      </w:r>
      <w:r w:rsidR="000B76DB" w:rsidRPr="002F01EF">
        <w:t xml:space="preserve">is </w:t>
      </w:r>
      <w:r w:rsidR="008C3B42" w:rsidRPr="002F01EF">
        <w:t xml:space="preserve">highly regarded </w:t>
      </w:r>
      <w:r w:rsidR="000B76DB" w:rsidRPr="002F01EF">
        <w:t>and wields</w:t>
      </w:r>
      <w:r w:rsidR="008C3B42" w:rsidRPr="002F01EF">
        <w:t xml:space="preserve"> significant influence </w:t>
      </w:r>
      <w:r w:rsidR="00E20E78" w:rsidRPr="002F01EF">
        <w:t>a</w:t>
      </w:r>
      <w:r w:rsidR="000B76DB" w:rsidRPr="002F01EF">
        <w:t xml:space="preserve">cross the organisation. </w:t>
      </w:r>
      <w:bookmarkStart w:id="21" w:name="_Hlk226019799"/>
    </w:p>
    <w:p w14:paraId="525A9E4C" w14:textId="02FEBF3E" w:rsidR="00A8428E" w:rsidRDefault="00A8428E" w:rsidP="00D23AC7">
      <w:pPr>
        <w:pStyle w:val="BodyText"/>
        <w:rPr>
          <w:rStyle w:val="Quotationwithinthesentence"/>
          <w:i w:val="0"/>
          <w:iCs/>
        </w:rPr>
      </w:pPr>
      <w:r>
        <w:rPr>
          <w:rStyle w:val="Quotationwithinthesentence"/>
          <w:i w:val="0"/>
          <w:iCs/>
        </w:rPr>
        <w:t xml:space="preserve">Senior leaders should continue to </w:t>
      </w:r>
      <w:r w:rsidR="00096BD2">
        <w:rPr>
          <w:rStyle w:val="Quotationwithinthesentence"/>
          <w:i w:val="0"/>
          <w:iCs/>
        </w:rPr>
        <w:t xml:space="preserve">support and enhance </w:t>
      </w:r>
      <w:r w:rsidR="00C369FA">
        <w:rPr>
          <w:rStyle w:val="Quotationwithinthesentence"/>
          <w:i w:val="0"/>
          <w:iCs/>
        </w:rPr>
        <w:t xml:space="preserve">the Ministry’s positive </w:t>
      </w:r>
      <w:proofErr w:type="spellStart"/>
      <w:r w:rsidR="00C369FA">
        <w:rPr>
          <w:rStyle w:val="Quotationwithinthesentence"/>
          <w:i w:val="0"/>
          <w:iCs/>
        </w:rPr>
        <w:t>OIA</w:t>
      </w:r>
      <w:proofErr w:type="spellEnd"/>
      <w:r w:rsidR="00C369FA">
        <w:rPr>
          <w:rStyle w:val="Quotationwithinthesentence"/>
          <w:i w:val="0"/>
          <w:iCs/>
        </w:rPr>
        <w:t xml:space="preserve"> culture</w:t>
      </w:r>
      <w:r>
        <w:rPr>
          <w:rStyle w:val="Quotationwithinthesentence"/>
          <w:i w:val="0"/>
          <w:iCs/>
        </w:rPr>
        <w:t xml:space="preserve">, especially </w:t>
      </w:r>
      <w:r w:rsidR="00C369FA">
        <w:rPr>
          <w:rStyle w:val="Quotationwithinthesentence"/>
          <w:i w:val="0"/>
          <w:iCs/>
        </w:rPr>
        <w:t xml:space="preserve">as some areas </w:t>
      </w:r>
      <w:r>
        <w:rPr>
          <w:rStyle w:val="Quotationwithinthesentence"/>
          <w:i w:val="0"/>
          <w:iCs/>
        </w:rPr>
        <w:t xml:space="preserve">for improvement </w:t>
      </w:r>
      <w:r w:rsidR="00C369FA">
        <w:rPr>
          <w:rStyle w:val="Quotationwithinthesentence"/>
          <w:i w:val="0"/>
          <w:iCs/>
        </w:rPr>
        <w:t xml:space="preserve">were </w:t>
      </w:r>
      <w:r>
        <w:rPr>
          <w:rStyle w:val="Quotationwithinthesentence"/>
          <w:i w:val="0"/>
          <w:iCs/>
        </w:rPr>
        <w:t xml:space="preserve">identified in the staff survey. </w:t>
      </w:r>
    </w:p>
    <w:p w14:paraId="28908AD1" w14:textId="7DAD33D8" w:rsidR="00B938C4" w:rsidRDefault="00677DDB" w:rsidP="00D23AC7">
      <w:pPr>
        <w:pStyle w:val="BodyText"/>
      </w:pPr>
      <w:r>
        <w:t xml:space="preserve">When asked about their </w:t>
      </w:r>
      <w:r w:rsidR="00B60B9A">
        <w:t>impressions of the signals</w:t>
      </w:r>
      <w:r w:rsidR="002C0F15">
        <w:rPr>
          <w:rStyle w:val="FootnoteReference"/>
        </w:rPr>
        <w:footnoteReference w:id="9"/>
      </w:r>
      <w:r w:rsidR="00B60B9A">
        <w:t xml:space="preserve"> sent by leadership about the disclosure of information under the </w:t>
      </w:r>
      <w:proofErr w:type="spellStart"/>
      <w:r w:rsidR="00B60B9A">
        <w:t>OIA</w:t>
      </w:r>
      <w:proofErr w:type="spellEnd"/>
      <w:r w:rsidR="008169CD">
        <w:t xml:space="preserve"> </w:t>
      </w:r>
      <w:r w:rsidR="00F23BB5">
        <w:t>specifically</w:t>
      </w:r>
      <w:r>
        <w:t xml:space="preserve">, we note that a </w:t>
      </w:r>
      <w:bookmarkEnd w:id="21"/>
      <w:r>
        <w:t xml:space="preserve">reasonable percentage of survey respondents indicated that they did not know or thought the Chief Executive and tier two leaders were silent about the disclosure of information under the </w:t>
      </w:r>
      <w:proofErr w:type="spellStart"/>
      <w:r>
        <w:t>OIA</w:t>
      </w:r>
      <w:proofErr w:type="spellEnd"/>
      <w:r>
        <w:t xml:space="preserve"> (32 percent and 33 percent respectively). </w:t>
      </w:r>
      <w:r w:rsidR="000454B2">
        <w:t xml:space="preserve">These </w:t>
      </w:r>
      <w:r w:rsidR="00D0424A">
        <w:t>results are below</w:t>
      </w:r>
      <w:r w:rsidR="00B938C4">
        <w:t>:</w:t>
      </w:r>
    </w:p>
    <w:p w14:paraId="7469002D" w14:textId="2B0A70D8" w:rsidR="00D0424A" w:rsidRDefault="00D0424A" w:rsidP="008E46A0">
      <w:pPr>
        <w:pStyle w:val="Tableoffiguresheading"/>
      </w:pPr>
      <w:r w:rsidRPr="00137529">
        <w:t xml:space="preserve">Staff </w:t>
      </w:r>
      <w:r w:rsidR="008E46A0">
        <w:t xml:space="preserve">survey respondents’ </w:t>
      </w:r>
      <w:r w:rsidRPr="00137529">
        <w:t xml:space="preserve">impressions of the signals sent by leadership about the disclosure of information under the </w:t>
      </w:r>
      <w:proofErr w:type="spellStart"/>
      <w:r w:rsidRPr="00137529">
        <w:t>OIA</w:t>
      </w:r>
      <w:proofErr w:type="spellEnd"/>
      <w:r>
        <w:rPr>
          <w:rStyle w:val="FootnoteReference"/>
          <w:b w:val="0"/>
          <w:bCs w:val="0"/>
          <w:iCs w:val="0"/>
        </w:rPr>
        <w:footnoteReference w:id="10"/>
      </w:r>
    </w:p>
    <w:tbl>
      <w:tblPr>
        <w:tblStyle w:val="TableGrid"/>
        <w:tblW w:w="5000" w:type="pct"/>
        <w:tblLook w:val="04A0" w:firstRow="1" w:lastRow="0" w:firstColumn="1" w:lastColumn="0" w:noHBand="0" w:noVBand="1"/>
      </w:tblPr>
      <w:tblGrid>
        <w:gridCol w:w="2322"/>
        <w:gridCol w:w="2322"/>
        <w:gridCol w:w="2322"/>
        <w:gridCol w:w="2322"/>
      </w:tblGrid>
      <w:tr w:rsidR="00D0424A" w14:paraId="4B748186" w14:textId="77777777" w:rsidTr="00725D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7B38BD0C" w14:textId="77777777" w:rsidR="00D0424A" w:rsidRPr="00C82E75" w:rsidRDefault="00D0424A" w:rsidP="00725D0D">
            <w:pPr>
              <w:pStyle w:val="BodyText"/>
              <w:keepNext/>
              <w:keepLines/>
              <w:rPr>
                <w:color w:val="FFFFFF" w:themeColor="background1"/>
              </w:rPr>
            </w:pPr>
          </w:p>
        </w:tc>
        <w:tc>
          <w:tcPr>
            <w:tcW w:w="1250" w:type="pct"/>
          </w:tcPr>
          <w:p w14:paraId="4AB97B8E" w14:textId="4EAF8B4B" w:rsidR="00D0424A" w:rsidRPr="00C82E75" w:rsidRDefault="00D0424A" w:rsidP="00725D0D">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sidRPr="00C82E75">
              <w:rPr>
                <w:color w:val="FFFFFF" w:themeColor="background1"/>
              </w:rPr>
              <w:t>Strongly or moderately pro</w:t>
            </w:r>
            <w:r w:rsidR="00871BC9">
              <w:rPr>
                <w:color w:val="FFFFFF" w:themeColor="background1"/>
              </w:rPr>
              <w:t>-</w:t>
            </w:r>
            <w:r>
              <w:rPr>
                <w:color w:val="FFFFFF" w:themeColor="background1"/>
              </w:rPr>
              <w:t>disclosure</w:t>
            </w:r>
            <w:r w:rsidRPr="00C82E75">
              <w:rPr>
                <w:color w:val="FFFFFF" w:themeColor="background1"/>
              </w:rPr>
              <w:t xml:space="preserve"> </w:t>
            </w:r>
            <w:r>
              <w:rPr>
                <w:color w:val="FFFFFF" w:themeColor="background1"/>
              </w:rPr>
              <w:t xml:space="preserve">under the </w:t>
            </w:r>
            <w:proofErr w:type="spellStart"/>
            <w:r>
              <w:rPr>
                <w:color w:val="FFFFFF" w:themeColor="background1"/>
              </w:rPr>
              <w:t>OIA</w:t>
            </w:r>
            <w:proofErr w:type="spellEnd"/>
          </w:p>
        </w:tc>
        <w:tc>
          <w:tcPr>
            <w:tcW w:w="1250" w:type="pct"/>
          </w:tcPr>
          <w:p w14:paraId="48C5DCB7" w14:textId="1D26563C" w:rsidR="00D0424A" w:rsidRPr="00C82E75" w:rsidRDefault="00D0424A" w:rsidP="00725D0D">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Strongly or moderately anti</w:t>
            </w:r>
            <w:r w:rsidR="00871BC9">
              <w:rPr>
                <w:color w:val="FFFFFF" w:themeColor="background1"/>
              </w:rPr>
              <w:t>-</w:t>
            </w:r>
            <w:r>
              <w:rPr>
                <w:color w:val="FFFFFF" w:themeColor="background1"/>
              </w:rPr>
              <w:t xml:space="preserve">disclosure under the </w:t>
            </w:r>
            <w:proofErr w:type="spellStart"/>
            <w:r>
              <w:rPr>
                <w:color w:val="FFFFFF" w:themeColor="background1"/>
              </w:rPr>
              <w:t>OIA</w:t>
            </w:r>
            <w:proofErr w:type="spellEnd"/>
          </w:p>
        </w:tc>
        <w:tc>
          <w:tcPr>
            <w:tcW w:w="1250" w:type="pct"/>
          </w:tcPr>
          <w:p w14:paraId="69B1220F" w14:textId="77777777" w:rsidR="00D0424A" w:rsidRPr="00C82E75" w:rsidRDefault="00D0424A" w:rsidP="00725D0D">
            <w:pPr>
              <w:pStyle w:val="BodyText"/>
              <w:keepNext/>
              <w:keepLines/>
              <w:cnfStyle w:val="100000000000" w:firstRow="1" w:lastRow="0" w:firstColumn="0" w:lastColumn="0" w:oddVBand="0" w:evenVBand="0" w:oddHBand="0" w:evenHBand="0" w:firstRowFirstColumn="0" w:firstRowLastColumn="0" w:lastRowFirstColumn="0" w:lastRowLastColumn="0"/>
              <w:rPr>
                <w:color w:val="FFFFFF" w:themeColor="background1"/>
              </w:rPr>
            </w:pPr>
            <w:r>
              <w:rPr>
                <w:color w:val="FFFFFF" w:themeColor="background1"/>
              </w:rPr>
              <w:t>They are silent on the issue or ‘I don’t know’</w:t>
            </w:r>
          </w:p>
        </w:tc>
      </w:tr>
      <w:tr w:rsidR="00D0424A" w14:paraId="1F06B0BD" w14:textId="77777777" w:rsidTr="00725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4F99D6FB" w14:textId="77777777" w:rsidR="00D0424A" w:rsidRDefault="00D0424A" w:rsidP="00725D0D">
            <w:pPr>
              <w:pStyle w:val="BodyText"/>
            </w:pPr>
            <w:r>
              <w:t>Chief Executive</w:t>
            </w:r>
          </w:p>
        </w:tc>
        <w:tc>
          <w:tcPr>
            <w:tcW w:w="1250" w:type="pct"/>
            <w:shd w:val="clear" w:color="auto" w:fill="auto"/>
          </w:tcPr>
          <w:p w14:paraId="5BD94B33" w14:textId="391C5B3E" w:rsidR="00D0424A" w:rsidRDefault="00871BC9" w:rsidP="00725D0D">
            <w:pPr>
              <w:pStyle w:val="BodyText"/>
              <w:cnfStyle w:val="000000100000" w:firstRow="0" w:lastRow="0" w:firstColumn="0" w:lastColumn="0" w:oddVBand="0" w:evenVBand="0" w:oddHBand="1" w:evenHBand="0" w:firstRowFirstColumn="0" w:firstRowLastColumn="0" w:lastRowFirstColumn="0" w:lastRowLastColumn="0"/>
            </w:pPr>
            <w:r>
              <w:t>68</w:t>
            </w:r>
            <w:r w:rsidR="00D23AC7">
              <w:t>%</w:t>
            </w:r>
          </w:p>
        </w:tc>
        <w:tc>
          <w:tcPr>
            <w:tcW w:w="1250" w:type="pct"/>
            <w:shd w:val="clear" w:color="auto" w:fill="auto"/>
          </w:tcPr>
          <w:p w14:paraId="3A26D292" w14:textId="08A1BD05" w:rsidR="00D0424A" w:rsidRDefault="00D0424A" w:rsidP="00725D0D">
            <w:pPr>
              <w:pStyle w:val="BodyText"/>
              <w:cnfStyle w:val="000000100000" w:firstRow="0" w:lastRow="0" w:firstColumn="0" w:lastColumn="0" w:oddVBand="0" w:evenVBand="0" w:oddHBand="1" w:evenHBand="0" w:firstRowFirstColumn="0" w:firstRowLastColumn="0" w:lastRowFirstColumn="0" w:lastRowLastColumn="0"/>
            </w:pPr>
            <w:r>
              <w:t>0</w:t>
            </w:r>
            <w:r w:rsidR="00D23AC7">
              <w:t>%</w:t>
            </w:r>
          </w:p>
        </w:tc>
        <w:tc>
          <w:tcPr>
            <w:tcW w:w="1250" w:type="pct"/>
            <w:shd w:val="clear" w:color="auto" w:fill="auto"/>
          </w:tcPr>
          <w:p w14:paraId="7E690C38" w14:textId="0635C21B" w:rsidR="00D0424A" w:rsidRDefault="00871BC9" w:rsidP="00725D0D">
            <w:pPr>
              <w:pStyle w:val="BodyText"/>
              <w:cnfStyle w:val="000000100000" w:firstRow="0" w:lastRow="0" w:firstColumn="0" w:lastColumn="0" w:oddVBand="0" w:evenVBand="0" w:oddHBand="1" w:evenHBand="0" w:firstRowFirstColumn="0" w:firstRowLastColumn="0" w:lastRowFirstColumn="0" w:lastRowLastColumn="0"/>
            </w:pPr>
            <w:r>
              <w:t>32</w:t>
            </w:r>
            <w:r w:rsidR="00D23AC7">
              <w:t>%</w:t>
            </w:r>
          </w:p>
        </w:tc>
      </w:tr>
      <w:tr w:rsidR="00D0424A" w14:paraId="4AE1E15B" w14:textId="77777777" w:rsidTr="00725D0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tcPr>
          <w:p w14:paraId="5EB707D1" w14:textId="77777777" w:rsidR="00D0424A" w:rsidRDefault="00D0424A" w:rsidP="00725D0D">
            <w:pPr>
              <w:pStyle w:val="BodyText"/>
            </w:pPr>
            <w:r>
              <w:t>Tier two leaders</w:t>
            </w:r>
          </w:p>
        </w:tc>
        <w:tc>
          <w:tcPr>
            <w:tcW w:w="1250" w:type="pct"/>
          </w:tcPr>
          <w:p w14:paraId="2EB3CFDE" w14:textId="08E05D1D" w:rsidR="00D0424A" w:rsidRDefault="00D0424A" w:rsidP="00725D0D">
            <w:pPr>
              <w:pStyle w:val="BodyText"/>
              <w:cnfStyle w:val="000000010000" w:firstRow="0" w:lastRow="0" w:firstColumn="0" w:lastColumn="0" w:oddVBand="0" w:evenVBand="0" w:oddHBand="0" w:evenHBand="1" w:firstRowFirstColumn="0" w:firstRowLastColumn="0" w:lastRowFirstColumn="0" w:lastRowLastColumn="0"/>
            </w:pPr>
            <w:r>
              <w:t>6</w:t>
            </w:r>
            <w:r w:rsidR="00871BC9">
              <w:t>4</w:t>
            </w:r>
            <w:r w:rsidR="00D23AC7">
              <w:t>%</w:t>
            </w:r>
          </w:p>
        </w:tc>
        <w:tc>
          <w:tcPr>
            <w:tcW w:w="1250" w:type="pct"/>
          </w:tcPr>
          <w:p w14:paraId="433A438D" w14:textId="52F76268" w:rsidR="00D0424A" w:rsidRDefault="00871BC9" w:rsidP="00725D0D">
            <w:pPr>
              <w:pStyle w:val="BodyText"/>
              <w:cnfStyle w:val="000000010000" w:firstRow="0" w:lastRow="0" w:firstColumn="0" w:lastColumn="0" w:oddVBand="0" w:evenVBand="0" w:oddHBand="0" w:evenHBand="1" w:firstRowFirstColumn="0" w:firstRowLastColumn="0" w:lastRowFirstColumn="0" w:lastRowLastColumn="0"/>
            </w:pPr>
            <w:r>
              <w:t>4</w:t>
            </w:r>
            <w:r w:rsidR="00D23AC7">
              <w:t>%</w:t>
            </w:r>
          </w:p>
        </w:tc>
        <w:tc>
          <w:tcPr>
            <w:tcW w:w="1250" w:type="pct"/>
          </w:tcPr>
          <w:p w14:paraId="2D3E5223" w14:textId="60453228" w:rsidR="00D0424A" w:rsidRDefault="00D0424A" w:rsidP="00725D0D">
            <w:pPr>
              <w:pStyle w:val="BodyText"/>
              <w:cnfStyle w:val="000000010000" w:firstRow="0" w:lastRow="0" w:firstColumn="0" w:lastColumn="0" w:oddVBand="0" w:evenVBand="0" w:oddHBand="0" w:evenHBand="1" w:firstRowFirstColumn="0" w:firstRowLastColumn="0" w:lastRowFirstColumn="0" w:lastRowLastColumn="0"/>
            </w:pPr>
            <w:r>
              <w:t>3</w:t>
            </w:r>
            <w:r w:rsidR="00871BC9">
              <w:t>3</w:t>
            </w:r>
            <w:r w:rsidR="00D23AC7">
              <w:t>%</w:t>
            </w:r>
          </w:p>
        </w:tc>
      </w:tr>
    </w:tbl>
    <w:p w14:paraId="609AEB43" w14:textId="77777777" w:rsidR="00CF2ECA" w:rsidRDefault="00CF2ECA" w:rsidP="008E46A0">
      <w:pPr>
        <w:pStyle w:val="Whitespace"/>
      </w:pPr>
      <w:bookmarkStart w:id="22" w:name="_Performance_monitoring_and"/>
      <w:bookmarkEnd w:id="22"/>
    </w:p>
    <w:p w14:paraId="509F7C81" w14:textId="4362ABB9" w:rsidR="00DC32A4" w:rsidRDefault="00460BF4" w:rsidP="00DC32A4">
      <w:pPr>
        <w:pStyle w:val="BodyText"/>
      </w:pPr>
      <w:r>
        <w:t xml:space="preserve">While survey results indicate a positive perception of the Ministry’s overall </w:t>
      </w:r>
      <w:r w:rsidRPr="00460BF4">
        <w:t>commitment to openness</w:t>
      </w:r>
      <w:r w:rsidR="00C463FF">
        <w:t xml:space="preserve"> in general</w:t>
      </w:r>
      <w:r>
        <w:t>, there is an opportunity for senior leaders</w:t>
      </w:r>
      <w:r w:rsidR="008D61F8">
        <w:t xml:space="preserve"> to more visibly and regularly signal their support for the </w:t>
      </w:r>
      <w:proofErr w:type="spellStart"/>
      <w:r w:rsidR="008D61F8">
        <w:t>OIA</w:t>
      </w:r>
      <w:proofErr w:type="spellEnd"/>
      <w:r w:rsidR="008D61F8">
        <w:t>.</w:t>
      </w:r>
      <w:r w:rsidR="00AA7797" w:rsidRPr="00777766">
        <w:t xml:space="preserve"> </w:t>
      </w:r>
      <w:r w:rsidR="00452C91">
        <w:t>S</w:t>
      </w:r>
      <w:r w:rsidR="00582105">
        <w:t xml:space="preserve">enior leaders </w:t>
      </w:r>
      <w:r w:rsidR="00DC32A4">
        <w:t xml:space="preserve">may wish to send </w:t>
      </w:r>
      <w:r w:rsidR="00DC32A4" w:rsidRPr="00DC32A4">
        <w:t>more communications to staff (e.g. via meetings, emails, the intranet and high-level statements in the agency’s internal guidance</w:t>
      </w:r>
      <w:r w:rsidR="005D3524">
        <w:t xml:space="preserve"> and training materials</w:t>
      </w:r>
      <w:r w:rsidR="00DC32A4" w:rsidRPr="00DC32A4">
        <w:t xml:space="preserve">) reinforcing the importance </w:t>
      </w:r>
      <w:r w:rsidR="00DC32A4">
        <w:t xml:space="preserve">the Ministry </w:t>
      </w:r>
      <w:r w:rsidR="00DC32A4" w:rsidRPr="00DC32A4">
        <w:t xml:space="preserve">attaches to complying with the principle and purposes of the </w:t>
      </w:r>
      <w:proofErr w:type="spellStart"/>
      <w:r w:rsidR="00DC32A4" w:rsidRPr="00DC32A4">
        <w:t>OIA</w:t>
      </w:r>
      <w:proofErr w:type="spellEnd"/>
      <w:r w:rsidR="00DC32A4" w:rsidRPr="00DC32A4">
        <w:t>.</w:t>
      </w:r>
    </w:p>
    <w:p w14:paraId="21AD03A3" w14:textId="28848796" w:rsidR="007B7617" w:rsidRDefault="00C8609F" w:rsidP="007B7617">
      <w:pPr>
        <w:pStyle w:val="BodyText"/>
      </w:pPr>
      <w:bookmarkStart w:id="23" w:name="_Hlk233602007"/>
      <w:r>
        <w:t xml:space="preserve">To build on the Ministry’s approach </w:t>
      </w:r>
      <w:r w:rsidR="00FD458B">
        <w:t xml:space="preserve">and reach </w:t>
      </w:r>
      <w:r w:rsidR="007B7617" w:rsidRPr="005D3524">
        <w:t xml:space="preserve">of training as a tool for delivering </w:t>
      </w:r>
      <w:proofErr w:type="spellStart"/>
      <w:r w:rsidR="007B7617" w:rsidRPr="005D3524">
        <w:t>OIA</w:t>
      </w:r>
      <w:proofErr w:type="spellEnd"/>
      <w:r w:rsidR="007B7617" w:rsidRPr="005D3524">
        <w:t xml:space="preserve"> messages, </w:t>
      </w:r>
      <w:r w:rsidR="009964E6">
        <w:t xml:space="preserve">the Ministry could consider implementing </w:t>
      </w:r>
      <w:r w:rsidR="007B7617" w:rsidRPr="005D3524">
        <w:t xml:space="preserve">mandatory </w:t>
      </w:r>
      <w:proofErr w:type="spellStart"/>
      <w:r w:rsidR="00FD458B">
        <w:t>OIA</w:t>
      </w:r>
      <w:proofErr w:type="spellEnd"/>
      <w:r w:rsidR="00FD458B">
        <w:t xml:space="preserve"> </w:t>
      </w:r>
      <w:r w:rsidR="005E321B" w:rsidRPr="005D3524">
        <w:t>training</w:t>
      </w:r>
      <w:r w:rsidR="007B7617" w:rsidRPr="005D3524">
        <w:t xml:space="preserve"> </w:t>
      </w:r>
      <w:r w:rsidR="00FD458B">
        <w:t xml:space="preserve">for all staff </w:t>
      </w:r>
      <w:r w:rsidR="007B7617" w:rsidRPr="005D3524">
        <w:t>with regular refreshers delivered at appropriate intervals. This</w:t>
      </w:r>
      <w:r w:rsidR="002874A3">
        <w:t xml:space="preserve"> approach would be</w:t>
      </w:r>
      <w:r w:rsidR="007B7617" w:rsidRPr="005D3524">
        <w:t xml:space="preserve"> particularly </w:t>
      </w:r>
      <w:r w:rsidR="002E374C">
        <w:t xml:space="preserve">beneficial given </w:t>
      </w:r>
      <w:r w:rsidR="00965E60" w:rsidRPr="005D3524">
        <w:t xml:space="preserve">the </w:t>
      </w:r>
      <w:r w:rsidR="009E434D" w:rsidRPr="005D3524">
        <w:t>Ministry’s</w:t>
      </w:r>
      <w:r w:rsidR="007B7617" w:rsidRPr="005D3524">
        <w:t xml:space="preserve"> </w:t>
      </w:r>
      <w:proofErr w:type="spellStart"/>
      <w:r w:rsidR="007B7617" w:rsidRPr="005D3524">
        <w:t>OIA</w:t>
      </w:r>
      <w:proofErr w:type="spellEnd"/>
      <w:r w:rsidR="007B7617" w:rsidRPr="005D3524">
        <w:t xml:space="preserve"> processing model</w:t>
      </w:r>
      <w:r w:rsidR="00C40238" w:rsidRPr="005D3524">
        <w:t>,</w:t>
      </w:r>
      <w:r w:rsidR="007B7617" w:rsidRPr="005D3524">
        <w:t xml:space="preserve"> where </w:t>
      </w:r>
      <w:r w:rsidR="00965E60" w:rsidRPr="005D3524">
        <w:t>any staff member may be</w:t>
      </w:r>
      <w:r w:rsidR="00C40238" w:rsidRPr="005D3524">
        <w:t xml:space="preserve"> involved in </w:t>
      </w:r>
      <w:r w:rsidR="00965E60" w:rsidRPr="005D3524">
        <w:t xml:space="preserve">handling an </w:t>
      </w:r>
      <w:proofErr w:type="spellStart"/>
      <w:r w:rsidR="007B7617" w:rsidRPr="005D3524">
        <w:t>OIA</w:t>
      </w:r>
      <w:proofErr w:type="spellEnd"/>
      <w:r w:rsidR="007B7617" w:rsidRPr="005D3524">
        <w:t xml:space="preserve"> request</w:t>
      </w:r>
      <w:r w:rsidR="002E374C">
        <w:t xml:space="preserve">. It would also support the collaborative process between the </w:t>
      </w:r>
      <w:proofErr w:type="spellStart"/>
      <w:r w:rsidR="002E374C">
        <w:t>OIA</w:t>
      </w:r>
      <w:proofErr w:type="spellEnd"/>
      <w:r w:rsidR="002E374C">
        <w:t xml:space="preserve"> team and subject matter experts when discussing how withholding grounds apply to technical information.</w:t>
      </w:r>
      <w:r w:rsidR="007B7617">
        <w:t xml:space="preserve"> </w:t>
      </w:r>
    </w:p>
    <w:p w14:paraId="222754FC" w14:textId="77EBEB9D" w:rsidR="004F2FA9" w:rsidRDefault="004F2FA9" w:rsidP="007B7617">
      <w:pPr>
        <w:pStyle w:val="BodyText"/>
      </w:pPr>
      <w:bookmarkStart w:id="24" w:name="_Hlk233602058"/>
      <w:bookmarkEnd w:id="23"/>
      <w:r w:rsidRPr="004F2FA9">
        <w:t xml:space="preserve">Senior leaders should role-model a commitment to the </w:t>
      </w:r>
      <w:proofErr w:type="spellStart"/>
      <w:r w:rsidRPr="004F2FA9">
        <w:t>OIA</w:t>
      </w:r>
      <w:proofErr w:type="spellEnd"/>
      <w:r w:rsidRPr="004F2FA9">
        <w:t xml:space="preserve"> by participating in the same training as their staff, </w:t>
      </w:r>
      <w:r w:rsidR="00DC43A3">
        <w:t xml:space="preserve">especially </w:t>
      </w:r>
      <w:r w:rsidRPr="004F2FA9">
        <w:t xml:space="preserve">as an over-reliance on </w:t>
      </w:r>
      <w:proofErr w:type="gramStart"/>
      <w:r w:rsidRPr="004F2FA9">
        <w:t>past experience</w:t>
      </w:r>
      <w:proofErr w:type="gramEnd"/>
      <w:r w:rsidRPr="004F2FA9">
        <w:t xml:space="preserve"> rather than up-to-date knowledge can lead to outdated practices becoming embedded in the agency.</w:t>
      </w:r>
      <w:r w:rsidR="00A068CB">
        <w:t xml:space="preserve"> </w:t>
      </w:r>
      <w:r w:rsidR="006663ED">
        <w:t>R</w:t>
      </w:r>
      <w:r w:rsidR="00A068CB">
        <w:t>ole</w:t>
      </w:r>
      <w:r w:rsidR="005D10E8">
        <w:t>-</w:t>
      </w:r>
      <w:r w:rsidR="00A068CB">
        <w:t>modelling</w:t>
      </w:r>
      <w:r w:rsidR="006663ED">
        <w:t xml:space="preserve"> an internal culture of</w:t>
      </w:r>
      <w:r w:rsidR="00EE4510">
        <w:t xml:space="preserve"> refresher</w:t>
      </w:r>
      <w:r w:rsidR="006663ED">
        <w:t xml:space="preserve"> </w:t>
      </w:r>
      <w:proofErr w:type="spellStart"/>
      <w:r w:rsidR="006663ED">
        <w:t>OIA</w:t>
      </w:r>
      <w:proofErr w:type="spellEnd"/>
      <w:r w:rsidR="006663ED">
        <w:t xml:space="preserve"> training</w:t>
      </w:r>
      <w:r w:rsidR="00A068CB">
        <w:t xml:space="preserve"> can also</w:t>
      </w:r>
      <w:r w:rsidR="006663ED">
        <w:t xml:space="preserve"> be a practical</w:t>
      </w:r>
      <w:r w:rsidR="00A068CB">
        <w:t xml:space="preserve"> reflect</w:t>
      </w:r>
      <w:r w:rsidR="006663ED">
        <w:t xml:space="preserve">ion of the Ministry’s </w:t>
      </w:r>
      <w:r w:rsidR="00A068CB">
        <w:t>commitment to continuous improvement practices.</w:t>
      </w:r>
    </w:p>
    <w:bookmarkEnd w:id="24"/>
    <w:p w14:paraId="036A8992" w14:textId="628E6DA5" w:rsidR="007B7617" w:rsidRDefault="005D10E8" w:rsidP="00AB2108">
      <w:pPr>
        <w:pStyle w:val="BodyText"/>
      </w:pPr>
      <w:r>
        <w:t>Finally</w:t>
      </w:r>
      <w:r w:rsidR="00EE4510">
        <w:t xml:space="preserve">, </w:t>
      </w:r>
      <w:r w:rsidR="00256692">
        <w:t>i</w:t>
      </w:r>
      <w:r w:rsidR="006B25EC">
        <w:t>mplementing</w:t>
      </w:r>
      <w:r w:rsidR="007B7617">
        <w:t xml:space="preserve"> </w:t>
      </w:r>
      <w:r w:rsidR="007772CE">
        <w:t xml:space="preserve">regular </w:t>
      </w:r>
      <w:r w:rsidR="007B7617">
        <w:t xml:space="preserve">mandatory training on the </w:t>
      </w:r>
      <w:proofErr w:type="spellStart"/>
      <w:r w:rsidR="007B7617">
        <w:t>OIA</w:t>
      </w:r>
      <w:proofErr w:type="spellEnd"/>
      <w:r w:rsidR="007B7617">
        <w:t xml:space="preserve"> for all staff will help improve the Ministry’s </w:t>
      </w:r>
      <w:proofErr w:type="spellStart"/>
      <w:r w:rsidR="007B7617">
        <w:t>OIA</w:t>
      </w:r>
      <w:proofErr w:type="spellEnd"/>
      <w:r w:rsidR="007B7617">
        <w:t xml:space="preserve"> practices in line with suggestions outlined in </w:t>
      </w:r>
      <w:r w:rsidR="007B7617" w:rsidRPr="00737DA9">
        <w:rPr>
          <w:i/>
          <w:iCs/>
        </w:rPr>
        <w:t>‘</w:t>
      </w:r>
      <w:hyperlink w:anchor="_Communicating_decisions_on" w:history="1">
        <w:r w:rsidR="007B7617" w:rsidRPr="006B25EC">
          <w:rPr>
            <w:rStyle w:val="Hyperlink"/>
            <w:i/>
            <w:iCs/>
          </w:rPr>
          <w:t xml:space="preserve">Communicating decisions on </w:t>
        </w:r>
        <w:proofErr w:type="spellStart"/>
        <w:r w:rsidR="007B7617" w:rsidRPr="006B25EC">
          <w:rPr>
            <w:rStyle w:val="Hyperlink"/>
            <w:i/>
            <w:iCs/>
          </w:rPr>
          <w:t>OIA</w:t>
        </w:r>
        <w:proofErr w:type="spellEnd"/>
        <w:r w:rsidR="007B7617" w:rsidRPr="006B25EC">
          <w:rPr>
            <w:rStyle w:val="Hyperlink"/>
            <w:i/>
            <w:iCs/>
          </w:rPr>
          <w:t xml:space="preserve"> requests</w:t>
        </w:r>
      </w:hyperlink>
      <w:r w:rsidR="007B7617" w:rsidRPr="00737DA9">
        <w:rPr>
          <w:i/>
          <w:iCs/>
        </w:rPr>
        <w:t>’</w:t>
      </w:r>
      <w:r w:rsidR="007B7617">
        <w:t xml:space="preserve"> and </w:t>
      </w:r>
      <w:r w:rsidR="007B7617" w:rsidRPr="00737DA9">
        <w:rPr>
          <w:i/>
          <w:iCs/>
        </w:rPr>
        <w:t>‘</w:t>
      </w:r>
      <w:hyperlink w:anchor="_Ensuring_transparency_in" w:history="1">
        <w:r w:rsidR="006B25EC" w:rsidRPr="006B25EC">
          <w:rPr>
            <w:rStyle w:val="Hyperlink"/>
            <w:i/>
            <w:iCs/>
          </w:rPr>
          <w:t xml:space="preserve">Ensuring transparency in </w:t>
        </w:r>
        <w:proofErr w:type="spellStart"/>
        <w:r w:rsidR="006B25EC" w:rsidRPr="006B25EC">
          <w:rPr>
            <w:rStyle w:val="Hyperlink"/>
            <w:i/>
            <w:iCs/>
          </w:rPr>
          <w:t>OIA</w:t>
        </w:r>
        <w:proofErr w:type="spellEnd"/>
        <w:r w:rsidR="006B25EC" w:rsidRPr="006B25EC">
          <w:rPr>
            <w:rStyle w:val="Hyperlink"/>
            <w:i/>
            <w:iCs/>
          </w:rPr>
          <w:t xml:space="preserve"> </w:t>
        </w:r>
        <w:r w:rsidR="007B7617" w:rsidRPr="006B25EC">
          <w:rPr>
            <w:rStyle w:val="Hyperlink"/>
            <w:i/>
            <w:iCs/>
          </w:rPr>
          <w:t>decision-making</w:t>
        </w:r>
      </w:hyperlink>
      <w:r w:rsidR="006B25EC">
        <w:rPr>
          <w:i/>
          <w:iCs/>
        </w:rPr>
        <w:t>’</w:t>
      </w:r>
      <w:r w:rsidR="00351F96">
        <w:rPr>
          <w:i/>
          <w:iCs/>
        </w:rPr>
        <w:t xml:space="preserve"> </w:t>
      </w:r>
      <w:r w:rsidR="00351F96" w:rsidRPr="00351F96">
        <w:t>below</w:t>
      </w:r>
      <w:r w:rsidR="007B7617">
        <w:t>.</w:t>
      </w:r>
    </w:p>
    <w:tbl>
      <w:tblPr>
        <w:tblStyle w:val="TableGrid"/>
        <w:tblW w:w="9351" w:type="dxa"/>
        <w:tblInd w:w="-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1"/>
      </w:tblGrid>
      <w:tr w:rsidR="00EC2502" w14:paraId="566AC620" w14:textId="77777777" w:rsidTr="00AE47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2BB673" w:themeFill="accent1"/>
          </w:tcPr>
          <w:p w14:paraId="5A67AD28" w14:textId="757AC61E" w:rsidR="00EC2502" w:rsidRDefault="00EC2502" w:rsidP="00AE4732">
            <w:pPr>
              <w:pStyle w:val="Headingboxtexttop"/>
            </w:pPr>
            <w:r w:rsidRPr="00466268">
              <w:rPr>
                <w:color w:val="000000" w:themeColor="text1"/>
              </w:rPr>
              <w:t>Action point</w:t>
            </w:r>
            <w:r w:rsidR="00A13ACE" w:rsidRPr="00466268">
              <w:rPr>
                <w:color w:val="000000" w:themeColor="text1"/>
              </w:rPr>
              <w:t>s</w:t>
            </w:r>
          </w:p>
        </w:tc>
      </w:tr>
      <w:tr w:rsidR="00EC2502" w14:paraId="779E872D" w14:textId="77777777" w:rsidTr="00AE47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593F975C" w14:textId="6B583416" w:rsidR="00EC2502" w:rsidRDefault="00582105" w:rsidP="00AE4732">
            <w:pPr>
              <w:pStyle w:val="BodyText"/>
            </w:pPr>
            <w:r>
              <w:t>The Chief Executive and s</w:t>
            </w:r>
            <w:r w:rsidR="00EC2502" w:rsidRPr="00EE4055">
              <w:t xml:space="preserve">enior leaders </w:t>
            </w:r>
            <w:r w:rsidR="008169CD">
              <w:t>should</w:t>
            </w:r>
            <w:r w:rsidR="006663ED">
              <w:t xml:space="preserve"> look for further opportunities to promote the importance </w:t>
            </w:r>
            <w:r w:rsidR="00EC2502" w:rsidRPr="00EE4055">
              <w:t xml:space="preserve">of the </w:t>
            </w:r>
            <w:proofErr w:type="spellStart"/>
            <w:r w:rsidR="00EC2502">
              <w:t>O</w:t>
            </w:r>
            <w:r w:rsidR="00EC2502" w:rsidRPr="00EE4055">
              <w:t>IA</w:t>
            </w:r>
            <w:proofErr w:type="spellEnd"/>
            <w:r w:rsidR="00EC2502" w:rsidRPr="00EE4055">
              <w:t>.</w:t>
            </w:r>
          </w:p>
        </w:tc>
      </w:tr>
      <w:tr w:rsidR="00EC2502" w:rsidRPr="00EE4055" w14:paraId="0A355F8C" w14:textId="77777777" w:rsidTr="00AE473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17B4B2A0" w14:textId="79F5216C" w:rsidR="005D2DCD" w:rsidRPr="00EE4055" w:rsidRDefault="00C40238" w:rsidP="005D2DCD">
            <w:pPr>
              <w:pStyle w:val="BodyText"/>
            </w:pPr>
            <w:r w:rsidRPr="00C40238">
              <w:t xml:space="preserve">Senior leaders </w:t>
            </w:r>
            <w:r w:rsidR="00DA0B0D" w:rsidRPr="008169CD">
              <w:t>should</w:t>
            </w:r>
            <w:r w:rsidR="005D5A1B">
              <w:t xml:space="preserve"> consider</w:t>
            </w:r>
            <w:r w:rsidRPr="00C40238">
              <w:t xml:space="preserve"> implement</w:t>
            </w:r>
            <w:r w:rsidR="005D5A1B">
              <w:t>ing</w:t>
            </w:r>
            <w:r w:rsidRPr="00C40238">
              <w:t xml:space="preserve"> mandatory </w:t>
            </w:r>
            <w:proofErr w:type="spellStart"/>
            <w:r w:rsidRPr="00C40238">
              <w:t>OIA</w:t>
            </w:r>
            <w:proofErr w:type="spellEnd"/>
            <w:r w:rsidRPr="00C40238">
              <w:t xml:space="preserve"> training and regular refreshers for all staff, while role</w:t>
            </w:r>
            <w:r w:rsidR="004C37DF">
              <w:t>-</w:t>
            </w:r>
            <w:r w:rsidRPr="00C40238">
              <w:t xml:space="preserve">modelling a commitment to the </w:t>
            </w:r>
            <w:proofErr w:type="spellStart"/>
            <w:r>
              <w:t>OIA</w:t>
            </w:r>
            <w:proofErr w:type="spellEnd"/>
            <w:r w:rsidRPr="00C40238">
              <w:t xml:space="preserve"> by participating in the training themselves.</w:t>
            </w:r>
          </w:p>
        </w:tc>
      </w:tr>
    </w:tbl>
    <w:p w14:paraId="05FC4B76" w14:textId="3BE978A5" w:rsidR="008B094E" w:rsidRPr="006A28AC" w:rsidRDefault="008B094E" w:rsidP="00BE5D83">
      <w:pPr>
        <w:pStyle w:val="Heading2"/>
      </w:pPr>
      <w:bookmarkStart w:id="25" w:name="_OIA_strategy"/>
      <w:bookmarkStart w:id="26" w:name="_Toc239154245"/>
      <w:bookmarkEnd w:id="17"/>
      <w:bookmarkEnd w:id="25"/>
      <w:proofErr w:type="spellStart"/>
      <w:r w:rsidRPr="006A28AC">
        <w:t>OIA</w:t>
      </w:r>
      <w:proofErr w:type="spellEnd"/>
      <w:r w:rsidRPr="006A28AC">
        <w:t xml:space="preserve"> strateg</w:t>
      </w:r>
      <w:r w:rsidR="008D0FF4">
        <w:t>y</w:t>
      </w:r>
      <w:bookmarkEnd w:id="26"/>
      <w:r w:rsidR="00BE5D83" w:rsidRPr="006A28AC">
        <w:t xml:space="preserve"> </w:t>
      </w:r>
    </w:p>
    <w:p w14:paraId="0F000569" w14:textId="290C8413" w:rsidR="00C01DEB" w:rsidRDefault="00C01DEB" w:rsidP="00C01DEB">
      <w:pPr>
        <w:pStyle w:val="BodyText"/>
      </w:pPr>
      <w:r>
        <w:t xml:space="preserve">To promote a positive </w:t>
      </w:r>
      <w:proofErr w:type="spellStart"/>
      <w:r>
        <w:t>OIA</w:t>
      </w:r>
      <w:proofErr w:type="spellEnd"/>
      <w:r>
        <w:t xml:space="preserve"> culture, senior leaders </w:t>
      </w:r>
      <w:r w:rsidR="007C4978">
        <w:t xml:space="preserve">should </w:t>
      </w:r>
      <w:r>
        <w:t xml:space="preserve">establish an </w:t>
      </w:r>
      <w:r w:rsidRPr="00C01DEB">
        <w:t xml:space="preserve">effective </w:t>
      </w:r>
      <w:proofErr w:type="spellStart"/>
      <w:r>
        <w:t>OIA</w:t>
      </w:r>
      <w:proofErr w:type="spellEnd"/>
      <w:r>
        <w:t xml:space="preserve"> </w:t>
      </w:r>
      <w:r w:rsidRPr="00C01DEB">
        <w:t xml:space="preserve">strategic framework </w:t>
      </w:r>
      <w:r>
        <w:t>describing how the agency intends to achieve:</w:t>
      </w:r>
    </w:p>
    <w:p w14:paraId="0EDC4C8A" w14:textId="6D7ABED2" w:rsidR="00C01DEB" w:rsidRDefault="00C01DEB" w:rsidP="00AE1A71">
      <w:pPr>
        <w:pStyle w:val="Bullet1"/>
      </w:pPr>
      <w:r>
        <w:t xml:space="preserve">compliance with the </w:t>
      </w:r>
      <w:proofErr w:type="spellStart"/>
      <w:proofErr w:type="gramStart"/>
      <w:r>
        <w:t>OIA</w:t>
      </w:r>
      <w:proofErr w:type="spellEnd"/>
      <w:r w:rsidR="000D1A0E">
        <w:t>;</w:t>
      </w:r>
      <w:proofErr w:type="gramEnd"/>
      <w:r>
        <w:t xml:space="preserve"> </w:t>
      </w:r>
    </w:p>
    <w:p w14:paraId="347107E0" w14:textId="40E98EA9" w:rsidR="00C01DEB" w:rsidRDefault="00C01DEB" w:rsidP="00AE1A71">
      <w:pPr>
        <w:pStyle w:val="Bullet1"/>
      </w:pPr>
      <w:r>
        <w:t xml:space="preserve">good </w:t>
      </w:r>
      <w:proofErr w:type="spellStart"/>
      <w:r>
        <w:t>OIA</w:t>
      </w:r>
      <w:proofErr w:type="spellEnd"/>
      <w:r>
        <w:t xml:space="preserve"> </w:t>
      </w:r>
      <w:proofErr w:type="gramStart"/>
      <w:r>
        <w:t>practice</w:t>
      </w:r>
      <w:r w:rsidR="000D1A0E">
        <w:t>;</w:t>
      </w:r>
      <w:proofErr w:type="gramEnd"/>
    </w:p>
    <w:p w14:paraId="6F47E9A0" w14:textId="2710BBFA" w:rsidR="00C01DEB" w:rsidRDefault="00C01DEB" w:rsidP="00AE1A71">
      <w:pPr>
        <w:pStyle w:val="Bullet1"/>
      </w:pPr>
      <w:r>
        <w:t>a culture of openness and continuous improvement</w:t>
      </w:r>
      <w:r w:rsidR="000D1A0E">
        <w:t>;</w:t>
      </w:r>
      <w:r w:rsidR="006B25EC">
        <w:t xml:space="preserve"> and</w:t>
      </w:r>
    </w:p>
    <w:p w14:paraId="5DEC384D" w14:textId="31818BC1" w:rsidR="00C01DEB" w:rsidRDefault="00C01DEB" w:rsidP="00AE1A71">
      <w:pPr>
        <w:pStyle w:val="Bullet1"/>
      </w:pPr>
      <w:r>
        <w:t>participation and access to information by the public and stakeholder groups.</w:t>
      </w:r>
    </w:p>
    <w:p w14:paraId="6DAC3AE2" w14:textId="31FACFDC" w:rsidR="001A320D" w:rsidRDefault="00AE1A71" w:rsidP="007C4978">
      <w:pPr>
        <w:pStyle w:val="BodyText"/>
      </w:pPr>
      <w:r>
        <w:t>Although t</w:t>
      </w:r>
      <w:r w:rsidR="00B5279B" w:rsidRPr="00B5279B">
        <w:t xml:space="preserve">he </w:t>
      </w:r>
      <w:r w:rsidR="00B5279B">
        <w:t>Ministry does not currently have a formal</w:t>
      </w:r>
      <w:r w:rsidR="00562D05">
        <w:t xml:space="preserve"> </w:t>
      </w:r>
      <w:proofErr w:type="spellStart"/>
      <w:r w:rsidR="00B5279B">
        <w:t>OIA</w:t>
      </w:r>
      <w:proofErr w:type="spellEnd"/>
      <w:r w:rsidR="00B5279B">
        <w:t xml:space="preserve"> strategy</w:t>
      </w:r>
      <w:r>
        <w:t xml:space="preserve">, </w:t>
      </w:r>
      <w:r w:rsidR="007C4978">
        <w:t xml:space="preserve">it </w:t>
      </w:r>
      <w:r w:rsidR="003C4D71">
        <w:t xml:space="preserve">maintains a </w:t>
      </w:r>
      <w:r w:rsidR="00CB2295">
        <w:t xml:space="preserve">proactive </w:t>
      </w:r>
      <w:r w:rsidR="003C4D71">
        <w:t xml:space="preserve">strategic approach to </w:t>
      </w:r>
      <w:r w:rsidR="006A28AC">
        <w:t xml:space="preserve">the </w:t>
      </w:r>
      <w:proofErr w:type="spellStart"/>
      <w:r w:rsidR="006A28AC">
        <w:t>OIA</w:t>
      </w:r>
      <w:proofErr w:type="spellEnd"/>
      <w:r w:rsidR="00AD42E0">
        <w:t>,</w:t>
      </w:r>
      <w:r w:rsidR="00562D05">
        <w:t xml:space="preserve"> demonstrated through </w:t>
      </w:r>
      <w:r w:rsidR="00AD42E0">
        <w:t xml:space="preserve">strong executive stewardship and </w:t>
      </w:r>
      <w:r w:rsidR="00F02F78">
        <w:t>a culture of continuous improvement</w:t>
      </w:r>
      <w:r w:rsidR="00AD42E0">
        <w:t xml:space="preserve"> of </w:t>
      </w:r>
      <w:proofErr w:type="spellStart"/>
      <w:r w:rsidR="00AD42E0">
        <w:t>OIA</w:t>
      </w:r>
      <w:proofErr w:type="spellEnd"/>
      <w:r w:rsidR="00AD42E0">
        <w:t xml:space="preserve"> practice</w:t>
      </w:r>
      <w:r w:rsidR="00F02F78">
        <w:t xml:space="preserve">. </w:t>
      </w:r>
      <w:r w:rsidR="006A28AC">
        <w:t xml:space="preserve">  </w:t>
      </w:r>
    </w:p>
    <w:p w14:paraId="0FC53864" w14:textId="13399B62" w:rsidR="00CD493F" w:rsidRDefault="007E6F00" w:rsidP="0062072C">
      <w:pPr>
        <w:pStyle w:val="BodyText"/>
      </w:pPr>
      <w:r>
        <w:t xml:space="preserve">One </w:t>
      </w:r>
      <w:r w:rsidR="00562D05">
        <w:t xml:space="preserve">clear </w:t>
      </w:r>
      <w:r w:rsidR="008E4223">
        <w:t>reflection</w:t>
      </w:r>
      <w:r>
        <w:t xml:space="preserve"> of </w:t>
      </w:r>
      <w:r w:rsidR="00562D05">
        <w:t xml:space="preserve">the Ministry’s strategic </w:t>
      </w:r>
      <w:r>
        <w:t xml:space="preserve">approach </w:t>
      </w:r>
      <w:r w:rsidR="00CA626A">
        <w:t xml:space="preserve">is the </w:t>
      </w:r>
      <w:r w:rsidR="00CA6019">
        <w:t xml:space="preserve">placement of the </w:t>
      </w:r>
      <w:proofErr w:type="spellStart"/>
      <w:r w:rsidR="00CA626A">
        <w:t>OIA</w:t>
      </w:r>
      <w:proofErr w:type="spellEnd"/>
      <w:r w:rsidR="00CA626A">
        <w:t xml:space="preserve"> team</w:t>
      </w:r>
      <w:r w:rsidR="003C4D71">
        <w:t xml:space="preserve"> within the Office of the Chief Executive and under the oversight of the Chief of Staff. This</w:t>
      </w:r>
      <w:r w:rsidR="00166444">
        <w:t xml:space="preserve"> </w:t>
      </w:r>
      <w:r w:rsidR="003C4D71">
        <w:t xml:space="preserve">signals that information disclosure is </w:t>
      </w:r>
      <w:r w:rsidR="00CA626A">
        <w:t>a core strategic priority for the Ministry</w:t>
      </w:r>
      <w:r w:rsidR="005D10E8">
        <w:t>,</w:t>
      </w:r>
      <w:r w:rsidR="00CA626A">
        <w:t xml:space="preserve"> rather than </w:t>
      </w:r>
      <w:r w:rsidR="00F766E7">
        <w:t>a routine compliance exercise</w:t>
      </w:r>
      <w:r w:rsidR="003C4D71">
        <w:t xml:space="preserve">. Staff </w:t>
      </w:r>
      <w:r w:rsidR="00CD493F">
        <w:t xml:space="preserve">interviews confirmed that this </w:t>
      </w:r>
      <w:r w:rsidR="003C4D71" w:rsidRPr="002E5E68">
        <w:t>structural elevation allow</w:t>
      </w:r>
      <w:r w:rsidR="00CD493F">
        <w:t>s</w:t>
      </w:r>
      <w:r w:rsidR="003C4D71" w:rsidRPr="002E5E68">
        <w:t xml:space="preserve"> the </w:t>
      </w:r>
      <w:proofErr w:type="spellStart"/>
      <w:r w:rsidR="003C4D71">
        <w:t>OIA</w:t>
      </w:r>
      <w:proofErr w:type="spellEnd"/>
      <w:r w:rsidR="003C4D71">
        <w:t xml:space="preserve"> Manager </w:t>
      </w:r>
      <w:r w:rsidR="00CD493F">
        <w:t xml:space="preserve">to focus on high-level improvements </w:t>
      </w:r>
      <w:r w:rsidR="00166444">
        <w:t xml:space="preserve">to the Ministry’s </w:t>
      </w:r>
      <w:proofErr w:type="spellStart"/>
      <w:r w:rsidR="00166444">
        <w:t>OIA</w:t>
      </w:r>
      <w:proofErr w:type="spellEnd"/>
      <w:r w:rsidR="00166444">
        <w:t xml:space="preserve"> practices, </w:t>
      </w:r>
      <w:r w:rsidR="00CD493F">
        <w:t xml:space="preserve">while a dedicated team leader manages </w:t>
      </w:r>
      <w:r w:rsidR="00F80266">
        <w:t>the daily handling of</w:t>
      </w:r>
      <w:r w:rsidR="00166444">
        <w:t xml:space="preserve"> </w:t>
      </w:r>
      <w:proofErr w:type="spellStart"/>
      <w:r w:rsidR="00CD493F">
        <w:t>OIA</w:t>
      </w:r>
      <w:proofErr w:type="spellEnd"/>
      <w:r w:rsidR="00CD493F">
        <w:t xml:space="preserve"> requests. </w:t>
      </w:r>
    </w:p>
    <w:p w14:paraId="1755902F" w14:textId="590E1610" w:rsidR="0062072C" w:rsidRDefault="00B719D5" w:rsidP="0062072C">
      <w:pPr>
        <w:pStyle w:val="BodyText"/>
      </w:pPr>
      <w:r>
        <w:t>S</w:t>
      </w:r>
      <w:r w:rsidR="00927F04">
        <w:t xml:space="preserve">trategic </w:t>
      </w:r>
      <w:r w:rsidR="00F657B1">
        <w:t xml:space="preserve">statements </w:t>
      </w:r>
      <w:r w:rsidR="00F21D84">
        <w:t xml:space="preserve">pertaining to the </w:t>
      </w:r>
      <w:proofErr w:type="spellStart"/>
      <w:r w:rsidR="00F657B1">
        <w:t>OIA</w:t>
      </w:r>
      <w:proofErr w:type="spellEnd"/>
      <w:r w:rsidR="00F657B1">
        <w:t xml:space="preserve"> are included in a</w:t>
      </w:r>
      <w:r w:rsidR="00166444">
        <w:t>n internal</w:t>
      </w:r>
      <w:r w:rsidR="00F657B1">
        <w:t xml:space="preserve"> document </w:t>
      </w:r>
      <w:r w:rsidR="001F10D5">
        <w:t xml:space="preserve">titled </w:t>
      </w:r>
      <w:r w:rsidR="0062072C" w:rsidRPr="003700C7">
        <w:rPr>
          <w:i/>
          <w:iCs/>
        </w:rPr>
        <w:t>‘</w:t>
      </w:r>
      <w:r w:rsidR="0062072C" w:rsidRPr="006B25EC">
        <w:rPr>
          <w:i/>
          <w:iCs/>
        </w:rPr>
        <w:t>Plan on a Page’</w:t>
      </w:r>
      <w:r w:rsidR="005F3488">
        <w:t>. This</w:t>
      </w:r>
      <w:r w:rsidR="003C4D71">
        <w:t xml:space="preserve"> </w:t>
      </w:r>
      <w:r w:rsidR="0062072C">
        <w:t>outlin</w:t>
      </w:r>
      <w:r w:rsidR="005F3488">
        <w:t>es</w:t>
      </w:r>
      <w:r w:rsidR="0062072C">
        <w:t xml:space="preserve"> </w:t>
      </w:r>
      <w:r w:rsidR="003C4D71">
        <w:t xml:space="preserve">the </w:t>
      </w:r>
      <w:r w:rsidR="0062072C">
        <w:t>role of the Office of the Chief Executive</w:t>
      </w:r>
      <w:r w:rsidR="005F3488">
        <w:t xml:space="preserve"> and </w:t>
      </w:r>
      <w:r w:rsidR="005E321B">
        <w:t>expresses</w:t>
      </w:r>
      <w:r w:rsidR="0062072C">
        <w:t xml:space="preserve"> the Ministry’s </w:t>
      </w:r>
      <w:r w:rsidR="0062072C" w:rsidRPr="00097711">
        <w:rPr>
          <w:rStyle w:val="Quotationwithinthesentence"/>
        </w:rPr>
        <w:t xml:space="preserve">‘commitment to facilitate the timely release of accurate official and parliamentary information’, ‘building trust and confidence’ </w:t>
      </w:r>
      <w:r w:rsidR="0062072C" w:rsidRPr="001F402B">
        <w:t xml:space="preserve">and </w:t>
      </w:r>
      <w:r w:rsidR="00B06833" w:rsidRPr="001F402B">
        <w:t>ensuring</w:t>
      </w:r>
      <w:r w:rsidR="00B06833" w:rsidRPr="00097711">
        <w:rPr>
          <w:rStyle w:val="Quotationwithinthesentence"/>
        </w:rPr>
        <w:t xml:space="preserve"> </w:t>
      </w:r>
      <w:r w:rsidR="0062072C" w:rsidRPr="00097711">
        <w:rPr>
          <w:rStyle w:val="Quotationwithinthesentence"/>
        </w:rPr>
        <w:t>‘accountability to the public’</w:t>
      </w:r>
      <w:r w:rsidR="0062072C">
        <w:t xml:space="preserve">. </w:t>
      </w:r>
    </w:p>
    <w:p w14:paraId="38F07DA2" w14:textId="6AE53E91" w:rsidR="001F10D5" w:rsidRDefault="003A2A3A" w:rsidP="00AD3585">
      <w:pPr>
        <w:pStyle w:val="BodyText"/>
      </w:pPr>
      <w:r>
        <w:t xml:space="preserve">It is positive that the Ministry translates these commitments into action through </w:t>
      </w:r>
      <w:r w:rsidR="00B719D5">
        <w:t>‘</w:t>
      </w:r>
      <w:r w:rsidR="00096797" w:rsidRPr="006B25EC">
        <w:t>quarterly workplans</w:t>
      </w:r>
      <w:r w:rsidR="00B719D5" w:rsidRPr="006B25EC">
        <w:t>’</w:t>
      </w:r>
      <w:r w:rsidR="00927F04">
        <w:t xml:space="preserve"> </w:t>
      </w:r>
      <w:r w:rsidR="008F3609">
        <w:t xml:space="preserve">for </w:t>
      </w:r>
      <w:proofErr w:type="spellStart"/>
      <w:r w:rsidR="00927F04">
        <w:t>OIA</w:t>
      </w:r>
      <w:proofErr w:type="spellEnd"/>
      <w:r w:rsidR="00927F04">
        <w:t xml:space="preserve"> improvements </w:t>
      </w:r>
      <w:r w:rsidR="00FD6A38">
        <w:t>with</w:t>
      </w:r>
      <w:r w:rsidR="00096797">
        <w:t xml:space="preserve"> such ‘deliverables’ as </w:t>
      </w:r>
      <w:r w:rsidR="00C941CF">
        <w:t xml:space="preserve">implementing new </w:t>
      </w:r>
      <w:proofErr w:type="spellStart"/>
      <w:r w:rsidR="00C941CF">
        <w:t>OIA</w:t>
      </w:r>
      <w:proofErr w:type="spellEnd"/>
      <w:r w:rsidR="00C941CF">
        <w:t xml:space="preserve"> guidance and updating </w:t>
      </w:r>
      <w:proofErr w:type="spellStart"/>
      <w:r w:rsidR="00C941CF">
        <w:t>OIA</w:t>
      </w:r>
      <w:proofErr w:type="spellEnd"/>
      <w:r w:rsidR="00C941CF">
        <w:t xml:space="preserve"> templates to include </w:t>
      </w:r>
      <w:r w:rsidR="00C941CF" w:rsidRPr="00C941CF">
        <w:rPr>
          <w:i/>
          <w:iCs/>
        </w:rPr>
        <w:t>‘clearer prompts’</w:t>
      </w:r>
      <w:r w:rsidR="00C941CF">
        <w:t xml:space="preserve"> for staff. </w:t>
      </w:r>
      <w:r w:rsidR="00925BCD">
        <w:t>Notably,</w:t>
      </w:r>
      <w:r w:rsidR="00BA0C43">
        <w:t xml:space="preserve"> in line with senior leaders’ focus on </w:t>
      </w:r>
      <w:r w:rsidR="001F10D5">
        <w:t xml:space="preserve">the intent of the </w:t>
      </w:r>
      <w:proofErr w:type="spellStart"/>
      <w:r w:rsidR="001F10D5">
        <w:t>OIA</w:t>
      </w:r>
      <w:proofErr w:type="spellEnd"/>
      <w:r w:rsidR="001F10D5">
        <w:t xml:space="preserve">, </w:t>
      </w:r>
      <w:r w:rsidR="00ED29E7">
        <w:t xml:space="preserve">the </w:t>
      </w:r>
      <w:r w:rsidR="00C941CF">
        <w:t>workplan</w:t>
      </w:r>
      <w:r w:rsidR="00ED29E7">
        <w:t>s</w:t>
      </w:r>
      <w:r w:rsidR="00C941CF">
        <w:t xml:space="preserve"> included, as a </w:t>
      </w:r>
      <w:r w:rsidR="00C941CF" w:rsidRPr="00B379FA">
        <w:rPr>
          <w:rStyle w:val="Quotationwithinthesentence"/>
        </w:rPr>
        <w:t>‘key development focus’</w:t>
      </w:r>
      <w:r w:rsidR="00B379FA">
        <w:rPr>
          <w:rStyle w:val="Quotationwithinthesentence"/>
        </w:rPr>
        <w:t>,</w:t>
      </w:r>
      <w:r w:rsidR="00C941CF">
        <w:t xml:space="preserve"> </w:t>
      </w:r>
      <w:r w:rsidR="00C941CF" w:rsidRPr="00C941CF">
        <w:rPr>
          <w:rStyle w:val="Quotationwithinthesentence"/>
        </w:rPr>
        <w:t xml:space="preserve">‘embedding the new Cabinet paper </w:t>
      </w:r>
      <w:r w:rsidR="00C941CF" w:rsidRPr="006B25EC">
        <w:rPr>
          <w:rStyle w:val="Quotationwithinthesentence"/>
        </w:rPr>
        <w:t>proactive release</w:t>
      </w:r>
      <w:r w:rsidR="00C941CF" w:rsidRPr="00C941CF">
        <w:rPr>
          <w:rStyle w:val="Quotationwithinthesentence"/>
        </w:rPr>
        <w:t xml:space="preserve"> process with a view to increasing organisational compliance with the target of releasing material within 30 working </w:t>
      </w:r>
      <w:proofErr w:type="gramStart"/>
      <w:r w:rsidR="00C941CF" w:rsidRPr="00C941CF">
        <w:rPr>
          <w:rStyle w:val="Quotationwithinthesentence"/>
        </w:rPr>
        <w:t>days’</w:t>
      </w:r>
      <w:proofErr w:type="gramEnd"/>
      <w:r w:rsidR="00C941CF">
        <w:t>.</w:t>
      </w:r>
      <w:r w:rsidR="00522979">
        <w:t xml:space="preserve"> </w:t>
      </w:r>
    </w:p>
    <w:p w14:paraId="61463C40" w14:textId="521A05C3" w:rsidR="00EB0397" w:rsidRDefault="001B04E1" w:rsidP="00D13D5C">
      <w:pPr>
        <w:pStyle w:val="BodyText"/>
      </w:pPr>
      <w:r>
        <w:t xml:space="preserve">The progress on the </w:t>
      </w:r>
      <w:proofErr w:type="spellStart"/>
      <w:r>
        <w:t>OIA</w:t>
      </w:r>
      <w:proofErr w:type="spellEnd"/>
      <w:r>
        <w:t xml:space="preserve"> deliverables is closely </w:t>
      </w:r>
      <w:r w:rsidR="00EB0397" w:rsidRPr="00EB0397">
        <w:t>monitor</w:t>
      </w:r>
      <w:r>
        <w:t xml:space="preserve">ed </w:t>
      </w:r>
      <w:r w:rsidR="00B9633D">
        <w:t xml:space="preserve">by the </w:t>
      </w:r>
      <w:proofErr w:type="spellStart"/>
      <w:r w:rsidR="00B9633D">
        <w:t>OIA</w:t>
      </w:r>
      <w:proofErr w:type="spellEnd"/>
      <w:r w:rsidR="00B9633D">
        <w:t xml:space="preserve"> team </w:t>
      </w:r>
      <w:r w:rsidR="00EB0397" w:rsidRPr="00EB0397">
        <w:t xml:space="preserve">through regular ‘check-ins’ within quarterly workplans, providing a robust roadmap for the operational delivery of the </w:t>
      </w:r>
      <w:r w:rsidR="002971DA">
        <w:t>planned</w:t>
      </w:r>
      <w:r w:rsidR="00EB0397" w:rsidRPr="00EB0397">
        <w:t xml:space="preserve"> improvements.</w:t>
      </w:r>
    </w:p>
    <w:p w14:paraId="039EB362" w14:textId="116E4524" w:rsidR="001B5C5C" w:rsidRDefault="00176E6D" w:rsidP="007C6E89">
      <w:pPr>
        <w:pStyle w:val="BodyText"/>
      </w:pPr>
      <w:r>
        <w:t>The Ministry further demonstrated its culture of continuous improvement</w:t>
      </w:r>
      <w:r w:rsidR="009A7C12">
        <w:t xml:space="preserve"> and root cause analysis</w:t>
      </w:r>
      <w:r>
        <w:t xml:space="preserve"> by </w:t>
      </w:r>
      <w:r w:rsidR="00A52EC9">
        <w:t xml:space="preserve">a </w:t>
      </w:r>
      <w:r w:rsidR="00957D05">
        <w:t>recent</w:t>
      </w:r>
      <w:r w:rsidR="007C6E89">
        <w:t xml:space="preserve"> internal </w:t>
      </w:r>
      <w:proofErr w:type="spellStart"/>
      <w:r w:rsidR="007C6E89">
        <w:t>OIA</w:t>
      </w:r>
      <w:proofErr w:type="spellEnd"/>
      <w:r w:rsidR="007C6E89">
        <w:t xml:space="preserve"> </w:t>
      </w:r>
      <w:r w:rsidR="001D7595">
        <w:t xml:space="preserve">review </w:t>
      </w:r>
      <w:r w:rsidR="007C6E89">
        <w:t xml:space="preserve">after </w:t>
      </w:r>
      <w:r w:rsidR="00820253">
        <w:t xml:space="preserve">sensitive information </w:t>
      </w:r>
      <w:r w:rsidR="00FD3367">
        <w:t>(</w:t>
      </w:r>
      <w:r w:rsidR="004730D8">
        <w:t>that should have appropriately been withheld</w:t>
      </w:r>
      <w:r w:rsidR="00FD3367">
        <w:t>)</w:t>
      </w:r>
      <w:r w:rsidR="004730D8">
        <w:t xml:space="preserve"> </w:t>
      </w:r>
      <w:r>
        <w:t xml:space="preserve">was accidentally released </w:t>
      </w:r>
      <w:r w:rsidR="00962EEA">
        <w:t xml:space="preserve">in an </w:t>
      </w:r>
      <w:proofErr w:type="spellStart"/>
      <w:r w:rsidR="00962EEA">
        <w:t>OIA</w:t>
      </w:r>
      <w:proofErr w:type="spellEnd"/>
      <w:r w:rsidR="00962EEA">
        <w:t xml:space="preserve"> response</w:t>
      </w:r>
      <w:r w:rsidR="00820253">
        <w:t>.</w:t>
      </w:r>
      <w:r w:rsidR="007C6E89">
        <w:t xml:space="preserve"> Following th</w:t>
      </w:r>
      <w:r w:rsidR="00F73980">
        <w:t>is</w:t>
      </w:r>
      <w:r w:rsidR="007C6E89">
        <w:t xml:space="preserve">, the Ministry </w:t>
      </w:r>
      <w:r w:rsidR="00957D05">
        <w:t xml:space="preserve">promptly </w:t>
      </w:r>
      <w:r w:rsidR="00F73980">
        <w:t xml:space="preserve">updated its </w:t>
      </w:r>
      <w:proofErr w:type="spellStart"/>
      <w:r w:rsidR="00F73980">
        <w:t>OIA</w:t>
      </w:r>
      <w:proofErr w:type="spellEnd"/>
      <w:r w:rsidR="00F73980">
        <w:t xml:space="preserve"> </w:t>
      </w:r>
      <w:r w:rsidR="007C6E89">
        <w:t>processes to address root cause</w:t>
      </w:r>
      <w:r w:rsidR="00F73980">
        <w:t>s</w:t>
      </w:r>
      <w:r w:rsidR="007C6E89">
        <w:t>.</w:t>
      </w:r>
      <w:bookmarkStart w:id="27" w:name="_Hlk221949949"/>
    </w:p>
    <w:p w14:paraId="5D4B8573" w14:textId="6EEDF453" w:rsidR="00575916" w:rsidRDefault="001C1614" w:rsidP="000F139A">
      <w:pPr>
        <w:pStyle w:val="BodyText"/>
      </w:pPr>
      <w:r>
        <w:t xml:space="preserve">Overall, </w:t>
      </w:r>
      <w:r w:rsidR="004430E0">
        <w:t xml:space="preserve">it is commendable </w:t>
      </w:r>
      <w:r>
        <w:t xml:space="preserve">that the </w:t>
      </w:r>
      <w:r w:rsidR="00042BAF">
        <w:t xml:space="preserve">Ministry’s </w:t>
      </w:r>
      <w:r w:rsidR="004430E0">
        <w:t xml:space="preserve">senior leaders have been fostering a </w:t>
      </w:r>
      <w:r w:rsidR="003E5D9F">
        <w:t>strategi</w:t>
      </w:r>
      <w:r w:rsidR="00575916">
        <w:t xml:space="preserve">c </w:t>
      </w:r>
      <w:r w:rsidR="003E5D9F">
        <w:t xml:space="preserve">approach to the </w:t>
      </w:r>
      <w:proofErr w:type="spellStart"/>
      <w:r w:rsidR="003E5D9F">
        <w:t>OIA</w:t>
      </w:r>
      <w:proofErr w:type="spellEnd"/>
      <w:r w:rsidR="00850AD4">
        <w:t>,</w:t>
      </w:r>
      <w:r w:rsidR="003E5D9F">
        <w:t xml:space="preserve"> and </w:t>
      </w:r>
      <w:r w:rsidR="00850AD4">
        <w:t xml:space="preserve">to </w:t>
      </w:r>
      <w:r w:rsidR="003E5D9F">
        <w:t xml:space="preserve">openness and </w:t>
      </w:r>
      <w:r w:rsidRPr="001C1614">
        <w:t xml:space="preserve">transparency. </w:t>
      </w:r>
      <w:r w:rsidR="00EC59D8">
        <w:t xml:space="preserve">The Ministry is currently in a </w:t>
      </w:r>
      <w:r w:rsidR="00C81E4F">
        <w:t>good</w:t>
      </w:r>
      <w:r w:rsidR="00EC59D8">
        <w:t xml:space="preserve"> position to </w:t>
      </w:r>
      <w:r w:rsidR="003E5D9F">
        <w:t>embed</w:t>
      </w:r>
      <w:r w:rsidR="00EC59D8">
        <w:t xml:space="preserve"> this</w:t>
      </w:r>
      <w:r w:rsidR="003E5D9F">
        <w:t xml:space="preserve"> culture</w:t>
      </w:r>
      <w:r w:rsidR="00EC59D8">
        <w:t xml:space="preserve"> into permanent practice</w:t>
      </w:r>
      <w:r w:rsidR="00CD0495">
        <w:t xml:space="preserve"> by elevating it into </w:t>
      </w:r>
      <w:r w:rsidR="000F139A">
        <w:t xml:space="preserve">a </w:t>
      </w:r>
      <w:r w:rsidR="00BD5E78">
        <w:t>formal</w:t>
      </w:r>
      <w:r w:rsidR="000F139A">
        <w:t xml:space="preserve"> </w:t>
      </w:r>
      <w:proofErr w:type="spellStart"/>
      <w:r w:rsidR="000F139A">
        <w:t>OIA</w:t>
      </w:r>
      <w:proofErr w:type="spellEnd"/>
      <w:r w:rsidR="000F139A">
        <w:t xml:space="preserve"> strategy</w:t>
      </w:r>
      <w:r w:rsidR="00EC59D8">
        <w:t xml:space="preserve">. </w:t>
      </w:r>
      <w:r w:rsidR="000F139A">
        <w:t xml:space="preserve">The </w:t>
      </w:r>
      <w:r w:rsidR="00506ED5" w:rsidRPr="00506ED5">
        <w:rPr>
          <w:i/>
          <w:iCs/>
        </w:rPr>
        <w:t>‘Plan on a page’</w:t>
      </w:r>
      <w:r w:rsidR="00506ED5">
        <w:t xml:space="preserve"> and the </w:t>
      </w:r>
      <w:r w:rsidR="000F139A">
        <w:t>quarterly workplan</w:t>
      </w:r>
      <w:r w:rsidR="007B27C4">
        <w:t>s</w:t>
      </w:r>
      <w:r w:rsidR="00C81E4F">
        <w:t xml:space="preserve"> </w:t>
      </w:r>
      <w:r w:rsidR="002B0B42">
        <w:t xml:space="preserve">may serve as </w:t>
      </w:r>
      <w:r w:rsidR="00C81E4F">
        <w:t>strong foundation</w:t>
      </w:r>
      <w:r w:rsidR="00506ED5">
        <w:t>s</w:t>
      </w:r>
      <w:r w:rsidR="00C81E4F">
        <w:t xml:space="preserve"> for this </w:t>
      </w:r>
      <w:r w:rsidR="004F3B95">
        <w:t>process and</w:t>
      </w:r>
      <w:r w:rsidR="00C81E4F">
        <w:t xml:space="preserve"> </w:t>
      </w:r>
      <w:r w:rsidR="000F139A">
        <w:t xml:space="preserve">can be utilised to translate the existing operational plan </w:t>
      </w:r>
      <w:r w:rsidR="00D92DAD">
        <w:t>of</w:t>
      </w:r>
      <w:r w:rsidR="000F139A">
        <w:t xml:space="preserve"> </w:t>
      </w:r>
      <w:proofErr w:type="spellStart"/>
      <w:r w:rsidR="00D92DAD">
        <w:t>OIA</w:t>
      </w:r>
      <w:proofErr w:type="spellEnd"/>
      <w:r w:rsidR="00D92DAD">
        <w:t xml:space="preserve"> </w:t>
      </w:r>
      <w:r w:rsidR="008E407D">
        <w:t xml:space="preserve">practice </w:t>
      </w:r>
      <w:r w:rsidR="000F139A">
        <w:t>improvement</w:t>
      </w:r>
      <w:r w:rsidR="00D92DAD">
        <w:t>s</w:t>
      </w:r>
      <w:r w:rsidR="000F139A">
        <w:t xml:space="preserve"> into a high-level</w:t>
      </w:r>
      <w:r w:rsidR="00674677">
        <w:t>, agency-wide</w:t>
      </w:r>
      <w:r w:rsidR="000F139A">
        <w:t xml:space="preserve"> </w:t>
      </w:r>
      <w:proofErr w:type="spellStart"/>
      <w:r w:rsidR="000F139A">
        <w:t>OIA</w:t>
      </w:r>
      <w:proofErr w:type="spellEnd"/>
      <w:r w:rsidR="000F139A">
        <w:t xml:space="preserve"> strategy. </w:t>
      </w:r>
    </w:p>
    <w:p w14:paraId="56D89A79" w14:textId="7E55D1C2" w:rsidR="00C13C00" w:rsidRDefault="003C7DB6" w:rsidP="00B9283C">
      <w:pPr>
        <w:pStyle w:val="BodyText"/>
        <w:rPr>
          <w:rFonts w:eastAsia="Times New Roman"/>
          <w:szCs w:val="24"/>
          <w:lang w:eastAsia="en-NZ"/>
        </w:rPr>
      </w:pPr>
      <w:bookmarkStart w:id="28" w:name="_Hlk228082672"/>
      <w:r w:rsidRPr="003C7DB6">
        <w:t>I</w:t>
      </w:r>
      <w:r w:rsidR="0024685E" w:rsidRPr="003C7DB6">
        <w:t xml:space="preserve">mplementing </w:t>
      </w:r>
      <w:r w:rsidR="004730D8">
        <w:t>a</w:t>
      </w:r>
      <w:r w:rsidR="00765F16">
        <w:t>n</w:t>
      </w:r>
      <w:r w:rsidR="00C03A62" w:rsidRPr="003C7DB6">
        <w:t> </w:t>
      </w:r>
      <w:proofErr w:type="spellStart"/>
      <w:r w:rsidR="0024685E" w:rsidRPr="003C7DB6">
        <w:t>OIA</w:t>
      </w:r>
      <w:proofErr w:type="spellEnd"/>
      <w:r w:rsidR="0024685E" w:rsidRPr="003C7DB6">
        <w:t xml:space="preserve"> strategy is particularly </w:t>
      </w:r>
      <w:r w:rsidR="006D1F2A">
        <w:t>important</w:t>
      </w:r>
      <w:r w:rsidR="006D1F2A" w:rsidRPr="003C7DB6">
        <w:t xml:space="preserve"> </w:t>
      </w:r>
      <w:r w:rsidR="0024685E" w:rsidRPr="003C7DB6">
        <w:t>for the Ministry as it</w:t>
      </w:r>
      <w:r w:rsidR="00A86A00">
        <w:t xml:space="preserve"> is currently undergoing organisational</w:t>
      </w:r>
      <w:r w:rsidR="00EB528A">
        <w:t xml:space="preserve"> transition</w:t>
      </w:r>
      <w:r w:rsidR="00A86A00">
        <w:t xml:space="preserve"> (</w:t>
      </w:r>
      <w:r w:rsidR="00ED26D4">
        <w:t xml:space="preserve">merger </w:t>
      </w:r>
      <w:r w:rsidR="0024685E" w:rsidRPr="003C7DB6">
        <w:t xml:space="preserve">into </w:t>
      </w:r>
      <w:proofErr w:type="spellStart"/>
      <w:r w:rsidR="0024685E" w:rsidRPr="00263700">
        <w:t>MCERT</w:t>
      </w:r>
      <w:proofErr w:type="spellEnd"/>
      <w:r w:rsidR="00A86A00" w:rsidRPr="00263700">
        <w:t>) and</w:t>
      </w:r>
      <w:r w:rsidR="00263700">
        <w:t xml:space="preserve"> </w:t>
      </w:r>
      <w:r w:rsidR="00A86A00" w:rsidRPr="00263700">
        <w:t>leadership change (the recent departure of the Chief Executive)</w:t>
      </w:r>
      <w:r w:rsidR="0024685E" w:rsidRPr="00263700">
        <w:t>.</w:t>
      </w:r>
      <w:r w:rsidR="007B27C4" w:rsidRPr="00263700">
        <w:t xml:space="preserve"> </w:t>
      </w:r>
      <w:r w:rsidR="00ED300C" w:rsidRPr="00263700">
        <w:t>To help prevent dilution of the Ministry’s positive culture and practices following these changes,</w:t>
      </w:r>
      <w:r w:rsidR="003A45B6">
        <w:t xml:space="preserve"> senior leaders</w:t>
      </w:r>
      <w:r w:rsidR="00A86A00" w:rsidRPr="00263700">
        <w:t xml:space="preserve"> should</w:t>
      </w:r>
      <w:r w:rsidR="00066C3F">
        <w:t xml:space="preserve"> consider</w:t>
      </w:r>
      <w:r w:rsidR="00C3006F" w:rsidRPr="00263700">
        <w:rPr>
          <w:rFonts w:eastAsia="Times New Roman"/>
          <w:szCs w:val="24"/>
          <w:lang w:eastAsia="en-NZ"/>
        </w:rPr>
        <w:t xml:space="preserve"> </w:t>
      </w:r>
      <w:r w:rsidR="008F2277">
        <w:rPr>
          <w:rFonts w:eastAsia="Times New Roman"/>
          <w:szCs w:val="24"/>
          <w:lang w:eastAsia="en-NZ"/>
        </w:rPr>
        <w:t>formalising</w:t>
      </w:r>
      <w:r w:rsidR="00B9283C" w:rsidRPr="00263700">
        <w:rPr>
          <w:rFonts w:eastAsia="Times New Roman"/>
          <w:szCs w:val="24"/>
          <w:lang w:eastAsia="en-NZ"/>
        </w:rPr>
        <w:t xml:space="preserve"> </w:t>
      </w:r>
      <w:r w:rsidR="00ED300C" w:rsidRPr="00263700">
        <w:rPr>
          <w:rFonts w:eastAsia="Times New Roman"/>
          <w:szCs w:val="24"/>
          <w:lang w:eastAsia="en-NZ"/>
        </w:rPr>
        <w:t xml:space="preserve">them as </w:t>
      </w:r>
      <w:r w:rsidR="0050745F" w:rsidRPr="00263700">
        <w:rPr>
          <w:rFonts w:eastAsia="Times New Roman"/>
          <w:szCs w:val="24"/>
          <w:lang w:eastAsia="en-NZ"/>
        </w:rPr>
        <w:t xml:space="preserve">visible </w:t>
      </w:r>
      <w:r w:rsidR="00B9283C" w:rsidRPr="00263700">
        <w:rPr>
          <w:rFonts w:eastAsia="Times New Roman"/>
          <w:szCs w:val="24"/>
          <w:lang w:eastAsia="en-NZ"/>
        </w:rPr>
        <w:t>blueprint</w:t>
      </w:r>
      <w:r w:rsidR="00ED300C" w:rsidRPr="00263700">
        <w:rPr>
          <w:rFonts w:eastAsia="Times New Roman"/>
          <w:szCs w:val="24"/>
          <w:lang w:eastAsia="en-NZ"/>
        </w:rPr>
        <w:t>s</w:t>
      </w:r>
      <w:r w:rsidR="00B9283C" w:rsidRPr="00263700">
        <w:rPr>
          <w:rFonts w:eastAsia="Times New Roman"/>
          <w:szCs w:val="24"/>
          <w:lang w:eastAsia="en-NZ"/>
        </w:rPr>
        <w:t xml:space="preserve"> for the incoming </w:t>
      </w:r>
      <w:proofErr w:type="spellStart"/>
      <w:r w:rsidR="00B9283C" w:rsidRPr="00263700">
        <w:rPr>
          <w:rFonts w:eastAsia="Times New Roman"/>
          <w:szCs w:val="24"/>
          <w:lang w:eastAsia="en-NZ"/>
        </w:rPr>
        <w:t>MCERT</w:t>
      </w:r>
      <w:proofErr w:type="spellEnd"/>
      <w:r w:rsidR="00A23D45">
        <w:rPr>
          <w:rFonts w:eastAsia="Times New Roman"/>
          <w:szCs w:val="24"/>
          <w:lang w:eastAsia="en-NZ"/>
        </w:rPr>
        <w:t>,</w:t>
      </w:r>
      <w:r w:rsidR="00D95B28" w:rsidRPr="00263700">
        <w:rPr>
          <w:rFonts w:eastAsia="Times New Roman"/>
          <w:szCs w:val="24"/>
          <w:lang w:eastAsia="en-NZ"/>
        </w:rPr>
        <w:t xml:space="preserve"> </w:t>
      </w:r>
      <w:r w:rsidR="00FE5A6C" w:rsidRPr="00263700">
        <w:rPr>
          <w:lang w:eastAsia="en-NZ"/>
        </w:rPr>
        <w:t xml:space="preserve">clearly signalling </w:t>
      </w:r>
      <w:proofErr w:type="spellStart"/>
      <w:r w:rsidR="00FE5A6C" w:rsidRPr="00263700">
        <w:rPr>
          <w:lang w:eastAsia="en-NZ"/>
        </w:rPr>
        <w:t>OIA</w:t>
      </w:r>
      <w:proofErr w:type="spellEnd"/>
      <w:r w:rsidR="00FE5A6C" w:rsidRPr="00263700">
        <w:rPr>
          <w:lang w:eastAsia="en-NZ"/>
        </w:rPr>
        <w:t xml:space="preserve"> excellence </w:t>
      </w:r>
      <w:r w:rsidR="00A52EC9">
        <w:rPr>
          <w:lang w:eastAsia="en-NZ"/>
        </w:rPr>
        <w:t>a</w:t>
      </w:r>
      <w:r w:rsidR="00FE5A6C" w:rsidRPr="00263700">
        <w:rPr>
          <w:lang w:eastAsia="en-NZ"/>
        </w:rPr>
        <w:t>s a core stewardship</w:t>
      </w:r>
      <w:r w:rsidR="00FE5A6C" w:rsidRPr="00992751">
        <w:rPr>
          <w:lang w:eastAsia="en-NZ"/>
        </w:rPr>
        <w:t xml:space="preserve"> responsibility</w:t>
      </w:r>
      <w:r w:rsidR="00A23D45">
        <w:rPr>
          <w:lang w:eastAsia="en-NZ"/>
        </w:rPr>
        <w:t>.</w:t>
      </w:r>
    </w:p>
    <w:p w14:paraId="2D071E39" w14:textId="0F09B6A9" w:rsidR="00880853" w:rsidRDefault="006D3C65" w:rsidP="00B9283C">
      <w:pPr>
        <w:pStyle w:val="BodyText"/>
        <w:rPr>
          <w:rFonts w:eastAsia="Times New Roman"/>
          <w:szCs w:val="24"/>
          <w:lang w:eastAsia="en-NZ"/>
        </w:rPr>
      </w:pPr>
      <w:r>
        <w:rPr>
          <w:rFonts w:eastAsia="Times New Roman"/>
          <w:szCs w:val="24"/>
          <w:lang w:eastAsia="en-NZ"/>
        </w:rPr>
        <w:t>A</w:t>
      </w:r>
      <w:r w:rsidR="007362F1">
        <w:rPr>
          <w:rFonts w:eastAsia="Times New Roman"/>
          <w:szCs w:val="24"/>
          <w:lang w:eastAsia="en-NZ"/>
        </w:rPr>
        <w:t>n</w:t>
      </w:r>
      <w:r>
        <w:rPr>
          <w:rFonts w:eastAsia="Times New Roman"/>
          <w:szCs w:val="24"/>
          <w:lang w:eastAsia="en-NZ"/>
        </w:rPr>
        <w:t xml:space="preserve"> </w:t>
      </w:r>
      <w:proofErr w:type="spellStart"/>
      <w:r w:rsidR="00C3006F">
        <w:rPr>
          <w:rFonts w:eastAsia="Times New Roman"/>
          <w:szCs w:val="24"/>
          <w:lang w:eastAsia="en-NZ"/>
        </w:rPr>
        <w:t>OIA</w:t>
      </w:r>
      <w:proofErr w:type="spellEnd"/>
      <w:r w:rsidR="00B9283C" w:rsidRPr="00B9283C">
        <w:rPr>
          <w:rFonts w:eastAsia="Times New Roman"/>
          <w:szCs w:val="24"/>
          <w:lang w:eastAsia="en-NZ"/>
        </w:rPr>
        <w:t xml:space="preserve"> strategy</w:t>
      </w:r>
      <w:r w:rsidR="00C3006F">
        <w:rPr>
          <w:rFonts w:eastAsia="Times New Roman"/>
          <w:szCs w:val="24"/>
          <w:lang w:eastAsia="en-NZ"/>
        </w:rPr>
        <w:t xml:space="preserve"> may</w:t>
      </w:r>
      <w:r>
        <w:rPr>
          <w:rFonts w:eastAsia="Times New Roman"/>
          <w:szCs w:val="24"/>
          <w:lang w:eastAsia="en-NZ"/>
        </w:rPr>
        <w:t xml:space="preserve"> </w:t>
      </w:r>
      <w:r w:rsidR="009D0339">
        <w:rPr>
          <w:rFonts w:eastAsia="Times New Roman"/>
          <w:szCs w:val="24"/>
          <w:lang w:eastAsia="en-NZ"/>
        </w:rPr>
        <w:t xml:space="preserve">formalise </w:t>
      </w:r>
      <w:r>
        <w:rPr>
          <w:rFonts w:eastAsia="Times New Roman"/>
          <w:szCs w:val="24"/>
          <w:lang w:eastAsia="en-NZ"/>
        </w:rPr>
        <w:t xml:space="preserve">the following </w:t>
      </w:r>
      <w:r w:rsidR="00880853">
        <w:rPr>
          <w:rFonts w:eastAsia="Times New Roman"/>
          <w:szCs w:val="24"/>
          <w:lang w:eastAsia="en-NZ"/>
        </w:rPr>
        <w:t xml:space="preserve">positive aspects of the Ministry’s </w:t>
      </w:r>
      <w:proofErr w:type="spellStart"/>
      <w:r w:rsidR="00880853">
        <w:rPr>
          <w:rFonts w:eastAsia="Times New Roman"/>
          <w:szCs w:val="24"/>
          <w:lang w:eastAsia="en-NZ"/>
        </w:rPr>
        <w:t>OIA</w:t>
      </w:r>
      <w:proofErr w:type="spellEnd"/>
      <w:r w:rsidR="00880853">
        <w:rPr>
          <w:rFonts w:eastAsia="Times New Roman"/>
          <w:szCs w:val="24"/>
          <w:lang w:eastAsia="en-NZ"/>
        </w:rPr>
        <w:t xml:space="preserve"> culture and practices:</w:t>
      </w:r>
    </w:p>
    <w:p w14:paraId="68A8D792" w14:textId="504FEC8F" w:rsidR="00EC0CB7" w:rsidRDefault="00EC0CB7" w:rsidP="00B353E0">
      <w:pPr>
        <w:pStyle w:val="Bullet1"/>
        <w:rPr>
          <w:lang w:eastAsia="en-NZ"/>
        </w:rPr>
      </w:pPr>
      <w:r>
        <w:rPr>
          <w:lang w:eastAsia="en-NZ"/>
        </w:rPr>
        <w:t xml:space="preserve">the Ministry’s current focus on the </w:t>
      </w:r>
      <w:r w:rsidRPr="008169CD">
        <w:rPr>
          <w:i/>
          <w:iCs/>
          <w:lang w:eastAsia="en-NZ"/>
        </w:rPr>
        <w:t>inten</w:t>
      </w:r>
      <w:r>
        <w:rPr>
          <w:lang w:eastAsia="en-NZ"/>
        </w:rPr>
        <w:t xml:space="preserve">t of the </w:t>
      </w:r>
      <w:proofErr w:type="spellStart"/>
      <w:r>
        <w:rPr>
          <w:lang w:eastAsia="en-NZ"/>
        </w:rPr>
        <w:t>OIA</w:t>
      </w:r>
      <w:proofErr w:type="spellEnd"/>
      <w:r w:rsidR="00650EF3">
        <w:rPr>
          <w:lang w:eastAsia="en-NZ"/>
        </w:rPr>
        <w:t xml:space="preserve"> </w:t>
      </w:r>
      <w:r w:rsidR="00A15E69">
        <w:rPr>
          <w:lang w:eastAsia="en-NZ"/>
        </w:rPr>
        <w:t xml:space="preserve">and </w:t>
      </w:r>
      <w:r>
        <w:rPr>
          <w:lang w:eastAsia="en-NZ"/>
        </w:rPr>
        <w:t xml:space="preserve">prioritising effective engagement with requesters when handling </w:t>
      </w:r>
      <w:proofErr w:type="spellStart"/>
      <w:r>
        <w:rPr>
          <w:lang w:eastAsia="en-NZ"/>
        </w:rPr>
        <w:t>OIA</w:t>
      </w:r>
      <w:proofErr w:type="spellEnd"/>
      <w:r>
        <w:rPr>
          <w:lang w:eastAsia="en-NZ"/>
        </w:rPr>
        <w:t xml:space="preserve"> requests</w:t>
      </w:r>
      <w:r w:rsidR="00650EF3">
        <w:rPr>
          <w:lang w:eastAsia="en-NZ"/>
        </w:rPr>
        <w:t xml:space="preserve"> </w:t>
      </w:r>
      <w:r w:rsidR="00CE294B">
        <w:rPr>
          <w:lang w:eastAsia="en-NZ"/>
        </w:rPr>
        <w:t xml:space="preserve">(discussed in </w:t>
      </w:r>
      <w:r w:rsidR="00890B1B" w:rsidRPr="00A23D45">
        <w:rPr>
          <w:i/>
          <w:iCs/>
          <w:lang w:eastAsia="en-NZ"/>
        </w:rPr>
        <w:t>‘</w:t>
      </w:r>
      <w:hyperlink w:anchor="_Messaging_to_staff" w:history="1">
        <w:r w:rsidR="00890B1B" w:rsidRPr="00A23D45">
          <w:rPr>
            <w:rStyle w:val="Hyperlink"/>
            <w:i/>
            <w:iCs/>
            <w:lang w:eastAsia="en-NZ"/>
          </w:rPr>
          <w:t>Messaging to staff’</w:t>
        </w:r>
      </w:hyperlink>
      <w:r w:rsidR="00437492">
        <w:t xml:space="preserve"> above</w:t>
      </w:r>
      <w:proofErr w:type="gramStart"/>
      <w:r w:rsidR="00890B1B" w:rsidRPr="00A23D45">
        <w:rPr>
          <w:lang w:eastAsia="en-NZ"/>
        </w:rPr>
        <w:t>)</w:t>
      </w:r>
      <w:r w:rsidRPr="00A23D45">
        <w:rPr>
          <w:lang w:eastAsia="en-NZ"/>
        </w:rPr>
        <w:t>;</w:t>
      </w:r>
      <w:proofErr w:type="gramEnd"/>
      <w:r>
        <w:rPr>
          <w:lang w:eastAsia="en-NZ"/>
        </w:rPr>
        <w:t xml:space="preserve"> </w:t>
      </w:r>
    </w:p>
    <w:p w14:paraId="1376DF23" w14:textId="39168373" w:rsidR="00276C73" w:rsidRDefault="00276C73" w:rsidP="00147F7B">
      <w:pPr>
        <w:pStyle w:val="Bullet1"/>
        <w:rPr>
          <w:lang w:eastAsia="en-NZ"/>
        </w:rPr>
      </w:pPr>
      <w:r>
        <w:rPr>
          <w:lang w:eastAsia="en-NZ"/>
        </w:rPr>
        <w:t xml:space="preserve">clear accountability at the senior leadership level to </w:t>
      </w:r>
      <w:r w:rsidRPr="00276C73">
        <w:rPr>
          <w:lang w:eastAsia="en-NZ"/>
        </w:rPr>
        <w:t xml:space="preserve">champion </w:t>
      </w:r>
      <w:r>
        <w:rPr>
          <w:lang w:eastAsia="en-NZ"/>
        </w:rPr>
        <w:t xml:space="preserve">openness and </w:t>
      </w:r>
      <w:r w:rsidRPr="00276C73">
        <w:rPr>
          <w:lang w:eastAsia="en-NZ"/>
        </w:rPr>
        <w:t>transparency</w:t>
      </w:r>
      <w:r>
        <w:rPr>
          <w:lang w:eastAsia="en-NZ"/>
        </w:rPr>
        <w:t>,</w:t>
      </w:r>
      <w:r w:rsidRPr="00276C73">
        <w:rPr>
          <w:lang w:eastAsia="en-NZ"/>
        </w:rPr>
        <w:t xml:space="preserve"> while empowering an </w:t>
      </w:r>
      <w:proofErr w:type="spellStart"/>
      <w:r w:rsidRPr="00276C73">
        <w:rPr>
          <w:lang w:eastAsia="en-NZ"/>
        </w:rPr>
        <w:t>OIA</w:t>
      </w:r>
      <w:proofErr w:type="spellEnd"/>
      <w:r w:rsidRPr="00276C73">
        <w:rPr>
          <w:lang w:eastAsia="en-NZ"/>
        </w:rPr>
        <w:t xml:space="preserve"> strategic lead </w:t>
      </w:r>
      <w:r w:rsidR="004001D5">
        <w:rPr>
          <w:lang w:eastAsia="en-NZ"/>
        </w:rPr>
        <w:t xml:space="preserve">(e.g. </w:t>
      </w:r>
      <w:proofErr w:type="spellStart"/>
      <w:r w:rsidR="004001D5">
        <w:rPr>
          <w:lang w:eastAsia="en-NZ"/>
        </w:rPr>
        <w:t>OIA</w:t>
      </w:r>
      <w:proofErr w:type="spellEnd"/>
      <w:r w:rsidR="004001D5">
        <w:rPr>
          <w:lang w:eastAsia="en-NZ"/>
        </w:rPr>
        <w:t xml:space="preserve"> Manager) </w:t>
      </w:r>
      <w:r w:rsidRPr="00276C73">
        <w:rPr>
          <w:lang w:eastAsia="en-NZ"/>
        </w:rPr>
        <w:t>to focus</w:t>
      </w:r>
      <w:r w:rsidR="007C70F9">
        <w:rPr>
          <w:lang w:eastAsia="en-NZ"/>
        </w:rPr>
        <w:t xml:space="preserve"> on</w:t>
      </w:r>
      <w:r w:rsidR="00A13ACE">
        <w:rPr>
          <w:lang w:eastAsia="en-NZ"/>
        </w:rPr>
        <w:t xml:space="preserve"> embedding</w:t>
      </w:r>
      <w:r w:rsidR="004B6FE7">
        <w:rPr>
          <w:lang w:eastAsia="en-NZ"/>
        </w:rPr>
        <w:t xml:space="preserve"> the</w:t>
      </w:r>
      <w:r w:rsidR="007C70F9">
        <w:rPr>
          <w:lang w:eastAsia="en-NZ"/>
        </w:rPr>
        <w:t xml:space="preserve"> </w:t>
      </w:r>
      <w:proofErr w:type="spellStart"/>
      <w:r w:rsidR="007C70F9">
        <w:rPr>
          <w:lang w:eastAsia="en-NZ"/>
        </w:rPr>
        <w:t>OIA</w:t>
      </w:r>
      <w:proofErr w:type="spellEnd"/>
      <w:r w:rsidR="007C70F9">
        <w:rPr>
          <w:lang w:eastAsia="en-NZ"/>
        </w:rPr>
        <w:t xml:space="preserve"> </w:t>
      </w:r>
      <w:r w:rsidRPr="00276C73">
        <w:rPr>
          <w:lang w:eastAsia="en-NZ"/>
        </w:rPr>
        <w:t xml:space="preserve">strategy </w:t>
      </w:r>
      <w:r w:rsidR="007C70F9">
        <w:rPr>
          <w:lang w:eastAsia="en-NZ"/>
        </w:rPr>
        <w:t>into the Ministry’s daily operations</w:t>
      </w:r>
      <w:r w:rsidR="004C08A7">
        <w:rPr>
          <w:lang w:eastAsia="en-NZ"/>
        </w:rPr>
        <w:t>, translating</w:t>
      </w:r>
      <w:r w:rsidR="0011160F">
        <w:rPr>
          <w:lang w:eastAsia="en-NZ"/>
        </w:rPr>
        <w:t xml:space="preserve"> them</w:t>
      </w:r>
      <w:r w:rsidR="004C08A7">
        <w:rPr>
          <w:lang w:eastAsia="en-NZ"/>
        </w:rPr>
        <w:t xml:space="preserve"> into practice improvements as </w:t>
      </w:r>
      <w:proofErr w:type="gramStart"/>
      <w:r w:rsidR="004C08A7">
        <w:rPr>
          <w:lang w:eastAsia="en-NZ"/>
        </w:rPr>
        <w:t>required;</w:t>
      </w:r>
      <w:proofErr w:type="gramEnd"/>
      <w:r w:rsidR="007C70F9">
        <w:rPr>
          <w:lang w:eastAsia="en-NZ"/>
        </w:rPr>
        <w:t xml:space="preserve"> </w:t>
      </w:r>
    </w:p>
    <w:p w14:paraId="736366A1" w14:textId="5FB44D6C" w:rsidR="00E03A76" w:rsidRDefault="00E30629" w:rsidP="00147F7B">
      <w:pPr>
        <w:pStyle w:val="Bullet1"/>
        <w:rPr>
          <w:lang w:eastAsia="en-NZ"/>
        </w:rPr>
      </w:pPr>
      <w:r>
        <w:rPr>
          <w:lang w:eastAsia="en-NZ"/>
        </w:rPr>
        <w:t>m</w:t>
      </w:r>
      <w:r w:rsidR="00E03A76" w:rsidRPr="00E03A76">
        <w:rPr>
          <w:lang w:eastAsia="en-NZ"/>
        </w:rPr>
        <w:t xml:space="preserve">aintaining a direct reporting </w:t>
      </w:r>
      <w:r w:rsidR="00A5129F">
        <w:rPr>
          <w:lang w:eastAsia="en-NZ"/>
        </w:rPr>
        <w:t>and/</w:t>
      </w:r>
      <w:r w:rsidR="00E03A76" w:rsidRPr="00E03A76">
        <w:rPr>
          <w:lang w:eastAsia="en-NZ"/>
        </w:rPr>
        <w:t xml:space="preserve">or advisory line between the </w:t>
      </w:r>
      <w:proofErr w:type="spellStart"/>
      <w:r w:rsidR="00E03A76" w:rsidRPr="00E03A76">
        <w:rPr>
          <w:lang w:eastAsia="en-NZ"/>
        </w:rPr>
        <w:t>OIA</w:t>
      </w:r>
      <w:proofErr w:type="spellEnd"/>
      <w:r w:rsidR="00E03A76" w:rsidRPr="00E03A76">
        <w:rPr>
          <w:lang w:eastAsia="en-NZ"/>
        </w:rPr>
        <w:t xml:space="preserve"> strategic lead and the </w:t>
      </w:r>
      <w:r w:rsidR="008C69DD">
        <w:rPr>
          <w:lang w:eastAsia="en-NZ"/>
        </w:rPr>
        <w:t>e</w:t>
      </w:r>
      <w:r>
        <w:rPr>
          <w:lang w:eastAsia="en-NZ"/>
        </w:rPr>
        <w:t xml:space="preserve">xecutive </w:t>
      </w:r>
      <w:r w:rsidR="008C69DD">
        <w:rPr>
          <w:lang w:eastAsia="en-NZ"/>
        </w:rPr>
        <w:t>l</w:t>
      </w:r>
      <w:r>
        <w:rPr>
          <w:lang w:eastAsia="en-NZ"/>
        </w:rPr>
        <w:t xml:space="preserve">eadership </w:t>
      </w:r>
      <w:r w:rsidR="008C69DD">
        <w:rPr>
          <w:lang w:eastAsia="en-NZ"/>
        </w:rPr>
        <w:t>t</w:t>
      </w:r>
      <w:r>
        <w:rPr>
          <w:lang w:eastAsia="en-NZ"/>
        </w:rPr>
        <w:t>eam</w:t>
      </w:r>
      <w:r w:rsidR="00E03A76" w:rsidRPr="00E03A76">
        <w:rPr>
          <w:lang w:eastAsia="en-NZ"/>
        </w:rPr>
        <w:t xml:space="preserve"> to ensure </w:t>
      </w:r>
      <w:proofErr w:type="spellStart"/>
      <w:r w:rsidR="00E03A76" w:rsidRPr="00E03A76">
        <w:rPr>
          <w:lang w:eastAsia="en-NZ"/>
        </w:rPr>
        <w:t>OIA</w:t>
      </w:r>
      <w:proofErr w:type="spellEnd"/>
      <w:r w:rsidR="00E03A76" w:rsidRPr="00E03A76">
        <w:rPr>
          <w:lang w:eastAsia="en-NZ"/>
        </w:rPr>
        <w:t xml:space="preserve"> resourcing and workload risks are visible at the highest level and can be addressed proactively</w:t>
      </w:r>
      <w:r>
        <w:rPr>
          <w:lang w:eastAsia="en-NZ"/>
        </w:rPr>
        <w:t xml:space="preserve"> </w:t>
      </w:r>
      <w:r w:rsidRPr="00A13ACE">
        <w:rPr>
          <w:lang w:eastAsia="en-NZ"/>
        </w:rPr>
        <w:t xml:space="preserve">(discussed in </w:t>
      </w:r>
      <w:r w:rsidR="00E53C7E" w:rsidRPr="00A13ACE">
        <w:rPr>
          <w:i/>
          <w:iCs/>
          <w:lang w:eastAsia="en-NZ"/>
        </w:rPr>
        <w:t>‘</w:t>
      </w:r>
      <w:hyperlink w:anchor="_Internal_OIA_reporting" w:history="1">
        <w:r w:rsidR="00E53C7E" w:rsidRPr="00A13ACE">
          <w:rPr>
            <w:rStyle w:val="Hyperlink"/>
            <w:i/>
            <w:iCs/>
            <w:lang w:eastAsia="en-NZ"/>
          </w:rPr>
          <w:t xml:space="preserve">Internal </w:t>
        </w:r>
        <w:proofErr w:type="spellStart"/>
        <w:r w:rsidR="00E53C7E" w:rsidRPr="00A13ACE">
          <w:rPr>
            <w:rStyle w:val="Hyperlink"/>
            <w:i/>
            <w:iCs/>
            <w:lang w:eastAsia="en-NZ"/>
          </w:rPr>
          <w:t>OIA</w:t>
        </w:r>
        <w:proofErr w:type="spellEnd"/>
        <w:r w:rsidR="00E53C7E" w:rsidRPr="00A13ACE">
          <w:rPr>
            <w:rStyle w:val="Hyperlink"/>
            <w:i/>
            <w:iCs/>
            <w:lang w:eastAsia="en-NZ"/>
          </w:rPr>
          <w:t xml:space="preserve"> reporting</w:t>
        </w:r>
      </w:hyperlink>
      <w:r w:rsidR="00E53C7E" w:rsidRPr="00A13ACE">
        <w:rPr>
          <w:i/>
          <w:iCs/>
          <w:lang w:eastAsia="en-NZ"/>
        </w:rPr>
        <w:t>’</w:t>
      </w:r>
      <w:r w:rsidR="00351F96">
        <w:rPr>
          <w:i/>
          <w:iCs/>
          <w:lang w:eastAsia="en-NZ"/>
        </w:rPr>
        <w:t xml:space="preserve"> </w:t>
      </w:r>
      <w:r w:rsidR="00351F96" w:rsidRPr="00351F96">
        <w:rPr>
          <w:lang w:eastAsia="en-NZ"/>
        </w:rPr>
        <w:t>below</w:t>
      </w:r>
      <w:r w:rsidRPr="00A13ACE">
        <w:rPr>
          <w:lang w:eastAsia="en-NZ"/>
        </w:rPr>
        <w:t>)</w:t>
      </w:r>
      <w:r>
        <w:rPr>
          <w:lang w:eastAsia="en-NZ"/>
        </w:rPr>
        <w:t xml:space="preserve">. </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8B094E" w14:paraId="75509677" w14:textId="77777777" w:rsidTr="005662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2C3E83BC" w14:textId="77777777" w:rsidR="008B094E" w:rsidRPr="00466268" w:rsidRDefault="008B094E" w:rsidP="005662BC">
            <w:pPr>
              <w:pStyle w:val="Headingboxtexttop"/>
              <w:rPr>
                <w:color w:val="000000" w:themeColor="text1"/>
              </w:rPr>
            </w:pPr>
            <w:bookmarkStart w:id="29" w:name="_Hlk224371114"/>
            <w:bookmarkEnd w:id="27"/>
            <w:bookmarkEnd w:id="28"/>
            <w:r w:rsidRPr="00466268">
              <w:rPr>
                <w:color w:val="000000" w:themeColor="text1"/>
              </w:rPr>
              <w:t xml:space="preserve">Action point </w:t>
            </w:r>
          </w:p>
        </w:tc>
      </w:tr>
      <w:tr w:rsidR="005F4739" w14:paraId="117458CA" w14:textId="77777777" w:rsidTr="005662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3D2D6479" w14:textId="06CB74F6" w:rsidR="008763C4" w:rsidRDefault="008763C4" w:rsidP="00F95945">
            <w:pPr>
              <w:pStyle w:val="BodyText"/>
            </w:pPr>
            <w:r>
              <w:t>S</w:t>
            </w:r>
            <w:r w:rsidRPr="008763C4">
              <w:t xml:space="preserve">enior leaders should consider </w:t>
            </w:r>
            <w:r w:rsidR="008F2277">
              <w:t>formalising</w:t>
            </w:r>
            <w:r w:rsidRPr="008763C4">
              <w:t xml:space="preserve"> current positive practices into a</w:t>
            </w:r>
            <w:r w:rsidR="00765F16">
              <w:t>n</w:t>
            </w:r>
            <w:r w:rsidRPr="008763C4">
              <w:t xml:space="preserve"> </w:t>
            </w:r>
            <w:proofErr w:type="spellStart"/>
            <w:r w:rsidRPr="008763C4">
              <w:t>OIA</w:t>
            </w:r>
            <w:proofErr w:type="spellEnd"/>
            <w:r w:rsidRPr="008763C4">
              <w:t xml:space="preserve"> strategy to serve as a visible blueprint for the incoming </w:t>
            </w:r>
            <w:proofErr w:type="spellStart"/>
            <w:r w:rsidRPr="008763C4">
              <w:t>MCERT</w:t>
            </w:r>
            <w:proofErr w:type="spellEnd"/>
            <w:r w:rsidRPr="008763C4">
              <w:t xml:space="preserve">, ensuring that </w:t>
            </w:r>
            <w:proofErr w:type="spellStart"/>
            <w:r w:rsidRPr="008763C4">
              <w:t>OIA</w:t>
            </w:r>
            <w:proofErr w:type="spellEnd"/>
            <w:r w:rsidRPr="008763C4">
              <w:t xml:space="preserve"> excellence is maintained as a core stewardship responsibility during the organisational transition.</w:t>
            </w:r>
          </w:p>
        </w:tc>
      </w:tr>
    </w:tbl>
    <w:p w14:paraId="3EC776CE" w14:textId="1A12F6AF" w:rsidR="003210C8" w:rsidRDefault="003210C8" w:rsidP="00FC0E5C">
      <w:pPr>
        <w:pStyle w:val="Heading2"/>
        <w:numPr>
          <w:ilvl w:val="0"/>
          <w:numId w:val="0"/>
        </w:numPr>
      </w:pPr>
      <w:bookmarkStart w:id="30" w:name="_Interactions_with_Ministers"/>
      <w:bookmarkStart w:id="31" w:name="_Toc239154246"/>
      <w:bookmarkEnd w:id="29"/>
      <w:bookmarkEnd w:id="30"/>
      <w:r>
        <w:t>Interactions with Ministers</w:t>
      </w:r>
      <w:r w:rsidR="00F87B6A">
        <w:t xml:space="preserve"> on </w:t>
      </w:r>
      <w:proofErr w:type="spellStart"/>
      <w:r w:rsidR="00F87B6A">
        <w:t>OIA</w:t>
      </w:r>
      <w:proofErr w:type="spellEnd"/>
      <w:r w:rsidR="00F87B6A">
        <w:t xml:space="preserve"> requests</w:t>
      </w:r>
      <w:bookmarkEnd w:id="31"/>
    </w:p>
    <w:p w14:paraId="555D916B" w14:textId="641DABBC" w:rsidR="0010421F" w:rsidRDefault="00F153BA" w:rsidP="0010421F">
      <w:pPr>
        <w:pStyle w:val="BodyText"/>
      </w:pPr>
      <w:r>
        <w:t>Our</w:t>
      </w:r>
      <w:r w:rsidR="0010421F" w:rsidRPr="0010421F">
        <w:t xml:space="preserve"> investigation focused on </w:t>
      </w:r>
      <w:proofErr w:type="spellStart"/>
      <w:r w:rsidR="0010421F" w:rsidRPr="0010421F">
        <w:t>OIA</w:t>
      </w:r>
      <w:proofErr w:type="spellEnd"/>
      <w:r w:rsidR="0010421F" w:rsidRPr="0010421F">
        <w:t xml:space="preserve"> requests made to agencies</w:t>
      </w:r>
      <w:r>
        <w:t xml:space="preserve"> – ‘</w:t>
      </w:r>
      <w:r w:rsidR="0010421F" w:rsidRPr="0010421F">
        <w:t>departmental</w:t>
      </w:r>
      <w:r w:rsidR="0010421F">
        <w:t>’</w:t>
      </w:r>
      <w:r w:rsidR="0010421F" w:rsidRPr="0010421F">
        <w:t xml:space="preserve"> </w:t>
      </w:r>
      <w:proofErr w:type="spellStart"/>
      <w:r w:rsidR="0010421F" w:rsidRPr="0010421F">
        <w:t>OIA</w:t>
      </w:r>
      <w:proofErr w:type="spellEnd"/>
      <w:r w:rsidR="0010421F" w:rsidRPr="0010421F">
        <w:t xml:space="preserve"> requests</w:t>
      </w:r>
      <w:r>
        <w:t xml:space="preserve"> – </w:t>
      </w:r>
      <w:r w:rsidR="0010421F" w:rsidRPr="0010421F">
        <w:t xml:space="preserve">as opposed to </w:t>
      </w:r>
      <w:r w:rsidR="0010421F">
        <w:t>M</w:t>
      </w:r>
      <w:r w:rsidR="0010421F" w:rsidRPr="0010421F">
        <w:t xml:space="preserve">inisterial </w:t>
      </w:r>
      <w:proofErr w:type="spellStart"/>
      <w:r w:rsidR="0010421F" w:rsidRPr="0010421F">
        <w:t>OIA</w:t>
      </w:r>
      <w:proofErr w:type="spellEnd"/>
      <w:r w:rsidR="0010421F" w:rsidRPr="0010421F">
        <w:t xml:space="preserve"> requests, which are those for information held by, or more closely connected to, a Minister</w:t>
      </w:r>
      <w:r w:rsidR="0010421F">
        <w:t xml:space="preserve">. </w:t>
      </w:r>
    </w:p>
    <w:p w14:paraId="69C1F0C9" w14:textId="4450A760" w:rsidR="0010421F" w:rsidRPr="0010421F" w:rsidRDefault="0010421F" w:rsidP="0010421F">
      <w:pPr>
        <w:pStyle w:val="BodyText"/>
      </w:pPr>
      <w:r w:rsidRPr="0010421F">
        <w:t xml:space="preserve">There is no requirement in the </w:t>
      </w:r>
      <w:proofErr w:type="spellStart"/>
      <w:r w:rsidRPr="0010421F">
        <w:t>OIA</w:t>
      </w:r>
      <w:proofErr w:type="spellEnd"/>
      <w:r w:rsidRPr="0010421F">
        <w:t xml:space="preserve"> for agencies to advise their Ministers about departmental </w:t>
      </w:r>
      <w:proofErr w:type="spellStart"/>
      <w:r w:rsidRPr="0010421F">
        <w:t>OIA</w:t>
      </w:r>
      <w:proofErr w:type="spellEnd"/>
      <w:r w:rsidRPr="0010421F">
        <w:t xml:space="preserve"> requests received and decisions made. However, both the </w:t>
      </w:r>
      <w:proofErr w:type="spellStart"/>
      <w:r w:rsidRPr="0010421F">
        <w:t>OIA</w:t>
      </w:r>
      <w:proofErr w:type="spellEnd"/>
      <w:r w:rsidRPr="0010421F">
        <w:t xml:space="preserve"> and the Cabinet Manual make provision for agencies to consult their Minister prior to a decision being made, where reasonably necessary.</w:t>
      </w:r>
      <w:r w:rsidRPr="0010421F">
        <w:rPr>
          <w:vertAlign w:val="superscript"/>
        </w:rPr>
        <w:footnoteReference w:id="11"/>
      </w:r>
      <w:r w:rsidRPr="0010421F">
        <w:t xml:space="preserve"> The decision maker on departmental </w:t>
      </w:r>
      <w:proofErr w:type="spellStart"/>
      <w:r w:rsidRPr="0010421F">
        <w:t>OIA</w:t>
      </w:r>
      <w:proofErr w:type="spellEnd"/>
      <w:r w:rsidRPr="0010421F">
        <w:t xml:space="preserve"> requests remains the C</w:t>
      </w:r>
      <w:r>
        <w:t>hief Executive</w:t>
      </w:r>
      <w:r w:rsidRPr="0010421F">
        <w:t xml:space="preserve"> (or an official of the department whom the </w:t>
      </w:r>
      <w:r w:rsidR="00F153BA">
        <w:t>Chief Executive</w:t>
      </w:r>
      <w:r w:rsidRPr="0010421F">
        <w:t xml:space="preserve"> has duly authorised).</w:t>
      </w:r>
      <w:r w:rsidRPr="0010421F">
        <w:rPr>
          <w:vertAlign w:val="superscript"/>
        </w:rPr>
        <w:footnoteReference w:id="12"/>
      </w:r>
    </w:p>
    <w:p w14:paraId="503F452E" w14:textId="51C69DDB" w:rsidR="0010421F" w:rsidRPr="0010421F" w:rsidRDefault="0010421F" w:rsidP="0010421F">
      <w:pPr>
        <w:pStyle w:val="BodyText"/>
      </w:pPr>
      <w:r w:rsidRPr="0010421F">
        <w:t>In addition, the Cabinet Manual recognises that the relationship between Ministers and</w:t>
      </w:r>
      <w:r w:rsidR="008E4E08">
        <w:t xml:space="preserve"> chief executives</w:t>
      </w:r>
      <w:r w:rsidRPr="0010421F">
        <w:t xml:space="preserve"> should be guided by the </w:t>
      </w:r>
      <w:r w:rsidRPr="0010421F">
        <w:rPr>
          <w:i/>
          <w:iCs/>
        </w:rPr>
        <w:t>‘</w:t>
      </w:r>
      <w:r w:rsidRPr="0010421F">
        <w:rPr>
          <w:i/>
        </w:rPr>
        <w:t>no surprises</w:t>
      </w:r>
      <w:r w:rsidRPr="0010421F">
        <w:rPr>
          <w:i/>
          <w:iCs/>
        </w:rPr>
        <w:t>’</w:t>
      </w:r>
      <w:r w:rsidRPr="0010421F">
        <w:t xml:space="preserve"> principle. This principle is defined in the Cabinet Manual and states:</w:t>
      </w:r>
      <w:r w:rsidR="009C742A">
        <w:rPr>
          <w:rStyle w:val="FootnoteReference"/>
        </w:rPr>
        <w:footnoteReference w:id="13"/>
      </w:r>
    </w:p>
    <w:p w14:paraId="264DE0B6" w14:textId="0C1001E2" w:rsidR="0010421F" w:rsidRPr="009356E9" w:rsidRDefault="0010421F" w:rsidP="00C8609F">
      <w:pPr>
        <w:pStyle w:val="Quotationseparateparagraph"/>
      </w:pPr>
      <w:proofErr w:type="gramStart"/>
      <w:r w:rsidRPr="009356E9">
        <w:t>As a general rule</w:t>
      </w:r>
      <w:proofErr w:type="gramEnd"/>
      <w:r w:rsidRPr="009356E9">
        <w:t>, [officials] should inform Ministers promptly of matters of significance within their portfolio responsibilities, particularly where these matters may be controversial or may become the subject of public debate.</w:t>
      </w:r>
    </w:p>
    <w:p w14:paraId="0836264B" w14:textId="5EDE8B43" w:rsidR="002D668C" w:rsidRDefault="002D668C" w:rsidP="002D668C">
      <w:pPr>
        <w:pStyle w:val="BodyText"/>
      </w:pPr>
      <w:r>
        <w:t>In its response to the agency questionnaire</w:t>
      </w:r>
      <w:r w:rsidR="00C75BCC">
        <w:t>,</w:t>
      </w:r>
      <w:r>
        <w:t xml:space="preserve"> the Ministry outlined its</w:t>
      </w:r>
      <w:r w:rsidRPr="00C7336F">
        <w:t xml:space="preserve"> practice</w:t>
      </w:r>
      <w:r>
        <w:t>s</w:t>
      </w:r>
      <w:r w:rsidRPr="00C7336F">
        <w:t xml:space="preserve"> for interacting w</w:t>
      </w:r>
      <w:r>
        <w:t>ith</w:t>
      </w:r>
      <w:r w:rsidRPr="00C7336F">
        <w:t xml:space="preserve"> Ministers’ offices on departmental </w:t>
      </w:r>
      <w:proofErr w:type="spellStart"/>
      <w:r w:rsidRPr="00C7336F">
        <w:t>OIA</w:t>
      </w:r>
      <w:proofErr w:type="spellEnd"/>
      <w:r w:rsidRPr="00C7336F">
        <w:t xml:space="preserve"> requests</w:t>
      </w:r>
      <w:r w:rsidR="00E35FF1">
        <w:t xml:space="preserve"> (i.e. </w:t>
      </w:r>
      <w:proofErr w:type="spellStart"/>
      <w:r w:rsidR="00E35FF1">
        <w:t>OIA</w:t>
      </w:r>
      <w:proofErr w:type="spellEnd"/>
      <w:r w:rsidR="00E35FF1">
        <w:t xml:space="preserve"> requests addressed to the Ministry</w:t>
      </w:r>
      <w:r w:rsidR="00A13ACE">
        <w:t>,</w:t>
      </w:r>
      <w:r w:rsidR="00E35FF1">
        <w:t xml:space="preserve"> rather than the Minister)</w:t>
      </w:r>
      <w:r w:rsidR="00E20434">
        <w:t>:</w:t>
      </w:r>
      <w:r w:rsidRPr="00C7336F">
        <w:t xml:space="preserve"> </w:t>
      </w:r>
    </w:p>
    <w:p w14:paraId="3C7FC350" w14:textId="7F4BB0E3" w:rsidR="009334FD" w:rsidRDefault="00DC0F16" w:rsidP="00E902F6">
      <w:pPr>
        <w:pStyle w:val="Quotationseparateparagraph"/>
      </w:pPr>
      <w:r>
        <w:t>T</w:t>
      </w:r>
      <w:r w:rsidR="009334FD" w:rsidRPr="009334FD">
        <w:t xml:space="preserve">he Ministry does not provide Ministers with responses to its departmental </w:t>
      </w:r>
      <w:proofErr w:type="spellStart"/>
      <w:r w:rsidR="009334FD" w:rsidRPr="009334FD">
        <w:t>OIA</w:t>
      </w:r>
      <w:proofErr w:type="spellEnd"/>
      <w:r w:rsidR="009334FD" w:rsidRPr="009334FD">
        <w:t xml:space="preserve"> requests as a matter of course. </w:t>
      </w:r>
    </w:p>
    <w:p w14:paraId="548CC347" w14:textId="04834F24" w:rsidR="00E902F6" w:rsidRPr="00E902F6" w:rsidRDefault="002D668C" w:rsidP="00E902F6">
      <w:pPr>
        <w:pStyle w:val="Quotationseparateparagraph"/>
      </w:pPr>
      <w:r w:rsidRPr="00E902F6">
        <w:t xml:space="preserve">Departmental </w:t>
      </w:r>
      <w:proofErr w:type="spellStart"/>
      <w:r w:rsidRPr="00E902F6">
        <w:t>OIA</w:t>
      </w:r>
      <w:proofErr w:type="spellEnd"/>
      <w:r w:rsidRPr="00E902F6">
        <w:t xml:space="preserve"> requests may be shared with Ministers’ offices when they supplied the information within scope of the request, the request concerns ministerial functions or activities, or the release could affect ministerial functions or activities.  </w:t>
      </w:r>
    </w:p>
    <w:p w14:paraId="00B76657" w14:textId="790A21D2" w:rsidR="003210C8" w:rsidRPr="00A13ACE" w:rsidRDefault="003210C8" w:rsidP="00097711">
      <w:pPr>
        <w:pStyle w:val="BodyText"/>
      </w:pPr>
      <w:r w:rsidRPr="00A13ACE">
        <w:t>During interviews</w:t>
      </w:r>
      <w:r w:rsidR="005D327A" w:rsidRPr="00A13ACE">
        <w:t>,</w:t>
      </w:r>
      <w:r w:rsidRPr="00A13ACE">
        <w:t xml:space="preserve"> staff confirmed their understanding of the Ministry's decision-making authority under </w:t>
      </w:r>
      <w:r w:rsidR="009334FD" w:rsidRPr="00A13ACE">
        <w:t xml:space="preserve">the </w:t>
      </w:r>
      <w:proofErr w:type="spellStart"/>
      <w:r w:rsidRPr="00A13ACE">
        <w:t>OIA</w:t>
      </w:r>
      <w:proofErr w:type="spellEnd"/>
      <w:r w:rsidR="00DC0F16" w:rsidRPr="00A13ACE">
        <w:t>,</w:t>
      </w:r>
      <w:r w:rsidR="004D1DD4">
        <w:t xml:space="preserve"> </w:t>
      </w:r>
      <w:r w:rsidR="00DC0F16" w:rsidRPr="00A13ACE">
        <w:t>i.e.</w:t>
      </w:r>
      <w:r w:rsidR="00894C6B">
        <w:t xml:space="preserve"> that</w:t>
      </w:r>
      <w:r w:rsidRPr="00A13ACE">
        <w:t xml:space="preserve"> the final responsibility</w:t>
      </w:r>
      <w:r w:rsidR="002753A9" w:rsidRPr="00A13ACE">
        <w:t xml:space="preserve"> for </w:t>
      </w:r>
      <w:r w:rsidR="00FC691D">
        <w:t xml:space="preserve">departmental </w:t>
      </w:r>
      <w:proofErr w:type="spellStart"/>
      <w:r w:rsidR="002753A9" w:rsidRPr="00A13ACE">
        <w:t>OIA</w:t>
      </w:r>
      <w:proofErr w:type="spellEnd"/>
      <w:r w:rsidR="002753A9" w:rsidRPr="00A13ACE">
        <w:t xml:space="preserve"> decisions</w:t>
      </w:r>
      <w:r w:rsidRPr="00A13ACE">
        <w:t xml:space="preserve"> rests solely with the Ministry, rather than Minister</w:t>
      </w:r>
      <w:r w:rsidR="00A22F2D" w:rsidRPr="00A13ACE">
        <w:t>s</w:t>
      </w:r>
      <w:r w:rsidRPr="00A13ACE">
        <w:t>’ office</w:t>
      </w:r>
      <w:r w:rsidR="00A22F2D" w:rsidRPr="00A13ACE">
        <w:t>s</w:t>
      </w:r>
      <w:r w:rsidRPr="00A13ACE">
        <w:t xml:space="preserve">. </w:t>
      </w:r>
    </w:p>
    <w:p w14:paraId="209B37F2" w14:textId="040D34A8" w:rsidR="000C4E66" w:rsidRPr="00A13ACE" w:rsidRDefault="00020B08" w:rsidP="00097711">
      <w:pPr>
        <w:pStyle w:val="BodyText"/>
      </w:pPr>
      <w:bookmarkStart w:id="32" w:name="_Hlk233602757"/>
      <w:r>
        <w:t xml:space="preserve">This understanding was reflected in the Ministry’s sample </w:t>
      </w:r>
      <w:proofErr w:type="spellStart"/>
      <w:r>
        <w:t>OIA</w:t>
      </w:r>
      <w:proofErr w:type="spellEnd"/>
      <w:r>
        <w:t xml:space="preserve"> files. For </w:t>
      </w:r>
      <w:r w:rsidR="000C4E66" w:rsidRPr="00A13ACE">
        <w:t>example</w:t>
      </w:r>
      <w:r w:rsidR="002214BF">
        <w:t xml:space="preserve">, </w:t>
      </w:r>
      <w:r>
        <w:t>in one file</w:t>
      </w:r>
      <w:r w:rsidR="003035BE">
        <w:t xml:space="preserve">, </w:t>
      </w:r>
      <w:r w:rsidR="0018508C">
        <w:t xml:space="preserve">which involved a consultation with </w:t>
      </w:r>
      <w:r w:rsidR="003035BE">
        <w:t xml:space="preserve">a </w:t>
      </w:r>
      <w:r w:rsidR="0018508C">
        <w:t>Minister</w:t>
      </w:r>
      <w:r w:rsidR="003035BE">
        <w:t>’</w:t>
      </w:r>
      <w:r w:rsidR="0018508C">
        <w:t>s office</w:t>
      </w:r>
      <w:r w:rsidR="008374C1">
        <w:t>, there was clear evidence of the Ministry</w:t>
      </w:r>
      <w:r w:rsidR="00094D66">
        <w:t xml:space="preserve"> considering views put forward from </w:t>
      </w:r>
      <w:r w:rsidR="00381C61">
        <w:t>the</w:t>
      </w:r>
      <w:r w:rsidR="00094D66">
        <w:t xml:space="preserve"> Minister</w:t>
      </w:r>
      <w:r w:rsidR="003035BE">
        <w:t>’</w:t>
      </w:r>
      <w:r w:rsidR="00094D66">
        <w:t>s office while</w:t>
      </w:r>
      <w:r w:rsidR="008374C1">
        <w:t xml:space="preserve"> maintaining the independence of its </w:t>
      </w:r>
      <w:proofErr w:type="spellStart"/>
      <w:r w:rsidR="008374C1">
        <w:t>OIA</w:t>
      </w:r>
      <w:proofErr w:type="spellEnd"/>
      <w:r w:rsidR="008374C1">
        <w:t xml:space="preserve"> </w:t>
      </w:r>
      <w:r w:rsidR="007A664F">
        <w:t>decision-making and</w:t>
      </w:r>
      <w:r w:rsidR="00094D66">
        <w:t xml:space="preserve"> weighing Ministerial input against public interest considerations</w:t>
      </w:r>
      <w:r w:rsidR="004B76B1">
        <w:t>.</w:t>
      </w:r>
      <w:r w:rsidR="008374C1">
        <w:t xml:space="preserve"> </w:t>
      </w:r>
      <w:r w:rsidR="0018508C">
        <w:t xml:space="preserve"> </w:t>
      </w:r>
    </w:p>
    <w:p w14:paraId="1D187D04" w14:textId="108F5A44" w:rsidR="00AA13D6" w:rsidRPr="00A13ACE" w:rsidRDefault="002558AB" w:rsidP="00097711">
      <w:pPr>
        <w:pStyle w:val="BodyText"/>
      </w:pPr>
      <w:r w:rsidRPr="00A13ACE">
        <w:t xml:space="preserve">However, </w:t>
      </w:r>
      <w:r w:rsidR="009E2386">
        <w:t>our</w:t>
      </w:r>
      <w:r w:rsidRPr="00A13ACE">
        <w:t xml:space="preserve"> file review showed a lack of clarity</w:t>
      </w:r>
      <w:r w:rsidR="004E34BF">
        <w:t xml:space="preserve"> among</w:t>
      </w:r>
      <w:r w:rsidRPr="00A13ACE">
        <w:t xml:space="preserve"> </w:t>
      </w:r>
      <w:r w:rsidR="004E34BF">
        <w:t>Ministry</w:t>
      </w:r>
      <w:r w:rsidR="000B157F">
        <w:t xml:space="preserve"> </w:t>
      </w:r>
      <w:r w:rsidRPr="00A13ACE">
        <w:t xml:space="preserve">staff </w:t>
      </w:r>
      <w:r w:rsidR="004E34BF">
        <w:t xml:space="preserve">seconded to </w:t>
      </w:r>
      <w:r w:rsidRPr="00A13ACE">
        <w:t>Min</w:t>
      </w:r>
      <w:r w:rsidR="00223F79">
        <w:t>i</w:t>
      </w:r>
      <w:r w:rsidRPr="00A13ACE">
        <w:t>sters’ offices</w:t>
      </w:r>
      <w:r w:rsidR="004E34BF">
        <w:t xml:space="preserve">. </w:t>
      </w:r>
      <w:r w:rsidR="00AA13D6" w:rsidRPr="00AA13D6">
        <w:t xml:space="preserve">Their use of language such as </w:t>
      </w:r>
      <w:r w:rsidR="00AA13D6" w:rsidRPr="00097711">
        <w:rPr>
          <w:rStyle w:val="Quotationwithinthesentence"/>
        </w:rPr>
        <w:t>‘good to go’</w:t>
      </w:r>
      <w:r w:rsidR="00AA13D6" w:rsidRPr="00AA13D6">
        <w:t xml:space="preserve"> or </w:t>
      </w:r>
      <w:r w:rsidR="00AA13D6" w:rsidRPr="00097711">
        <w:rPr>
          <w:rStyle w:val="Quotationwithinthesentence"/>
        </w:rPr>
        <w:t>‘approve</w:t>
      </w:r>
      <w:r w:rsidR="00BE5F94" w:rsidRPr="00097711">
        <w:rPr>
          <w:rStyle w:val="Quotationwithinthesentence"/>
        </w:rPr>
        <w:t xml:space="preserve"> the document being released</w:t>
      </w:r>
      <w:r w:rsidR="00AA13D6" w:rsidRPr="00097711">
        <w:rPr>
          <w:rStyle w:val="Quotationwithinthesentence"/>
        </w:rPr>
        <w:t>’</w:t>
      </w:r>
      <w:r w:rsidR="00AA13D6" w:rsidRPr="00AA13D6">
        <w:t xml:space="preserve"> incorrectly implied that the Minister’s office</w:t>
      </w:r>
      <w:r w:rsidR="00302FD4">
        <w:t xml:space="preserve"> can ‘</w:t>
      </w:r>
      <w:r w:rsidR="00302FD4" w:rsidRPr="00302FD4">
        <w:rPr>
          <w:i/>
          <w:iCs/>
        </w:rPr>
        <w:t>approve’</w:t>
      </w:r>
      <w:r w:rsidR="00302FD4">
        <w:t xml:space="preserve"> </w:t>
      </w:r>
      <w:r w:rsidR="006E2346">
        <w:t xml:space="preserve">departmental </w:t>
      </w:r>
      <w:proofErr w:type="spellStart"/>
      <w:r w:rsidR="00302FD4">
        <w:t>OIA</w:t>
      </w:r>
      <w:proofErr w:type="spellEnd"/>
      <w:r w:rsidR="00302FD4">
        <w:t xml:space="preserve"> responses sent to them on a ‘no surprises’ basis.</w:t>
      </w:r>
      <w:r w:rsidR="00AA13D6" w:rsidRPr="00AA13D6">
        <w:t xml:space="preserve"> </w:t>
      </w:r>
      <w:r w:rsidR="00645C7C" w:rsidRPr="00645C7C">
        <w:t xml:space="preserve">While current </w:t>
      </w:r>
      <w:proofErr w:type="spellStart"/>
      <w:r w:rsidR="00645C7C" w:rsidRPr="00645C7C">
        <w:t>OIA</w:t>
      </w:r>
      <w:proofErr w:type="spellEnd"/>
      <w:r w:rsidR="00645C7C" w:rsidRPr="00645C7C">
        <w:t xml:space="preserve"> staff </w:t>
      </w:r>
      <w:r w:rsidR="00435B30">
        <w:t xml:space="preserve">appear </w:t>
      </w:r>
      <w:r w:rsidR="00645C7C" w:rsidRPr="00645C7C">
        <w:t xml:space="preserve">confident in asserting the </w:t>
      </w:r>
      <w:r w:rsidR="00C519C4">
        <w:t>Ministry’s</w:t>
      </w:r>
      <w:r w:rsidR="00342B58">
        <w:t xml:space="preserve"> statutory responsibility for </w:t>
      </w:r>
      <w:proofErr w:type="spellStart"/>
      <w:r w:rsidR="00342B58">
        <w:t>OIA</w:t>
      </w:r>
      <w:proofErr w:type="spellEnd"/>
      <w:r w:rsidR="00342B58">
        <w:t xml:space="preserve"> decision-making</w:t>
      </w:r>
      <w:r w:rsidR="00645C7C" w:rsidRPr="00645C7C">
        <w:t xml:space="preserve">, this inaccurate </w:t>
      </w:r>
      <w:r w:rsidR="00645C7C">
        <w:t>terminology</w:t>
      </w:r>
      <w:r w:rsidR="00645C7C" w:rsidRPr="00645C7C">
        <w:t xml:space="preserve"> risks confusing newer staff and should be discouraged.</w:t>
      </w:r>
    </w:p>
    <w:bookmarkEnd w:id="32"/>
    <w:p w14:paraId="7F2064D9" w14:textId="4B9CC284" w:rsidR="00525593" w:rsidRDefault="00512C68" w:rsidP="00097711">
      <w:pPr>
        <w:pStyle w:val="BodyText"/>
      </w:pPr>
      <w:r w:rsidRPr="00A13ACE">
        <w:t xml:space="preserve">Such framing is especially concerning as it is consistent with perceptions expressed by </w:t>
      </w:r>
      <w:r w:rsidR="00E82407" w:rsidRPr="00A13ACE">
        <w:t>some</w:t>
      </w:r>
      <w:r w:rsidR="00876224" w:rsidRPr="00A13ACE">
        <w:t xml:space="preserve"> </w:t>
      </w:r>
      <w:r w:rsidR="001942F2" w:rsidRPr="00A13ACE">
        <w:t xml:space="preserve">Ministry </w:t>
      </w:r>
      <w:r w:rsidR="00D92BE6" w:rsidRPr="00A13ACE">
        <w:t xml:space="preserve">staff </w:t>
      </w:r>
      <w:r w:rsidR="00201911">
        <w:t xml:space="preserve">in </w:t>
      </w:r>
      <w:r w:rsidR="00440C97">
        <w:t>our</w:t>
      </w:r>
      <w:r w:rsidR="00201911">
        <w:t xml:space="preserve"> online survey</w:t>
      </w:r>
      <w:r w:rsidR="005D327A" w:rsidRPr="00A13ACE">
        <w:t xml:space="preserve"> </w:t>
      </w:r>
      <w:r w:rsidR="00D92BE6" w:rsidRPr="00A13ACE">
        <w:t>that</w:t>
      </w:r>
      <w:r w:rsidR="0095053F" w:rsidRPr="00A13ACE">
        <w:t xml:space="preserve"> the agency’s </w:t>
      </w:r>
      <w:r w:rsidR="0021409E" w:rsidRPr="00A13ACE">
        <w:t xml:space="preserve">decisions on </w:t>
      </w:r>
      <w:proofErr w:type="spellStart"/>
      <w:r w:rsidR="0021409E" w:rsidRPr="00A13ACE">
        <w:t>OIA</w:t>
      </w:r>
      <w:proofErr w:type="spellEnd"/>
      <w:r w:rsidR="0021409E" w:rsidRPr="00A13ACE">
        <w:t xml:space="preserve"> requests </w:t>
      </w:r>
      <w:r w:rsidR="0095053F" w:rsidRPr="00A13ACE">
        <w:t xml:space="preserve">may be </w:t>
      </w:r>
      <w:r w:rsidR="0021409E" w:rsidRPr="00A13ACE">
        <w:t xml:space="preserve">unduly </w:t>
      </w:r>
      <w:r w:rsidR="00D92BE6" w:rsidRPr="00A13ACE">
        <w:t>influence</w:t>
      </w:r>
      <w:r w:rsidR="0095053F" w:rsidRPr="00A13ACE">
        <w:t>d</w:t>
      </w:r>
      <w:r w:rsidR="00D92BE6" w:rsidRPr="00A13ACE">
        <w:t xml:space="preserve"> by</w:t>
      </w:r>
      <w:r w:rsidR="00E20434" w:rsidRPr="00A13ACE">
        <w:t xml:space="preserve"> Ministers’ </w:t>
      </w:r>
      <w:r w:rsidR="00D92BE6" w:rsidRPr="00A13ACE">
        <w:t>considerations of political risks</w:t>
      </w:r>
      <w:r w:rsidR="00E20434" w:rsidRPr="00A13ACE">
        <w:t xml:space="preserve"> </w:t>
      </w:r>
      <w:r w:rsidR="00D647FF">
        <w:t xml:space="preserve">and </w:t>
      </w:r>
      <w:r w:rsidR="00E20434" w:rsidRPr="00A13ACE">
        <w:t xml:space="preserve">Ministry staff </w:t>
      </w:r>
      <w:r w:rsidR="00442E66" w:rsidRPr="00A13ACE">
        <w:t>prioritising good relationships w</w:t>
      </w:r>
      <w:r w:rsidR="005D327A" w:rsidRPr="00A13ACE">
        <w:t>ith Ministers’ offices</w:t>
      </w:r>
      <w:r w:rsidR="002C5755" w:rsidRPr="00A13ACE">
        <w:t xml:space="preserve"> over compliance with the </w:t>
      </w:r>
      <w:proofErr w:type="spellStart"/>
      <w:r w:rsidR="002C5755" w:rsidRPr="00A13ACE">
        <w:t>OIA</w:t>
      </w:r>
      <w:proofErr w:type="spellEnd"/>
      <w:r w:rsidR="00D92BE6" w:rsidRPr="00A13ACE">
        <w:t>.</w:t>
      </w:r>
      <w:r w:rsidR="00EC784A">
        <w:t xml:space="preserve"> </w:t>
      </w:r>
      <w:r w:rsidR="0041780C">
        <w:t>W</w:t>
      </w:r>
      <w:r w:rsidR="00C72957">
        <w:t>hile</w:t>
      </w:r>
      <w:r w:rsidR="00440C97">
        <w:t xml:space="preserve"> we found no</w:t>
      </w:r>
      <w:r w:rsidR="00865C6D">
        <w:t xml:space="preserve"> specific</w:t>
      </w:r>
      <w:r w:rsidR="00440C97">
        <w:t xml:space="preserve"> evidence of this based on our review of </w:t>
      </w:r>
      <w:r w:rsidR="00021E47">
        <w:t>the Ministry’s</w:t>
      </w:r>
      <w:r w:rsidR="00ED69D5">
        <w:t xml:space="preserve"> sample</w:t>
      </w:r>
      <w:r w:rsidR="00021E47">
        <w:t xml:space="preserve"> </w:t>
      </w:r>
      <w:proofErr w:type="spellStart"/>
      <w:r w:rsidR="00021E47">
        <w:t>OIA</w:t>
      </w:r>
      <w:proofErr w:type="spellEnd"/>
      <w:r w:rsidR="00021E47">
        <w:t xml:space="preserve"> </w:t>
      </w:r>
      <w:r w:rsidR="00440C97">
        <w:t xml:space="preserve">files, </w:t>
      </w:r>
      <w:r w:rsidR="00C72957">
        <w:t>t</w:t>
      </w:r>
      <w:r w:rsidR="00500E83" w:rsidRPr="00500E83">
        <w:t>he perception among some staff that such influence occurs represents a vulnerability</w:t>
      </w:r>
      <w:r w:rsidR="009A1CAC">
        <w:t>.</w:t>
      </w:r>
      <w:r w:rsidR="0013138D">
        <w:t xml:space="preserve"> </w:t>
      </w:r>
    </w:p>
    <w:p w14:paraId="47AB35C2" w14:textId="6250F4E6" w:rsidR="00543A02" w:rsidRDefault="00AF3099" w:rsidP="00097711">
      <w:pPr>
        <w:pStyle w:val="BodyText"/>
      </w:pPr>
      <w:r w:rsidRPr="00DD4183">
        <w:t xml:space="preserve">To help address staff’s perceptions and provide clarity, the Ministry </w:t>
      </w:r>
      <w:r w:rsidR="007E38EC" w:rsidRPr="00DD4183">
        <w:t xml:space="preserve">may wish to </w:t>
      </w:r>
      <w:r w:rsidR="000E74A5" w:rsidRPr="00DD4183">
        <w:t>develop</w:t>
      </w:r>
      <w:r w:rsidRPr="00DD4183">
        <w:t xml:space="preserve"> written agreement</w:t>
      </w:r>
      <w:r w:rsidR="007E38EC" w:rsidRPr="00DD4183">
        <w:t>s</w:t>
      </w:r>
      <w:r w:rsidRPr="00DD4183">
        <w:t xml:space="preserve"> with the Ministers</w:t>
      </w:r>
      <w:r w:rsidR="007E38EC" w:rsidRPr="00DD4183">
        <w:t>’</w:t>
      </w:r>
      <w:r w:rsidRPr="00DD4183">
        <w:t xml:space="preserve"> office</w:t>
      </w:r>
      <w:r w:rsidR="007E38EC" w:rsidRPr="00DD4183">
        <w:t>s</w:t>
      </w:r>
      <w:r w:rsidRPr="00DD4183">
        <w:t xml:space="preserve"> </w:t>
      </w:r>
      <w:r w:rsidR="001E4F84" w:rsidRPr="00DD4183">
        <w:t xml:space="preserve">to </w:t>
      </w:r>
      <w:r w:rsidR="00EC14E6" w:rsidRPr="00DD4183">
        <w:t xml:space="preserve">reinforce mutual understanding that the </w:t>
      </w:r>
      <w:r w:rsidR="002C498A" w:rsidRPr="00DD4183">
        <w:t>Chief Executive (or their delegate</w:t>
      </w:r>
      <w:r w:rsidR="00A417C0" w:rsidRPr="00DD4183">
        <w:t>s</w:t>
      </w:r>
      <w:r w:rsidR="002C498A" w:rsidRPr="00DD4183">
        <w:t xml:space="preserve">) holds the statutory authority for decisions on departmental </w:t>
      </w:r>
      <w:proofErr w:type="spellStart"/>
      <w:r w:rsidR="002C498A" w:rsidRPr="00DD4183">
        <w:t>OIA</w:t>
      </w:r>
      <w:proofErr w:type="spellEnd"/>
      <w:r w:rsidR="002C498A" w:rsidRPr="00DD4183">
        <w:t xml:space="preserve"> requests. </w:t>
      </w:r>
      <w:r w:rsidR="00EC14E6" w:rsidRPr="00DD4183">
        <w:t>To reflect this, the agreement may stipulate the following:</w:t>
      </w:r>
      <w:r w:rsidR="00EC14E6">
        <w:t xml:space="preserve"> </w:t>
      </w:r>
    </w:p>
    <w:p w14:paraId="2BB4D516" w14:textId="2E83E6F5" w:rsidR="00D53A70" w:rsidRPr="008B2AE3" w:rsidRDefault="00803AE7" w:rsidP="00543A02">
      <w:pPr>
        <w:pStyle w:val="Bullet1"/>
      </w:pPr>
      <w:r w:rsidRPr="008B2AE3">
        <w:t>c</w:t>
      </w:r>
      <w:r w:rsidR="00A32ADB" w:rsidRPr="008B2AE3">
        <w:t xml:space="preserve">lear </w:t>
      </w:r>
      <w:r w:rsidR="00543A02" w:rsidRPr="008B2AE3">
        <w:t xml:space="preserve">specific criteria </w:t>
      </w:r>
      <w:r w:rsidR="00A32ADB" w:rsidRPr="008B2AE3">
        <w:t>that determine when a request requires consultation (Minister’s input prior to</w:t>
      </w:r>
      <w:r w:rsidR="00793FBB" w:rsidRPr="008B2AE3">
        <w:t xml:space="preserve"> the Ministry’s </w:t>
      </w:r>
      <w:r w:rsidR="00A32ADB" w:rsidRPr="008B2AE3">
        <w:t>decision</w:t>
      </w:r>
      <w:r w:rsidR="00793FBB" w:rsidRPr="008B2AE3">
        <w:t xml:space="preserve"> on a request</w:t>
      </w:r>
      <w:r w:rsidR="00A32ADB" w:rsidRPr="008B2AE3">
        <w:t xml:space="preserve">) versus notification (an 'FYI' of </w:t>
      </w:r>
      <w:r w:rsidR="008B2AE3">
        <w:t xml:space="preserve">the Ministry’s decision </w:t>
      </w:r>
      <w:r w:rsidR="006D0684" w:rsidRPr="008B2AE3">
        <w:t>in accordance with the ‘no surprises</w:t>
      </w:r>
      <w:r w:rsidR="000449CC" w:rsidRPr="008B2AE3">
        <w:t>’</w:t>
      </w:r>
      <w:r w:rsidR="006D0684" w:rsidRPr="008B2AE3">
        <w:t xml:space="preserve"> principle</w:t>
      </w:r>
      <w:proofErr w:type="gramStart"/>
      <w:r w:rsidR="00A32ADB" w:rsidRPr="008B2AE3">
        <w:t>);</w:t>
      </w:r>
      <w:proofErr w:type="gramEnd"/>
      <w:r w:rsidR="00D53A70" w:rsidRPr="008B2AE3">
        <w:t xml:space="preserve"> </w:t>
      </w:r>
    </w:p>
    <w:p w14:paraId="0783B069" w14:textId="1CB1D763" w:rsidR="00A32ADB" w:rsidRPr="008B2AE3" w:rsidRDefault="00D53A70" w:rsidP="00DC32EF">
      <w:pPr>
        <w:pStyle w:val="Bullet1"/>
      </w:pPr>
      <w:r w:rsidRPr="008B2AE3">
        <w:t xml:space="preserve">timeframes for feedback from the Minister’s office (to help prevent undue delays in </w:t>
      </w:r>
      <w:proofErr w:type="spellStart"/>
      <w:r w:rsidRPr="008B2AE3">
        <w:t>OIA</w:t>
      </w:r>
      <w:proofErr w:type="spellEnd"/>
      <w:r w:rsidRPr="008B2AE3">
        <w:t xml:space="preserve"> processing</w:t>
      </w:r>
      <w:proofErr w:type="gramStart"/>
      <w:r w:rsidRPr="008B2AE3">
        <w:t>);</w:t>
      </w:r>
      <w:proofErr w:type="gramEnd"/>
      <w:r w:rsidRPr="008B2AE3">
        <w:t xml:space="preserve"> </w:t>
      </w:r>
    </w:p>
    <w:p w14:paraId="11F1CB0F" w14:textId="32EA2D02" w:rsidR="007B3E3F" w:rsidRPr="008B2AE3" w:rsidRDefault="00FE0D54" w:rsidP="00283E93">
      <w:pPr>
        <w:pStyle w:val="Bullet1"/>
      </w:pPr>
      <w:r w:rsidRPr="008B2AE3">
        <w:t>use of standardised templates for ministerial interactions</w:t>
      </w:r>
      <w:r w:rsidR="00226E5E" w:rsidRPr="008B2AE3">
        <w:t xml:space="preserve"> </w:t>
      </w:r>
      <w:r w:rsidR="00646F28" w:rsidRPr="008B2AE3">
        <w:t>including</w:t>
      </w:r>
      <w:r w:rsidR="00226E5E" w:rsidRPr="008B2AE3">
        <w:t xml:space="preserve"> </w:t>
      </w:r>
      <w:r w:rsidR="00D33A4B" w:rsidRPr="008B2AE3">
        <w:t>appropriate language for consultations</w:t>
      </w:r>
      <w:r w:rsidR="001B44F4" w:rsidRPr="008B2AE3">
        <w:t xml:space="preserve">, e.g. </w:t>
      </w:r>
      <w:r w:rsidR="00F911B5" w:rsidRPr="008B2AE3">
        <w:t>making it clear that the Ministry is not seeking clearance or approval from a Minister on responses to departmental requests</w:t>
      </w:r>
      <w:r w:rsidR="005F7018" w:rsidRPr="008B2AE3">
        <w:t>;</w:t>
      </w:r>
      <w:r w:rsidR="003D6474" w:rsidRPr="008B2AE3">
        <w:rPr>
          <w:rStyle w:val="FootnoteReference"/>
        </w:rPr>
        <w:footnoteReference w:id="14"/>
      </w:r>
      <w:r w:rsidR="003D6474" w:rsidRPr="008B2AE3">
        <w:t xml:space="preserve"> </w:t>
      </w:r>
      <w:r w:rsidR="0057394B" w:rsidRPr="008B2AE3">
        <w:t>and</w:t>
      </w:r>
    </w:p>
    <w:p w14:paraId="435A7676" w14:textId="6DB8ED8A" w:rsidR="0084161B" w:rsidRPr="008B2AE3" w:rsidRDefault="007B3E3F" w:rsidP="00EE39C4">
      <w:pPr>
        <w:pStyle w:val="Bullet1"/>
      </w:pPr>
      <w:r w:rsidRPr="008B2AE3">
        <w:t>a</w:t>
      </w:r>
      <w:r w:rsidR="00AF3099" w:rsidRPr="008B2AE3">
        <w:t>ll feedback from Ministers</w:t>
      </w:r>
      <w:r w:rsidR="00ED77D7" w:rsidRPr="008B2AE3">
        <w:t>’</w:t>
      </w:r>
      <w:r w:rsidR="00AF3099" w:rsidRPr="008B2AE3">
        <w:t xml:space="preserve"> office</w:t>
      </w:r>
      <w:r w:rsidR="00ED77D7" w:rsidRPr="008B2AE3">
        <w:t>s</w:t>
      </w:r>
      <w:r w:rsidR="00AF3099" w:rsidRPr="008B2AE3">
        <w:t xml:space="preserve"> must be </w:t>
      </w:r>
      <w:r w:rsidR="00AD0ECC" w:rsidRPr="008B2AE3">
        <w:t xml:space="preserve">in writing and kept on the </w:t>
      </w:r>
      <w:proofErr w:type="spellStart"/>
      <w:r w:rsidR="00AD0ECC" w:rsidRPr="008B2AE3">
        <w:t>OIA</w:t>
      </w:r>
      <w:proofErr w:type="spellEnd"/>
      <w:r w:rsidR="00AD0ECC" w:rsidRPr="008B2AE3">
        <w:t xml:space="preserve"> file </w:t>
      </w:r>
      <w:r w:rsidR="00D53A70" w:rsidRPr="008B2AE3">
        <w:t xml:space="preserve">(retaining detailed records will make clear that the Ministry is </w:t>
      </w:r>
      <w:r w:rsidR="00AF3099" w:rsidRPr="008B2AE3">
        <w:t>acting independently</w:t>
      </w:r>
      <w:r w:rsidR="00D53A70" w:rsidRPr="008B2AE3">
        <w:t xml:space="preserve"> in line with its decision-making responsibilities under the </w:t>
      </w:r>
      <w:proofErr w:type="spellStart"/>
      <w:r w:rsidR="00D53A70" w:rsidRPr="008B2AE3">
        <w:t>OIA</w:t>
      </w:r>
      <w:proofErr w:type="spellEnd"/>
      <w:r w:rsidR="00D53A70" w:rsidRPr="008B2AE3">
        <w:t xml:space="preserve">). </w:t>
      </w:r>
    </w:p>
    <w:p w14:paraId="45AAD52D" w14:textId="6A7DC0F7" w:rsidR="00D25D07" w:rsidRPr="008B2AE3" w:rsidRDefault="00D25D07" w:rsidP="00097711">
      <w:pPr>
        <w:pStyle w:val="BodyText"/>
      </w:pPr>
      <w:r w:rsidRPr="008B2AE3">
        <w:t>In developing the agreement, the Ministry may wish to refer to the Ombudsman’s Model protocol</w:t>
      </w:r>
      <w:r w:rsidRPr="008B2AE3">
        <w:rPr>
          <w:rStyle w:val="FootnoteReference"/>
        </w:rPr>
        <w:footnoteReference w:id="15"/>
      </w:r>
      <w:r w:rsidR="00D00DEE" w:rsidRPr="008B2AE3">
        <w:t xml:space="preserve"> and the guide </w:t>
      </w:r>
      <w:r w:rsidR="00D00DEE" w:rsidRPr="008B2AE3">
        <w:rPr>
          <w:i/>
          <w:iCs/>
        </w:rPr>
        <w:t xml:space="preserve">‘Dealing with </w:t>
      </w:r>
      <w:proofErr w:type="spellStart"/>
      <w:r w:rsidR="00D00DEE" w:rsidRPr="008B2AE3">
        <w:rPr>
          <w:i/>
          <w:iCs/>
        </w:rPr>
        <w:t>OIA</w:t>
      </w:r>
      <w:proofErr w:type="spellEnd"/>
      <w:r w:rsidR="00D00DEE" w:rsidRPr="008B2AE3">
        <w:rPr>
          <w:i/>
          <w:iCs/>
        </w:rPr>
        <w:t xml:space="preserve"> requests involving Ministers’</w:t>
      </w:r>
      <w:r w:rsidR="00D00DEE" w:rsidRPr="008B2AE3">
        <w:t>.</w:t>
      </w:r>
      <w:r w:rsidR="00D00DEE" w:rsidRPr="008B2AE3">
        <w:rPr>
          <w:rStyle w:val="FootnoteReference"/>
        </w:rPr>
        <w:footnoteReference w:id="16"/>
      </w:r>
    </w:p>
    <w:p w14:paraId="3F5CFDBF" w14:textId="3684CAAA" w:rsidR="00856FD1" w:rsidRDefault="00856FD1" w:rsidP="00097711">
      <w:pPr>
        <w:pStyle w:val="BodyText"/>
      </w:pPr>
      <w:r w:rsidRPr="008B2AE3">
        <w:t>To ensure the agreement is effective, senior leaders should incorporate its terms into regular staff training</w:t>
      </w:r>
      <w:r w:rsidR="00A417C0" w:rsidRPr="008B2AE3">
        <w:t>,</w:t>
      </w:r>
      <w:r w:rsidRPr="008B2AE3">
        <w:t xml:space="preserve"> guidance </w:t>
      </w:r>
      <w:r w:rsidR="00A417C0" w:rsidRPr="008B2AE3">
        <w:t>and targeted messaging</w:t>
      </w:r>
      <w:r w:rsidR="00447E6A">
        <w:t xml:space="preserve"> to staff</w:t>
      </w:r>
      <w:r w:rsidR="00A417C0" w:rsidRPr="008B2AE3">
        <w:t xml:space="preserve"> </w:t>
      </w:r>
      <w:r w:rsidRPr="008B2AE3">
        <w:t>to build a shared understanding of the</w:t>
      </w:r>
      <w:r w:rsidR="000C5752" w:rsidRPr="008B2AE3">
        <w:t xml:space="preserve"> Ministry’s</w:t>
      </w:r>
      <w:r w:rsidRPr="008B2AE3">
        <w:t xml:space="preserve"> independent decision-making authority and the specific boundaries of ministerial interaction.</w:t>
      </w:r>
    </w:p>
    <w:p w14:paraId="31068461" w14:textId="640DC581" w:rsidR="002A2C44" w:rsidRDefault="002A2C44" w:rsidP="002A2C44">
      <w:pPr>
        <w:pStyle w:val="BodyText"/>
      </w:pPr>
      <w:r>
        <w:t>In its response to my provisional opinion</w:t>
      </w:r>
      <w:r w:rsidR="00B95CA9">
        <w:t>,</w:t>
      </w:r>
      <w:r>
        <w:t xml:space="preserve"> the Ministry </w:t>
      </w:r>
      <w:r w:rsidR="0000694E">
        <w:t>stated</w:t>
      </w:r>
      <w:r>
        <w:t xml:space="preserve"> that it </w:t>
      </w:r>
      <w:r w:rsidR="007666E0">
        <w:t xml:space="preserve">has already started implementing the above suggestions in that it recently agreed with Ministers’ Offices that </w:t>
      </w:r>
      <w:r w:rsidR="007666E0" w:rsidRPr="00CF542A">
        <w:rPr>
          <w:rStyle w:val="Quotationwithinthesentence"/>
        </w:rPr>
        <w:t xml:space="preserve">‘a new process for providing visibility of when departmental </w:t>
      </w:r>
      <w:proofErr w:type="spellStart"/>
      <w:r w:rsidR="007666E0" w:rsidRPr="00CF542A">
        <w:rPr>
          <w:rStyle w:val="Quotationwithinthesentence"/>
        </w:rPr>
        <w:t>OIA</w:t>
      </w:r>
      <w:proofErr w:type="spellEnd"/>
      <w:r w:rsidR="007666E0" w:rsidRPr="00CF542A">
        <w:rPr>
          <w:rStyle w:val="Quotationwithinthesentence"/>
        </w:rPr>
        <w:t xml:space="preserve"> responses requiring consultation and notification will be provided to offices’.</w:t>
      </w:r>
      <w:r w:rsidRPr="002A2C44">
        <w:t xml:space="preserve"> </w:t>
      </w:r>
    </w:p>
    <w:p w14:paraId="4CE1E38D" w14:textId="121EEACE" w:rsidR="002A2C44" w:rsidRDefault="0000694E" w:rsidP="002A2C44">
      <w:pPr>
        <w:pStyle w:val="BodyText"/>
      </w:pPr>
      <w:r>
        <w:t xml:space="preserve">The Ministry also advised that </w:t>
      </w:r>
      <w:r w:rsidR="002A2C44" w:rsidRPr="00CF542A">
        <w:rPr>
          <w:rStyle w:val="Quotationwithinthesentence"/>
        </w:rPr>
        <w:t xml:space="preserve">‘[t]he Manager Ministerial Services will recommend this action point is adopted as the ministerial servicing functions are integrated </w:t>
      </w:r>
      <w:r w:rsidR="00833F32">
        <w:rPr>
          <w:rStyle w:val="Quotationwithinthesentence"/>
        </w:rPr>
        <w:t xml:space="preserve">[in </w:t>
      </w:r>
      <w:proofErr w:type="spellStart"/>
      <w:r w:rsidR="00833F32">
        <w:rPr>
          <w:rStyle w:val="Quotationwithinthesentence"/>
        </w:rPr>
        <w:t>MCERT</w:t>
      </w:r>
      <w:proofErr w:type="spellEnd"/>
      <w:r w:rsidR="00833F32">
        <w:rPr>
          <w:rStyle w:val="Quotationwithinthesentence"/>
        </w:rPr>
        <w:t xml:space="preserve">] </w:t>
      </w:r>
      <w:r w:rsidR="002A2C44" w:rsidRPr="00CF542A">
        <w:rPr>
          <w:rStyle w:val="Quotationwithinthesentence"/>
        </w:rPr>
        <w:t xml:space="preserve">over the coming </w:t>
      </w:r>
      <w:proofErr w:type="gramStart"/>
      <w:r w:rsidR="002A2C44" w:rsidRPr="00CF542A">
        <w:rPr>
          <w:rStyle w:val="Quotationwithinthesentence"/>
        </w:rPr>
        <w:t>months’</w:t>
      </w:r>
      <w:proofErr w:type="gramEnd"/>
      <w:r w:rsidR="002A2C44">
        <w:t>.</w:t>
      </w:r>
    </w:p>
    <w:p w14:paraId="15C0DA5A" w14:textId="4A026124" w:rsidR="001C3B48" w:rsidRDefault="00740DA5" w:rsidP="00097711">
      <w:pPr>
        <w:pStyle w:val="BodyText"/>
      </w:pPr>
      <w:r>
        <w:t xml:space="preserve">We </w:t>
      </w:r>
      <w:r w:rsidR="0000694E">
        <w:t xml:space="preserve">commend the Ministry for the above actions and </w:t>
      </w:r>
      <w:r w:rsidR="001C3B48" w:rsidRPr="001C3B48">
        <w:t xml:space="preserve">look forward to engaging with </w:t>
      </w:r>
      <w:proofErr w:type="spellStart"/>
      <w:r>
        <w:t>MCERT</w:t>
      </w:r>
      <w:proofErr w:type="spellEnd"/>
      <w:r>
        <w:t xml:space="preserve"> </w:t>
      </w:r>
      <w:r w:rsidR="001C3B48" w:rsidRPr="001C3B48">
        <w:t xml:space="preserve">to follow up on its progress in implementing </w:t>
      </w:r>
      <w:r>
        <w:t xml:space="preserve">our suggestions </w:t>
      </w:r>
      <w:r w:rsidR="001C3B48" w:rsidRPr="001C3B48">
        <w:t xml:space="preserve">over the </w:t>
      </w:r>
      <w:r w:rsidR="006559D7">
        <w:t>coming</w:t>
      </w:r>
      <w:r w:rsidR="001C3B48" w:rsidRPr="001C3B48">
        <w:t xml:space="preserve"> year.</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3302C2" w14:paraId="2238F1E4" w14:textId="77777777" w:rsidTr="00725D0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18A8E3D4" w14:textId="77777777" w:rsidR="003302C2" w:rsidRPr="00466268" w:rsidRDefault="003302C2" w:rsidP="00725D0D">
            <w:pPr>
              <w:pStyle w:val="Headingboxtexttop"/>
              <w:rPr>
                <w:color w:val="000000" w:themeColor="text1"/>
              </w:rPr>
            </w:pPr>
            <w:r w:rsidRPr="00466268">
              <w:rPr>
                <w:color w:val="000000" w:themeColor="text1"/>
              </w:rPr>
              <w:t xml:space="preserve">Action point </w:t>
            </w:r>
          </w:p>
        </w:tc>
      </w:tr>
      <w:tr w:rsidR="003302C2" w14:paraId="2B27D94E" w14:textId="77777777" w:rsidTr="00725D0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7DA4824E" w14:textId="434B2C7A" w:rsidR="003302C2" w:rsidRDefault="00A417C0" w:rsidP="00725D0D">
            <w:pPr>
              <w:pStyle w:val="BodyText"/>
            </w:pPr>
            <w:r>
              <w:t xml:space="preserve">Senior leaders should consider </w:t>
            </w:r>
            <w:r w:rsidR="005034C2">
              <w:t>developing</w:t>
            </w:r>
            <w:r>
              <w:t xml:space="preserve"> formal agreement</w:t>
            </w:r>
            <w:r w:rsidR="00E12438">
              <w:t>s</w:t>
            </w:r>
            <w:r>
              <w:t xml:space="preserve"> with </w:t>
            </w:r>
            <w:r w:rsidR="003302C2">
              <w:t xml:space="preserve">Ministers’ offices </w:t>
            </w:r>
            <w:r>
              <w:t xml:space="preserve">on </w:t>
            </w:r>
            <w:r w:rsidR="005034C2">
              <w:t xml:space="preserve">handling </w:t>
            </w:r>
            <w:r w:rsidR="00AD0ECC">
              <w:t xml:space="preserve">departmental </w:t>
            </w:r>
            <w:proofErr w:type="spellStart"/>
            <w:r w:rsidR="003302C2">
              <w:t>OIA</w:t>
            </w:r>
            <w:proofErr w:type="spellEnd"/>
            <w:r w:rsidR="003302C2">
              <w:t xml:space="preserve"> requests</w:t>
            </w:r>
            <w:r w:rsidR="00AD0ECC">
              <w:t>.</w:t>
            </w:r>
          </w:p>
        </w:tc>
      </w:tr>
    </w:tbl>
    <w:p w14:paraId="52CD9820" w14:textId="37E14A91" w:rsidR="00016C5D" w:rsidRPr="00E05C4E" w:rsidRDefault="00863181" w:rsidP="00016C5D">
      <w:pPr>
        <w:pStyle w:val="Heading2"/>
        <w:spacing w:after="240"/>
      </w:pPr>
      <w:bookmarkStart w:id="33" w:name="_Toc239154247"/>
      <w:r>
        <w:t xml:space="preserve">Oversight of </w:t>
      </w:r>
      <w:proofErr w:type="spellStart"/>
      <w:r>
        <w:t>OIA</w:t>
      </w:r>
      <w:proofErr w:type="spellEnd"/>
      <w:r>
        <w:t xml:space="preserve"> compliance and practice</w:t>
      </w:r>
      <w:bookmarkEnd w:id="33"/>
      <w:r>
        <w:t xml:space="preserve"> </w:t>
      </w:r>
    </w:p>
    <w:p w14:paraId="2E847A65" w14:textId="04CBAF3D" w:rsidR="00255492" w:rsidRPr="00F52EC1" w:rsidRDefault="00241278" w:rsidP="00255492">
      <w:pPr>
        <w:pStyle w:val="BodyText"/>
      </w:pPr>
      <w:r w:rsidRPr="00241278">
        <w:t xml:space="preserve">Senior leaders </w:t>
      </w:r>
      <w:r w:rsidR="004F36E7">
        <w:t>should</w:t>
      </w:r>
      <w:r w:rsidRPr="00241278">
        <w:t xml:space="preserve"> demonstrate support for the </w:t>
      </w:r>
      <w:proofErr w:type="spellStart"/>
      <w:r>
        <w:t>OIA</w:t>
      </w:r>
      <w:proofErr w:type="spellEnd"/>
      <w:r w:rsidRPr="00241278">
        <w:t xml:space="preserve"> by providing clear oversight of the agency’s </w:t>
      </w:r>
      <w:proofErr w:type="spellStart"/>
      <w:r w:rsidRPr="00241278">
        <w:t>OIA</w:t>
      </w:r>
      <w:proofErr w:type="spellEnd"/>
      <w:r w:rsidRPr="00241278">
        <w:t xml:space="preserve"> compliance and practices. As the Chief Executive and</w:t>
      </w:r>
      <w:r w:rsidR="00256168">
        <w:t xml:space="preserve"> his</w:t>
      </w:r>
      <w:r w:rsidRPr="00241278">
        <w:t xml:space="preserve"> delegates are legally responsible for </w:t>
      </w:r>
      <w:proofErr w:type="spellStart"/>
      <w:r w:rsidRPr="00241278">
        <w:t>OIA</w:t>
      </w:r>
      <w:proofErr w:type="spellEnd"/>
      <w:r w:rsidRPr="00241278">
        <w:t xml:space="preserve"> decisions, senior leadership is accountable for ensuring </w:t>
      </w:r>
      <w:proofErr w:type="spellStart"/>
      <w:r>
        <w:t>OIA</w:t>
      </w:r>
      <w:proofErr w:type="spellEnd"/>
      <w:r>
        <w:t xml:space="preserve"> practices </w:t>
      </w:r>
      <w:r w:rsidRPr="00241278">
        <w:t xml:space="preserve">are lawful and align with </w:t>
      </w:r>
      <w:r w:rsidR="0054303E">
        <w:t>good</w:t>
      </w:r>
      <w:r w:rsidRPr="00241278">
        <w:t xml:space="preserve"> practice. This stewardship requires active monitoring of the </w:t>
      </w:r>
      <w:proofErr w:type="spellStart"/>
      <w:r w:rsidRPr="00241278">
        <w:t>OIA</w:t>
      </w:r>
      <w:proofErr w:type="spellEnd"/>
      <w:r w:rsidRPr="00241278">
        <w:t xml:space="preserve"> system to address any risks to statutory compliance.</w:t>
      </w:r>
      <w:r w:rsidR="00255492">
        <w:t xml:space="preserve"> In addition, the emphasis given by senior leaders to building and maintaining the resources, policies and training required to service a well-functioning </w:t>
      </w:r>
      <w:proofErr w:type="spellStart"/>
      <w:r w:rsidR="00255492">
        <w:t>OIA</w:t>
      </w:r>
      <w:proofErr w:type="spellEnd"/>
      <w:r w:rsidR="00255492">
        <w:t xml:space="preserve"> system is a signal to staff about the importance they place on the </w:t>
      </w:r>
      <w:proofErr w:type="spellStart"/>
      <w:r w:rsidR="00255492">
        <w:t>OIA</w:t>
      </w:r>
      <w:proofErr w:type="spellEnd"/>
      <w:r w:rsidR="00255492">
        <w:t>.</w:t>
      </w:r>
    </w:p>
    <w:p w14:paraId="075CA750" w14:textId="1B17F46F" w:rsidR="00B14541" w:rsidRPr="00636B14" w:rsidRDefault="00B14541" w:rsidP="00AB5975">
      <w:pPr>
        <w:pStyle w:val="Heading3"/>
      </w:pPr>
      <w:bookmarkStart w:id="34" w:name="_Communicating_decisions_on"/>
      <w:bookmarkStart w:id="35" w:name="_Toc239154248"/>
      <w:bookmarkEnd w:id="34"/>
      <w:r w:rsidRPr="00636B14">
        <w:t xml:space="preserve">Communicating decisions on </w:t>
      </w:r>
      <w:proofErr w:type="spellStart"/>
      <w:r w:rsidRPr="00636B14">
        <w:t>OIA</w:t>
      </w:r>
      <w:proofErr w:type="spellEnd"/>
      <w:r w:rsidRPr="00636B14">
        <w:t xml:space="preserve"> requests</w:t>
      </w:r>
      <w:bookmarkEnd w:id="35"/>
    </w:p>
    <w:p w14:paraId="4EC39498" w14:textId="1CB94A29" w:rsidR="00E5190E" w:rsidRDefault="001043E6" w:rsidP="00097711">
      <w:pPr>
        <w:pStyle w:val="BodyText"/>
      </w:pPr>
      <w:r w:rsidRPr="00E5190E">
        <w:t xml:space="preserve">When making decisions on </w:t>
      </w:r>
      <w:proofErr w:type="spellStart"/>
      <w:r w:rsidRPr="00E5190E">
        <w:t>OIA</w:t>
      </w:r>
      <w:proofErr w:type="spellEnd"/>
      <w:r w:rsidRPr="00E5190E">
        <w:t xml:space="preserve"> requests, senior leaders </w:t>
      </w:r>
      <w:r w:rsidR="00F56725" w:rsidRPr="00E5190E">
        <w:t xml:space="preserve">must ensure that </w:t>
      </w:r>
      <w:r w:rsidR="00805733" w:rsidRPr="00E5190E">
        <w:t xml:space="preserve">the agency does not communicate its final decision until </w:t>
      </w:r>
      <w:r w:rsidR="00E5190E" w:rsidRPr="00E5190E">
        <w:t xml:space="preserve">it has reviewed all information within scope, identified any material to be withheld </w:t>
      </w:r>
      <w:r w:rsidR="00E5190E">
        <w:t xml:space="preserve">under the </w:t>
      </w:r>
      <w:proofErr w:type="spellStart"/>
      <w:r w:rsidR="00E5190E">
        <w:t>OIA</w:t>
      </w:r>
      <w:proofErr w:type="spellEnd"/>
      <w:r w:rsidR="00E5190E" w:rsidRPr="00E5190E">
        <w:t>, and completed all required consultations or approvals.</w:t>
      </w:r>
      <w:r w:rsidR="00DB7A93">
        <w:rPr>
          <w:rStyle w:val="FootnoteReference"/>
        </w:rPr>
        <w:footnoteReference w:id="17"/>
      </w:r>
    </w:p>
    <w:p w14:paraId="5276B7C7" w14:textId="6D0C6230" w:rsidR="00777A9D" w:rsidRPr="0054303E" w:rsidRDefault="00C733DD" w:rsidP="00097711">
      <w:pPr>
        <w:pStyle w:val="BodyText"/>
      </w:pPr>
      <w:r>
        <w:t>Our</w:t>
      </w:r>
      <w:r w:rsidR="00F56725">
        <w:t xml:space="preserve"> review of the Ministry’s sample </w:t>
      </w:r>
      <w:proofErr w:type="spellStart"/>
      <w:r w:rsidR="00F56725">
        <w:t>OIA</w:t>
      </w:r>
      <w:proofErr w:type="spellEnd"/>
      <w:r w:rsidR="00F56725">
        <w:t xml:space="preserve"> files</w:t>
      </w:r>
      <w:r w:rsidR="004C3D50">
        <w:t xml:space="preserve"> identified </w:t>
      </w:r>
      <w:r w:rsidR="00777A9D">
        <w:t xml:space="preserve">one instance </w:t>
      </w:r>
      <w:r w:rsidR="00DB46FC">
        <w:t xml:space="preserve">suggesting that </w:t>
      </w:r>
      <w:r w:rsidR="004C3D50">
        <w:t xml:space="preserve">the Ministry </w:t>
      </w:r>
      <w:r w:rsidR="004C3D50" w:rsidRPr="004C3D50">
        <w:t xml:space="preserve">communicated </w:t>
      </w:r>
      <w:r w:rsidR="004C3D50">
        <w:t xml:space="preserve">its decision on an </w:t>
      </w:r>
      <w:proofErr w:type="spellStart"/>
      <w:r w:rsidR="004C3D50">
        <w:t>OIA</w:t>
      </w:r>
      <w:proofErr w:type="spellEnd"/>
      <w:r w:rsidR="004C3D50">
        <w:t xml:space="preserve"> request </w:t>
      </w:r>
      <w:r w:rsidR="004C3D50" w:rsidRPr="004C3D50">
        <w:t xml:space="preserve">before all necessary consultations were </w:t>
      </w:r>
      <w:r w:rsidR="004C3D50">
        <w:t>completed</w:t>
      </w:r>
      <w:r w:rsidR="00777A9D" w:rsidRPr="00777A9D">
        <w:t>.</w:t>
      </w:r>
      <w:r w:rsidR="00EC784A">
        <w:t xml:space="preserve"> </w:t>
      </w:r>
      <w:r w:rsidR="00B15873">
        <w:t xml:space="preserve">While </w:t>
      </w:r>
      <w:r w:rsidR="00DB46FC">
        <w:t xml:space="preserve">one occurrence is not indicative of a systemic issue, it </w:t>
      </w:r>
      <w:r w:rsidR="00311620">
        <w:t>may</w:t>
      </w:r>
      <w:r w:rsidR="00DB46FC">
        <w:t xml:space="preserve"> </w:t>
      </w:r>
      <w:r w:rsidR="00311620">
        <w:t>point to</w:t>
      </w:r>
      <w:r w:rsidR="00DB46FC">
        <w:t xml:space="preserve"> an area of </w:t>
      </w:r>
      <w:r w:rsidR="006A660F">
        <w:t>potential vulnerability</w:t>
      </w:r>
      <w:r w:rsidR="00132578" w:rsidRPr="00132578">
        <w:t>.</w:t>
      </w:r>
    </w:p>
    <w:p w14:paraId="7DB11733" w14:textId="26300BCC" w:rsidR="009B0E9D" w:rsidRPr="0054303E" w:rsidRDefault="009433BD" w:rsidP="00097711">
      <w:pPr>
        <w:pStyle w:val="BodyText"/>
      </w:pPr>
      <w:r w:rsidRPr="00C8609F">
        <w:t>To address this, s</w:t>
      </w:r>
      <w:r w:rsidR="00035FE0" w:rsidRPr="00C8609F">
        <w:t xml:space="preserve">enior leaders </w:t>
      </w:r>
      <w:r w:rsidR="00412281" w:rsidRPr="00C8609F">
        <w:t xml:space="preserve">and </w:t>
      </w:r>
      <w:proofErr w:type="spellStart"/>
      <w:r w:rsidR="00412281" w:rsidRPr="00C8609F">
        <w:t>OIA</w:t>
      </w:r>
      <w:proofErr w:type="spellEnd"/>
      <w:r w:rsidR="00412281" w:rsidRPr="00C8609F">
        <w:t xml:space="preserve"> guidance </w:t>
      </w:r>
      <w:r w:rsidR="00DD7232" w:rsidRPr="00C8609F">
        <w:t xml:space="preserve">should </w:t>
      </w:r>
      <w:r w:rsidR="00A73A9E" w:rsidRPr="00C8609F">
        <w:t xml:space="preserve">reinforce </w:t>
      </w:r>
      <w:r w:rsidR="00682B62" w:rsidRPr="00C8609F">
        <w:t xml:space="preserve">that </w:t>
      </w:r>
      <w:proofErr w:type="spellStart"/>
      <w:r w:rsidR="00682B62" w:rsidRPr="00C8609F">
        <w:t>OIA</w:t>
      </w:r>
      <w:proofErr w:type="spellEnd"/>
      <w:r w:rsidR="00682B62" w:rsidRPr="00C8609F">
        <w:t xml:space="preserve"> decisions </w:t>
      </w:r>
      <w:r w:rsidR="00412281" w:rsidRPr="00C8609F">
        <w:t xml:space="preserve">may </w:t>
      </w:r>
      <w:r w:rsidR="00682B62" w:rsidRPr="00C8609F">
        <w:t xml:space="preserve">only </w:t>
      </w:r>
      <w:r w:rsidR="00412281" w:rsidRPr="00C8609F">
        <w:t xml:space="preserve">be </w:t>
      </w:r>
      <w:r w:rsidR="00682B62" w:rsidRPr="00C8609F">
        <w:t>communicated to a requester</w:t>
      </w:r>
      <w:r w:rsidR="00682B62" w:rsidRPr="00C8609F">
        <w:rPr>
          <w:rStyle w:val="FootnoteReference"/>
        </w:rPr>
        <w:footnoteReference w:id="18"/>
      </w:r>
      <w:r w:rsidR="00682B62" w:rsidRPr="00C8609F">
        <w:t xml:space="preserve"> once </w:t>
      </w:r>
      <w:r w:rsidR="00291FC8" w:rsidRPr="00C8609F">
        <w:t>all information within the scope of a request has been reviewed and a decision made by an authorised decision maker</w:t>
      </w:r>
      <w:r w:rsidR="003F2AC0" w:rsidRPr="00C8609F">
        <w:t>.</w:t>
      </w:r>
      <w:r w:rsidR="005416EE" w:rsidRPr="00C8609F">
        <w:t xml:space="preserve"> </w:t>
      </w:r>
      <w:r w:rsidR="00552E4E" w:rsidRPr="00C8609F">
        <w:t xml:space="preserve">Rather than communicating a ‘provisional’ decision, the </w:t>
      </w:r>
      <w:r w:rsidR="002E775B" w:rsidRPr="00C8609F">
        <w:t>Ministry</w:t>
      </w:r>
      <w:r w:rsidR="00552E4E" w:rsidRPr="00C8609F">
        <w:t xml:space="preserve"> should </w:t>
      </w:r>
      <w:r w:rsidR="00291FC8" w:rsidRPr="00C8609F">
        <w:t>either extend the time limit of the request</w:t>
      </w:r>
      <w:r w:rsidR="00FB2D2D">
        <w:t xml:space="preserve"> (</w:t>
      </w:r>
      <w:r w:rsidR="00552E4E" w:rsidRPr="00C8609F">
        <w:t xml:space="preserve">where the legal criteria </w:t>
      </w:r>
      <w:r w:rsidR="00C8609F" w:rsidRPr="00C8609F">
        <w:t>for an extension</w:t>
      </w:r>
      <w:r w:rsidR="00552E4E" w:rsidRPr="00C8609F">
        <w:rPr>
          <w:rStyle w:val="FootnoteReference"/>
        </w:rPr>
        <w:footnoteReference w:id="19"/>
      </w:r>
      <w:r w:rsidR="005B2514" w:rsidRPr="00C8609F">
        <w:t xml:space="preserve"> </w:t>
      </w:r>
      <w:r w:rsidR="00552E4E" w:rsidRPr="00C8609F">
        <w:t xml:space="preserve">are </w:t>
      </w:r>
      <w:r w:rsidR="009560E1" w:rsidRPr="00C8609F">
        <w:t>met</w:t>
      </w:r>
      <w:r w:rsidR="00AA5178">
        <w:t>) or</w:t>
      </w:r>
      <w:r w:rsidR="00552E4E" w:rsidRPr="00C8609F">
        <w:t xml:space="preserve"> report the response as delayed. This approach ensures the </w:t>
      </w:r>
      <w:r w:rsidR="004000E2" w:rsidRPr="00C8609F">
        <w:t>Ministry</w:t>
      </w:r>
      <w:r w:rsidR="008646AE" w:rsidRPr="00C8609F">
        <w:t>’s practice aligns with the</w:t>
      </w:r>
      <w:r w:rsidR="00C8609F">
        <w:t xml:space="preserve"> </w:t>
      </w:r>
      <w:proofErr w:type="spellStart"/>
      <w:r w:rsidR="005B2514" w:rsidRPr="00C8609F">
        <w:t>OIA</w:t>
      </w:r>
      <w:proofErr w:type="spellEnd"/>
      <w:r w:rsidR="00552E4E" w:rsidRPr="00C8609F">
        <w:t xml:space="preserve"> and that its </w:t>
      </w:r>
      <w:proofErr w:type="spellStart"/>
      <w:r w:rsidR="00552E4E" w:rsidRPr="00C8609F">
        <w:t>OIA</w:t>
      </w:r>
      <w:proofErr w:type="spellEnd"/>
      <w:r w:rsidR="00552E4E" w:rsidRPr="00C8609F">
        <w:t xml:space="preserve"> reporting </w:t>
      </w:r>
      <w:r w:rsidR="00E10942" w:rsidRPr="00C8609F">
        <w:t xml:space="preserve">(discussed in </w:t>
      </w:r>
      <w:hyperlink w:anchor="_PSC_reporting" w:history="1">
        <w:r w:rsidR="00E10942" w:rsidRPr="00C8609F">
          <w:rPr>
            <w:rStyle w:val="Hyperlink"/>
            <w:i/>
            <w:iCs/>
          </w:rPr>
          <w:t>‘PSC reporting’</w:t>
        </w:r>
      </w:hyperlink>
      <w:r w:rsidR="00E10942" w:rsidRPr="00C8609F">
        <w:t>)</w:t>
      </w:r>
      <w:r w:rsidR="00AF2169" w:rsidRPr="00C8609F">
        <w:t xml:space="preserve"> accurately captures </w:t>
      </w:r>
      <w:r w:rsidR="006A27DA" w:rsidRPr="00C8609F">
        <w:t xml:space="preserve">both valid </w:t>
      </w:r>
      <w:r w:rsidR="00552E4E" w:rsidRPr="00C8609F">
        <w:t>extensions</w:t>
      </w:r>
      <w:r w:rsidR="00351F96">
        <w:t xml:space="preserve"> (which for reporting purposes are counted as ‘on time’)</w:t>
      </w:r>
      <w:r w:rsidR="00552E4E" w:rsidRPr="00C8609F">
        <w:t xml:space="preserve"> and </w:t>
      </w:r>
      <w:r w:rsidR="00E866CC" w:rsidRPr="00C8609F">
        <w:t>instances where responses are delayed</w:t>
      </w:r>
      <w:r w:rsidR="001C72C4" w:rsidRPr="00C8609F">
        <w:t>.</w:t>
      </w:r>
    </w:p>
    <w:p w14:paraId="116743D0" w14:textId="1E7E75C9" w:rsidR="007959B0" w:rsidRDefault="00FD1CC2" w:rsidP="00097711">
      <w:pPr>
        <w:pStyle w:val="BodyText"/>
      </w:pPr>
      <w:bookmarkStart w:id="36" w:name="_Hlk226623749"/>
      <w:bookmarkStart w:id="37" w:name="_Hlk226788768"/>
      <w:r w:rsidRPr="0054303E">
        <w:t xml:space="preserve">The Ministry’s </w:t>
      </w:r>
      <w:proofErr w:type="spellStart"/>
      <w:r w:rsidRPr="0054303E">
        <w:t>OIA</w:t>
      </w:r>
      <w:proofErr w:type="spellEnd"/>
      <w:r w:rsidRPr="0054303E">
        <w:t xml:space="preserve"> </w:t>
      </w:r>
      <w:r w:rsidR="00D255A2" w:rsidRPr="0054303E">
        <w:t xml:space="preserve">guidance and processes (including templates) </w:t>
      </w:r>
      <w:r w:rsidRPr="0054303E">
        <w:t xml:space="preserve">should be </w:t>
      </w:r>
      <w:r w:rsidR="00523621" w:rsidRPr="0054303E">
        <w:t xml:space="preserve">reviewed </w:t>
      </w:r>
      <w:r w:rsidR="00244A72">
        <w:t>to ensure alignment with</w:t>
      </w:r>
      <w:r w:rsidRPr="0054303E">
        <w:t xml:space="preserve"> the above suggestions.</w:t>
      </w:r>
      <w:bookmarkEnd w:id="36"/>
      <w:r>
        <w:t xml:space="preserve"> </w:t>
      </w:r>
      <w:r w:rsidR="009512F7">
        <w:t xml:space="preserve">Any updates should also be reflected in </w:t>
      </w:r>
      <w:proofErr w:type="spellStart"/>
      <w:r w:rsidR="009512F7">
        <w:t>OIA</w:t>
      </w:r>
      <w:proofErr w:type="spellEnd"/>
      <w:r w:rsidR="009512F7">
        <w:t xml:space="preserve"> training.</w:t>
      </w:r>
    </w:p>
    <w:p w14:paraId="27647D12" w14:textId="45CEC3F8" w:rsidR="007B62A9" w:rsidRDefault="00A823DD" w:rsidP="0071514A">
      <w:pPr>
        <w:pStyle w:val="BodyText"/>
      </w:pPr>
      <w:bookmarkStart w:id="38" w:name="_Hlk232320043"/>
      <w:r w:rsidRPr="00A823DD">
        <w:t>I am pleased that</w:t>
      </w:r>
      <w:r w:rsidR="009946EA">
        <w:t>,</w:t>
      </w:r>
      <w:r w:rsidRPr="00A823DD">
        <w:t xml:space="preserve"> in response to my provisional opinion, the Ministry has advised it will amend its </w:t>
      </w:r>
      <w:proofErr w:type="spellStart"/>
      <w:r w:rsidRPr="00A823DD">
        <w:t>OIA</w:t>
      </w:r>
      <w:proofErr w:type="spellEnd"/>
      <w:r w:rsidRPr="00A823DD">
        <w:t xml:space="preserve"> template memo and communicate these changes to staff. Furthermore, the Ministry will recommend that these updated practices continue to be embedded across </w:t>
      </w:r>
      <w:proofErr w:type="spellStart"/>
      <w:r>
        <w:t>MCERT</w:t>
      </w:r>
      <w:proofErr w:type="spellEnd"/>
      <w:r w:rsidRPr="00A823DD">
        <w:t>.</w:t>
      </w:r>
      <w:bookmarkEnd w:id="38"/>
    </w:p>
    <w:p w14:paraId="17F4A67B" w14:textId="0A27C285" w:rsidR="00016C5D" w:rsidRPr="005C2532" w:rsidRDefault="00380345" w:rsidP="00016C5D">
      <w:pPr>
        <w:pStyle w:val="Heading3"/>
      </w:pPr>
      <w:bookmarkStart w:id="39" w:name="_Ensuring_transparency_in"/>
      <w:bookmarkStart w:id="40" w:name="_Toc239154249"/>
      <w:bookmarkEnd w:id="37"/>
      <w:bookmarkEnd w:id="39"/>
      <w:r w:rsidRPr="005C2532">
        <w:t xml:space="preserve">Ensuring transparency in </w:t>
      </w:r>
      <w:proofErr w:type="spellStart"/>
      <w:r w:rsidRPr="005C2532">
        <w:t>OIA</w:t>
      </w:r>
      <w:proofErr w:type="spellEnd"/>
      <w:r w:rsidRPr="005C2532">
        <w:t xml:space="preserve"> decision-making</w:t>
      </w:r>
      <w:bookmarkEnd w:id="40"/>
    </w:p>
    <w:p w14:paraId="0E5716AC" w14:textId="77777777" w:rsidR="005D4AF3" w:rsidRDefault="003A7F11" w:rsidP="00097711">
      <w:pPr>
        <w:pStyle w:val="BodyText"/>
      </w:pPr>
      <w:bookmarkStart w:id="41" w:name="_Hlk224306841"/>
      <w:bookmarkStart w:id="42" w:name="_Hlk224305020"/>
      <w:r w:rsidRPr="005C2532">
        <w:t xml:space="preserve">To </w:t>
      </w:r>
      <w:r w:rsidR="00377A38" w:rsidRPr="005C2532">
        <w:t>protect</w:t>
      </w:r>
      <w:r w:rsidRPr="005C2532">
        <w:t xml:space="preserve"> the integrity of </w:t>
      </w:r>
      <w:r w:rsidR="00377A38" w:rsidRPr="005C2532">
        <w:t xml:space="preserve">the Ministry’s decisions on </w:t>
      </w:r>
      <w:proofErr w:type="spellStart"/>
      <w:r w:rsidRPr="005C2532">
        <w:t>OIA</w:t>
      </w:r>
      <w:proofErr w:type="spellEnd"/>
      <w:r w:rsidRPr="005C2532">
        <w:t xml:space="preserve"> </w:t>
      </w:r>
      <w:r w:rsidR="00377A38" w:rsidRPr="005C2532">
        <w:t>requests</w:t>
      </w:r>
      <w:r w:rsidRPr="005C2532">
        <w:t xml:space="preserve">, senior leaders should champion </w:t>
      </w:r>
      <w:r w:rsidR="00636B14" w:rsidRPr="005C2532">
        <w:t>a culture of comprehensive record-keeping</w:t>
      </w:r>
      <w:r w:rsidR="00567E23" w:rsidRPr="005C2532">
        <w:t xml:space="preserve"> and embed it</w:t>
      </w:r>
      <w:r w:rsidR="00636B14" w:rsidRPr="005C2532">
        <w:t xml:space="preserve"> </w:t>
      </w:r>
      <w:r w:rsidR="003F2AC0" w:rsidRPr="005C2532">
        <w:t xml:space="preserve">within </w:t>
      </w:r>
      <w:proofErr w:type="spellStart"/>
      <w:r w:rsidR="003F2AC0" w:rsidRPr="005C2532">
        <w:t>OIA</w:t>
      </w:r>
      <w:proofErr w:type="spellEnd"/>
      <w:r w:rsidR="003F2AC0" w:rsidRPr="005C2532">
        <w:t xml:space="preserve"> guidance, ensuring </w:t>
      </w:r>
      <w:r w:rsidR="00895DA4" w:rsidRPr="005C2532">
        <w:t xml:space="preserve">that </w:t>
      </w:r>
      <w:r w:rsidRPr="005C2532">
        <w:t xml:space="preserve">the agency maintains a </w:t>
      </w:r>
      <w:r w:rsidR="00636B14" w:rsidRPr="005C2532">
        <w:t xml:space="preserve">full audit trail of the </w:t>
      </w:r>
      <w:proofErr w:type="spellStart"/>
      <w:r w:rsidRPr="005C2532">
        <w:t>OIA</w:t>
      </w:r>
      <w:proofErr w:type="spellEnd"/>
      <w:r w:rsidRPr="005C2532">
        <w:t xml:space="preserve"> </w:t>
      </w:r>
      <w:r w:rsidR="00636B14" w:rsidRPr="005C2532">
        <w:t>decision-making process</w:t>
      </w:r>
      <w:r w:rsidRPr="005C2532">
        <w:t>.</w:t>
      </w:r>
      <w:r w:rsidR="00377A38" w:rsidRPr="005C2532">
        <w:t xml:space="preserve"> This includes </w:t>
      </w:r>
      <w:r w:rsidR="00636B14" w:rsidRPr="005C2532">
        <w:t xml:space="preserve">documenting the detailed grounds behind any refusal or withholding of information, rather than just reciting statutory clauses. </w:t>
      </w:r>
      <w:r w:rsidR="00380345" w:rsidRPr="005C2532">
        <w:t xml:space="preserve"> </w:t>
      </w:r>
    </w:p>
    <w:p w14:paraId="615D8A49" w14:textId="32B4C262" w:rsidR="00380345" w:rsidRPr="009560E1" w:rsidRDefault="00380345" w:rsidP="00097711">
      <w:pPr>
        <w:pStyle w:val="BodyText"/>
        <w:rPr>
          <w:rStyle w:val="Italics"/>
          <w:i w:val="0"/>
          <w:iCs/>
        </w:rPr>
      </w:pPr>
      <w:r w:rsidRPr="005C2532">
        <w:t xml:space="preserve">The evidentiary basis for all decisions should be appropriately recorded, including </w:t>
      </w:r>
      <w:r w:rsidR="00AC1926" w:rsidRPr="005C2532">
        <w:t xml:space="preserve">all </w:t>
      </w:r>
      <w:r w:rsidRPr="005C2532">
        <w:t>substantive internal discussions</w:t>
      </w:r>
      <w:r w:rsidR="00AC1926" w:rsidRPr="005C2532">
        <w:t>.</w:t>
      </w:r>
      <w:r w:rsidR="001332F9">
        <w:t xml:space="preserve"> This information helps staff locate similar, previous requests to ensure consistency in decision</w:t>
      </w:r>
      <w:r w:rsidR="005D4AF3">
        <w:t>-</w:t>
      </w:r>
      <w:r w:rsidR="001332F9">
        <w:t>making or justified departures from any past responses.</w:t>
      </w:r>
      <w:r w:rsidR="00EC046D">
        <w:t xml:space="preserve"> It also helps the public understand why decisions have been made. If a complaint is made to our </w:t>
      </w:r>
      <w:r w:rsidR="005D4AF3">
        <w:t>O</w:t>
      </w:r>
      <w:r w:rsidR="00EC046D">
        <w:t xml:space="preserve">ffice, the agency can more readily explain why it came to the decision </w:t>
      </w:r>
      <w:r w:rsidR="00EC046D" w:rsidRPr="009560E1">
        <w:rPr>
          <w:i/>
          <w:iCs/>
        </w:rPr>
        <w:t>at the time it was made</w:t>
      </w:r>
      <w:r w:rsidR="005D4AF3">
        <w:rPr>
          <w:i/>
          <w:iCs/>
        </w:rPr>
        <w:t>,</w:t>
      </w:r>
      <w:r w:rsidR="00D43D38">
        <w:rPr>
          <w:rStyle w:val="Italics"/>
        </w:rPr>
        <w:t xml:space="preserve"> </w:t>
      </w:r>
      <w:r w:rsidR="00D43D38" w:rsidRPr="009560E1">
        <w:rPr>
          <w:rStyle w:val="Italics"/>
          <w:i w:val="0"/>
          <w:iCs/>
        </w:rPr>
        <w:t>which may expedite resolution of the complaint.</w:t>
      </w:r>
    </w:p>
    <w:p w14:paraId="3D33196C" w14:textId="739E8E9A" w:rsidR="00E97F2D" w:rsidRDefault="002D271B" w:rsidP="00097711">
      <w:pPr>
        <w:pStyle w:val="BodyText"/>
      </w:pPr>
      <w:r>
        <w:t>It is positive that o</w:t>
      </w:r>
      <w:r w:rsidR="008E661C" w:rsidRPr="005C2532">
        <w:t>ur r</w:t>
      </w:r>
      <w:r w:rsidR="004C0FA8" w:rsidRPr="005C2532">
        <w:t xml:space="preserve">eview of the Ministry’s sample </w:t>
      </w:r>
      <w:proofErr w:type="spellStart"/>
      <w:r w:rsidR="004C0FA8" w:rsidRPr="005C2532">
        <w:t>OIA</w:t>
      </w:r>
      <w:proofErr w:type="spellEnd"/>
      <w:r w:rsidR="004C0FA8" w:rsidRPr="005C2532">
        <w:t xml:space="preserve"> files</w:t>
      </w:r>
      <w:r w:rsidR="00244A72" w:rsidRPr="005C2532">
        <w:t xml:space="preserve"> shows </w:t>
      </w:r>
      <w:r w:rsidR="004C0FA8" w:rsidRPr="005C2532">
        <w:t xml:space="preserve">that the decision-making process is consistently documented via a template memo. </w:t>
      </w:r>
      <w:r w:rsidR="007709EA" w:rsidRPr="005C2532">
        <w:t xml:space="preserve">This document records the background of the request, identifies the internal and external parties consulted, and outlines the statutory sections of the </w:t>
      </w:r>
      <w:proofErr w:type="spellStart"/>
      <w:r w:rsidR="007709EA" w:rsidRPr="005C2532">
        <w:t>OIA</w:t>
      </w:r>
      <w:proofErr w:type="spellEnd"/>
      <w:r w:rsidR="007709EA" w:rsidRPr="005C2532">
        <w:t xml:space="preserve"> used as the reasons for refusing or withholding information.</w:t>
      </w:r>
      <w:r w:rsidR="00E97F2D">
        <w:t xml:space="preserve"> </w:t>
      </w:r>
    </w:p>
    <w:p w14:paraId="443A7C96" w14:textId="43F62E3C" w:rsidR="00254B8C" w:rsidRPr="00BC175D" w:rsidRDefault="009E0A76" w:rsidP="00097711">
      <w:pPr>
        <w:pStyle w:val="BodyText"/>
      </w:pPr>
      <w:r w:rsidRPr="00254B8C">
        <w:t>However,</w:t>
      </w:r>
      <w:r w:rsidR="00254B8C" w:rsidRPr="00254B8C">
        <w:t xml:space="preserve"> while these memos cite the relevant sections, they often lack the underlying reasoning or specific grounds for their application.</w:t>
      </w:r>
      <w:r>
        <w:t xml:space="preserve"> </w:t>
      </w:r>
    </w:p>
    <w:p w14:paraId="69E79780" w14:textId="0BFBD9ED" w:rsidR="00EE6BBF" w:rsidRPr="005C2532" w:rsidRDefault="00FE51CC" w:rsidP="00097711">
      <w:pPr>
        <w:pStyle w:val="BodyText"/>
      </w:pPr>
      <w:r w:rsidRPr="00BC175D">
        <w:t xml:space="preserve">Therefore, </w:t>
      </w:r>
      <w:r w:rsidR="00606578" w:rsidRPr="00BC175D">
        <w:t xml:space="preserve">to </w:t>
      </w:r>
      <w:r w:rsidR="00D146FE" w:rsidRPr="00BC175D">
        <w:t>safeguard</w:t>
      </w:r>
      <w:r w:rsidR="00606578" w:rsidRPr="00BC175D">
        <w:t xml:space="preserve"> future </w:t>
      </w:r>
      <w:proofErr w:type="spellStart"/>
      <w:r w:rsidR="00632483" w:rsidRPr="00BC175D">
        <w:t>OIA</w:t>
      </w:r>
      <w:proofErr w:type="spellEnd"/>
      <w:r w:rsidR="00632483" w:rsidRPr="00BC175D">
        <w:t xml:space="preserve"> </w:t>
      </w:r>
      <w:r w:rsidR="00606578" w:rsidRPr="00BC175D">
        <w:t xml:space="preserve">compliance </w:t>
      </w:r>
      <w:r w:rsidR="00632483" w:rsidRPr="00BC175D">
        <w:t xml:space="preserve">and enhance </w:t>
      </w:r>
      <w:r w:rsidR="00D32E1C" w:rsidRPr="00BC175D">
        <w:t>transparen</w:t>
      </w:r>
      <w:r w:rsidR="00632483" w:rsidRPr="00BC175D">
        <w:t xml:space="preserve">t </w:t>
      </w:r>
      <w:r w:rsidR="00D32E1C" w:rsidRPr="00BC175D">
        <w:t>decision-making</w:t>
      </w:r>
      <w:r w:rsidR="00606578" w:rsidRPr="00BC175D">
        <w:t xml:space="preserve">, </w:t>
      </w:r>
      <w:r w:rsidR="00D146FE" w:rsidRPr="00BC175D">
        <w:t>s</w:t>
      </w:r>
      <w:r w:rsidR="00D32E1C" w:rsidRPr="00BC175D">
        <w:t xml:space="preserve">enior leaders should ensure that </w:t>
      </w:r>
      <w:r w:rsidR="00617E98" w:rsidRPr="00BC175D">
        <w:t xml:space="preserve">full </w:t>
      </w:r>
      <w:r w:rsidR="006A28B6" w:rsidRPr="00BC175D">
        <w:t>records are kept of the Ministry’s reasoning and grounds when refusing requests</w:t>
      </w:r>
      <w:r w:rsidR="006A28B6" w:rsidRPr="005C2532">
        <w:rPr>
          <w:rStyle w:val="FootnoteReference"/>
        </w:rPr>
        <w:footnoteReference w:id="20"/>
      </w:r>
      <w:r w:rsidR="006A28B6" w:rsidRPr="005C2532">
        <w:t xml:space="preserve"> or withholding information.</w:t>
      </w:r>
      <w:r w:rsidR="006A28B6" w:rsidRPr="005C2532">
        <w:rPr>
          <w:rStyle w:val="FootnoteReference"/>
        </w:rPr>
        <w:footnoteReference w:id="21"/>
      </w:r>
      <w:r w:rsidR="006A28B6" w:rsidRPr="005C2532">
        <w:rPr>
          <w:lang w:eastAsia="en-NZ"/>
        </w:rPr>
        <w:t xml:space="preserve"> </w:t>
      </w:r>
      <w:r w:rsidR="00EE6BBF" w:rsidRPr="005C2532">
        <w:rPr>
          <w:lang w:eastAsia="en-NZ"/>
        </w:rPr>
        <w:t>Th</w:t>
      </w:r>
      <w:r w:rsidR="00FB159D" w:rsidRPr="005C2532">
        <w:rPr>
          <w:lang w:eastAsia="en-NZ"/>
        </w:rPr>
        <w:t xml:space="preserve">e </w:t>
      </w:r>
      <w:r w:rsidR="00EE6BBF" w:rsidRPr="005C2532">
        <w:t xml:space="preserve">evidentiary basis for decisions </w:t>
      </w:r>
      <w:r w:rsidR="00FB159D" w:rsidRPr="005C2532">
        <w:t xml:space="preserve">should be captured </w:t>
      </w:r>
      <w:r w:rsidR="00EE6BBF" w:rsidRPr="005C2532">
        <w:t xml:space="preserve">by recording all substantive internal discussions (including those held via </w:t>
      </w:r>
      <w:r w:rsidR="00481694" w:rsidRPr="005C2532">
        <w:t xml:space="preserve">in-person meetings, </w:t>
      </w:r>
      <w:r w:rsidR="00EE6BBF" w:rsidRPr="005C2532">
        <w:t xml:space="preserve">phone </w:t>
      </w:r>
      <w:r w:rsidR="00481694" w:rsidRPr="005C2532">
        <w:t xml:space="preserve">calls </w:t>
      </w:r>
      <w:r w:rsidR="00EE6BBF" w:rsidRPr="005C2532">
        <w:t>or Microsoft Teams).</w:t>
      </w:r>
    </w:p>
    <w:bookmarkEnd w:id="41"/>
    <w:bookmarkEnd w:id="42"/>
    <w:p w14:paraId="16AB3881" w14:textId="58DD1DCB" w:rsidR="003F53DA" w:rsidRDefault="003F53DA" w:rsidP="00097711">
      <w:pPr>
        <w:pStyle w:val="BodyText"/>
      </w:pPr>
      <w:r w:rsidRPr="005C2532">
        <w:t xml:space="preserve">The Ministry’s </w:t>
      </w:r>
      <w:proofErr w:type="spellStart"/>
      <w:r w:rsidRPr="005C2532">
        <w:t>OIA</w:t>
      </w:r>
      <w:proofErr w:type="spellEnd"/>
      <w:r w:rsidRPr="005C2532">
        <w:t xml:space="preserve"> guidance and processes (including templates) should be reviewed to ensure alignment with the above suggestions</w:t>
      </w:r>
      <w:r w:rsidR="00B1024F" w:rsidRPr="005C2532">
        <w:t xml:space="preserve">. </w:t>
      </w:r>
      <w:r w:rsidR="008E661C" w:rsidRPr="005C2532">
        <w:t xml:space="preserve">Any updates should also be reflected in </w:t>
      </w:r>
      <w:proofErr w:type="spellStart"/>
      <w:r w:rsidR="008E661C" w:rsidRPr="005C2532">
        <w:t>OIA</w:t>
      </w:r>
      <w:proofErr w:type="spellEnd"/>
      <w:r w:rsidR="008E661C" w:rsidRPr="005C2532">
        <w:t xml:space="preserve"> training.</w:t>
      </w:r>
    </w:p>
    <w:p w14:paraId="4BCB0A31" w14:textId="600CE3B8" w:rsidR="00D42A5D" w:rsidRDefault="008A3744" w:rsidP="006642D7">
      <w:pPr>
        <w:pStyle w:val="BodyText"/>
      </w:pPr>
      <w:r>
        <w:t xml:space="preserve">In its </w:t>
      </w:r>
      <w:r w:rsidR="00D42A5D" w:rsidRPr="00A823DD">
        <w:t xml:space="preserve">response to my provisional opinion, the Ministry has advised </w:t>
      </w:r>
      <w:r w:rsidR="00D42A5D">
        <w:t>that ‘</w:t>
      </w:r>
      <w:r w:rsidR="00D42A5D" w:rsidRPr="002A7DAA">
        <w:rPr>
          <w:rStyle w:val="Quotationwithinthesentence"/>
        </w:rPr>
        <w:t>[t]his work is already underway and has been a key focus for the Ministerial Services Manager for this calendar year’</w:t>
      </w:r>
      <w:r w:rsidR="00D42A5D">
        <w:t xml:space="preserve">. The response stated </w:t>
      </w:r>
      <w:r w:rsidR="006642D7">
        <w:t xml:space="preserve">that the Ministerial Services Manager has set the expectation that the </w:t>
      </w:r>
      <w:proofErr w:type="spellStart"/>
      <w:r w:rsidR="006642D7">
        <w:t>OIA</w:t>
      </w:r>
      <w:proofErr w:type="spellEnd"/>
      <w:r w:rsidR="006642D7">
        <w:t xml:space="preserve"> memo include </w:t>
      </w:r>
      <w:r w:rsidR="006642D7" w:rsidRPr="00F1454B">
        <w:rPr>
          <w:rStyle w:val="Quotationwithinthesentence"/>
        </w:rPr>
        <w:t>‘meaningful analysis of the grounds applied, the rationale for why and how the ground applies, and where applicable, any public interest considerations.’</w:t>
      </w:r>
    </w:p>
    <w:p w14:paraId="15E8F156" w14:textId="46029F1C" w:rsidR="00816263" w:rsidRDefault="00816263" w:rsidP="00D42A5D">
      <w:pPr>
        <w:pStyle w:val="BodyText"/>
      </w:pPr>
      <w:r>
        <w:t>In relation to record keeping, the Ministry’s response outlined its planned implementation of our suggestions</w:t>
      </w:r>
      <w:r w:rsidR="00391813">
        <w:t xml:space="preserve"> as follows</w:t>
      </w:r>
      <w:r>
        <w:t xml:space="preserve">: </w:t>
      </w:r>
    </w:p>
    <w:p w14:paraId="554850E5" w14:textId="628C9C24" w:rsidR="00816263" w:rsidRDefault="00816263" w:rsidP="00816263">
      <w:pPr>
        <w:pStyle w:val="Quotationseparateparagraph"/>
      </w:pPr>
      <w:r w:rsidRPr="00816263">
        <w:t xml:space="preserve">The Manager Ministerial Services will issue a reminder to our </w:t>
      </w:r>
      <w:proofErr w:type="spellStart"/>
      <w:r w:rsidRPr="00816263">
        <w:t>OIA</w:t>
      </w:r>
      <w:proofErr w:type="spellEnd"/>
      <w:r w:rsidRPr="00816263">
        <w:t xml:space="preserve"> practitioners about this action point and as part of her post-sending checks/audits will assess the quality of record-keeping, providing feedback to individual </w:t>
      </w:r>
      <w:proofErr w:type="spellStart"/>
      <w:r w:rsidRPr="00816263">
        <w:t>OIA</w:t>
      </w:r>
      <w:proofErr w:type="spellEnd"/>
      <w:r w:rsidRPr="00816263">
        <w:t xml:space="preserve"> practitioners.</w:t>
      </w:r>
    </w:p>
    <w:p w14:paraId="673BF2A0" w14:textId="631FF017" w:rsidR="00D42A5D" w:rsidRDefault="00816263" w:rsidP="00D42A5D">
      <w:pPr>
        <w:pStyle w:val="BodyText"/>
      </w:pPr>
      <w:r>
        <w:t xml:space="preserve">Finally, the Ministry advised that it </w:t>
      </w:r>
      <w:proofErr w:type="gramStart"/>
      <w:r w:rsidR="00CE483E" w:rsidRPr="00A823DD">
        <w:t>would</w:t>
      </w:r>
      <w:r w:rsidR="00D42A5D" w:rsidRPr="00A823DD">
        <w:t xml:space="preserve"> recommend</w:t>
      </w:r>
      <w:proofErr w:type="gramEnd"/>
      <w:r w:rsidR="00D42A5D" w:rsidRPr="00A823DD">
        <w:t xml:space="preserve"> that these updated practices continue to be embedded across </w:t>
      </w:r>
      <w:proofErr w:type="spellStart"/>
      <w:r w:rsidR="00D42A5D">
        <w:t>MCERT</w:t>
      </w:r>
      <w:proofErr w:type="spellEnd"/>
      <w:r w:rsidR="00D42A5D" w:rsidRPr="00A823DD">
        <w:t>.</w:t>
      </w: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016C5D" w14:paraId="79AE032C" w14:textId="77777777" w:rsidTr="006A5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25564551" w14:textId="397DBEA8" w:rsidR="00016C5D" w:rsidRPr="00466268" w:rsidRDefault="00016C5D" w:rsidP="006A5D35">
            <w:pPr>
              <w:pStyle w:val="Headingboxtexttop"/>
              <w:rPr>
                <w:color w:val="000000" w:themeColor="text1"/>
              </w:rPr>
            </w:pPr>
            <w:r w:rsidRPr="00466268">
              <w:rPr>
                <w:color w:val="000000" w:themeColor="text1"/>
              </w:rPr>
              <w:t>Action point</w:t>
            </w:r>
            <w:r w:rsidR="00F07F0A" w:rsidRPr="00466268">
              <w:rPr>
                <w:color w:val="000000" w:themeColor="text1"/>
              </w:rPr>
              <w:t>s</w:t>
            </w:r>
          </w:p>
        </w:tc>
      </w:tr>
      <w:tr w:rsidR="00016C5D" w14:paraId="180CBC99" w14:textId="77777777" w:rsidTr="006A5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23BCAB84" w14:textId="1C416542" w:rsidR="00AA5178" w:rsidRPr="00D32E1C" w:rsidRDefault="0047294F" w:rsidP="006A5D35">
            <w:pPr>
              <w:pStyle w:val="BodyText"/>
            </w:pPr>
            <w:r w:rsidRPr="0047294F">
              <w:t xml:space="preserve">Senior leaders should </w:t>
            </w:r>
            <w:r w:rsidR="00523621">
              <w:t xml:space="preserve">reinforce the requirement that </w:t>
            </w:r>
            <w:r w:rsidR="00B11C5B">
              <w:t xml:space="preserve">a </w:t>
            </w:r>
            <w:r w:rsidR="00B122BC">
              <w:t>decision may only be communicated</w:t>
            </w:r>
            <w:r w:rsidRPr="0047294F">
              <w:t xml:space="preserve"> under section 15(1)</w:t>
            </w:r>
            <w:r>
              <w:t xml:space="preserve"> of the </w:t>
            </w:r>
            <w:proofErr w:type="spellStart"/>
            <w:r>
              <w:t>OIA</w:t>
            </w:r>
            <w:proofErr w:type="spellEnd"/>
            <w:r w:rsidRPr="0047294F">
              <w:t xml:space="preserve"> </w:t>
            </w:r>
            <w:r w:rsidR="000367E6">
              <w:t xml:space="preserve">when </w:t>
            </w:r>
            <w:r w:rsidRPr="0047294F">
              <w:t xml:space="preserve">it is final and settled, </w:t>
            </w:r>
            <w:r w:rsidR="00AA5178" w:rsidRPr="00AA5178">
              <w:t xml:space="preserve">ensuring </w:t>
            </w:r>
            <w:r w:rsidR="00B61EA7">
              <w:t xml:space="preserve">the Ministry </w:t>
            </w:r>
            <w:r w:rsidR="009D604B">
              <w:t>uses formal extensions or report delays, where appropriate</w:t>
            </w:r>
            <w:r w:rsidR="003F4C32">
              <w:t>.</w:t>
            </w:r>
            <w:r w:rsidR="00B61EA7">
              <w:t xml:space="preserve"> </w:t>
            </w:r>
          </w:p>
        </w:tc>
      </w:tr>
      <w:tr w:rsidR="003234D2" w14:paraId="5CB08CD6" w14:textId="77777777" w:rsidTr="006A5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0231385" w14:textId="7CB37CC0" w:rsidR="003234D2" w:rsidRPr="008F6FAE" w:rsidRDefault="00EE3075" w:rsidP="003234D2">
            <w:pPr>
              <w:pStyle w:val="BodyText"/>
            </w:pPr>
            <w:r w:rsidRPr="00EE3075">
              <w:t xml:space="preserve">Senior leaders should set clear expectations for </w:t>
            </w:r>
            <w:proofErr w:type="spellStart"/>
            <w:r w:rsidRPr="00EE3075">
              <w:t>OIA</w:t>
            </w:r>
            <w:proofErr w:type="spellEnd"/>
            <w:r w:rsidRPr="00EE3075">
              <w:t xml:space="preserve"> records to document </w:t>
            </w:r>
            <w:r w:rsidR="00173834">
              <w:t xml:space="preserve">the </w:t>
            </w:r>
            <w:r w:rsidRPr="00EE3075">
              <w:t xml:space="preserve">specific </w:t>
            </w:r>
            <w:r w:rsidR="00173834">
              <w:t>grounds (</w:t>
            </w:r>
            <w:r w:rsidRPr="00EE3075">
              <w:t xml:space="preserve">rather than just </w:t>
            </w:r>
            <w:r w:rsidR="00173834">
              <w:t>the</w:t>
            </w:r>
            <w:r w:rsidRPr="00EE3075">
              <w:t xml:space="preserve"> sections</w:t>
            </w:r>
            <w:r w:rsidR="00173834">
              <w:t xml:space="preserve"> of the </w:t>
            </w:r>
            <w:proofErr w:type="spellStart"/>
            <w:r w:rsidR="00173834">
              <w:t>OIA</w:t>
            </w:r>
            <w:proofErr w:type="spellEnd"/>
            <w:r w:rsidR="00173834">
              <w:t>) for withholding information and refusing requests</w:t>
            </w:r>
            <w:r w:rsidRPr="00EE3075">
              <w:t>.</w:t>
            </w:r>
          </w:p>
        </w:tc>
      </w:tr>
      <w:tr w:rsidR="00481694" w14:paraId="02512216" w14:textId="77777777" w:rsidTr="006A5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4C94C4DD" w14:textId="1E7CA586" w:rsidR="002349F3" w:rsidRPr="00FD60FA" w:rsidRDefault="00957C7F" w:rsidP="00076FD0">
            <w:pPr>
              <w:pStyle w:val="BodyText"/>
            </w:pPr>
            <w:r w:rsidRPr="00957C7F">
              <w:t xml:space="preserve">Senior leaders should foster a culture of robust record-keeping where staff document substantive </w:t>
            </w:r>
            <w:r>
              <w:t xml:space="preserve">internal </w:t>
            </w:r>
            <w:r w:rsidRPr="00957C7F">
              <w:t>discussions</w:t>
            </w:r>
            <w:r>
              <w:t xml:space="preserve">, including those held via in-person meetings, phone calls or Microsoft Teams. </w:t>
            </w:r>
          </w:p>
        </w:tc>
      </w:tr>
    </w:tbl>
    <w:p w14:paraId="5A6F36F9" w14:textId="010793FA" w:rsidR="00B25232" w:rsidRDefault="007A67B7" w:rsidP="00B25232">
      <w:pPr>
        <w:pStyle w:val="Heading2"/>
        <w:spacing w:before="240" w:after="240"/>
      </w:pPr>
      <w:bookmarkStart w:id="43" w:name="_Toc239154250"/>
      <w:r>
        <w:t>M</w:t>
      </w:r>
      <w:r w:rsidR="001C1218">
        <w:t>essaging</w:t>
      </w:r>
      <w:r>
        <w:t xml:space="preserve"> to the public</w:t>
      </w:r>
      <w:bookmarkEnd w:id="43"/>
    </w:p>
    <w:p w14:paraId="3EAE0543" w14:textId="28F7A49F" w:rsidR="00CF7ABA" w:rsidRDefault="00CF7ABA" w:rsidP="00F07F0A">
      <w:pPr>
        <w:pStyle w:val="BodyText"/>
      </w:pPr>
      <w:r w:rsidRPr="00CF7ABA">
        <w:t xml:space="preserve">Senior leaders should foster a culture of openness by providing strong, visible messaging </w:t>
      </w:r>
      <w:r>
        <w:t>to the public</w:t>
      </w:r>
      <w:r w:rsidR="00F80930">
        <w:t xml:space="preserve"> about</w:t>
      </w:r>
      <w:r w:rsidR="00A60C85">
        <w:t xml:space="preserve"> the</w:t>
      </w:r>
      <w:r w:rsidR="00823086">
        <w:t>ir agency’s</w:t>
      </w:r>
      <w:r w:rsidR="00A60C85">
        <w:t xml:space="preserve"> </w:t>
      </w:r>
      <w:r w:rsidR="00AE243B">
        <w:t>commitment</w:t>
      </w:r>
      <w:r w:rsidR="00A60C85">
        <w:t xml:space="preserve"> to the principles and purposes of the </w:t>
      </w:r>
      <w:proofErr w:type="spellStart"/>
      <w:r w:rsidR="00A60C85">
        <w:t>OIA</w:t>
      </w:r>
      <w:proofErr w:type="spellEnd"/>
      <w:r w:rsidR="005D031C">
        <w:t xml:space="preserve">, anchored in published corporate documents and </w:t>
      </w:r>
      <w:r w:rsidRPr="00CF7ABA">
        <w:t xml:space="preserve">strategic plans </w:t>
      </w:r>
      <w:r w:rsidR="005D031C">
        <w:t xml:space="preserve">(discussed in </w:t>
      </w:r>
      <w:hyperlink w:anchor="_OIA_strategy" w:history="1">
        <w:r w:rsidR="005D031C" w:rsidRPr="005D031C">
          <w:rPr>
            <w:rStyle w:val="Hyperlink"/>
            <w:i/>
            <w:iCs/>
          </w:rPr>
          <w:t>‘</w:t>
        </w:r>
        <w:proofErr w:type="spellStart"/>
        <w:r w:rsidR="005D031C" w:rsidRPr="005D031C">
          <w:rPr>
            <w:rStyle w:val="Hyperlink"/>
            <w:i/>
            <w:iCs/>
          </w:rPr>
          <w:t>OIA</w:t>
        </w:r>
        <w:proofErr w:type="spellEnd"/>
        <w:r w:rsidR="005D031C" w:rsidRPr="005D031C">
          <w:rPr>
            <w:rStyle w:val="Hyperlink"/>
            <w:i/>
            <w:iCs/>
          </w:rPr>
          <w:t xml:space="preserve"> strategy’</w:t>
        </w:r>
      </w:hyperlink>
      <w:r w:rsidR="005D031C">
        <w:t>).</w:t>
      </w:r>
      <w:r w:rsidRPr="00CF7ABA">
        <w:t xml:space="preserve"> </w:t>
      </w:r>
      <w:r w:rsidR="005506F8">
        <w:t>A</w:t>
      </w:r>
      <w:r w:rsidR="00B8530D">
        <w:t xml:space="preserve">gencies </w:t>
      </w:r>
      <w:r w:rsidRPr="00CF7ABA">
        <w:t xml:space="preserve">should maintain a prominent </w:t>
      </w:r>
      <w:proofErr w:type="spellStart"/>
      <w:r w:rsidRPr="00CF7ABA">
        <w:t>OIA</w:t>
      </w:r>
      <w:proofErr w:type="spellEnd"/>
      <w:r w:rsidRPr="00CF7ABA">
        <w:t xml:space="preserve"> webpage featuring a leadership statement of support</w:t>
      </w:r>
      <w:r>
        <w:t xml:space="preserve"> and</w:t>
      </w:r>
      <w:r w:rsidRPr="00CF7ABA">
        <w:t xml:space="preserve"> clear requester guidance</w:t>
      </w:r>
      <w:r>
        <w:t>.</w:t>
      </w:r>
      <w:r w:rsidRPr="00CF7ABA">
        <w:t xml:space="preserve"> </w:t>
      </w:r>
    </w:p>
    <w:p w14:paraId="7DB9EBD3" w14:textId="0D57664D" w:rsidR="00021D96" w:rsidRDefault="00046353" w:rsidP="00F07F0A">
      <w:pPr>
        <w:pStyle w:val="BodyText"/>
      </w:pPr>
      <w:r>
        <w:t>The Ministry</w:t>
      </w:r>
      <w:r w:rsidR="00450BCD">
        <w:t xml:space="preserve"> has a </w:t>
      </w:r>
      <w:r w:rsidRPr="00046353">
        <w:t xml:space="preserve">dedicated </w:t>
      </w:r>
      <w:proofErr w:type="spellStart"/>
      <w:r w:rsidRPr="00450BCD">
        <w:t>OIA</w:t>
      </w:r>
      <w:proofErr w:type="spellEnd"/>
      <w:r w:rsidRPr="00450BCD">
        <w:t xml:space="preserve"> webpage</w:t>
      </w:r>
      <w:r w:rsidRPr="00046353">
        <w:t xml:space="preserve"> </w:t>
      </w:r>
      <w:r w:rsidR="00450BCD">
        <w:t>which provides</w:t>
      </w:r>
      <w:r w:rsidR="00871F98">
        <w:t xml:space="preserve"> </w:t>
      </w:r>
      <w:r>
        <w:t xml:space="preserve">instructions for making </w:t>
      </w:r>
      <w:proofErr w:type="spellStart"/>
      <w:r>
        <w:t>OIA</w:t>
      </w:r>
      <w:proofErr w:type="spellEnd"/>
      <w:r>
        <w:t xml:space="preserve"> requests</w:t>
      </w:r>
      <w:r w:rsidR="00F80930">
        <w:t>,</w:t>
      </w:r>
      <w:r w:rsidR="00450BCD">
        <w:t xml:space="preserve"> along with links to r</w:t>
      </w:r>
      <w:r w:rsidR="00021D96">
        <w:t xml:space="preserve">ecent responses to </w:t>
      </w:r>
      <w:proofErr w:type="spellStart"/>
      <w:r w:rsidR="00021D96">
        <w:t>OIA</w:t>
      </w:r>
      <w:proofErr w:type="spellEnd"/>
      <w:r w:rsidR="00021D96">
        <w:t xml:space="preserve"> requests</w:t>
      </w:r>
      <w:r w:rsidR="00450BCD">
        <w:t xml:space="preserve"> and</w:t>
      </w:r>
      <w:r w:rsidR="008955F5" w:rsidRPr="007C266B">
        <w:t> </w:t>
      </w:r>
      <w:hyperlink r:id="rId16" w:tgtFrame="_blank" w:history="1">
        <w:r w:rsidR="008955F5" w:rsidRPr="007C266B">
          <w:t>Cabinet papers</w:t>
        </w:r>
        <w:r w:rsidR="00450BCD">
          <w:t xml:space="preserve"> and associated documents.</w:t>
        </w:r>
      </w:hyperlink>
      <w:r w:rsidR="007C266B">
        <w:rPr>
          <w:rStyle w:val="FootnoteReference"/>
          <w:rFonts w:ascii="Arial" w:hAnsi="Arial" w:cs="Arial"/>
          <w:color w:val="0A0A0A"/>
          <w:shd w:val="clear" w:color="auto" w:fill="FFFFFF"/>
        </w:rPr>
        <w:footnoteReference w:id="22"/>
      </w:r>
      <w:r w:rsidR="00290EF8">
        <w:t xml:space="preserve"> The webpage also </w:t>
      </w:r>
      <w:r w:rsidR="00D13CF0">
        <w:t xml:space="preserve">visibly </w:t>
      </w:r>
      <w:r w:rsidR="00290EF8">
        <w:t xml:space="preserve">outlines the principle of availability of information, which is positive. </w:t>
      </w:r>
    </w:p>
    <w:p w14:paraId="7F650365" w14:textId="7D51F9D5" w:rsidR="00F1464B" w:rsidRDefault="0005062B" w:rsidP="00F07F0A">
      <w:pPr>
        <w:pStyle w:val="BodyText"/>
      </w:pPr>
      <w:r w:rsidRPr="0005062B">
        <w:t xml:space="preserve">The </w:t>
      </w:r>
      <w:r w:rsidR="009C41DD">
        <w:t>Ministry’s</w:t>
      </w:r>
      <w:r w:rsidRPr="0005062B">
        <w:t xml:space="preserve"> corporate publications, </w:t>
      </w:r>
      <w:r>
        <w:t xml:space="preserve">i.e. </w:t>
      </w:r>
      <w:r w:rsidRPr="00BD4324">
        <w:t>the Annual Report</w:t>
      </w:r>
      <w:r w:rsidR="00006FCD">
        <w:t xml:space="preserve"> </w:t>
      </w:r>
      <w:r w:rsidR="00006FCD" w:rsidRPr="00BD4324">
        <w:t>2024/25</w:t>
      </w:r>
      <w:r w:rsidR="007B230F">
        <w:rPr>
          <w:rStyle w:val="FootnoteReference"/>
        </w:rPr>
        <w:footnoteReference w:id="23"/>
      </w:r>
      <w:r w:rsidRPr="00BD4324">
        <w:t xml:space="preserve"> and Strategic Intentions 2025–29,</w:t>
      </w:r>
      <w:r w:rsidR="00020164">
        <w:rPr>
          <w:rStyle w:val="FootnoteReference"/>
        </w:rPr>
        <w:footnoteReference w:id="24"/>
      </w:r>
      <w:r w:rsidRPr="0005062B">
        <w:t xml:space="preserve"> </w:t>
      </w:r>
      <w:r w:rsidR="00886F8A">
        <w:t xml:space="preserve">broadly </w:t>
      </w:r>
      <w:r w:rsidRPr="0005062B">
        <w:t>frame transparency and accountability as foundational commitments to the New Zealand public.</w:t>
      </w:r>
      <w:r w:rsidR="00763D28">
        <w:t xml:space="preserve"> </w:t>
      </w:r>
      <w:r w:rsidR="00020164">
        <w:t xml:space="preserve">For example, the Strategic Intentions state: </w:t>
      </w:r>
    </w:p>
    <w:p w14:paraId="5727907B" w14:textId="40BA4238" w:rsidR="00BD4324" w:rsidRDefault="00020164" w:rsidP="00020164">
      <w:pPr>
        <w:pStyle w:val="Quotationseparateparagraph"/>
      </w:pPr>
      <w:r w:rsidRPr="00020164">
        <w:t>The Ministry</w:t>
      </w:r>
      <w:r w:rsidR="00763D28">
        <w:t>…</w:t>
      </w:r>
      <w:r w:rsidRPr="00020164">
        <w:t xml:space="preserve"> must publish its strategic intentions at least every three years as part of a transparent, accountable public service.</w:t>
      </w:r>
    </w:p>
    <w:p w14:paraId="343A99C5" w14:textId="0E4C6E82" w:rsidR="00C150D8" w:rsidRDefault="00C150D8" w:rsidP="00F07F0A">
      <w:pPr>
        <w:pStyle w:val="BodyText"/>
      </w:pPr>
      <w:r>
        <w:t xml:space="preserve">From our review of these documents and the </w:t>
      </w:r>
      <w:proofErr w:type="spellStart"/>
      <w:r w:rsidR="009C41DD">
        <w:t>OIA</w:t>
      </w:r>
      <w:proofErr w:type="spellEnd"/>
      <w:r w:rsidR="009C41DD">
        <w:t xml:space="preserve"> webpage</w:t>
      </w:r>
      <w:r>
        <w:t>, it appears there is a</w:t>
      </w:r>
      <w:r w:rsidR="009C41DD">
        <w:t xml:space="preserve">n </w:t>
      </w:r>
      <w:r>
        <w:t>opportunity for the Ministry to elevate its public signalling.</w:t>
      </w:r>
    </w:p>
    <w:p w14:paraId="5A8F61D8" w14:textId="2A4247A1" w:rsidR="005A7C85" w:rsidRDefault="0010684B" w:rsidP="00F07F0A">
      <w:pPr>
        <w:pStyle w:val="BodyText"/>
      </w:pPr>
      <w:bookmarkStart w:id="44" w:name="_Hlk227489435"/>
      <w:r w:rsidRPr="0010684B">
        <w:t xml:space="preserve">Senior leaders should consider how to </w:t>
      </w:r>
      <w:r>
        <w:t xml:space="preserve">better </w:t>
      </w:r>
      <w:r w:rsidRPr="0010684B">
        <w:t>position</w:t>
      </w:r>
      <w:r w:rsidR="005506F8">
        <w:t xml:space="preserve"> externally</w:t>
      </w:r>
      <w:r w:rsidRPr="0010684B">
        <w:t xml:space="preserve"> the </w:t>
      </w:r>
      <w:proofErr w:type="spellStart"/>
      <w:r w:rsidRPr="0010684B">
        <w:t>OIA</w:t>
      </w:r>
      <w:proofErr w:type="spellEnd"/>
      <w:r w:rsidRPr="0010684B">
        <w:t xml:space="preserve"> as a specific strategic priority</w:t>
      </w:r>
      <w:r w:rsidR="00AE243B">
        <w:t xml:space="preserve">, consistent with its internal </w:t>
      </w:r>
      <w:proofErr w:type="spellStart"/>
      <w:r w:rsidR="00AE243B">
        <w:t>OIA</w:t>
      </w:r>
      <w:proofErr w:type="spellEnd"/>
      <w:r w:rsidR="00AE243B">
        <w:t xml:space="preserve"> strategy</w:t>
      </w:r>
      <w:r w:rsidR="00805BC4" w:rsidRPr="00805BC4">
        <w:t>.</w:t>
      </w:r>
      <w:r w:rsidR="00982105">
        <w:rPr>
          <w:rStyle w:val="FootnoteReference"/>
        </w:rPr>
        <w:footnoteReference w:id="25"/>
      </w:r>
      <w:r w:rsidR="00C150D8">
        <w:t xml:space="preserve"> </w:t>
      </w:r>
      <w:r w:rsidRPr="0010684B">
        <w:t xml:space="preserve">This might include updating the Ministry’s corporate documents and </w:t>
      </w:r>
      <w:proofErr w:type="spellStart"/>
      <w:r w:rsidRPr="0010684B">
        <w:t>OIA</w:t>
      </w:r>
      <w:proofErr w:type="spellEnd"/>
      <w:r w:rsidRPr="0010684B">
        <w:t xml:space="preserve"> webpage to include high-level statements of commitment to both the letter and spirit of the </w:t>
      </w:r>
      <w:proofErr w:type="spellStart"/>
      <w:r w:rsidR="00970E79">
        <w:t>OIA</w:t>
      </w:r>
      <w:proofErr w:type="spellEnd"/>
      <w:r w:rsidRPr="0010684B">
        <w:t>.</w:t>
      </w:r>
      <w:r>
        <w:t xml:space="preserve"> </w:t>
      </w:r>
      <w:r w:rsidR="00D62B79" w:rsidRPr="0024701B">
        <w:t xml:space="preserve">To further signal transparency, the Ministry could also consider additional steps, such as publishing its internal </w:t>
      </w:r>
      <w:proofErr w:type="spellStart"/>
      <w:r w:rsidR="00D62B79" w:rsidRPr="0024701B">
        <w:t>OIA</w:t>
      </w:r>
      <w:proofErr w:type="spellEnd"/>
      <w:r w:rsidR="00D62B79" w:rsidRPr="0024701B">
        <w:t xml:space="preserve"> decision-making rules</w:t>
      </w:r>
      <w:r w:rsidR="00D62B79">
        <w:rPr>
          <w:rStyle w:val="FootnoteReference"/>
        </w:rPr>
        <w:footnoteReference w:id="26"/>
      </w:r>
      <w:r w:rsidR="00D62B79" w:rsidRPr="00805BC4">
        <w:t xml:space="preserve"> </w:t>
      </w:r>
      <w:r w:rsidR="001A5160">
        <w:t>and</w:t>
      </w:r>
      <w:r w:rsidR="00D62B79" w:rsidRPr="0024701B">
        <w:t xml:space="preserve"> its own </w:t>
      </w:r>
      <w:proofErr w:type="spellStart"/>
      <w:r w:rsidR="00D62B79" w:rsidRPr="0024701B">
        <w:t>OIA</w:t>
      </w:r>
      <w:proofErr w:type="spellEnd"/>
      <w:r w:rsidR="00D62B79" w:rsidRPr="0024701B">
        <w:t xml:space="preserve"> performance data directly on its website.</w:t>
      </w:r>
      <w:bookmarkEnd w:id="44"/>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351"/>
      </w:tblGrid>
      <w:tr w:rsidR="00B25232" w14:paraId="42F25799" w14:textId="77777777" w:rsidTr="006A5D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00B050"/>
          </w:tcPr>
          <w:p w14:paraId="50074BC3" w14:textId="61AD7F68" w:rsidR="00B25232" w:rsidRPr="00466268" w:rsidRDefault="00B25232" w:rsidP="006A5D35">
            <w:pPr>
              <w:pStyle w:val="Headingboxtexttop"/>
              <w:rPr>
                <w:color w:val="000000" w:themeColor="text1"/>
              </w:rPr>
            </w:pPr>
            <w:r w:rsidRPr="00466268">
              <w:rPr>
                <w:color w:val="000000" w:themeColor="text1"/>
              </w:rPr>
              <w:t>Action point</w:t>
            </w:r>
            <w:r w:rsidR="00F07F0A" w:rsidRPr="00466268">
              <w:rPr>
                <w:color w:val="000000" w:themeColor="text1"/>
              </w:rPr>
              <w:t>s</w:t>
            </w:r>
          </w:p>
        </w:tc>
      </w:tr>
      <w:tr w:rsidR="00B25232" w14:paraId="2AF0D1DB" w14:textId="77777777" w:rsidTr="006A5D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661767AA" w14:textId="1EFFDECF" w:rsidR="00B25232" w:rsidRDefault="00884CBE" w:rsidP="006A5D35">
            <w:pPr>
              <w:pStyle w:val="BodyText"/>
            </w:pPr>
            <w:r>
              <w:t xml:space="preserve">The Ministry </w:t>
            </w:r>
            <w:r w:rsidR="00CB21B6">
              <w:t>should</w:t>
            </w:r>
            <w:r>
              <w:t xml:space="preserve"> update its corporate documents and </w:t>
            </w:r>
            <w:proofErr w:type="spellStart"/>
            <w:r>
              <w:t>OIA</w:t>
            </w:r>
            <w:proofErr w:type="spellEnd"/>
            <w:r>
              <w:t xml:space="preserve"> webpage to include high-level statements of commitment to</w:t>
            </w:r>
            <w:r w:rsidR="00FF386B">
              <w:t xml:space="preserve"> compliance with the letter and spirit of the </w:t>
            </w:r>
            <w:proofErr w:type="spellStart"/>
            <w:r w:rsidR="00FF386B">
              <w:t>OIA</w:t>
            </w:r>
            <w:proofErr w:type="spellEnd"/>
            <w:r w:rsidR="00FF386B">
              <w:t xml:space="preserve">. </w:t>
            </w:r>
          </w:p>
        </w:tc>
      </w:tr>
      <w:tr w:rsidR="004B25BB" w14:paraId="0FA84EEF" w14:textId="77777777" w:rsidTr="006A5D3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1" w:type="dxa"/>
            <w:shd w:val="clear" w:color="auto" w:fill="auto"/>
          </w:tcPr>
          <w:p w14:paraId="0C1152F6" w14:textId="53080B89" w:rsidR="004B25BB" w:rsidRDefault="00C139E8" w:rsidP="006A5D35">
            <w:pPr>
              <w:pStyle w:val="BodyText"/>
            </w:pPr>
            <w:r>
              <w:t xml:space="preserve">The </w:t>
            </w:r>
            <w:r w:rsidR="00870958">
              <w:t>Ministry</w:t>
            </w:r>
            <w:r w:rsidR="00D61799" w:rsidRPr="00D61799">
              <w:t xml:space="preserve"> should consider additional steps to signal transparency, such as publishing the Ministry’s internal </w:t>
            </w:r>
            <w:proofErr w:type="spellStart"/>
            <w:r w:rsidR="00D61799" w:rsidRPr="00D61799">
              <w:t>OIA</w:t>
            </w:r>
            <w:proofErr w:type="spellEnd"/>
            <w:r w:rsidR="00D61799" w:rsidRPr="00D61799">
              <w:t xml:space="preserve"> decision-making rules and </w:t>
            </w:r>
            <w:proofErr w:type="spellStart"/>
            <w:r w:rsidR="00E171E8">
              <w:t>OIA</w:t>
            </w:r>
            <w:proofErr w:type="spellEnd"/>
            <w:r w:rsidR="00E171E8">
              <w:t xml:space="preserve"> </w:t>
            </w:r>
            <w:r w:rsidR="00D61799" w:rsidRPr="00D61799">
              <w:t>performance data directly on its website.</w:t>
            </w:r>
          </w:p>
        </w:tc>
      </w:tr>
    </w:tbl>
    <w:p w14:paraId="1141DB74" w14:textId="6B28FCA5" w:rsidR="00EB51EB" w:rsidRPr="00466268" w:rsidRDefault="00EB51EB" w:rsidP="00D17DBC">
      <w:pPr>
        <w:pStyle w:val="Heading1"/>
        <w:pageBreakBefore/>
        <w:rPr>
          <w:color w:val="00B050"/>
        </w:rPr>
      </w:pPr>
      <w:bookmarkStart w:id="45" w:name="_Toc239154251"/>
      <w:r w:rsidRPr="00466268">
        <w:rPr>
          <w:color w:val="00B050"/>
        </w:rPr>
        <w:t>Performance monitoring and learning</w:t>
      </w:r>
      <w:bookmarkEnd w:id="45"/>
    </w:p>
    <w:p w14:paraId="2878D3D9" w14:textId="349CF1BF" w:rsidR="002E5750" w:rsidRDefault="00F10828" w:rsidP="001442C5">
      <w:pPr>
        <w:pStyle w:val="BodyText"/>
      </w:pPr>
      <w:r w:rsidRPr="00F10828">
        <w:t xml:space="preserve">Agencies need to have an established system for capturing and analysing </w:t>
      </w:r>
      <w:proofErr w:type="spellStart"/>
      <w:r w:rsidR="00E02A04">
        <w:t>OIA</w:t>
      </w:r>
      <w:proofErr w:type="spellEnd"/>
      <w:r w:rsidR="00E02A04">
        <w:t xml:space="preserve"> </w:t>
      </w:r>
      <w:r w:rsidRPr="00F10828">
        <w:t xml:space="preserve">data to inform meaningful, as well as appropriate performance measures. There should be regular reporting, monitoring, and learning from </w:t>
      </w:r>
      <w:proofErr w:type="spellStart"/>
      <w:r w:rsidRPr="00F10828">
        <w:t>OIA</w:t>
      </w:r>
      <w:proofErr w:type="spellEnd"/>
      <w:r w:rsidRPr="00F10828">
        <w:t xml:space="preserve"> data analysis and practice.</w:t>
      </w:r>
    </w:p>
    <w:p w14:paraId="3E0944D8" w14:textId="4317A4F1" w:rsidR="007A5E24" w:rsidRPr="00BF2D34" w:rsidRDefault="007A5E24" w:rsidP="007A5E24">
      <w:pPr>
        <w:pStyle w:val="Heading2"/>
      </w:pPr>
      <w:bookmarkStart w:id="46" w:name="_PSC_reporting"/>
      <w:bookmarkStart w:id="47" w:name="_Toc239154252"/>
      <w:bookmarkEnd w:id="46"/>
      <w:r>
        <w:t>PSC reporting</w:t>
      </w:r>
      <w:bookmarkEnd w:id="47"/>
    </w:p>
    <w:p w14:paraId="768418CF" w14:textId="612D3599" w:rsidR="000204E9" w:rsidRDefault="000204E9" w:rsidP="00CA10DD">
      <w:pPr>
        <w:pStyle w:val="BodyText"/>
      </w:pPr>
      <w:r>
        <w:t xml:space="preserve">In </w:t>
      </w:r>
      <w:r w:rsidR="00277BB8" w:rsidRPr="00D77D74">
        <w:t xml:space="preserve">2024 and 2025, the Ministry maintained strong </w:t>
      </w:r>
      <w:proofErr w:type="spellStart"/>
      <w:r w:rsidR="00277BB8" w:rsidRPr="00D77D74">
        <w:t>OIA</w:t>
      </w:r>
      <w:proofErr w:type="spellEnd"/>
      <w:r w:rsidR="00277BB8" w:rsidRPr="00D77D74">
        <w:t xml:space="preserve"> timeliness</w:t>
      </w:r>
      <w:r>
        <w:t>, even while navigating a</w:t>
      </w:r>
      <w:r w:rsidRPr="00D77D74">
        <w:t xml:space="preserve"> demanding work programme</w:t>
      </w:r>
      <w:r w:rsidRPr="00D77D74">
        <w:rPr>
          <w:rStyle w:val="FootnoteReference"/>
        </w:rPr>
        <w:footnoteReference w:id="27"/>
      </w:r>
      <w:r>
        <w:t xml:space="preserve"> </w:t>
      </w:r>
      <w:r w:rsidR="00007A91">
        <w:t xml:space="preserve">and </w:t>
      </w:r>
      <w:r>
        <w:t>resourcing constraints</w:t>
      </w:r>
      <w:r w:rsidR="00007A91">
        <w:t xml:space="preserve"> </w:t>
      </w:r>
      <w:r w:rsidR="00975F4C">
        <w:t xml:space="preserve">that necessitated a </w:t>
      </w:r>
      <w:r>
        <w:t xml:space="preserve">significant reduction in personnel during </w:t>
      </w:r>
      <w:r w:rsidR="00975F4C">
        <w:t>the agency’s</w:t>
      </w:r>
      <w:r>
        <w:t xml:space="preserve"> transition </w:t>
      </w:r>
      <w:r w:rsidR="00277BB8" w:rsidRPr="00D77D74">
        <w:t>to a new operating model</w:t>
      </w:r>
      <w:bookmarkStart w:id="48" w:name="_Hlk226706074"/>
      <w:r>
        <w:t>.</w:t>
      </w:r>
      <w:r w:rsidR="00277BB8" w:rsidRPr="00D77D74">
        <w:rPr>
          <w:rStyle w:val="FootnoteReference"/>
        </w:rPr>
        <w:footnoteReference w:id="28"/>
      </w:r>
      <w:bookmarkEnd w:id="48"/>
      <w:r w:rsidR="00277BB8" w:rsidRPr="00D77D74">
        <w:t xml:space="preserve"> </w:t>
      </w:r>
    </w:p>
    <w:p w14:paraId="4E995633" w14:textId="25C5100F" w:rsidR="001E79B3" w:rsidRDefault="00842119" w:rsidP="001E79B3">
      <w:pPr>
        <w:pStyle w:val="BodyText"/>
      </w:pPr>
      <w:r>
        <w:t xml:space="preserve">Building on a steady upward trajectory since early 2023, the Ministry completed </w:t>
      </w:r>
      <w:r w:rsidR="00277BB8" w:rsidRPr="00D77D74">
        <w:t>98.</w:t>
      </w:r>
      <w:r w:rsidR="005107F9" w:rsidRPr="00D77D74">
        <w:t>8</w:t>
      </w:r>
      <w:r w:rsidR="00277BB8" w:rsidRPr="00D77D74">
        <w:t xml:space="preserve"> percent of </w:t>
      </w:r>
      <w:proofErr w:type="spellStart"/>
      <w:r w:rsidR="00F75D82" w:rsidRPr="00D77D74">
        <w:t>OIA</w:t>
      </w:r>
      <w:proofErr w:type="spellEnd"/>
      <w:r w:rsidR="00F75D82" w:rsidRPr="00D77D74">
        <w:t xml:space="preserve"> </w:t>
      </w:r>
      <w:r w:rsidR="00277BB8" w:rsidRPr="00D77D74">
        <w:t>requests on time</w:t>
      </w:r>
      <w:r>
        <w:t xml:space="preserve"> in the 2024 calendar year,</w:t>
      </w:r>
      <w:r w:rsidR="00AC5F62" w:rsidRPr="00D77D74">
        <w:rPr>
          <w:rStyle w:val="FootnoteReference"/>
        </w:rPr>
        <w:footnoteReference w:id="29"/>
      </w:r>
      <w:r w:rsidR="00AC5F62" w:rsidRPr="00D77D74">
        <w:t xml:space="preserve"> </w:t>
      </w:r>
      <w:r>
        <w:t xml:space="preserve">reaching an even stronger </w:t>
      </w:r>
      <w:r w:rsidR="007A06FD" w:rsidRPr="00D77D74">
        <w:t xml:space="preserve">99.75 percent timeliness </w:t>
      </w:r>
      <w:r w:rsidR="005107F9" w:rsidRPr="00D77D74">
        <w:t xml:space="preserve">in </w:t>
      </w:r>
      <w:r>
        <w:t>2025</w:t>
      </w:r>
      <w:r w:rsidR="007A06FD" w:rsidRPr="00D77D74">
        <w:t>.</w:t>
      </w:r>
      <w:r w:rsidR="00C641A2" w:rsidRPr="00D77D74">
        <w:rPr>
          <w:rStyle w:val="FootnoteReference"/>
        </w:rPr>
        <w:footnoteReference w:id="30"/>
      </w:r>
      <w:r w:rsidR="007A06FD" w:rsidRPr="00D77D74">
        <w:t xml:space="preserve"> </w:t>
      </w:r>
    </w:p>
    <w:p w14:paraId="5C5FA798" w14:textId="77777777" w:rsidR="00D30CA5" w:rsidRDefault="00652D67" w:rsidP="001E79B3">
      <w:pPr>
        <w:pStyle w:val="BodyText"/>
      </w:pPr>
      <w:bookmarkStart w:id="51" w:name="_Hlk233182265"/>
      <w:r w:rsidRPr="00652D67">
        <w:t xml:space="preserve">The Ministry’s </w:t>
      </w:r>
      <w:proofErr w:type="spellStart"/>
      <w:r w:rsidRPr="00652D67">
        <w:t>OIA</w:t>
      </w:r>
      <w:proofErr w:type="spellEnd"/>
      <w:r w:rsidRPr="00652D67">
        <w:t xml:space="preserve"> performance has shown significant and sustained improvement </w:t>
      </w:r>
      <w:r w:rsidR="007534BB">
        <w:t>in the last several years</w:t>
      </w:r>
      <w:r w:rsidRPr="00652D67">
        <w:t xml:space="preserve">. </w:t>
      </w:r>
      <w:r w:rsidR="007534BB">
        <w:t xml:space="preserve">Reported </w:t>
      </w:r>
      <w:proofErr w:type="spellStart"/>
      <w:r w:rsidR="007534BB">
        <w:t>OIA</w:t>
      </w:r>
      <w:proofErr w:type="spellEnd"/>
      <w:r w:rsidR="007534BB">
        <w:t xml:space="preserve"> t</w:t>
      </w:r>
      <w:r w:rsidRPr="00652D67">
        <w:t xml:space="preserve">imeliness </w:t>
      </w:r>
      <w:r w:rsidR="002F4048">
        <w:t>increas</w:t>
      </w:r>
      <w:r w:rsidR="007534BB">
        <w:t>ed</w:t>
      </w:r>
      <w:r w:rsidR="002F4048">
        <w:t xml:space="preserve"> </w:t>
      </w:r>
      <w:r w:rsidRPr="00652D67">
        <w:t>from 90 percent in early 2023</w:t>
      </w:r>
      <w:r w:rsidR="004C2D41" w:rsidRPr="00D77D74">
        <w:rPr>
          <w:rStyle w:val="FootnoteReference"/>
        </w:rPr>
        <w:footnoteReference w:id="31"/>
      </w:r>
      <w:r w:rsidRPr="00652D67">
        <w:t xml:space="preserve"> to 99.5 percent by late 2025. This trend reflects a positive shift in organi</w:t>
      </w:r>
      <w:r w:rsidR="00FD0582">
        <w:t>s</w:t>
      </w:r>
      <w:r w:rsidRPr="00652D67">
        <w:t xml:space="preserve">ational culture </w:t>
      </w:r>
      <w:r w:rsidR="00520AC7">
        <w:t>(</w:t>
      </w:r>
      <w:r w:rsidR="004C2D41" w:rsidRPr="00D77D74">
        <w:t xml:space="preserve">discussed in </w:t>
      </w:r>
      <w:r w:rsidR="004C2D41" w:rsidRPr="00D77D74">
        <w:rPr>
          <w:i/>
          <w:iCs/>
        </w:rPr>
        <w:t>‘</w:t>
      </w:r>
      <w:hyperlink w:anchor="_Messaging_to_staff" w:history="1">
        <w:r w:rsidR="004C2D41" w:rsidRPr="006346EE">
          <w:rPr>
            <w:rStyle w:val="Hyperlink"/>
            <w:i/>
            <w:iCs/>
          </w:rPr>
          <w:t>Messaging to staff</w:t>
        </w:r>
      </w:hyperlink>
      <w:r w:rsidR="004C2D41" w:rsidRPr="00D77D74">
        <w:rPr>
          <w:i/>
          <w:iCs/>
        </w:rPr>
        <w:t>’</w:t>
      </w:r>
      <w:r w:rsidR="004C2D41">
        <w:t>) a</w:t>
      </w:r>
      <w:r w:rsidRPr="00652D67">
        <w:t>nd demonstrates effective oversight by the executive leadership team in prioriti</w:t>
      </w:r>
      <w:r w:rsidR="00FD0582">
        <w:t>s</w:t>
      </w:r>
      <w:r w:rsidRPr="00652D67">
        <w:t>ing statutory obligations.</w:t>
      </w:r>
      <w:r w:rsidR="007C69E2">
        <w:t xml:space="preserve"> </w:t>
      </w:r>
    </w:p>
    <w:bookmarkEnd w:id="51"/>
    <w:p w14:paraId="24A25C05" w14:textId="283F0AAC" w:rsidR="006449AA" w:rsidRDefault="006449AA" w:rsidP="001E79B3">
      <w:pPr>
        <w:pStyle w:val="BodyText"/>
      </w:pPr>
      <w:r>
        <w:t>T</w:t>
      </w:r>
      <w:r w:rsidRPr="006449AA">
        <w:t xml:space="preserve">o maintain this high standard, senior leadership </w:t>
      </w:r>
      <w:r w:rsidR="00C0015A">
        <w:t xml:space="preserve">should </w:t>
      </w:r>
      <w:r w:rsidRPr="006449AA">
        <w:t xml:space="preserve">ensure that these statistics represent completed </w:t>
      </w:r>
      <w:proofErr w:type="spellStart"/>
      <w:r w:rsidR="00B42176">
        <w:t>OIA</w:t>
      </w:r>
      <w:proofErr w:type="spellEnd"/>
      <w:r w:rsidR="00B42176">
        <w:t xml:space="preserve"> </w:t>
      </w:r>
      <w:r w:rsidRPr="006449AA">
        <w:t>requests</w:t>
      </w:r>
      <w:r w:rsidR="00A661E2">
        <w:t xml:space="preserve"> that</w:t>
      </w:r>
      <w:r>
        <w:t xml:space="preserve"> </w:t>
      </w:r>
      <w:r w:rsidR="009B57CF" w:rsidRPr="009B57CF">
        <w:t>clearly differentiat</w:t>
      </w:r>
      <w:r w:rsidR="00A661E2">
        <w:t>e</w:t>
      </w:r>
      <w:r w:rsidR="009B57CF" w:rsidRPr="009B57CF">
        <w:t xml:space="preserve"> between those subject to formal extensions</w:t>
      </w:r>
      <w:r w:rsidR="00B4676F">
        <w:t xml:space="preserve"> (</w:t>
      </w:r>
      <w:r w:rsidR="0054614E">
        <w:t>which for reporting purposes are counted as ‘on time’</w:t>
      </w:r>
      <w:r w:rsidR="00B4676F">
        <w:t>)</w:t>
      </w:r>
      <w:r w:rsidR="009B57CF" w:rsidRPr="009B57CF">
        <w:t xml:space="preserve"> and those that are delayed </w:t>
      </w:r>
      <w:r>
        <w:t xml:space="preserve">(discussed in </w:t>
      </w:r>
      <w:hyperlink w:anchor="_Communicating_decisions_on" w:history="1">
        <w:r w:rsidRPr="005C2532">
          <w:rPr>
            <w:rStyle w:val="Hyperlink"/>
            <w:i/>
            <w:iCs/>
          </w:rPr>
          <w:t xml:space="preserve">‘Communicating decisions on </w:t>
        </w:r>
        <w:proofErr w:type="spellStart"/>
        <w:r w:rsidRPr="005C2532">
          <w:rPr>
            <w:rStyle w:val="Hyperlink"/>
            <w:i/>
            <w:iCs/>
          </w:rPr>
          <w:t>OIA</w:t>
        </w:r>
        <w:proofErr w:type="spellEnd"/>
        <w:r w:rsidRPr="005C2532">
          <w:rPr>
            <w:rStyle w:val="Hyperlink"/>
            <w:i/>
            <w:iCs/>
          </w:rPr>
          <w:t xml:space="preserve"> requests’</w:t>
        </w:r>
      </w:hyperlink>
      <w:r>
        <w:t>)</w:t>
      </w:r>
      <w:r w:rsidR="00FB302E">
        <w:t>.</w:t>
      </w:r>
      <w:r w:rsidR="00FE2E27">
        <w:t xml:space="preserve"> </w:t>
      </w:r>
      <w:r w:rsidR="00FE2E27" w:rsidRPr="00FE2E27">
        <w:t xml:space="preserve">Reporting that an on-time decision has been made when this is not accurate, </w:t>
      </w:r>
      <w:r w:rsidR="00A661E2">
        <w:t>could</w:t>
      </w:r>
      <w:r w:rsidR="00FE2E27" w:rsidRPr="00FE2E27">
        <w:t xml:space="preserve"> mask vulnerabilities in </w:t>
      </w:r>
      <w:r w:rsidR="00FE2E27">
        <w:t xml:space="preserve">the </w:t>
      </w:r>
      <w:proofErr w:type="spellStart"/>
      <w:r w:rsidR="00FE2E27" w:rsidRPr="00FE2E27">
        <w:t>OIA</w:t>
      </w:r>
      <w:proofErr w:type="spellEnd"/>
      <w:r w:rsidR="00FE2E27" w:rsidRPr="00FE2E27">
        <w:t xml:space="preserve"> handling process</w:t>
      </w:r>
      <w:r w:rsidR="00A661E2">
        <w:t xml:space="preserve">. It is important that </w:t>
      </w:r>
      <w:r w:rsidR="008646AE">
        <w:t xml:space="preserve">this is </w:t>
      </w:r>
      <w:r w:rsidR="00FE2E27" w:rsidRPr="00FE2E27">
        <w:t>brought to senior leaders</w:t>
      </w:r>
      <w:r w:rsidR="00D30CA5">
        <w:t>’</w:t>
      </w:r>
      <w:r w:rsidR="00FE2E27" w:rsidRPr="00FE2E27">
        <w:t xml:space="preserve"> attention </w:t>
      </w:r>
      <w:r w:rsidR="008646AE">
        <w:t>as it may</w:t>
      </w:r>
      <w:r w:rsidR="001E2809">
        <w:t xml:space="preserve"> </w:t>
      </w:r>
      <w:r w:rsidR="00FE2E27">
        <w:t>indicate a systemic issue that should be</w:t>
      </w:r>
      <w:r w:rsidR="00FE2E27" w:rsidRPr="00FE2E27">
        <w:t xml:space="preserve"> addressed</w:t>
      </w:r>
      <w:r w:rsidR="00D30CA5">
        <w:t>,</w:t>
      </w:r>
      <w:r w:rsidR="0015159E">
        <w:t xml:space="preserve"> such as a capability, capacity or processing</w:t>
      </w:r>
      <w:r w:rsidR="00A661E2">
        <w:t xml:space="preserve"> concern</w:t>
      </w:r>
      <w:r w:rsidR="00FE2E27" w:rsidRPr="00FE2E27">
        <w:t>.</w:t>
      </w:r>
    </w:p>
    <w:p w14:paraId="1FA6D0D8" w14:textId="663CB624" w:rsidR="00F45C1E" w:rsidRPr="00D563D5" w:rsidRDefault="00F45C1E" w:rsidP="0088019E">
      <w:pPr>
        <w:pStyle w:val="Heading2"/>
      </w:pPr>
      <w:bookmarkStart w:id="52" w:name="_Internal_OIA_reporting"/>
      <w:bookmarkStart w:id="53" w:name="_Toc239154253"/>
      <w:bookmarkEnd w:id="52"/>
      <w:r w:rsidRPr="00D563D5">
        <w:t xml:space="preserve">Internal </w:t>
      </w:r>
      <w:proofErr w:type="spellStart"/>
      <w:r w:rsidRPr="00D563D5">
        <w:t>OIA</w:t>
      </w:r>
      <w:proofErr w:type="spellEnd"/>
      <w:r w:rsidRPr="00D563D5">
        <w:t xml:space="preserve"> reporting</w:t>
      </w:r>
      <w:bookmarkStart w:id="54" w:name="_Toc63238268"/>
      <w:bookmarkStart w:id="55" w:name="_Hlk224310243"/>
      <w:bookmarkEnd w:id="53"/>
    </w:p>
    <w:p w14:paraId="0B595CD3" w14:textId="77777777" w:rsidR="007D774D" w:rsidRDefault="00A25F10" w:rsidP="00364DAE">
      <w:pPr>
        <w:pStyle w:val="BodyText"/>
      </w:pPr>
      <w:r>
        <w:t xml:space="preserve">The Ministry’s </w:t>
      </w:r>
      <w:r w:rsidR="002015DA" w:rsidRPr="002015DA">
        <w:t xml:space="preserve">senior leaders monitor </w:t>
      </w:r>
      <w:proofErr w:type="spellStart"/>
      <w:r w:rsidR="002015DA" w:rsidRPr="002015DA">
        <w:t>OIA</w:t>
      </w:r>
      <w:proofErr w:type="spellEnd"/>
      <w:r w:rsidR="002015DA" w:rsidRPr="002015DA">
        <w:t xml:space="preserve"> performance and practice through </w:t>
      </w:r>
      <w:r w:rsidR="0047437B">
        <w:t xml:space="preserve">several </w:t>
      </w:r>
      <w:r w:rsidR="002015DA">
        <w:t>channels</w:t>
      </w:r>
      <w:r w:rsidR="0035497A">
        <w:t xml:space="preserve">. </w:t>
      </w:r>
    </w:p>
    <w:p w14:paraId="4D384DF3" w14:textId="2AEF8265" w:rsidR="00AF4504" w:rsidRDefault="004409E0" w:rsidP="00364DAE">
      <w:pPr>
        <w:pStyle w:val="BodyText"/>
      </w:pPr>
      <w:r>
        <w:t xml:space="preserve">The </w:t>
      </w:r>
      <w:proofErr w:type="spellStart"/>
      <w:r w:rsidR="008E5555">
        <w:t>OIA</w:t>
      </w:r>
      <w:proofErr w:type="spellEnd"/>
      <w:r>
        <w:t xml:space="preserve"> timeliness statistics are report</w:t>
      </w:r>
      <w:r w:rsidR="001D0ACA">
        <w:t>ed</w:t>
      </w:r>
      <w:r>
        <w:t xml:space="preserve"> to senior leaders through monthly and quarterly reports. </w:t>
      </w:r>
      <w:r w:rsidR="00AF4504">
        <w:t>T</w:t>
      </w:r>
      <w:r>
        <w:t xml:space="preserve">he </w:t>
      </w:r>
      <w:r w:rsidR="00DC1F78">
        <w:t>Ministry’s</w:t>
      </w:r>
      <w:r w:rsidR="00214D03" w:rsidRPr="00214D03">
        <w:t xml:space="preserve"> six-monthly </w:t>
      </w:r>
      <w:proofErr w:type="spellStart"/>
      <w:r w:rsidR="00214D03" w:rsidRPr="00214D03">
        <w:t>OIA</w:t>
      </w:r>
      <w:proofErr w:type="spellEnd"/>
      <w:r w:rsidR="00214D03" w:rsidRPr="00214D03">
        <w:t xml:space="preserve"> statistics</w:t>
      </w:r>
      <w:r w:rsidR="00214D03">
        <w:t>,</w:t>
      </w:r>
      <w:r w:rsidR="00214D03" w:rsidRPr="00214D03">
        <w:t xml:space="preserve"> submitted to </w:t>
      </w:r>
      <w:r w:rsidR="00214D03">
        <w:t xml:space="preserve">the </w:t>
      </w:r>
      <w:r w:rsidR="00574D66">
        <w:t>PSC</w:t>
      </w:r>
      <w:r w:rsidR="00214D03">
        <w:t>,</w:t>
      </w:r>
      <w:r w:rsidR="00214D03" w:rsidRPr="00214D03">
        <w:t xml:space="preserve"> are </w:t>
      </w:r>
      <w:r w:rsidR="00AF4504">
        <w:t xml:space="preserve">also </w:t>
      </w:r>
      <w:r w:rsidR="00214D03">
        <w:t xml:space="preserve">provided to the </w:t>
      </w:r>
      <w:r w:rsidR="00214D03" w:rsidRPr="00214D03">
        <w:t>Chief Executive</w:t>
      </w:r>
      <w:r w:rsidR="00214D03">
        <w:t xml:space="preserve"> and the Chief of Staff via a memo</w:t>
      </w:r>
      <w:r w:rsidR="0047437B">
        <w:t xml:space="preserve">. </w:t>
      </w:r>
    </w:p>
    <w:p w14:paraId="047B3AAE" w14:textId="5A519B60" w:rsidR="000902CE" w:rsidRDefault="00AF4504" w:rsidP="00364DAE">
      <w:pPr>
        <w:pStyle w:val="BodyText"/>
      </w:pPr>
      <w:r>
        <w:t>The Ministry’s</w:t>
      </w:r>
      <w:r w:rsidR="0047437B">
        <w:t xml:space="preserve"> </w:t>
      </w:r>
      <w:r>
        <w:t>PSC memo</w:t>
      </w:r>
      <w:r w:rsidR="0006263E">
        <w:t xml:space="preserve"> </w:t>
      </w:r>
      <w:r w:rsidR="00314C83" w:rsidRPr="00314C83">
        <w:t>reflect</w:t>
      </w:r>
      <w:r w:rsidR="003D53E1">
        <w:t>s</w:t>
      </w:r>
      <w:r w:rsidR="00314C83" w:rsidRPr="00314C83">
        <w:t xml:space="preserve"> a diligent approach to monitoring </w:t>
      </w:r>
      <w:proofErr w:type="spellStart"/>
      <w:r w:rsidR="00314C83" w:rsidRPr="00314C83">
        <w:t>OIA</w:t>
      </w:r>
      <w:proofErr w:type="spellEnd"/>
      <w:r w:rsidR="00314C83" w:rsidRPr="00314C83">
        <w:t xml:space="preserve"> performance</w:t>
      </w:r>
      <w:r w:rsidR="00E31ED4">
        <w:t xml:space="preserve"> by e</w:t>
      </w:r>
      <w:r w:rsidR="00314C83" w:rsidRPr="00314C83">
        <w:t xml:space="preserve">xplaining the drivers behind </w:t>
      </w:r>
      <w:r w:rsidR="00314C83">
        <w:t xml:space="preserve">the Ministry’s </w:t>
      </w:r>
      <w:proofErr w:type="spellStart"/>
      <w:r w:rsidR="00314C83">
        <w:t>OIA</w:t>
      </w:r>
      <w:proofErr w:type="spellEnd"/>
      <w:r w:rsidR="00314C83">
        <w:t xml:space="preserve"> statistics</w:t>
      </w:r>
      <w:r w:rsidR="00B5597B">
        <w:t>, e.g.</w:t>
      </w:r>
      <w:r w:rsidR="00B5597B" w:rsidRPr="00314C83">
        <w:t xml:space="preserve"> a decrease in published </w:t>
      </w:r>
      <w:proofErr w:type="spellStart"/>
      <w:r w:rsidR="00B5597B">
        <w:t>OIA</w:t>
      </w:r>
      <w:proofErr w:type="spellEnd"/>
      <w:r w:rsidR="00B5597B">
        <w:t xml:space="preserve"> </w:t>
      </w:r>
      <w:r w:rsidR="00B5597B" w:rsidRPr="00314C83">
        <w:t>responses or a</w:t>
      </w:r>
      <w:r w:rsidR="00B5597B">
        <w:t xml:space="preserve">n increase </w:t>
      </w:r>
      <w:r w:rsidR="00B5597B" w:rsidRPr="00314C83">
        <w:t>in extensions</w:t>
      </w:r>
      <w:r w:rsidR="000902CE">
        <w:t>. For example, the sample memo</w:t>
      </w:r>
      <w:r w:rsidR="00CF4E0A">
        <w:t xml:space="preserve"> </w:t>
      </w:r>
      <w:r w:rsidR="008449CA">
        <w:t>(</w:t>
      </w:r>
      <w:r w:rsidR="00CF4E0A">
        <w:t>provided by the Ministry during this investigation</w:t>
      </w:r>
      <w:r w:rsidR="008449CA">
        <w:t>)</w:t>
      </w:r>
      <w:r w:rsidR="00CF4E0A">
        <w:t xml:space="preserve"> included </w:t>
      </w:r>
      <w:r w:rsidR="00E01AD7">
        <w:t>the following context for</w:t>
      </w:r>
      <w:r w:rsidR="00F85F8A">
        <w:t xml:space="preserve"> the agency’s</w:t>
      </w:r>
      <w:r w:rsidR="00E01AD7">
        <w:t xml:space="preserve"> proactive release</w:t>
      </w:r>
      <w:r w:rsidR="00117D68">
        <w:t xml:space="preserve"> performance:</w:t>
      </w:r>
      <w:r w:rsidR="000902CE">
        <w:t xml:space="preserve"> </w:t>
      </w:r>
    </w:p>
    <w:p w14:paraId="6E4F7B8A" w14:textId="651D476E" w:rsidR="00B5597B" w:rsidRDefault="00B5597B" w:rsidP="00B5597B">
      <w:pPr>
        <w:pStyle w:val="Quotationseparateparagraph"/>
      </w:pPr>
      <w:r>
        <w:t>W</w:t>
      </w:r>
      <w:r w:rsidRPr="00B5597B">
        <w:t xml:space="preserve">e have seen good progress in the Ministry’s proactive release of Cabinet papers... 70% of Cabinet papers were released, compared to 41% in the last reporting period. </w:t>
      </w:r>
    </w:p>
    <w:p w14:paraId="033F2827" w14:textId="7580B143" w:rsidR="00B5597B" w:rsidRDefault="00B5597B" w:rsidP="00B5597B">
      <w:pPr>
        <w:pStyle w:val="Quotationseparateparagraph"/>
      </w:pPr>
      <w:r w:rsidRPr="00B5597B">
        <w:t xml:space="preserve">... This </w:t>
      </w:r>
      <w:r w:rsidR="00035ED6">
        <w:t>indicates</w:t>
      </w:r>
      <w:r w:rsidR="00035ED6" w:rsidRPr="00B5597B">
        <w:t xml:space="preserve"> </w:t>
      </w:r>
      <w:r w:rsidRPr="00B5597B">
        <w:t>that messaging on the importance of the proactive release of Cabinet papers is having an effect and Cabinet paper release is a priority for the Ministry</w:t>
      </w:r>
      <w:r>
        <w:t>.</w:t>
      </w:r>
    </w:p>
    <w:p w14:paraId="4AFF2145" w14:textId="77777777" w:rsidR="001244F5" w:rsidRDefault="000902CE" w:rsidP="00364DAE">
      <w:pPr>
        <w:pStyle w:val="BodyText"/>
      </w:pPr>
      <w:r>
        <w:t xml:space="preserve">The Ministry’s recent memo also documented how </w:t>
      </w:r>
      <w:r w:rsidRPr="00314C83">
        <w:t xml:space="preserve">specific </w:t>
      </w:r>
      <w:r>
        <w:t>improvement measures (</w:t>
      </w:r>
      <w:r w:rsidRPr="00314C83">
        <w:t xml:space="preserve">like new </w:t>
      </w:r>
      <w:r>
        <w:t xml:space="preserve">processes for proactive releases of </w:t>
      </w:r>
      <w:r w:rsidRPr="00314C83">
        <w:t>Cabinet paper</w:t>
      </w:r>
      <w:r>
        <w:t xml:space="preserve">) have directly resulted in improved statistics for publishing Cabinet papers. </w:t>
      </w:r>
    </w:p>
    <w:p w14:paraId="213BC093" w14:textId="55702D24" w:rsidR="00A5014B" w:rsidRDefault="00542229" w:rsidP="00364DAE">
      <w:pPr>
        <w:pStyle w:val="BodyText"/>
      </w:pPr>
      <w:bookmarkStart w:id="56" w:name="_Hlk233183093"/>
      <w:r>
        <w:t>I</w:t>
      </w:r>
      <w:r w:rsidR="006C73E2">
        <w:t xml:space="preserve">t is </w:t>
      </w:r>
      <w:r>
        <w:t>positive</w:t>
      </w:r>
      <w:r w:rsidR="006C73E2">
        <w:t xml:space="preserve"> that, by</w:t>
      </w:r>
      <w:r w:rsidR="006C73E2" w:rsidRPr="006C73E2">
        <w:t xml:space="preserve"> focusing on the </w:t>
      </w:r>
      <w:r w:rsidR="00DA4990">
        <w:t>‘</w:t>
      </w:r>
      <w:r w:rsidR="006C73E2" w:rsidRPr="006C73E2">
        <w:t>why</w:t>
      </w:r>
      <w:r w:rsidR="00DA4990">
        <w:t>’</w:t>
      </w:r>
      <w:r w:rsidR="006C73E2" w:rsidRPr="006C73E2">
        <w:t xml:space="preserve"> behind the numbers, the Ministry moves beyond simple data collection to </w:t>
      </w:r>
      <w:r w:rsidR="00DA4990">
        <w:t xml:space="preserve">help </w:t>
      </w:r>
      <w:r w:rsidR="006C73E2" w:rsidRPr="006C73E2">
        <w:t xml:space="preserve">uncover the true drivers of performance. This approach provides senior leaders with a clear view of capacity or capability needs that basic timeliness data might not fully capture. </w:t>
      </w:r>
    </w:p>
    <w:bookmarkEnd w:id="56"/>
    <w:p w14:paraId="6F4A423E" w14:textId="4E01E26D" w:rsidR="00873684" w:rsidRDefault="00542229" w:rsidP="00364DAE">
      <w:pPr>
        <w:pStyle w:val="BodyText"/>
        <w:rPr>
          <w:color w:val="000000" w:themeColor="text1"/>
        </w:rPr>
      </w:pPr>
      <w:r w:rsidRPr="00542229">
        <w:t xml:space="preserve">This robust reporting framework </w:t>
      </w:r>
      <w:r w:rsidR="00F04B05">
        <w:t xml:space="preserve">was </w:t>
      </w:r>
      <w:r w:rsidRPr="00542229">
        <w:t xml:space="preserve">reflected </w:t>
      </w:r>
      <w:r w:rsidR="00F04B05">
        <w:t xml:space="preserve">in staff’s observations during </w:t>
      </w:r>
      <w:r w:rsidRPr="00542229">
        <w:t xml:space="preserve">interviews, </w:t>
      </w:r>
      <w:r w:rsidR="00C907B5" w:rsidRPr="00C907B5">
        <w:t xml:space="preserve">where both </w:t>
      </w:r>
      <w:proofErr w:type="spellStart"/>
      <w:r w:rsidR="00C907B5" w:rsidRPr="00C907B5">
        <w:t>OIA</w:t>
      </w:r>
      <w:proofErr w:type="spellEnd"/>
      <w:r w:rsidR="00C907B5" w:rsidRPr="00C907B5">
        <w:t xml:space="preserve"> team members and </w:t>
      </w:r>
      <w:r w:rsidR="00C907B5">
        <w:t>subject matter experts</w:t>
      </w:r>
      <w:r w:rsidR="00C907B5" w:rsidRPr="00C907B5">
        <w:t xml:space="preserve"> from across the </w:t>
      </w:r>
      <w:r w:rsidR="00C907B5">
        <w:t xml:space="preserve">organisation </w:t>
      </w:r>
      <w:r w:rsidRPr="00542229">
        <w:t xml:space="preserve">reported feeling well-supported and equipped to handle their </w:t>
      </w:r>
      <w:proofErr w:type="spellStart"/>
      <w:r w:rsidRPr="00542229">
        <w:t>OIA</w:t>
      </w:r>
      <w:proofErr w:type="spellEnd"/>
      <w:r w:rsidRPr="00542229">
        <w:t xml:space="preserve"> responsibilities.</w:t>
      </w:r>
      <w:r w:rsidR="00D75DCB">
        <w:t xml:space="preserve"> I</w:t>
      </w:r>
      <w:r w:rsidR="0051153A">
        <w:t>nterviewees</w:t>
      </w:r>
      <w:r w:rsidR="00BA1EA7">
        <w:t xml:space="preserve"> said </w:t>
      </w:r>
      <w:r w:rsidR="00873684">
        <w:t xml:space="preserve">that </w:t>
      </w:r>
      <w:r w:rsidR="00856262">
        <w:t xml:space="preserve">the </w:t>
      </w:r>
      <w:r w:rsidR="00873684">
        <w:t xml:space="preserve">reporting provides the executive leadership team with clear visibility </w:t>
      </w:r>
      <w:r w:rsidR="00C16E67">
        <w:t xml:space="preserve">of the Ministry’s </w:t>
      </w:r>
      <w:proofErr w:type="spellStart"/>
      <w:r w:rsidR="00C16E67">
        <w:t>OIA</w:t>
      </w:r>
      <w:proofErr w:type="spellEnd"/>
      <w:r w:rsidR="00873684">
        <w:t xml:space="preserve"> practice and performance, enabling </w:t>
      </w:r>
      <w:r w:rsidR="00E42BED">
        <w:t>prompt</w:t>
      </w:r>
      <w:r w:rsidR="00873684">
        <w:t xml:space="preserve"> </w:t>
      </w:r>
      <w:r w:rsidR="00873684" w:rsidRPr="00E42BED">
        <w:t>resourcing decisions</w:t>
      </w:r>
      <w:r w:rsidR="00873684">
        <w:t xml:space="preserve">. </w:t>
      </w:r>
      <w:r w:rsidR="00C502F3" w:rsidRPr="00C502F3">
        <w:t xml:space="preserve">Additionally, staff noted that the </w:t>
      </w:r>
      <w:proofErr w:type="spellStart"/>
      <w:r w:rsidR="00C502F3" w:rsidRPr="00C502F3">
        <w:t>OIA</w:t>
      </w:r>
      <w:proofErr w:type="spellEnd"/>
      <w:r w:rsidR="00C502F3" w:rsidRPr="00C502F3">
        <w:t xml:space="preserve"> team's specific placement within the organisational structure</w:t>
      </w:r>
      <w:r w:rsidR="00CC0C97">
        <w:t xml:space="preserve"> (discussed in </w:t>
      </w:r>
      <w:r w:rsidR="00986D14">
        <w:t>‘</w:t>
      </w:r>
      <w:hyperlink w:anchor="_Messaging_to_staff" w:history="1">
        <w:r w:rsidR="00BF795D" w:rsidRPr="00BF795D">
          <w:rPr>
            <w:rStyle w:val="Hyperlink"/>
            <w:i/>
            <w:iCs/>
          </w:rPr>
          <w:t>Messaging to staff</w:t>
        </w:r>
      </w:hyperlink>
      <w:r w:rsidR="00986D14">
        <w:rPr>
          <w:i/>
          <w:iCs/>
        </w:rPr>
        <w:t>’</w:t>
      </w:r>
      <w:r w:rsidR="00CC0C97">
        <w:t>)</w:t>
      </w:r>
      <w:r w:rsidR="00C502F3" w:rsidRPr="00C502F3">
        <w:t xml:space="preserve"> creates a direct feedback loop with senior leadership, enabling swift action whenever a spike in requests occurs.</w:t>
      </w:r>
      <w:r w:rsidR="003F0F13">
        <w:t xml:space="preserve"> </w:t>
      </w:r>
    </w:p>
    <w:p w14:paraId="215DE6C2" w14:textId="4F7B80AF" w:rsidR="00A14822" w:rsidRDefault="00B6675A" w:rsidP="00364DAE">
      <w:pPr>
        <w:pStyle w:val="BodyText"/>
        <w:rPr>
          <w:color w:val="000000" w:themeColor="text1"/>
        </w:rPr>
      </w:pPr>
      <w:r>
        <w:rPr>
          <w:color w:val="000000" w:themeColor="text1"/>
        </w:rPr>
        <w:t xml:space="preserve">Overall, </w:t>
      </w:r>
      <w:r w:rsidR="009C7D44">
        <w:rPr>
          <w:color w:val="000000" w:themeColor="text1"/>
        </w:rPr>
        <w:t xml:space="preserve">it is </w:t>
      </w:r>
      <w:r w:rsidR="002E5750">
        <w:rPr>
          <w:color w:val="000000" w:themeColor="text1"/>
        </w:rPr>
        <w:t>positive</w:t>
      </w:r>
      <w:r w:rsidR="009C7D44">
        <w:rPr>
          <w:color w:val="000000" w:themeColor="text1"/>
        </w:rPr>
        <w:t xml:space="preserve"> that </w:t>
      </w:r>
      <w:r>
        <w:rPr>
          <w:color w:val="000000" w:themeColor="text1"/>
        </w:rPr>
        <w:t xml:space="preserve">the Ministry’s current </w:t>
      </w:r>
      <w:proofErr w:type="spellStart"/>
      <w:r>
        <w:rPr>
          <w:color w:val="000000" w:themeColor="text1"/>
        </w:rPr>
        <w:t>OIA</w:t>
      </w:r>
      <w:proofErr w:type="spellEnd"/>
      <w:r>
        <w:rPr>
          <w:color w:val="000000" w:themeColor="text1"/>
        </w:rPr>
        <w:t xml:space="preserve"> reporting, </w:t>
      </w:r>
      <w:r w:rsidR="0074756E">
        <w:rPr>
          <w:color w:val="000000" w:themeColor="text1"/>
        </w:rPr>
        <w:t>enhanced</w:t>
      </w:r>
      <w:r>
        <w:rPr>
          <w:color w:val="000000" w:themeColor="text1"/>
        </w:rPr>
        <w:t xml:space="preserve"> by the </w:t>
      </w:r>
      <w:proofErr w:type="spellStart"/>
      <w:r>
        <w:rPr>
          <w:color w:val="000000" w:themeColor="text1"/>
        </w:rPr>
        <w:t>OIA</w:t>
      </w:r>
      <w:proofErr w:type="spellEnd"/>
      <w:r>
        <w:rPr>
          <w:color w:val="000000" w:themeColor="text1"/>
        </w:rPr>
        <w:t xml:space="preserve"> team’s </w:t>
      </w:r>
      <w:r w:rsidR="0074756E">
        <w:rPr>
          <w:color w:val="000000" w:themeColor="text1"/>
        </w:rPr>
        <w:t xml:space="preserve">strategic placement and </w:t>
      </w:r>
      <w:r w:rsidR="00A14822">
        <w:rPr>
          <w:color w:val="000000" w:themeColor="text1"/>
        </w:rPr>
        <w:t xml:space="preserve">proximity to the </w:t>
      </w:r>
      <w:r w:rsidR="00B81FE9">
        <w:rPr>
          <w:color w:val="000000" w:themeColor="text1"/>
        </w:rPr>
        <w:t>executive leadership team</w:t>
      </w:r>
      <w:r w:rsidR="0074756E">
        <w:rPr>
          <w:color w:val="000000" w:themeColor="text1"/>
        </w:rPr>
        <w:t>,</w:t>
      </w:r>
      <w:r w:rsidR="00BC416F">
        <w:rPr>
          <w:color w:val="000000" w:themeColor="text1"/>
        </w:rPr>
        <w:t xml:space="preserve"> promotes</w:t>
      </w:r>
      <w:r w:rsidR="0074756E">
        <w:rPr>
          <w:color w:val="000000" w:themeColor="text1"/>
        </w:rPr>
        <w:t xml:space="preserve"> organisational </w:t>
      </w:r>
      <w:r w:rsidR="00A14822">
        <w:rPr>
          <w:color w:val="000000" w:themeColor="text1"/>
        </w:rPr>
        <w:t>agil</w:t>
      </w:r>
      <w:r w:rsidR="0074756E">
        <w:rPr>
          <w:color w:val="000000" w:themeColor="text1"/>
        </w:rPr>
        <w:t xml:space="preserve">ity and </w:t>
      </w:r>
      <w:r w:rsidR="00C86022">
        <w:rPr>
          <w:color w:val="000000" w:themeColor="text1"/>
        </w:rPr>
        <w:t xml:space="preserve">facilitates </w:t>
      </w:r>
      <w:r w:rsidR="0074756E">
        <w:rPr>
          <w:color w:val="000000" w:themeColor="text1"/>
        </w:rPr>
        <w:t xml:space="preserve">timely identification of emerging resource requirements. </w:t>
      </w:r>
    </w:p>
    <w:p w14:paraId="44A6D0A9" w14:textId="5EC020A6" w:rsidR="00B2442A" w:rsidRDefault="00EE287E" w:rsidP="00364DAE">
      <w:pPr>
        <w:pStyle w:val="BodyText"/>
        <w:rPr>
          <w:color w:val="000000" w:themeColor="text1"/>
        </w:rPr>
      </w:pPr>
      <w:r>
        <w:rPr>
          <w:color w:val="000000" w:themeColor="text1"/>
        </w:rPr>
        <w:t>However, t</w:t>
      </w:r>
      <w:r w:rsidR="00B2442A">
        <w:rPr>
          <w:color w:val="000000" w:themeColor="text1"/>
        </w:rPr>
        <w:t xml:space="preserve">here are some opportunities for the Ministry to </w:t>
      </w:r>
      <w:r w:rsidR="00994280">
        <w:rPr>
          <w:color w:val="000000" w:themeColor="text1"/>
        </w:rPr>
        <w:t xml:space="preserve">further </w:t>
      </w:r>
      <w:r w:rsidR="00B2442A">
        <w:rPr>
          <w:color w:val="000000" w:themeColor="text1"/>
        </w:rPr>
        <w:t xml:space="preserve">improve its internal </w:t>
      </w:r>
      <w:proofErr w:type="spellStart"/>
      <w:r w:rsidR="00B2442A">
        <w:rPr>
          <w:color w:val="000000" w:themeColor="text1"/>
        </w:rPr>
        <w:t>OIA</w:t>
      </w:r>
      <w:proofErr w:type="spellEnd"/>
      <w:r w:rsidR="00B2442A">
        <w:rPr>
          <w:color w:val="000000" w:themeColor="text1"/>
        </w:rPr>
        <w:t xml:space="preserve"> reporting. </w:t>
      </w:r>
    </w:p>
    <w:p w14:paraId="71D17FE9" w14:textId="14F45996" w:rsidR="00794C4A" w:rsidRPr="00F4338B" w:rsidRDefault="00B2442A" w:rsidP="00364DAE">
      <w:pPr>
        <w:pStyle w:val="BodyText"/>
        <w:rPr>
          <w:color w:val="000000" w:themeColor="text1"/>
        </w:rPr>
      </w:pPr>
      <w:r>
        <w:rPr>
          <w:color w:val="000000" w:themeColor="text1"/>
        </w:rPr>
        <w:t xml:space="preserve">The Ministry stated in its </w:t>
      </w:r>
      <w:r w:rsidRPr="00F4338B">
        <w:rPr>
          <w:color w:val="000000" w:themeColor="text1"/>
        </w:rPr>
        <w:t xml:space="preserve">response to the agency questionnaire that </w:t>
      </w:r>
      <w:r w:rsidR="00EC354E" w:rsidRPr="00F4338B">
        <w:rPr>
          <w:color w:val="000000" w:themeColor="text1"/>
        </w:rPr>
        <w:t>it</w:t>
      </w:r>
      <w:r w:rsidR="00794C4A" w:rsidRPr="00F4338B">
        <w:rPr>
          <w:color w:val="000000" w:themeColor="text1"/>
        </w:rPr>
        <w:t xml:space="preserve">s internal </w:t>
      </w:r>
      <w:proofErr w:type="spellStart"/>
      <w:r w:rsidR="00794C4A" w:rsidRPr="00F4338B">
        <w:rPr>
          <w:color w:val="000000" w:themeColor="text1"/>
        </w:rPr>
        <w:t>OIA</w:t>
      </w:r>
      <w:proofErr w:type="spellEnd"/>
      <w:r w:rsidR="00794C4A" w:rsidRPr="00F4338B">
        <w:rPr>
          <w:color w:val="000000" w:themeColor="text1"/>
        </w:rPr>
        <w:t xml:space="preserve"> </w:t>
      </w:r>
      <w:r w:rsidR="00D563D5" w:rsidRPr="00F4338B">
        <w:rPr>
          <w:color w:val="000000" w:themeColor="text1"/>
        </w:rPr>
        <w:t>reporting</w:t>
      </w:r>
      <w:r w:rsidR="00794C4A" w:rsidRPr="00F4338B">
        <w:rPr>
          <w:color w:val="000000" w:themeColor="text1"/>
        </w:rPr>
        <w:t xml:space="preserve"> </w:t>
      </w:r>
      <w:r w:rsidR="00EC354E" w:rsidRPr="00F4338B">
        <w:rPr>
          <w:color w:val="000000" w:themeColor="text1"/>
        </w:rPr>
        <w:t xml:space="preserve">does not currently </w:t>
      </w:r>
      <w:r w:rsidR="00794C4A" w:rsidRPr="00F4338B">
        <w:rPr>
          <w:color w:val="000000" w:themeColor="text1"/>
        </w:rPr>
        <w:t xml:space="preserve">include data </w:t>
      </w:r>
      <w:r w:rsidR="00EC354E" w:rsidRPr="00F4338B">
        <w:rPr>
          <w:color w:val="000000" w:themeColor="text1"/>
        </w:rPr>
        <w:t>on</w:t>
      </w:r>
      <w:r w:rsidR="00E70C6E" w:rsidRPr="00F4338B">
        <w:rPr>
          <w:color w:val="000000" w:themeColor="text1"/>
        </w:rPr>
        <w:t xml:space="preserve"> outcomes of </w:t>
      </w:r>
      <w:proofErr w:type="spellStart"/>
      <w:r w:rsidR="00994280" w:rsidRPr="00F4338B">
        <w:rPr>
          <w:color w:val="000000" w:themeColor="text1"/>
        </w:rPr>
        <w:t>OIA</w:t>
      </w:r>
      <w:proofErr w:type="spellEnd"/>
      <w:r w:rsidR="00994280" w:rsidRPr="00F4338B">
        <w:rPr>
          <w:color w:val="000000" w:themeColor="text1"/>
        </w:rPr>
        <w:t xml:space="preserve"> </w:t>
      </w:r>
      <w:r w:rsidR="00EC354E" w:rsidRPr="00F4338B">
        <w:rPr>
          <w:color w:val="000000" w:themeColor="text1"/>
        </w:rPr>
        <w:t>requests</w:t>
      </w:r>
      <w:r w:rsidR="00E70C6E" w:rsidRPr="00F4338B">
        <w:rPr>
          <w:color w:val="000000" w:themeColor="text1"/>
        </w:rPr>
        <w:t>, i.e.</w:t>
      </w:r>
      <w:r w:rsidR="00EC354E" w:rsidRPr="00F4338B">
        <w:rPr>
          <w:color w:val="000000" w:themeColor="text1"/>
        </w:rPr>
        <w:t xml:space="preserve"> where the Ministry refused a request or withheld information in response to a request. </w:t>
      </w:r>
    </w:p>
    <w:p w14:paraId="5A3DEA2D" w14:textId="58C1EA38" w:rsidR="00994280" w:rsidRPr="00F4338B" w:rsidRDefault="00994280" w:rsidP="00364DAE">
      <w:pPr>
        <w:pStyle w:val="BodyText"/>
        <w:rPr>
          <w:color w:val="000000" w:themeColor="text1"/>
        </w:rPr>
      </w:pPr>
      <w:r w:rsidRPr="00F4338B">
        <w:rPr>
          <w:color w:val="000000" w:themeColor="text1"/>
        </w:rPr>
        <w:t xml:space="preserve">We </w:t>
      </w:r>
      <w:r w:rsidR="00794C4A" w:rsidRPr="00F4338B">
        <w:rPr>
          <w:color w:val="000000" w:themeColor="text1"/>
        </w:rPr>
        <w:t xml:space="preserve">suggest that senior leaders receive reporting on these indicators to </w:t>
      </w:r>
      <w:r w:rsidR="00D73F4E" w:rsidRPr="00F4338B">
        <w:rPr>
          <w:color w:val="000000" w:themeColor="text1"/>
        </w:rPr>
        <w:t>have</w:t>
      </w:r>
      <w:r w:rsidR="00794C4A" w:rsidRPr="00F4338B">
        <w:rPr>
          <w:color w:val="000000" w:themeColor="text1"/>
        </w:rPr>
        <w:t xml:space="preserve"> </w:t>
      </w:r>
      <w:r w:rsidRPr="00F4338B">
        <w:rPr>
          <w:color w:val="000000" w:themeColor="text1"/>
        </w:rPr>
        <w:t xml:space="preserve">clear visibility of </w:t>
      </w:r>
      <w:proofErr w:type="spellStart"/>
      <w:r w:rsidRPr="00F4338B">
        <w:rPr>
          <w:color w:val="000000" w:themeColor="text1"/>
        </w:rPr>
        <w:t>OIA</w:t>
      </w:r>
      <w:proofErr w:type="spellEnd"/>
      <w:r w:rsidRPr="00F4338B">
        <w:rPr>
          <w:color w:val="000000" w:themeColor="text1"/>
        </w:rPr>
        <w:t xml:space="preserve"> outcomes</w:t>
      </w:r>
      <w:r w:rsidR="00794C4A" w:rsidRPr="00F4338B">
        <w:rPr>
          <w:color w:val="000000" w:themeColor="text1"/>
        </w:rPr>
        <w:t xml:space="preserve"> as part of effective stewardship of official information. </w:t>
      </w:r>
      <w:r w:rsidR="00D73F4E" w:rsidRPr="00F4338B">
        <w:rPr>
          <w:color w:val="000000" w:themeColor="text1"/>
        </w:rPr>
        <w:t xml:space="preserve">For example, this </w:t>
      </w:r>
      <w:r w:rsidRPr="00F4338B">
        <w:rPr>
          <w:color w:val="000000" w:themeColor="text1"/>
        </w:rPr>
        <w:t xml:space="preserve">data-driven oversight will help </w:t>
      </w:r>
      <w:r w:rsidR="00D73F4E" w:rsidRPr="00F4338B">
        <w:rPr>
          <w:color w:val="000000" w:themeColor="text1"/>
        </w:rPr>
        <w:t xml:space="preserve">senior leaders ensure that the </w:t>
      </w:r>
      <w:r w:rsidRPr="00F4338B">
        <w:rPr>
          <w:color w:val="000000" w:themeColor="text1"/>
        </w:rPr>
        <w:t>principle of availability is applied consistently</w:t>
      </w:r>
      <w:r w:rsidR="00D73F4E" w:rsidRPr="00F4338B">
        <w:rPr>
          <w:color w:val="000000" w:themeColor="text1"/>
        </w:rPr>
        <w:t xml:space="preserve"> by the Ministry</w:t>
      </w:r>
      <w:r w:rsidR="009C7D44" w:rsidRPr="00F4338B">
        <w:rPr>
          <w:color w:val="000000" w:themeColor="text1"/>
        </w:rPr>
        <w:t>.</w:t>
      </w:r>
    </w:p>
    <w:p w14:paraId="66E967BA" w14:textId="77777777" w:rsidR="00D53A56" w:rsidRDefault="009C7D44" w:rsidP="00227B2E">
      <w:pPr>
        <w:pStyle w:val="BodyText"/>
        <w:rPr>
          <w:lang w:eastAsia="en-NZ"/>
        </w:rPr>
      </w:pPr>
      <w:r w:rsidRPr="00F4338B">
        <w:rPr>
          <w:lang w:eastAsia="en-NZ"/>
        </w:rPr>
        <w:t>In addition to</w:t>
      </w:r>
      <w:r w:rsidR="008341BA" w:rsidRPr="00F4338B">
        <w:rPr>
          <w:lang w:eastAsia="en-NZ"/>
        </w:rPr>
        <w:t xml:space="preserve"> </w:t>
      </w:r>
      <w:proofErr w:type="spellStart"/>
      <w:r w:rsidR="00842619" w:rsidRPr="00F4338B">
        <w:rPr>
          <w:lang w:eastAsia="en-NZ"/>
        </w:rPr>
        <w:t>OIA</w:t>
      </w:r>
      <w:proofErr w:type="spellEnd"/>
      <w:r w:rsidR="008341BA" w:rsidRPr="00F4338B">
        <w:rPr>
          <w:lang w:eastAsia="en-NZ"/>
        </w:rPr>
        <w:t xml:space="preserve"> outcomes, </w:t>
      </w:r>
      <w:r w:rsidR="00842619" w:rsidRPr="00F4338B">
        <w:rPr>
          <w:lang w:eastAsia="en-NZ"/>
        </w:rPr>
        <w:t xml:space="preserve">senior leaders should monitor </w:t>
      </w:r>
      <w:r w:rsidR="008341BA" w:rsidRPr="00F4338B">
        <w:rPr>
          <w:lang w:eastAsia="en-NZ"/>
        </w:rPr>
        <w:t xml:space="preserve">a broader range of qualitative </w:t>
      </w:r>
      <w:proofErr w:type="spellStart"/>
      <w:r w:rsidR="00842619" w:rsidRPr="00F4338B">
        <w:rPr>
          <w:lang w:eastAsia="en-NZ"/>
        </w:rPr>
        <w:t>OIA</w:t>
      </w:r>
      <w:proofErr w:type="spellEnd"/>
      <w:r w:rsidR="00842619" w:rsidRPr="00F4338B">
        <w:rPr>
          <w:lang w:eastAsia="en-NZ"/>
        </w:rPr>
        <w:t xml:space="preserve"> performance </w:t>
      </w:r>
      <w:r w:rsidR="008341BA" w:rsidRPr="00F4338B">
        <w:rPr>
          <w:lang w:eastAsia="en-NZ"/>
        </w:rPr>
        <w:t xml:space="preserve">measures to </w:t>
      </w:r>
      <w:r w:rsidR="00842619" w:rsidRPr="00F4338B">
        <w:rPr>
          <w:lang w:eastAsia="en-NZ"/>
        </w:rPr>
        <w:t xml:space="preserve">promote </w:t>
      </w:r>
      <w:r w:rsidR="008341BA" w:rsidRPr="00F4338B">
        <w:rPr>
          <w:lang w:eastAsia="en-NZ"/>
        </w:rPr>
        <w:t>learn</w:t>
      </w:r>
      <w:r w:rsidR="00842619" w:rsidRPr="00F4338B">
        <w:rPr>
          <w:lang w:eastAsia="en-NZ"/>
        </w:rPr>
        <w:t xml:space="preserve">ing and systemic improvements in the </w:t>
      </w:r>
      <w:proofErr w:type="spellStart"/>
      <w:r w:rsidR="00842619" w:rsidRPr="00F4338B">
        <w:rPr>
          <w:lang w:eastAsia="en-NZ"/>
        </w:rPr>
        <w:t>OIA</w:t>
      </w:r>
      <w:proofErr w:type="spellEnd"/>
      <w:r w:rsidR="00842619" w:rsidRPr="00F4338B">
        <w:rPr>
          <w:lang w:eastAsia="en-NZ"/>
        </w:rPr>
        <w:t xml:space="preserve"> function</w:t>
      </w:r>
      <w:r w:rsidR="00227B2E" w:rsidRPr="00F4338B">
        <w:rPr>
          <w:lang w:eastAsia="en-NZ"/>
        </w:rPr>
        <w:t xml:space="preserve">. </w:t>
      </w:r>
      <w:r w:rsidR="008341BA" w:rsidRPr="00F4338B">
        <w:rPr>
          <w:lang w:eastAsia="en-NZ"/>
        </w:rPr>
        <w:t xml:space="preserve">This comprehensive data allows leaders to </w:t>
      </w:r>
      <w:r w:rsidR="00842619" w:rsidRPr="00F4338B">
        <w:rPr>
          <w:lang w:eastAsia="en-NZ"/>
        </w:rPr>
        <w:t xml:space="preserve">meet their stewardship responsibilities and </w:t>
      </w:r>
      <w:r w:rsidR="008341BA" w:rsidRPr="00F4338B">
        <w:rPr>
          <w:lang w:eastAsia="en-NZ"/>
        </w:rPr>
        <w:t xml:space="preserve">make informed decisions on resourcing </w:t>
      </w:r>
      <w:r w:rsidR="00842619" w:rsidRPr="00F4338B">
        <w:rPr>
          <w:lang w:eastAsia="en-NZ"/>
        </w:rPr>
        <w:t xml:space="preserve">the </w:t>
      </w:r>
      <w:proofErr w:type="spellStart"/>
      <w:r w:rsidR="00842619" w:rsidRPr="00F4338B">
        <w:rPr>
          <w:lang w:eastAsia="en-NZ"/>
        </w:rPr>
        <w:t>OIA</w:t>
      </w:r>
      <w:proofErr w:type="spellEnd"/>
      <w:r w:rsidR="00842619" w:rsidRPr="00F4338B">
        <w:rPr>
          <w:lang w:eastAsia="en-NZ"/>
        </w:rPr>
        <w:t xml:space="preserve"> function</w:t>
      </w:r>
      <w:r w:rsidR="006346EE">
        <w:rPr>
          <w:lang w:eastAsia="en-NZ"/>
        </w:rPr>
        <w:t xml:space="preserve">. </w:t>
      </w:r>
    </w:p>
    <w:p w14:paraId="5E6C4642" w14:textId="7BE6F8F2" w:rsidR="009E2BE4" w:rsidRPr="00F4338B" w:rsidRDefault="006F4975" w:rsidP="00227B2E">
      <w:pPr>
        <w:pStyle w:val="BodyText"/>
        <w:rPr>
          <w:lang w:eastAsia="en-NZ"/>
        </w:rPr>
      </w:pPr>
      <w:r>
        <w:rPr>
          <w:lang w:eastAsia="en-NZ"/>
        </w:rPr>
        <w:t xml:space="preserve">For example, </w:t>
      </w:r>
      <w:r w:rsidR="006346EE">
        <w:rPr>
          <w:lang w:eastAsia="en-NZ"/>
        </w:rPr>
        <w:t xml:space="preserve">senior leaders </w:t>
      </w:r>
      <w:r>
        <w:rPr>
          <w:lang w:eastAsia="en-NZ"/>
        </w:rPr>
        <w:t xml:space="preserve">may wish to </w:t>
      </w:r>
      <w:r w:rsidR="006346EE">
        <w:rPr>
          <w:lang w:eastAsia="en-NZ"/>
        </w:rPr>
        <w:t>consider receiving reporting on the following indicators</w:t>
      </w:r>
      <w:r w:rsidR="00842619" w:rsidRPr="00F4338B">
        <w:rPr>
          <w:lang w:eastAsia="en-NZ"/>
        </w:rPr>
        <w:t xml:space="preserve">: </w:t>
      </w:r>
    </w:p>
    <w:p w14:paraId="23C84D93" w14:textId="75340BE8" w:rsidR="009E2BE4" w:rsidRPr="00F4338B" w:rsidRDefault="008341BA" w:rsidP="008341BA">
      <w:pPr>
        <w:pStyle w:val="Bullet1"/>
        <w:rPr>
          <w:lang w:eastAsia="en-NZ"/>
        </w:rPr>
      </w:pPr>
      <w:r w:rsidRPr="00F4338B">
        <w:rPr>
          <w:lang w:eastAsia="en-NZ"/>
        </w:rPr>
        <w:t xml:space="preserve">time spent on handling requests within specific business units </w:t>
      </w:r>
      <w:r w:rsidR="00227B2E" w:rsidRPr="00F4338B">
        <w:rPr>
          <w:lang w:eastAsia="en-NZ"/>
        </w:rPr>
        <w:t>(this helps</w:t>
      </w:r>
      <w:r w:rsidR="003F0F13">
        <w:rPr>
          <w:lang w:eastAsia="en-NZ"/>
        </w:rPr>
        <w:t xml:space="preserve"> to</w:t>
      </w:r>
      <w:r w:rsidR="00227B2E" w:rsidRPr="00F4338B">
        <w:rPr>
          <w:lang w:eastAsia="en-NZ"/>
        </w:rPr>
        <w:t xml:space="preserve"> </w:t>
      </w:r>
      <w:r w:rsidRPr="00F4338B">
        <w:rPr>
          <w:lang w:eastAsia="en-NZ"/>
        </w:rPr>
        <w:t>identify bottlenecks and assist with resourcing and capacity planning</w:t>
      </w:r>
      <w:proofErr w:type="gramStart"/>
      <w:r w:rsidR="00227B2E" w:rsidRPr="00F4338B">
        <w:rPr>
          <w:lang w:eastAsia="en-NZ"/>
        </w:rPr>
        <w:t>);</w:t>
      </w:r>
      <w:proofErr w:type="gramEnd"/>
    </w:p>
    <w:p w14:paraId="2D14FF03" w14:textId="77777777" w:rsidR="00227B2E" w:rsidRPr="00F4338B" w:rsidRDefault="00227B2E" w:rsidP="00227B2E">
      <w:pPr>
        <w:pStyle w:val="Bullet1"/>
        <w:rPr>
          <w:lang w:eastAsia="en-NZ"/>
        </w:rPr>
      </w:pPr>
      <w:r w:rsidRPr="00F4338B">
        <w:rPr>
          <w:lang w:eastAsia="en-NZ"/>
        </w:rPr>
        <w:t>r</w:t>
      </w:r>
      <w:r w:rsidR="008341BA" w:rsidRPr="00F4338B">
        <w:rPr>
          <w:lang w:eastAsia="en-NZ"/>
        </w:rPr>
        <w:t xml:space="preserve">equest </w:t>
      </w:r>
      <w:r w:rsidRPr="00F4338B">
        <w:rPr>
          <w:lang w:eastAsia="en-NZ"/>
        </w:rPr>
        <w:t>t</w:t>
      </w:r>
      <w:r w:rsidR="008341BA" w:rsidRPr="00F4338B">
        <w:rPr>
          <w:lang w:eastAsia="en-NZ"/>
        </w:rPr>
        <w:t xml:space="preserve">ypes and </w:t>
      </w:r>
      <w:r w:rsidRPr="00F4338B">
        <w:rPr>
          <w:lang w:eastAsia="en-NZ"/>
        </w:rPr>
        <w:t>c</w:t>
      </w:r>
      <w:r w:rsidR="008341BA" w:rsidRPr="00F4338B">
        <w:rPr>
          <w:lang w:eastAsia="en-NZ"/>
        </w:rPr>
        <w:t>omplexity</w:t>
      </w:r>
      <w:r w:rsidRPr="00F4338B">
        <w:rPr>
          <w:lang w:eastAsia="en-NZ"/>
        </w:rPr>
        <w:t xml:space="preserve"> (this will </w:t>
      </w:r>
      <w:r w:rsidR="008341BA" w:rsidRPr="00F4338B">
        <w:rPr>
          <w:lang w:eastAsia="en-NZ"/>
        </w:rPr>
        <w:t>provide a more accurate picture of the agency's workload than simple volume metrics</w:t>
      </w:r>
      <w:proofErr w:type="gramStart"/>
      <w:r w:rsidRPr="00F4338B">
        <w:rPr>
          <w:lang w:eastAsia="en-NZ"/>
        </w:rPr>
        <w:t>);</w:t>
      </w:r>
      <w:proofErr w:type="gramEnd"/>
    </w:p>
    <w:p w14:paraId="56AFEDA4" w14:textId="428F7641" w:rsidR="00C53A4A" w:rsidRDefault="00D8752C" w:rsidP="00FB6490">
      <w:pPr>
        <w:pStyle w:val="Bullet1"/>
        <w:rPr>
          <w:lang w:eastAsia="en-NZ"/>
        </w:rPr>
      </w:pPr>
      <w:r w:rsidRPr="00F4338B">
        <w:rPr>
          <w:lang w:eastAsia="en-NZ"/>
        </w:rPr>
        <w:t>interactions with Ministers’ offices (</w:t>
      </w:r>
      <w:r w:rsidR="00C53A4A">
        <w:rPr>
          <w:lang w:eastAsia="en-NZ"/>
        </w:rPr>
        <w:t xml:space="preserve">as </w:t>
      </w:r>
      <w:r w:rsidR="009174AB" w:rsidRPr="00F4338B">
        <w:rPr>
          <w:lang w:eastAsia="en-NZ"/>
        </w:rPr>
        <w:t xml:space="preserve">discussed in </w:t>
      </w:r>
      <w:r w:rsidR="009174AB" w:rsidRPr="00A84CB1">
        <w:rPr>
          <w:i/>
          <w:iCs/>
          <w:lang w:eastAsia="en-NZ"/>
        </w:rPr>
        <w:t>‘</w:t>
      </w:r>
      <w:hyperlink w:anchor="_Interactions_with_Ministers" w:history="1">
        <w:r w:rsidR="00184916" w:rsidRPr="00A84CB1">
          <w:rPr>
            <w:rStyle w:val="Hyperlink"/>
            <w:i/>
            <w:iCs/>
            <w:lang w:eastAsia="en-NZ"/>
          </w:rPr>
          <w:t>I</w:t>
        </w:r>
        <w:r w:rsidR="009174AB" w:rsidRPr="00A84CB1">
          <w:rPr>
            <w:rStyle w:val="Hyperlink"/>
            <w:i/>
            <w:iCs/>
            <w:lang w:eastAsia="en-NZ"/>
          </w:rPr>
          <w:t>nteractions</w:t>
        </w:r>
        <w:r w:rsidR="00184916" w:rsidRPr="00A84CB1">
          <w:rPr>
            <w:rStyle w:val="Hyperlink"/>
            <w:i/>
            <w:iCs/>
            <w:lang w:eastAsia="en-NZ"/>
          </w:rPr>
          <w:t xml:space="preserve"> with Ministers on </w:t>
        </w:r>
        <w:proofErr w:type="spellStart"/>
        <w:r w:rsidR="00184916" w:rsidRPr="00A84CB1">
          <w:rPr>
            <w:rStyle w:val="Hyperlink"/>
            <w:i/>
            <w:iCs/>
            <w:lang w:eastAsia="en-NZ"/>
          </w:rPr>
          <w:t>OIA</w:t>
        </w:r>
        <w:proofErr w:type="spellEnd"/>
        <w:r w:rsidR="00184916" w:rsidRPr="00A84CB1">
          <w:rPr>
            <w:rStyle w:val="Hyperlink"/>
            <w:i/>
            <w:iCs/>
            <w:lang w:eastAsia="en-NZ"/>
          </w:rPr>
          <w:t xml:space="preserve"> requests</w:t>
        </w:r>
      </w:hyperlink>
      <w:r w:rsidR="009174AB" w:rsidRPr="00A84CB1">
        <w:rPr>
          <w:i/>
          <w:iCs/>
          <w:lang w:eastAsia="en-NZ"/>
        </w:rPr>
        <w:t>’</w:t>
      </w:r>
      <w:r w:rsidR="00C53A4A">
        <w:rPr>
          <w:lang w:eastAsia="en-NZ"/>
        </w:rPr>
        <w:t xml:space="preserve">, </w:t>
      </w:r>
      <w:r w:rsidR="00FB6490" w:rsidRPr="00FB6490">
        <w:rPr>
          <w:lang w:eastAsia="en-NZ"/>
        </w:rPr>
        <w:t xml:space="preserve">monitoring these interactions </w:t>
      </w:r>
      <w:r w:rsidR="00FB6490">
        <w:rPr>
          <w:lang w:eastAsia="en-NZ"/>
        </w:rPr>
        <w:t xml:space="preserve">will help the Ministry </w:t>
      </w:r>
      <w:r w:rsidR="00FB6490" w:rsidRPr="00FB6490">
        <w:rPr>
          <w:lang w:eastAsia="en-NZ"/>
        </w:rPr>
        <w:t xml:space="preserve">maintain </w:t>
      </w:r>
      <w:r w:rsidR="00FB6490">
        <w:rPr>
          <w:lang w:eastAsia="en-NZ"/>
        </w:rPr>
        <w:t xml:space="preserve">its </w:t>
      </w:r>
      <w:r w:rsidR="00FB6490" w:rsidRPr="00FB6490">
        <w:rPr>
          <w:lang w:eastAsia="en-NZ"/>
        </w:rPr>
        <w:t xml:space="preserve">statutory independence and identify </w:t>
      </w:r>
      <w:r w:rsidR="00FB6490">
        <w:rPr>
          <w:lang w:eastAsia="en-NZ"/>
        </w:rPr>
        <w:t xml:space="preserve">issues </w:t>
      </w:r>
      <w:r w:rsidR="00FB6490" w:rsidRPr="00FB6490">
        <w:rPr>
          <w:lang w:eastAsia="en-NZ"/>
        </w:rPr>
        <w:t>that could compromise the integrity of departmental decision-making</w:t>
      </w:r>
      <w:r w:rsidR="00FB6490">
        <w:rPr>
          <w:lang w:eastAsia="en-NZ"/>
        </w:rPr>
        <w:t>)</w:t>
      </w:r>
      <w:r w:rsidR="00A84CB1">
        <w:rPr>
          <w:lang w:eastAsia="en-NZ"/>
        </w:rPr>
        <w:t>; and</w:t>
      </w:r>
    </w:p>
    <w:p w14:paraId="1375C5AD" w14:textId="0A36E16B" w:rsidR="00A04CA7" w:rsidRDefault="00A04CA7" w:rsidP="00227B2E">
      <w:pPr>
        <w:pStyle w:val="Bullet1"/>
        <w:rPr>
          <w:lang w:eastAsia="en-NZ"/>
        </w:rPr>
      </w:pPr>
      <w:r>
        <w:rPr>
          <w:lang w:eastAsia="en-NZ"/>
        </w:rPr>
        <w:t>r</w:t>
      </w:r>
      <w:r w:rsidRPr="00A04CA7">
        <w:rPr>
          <w:lang w:eastAsia="en-NZ"/>
        </w:rPr>
        <w:t>easons for extensions or delays</w:t>
      </w:r>
      <w:r>
        <w:rPr>
          <w:lang w:eastAsia="en-NZ"/>
        </w:rPr>
        <w:t xml:space="preserve"> (this data may help the Ministry </w:t>
      </w:r>
      <w:r w:rsidRPr="00A04CA7">
        <w:rPr>
          <w:lang w:eastAsia="en-NZ"/>
        </w:rPr>
        <w:t>detect potential</w:t>
      </w:r>
      <w:r w:rsidR="003F0F13">
        <w:rPr>
          <w:lang w:eastAsia="en-NZ"/>
        </w:rPr>
        <w:t>ly</w:t>
      </w:r>
      <w:r w:rsidRPr="00A04CA7">
        <w:rPr>
          <w:lang w:eastAsia="en-NZ"/>
        </w:rPr>
        <w:t xml:space="preserve"> systemic issues that are causing delays, such as over-reliance on extensions or workload distribution among staff</w:t>
      </w:r>
      <w:r>
        <w:rPr>
          <w:lang w:eastAsia="en-NZ"/>
        </w:rPr>
        <w:t>)</w:t>
      </w:r>
      <w:r w:rsidRPr="00A04CA7">
        <w:rPr>
          <w:lang w:eastAsia="en-NZ"/>
        </w:rPr>
        <w:t>.</w:t>
      </w:r>
    </w:p>
    <w:p w14:paraId="5F42FFB7" w14:textId="6704B860" w:rsidR="004409E0" w:rsidRDefault="008141DC" w:rsidP="00364DAE">
      <w:pPr>
        <w:pStyle w:val="BodyText"/>
        <w:rPr>
          <w:lang w:eastAsia="en-NZ"/>
        </w:rPr>
      </w:pPr>
      <w:r>
        <w:rPr>
          <w:lang w:eastAsia="en-NZ"/>
        </w:rPr>
        <w:t xml:space="preserve">The Ministry should </w:t>
      </w:r>
      <w:r w:rsidR="000539DD">
        <w:rPr>
          <w:lang w:eastAsia="en-NZ"/>
        </w:rPr>
        <w:t xml:space="preserve">also </w:t>
      </w:r>
      <w:r w:rsidR="00E41F8E" w:rsidRPr="00BD249C">
        <w:rPr>
          <w:lang w:eastAsia="en-NZ"/>
        </w:rPr>
        <w:t>consider</w:t>
      </w:r>
      <w:r w:rsidR="0021276E">
        <w:rPr>
          <w:lang w:eastAsia="en-NZ"/>
        </w:rPr>
        <w:t xml:space="preserve"> introducing</w:t>
      </w:r>
      <w:r w:rsidR="00E41F8E" w:rsidRPr="00BD249C">
        <w:rPr>
          <w:lang w:eastAsia="en-NZ"/>
        </w:rPr>
        <w:t xml:space="preserve"> formal systems for gathering staff feedback on the Ministry’s </w:t>
      </w:r>
      <w:proofErr w:type="spellStart"/>
      <w:r w:rsidR="00E41F8E" w:rsidRPr="00BD249C">
        <w:rPr>
          <w:lang w:eastAsia="en-NZ"/>
        </w:rPr>
        <w:t>OIA</w:t>
      </w:r>
      <w:proofErr w:type="spellEnd"/>
      <w:r w:rsidR="00E41F8E" w:rsidRPr="00BD249C">
        <w:rPr>
          <w:lang w:eastAsia="en-NZ"/>
        </w:rPr>
        <w:t xml:space="preserve"> culture and practice and reporting the results to senior leaders. The </w:t>
      </w:r>
      <w:r w:rsidR="00F917E3">
        <w:rPr>
          <w:lang w:eastAsia="en-NZ"/>
        </w:rPr>
        <w:t>agency</w:t>
      </w:r>
      <w:r w:rsidR="00E41F8E" w:rsidRPr="00BD249C">
        <w:rPr>
          <w:lang w:eastAsia="en-NZ"/>
        </w:rPr>
        <w:t xml:space="preserve"> already has </w:t>
      </w:r>
      <w:r w:rsidR="009C7D44" w:rsidRPr="00BD249C">
        <w:rPr>
          <w:lang w:eastAsia="en-NZ"/>
        </w:rPr>
        <w:t>solid</w:t>
      </w:r>
      <w:r w:rsidR="00E41F8E" w:rsidRPr="00BD249C">
        <w:rPr>
          <w:lang w:eastAsia="en-NZ"/>
        </w:rPr>
        <w:t xml:space="preserve"> foundations for implementing this measure as the outcome of the internal </w:t>
      </w:r>
      <w:proofErr w:type="spellStart"/>
      <w:r w:rsidR="00D22DCB" w:rsidRPr="00BD249C">
        <w:rPr>
          <w:lang w:eastAsia="en-NZ"/>
        </w:rPr>
        <w:t>OIA</w:t>
      </w:r>
      <w:proofErr w:type="spellEnd"/>
      <w:r w:rsidR="00D22DCB" w:rsidRPr="00BD249C">
        <w:rPr>
          <w:lang w:eastAsia="en-NZ"/>
        </w:rPr>
        <w:t xml:space="preserve"> review </w:t>
      </w:r>
      <w:r w:rsidR="00BD249C">
        <w:rPr>
          <w:lang w:eastAsia="en-NZ"/>
        </w:rPr>
        <w:t>(discussed in ‘</w:t>
      </w:r>
      <w:proofErr w:type="spellStart"/>
      <w:r w:rsidR="00BD249C">
        <w:fldChar w:fldCharType="begin"/>
      </w:r>
      <w:r w:rsidR="00BD249C">
        <w:instrText>HYPERLINK \l "_OIA_strategy"</w:instrText>
      </w:r>
      <w:r w:rsidR="00BD249C">
        <w:fldChar w:fldCharType="separate"/>
      </w:r>
      <w:r w:rsidR="00BD249C" w:rsidRPr="00BD249C">
        <w:rPr>
          <w:rStyle w:val="Hyperlink"/>
          <w:i/>
          <w:iCs/>
          <w:lang w:eastAsia="en-NZ"/>
        </w:rPr>
        <w:t>OIA</w:t>
      </w:r>
      <w:proofErr w:type="spellEnd"/>
      <w:r w:rsidR="00BD249C" w:rsidRPr="00BD249C">
        <w:rPr>
          <w:rStyle w:val="Hyperlink"/>
          <w:i/>
          <w:iCs/>
          <w:lang w:eastAsia="en-NZ"/>
        </w:rPr>
        <w:t xml:space="preserve"> strategy</w:t>
      </w:r>
      <w:r w:rsidR="00BD249C">
        <w:fldChar w:fldCharType="end"/>
      </w:r>
      <w:r w:rsidR="00BD249C">
        <w:rPr>
          <w:lang w:eastAsia="en-NZ"/>
        </w:rPr>
        <w:t xml:space="preserve">’) </w:t>
      </w:r>
      <w:r w:rsidR="00E41F8E" w:rsidRPr="00BD249C">
        <w:rPr>
          <w:lang w:eastAsia="en-NZ"/>
        </w:rPr>
        <w:t xml:space="preserve">was </w:t>
      </w:r>
      <w:r w:rsidR="00EE593A" w:rsidRPr="00BD249C">
        <w:rPr>
          <w:lang w:eastAsia="en-NZ"/>
        </w:rPr>
        <w:t xml:space="preserve">in large part </w:t>
      </w:r>
      <w:r w:rsidR="00E41F8E" w:rsidRPr="00BD249C">
        <w:rPr>
          <w:lang w:eastAsia="en-NZ"/>
        </w:rPr>
        <w:t>informed by</w:t>
      </w:r>
      <w:bookmarkStart w:id="57" w:name="_Hlk226783849"/>
      <w:r w:rsidR="00E41F8E" w:rsidRPr="00BD249C">
        <w:rPr>
          <w:lang w:eastAsia="en-NZ"/>
        </w:rPr>
        <w:t xml:space="preserve"> feedback</w:t>
      </w:r>
      <w:r w:rsidR="00D22DCB" w:rsidRPr="00BD249C">
        <w:rPr>
          <w:lang w:eastAsia="en-NZ"/>
        </w:rPr>
        <w:t xml:space="preserve"> </w:t>
      </w:r>
      <w:r w:rsidR="00E41F8E" w:rsidRPr="00BD249C">
        <w:rPr>
          <w:lang w:eastAsia="en-NZ"/>
        </w:rPr>
        <w:t>from</w:t>
      </w:r>
      <w:r w:rsidR="00D22DCB" w:rsidRPr="00BD249C">
        <w:rPr>
          <w:lang w:eastAsia="en-NZ"/>
        </w:rPr>
        <w:t xml:space="preserve"> </w:t>
      </w:r>
      <w:r w:rsidR="00E41F8E" w:rsidRPr="00BD249C">
        <w:rPr>
          <w:lang w:eastAsia="en-NZ"/>
        </w:rPr>
        <w:t>staff</w:t>
      </w:r>
      <w:r w:rsidR="00720C65">
        <w:rPr>
          <w:lang w:eastAsia="en-NZ"/>
        </w:rPr>
        <w:t>, which is commendable</w:t>
      </w:r>
      <w:r w:rsidR="00E41F8E" w:rsidRPr="00BD249C">
        <w:rPr>
          <w:lang w:eastAsia="en-NZ"/>
        </w:rPr>
        <w:t>.</w:t>
      </w:r>
      <w:bookmarkEnd w:id="57"/>
    </w:p>
    <w:p w14:paraId="7F4434C9" w14:textId="6EF4CD1D" w:rsidR="00403F59" w:rsidRDefault="00896A19" w:rsidP="00364DAE">
      <w:pPr>
        <w:pStyle w:val="BodyText"/>
        <w:rPr>
          <w:lang w:eastAsia="en-NZ"/>
        </w:rPr>
      </w:pPr>
      <w:r w:rsidRPr="00BD249C">
        <w:rPr>
          <w:lang w:eastAsia="en-NZ"/>
        </w:rPr>
        <w:t xml:space="preserve">Finally, </w:t>
      </w:r>
      <w:r w:rsidR="00E41F8E" w:rsidRPr="00BD249C">
        <w:rPr>
          <w:lang w:eastAsia="en-NZ"/>
        </w:rPr>
        <w:t xml:space="preserve">in relation to the Ministry’s </w:t>
      </w:r>
      <w:proofErr w:type="spellStart"/>
      <w:r w:rsidR="00E41F8E" w:rsidRPr="00BD249C">
        <w:rPr>
          <w:lang w:eastAsia="en-NZ"/>
        </w:rPr>
        <w:t>OIA</w:t>
      </w:r>
      <w:proofErr w:type="spellEnd"/>
      <w:r w:rsidR="00E41F8E" w:rsidRPr="00BD249C">
        <w:rPr>
          <w:lang w:eastAsia="en-NZ"/>
        </w:rPr>
        <w:t xml:space="preserve"> performance targets, </w:t>
      </w:r>
      <w:r w:rsidRPr="00BD249C">
        <w:rPr>
          <w:lang w:eastAsia="en-NZ"/>
        </w:rPr>
        <w:t>we note that the</w:t>
      </w:r>
      <w:r w:rsidR="00836899" w:rsidRPr="00BD249C">
        <w:rPr>
          <w:lang w:eastAsia="en-NZ"/>
        </w:rPr>
        <w:t xml:space="preserve"> key p</w:t>
      </w:r>
      <w:r w:rsidRPr="00BD249C">
        <w:rPr>
          <w:lang w:eastAsia="en-NZ"/>
        </w:rPr>
        <w:t xml:space="preserve">erformance </w:t>
      </w:r>
      <w:r w:rsidR="00836899" w:rsidRPr="00BD249C">
        <w:rPr>
          <w:lang w:eastAsia="en-NZ"/>
        </w:rPr>
        <w:t>i</w:t>
      </w:r>
      <w:r w:rsidRPr="00BD249C">
        <w:rPr>
          <w:lang w:eastAsia="en-NZ"/>
        </w:rPr>
        <w:t xml:space="preserve">ndicator for departmental </w:t>
      </w:r>
      <w:proofErr w:type="spellStart"/>
      <w:r w:rsidRPr="00BD249C">
        <w:rPr>
          <w:lang w:eastAsia="en-NZ"/>
        </w:rPr>
        <w:t>OIA</w:t>
      </w:r>
      <w:proofErr w:type="spellEnd"/>
      <w:r w:rsidRPr="00BD249C">
        <w:rPr>
          <w:lang w:eastAsia="en-NZ"/>
        </w:rPr>
        <w:t xml:space="preserve"> responses is 95 percent timeliness. This should be amended to 100 percent to ensure compliance with the </w:t>
      </w:r>
      <w:r w:rsidR="009B27BB" w:rsidRPr="00BD249C">
        <w:rPr>
          <w:lang w:eastAsia="en-NZ"/>
        </w:rPr>
        <w:t>20</w:t>
      </w:r>
      <w:r w:rsidR="00BD249C">
        <w:rPr>
          <w:lang w:eastAsia="en-NZ"/>
        </w:rPr>
        <w:t>-</w:t>
      </w:r>
      <w:r w:rsidR="009B27BB" w:rsidRPr="00BD249C">
        <w:rPr>
          <w:lang w:eastAsia="en-NZ"/>
        </w:rPr>
        <w:t>working</w:t>
      </w:r>
      <w:r w:rsidRPr="00BD249C">
        <w:rPr>
          <w:lang w:eastAsia="en-NZ"/>
        </w:rPr>
        <w:t xml:space="preserve"> day maximum statutory timeframe (unless extended)</w:t>
      </w:r>
      <w:r w:rsidR="00CD2F43">
        <w:rPr>
          <w:lang w:eastAsia="en-NZ"/>
        </w:rPr>
        <w:t>,</w:t>
      </w:r>
      <w:r w:rsidR="006D2965">
        <w:rPr>
          <w:rStyle w:val="FootnoteReference"/>
          <w:lang w:eastAsia="en-NZ"/>
        </w:rPr>
        <w:footnoteReference w:id="32"/>
      </w:r>
      <w:r w:rsidRPr="00BD249C">
        <w:rPr>
          <w:lang w:eastAsia="en-NZ"/>
        </w:rPr>
        <w:t xml:space="preserve"> as it is a legal requirement in the </w:t>
      </w:r>
      <w:proofErr w:type="spellStart"/>
      <w:r w:rsidRPr="00BD249C">
        <w:rPr>
          <w:lang w:eastAsia="en-NZ"/>
        </w:rPr>
        <w:t>OIA</w:t>
      </w:r>
      <w:proofErr w:type="spellEnd"/>
      <w:r w:rsidRPr="00BD249C">
        <w:rPr>
          <w:lang w:eastAsia="en-NZ"/>
        </w:rPr>
        <w:t>.</w:t>
      </w:r>
    </w:p>
    <w:p w14:paraId="2B526AA7" w14:textId="2BFF7C7F" w:rsidR="00F11407" w:rsidRDefault="00F11407" w:rsidP="00765B0B">
      <w:pPr>
        <w:pStyle w:val="BodyText"/>
        <w:rPr>
          <w:lang w:eastAsia="en-NZ"/>
        </w:rPr>
      </w:pPr>
      <w:r>
        <w:rPr>
          <w:lang w:eastAsia="en-NZ"/>
        </w:rPr>
        <w:t>In its response to my provisional opinion</w:t>
      </w:r>
      <w:r w:rsidR="009946EA">
        <w:rPr>
          <w:lang w:eastAsia="en-NZ"/>
        </w:rPr>
        <w:t>,</w:t>
      </w:r>
      <w:r>
        <w:rPr>
          <w:lang w:eastAsia="en-NZ"/>
        </w:rPr>
        <w:t xml:space="preserve"> the Ministry </w:t>
      </w:r>
      <w:r w:rsidR="00685FDA">
        <w:rPr>
          <w:lang w:eastAsia="en-NZ"/>
        </w:rPr>
        <w:t>expressed concerns about reporting on</w:t>
      </w:r>
      <w:r w:rsidR="00765B0B">
        <w:rPr>
          <w:lang w:eastAsia="en-NZ"/>
        </w:rPr>
        <w:t xml:space="preserve"> the following</w:t>
      </w:r>
      <w:r w:rsidR="00685FDA">
        <w:rPr>
          <w:lang w:eastAsia="en-NZ"/>
        </w:rPr>
        <w:t xml:space="preserve">: </w:t>
      </w:r>
      <w:r>
        <w:rPr>
          <w:lang w:eastAsia="en-NZ"/>
        </w:rPr>
        <w:t xml:space="preserve"> </w:t>
      </w:r>
    </w:p>
    <w:p w14:paraId="13D24FEE" w14:textId="3C191E41" w:rsidR="00F11407" w:rsidRDefault="00F11407" w:rsidP="00F11407">
      <w:pPr>
        <w:pStyle w:val="QListbullet"/>
        <w:rPr>
          <w:lang w:eastAsia="en-NZ"/>
        </w:rPr>
      </w:pPr>
      <w:r>
        <w:rPr>
          <w:lang w:eastAsia="en-NZ"/>
        </w:rPr>
        <w:t xml:space="preserve">time spent on handling requests within specific business units </w:t>
      </w:r>
    </w:p>
    <w:p w14:paraId="065106FA" w14:textId="4FD9899B" w:rsidR="00F11407" w:rsidRDefault="00F11407" w:rsidP="00F11407">
      <w:pPr>
        <w:pStyle w:val="QListbullet"/>
        <w:rPr>
          <w:lang w:eastAsia="en-NZ"/>
        </w:rPr>
      </w:pPr>
      <w:r>
        <w:rPr>
          <w:lang w:eastAsia="en-NZ"/>
        </w:rPr>
        <w:t xml:space="preserve">request types and complexity </w:t>
      </w:r>
    </w:p>
    <w:p w14:paraId="6D854A0F" w14:textId="00861C7E" w:rsidR="00F11407" w:rsidRDefault="00F11407" w:rsidP="00F11407">
      <w:pPr>
        <w:pStyle w:val="QListbullet"/>
        <w:rPr>
          <w:lang w:eastAsia="en-NZ"/>
        </w:rPr>
      </w:pPr>
      <w:r>
        <w:rPr>
          <w:lang w:eastAsia="en-NZ"/>
        </w:rPr>
        <w:t xml:space="preserve">interactions with Ministers’ offices … </w:t>
      </w:r>
    </w:p>
    <w:p w14:paraId="51E8294B" w14:textId="2D7705DB" w:rsidR="00F11407" w:rsidRDefault="00F11407" w:rsidP="00F11407">
      <w:pPr>
        <w:pStyle w:val="Quotationseparateparagraph"/>
        <w:rPr>
          <w:lang w:eastAsia="en-NZ"/>
        </w:rPr>
      </w:pPr>
      <w:r>
        <w:rPr>
          <w:lang w:eastAsia="en-NZ"/>
        </w:rPr>
        <w:t xml:space="preserve">We do not have tools or systems capable of efficiently and robustly capturing this data and I am at least somewhat concerned that additional internal reporting compliance activities may divert staff focus from their responsibilities to service </w:t>
      </w:r>
      <w:proofErr w:type="spellStart"/>
      <w:r>
        <w:rPr>
          <w:lang w:eastAsia="en-NZ"/>
        </w:rPr>
        <w:t>OIA</w:t>
      </w:r>
      <w:proofErr w:type="spellEnd"/>
      <w:r>
        <w:rPr>
          <w:lang w:eastAsia="en-NZ"/>
        </w:rPr>
        <w:t xml:space="preserve"> requests in a timely and accurate manner.</w:t>
      </w:r>
    </w:p>
    <w:p w14:paraId="3C158362" w14:textId="517C86A4" w:rsidR="00F11407" w:rsidRPr="00BD249C" w:rsidRDefault="00F11407" w:rsidP="00F11407">
      <w:pPr>
        <w:pStyle w:val="BodyText"/>
        <w:rPr>
          <w:lang w:eastAsia="en-NZ"/>
        </w:rPr>
      </w:pPr>
      <w:r>
        <w:rPr>
          <w:lang w:eastAsia="en-NZ"/>
        </w:rPr>
        <w:t xml:space="preserve">I appreciate </w:t>
      </w:r>
      <w:r w:rsidR="00C035F6" w:rsidRPr="00C035F6">
        <w:rPr>
          <w:lang w:eastAsia="en-NZ"/>
        </w:rPr>
        <w:t xml:space="preserve">these reservations. </w:t>
      </w:r>
      <w:r w:rsidR="00966D84">
        <w:rPr>
          <w:lang w:eastAsia="en-NZ"/>
        </w:rPr>
        <w:t>T</w:t>
      </w:r>
      <w:r w:rsidR="00C035F6" w:rsidRPr="00C035F6">
        <w:rPr>
          <w:lang w:eastAsia="en-NZ"/>
        </w:rPr>
        <w:t>o reiterate</w:t>
      </w:r>
      <w:r w:rsidR="00966D84">
        <w:rPr>
          <w:lang w:eastAsia="en-NZ"/>
        </w:rPr>
        <w:t>,</w:t>
      </w:r>
      <w:r w:rsidR="00C035F6" w:rsidRPr="00C035F6">
        <w:rPr>
          <w:lang w:eastAsia="en-NZ"/>
        </w:rPr>
        <w:t xml:space="preserve"> </w:t>
      </w:r>
      <w:r w:rsidR="00434F8E">
        <w:rPr>
          <w:lang w:eastAsia="en-NZ"/>
        </w:rPr>
        <w:t>my guidance is intended to provide</w:t>
      </w:r>
      <w:r w:rsidR="00337910">
        <w:rPr>
          <w:lang w:eastAsia="en-NZ"/>
        </w:rPr>
        <w:t xml:space="preserve"> </w:t>
      </w:r>
      <w:r w:rsidR="00C035F6" w:rsidRPr="00C035F6">
        <w:rPr>
          <w:lang w:eastAsia="en-NZ"/>
        </w:rPr>
        <w:t xml:space="preserve">suggestions </w:t>
      </w:r>
      <w:r w:rsidR="00337910">
        <w:rPr>
          <w:lang w:eastAsia="en-NZ"/>
        </w:rPr>
        <w:t xml:space="preserve">about </w:t>
      </w:r>
      <w:r w:rsidR="00C035F6" w:rsidRPr="00C035F6">
        <w:rPr>
          <w:lang w:eastAsia="en-NZ"/>
        </w:rPr>
        <w:t xml:space="preserve">the </w:t>
      </w:r>
      <w:proofErr w:type="spellStart"/>
      <w:r w:rsidR="00337910">
        <w:rPr>
          <w:lang w:eastAsia="en-NZ"/>
        </w:rPr>
        <w:t>OIA</w:t>
      </w:r>
      <w:proofErr w:type="spellEnd"/>
      <w:r w:rsidR="00337910">
        <w:rPr>
          <w:lang w:eastAsia="en-NZ"/>
        </w:rPr>
        <w:t xml:space="preserve"> </w:t>
      </w:r>
      <w:r w:rsidR="00C035F6" w:rsidRPr="00C035F6">
        <w:rPr>
          <w:lang w:eastAsia="en-NZ"/>
        </w:rPr>
        <w:t>data that</w:t>
      </w:r>
      <w:r w:rsidR="00434F8E">
        <w:rPr>
          <w:lang w:eastAsia="en-NZ"/>
        </w:rPr>
        <w:t xml:space="preserve"> the Ministry </w:t>
      </w:r>
      <w:r w:rsidR="00C035F6" w:rsidRPr="00C035F6">
        <w:rPr>
          <w:lang w:eastAsia="en-NZ"/>
        </w:rPr>
        <w:t xml:space="preserve">may benefit from </w:t>
      </w:r>
      <w:r w:rsidR="0090564B">
        <w:rPr>
          <w:lang w:eastAsia="en-NZ"/>
        </w:rPr>
        <w:t>collecting</w:t>
      </w:r>
      <w:r w:rsidR="00C035F6" w:rsidRPr="00C035F6">
        <w:rPr>
          <w:lang w:eastAsia="en-NZ"/>
        </w:rPr>
        <w:t xml:space="preserve">, rather than </w:t>
      </w:r>
      <w:r w:rsidR="00434F8E">
        <w:rPr>
          <w:lang w:eastAsia="en-NZ"/>
        </w:rPr>
        <w:t>impose rigid compliance requirements</w:t>
      </w:r>
      <w:r w:rsidR="00C035F6" w:rsidRPr="00C035F6">
        <w:rPr>
          <w:lang w:eastAsia="en-NZ"/>
        </w:rPr>
        <w:t xml:space="preserve">. </w:t>
      </w:r>
      <w:r w:rsidR="00DE6A49">
        <w:rPr>
          <w:lang w:eastAsia="en-NZ"/>
        </w:rPr>
        <w:t xml:space="preserve">The goal of this </w:t>
      </w:r>
      <w:r w:rsidR="00C035F6" w:rsidRPr="00C035F6">
        <w:rPr>
          <w:lang w:eastAsia="en-NZ"/>
        </w:rPr>
        <w:t xml:space="preserve">qualitative </w:t>
      </w:r>
      <w:proofErr w:type="spellStart"/>
      <w:r w:rsidR="00DE6A49">
        <w:rPr>
          <w:lang w:eastAsia="en-NZ"/>
        </w:rPr>
        <w:t>OIA</w:t>
      </w:r>
      <w:proofErr w:type="spellEnd"/>
      <w:r w:rsidR="00DE6A49">
        <w:rPr>
          <w:lang w:eastAsia="en-NZ"/>
        </w:rPr>
        <w:t xml:space="preserve"> </w:t>
      </w:r>
      <w:r w:rsidR="00C035F6" w:rsidRPr="00C035F6">
        <w:rPr>
          <w:lang w:eastAsia="en-NZ"/>
        </w:rPr>
        <w:t>reporting</w:t>
      </w:r>
      <w:r w:rsidR="00DE6A49">
        <w:rPr>
          <w:lang w:eastAsia="en-NZ"/>
        </w:rPr>
        <w:t xml:space="preserve"> is to</w:t>
      </w:r>
      <w:r w:rsidR="00C035F6" w:rsidRPr="00C035F6">
        <w:rPr>
          <w:lang w:eastAsia="en-NZ"/>
        </w:rPr>
        <w:t xml:space="preserve"> help senior leadership identify bottlenecks, </w:t>
      </w:r>
      <w:r w:rsidR="00E87504">
        <w:rPr>
          <w:lang w:eastAsia="en-NZ"/>
        </w:rPr>
        <w:t>inform resourcing decisions</w:t>
      </w:r>
      <w:r w:rsidR="00C035F6" w:rsidRPr="00C035F6">
        <w:rPr>
          <w:lang w:eastAsia="en-NZ"/>
        </w:rPr>
        <w:t>, and protect staff workloads over the long term.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214"/>
      </w:tblGrid>
      <w:tr w:rsidR="00EB51EB" w14:paraId="2380DFDD" w14:textId="77777777" w:rsidTr="004662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B050"/>
          </w:tcPr>
          <w:p w14:paraId="61661001" w14:textId="3B461B69" w:rsidR="00EB51EB" w:rsidRPr="00466268" w:rsidRDefault="00EB51EB" w:rsidP="00F227D4">
            <w:pPr>
              <w:pStyle w:val="Headingboxtexttop"/>
              <w:rPr>
                <w:color w:val="000000" w:themeColor="text1"/>
              </w:rPr>
            </w:pPr>
            <w:bookmarkStart w:id="58" w:name="_Hlk226267514"/>
            <w:r w:rsidRPr="00466268">
              <w:rPr>
                <w:color w:val="000000" w:themeColor="text1"/>
              </w:rPr>
              <w:t>Action point</w:t>
            </w:r>
            <w:r w:rsidR="008D4813" w:rsidRPr="00466268">
              <w:rPr>
                <w:color w:val="000000" w:themeColor="text1"/>
              </w:rPr>
              <w:t>s</w:t>
            </w:r>
          </w:p>
        </w:tc>
      </w:tr>
      <w:tr w:rsidR="00915271" w14:paraId="089CBA4A" w14:textId="77777777" w:rsidTr="00F22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440B8290" w14:textId="5ED9F173" w:rsidR="00915271" w:rsidRDefault="00915271" w:rsidP="00074CBE">
            <w:pPr>
              <w:pStyle w:val="BodyText"/>
            </w:pPr>
            <w:r w:rsidRPr="00915271">
              <w:t xml:space="preserve">Senior leadership should ensure that </w:t>
            </w:r>
            <w:proofErr w:type="spellStart"/>
            <w:r w:rsidRPr="00915271">
              <w:t>OIA</w:t>
            </w:r>
            <w:proofErr w:type="spellEnd"/>
            <w:r w:rsidRPr="00915271">
              <w:t xml:space="preserve"> performance reporting accurately reflects completed </w:t>
            </w:r>
            <w:proofErr w:type="spellStart"/>
            <w:r w:rsidR="00EF11F9">
              <w:t>OIA</w:t>
            </w:r>
            <w:proofErr w:type="spellEnd"/>
            <w:r w:rsidR="00EF11F9">
              <w:t xml:space="preserve"> requests,</w:t>
            </w:r>
            <w:r>
              <w:t xml:space="preserve"> </w:t>
            </w:r>
            <w:r w:rsidR="00074CBE">
              <w:t xml:space="preserve">as well as formal </w:t>
            </w:r>
            <w:r w:rsidRPr="00915271">
              <w:t>extensions and delays</w:t>
            </w:r>
            <w:r w:rsidR="00EF11F9">
              <w:t xml:space="preserve">, </w:t>
            </w:r>
            <w:r w:rsidR="00074CBE">
              <w:t>to ensure systemic issues are visible and can be addressed.</w:t>
            </w:r>
          </w:p>
        </w:tc>
      </w:tr>
      <w:tr w:rsidR="00EB51EB" w14:paraId="31F6DCDA" w14:textId="77777777" w:rsidTr="00F22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2218F189" w14:textId="4A2A510E" w:rsidR="00EB51EB" w:rsidRDefault="003A4E4C" w:rsidP="00F227D4">
            <w:pPr>
              <w:pStyle w:val="BodyText"/>
            </w:pPr>
            <w:proofErr w:type="spellStart"/>
            <w:r>
              <w:t>OIA</w:t>
            </w:r>
            <w:proofErr w:type="spellEnd"/>
            <w:r>
              <w:t xml:space="preserve"> reporting to senior leaders should include more </w:t>
            </w:r>
            <w:r w:rsidR="00A04CA7">
              <w:t xml:space="preserve">qualitative data on the handling of </w:t>
            </w:r>
            <w:proofErr w:type="spellStart"/>
            <w:r w:rsidR="00A04CA7">
              <w:t>OIA</w:t>
            </w:r>
            <w:proofErr w:type="spellEnd"/>
            <w:r w:rsidR="00A04CA7">
              <w:t xml:space="preserve"> requests</w:t>
            </w:r>
            <w:r w:rsidR="00685B82">
              <w:t xml:space="preserve"> </w:t>
            </w:r>
            <w:r w:rsidR="00836899">
              <w:t>(</w:t>
            </w:r>
            <w:r w:rsidR="00A65BCC">
              <w:t>especially</w:t>
            </w:r>
            <w:r w:rsidR="00836899">
              <w:t xml:space="preserve"> outcomes)</w:t>
            </w:r>
            <w:r w:rsidR="001E2B5A">
              <w:t>,</w:t>
            </w:r>
            <w:r w:rsidR="00836899">
              <w:t xml:space="preserve"> </w:t>
            </w:r>
            <w:r w:rsidR="00685B82">
              <w:t xml:space="preserve">incorporating our suggestions. </w:t>
            </w:r>
          </w:p>
        </w:tc>
      </w:tr>
      <w:tr w:rsidR="003A4E4C" w14:paraId="4356798C" w14:textId="77777777" w:rsidTr="00F227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4DAB6535" w14:textId="628A0EAD" w:rsidR="003A4E4C" w:rsidRDefault="003A4E4C" w:rsidP="00F227D4">
            <w:pPr>
              <w:pStyle w:val="BodyText"/>
            </w:pPr>
            <w:r>
              <w:t xml:space="preserve">Senior leaders should consider introducing </w:t>
            </w:r>
            <w:r w:rsidR="001A08C2">
              <w:t xml:space="preserve">formal </w:t>
            </w:r>
            <w:r>
              <w:t xml:space="preserve">systems for gathering staff feedback on the Ministry’s </w:t>
            </w:r>
            <w:proofErr w:type="spellStart"/>
            <w:r>
              <w:t>OIA</w:t>
            </w:r>
            <w:proofErr w:type="spellEnd"/>
            <w:r>
              <w:t xml:space="preserve"> culture and practice and including the results in the internal </w:t>
            </w:r>
            <w:proofErr w:type="spellStart"/>
            <w:r>
              <w:t>OIA</w:t>
            </w:r>
            <w:proofErr w:type="spellEnd"/>
            <w:r>
              <w:t xml:space="preserve"> reporting.</w:t>
            </w:r>
          </w:p>
        </w:tc>
      </w:tr>
      <w:tr w:rsidR="00896A19" w14:paraId="251F17DD" w14:textId="77777777" w:rsidTr="00F227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21967BFB" w14:textId="0EAD1CD6" w:rsidR="00896A19" w:rsidRDefault="004272BA" w:rsidP="00F227D4">
            <w:pPr>
              <w:pStyle w:val="BodyText"/>
            </w:pPr>
            <w:r>
              <w:t>The Ministry should a</w:t>
            </w:r>
            <w:r w:rsidR="00896A19" w:rsidRPr="00896A19">
              <w:t xml:space="preserve">mend the </w:t>
            </w:r>
            <w:r w:rsidR="00ED29A8">
              <w:t>k</w:t>
            </w:r>
            <w:r w:rsidR="00896A19" w:rsidRPr="00896A19">
              <w:t xml:space="preserve">ey </w:t>
            </w:r>
            <w:r w:rsidR="00ED29A8">
              <w:t>p</w:t>
            </w:r>
            <w:r w:rsidR="00896A19" w:rsidRPr="00896A19">
              <w:t xml:space="preserve">erformance </w:t>
            </w:r>
            <w:r w:rsidR="00ED29A8">
              <w:t>i</w:t>
            </w:r>
            <w:r w:rsidR="00896A19" w:rsidRPr="00896A19">
              <w:t xml:space="preserve">ndicator for departmental </w:t>
            </w:r>
            <w:proofErr w:type="spellStart"/>
            <w:r w:rsidR="00896A19" w:rsidRPr="00896A19">
              <w:t>OIA</w:t>
            </w:r>
            <w:proofErr w:type="spellEnd"/>
            <w:r w:rsidR="00896A19" w:rsidRPr="00896A19">
              <w:t xml:space="preserve"> requests to 100</w:t>
            </w:r>
            <w:r w:rsidR="002B2415">
              <w:t xml:space="preserve"> percent </w:t>
            </w:r>
            <w:r w:rsidR="00896A19" w:rsidRPr="00896A19">
              <w:t xml:space="preserve">timeliness to ensure compliance with the legal requirement in the </w:t>
            </w:r>
            <w:proofErr w:type="spellStart"/>
            <w:r w:rsidR="00896A19" w:rsidRPr="00896A19">
              <w:t>OIA</w:t>
            </w:r>
            <w:proofErr w:type="spellEnd"/>
            <w:r w:rsidR="00F100DE">
              <w:t>.</w:t>
            </w:r>
          </w:p>
        </w:tc>
      </w:tr>
    </w:tbl>
    <w:p w14:paraId="2F4A1B56" w14:textId="22505E0D" w:rsidR="00D563D5" w:rsidRDefault="00D563D5" w:rsidP="00D563D5">
      <w:pPr>
        <w:pStyle w:val="Heading2"/>
      </w:pPr>
      <w:bookmarkStart w:id="59" w:name="_Toc239154254"/>
      <w:bookmarkEnd w:id="54"/>
      <w:bookmarkEnd w:id="55"/>
      <w:bookmarkEnd w:id="58"/>
      <w:r>
        <w:t>Quality assurance</w:t>
      </w:r>
      <w:bookmarkEnd w:id="59"/>
      <w:r>
        <w:t xml:space="preserve"> </w:t>
      </w:r>
    </w:p>
    <w:p w14:paraId="10BB2ECF" w14:textId="2C889EC9" w:rsidR="00F31FF5" w:rsidRDefault="00F31FF5" w:rsidP="00F31FF5">
      <w:pPr>
        <w:pStyle w:val="BodyText"/>
      </w:pPr>
      <w:r>
        <w:t xml:space="preserve">To help ensure high-quality </w:t>
      </w:r>
      <w:proofErr w:type="spellStart"/>
      <w:r>
        <w:t>OIA</w:t>
      </w:r>
      <w:proofErr w:type="spellEnd"/>
      <w:r>
        <w:t xml:space="preserve"> outcomes, senior leaders should</w:t>
      </w:r>
      <w:r w:rsidR="00EC0805" w:rsidRPr="00EC0805">
        <w:t xml:space="preserve"> maintain oversight</w:t>
      </w:r>
      <w:r w:rsidR="00EC0805">
        <w:t xml:space="preserve"> </w:t>
      </w:r>
      <w:r>
        <w:t xml:space="preserve">of the agency’s quality assurance framework by </w:t>
      </w:r>
      <w:r w:rsidR="00EC0805">
        <w:t>ensuring</w:t>
      </w:r>
      <w:r w:rsidR="0039756F">
        <w:t xml:space="preserve"> that</w:t>
      </w:r>
      <w:r w:rsidR="00EC0805">
        <w:t xml:space="preserve"> </w:t>
      </w:r>
      <w:r>
        <w:t>‘post-closure’ quality assurance processe</w:t>
      </w:r>
      <w:r w:rsidR="004272BA">
        <w:t>s</w:t>
      </w:r>
      <w:r w:rsidR="00EC0805">
        <w:t xml:space="preserve"> are established</w:t>
      </w:r>
      <w:r>
        <w:t xml:space="preserve">. </w:t>
      </w:r>
      <w:r w:rsidR="002D6D59">
        <w:t xml:space="preserve">These </w:t>
      </w:r>
      <w:r w:rsidR="001C1F79">
        <w:t>should</w:t>
      </w:r>
      <w:r w:rsidR="002D6D59">
        <w:t xml:space="preserve"> </w:t>
      </w:r>
      <w:r w:rsidR="002D6D59" w:rsidRPr="002D6D59">
        <w:t xml:space="preserve">involve a systematic review of finalised </w:t>
      </w:r>
      <w:proofErr w:type="spellStart"/>
      <w:r w:rsidR="002D6D59" w:rsidRPr="002D6D59">
        <w:t>OIA</w:t>
      </w:r>
      <w:proofErr w:type="spellEnd"/>
      <w:r w:rsidR="002D6D59" w:rsidRPr="002D6D59">
        <w:t xml:space="preserve"> responses to identify errors</w:t>
      </w:r>
      <w:r w:rsidR="00EC0805">
        <w:t xml:space="preserve"> and</w:t>
      </w:r>
      <w:r w:rsidR="002D6D59" w:rsidRPr="002D6D59">
        <w:t xml:space="preserve"> evaluate the consistency of decision-making</w:t>
      </w:r>
      <w:r w:rsidR="008D4813">
        <w:t>.</w:t>
      </w:r>
      <w:r w:rsidR="00FD4F4B">
        <w:t xml:space="preserve"> </w:t>
      </w:r>
      <w:r w:rsidR="00533B89">
        <w:t>T</w:t>
      </w:r>
      <w:r w:rsidR="00FD4F4B">
        <w:t xml:space="preserve">he resulting insights </w:t>
      </w:r>
      <w:r w:rsidR="00533B89">
        <w:t xml:space="preserve">should be </w:t>
      </w:r>
      <w:r w:rsidR="00FD4F4B">
        <w:t>reported to senior leadership to inform future training and process improvements.</w:t>
      </w:r>
    </w:p>
    <w:p w14:paraId="75D21E0C" w14:textId="06EE2805" w:rsidR="002D6D59" w:rsidRPr="001C1F79" w:rsidRDefault="00E979BB" w:rsidP="00F31FF5">
      <w:pPr>
        <w:pStyle w:val="BodyText"/>
      </w:pPr>
      <w:r>
        <w:t xml:space="preserve">It is </w:t>
      </w:r>
      <w:r w:rsidR="00EE4510">
        <w:t>positive</w:t>
      </w:r>
      <w:r w:rsidRPr="001C1F79">
        <w:t xml:space="preserve"> that the Ministry has recently implemented</w:t>
      </w:r>
      <w:r w:rsidR="00533B89">
        <w:t xml:space="preserve"> </w:t>
      </w:r>
      <w:r w:rsidR="00DE77F6">
        <w:t>a</w:t>
      </w:r>
      <w:r w:rsidR="0000676E">
        <w:t xml:space="preserve"> </w:t>
      </w:r>
      <w:r w:rsidR="008D4813">
        <w:t xml:space="preserve">‘post-closure’ </w:t>
      </w:r>
      <w:r w:rsidR="0000676E">
        <w:t xml:space="preserve">quality assurance </w:t>
      </w:r>
      <w:r w:rsidR="00533B89">
        <w:t>process</w:t>
      </w:r>
      <w:r w:rsidRPr="001C1F79">
        <w:t xml:space="preserve"> </w:t>
      </w:r>
      <w:r w:rsidR="00904F17" w:rsidRPr="001C1F79">
        <w:t xml:space="preserve">following </w:t>
      </w:r>
      <w:r w:rsidRPr="001C1F79">
        <w:t xml:space="preserve">the internal </w:t>
      </w:r>
      <w:proofErr w:type="spellStart"/>
      <w:r w:rsidRPr="001C1F79">
        <w:t>OIA</w:t>
      </w:r>
      <w:proofErr w:type="spellEnd"/>
      <w:r w:rsidR="002D6D59" w:rsidRPr="001C1F79">
        <w:t xml:space="preserve"> practice</w:t>
      </w:r>
      <w:r w:rsidRPr="001C1F79">
        <w:t xml:space="preserve"> review (discussed in </w:t>
      </w:r>
      <w:r w:rsidR="00C95EF3" w:rsidRPr="001C1F79">
        <w:rPr>
          <w:i/>
          <w:iCs/>
        </w:rPr>
        <w:t>‘</w:t>
      </w:r>
      <w:proofErr w:type="spellStart"/>
      <w:r w:rsidR="00C95EF3">
        <w:fldChar w:fldCharType="begin"/>
      </w:r>
      <w:r w:rsidR="00C95EF3">
        <w:instrText>HYPERLINK \l "_OIA_strategy"</w:instrText>
      </w:r>
      <w:r w:rsidR="00C95EF3">
        <w:fldChar w:fldCharType="separate"/>
      </w:r>
      <w:r w:rsidR="00C95EF3" w:rsidRPr="001C1F79">
        <w:rPr>
          <w:rStyle w:val="Hyperlink"/>
          <w:i/>
          <w:iCs/>
        </w:rPr>
        <w:t>OIA</w:t>
      </w:r>
      <w:proofErr w:type="spellEnd"/>
      <w:r w:rsidR="00C95EF3" w:rsidRPr="001C1F79">
        <w:rPr>
          <w:rStyle w:val="Hyperlink"/>
          <w:i/>
          <w:iCs/>
        </w:rPr>
        <w:t xml:space="preserve"> strategy’</w:t>
      </w:r>
      <w:r w:rsidR="00C95EF3">
        <w:fldChar w:fldCharType="end"/>
      </w:r>
      <w:r w:rsidRPr="001C1F79">
        <w:t xml:space="preserve">). </w:t>
      </w:r>
      <w:r w:rsidR="00AB577E" w:rsidRPr="001C1F79">
        <w:t xml:space="preserve">By proactively reviewing completed </w:t>
      </w:r>
      <w:proofErr w:type="spellStart"/>
      <w:r w:rsidR="001C1F79">
        <w:t>OIA</w:t>
      </w:r>
      <w:proofErr w:type="spellEnd"/>
      <w:r w:rsidR="001C1F79">
        <w:t xml:space="preserve"> </w:t>
      </w:r>
      <w:r w:rsidR="00AB577E" w:rsidRPr="001C1F79">
        <w:t>requests, the Ministry sets a leading example for other agencies to follow, demonstrating a high level of commitment to continuous improvement and systemic learning</w:t>
      </w:r>
      <w:r w:rsidR="002D6D59" w:rsidRPr="001C1F79">
        <w:t>.</w:t>
      </w:r>
      <w:r w:rsidR="00682877" w:rsidRPr="001C1F79">
        <w:t xml:space="preserve"> The Ministry may wish to embed these practices by, for example, including them into the </w:t>
      </w:r>
      <w:proofErr w:type="spellStart"/>
      <w:r w:rsidR="00682877" w:rsidRPr="001C1F79">
        <w:t>OIA</w:t>
      </w:r>
      <w:proofErr w:type="spellEnd"/>
      <w:r w:rsidR="00682877" w:rsidRPr="001C1F79">
        <w:t xml:space="preserve"> strategy (discussed in </w:t>
      </w:r>
      <w:r w:rsidR="00C95EF3" w:rsidRPr="001C1F79">
        <w:rPr>
          <w:i/>
          <w:iCs/>
        </w:rPr>
        <w:t>‘</w:t>
      </w:r>
      <w:proofErr w:type="spellStart"/>
      <w:r w:rsidR="00C95EF3">
        <w:fldChar w:fldCharType="begin"/>
      </w:r>
      <w:r w:rsidR="00C95EF3">
        <w:instrText>HYPERLINK \l "_OIA_strategy"</w:instrText>
      </w:r>
      <w:r w:rsidR="00C95EF3">
        <w:fldChar w:fldCharType="separate"/>
      </w:r>
      <w:r w:rsidR="00C95EF3" w:rsidRPr="007C672A">
        <w:rPr>
          <w:rStyle w:val="Hyperlink"/>
          <w:i/>
          <w:iCs/>
        </w:rPr>
        <w:t>OIA</w:t>
      </w:r>
      <w:proofErr w:type="spellEnd"/>
      <w:r w:rsidR="00C95EF3" w:rsidRPr="007C672A">
        <w:rPr>
          <w:rStyle w:val="Hyperlink"/>
          <w:i/>
          <w:iCs/>
        </w:rPr>
        <w:t xml:space="preserve"> strategy’</w:t>
      </w:r>
      <w:r w:rsidR="00C95EF3">
        <w:fldChar w:fldCharType="end"/>
      </w:r>
      <w:r w:rsidR="00682877" w:rsidRPr="001C1F79">
        <w:t>).</w:t>
      </w:r>
    </w:p>
    <w:p w14:paraId="2C07CD4F" w14:textId="4219583F" w:rsidR="002D6D59" w:rsidRDefault="001840D8" w:rsidP="00364DAE">
      <w:pPr>
        <w:pStyle w:val="BodyText"/>
      </w:pPr>
      <w:r w:rsidRPr="001C1F79">
        <w:t xml:space="preserve">In another recent addition to the </w:t>
      </w:r>
      <w:r w:rsidR="008D484C" w:rsidRPr="001C1F79">
        <w:t>Ministry’s quality assurance framework, t</w:t>
      </w:r>
      <w:r w:rsidR="002D6D59" w:rsidRPr="001C1F79">
        <w:t xml:space="preserve">he internal review also led to the introduction of the template </w:t>
      </w:r>
      <w:r w:rsidR="002D6D59" w:rsidRPr="001C1F79">
        <w:rPr>
          <w:i/>
          <w:iCs/>
        </w:rPr>
        <w:t>‘</w:t>
      </w:r>
      <w:proofErr w:type="spellStart"/>
      <w:r w:rsidR="002D6D59" w:rsidRPr="001C1F79">
        <w:rPr>
          <w:i/>
          <w:iCs/>
        </w:rPr>
        <w:t>OIA</w:t>
      </w:r>
      <w:proofErr w:type="spellEnd"/>
      <w:r w:rsidR="002D6D59" w:rsidRPr="001C1F79">
        <w:rPr>
          <w:i/>
          <w:iCs/>
        </w:rPr>
        <w:t xml:space="preserve"> Checklist’</w:t>
      </w:r>
      <w:r w:rsidR="002D6D59" w:rsidRPr="001C1F79">
        <w:t xml:space="preserve"> which staff are instructed to complete when handling </w:t>
      </w:r>
      <w:proofErr w:type="spellStart"/>
      <w:r w:rsidR="002D6D59" w:rsidRPr="001C1F79">
        <w:t>OIA</w:t>
      </w:r>
      <w:proofErr w:type="spellEnd"/>
      <w:r w:rsidR="002D6D59" w:rsidRPr="001C1F79">
        <w:t xml:space="preserve"> requests</w:t>
      </w:r>
      <w:r w:rsidR="00555161" w:rsidRPr="001C1F79">
        <w:t>. T</w:t>
      </w:r>
      <w:r w:rsidR="002D6D59" w:rsidRPr="001C1F79">
        <w:t>his includes the following</w:t>
      </w:r>
      <w:r w:rsidR="002D6D59">
        <w:t xml:space="preserve"> </w:t>
      </w:r>
      <w:r w:rsidR="00451986">
        <w:t xml:space="preserve">indicators of </w:t>
      </w:r>
      <w:proofErr w:type="spellStart"/>
      <w:r w:rsidR="00451986">
        <w:t>OIA</w:t>
      </w:r>
      <w:proofErr w:type="spellEnd"/>
      <w:r w:rsidR="00451986">
        <w:t xml:space="preserve"> practice</w:t>
      </w:r>
      <w:r w:rsidR="002D6D59">
        <w:t xml:space="preserve">: </w:t>
      </w:r>
    </w:p>
    <w:p w14:paraId="3BF8A9CB" w14:textId="32C28CD4" w:rsidR="00C014DF" w:rsidRPr="00C014DF" w:rsidRDefault="00F31FF5" w:rsidP="00C014DF">
      <w:pPr>
        <w:pStyle w:val="Quotationseparateparagraph"/>
      </w:pPr>
      <w:r w:rsidRPr="00C014DF">
        <w:t xml:space="preserve">For </w:t>
      </w:r>
      <w:proofErr w:type="spellStart"/>
      <w:r w:rsidRPr="00C014DF">
        <w:t>OIAs</w:t>
      </w:r>
      <w:proofErr w:type="spellEnd"/>
      <w:r w:rsidRPr="00C014DF">
        <w:t xml:space="preserve"> with multiple contributing business groups, ensure SMEs have been identified by Day 5</w:t>
      </w:r>
      <w:r w:rsidR="00C014DF">
        <w:t>;</w:t>
      </w:r>
      <w:r w:rsidR="00562B8B">
        <w:t xml:space="preserve"> </w:t>
      </w:r>
      <w:r w:rsidR="005C4D8C">
        <w:t>…</w:t>
      </w:r>
    </w:p>
    <w:p w14:paraId="6FBB6A8B" w14:textId="5219F6FC" w:rsidR="00C014DF" w:rsidRPr="00C014DF" w:rsidRDefault="00F31FF5" w:rsidP="00C014DF">
      <w:pPr>
        <w:pStyle w:val="Quotationseparateparagraph"/>
      </w:pPr>
      <w:r w:rsidRPr="00C014DF">
        <w:t xml:space="preserve">Advice provided by </w:t>
      </w:r>
      <w:proofErr w:type="spellStart"/>
      <w:r w:rsidRPr="00C014DF">
        <w:t>MfE</w:t>
      </w:r>
      <w:proofErr w:type="spellEnd"/>
      <w:r w:rsidRPr="00C014DF">
        <w:t xml:space="preserve"> is consistent with any feedback from previous </w:t>
      </w:r>
      <w:proofErr w:type="spellStart"/>
      <w:r w:rsidRPr="00C014DF">
        <w:t>OIAs</w:t>
      </w:r>
      <w:proofErr w:type="spellEnd"/>
      <w:r w:rsidRPr="00C014DF">
        <w:t xml:space="preserve"> unless there is a clear reason why a different approach is suitable. Where decisions differ from previous requests, this is noted in the memo</w:t>
      </w:r>
      <w:r w:rsidR="005C4D8C">
        <w:t>…</w:t>
      </w:r>
    </w:p>
    <w:p w14:paraId="21E63CD6" w14:textId="2449A017" w:rsidR="00C014DF" w:rsidRPr="00C014DF" w:rsidRDefault="00F31FF5" w:rsidP="00C014DF">
      <w:pPr>
        <w:pStyle w:val="Quotationseparateparagraph"/>
        <w:rPr>
          <w:b/>
          <w:bCs/>
          <w:u w:val="single"/>
        </w:rPr>
      </w:pPr>
      <w:r w:rsidRPr="00C014DF">
        <w:t>Appropriate grounds of the Act have been applied and explained</w:t>
      </w:r>
      <w:r w:rsidR="005C4D8C">
        <w:t>…</w:t>
      </w:r>
    </w:p>
    <w:p w14:paraId="76CE7EFC" w14:textId="1F991D55" w:rsidR="00C014DF" w:rsidRPr="00C014DF" w:rsidRDefault="00F31FF5" w:rsidP="00C014DF">
      <w:pPr>
        <w:pStyle w:val="Quotationseparateparagraph"/>
      </w:pPr>
      <w:r w:rsidRPr="00C014DF">
        <w:t>Marked up documents should be clean, text-searchable PDF versions (not Word) and show the proposed redactions and grounds</w:t>
      </w:r>
      <w:r w:rsidR="005C4D8C" w:rsidRPr="005C4D8C">
        <w:t>…</w:t>
      </w:r>
    </w:p>
    <w:p w14:paraId="640B729E" w14:textId="77777777" w:rsidR="00C014DF" w:rsidRPr="00C014DF" w:rsidRDefault="00C014DF" w:rsidP="00C014DF">
      <w:pPr>
        <w:pStyle w:val="Quotationseparateparagraph"/>
        <w:rPr>
          <w:rFonts w:eastAsia="Verdana"/>
        </w:rPr>
      </w:pPr>
      <w:r w:rsidRPr="00C014DF">
        <w:t>…</w:t>
      </w:r>
      <w:r w:rsidR="00F31FF5" w:rsidRPr="00C014DF">
        <w:rPr>
          <w:rFonts w:eastAsia="Verdana"/>
        </w:rPr>
        <w:t>the response is clear, complete and accurate</w:t>
      </w:r>
      <w:r w:rsidRPr="00C014DF">
        <w:rPr>
          <w:rFonts w:eastAsia="Verdana"/>
        </w:rPr>
        <w:t>.</w:t>
      </w:r>
    </w:p>
    <w:p w14:paraId="547A25A3" w14:textId="00C5A309" w:rsidR="009370CA" w:rsidRDefault="009370CA" w:rsidP="00C014DF">
      <w:pPr>
        <w:pStyle w:val="BodyText"/>
      </w:pPr>
      <w:r w:rsidRPr="007C672A">
        <w:t xml:space="preserve">The Ministry may wish to build on these positive practices and update this template </w:t>
      </w:r>
      <w:r w:rsidR="007C672A">
        <w:t xml:space="preserve">to align </w:t>
      </w:r>
      <w:r w:rsidRPr="007C672A">
        <w:t xml:space="preserve">with suggestions in </w:t>
      </w:r>
      <w:r w:rsidRPr="007C672A">
        <w:rPr>
          <w:i/>
          <w:iCs/>
        </w:rPr>
        <w:t>‘</w:t>
      </w:r>
      <w:hyperlink w:anchor="_Communicating_decisions_on" w:history="1">
        <w:r w:rsidRPr="007C672A">
          <w:rPr>
            <w:rStyle w:val="Hyperlink"/>
            <w:i/>
            <w:iCs/>
          </w:rPr>
          <w:t xml:space="preserve">Communicating decisions on </w:t>
        </w:r>
        <w:proofErr w:type="spellStart"/>
        <w:r w:rsidRPr="007C672A">
          <w:rPr>
            <w:rStyle w:val="Hyperlink"/>
            <w:i/>
            <w:iCs/>
          </w:rPr>
          <w:t>OIA</w:t>
        </w:r>
        <w:proofErr w:type="spellEnd"/>
        <w:r w:rsidRPr="007C672A">
          <w:rPr>
            <w:rStyle w:val="Hyperlink"/>
            <w:i/>
            <w:iCs/>
          </w:rPr>
          <w:t xml:space="preserve"> requests</w:t>
        </w:r>
      </w:hyperlink>
      <w:r w:rsidRPr="007C672A">
        <w:rPr>
          <w:i/>
          <w:iCs/>
        </w:rPr>
        <w:t>’</w:t>
      </w:r>
      <w:r w:rsidRPr="007C672A">
        <w:t xml:space="preserve"> and </w:t>
      </w:r>
      <w:r w:rsidRPr="007C672A">
        <w:rPr>
          <w:i/>
          <w:iCs/>
        </w:rPr>
        <w:t>‘</w:t>
      </w:r>
      <w:hyperlink w:anchor="_Ensuring_transparency_in" w:history="1">
        <w:r w:rsidRPr="007C672A">
          <w:rPr>
            <w:rStyle w:val="Hyperlink"/>
            <w:i/>
            <w:iCs/>
          </w:rPr>
          <w:t xml:space="preserve">Ensuring transparency in </w:t>
        </w:r>
        <w:proofErr w:type="spellStart"/>
        <w:r w:rsidRPr="007C672A">
          <w:rPr>
            <w:rStyle w:val="Hyperlink"/>
            <w:i/>
            <w:iCs/>
          </w:rPr>
          <w:t>OIA</w:t>
        </w:r>
        <w:proofErr w:type="spellEnd"/>
        <w:r w:rsidRPr="007C672A">
          <w:rPr>
            <w:rStyle w:val="Hyperlink"/>
            <w:i/>
            <w:iCs/>
          </w:rPr>
          <w:t xml:space="preserve"> decision-making</w:t>
        </w:r>
      </w:hyperlink>
      <w:r w:rsidRPr="007C672A">
        <w:rPr>
          <w:i/>
          <w:iCs/>
        </w:rPr>
        <w:t>’</w:t>
      </w:r>
      <w:r w:rsidRPr="007C672A">
        <w:t>.</w:t>
      </w:r>
      <w:r>
        <w:t xml:space="preserve"> </w:t>
      </w:r>
    </w:p>
    <w:p w14:paraId="15ECA912" w14:textId="44E7BAC9" w:rsidR="00E979BB" w:rsidRDefault="0064707E" w:rsidP="00E979BB">
      <w:pPr>
        <w:keepNext/>
        <w:keepLines/>
        <w:numPr>
          <w:ilvl w:val="1"/>
          <w:numId w:val="37"/>
        </w:numPr>
        <w:spacing w:before="360" w:after="140" w:line="240" w:lineRule="auto"/>
        <w:ind w:right="284"/>
        <w:outlineLvl w:val="1"/>
        <w:rPr>
          <w:rFonts w:eastAsiaTheme="majorEastAsia" w:cstheme="majorBidi"/>
          <w:b/>
          <w:bCs/>
          <w:sz w:val="30"/>
          <w:szCs w:val="26"/>
        </w:rPr>
      </w:pPr>
      <w:r>
        <w:rPr>
          <w:rFonts w:eastAsiaTheme="majorEastAsia" w:cstheme="majorBidi"/>
          <w:b/>
          <w:bCs/>
          <w:sz w:val="30"/>
          <w:szCs w:val="26"/>
        </w:rPr>
        <w:t>E</w:t>
      </w:r>
      <w:r w:rsidR="00E979BB">
        <w:rPr>
          <w:rFonts w:eastAsiaTheme="majorEastAsia" w:cstheme="majorBidi"/>
          <w:b/>
          <w:bCs/>
          <w:sz w:val="30"/>
          <w:szCs w:val="26"/>
        </w:rPr>
        <w:t xml:space="preserve">xternal professional networks </w:t>
      </w:r>
    </w:p>
    <w:p w14:paraId="2F8EF069" w14:textId="6C7B3AF1" w:rsidR="00AF4719" w:rsidRDefault="00AF4719" w:rsidP="00F6657D">
      <w:pPr>
        <w:pStyle w:val="BodyText"/>
      </w:pPr>
      <w:r w:rsidRPr="00AF4719">
        <w:t>Senior leaders should ensure</w:t>
      </w:r>
      <w:r w:rsidR="00AA7AAC">
        <w:t xml:space="preserve"> that</w:t>
      </w:r>
      <w:r w:rsidRPr="00AF4719">
        <w:t xml:space="preserve"> the</w:t>
      </w:r>
      <w:r w:rsidR="00681C45">
        <w:t xml:space="preserve">ir agency </w:t>
      </w:r>
      <w:r w:rsidRPr="00AF4719">
        <w:t xml:space="preserve">actively and routinely participates in external </w:t>
      </w:r>
      <w:proofErr w:type="spellStart"/>
      <w:r w:rsidRPr="00AF4719">
        <w:t>OIA</w:t>
      </w:r>
      <w:proofErr w:type="spellEnd"/>
      <w:r w:rsidRPr="00AF4719">
        <w:t xml:space="preserve"> forums</w:t>
      </w:r>
      <w:r w:rsidR="008D4813">
        <w:t xml:space="preserve"> and networks, as these</w:t>
      </w:r>
      <w:r w:rsidRPr="00AF4719">
        <w:t xml:space="preserve"> are vital for sharing best practices, discussing emerging issues, and collectively lifting </w:t>
      </w:r>
      <w:proofErr w:type="spellStart"/>
      <w:r w:rsidRPr="00AF4719">
        <w:t>OIA</w:t>
      </w:r>
      <w:proofErr w:type="spellEnd"/>
      <w:r w:rsidRPr="00AF4719">
        <w:t xml:space="preserve"> capability across the public sector.</w:t>
      </w:r>
    </w:p>
    <w:p w14:paraId="19E3BA81" w14:textId="5068CCDC" w:rsidR="00AF4719" w:rsidRDefault="00AF4719" w:rsidP="00F6657D">
      <w:pPr>
        <w:pStyle w:val="BodyText"/>
      </w:pPr>
      <w:r>
        <w:t xml:space="preserve">During an interview, </w:t>
      </w:r>
      <w:r w:rsidRPr="00AF4719">
        <w:t xml:space="preserve">one senior </w:t>
      </w:r>
      <w:r>
        <w:t xml:space="preserve">staff </w:t>
      </w:r>
      <w:r w:rsidRPr="00AF4719">
        <w:t>member highlighted the Ministry's involvement in cross-agency network</w:t>
      </w:r>
      <w:r w:rsidR="009F543D">
        <w:t>ing</w:t>
      </w:r>
      <w:r>
        <w:t xml:space="preserve">, </w:t>
      </w:r>
      <w:r w:rsidRPr="00AF4719">
        <w:t xml:space="preserve">specifically regarding the transition to </w:t>
      </w:r>
      <w:proofErr w:type="spellStart"/>
      <w:r w:rsidRPr="00AF4719">
        <w:t>MCERT</w:t>
      </w:r>
      <w:proofErr w:type="spellEnd"/>
      <w:r>
        <w:t xml:space="preserve"> and</w:t>
      </w:r>
      <w:r w:rsidR="006E6265">
        <w:t>, more broadly,</w:t>
      </w:r>
      <w:r>
        <w:t xml:space="preserve"> integration of artificial intelligence in </w:t>
      </w:r>
      <w:proofErr w:type="spellStart"/>
      <w:r>
        <w:t>OIA</w:t>
      </w:r>
      <w:proofErr w:type="spellEnd"/>
      <w:r>
        <w:t xml:space="preserve"> practices. However, another staff interviewee said that the Ministry does not</w:t>
      </w:r>
      <w:r w:rsidR="006149CC">
        <w:t xml:space="preserve"> yet</w:t>
      </w:r>
      <w:r>
        <w:t xml:space="preserve"> participate in external </w:t>
      </w:r>
      <w:proofErr w:type="spellStart"/>
      <w:r>
        <w:t>OIA</w:t>
      </w:r>
      <w:proofErr w:type="spellEnd"/>
      <w:r>
        <w:t xml:space="preserve"> learning forums or networks as a matter of </w:t>
      </w:r>
      <w:r w:rsidRPr="00074297">
        <w:rPr>
          <w:i/>
          <w:iCs/>
        </w:rPr>
        <w:t>‘routine’</w:t>
      </w:r>
      <w:r>
        <w:t xml:space="preserve">. </w:t>
      </w:r>
    </w:p>
    <w:p w14:paraId="55E9618E" w14:textId="79FFE626" w:rsidR="00AF4719" w:rsidRDefault="00AF4719" w:rsidP="00F6657D">
      <w:pPr>
        <w:pStyle w:val="BodyText"/>
      </w:pPr>
      <w:r w:rsidRPr="00AF4719">
        <w:t xml:space="preserve">To bridge this gap, leadership </w:t>
      </w:r>
      <w:r w:rsidR="006149CC">
        <w:t xml:space="preserve">should </w:t>
      </w:r>
      <w:r w:rsidR="008C2CC0">
        <w:t xml:space="preserve">facilitate </w:t>
      </w:r>
      <w:r w:rsidR="00F331EC" w:rsidRPr="00F331EC">
        <w:t xml:space="preserve">the Ministry’s participation in </w:t>
      </w:r>
      <w:r w:rsidR="003B5CCC">
        <w:t xml:space="preserve">cross-agency </w:t>
      </w:r>
      <w:proofErr w:type="spellStart"/>
      <w:r w:rsidR="00F331EC" w:rsidRPr="00F331EC">
        <w:t>OIA</w:t>
      </w:r>
      <w:proofErr w:type="spellEnd"/>
      <w:r w:rsidR="00F331EC" w:rsidRPr="00F331EC">
        <w:t xml:space="preserve"> forums</w:t>
      </w:r>
      <w:r w:rsidR="003B5CCC">
        <w:rPr>
          <w:rStyle w:val="FootnoteReference"/>
        </w:rPr>
        <w:footnoteReference w:id="33"/>
      </w:r>
      <w:r w:rsidR="003B5CCC">
        <w:t xml:space="preserve"> and</w:t>
      </w:r>
      <w:r w:rsidR="00681C45">
        <w:t xml:space="preserve"> </w:t>
      </w:r>
      <w:proofErr w:type="spellStart"/>
      <w:r w:rsidR="00681C45">
        <w:t>OIA</w:t>
      </w:r>
      <w:proofErr w:type="spellEnd"/>
      <w:r w:rsidR="003B5CCC">
        <w:t xml:space="preserve"> practitioner networks</w:t>
      </w:r>
      <w:r w:rsidR="00F331EC">
        <w:t xml:space="preserve"> </w:t>
      </w:r>
      <w:r w:rsidRPr="00AF4719">
        <w:t xml:space="preserve">to ensure a reciprocal exchange of knowledge. </w:t>
      </w:r>
      <w:r w:rsidR="0070597D">
        <w:t>Importantly, b</w:t>
      </w:r>
      <w:r w:rsidRPr="00AF4719">
        <w:t xml:space="preserve">y consistently sharing its own </w:t>
      </w:r>
      <w:proofErr w:type="spellStart"/>
      <w:r w:rsidR="0070597D">
        <w:t>OIA</w:t>
      </w:r>
      <w:proofErr w:type="spellEnd"/>
      <w:r w:rsidR="0070597D">
        <w:t xml:space="preserve"> </w:t>
      </w:r>
      <w:r w:rsidRPr="00AF4719">
        <w:t>successes, the Ministry can help set a higher standard for transparency and efficiency for all government agencies.</w:t>
      </w:r>
      <w:r>
        <w:t xml:space="preserve"> </w:t>
      </w:r>
    </w:p>
    <w:p w14:paraId="4E6C6AC9" w14:textId="77777777" w:rsidR="00E37ED7" w:rsidRDefault="00E37ED7" w:rsidP="00E37ED7">
      <w:pPr>
        <w:pStyle w:val="BodyText"/>
      </w:pPr>
      <w:r>
        <w:t>I</w:t>
      </w:r>
      <w:r w:rsidRPr="00A823DD">
        <w:t xml:space="preserve">n </w:t>
      </w:r>
      <w:r>
        <w:t xml:space="preserve">its </w:t>
      </w:r>
      <w:r w:rsidRPr="00A823DD">
        <w:t xml:space="preserve">response to my provisional opinion, the Ministry </w:t>
      </w:r>
      <w:r>
        <w:t xml:space="preserve">outlined its implementation of our suggestions as follows: </w:t>
      </w:r>
    </w:p>
    <w:p w14:paraId="4A32B9A0" w14:textId="1DC9DFD2" w:rsidR="00E37ED7" w:rsidRDefault="00E37ED7" w:rsidP="00E37ED7">
      <w:pPr>
        <w:pStyle w:val="Quotationseparateparagraph"/>
      </w:pPr>
      <w:r>
        <w:t xml:space="preserve">The Manager Ministerial Services has already asked </w:t>
      </w:r>
      <w:proofErr w:type="spellStart"/>
      <w:r>
        <w:t>OIA</w:t>
      </w:r>
      <w:proofErr w:type="spellEnd"/>
      <w:r>
        <w:t xml:space="preserve"> practitioners to register themselves with PSC’s </w:t>
      </w:r>
      <w:proofErr w:type="spellStart"/>
      <w:r>
        <w:t>OIA</w:t>
      </w:r>
      <w:proofErr w:type="spellEnd"/>
      <w:r>
        <w:t xml:space="preserve"> Forum so that they receive invitations and messages from the Forum directly… </w:t>
      </w:r>
    </w:p>
    <w:p w14:paraId="42013693" w14:textId="2B10349C" w:rsidR="00E37ED7" w:rsidRDefault="00E37ED7" w:rsidP="00E37ED7">
      <w:pPr>
        <w:pStyle w:val="Quotationseparateparagraph"/>
      </w:pPr>
      <w:r>
        <w:t xml:space="preserve">The Manager Ministerial Services will consider whether any of our current work programmes and ways of working would benefit the wider sector and seek to have these added to an upcoming Forum agenda. Separately, she will share this Action Point with her counterparts in </w:t>
      </w:r>
      <w:proofErr w:type="spellStart"/>
      <w:r>
        <w:t>MCERT’s</w:t>
      </w:r>
      <w:proofErr w:type="spellEnd"/>
      <w:r>
        <w:t xml:space="preserve"> foundational agencies. As the functions are integrated over the coming months, she will reference this Action Point.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le for formatting purposes"/>
      </w:tblPr>
      <w:tblGrid>
        <w:gridCol w:w="9214"/>
      </w:tblGrid>
      <w:tr w:rsidR="00460973" w14:paraId="26543934" w14:textId="77777777" w:rsidTr="0046626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tcBorders>
              <w:top w:val="none" w:sz="0" w:space="0" w:color="auto"/>
              <w:left w:val="none" w:sz="0" w:space="0" w:color="auto"/>
              <w:bottom w:val="none" w:sz="0" w:space="0" w:color="auto"/>
              <w:right w:val="none" w:sz="0" w:space="0" w:color="auto"/>
              <w:tl2br w:val="none" w:sz="0" w:space="0" w:color="auto"/>
              <w:tr2bl w:val="none" w:sz="0" w:space="0" w:color="auto"/>
            </w:tcBorders>
            <w:shd w:val="clear" w:color="auto" w:fill="00B050"/>
          </w:tcPr>
          <w:p w14:paraId="6A38F678" w14:textId="77777777" w:rsidR="00460973" w:rsidRPr="00466268" w:rsidRDefault="00460973" w:rsidP="00B46B5F">
            <w:pPr>
              <w:pStyle w:val="Headingboxtexttop"/>
              <w:rPr>
                <w:color w:val="000000" w:themeColor="text1"/>
              </w:rPr>
            </w:pPr>
            <w:r w:rsidRPr="00466268">
              <w:rPr>
                <w:color w:val="000000" w:themeColor="text1"/>
              </w:rPr>
              <w:t xml:space="preserve">Action point </w:t>
            </w:r>
          </w:p>
        </w:tc>
      </w:tr>
      <w:tr w:rsidR="00460973" w14:paraId="4DE8BB9B" w14:textId="77777777" w:rsidTr="00B46B5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214" w:type="dxa"/>
            <w:shd w:val="clear" w:color="auto" w:fill="auto"/>
          </w:tcPr>
          <w:p w14:paraId="0823510B" w14:textId="2390E660" w:rsidR="00460973" w:rsidRDefault="0068588B" w:rsidP="00B46B5F">
            <w:pPr>
              <w:pStyle w:val="BodyText"/>
            </w:pPr>
            <w:r w:rsidRPr="0068588B">
              <w:t xml:space="preserve">Senior leaders should facilitate regular participation in external </w:t>
            </w:r>
            <w:proofErr w:type="spellStart"/>
            <w:r w:rsidRPr="0068588B">
              <w:t>OIA</w:t>
            </w:r>
            <w:proofErr w:type="spellEnd"/>
            <w:r w:rsidRPr="0068588B">
              <w:t xml:space="preserve"> forums and networks to ensure the Ministry both shares its successes and learns from other agencies to lift sector-wide capability.</w:t>
            </w:r>
          </w:p>
        </w:tc>
      </w:tr>
    </w:tbl>
    <w:p w14:paraId="272D6955" w14:textId="114D9EEB" w:rsidR="00E979BB" w:rsidRDefault="00E979BB" w:rsidP="00E979BB">
      <w:pPr>
        <w:spacing w:after="0" w:line="240" w:lineRule="auto"/>
      </w:pPr>
    </w:p>
    <w:p w14:paraId="4A04E0FE" w14:textId="77777777" w:rsidR="0082375B" w:rsidRDefault="0082375B" w:rsidP="00F31FF5">
      <w:pPr>
        <w:pStyle w:val="BodyText"/>
        <w:sectPr w:rsidR="0082375B" w:rsidSect="000D1B15">
          <w:footerReference w:type="default" r:id="rId17"/>
          <w:endnotePr>
            <w:numFmt w:val="decimal"/>
          </w:endnotePr>
          <w:pgSz w:w="11906" w:h="16838" w:code="9"/>
          <w:pgMar w:top="1701" w:right="1304" w:bottom="1701" w:left="1304" w:header="680" w:footer="680" w:gutter="0"/>
          <w:pgNumType w:start="1"/>
          <w:cols w:space="708"/>
          <w:docGrid w:linePitch="360"/>
        </w:sectPr>
      </w:pPr>
      <w:r>
        <w:br w:type="page"/>
      </w:r>
    </w:p>
    <w:p w14:paraId="5AD18128" w14:textId="12D2CE96" w:rsidR="0082375B" w:rsidRDefault="0082375B" w:rsidP="00F31FF5">
      <w:pPr>
        <w:pStyle w:val="BodyText"/>
      </w:pPr>
    </w:p>
    <w:p w14:paraId="3C4BFBBA" w14:textId="61609923" w:rsidR="0082375B" w:rsidRDefault="0082375B" w:rsidP="00F31FF5">
      <w:pPr>
        <w:pStyle w:val="BodyText"/>
      </w:pPr>
      <w:r>
        <w:br w:type="page"/>
      </w:r>
    </w:p>
    <w:p w14:paraId="51DFC994" w14:textId="02DBD09A" w:rsidR="00E979BB" w:rsidRPr="00F31FF5" w:rsidRDefault="0082375B" w:rsidP="00F31FF5">
      <w:pPr>
        <w:pStyle w:val="BodyText"/>
      </w:pPr>
      <w:r>
        <w:rPr>
          <w:noProof/>
        </w:rPr>
        <mc:AlternateContent>
          <mc:Choice Requires="wps">
            <w:drawing>
              <wp:anchor distT="0" distB="0" distL="114300" distR="114300" simplePos="0" relativeHeight="251670528" behindDoc="1" locked="0" layoutInCell="1" allowOverlap="1" wp14:anchorId="45DE4823" wp14:editId="01206D61">
                <wp:simplePos x="0" y="0"/>
                <wp:positionH relativeFrom="column">
                  <wp:posOffset>-10795</wp:posOffset>
                </wp:positionH>
                <wp:positionV relativeFrom="page">
                  <wp:posOffset>9189720</wp:posOffset>
                </wp:positionV>
                <wp:extent cx="2381885" cy="457200"/>
                <wp:effectExtent l="0" t="0" r="0" b="0"/>
                <wp:wrapTight wrapText="bothSides">
                  <wp:wrapPolygon edited="0">
                    <wp:start x="0" y="0"/>
                    <wp:lineTo x="0" y="20700"/>
                    <wp:lineTo x="21421" y="20700"/>
                    <wp:lineTo x="21421" y="0"/>
                    <wp:lineTo x="0" y="0"/>
                  </wp:wrapPolygon>
                </wp:wrapTight>
                <wp:docPr id="1089281422" name="Text Box 3"/>
                <wp:cNvGraphicFramePr/>
                <a:graphic xmlns:a="http://schemas.openxmlformats.org/drawingml/2006/main">
                  <a:graphicData uri="http://schemas.microsoft.com/office/word/2010/wordprocessingShape">
                    <wps:wsp>
                      <wps:cNvSpPr txBox="1"/>
                      <wps:spPr>
                        <a:xfrm>
                          <a:off x="0" y="0"/>
                          <a:ext cx="2381885" cy="457200"/>
                        </a:xfrm>
                        <a:prstGeom prst="rect">
                          <a:avLst/>
                        </a:prstGeom>
                        <a:noFill/>
                        <a:ln w="6350">
                          <a:noFill/>
                        </a:ln>
                      </wps:spPr>
                      <wps:txbx>
                        <w:txbxContent>
                          <w:p w14:paraId="4ED25FE3" w14:textId="75858AC7" w:rsidR="0082375B" w:rsidRPr="00077199" w:rsidRDefault="004B3D1A" w:rsidP="0082375B">
                            <w:pPr>
                              <w:spacing w:after="0" w:line="240" w:lineRule="auto"/>
                              <w:rPr>
                                <w:rFonts w:cs="Calibri"/>
                                <w:color w:val="000000" w:themeColor="text1"/>
                                <w:szCs w:val="24"/>
                                <w:lang w:eastAsia="en-NZ"/>
                              </w:rPr>
                            </w:pPr>
                            <w:r w:rsidRPr="004B3D1A">
                              <w:rPr>
                                <w:color w:val="000000" w:themeColor="text1"/>
                                <w:szCs w:val="24"/>
                              </w:rPr>
                              <w:t>ISBN: 978-1-0672908-2-5 (Digital)</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anchor>
            </w:drawing>
          </mc:Choice>
          <mc:Fallback>
            <w:pict>
              <v:shape w14:anchorId="45DE4823" id="Text Box 3" o:spid="_x0000_s1028" type="#_x0000_t202" style="position:absolute;margin-left:-.85pt;margin-top:723.6pt;width:187.55pt;height:36pt;z-index:-251645952;visibility:visible;mso-wrap-style:square;mso-wrap-distance-left:9pt;mso-wrap-distance-top:0;mso-wrap-distance-right:9pt;mso-wrap-distance-bottom:0;mso-position-horizontal:absolute;mso-position-horizontal-relative:text;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" filled="f" stroked="f" strokeweight=".5pt">
                <v:textbox inset="0,0,0,0">
                  <w:txbxContent>
                    <w:p w14:paraId="4ED25FE3" w14:textId="75858AC7" w:rsidR="0082375B" w:rsidRPr="00077199" w:rsidRDefault="004B3D1A" w:rsidP="0082375B">
                      <w:pPr>
                        <w:spacing w:after="0" w:line="240" w:lineRule="auto"/>
                        <w:rPr>
                          <w:rFonts w:cs="Calibri"/>
                          <w:color w:val="000000" w:themeColor="text1"/>
                          <w:szCs w:val="24"/>
                          <w:lang w:eastAsia="en-NZ"/>
                        </w:rPr>
                      </w:pPr>
                      <w:r w:rsidRPr="004B3D1A">
                        <w:rPr>
                          <w:color w:val="000000" w:themeColor="text1"/>
                          <w:szCs w:val="24"/>
                        </w:rPr>
                        <w:t>ISBN: 978-1-0672908-2-5 (Digital)</w:t>
                      </w:r>
                    </w:p>
                  </w:txbxContent>
                </v:textbox>
                <w10:wrap type="tight" anchory="page"/>
              </v:shape>
            </w:pict>
          </mc:Fallback>
        </mc:AlternateContent>
      </w:r>
      <w:r>
        <w:rPr>
          <w:noProof/>
        </w:rPr>
        <w:drawing>
          <wp:anchor distT="0" distB="0" distL="114300" distR="114300" simplePos="0" relativeHeight="251668480" behindDoc="1" locked="0" layoutInCell="1" allowOverlap="1" wp14:anchorId="44A9A05E" wp14:editId="748AD8D4">
            <wp:simplePos x="0" y="0"/>
            <wp:positionH relativeFrom="column">
              <wp:posOffset>-76200</wp:posOffset>
            </wp:positionH>
            <wp:positionV relativeFrom="page">
              <wp:posOffset>1045210</wp:posOffset>
            </wp:positionV>
            <wp:extent cx="1943735" cy="600710"/>
            <wp:effectExtent l="0" t="0" r="0" b="8890"/>
            <wp:wrapTight wrapText="bothSides">
              <wp:wrapPolygon edited="0">
                <wp:start x="0" y="0"/>
                <wp:lineTo x="0" y="21235"/>
                <wp:lineTo x="21381" y="21235"/>
                <wp:lineTo x="21381" y="0"/>
                <wp:lineTo x="0" y="0"/>
              </wp:wrapPolygon>
            </wp:wrapTight>
            <wp:docPr id="2946257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625743" name="Picture 294625743"/>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943735" cy="600710"/>
                    </a:xfrm>
                    <a:prstGeom prst="rect">
                      <a:avLst/>
                    </a:prstGeom>
                  </pic:spPr>
                </pic:pic>
              </a:graphicData>
            </a:graphic>
            <wp14:sizeRelH relativeFrom="page">
              <wp14:pctWidth>0</wp14:pctWidth>
            </wp14:sizeRelH>
            <wp14:sizeRelV relativeFrom="page">
              <wp14:pctHeight>0</wp14:pctHeight>
            </wp14:sizeRelV>
          </wp:anchor>
        </w:drawing>
      </w:r>
    </w:p>
    <w:sectPr w:rsidR="00E979BB" w:rsidRPr="00F31FF5" w:rsidSect="000D1B15">
      <w:footerReference w:type="default" r:id="rId19"/>
      <w:endnotePr>
        <w:numFmt w:val="decimal"/>
      </w:endnotePr>
      <w:pgSz w:w="11906" w:h="16838" w:code="9"/>
      <w:pgMar w:top="1701" w:right="1304" w:bottom="1701" w:left="1304" w:header="680" w:footer="68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BE8E1" w14:textId="77777777" w:rsidR="00FB79A8" w:rsidRPr="00D45126" w:rsidRDefault="00FB79A8" w:rsidP="00554FCD">
      <w:pPr>
        <w:spacing w:after="0" w:line="240" w:lineRule="auto"/>
        <w:rPr>
          <w:color w:val="4D4D4D"/>
        </w:rPr>
      </w:pPr>
      <w:r w:rsidRPr="00D45126">
        <w:rPr>
          <w:color w:val="4D4D4D"/>
        </w:rPr>
        <w:separator/>
      </w:r>
    </w:p>
  </w:endnote>
  <w:endnote w:type="continuationSeparator" w:id="0">
    <w:p w14:paraId="1EA2EF3A" w14:textId="77777777" w:rsidR="00FB79A8" w:rsidRPr="00D45126" w:rsidRDefault="00FB79A8" w:rsidP="00554FCD">
      <w:pPr>
        <w:spacing w:after="0" w:line="240" w:lineRule="auto"/>
        <w:rPr>
          <w:color w:val="4D4D4D"/>
        </w:rPr>
      </w:pPr>
      <w:r w:rsidRPr="00D45126">
        <w:rPr>
          <w:color w:val="4D4D4D"/>
        </w:rPr>
        <w:continuationSeparator/>
      </w:r>
    </w:p>
  </w:endnote>
  <w:endnote w:type="continuationNotice" w:id="1">
    <w:p w14:paraId="4A6A2D26" w14:textId="77777777" w:rsidR="00FB79A8" w:rsidRDefault="00FB79A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F7EEA" w14:textId="5FBB65B8" w:rsidR="008C6ACE" w:rsidRPr="0059155D" w:rsidRDefault="008C6ACE" w:rsidP="00A043BB">
    <w:pPr>
      <w:pStyle w:val="Footerline"/>
    </w:pPr>
  </w:p>
  <w:p w14:paraId="24F4B665" w14:textId="3A403081" w:rsidR="008C6ACE" w:rsidRDefault="00712594" w:rsidP="00A043BB">
    <w:pPr>
      <w:pStyle w:val="Footer"/>
    </w:pPr>
    <w:r>
      <w:fldChar w:fldCharType="begin"/>
    </w:r>
    <w:r>
      <w:instrText xml:space="preserve"> DOCVARIABLE  dvShortText </w:instrText>
    </w:r>
    <w:r>
      <w:fldChar w:fldCharType="separate"/>
    </w:r>
    <w:r w:rsidR="00EB2789">
      <w:t xml:space="preserve"> </w:t>
    </w:r>
    <w:r>
      <w:fldChar w:fldCharType="end"/>
    </w:r>
    <w:r w:rsidR="008C6ACE">
      <w:t xml:space="preserve"> Page </w:t>
    </w:r>
    <w:r w:rsidR="008C6ACE" w:rsidRPr="00A32286">
      <w:rPr>
        <w:rStyle w:val="PageNumber"/>
      </w:rPr>
      <w:fldChar w:fldCharType="begin"/>
    </w:r>
    <w:r w:rsidR="008C6ACE" w:rsidRPr="00A32286">
      <w:rPr>
        <w:rStyle w:val="PageNumber"/>
      </w:rPr>
      <w:instrText xml:space="preserve"> PAGE   \* MERGEFORMAT </w:instrText>
    </w:r>
    <w:r w:rsidR="008C6ACE" w:rsidRPr="00A32286">
      <w:rPr>
        <w:rStyle w:val="PageNumber"/>
      </w:rPr>
      <w:fldChar w:fldCharType="separate"/>
    </w:r>
    <w:r>
      <w:rPr>
        <w:rStyle w:val="PageNumber"/>
        <w:noProof/>
      </w:rPr>
      <w:t>iii</w:t>
    </w:r>
    <w:r w:rsidR="008C6ACE" w:rsidRPr="00A32286">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3A7DE" w14:textId="7CBC3D10" w:rsidR="008C6ACE" w:rsidRPr="00205FAE" w:rsidRDefault="008C6ACE" w:rsidP="00205FA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43BF2" w14:textId="7D1A8062" w:rsidR="00205FAE" w:rsidRPr="00205FAE" w:rsidRDefault="00205FAE" w:rsidP="00205F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F65241" w14:textId="77777777" w:rsidR="00205FAE" w:rsidRPr="0059155D" w:rsidRDefault="00205FAE" w:rsidP="00A043BB">
    <w:pPr>
      <w:pStyle w:val="Footerline"/>
    </w:pPr>
  </w:p>
  <w:p w14:paraId="2DBE6AF8" w14:textId="56F01896" w:rsidR="00205FAE" w:rsidRDefault="00205FAE" w:rsidP="00A043BB">
    <w:pPr>
      <w:pStyle w:val="Footer"/>
    </w:pPr>
    <w:r>
      <w:fldChar w:fldCharType="begin"/>
    </w:r>
    <w:r>
      <w:instrText xml:space="preserve"> DOCVARIABLE  dvShortText </w:instrText>
    </w:r>
    <w:r>
      <w:fldChar w:fldCharType="separate"/>
    </w:r>
    <w:r w:rsidR="00EB2789">
      <w:t xml:space="preserve"> </w:t>
    </w:r>
    <w:r>
      <w:fldChar w:fldCharType="end"/>
    </w:r>
    <w:r>
      <w:t xml:space="preserve"> Page </w:t>
    </w:r>
    <w:r w:rsidRPr="00A32286">
      <w:rPr>
        <w:rStyle w:val="PageNumber"/>
      </w:rPr>
      <w:fldChar w:fldCharType="begin"/>
    </w:r>
    <w:r w:rsidRPr="00A32286">
      <w:rPr>
        <w:rStyle w:val="PageNumber"/>
      </w:rPr>
      <w:instrText xml:space="preserve"> PAGE   \* MERGEFORMAT </w:instrText>
    </w:r>
    <w:r w:rsidRPr="00A32286">
      <w:rPr>
        <w:rStyle w:val="PageNumber"/>
      </w:rPr>
      <w:fldChar w:fldCharType="separate"/>
    </w:r>
    <w:r>
      <w:rPr>
        <w:rStyle w:val="PageNumber"/>
        <w:noProof/>
      </w:rPr>
      <w:t>39</w:t>
    </w:r>
    <w:r w:rsidRPr="00A32286">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86BC1" w14:textId="0DFC469D" w:rsidR="0082375B" w:rsidRPr="0082375B" w:rsidRDefault="0082375B" w:rsidP="008237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C2735" w14:textId="77777777" w:rsidR="00FB79A8" w:rsidRPr="00D45126" w:rsidRDefault="00FB79A8" w:rsidP="002B446B">
      <w:pPr>
        <w:spacing w:after="0" w:line="240" w:lineRule="auto"/>
        <w:rPr>
          <w:color w:val="4D4D4D"/>
        </w:rPr>
      </w:pPr>
      <w:r w:rsidRPr="00D45126">
        <w:rPr>
          <w:color w:val="4D4D4D"/>
        </w:rPr>
        <w:separator/>
      </w:r>
    </w:p>
  </w:footnote>
  <w:footnote w:type="continuationSeparator" w:id="0">
    <w:p w14:paraId="59C13751" w14:textId="77777777" w:rsidR="00FB79A8" w:rsidRPr="00C14083" w:rsidRDefault="00FB79A8" w:rsidP="00554FCD">
      <w:pPr>
        <w:spacing w:after="0" w:line="240" w:lineRule="auto"/>
        <w:rPr>
          <w:color w:val="4D4D4D"/>
        </w:rPr>
      </w:pPr>
      <w:r w:rsidRPr="00C14083">
        <w:rPr>
          <w:color w:val="4D4D4D"/>
        </w:rPr>
        <w:continuationSeparator/>
      </w:r>
    </w:p>
  </w:footnote>
  <w:footnote w:type="continuationNotice" w:id="1">
    <w:p w14:paraId="54AE24D5" w14:textId="77777777" w:rsidR="00FB79A8" w:rsidRDefault="00FB79A8">
      <w:pPr>
        <w:spacing w:after="0" w:line="240" w:lineRule="auto"/>
      </w:pPr>
    </w:p>
  </w:footnote>
  <w:footnote w:id="2">
    <w:p w14:paraId="72449C93" w14:textId="043EFD36" w:rsidR="00570FC0" w:rsidRDefault="00570FC0" w:rsidP="00570FC0">
      <w:pPr>
        <w:pStyle w:val="FootnoteText"/>
      </w:pPr>
      <w:r>
        <w:rPr>
          <w:rStyle w:val="FootnoteReference"/>
        </w:rPr>
        <w:footnoteRef/>
      </w:r>
      <w:r>
        <w:t xml:space="preserve"> </w:t>
      </w:r>
      <w:r>
        <w:tab/>
      </w:r>
      <w:r w:rsidR="00BD2CC5">
        <w:t xml:space="preserve">See link to </w:t>
      </w:r>
      <w:hyperlink r:id="rId1" w:history="1">
        <w:r w:rsidR="00BD2CC5" w:rsidRPr="001A2281">
          <w:rPr>
            <w:rStyle w:val="Hyperlink"/>
            <w:i/>
            <w:iCs/>
          </w:rPr>
          <w:t>Chief Ombudsman's OIA and LGOIMA Self-Assessment tools</w:t>
        </w:r>
      </w:hyperlink>
      <w:r w:rsidR="00BD2CC5">
        <w:t>.</w:t>
      </w:r>
    </w:p>
  </w:footnote>
  <w:footnote w:id="3">
    <w:p w14:paraId="366472F7" w14:textId="62B27CA7" w:rsidR="005C2532" w:rsidRDefault="005C2532">
      <w:pPr>
        <w:pStyle w:val="FootnoteText"/>
      </w:pPr>
      <w:r w:rsidRPr="001A2281">
        <w:rPr>
          <w:rStyle w:val="FootnoteReference"/>
        </w:rPr>
        <w:footnoteRef/>
      </w:r>
      <w:r w:rsidRPr="001A2281">
        <w:t xml:space="preserve"> </w:t>
      </w:r>
      <w:r w:rsidRPr="001A2281">
        <w:tab/>
      </w:r>
      <w:r w:rsidR="00DD2F8D" w:rsidRPr="00DD2F8D">
        <w:t xml:space="preserve">The sample file review was not intended to determine the substantive merits of the specific decisions made on those files, but rather to evaluate the underlying processes and what these indicate about an agency’s OIA </w:t>
      </w:r>
      <w:r w:rsidR="00707B6E">
        <w:t xml:space="preserve">leadership, </w:t>
      </w:r>
      <w:r w:rsidR="00DD2F8D" w:rsidRPr="00DD2F8D">
        <w:t>culture</w:t>
      </w:r>
      <w:r w:rsidR="00707B6E">
        <w:t xml:space="preserve"> and performance</w:t>
      </w:r>
      <w:r w:rsidR="000B0EDE" w:rsidRPr="000B0EDE">
        <w:t>.</w:t>
      </w:r>
      <w:r w:rsidR="000B0EDE">
        <w:t xml:space="preserve"> </w:t>
      </w:r>
    </w:p>
  </w:footnote>
  <w:footnote w:id="4">
    <w:p w14:paraId="6743C3BB" w14:textId="1376CE31" w:rsidR="00D6526D" w:rsidRDefault="00D6526D">
      <w:pPr>
        <w:pStyle w:val="FootnoteText"/>
      </w:pPr>
      <w:r>
        <w:rPr>
          <w:rStyle w:val="FootnoteReference"/>
        </w:rPr>
        <w:footnoteRef/>
      </w:r>
      <w:r>
        <w:t xml:space="preserve"> </w:t>
      </w:r>
      <w:r>
        <w:tab/>
      </w:r>
      <w:r w:rsidR="00487B4F" w:rsidRPr="00487B4F">
        <w:t>Because MCERT is the statutory successor to the Ministry for the Environment, and its Chief Executive assumes the responsibilities of the Secretary for the Environment, my Office will continue its follow-ups directly with MCERT</w:t>
      </w:r>
      <w:r>
        <w:t>.</w:t>
      </w:r>
    </w:p>
  </w:footnote>
  <w:footnote w:id="5">
    <w:p w14:paraId="14C9F641" w14:textId="363323EF" w:rsidR="00EC2502" w:rsidRPr="002977EB" w:rsidRDefault="00EC2502" w:rsidP="00EC2502">
      <w:pPr>
        <w:pStyle w:val="FootnoteText"/>
        <w:rPr>
          <w:lang w:val="en-GB"/>
        </w:rPr>
      </w:pPr>
      <w:r>
        <w:rPr>
          <w:rStyle w:val="FootnoteReference"/>
        </w:rPr>
        <w:footnoteRef/>
      </w:r>
      <w:r>
        <w:t xml:space="preserve"> </w:t>
      </w:r>
      <w:r>
        <w:rPr>
          <w:lang w:val="en-GB"/>
        </w:rPr>
        <w:tab/>
        <w:t>There were</w:t>
      </w:r>
      <w:r w:rsidR="00F256CB">
        <w:rPr>
          <w:lang w:val="en-GB"/>
        </w:rPr>
        <w:t xml:space="preserve"> 252 </w:t>
      </w:r>
      <w:r>
        <w:rPr>
          <w:lang w:val="en-GB"/>
        </w:rPr>
        <w:t xml:space="preserve">individually verified responses to the </w:t>
      </w:r>
      <w:r w:rsidR="00D50A06">
        <w:rPr>
          <w:lang w:val="en-GB"/>
        </w:rPr>
        <w:t xml:space="preserve">Ministry’s </w:t>
      </w:r>
      <w:r>
        <w:rPr>
          <w:lang w:val="en-GB"/>
        </w:rPr>
        <w:t xml:space="preserve">staff survey. </w:t>
      </w:r>
      <w:r>
        <w:t>R</w:t>
      </w:r>
      <w:r w:rsidRPr="00C84AC6">
        <w:t>espondents were not required to answer each survey question and the number of responses per question varied.</w:t>
      </w:r>
    </w:p>
  </w:footnote>
  <w:footnote w:id="6">
    <w:p w14:paraId="1DA29EC9" w14:textId="6F3CBFBD" w:rsidR="00D50A06" w:rsidRPr="00384162" w:rsidRDefault="00D50A06" w:rsidP="00D50A06">
      <w:pPr>
        <w:pStyle w:val="FootnoteText"/>
        <w:rPr>
          <w:lang w:val="en-GB"/>
        </w:rPr>
      </w:pPr>
      <w:r>
        <w:rPr>
          <w:rStyle w:val="FootnoteReference"/>
        </w:rPr>
        <w:footnoteRef/>
      </w:r>
      <w:r>
        <w:t xml:space="preserve"> </w:t>
      </w:r>
      <w:r>
        <w:rPr>
          <w:lang w:val="en-GB"/>
        </w:rPr>
        <w:tab/>
      </w:r>
      <w:r w:rsidR="00030D1E" w:rsidRPr="00030D1E">
        <w:rPr>
          <w:lang w:val="en-GB"/>
        </w:rPr>
        <w:t>This question was answered by 228 survey respondents.</w:t>
      </w:r>
      <w:r w:rsidRPr="00384162">
        <w:rPr>
          <w:lang w:val="en-GB"/>
        </w:rPr>
        <w:t xml:space="preserve"> Percentages have been rounded to the nearest whole number.</w:t>
      </w:r>
    </w:p>
  </w:footnote>
  <w:footnote w:id="7">
    <w:p w14:paraId="4CA41CB8" w14:textId="2EEA0DE3" w:rsidR="00CC1823" w:rsidRDefault="00CC1823" w:rsidP="00CC1823">
      <w:pPr>
        <w:pStyle w:val="FootnoteText"/>
      </w:pPr>
      <w:r>
        <w:rPr>
          <w:rStyle w:val="FootnoteReference"/>
        </w:rPr>
        <w:footnoteRef/>
      </w:r>
      <w:r>
        <w:t xml:space="preserve"> </w:t>
      </w:r>
      <w:r>
        <w:tab/>
      </w:r>
      <w:r w:rsidRPr="00485699">
        <w:t xml:space="preserve">The intent of the OIA is </w:t>
      </w:r>
      <w:r>
        <w:t xml:space="preserve">expressed through its statutory purposes outlined in section 4 of the </w:t>
      </w:r>
      <w:r w:rsidR="002473F2">
        <w:t>Act</w:t>
      </w:r>
      <w:r>
        <w:t xml:space="preserve">. This establishes that the OIA’s </w:t>
      </w:r>
      <w:r w:rsidRPr="00290AB1">
        <w:t>purpose</w:t>
      </w:r>
      <w:r w:rsidR="009408A6">
        <w:t xml:space="preserve">s are </w:t>
      </w:r>
      <w:r w:rsidRPr="00290AB1">
        <w:t xml:space="preserve">to progressively increase information availability to enable public participation, promote </w:t>
      </w:r>
      <w:r>
        <w:t xml:space="preserve">government </w:t>
      </w:r>
      <w:r w:rsidRPr="00290AB1">
        <w:t xml:space="preserve">accountability, and protect </w:t>
      </w:r>
      <w:r w:rsidR="00914985">
        <w:t>official</w:t>
      </w:r>
      <w:r w:rsidRPr="00290AB1">
        <w:t xml:space="preserve"> information </w:t>
      </w:r>
      <w:r w:rsidR="00914985">
        <w:t>where this is warranted to the extent consistent with</w:t>
      </w:r>
      <w:r w:rsidRPr="00290AB1">
        <w:t xml:space="preserve"> the public interest.</w:t>
      </w:r>
    </w:p>
  </w:footnote>
  <w:footnote w:id="8">
    <w:p w14:paraId="1BD7EDB7" w14:textId="4779D3BC" w:rsidR="003A6A67" w:rsidRDefault="003A6A67">
      <w:pPr>
        <w:pStyle w:val="FootnoteText"/>
      </w:pPr>
      <w:r>
        <w:rPr>
          <w:rStyle w:val="FootnoteReference"/>
        </w:rPr>
        <w:footnoteRef/>
      </w:r>
      <w:r>
        <w:t xml:space="preserve"> </w:t>
      </w:r>
      <w:r>
        <w:tab/>
      </w:r>
      <w:r w:rsidRPr="003A6A67">
        <w:t>The Ministry’s OIA function sits within a team called ‘Ministerial Services team’ which, in addition to responsibilities around OIA and proactive releases, also handles the Ministry’s ministerial correspondence, written parliamentary question</w:t>
      </w:r>
      <w:r w:rsidR="002473F2">
        <w:t>s</w:t>
      </w:r>
      <w:r w:rsidRPr="003A6A67">
        <w:t xml:space="preserve">, </w:t>
      </w:r>
      <w:r w:rsidR="00CD5636">
        <w:t xml:space="preserve">and </w:t>
      </w:r>
      <w:r w:rsidRPr="003A6A67">
        <w:t>providing weekly updates to ministers.</w:t>
      </w:r>
    </w:p>
  </w:footnote>
  <w:footnote w:id="9">
    <w:p w14:paraId="0098CF0C" w14:textId="215D48D4" w:rsidR="002C0F15" w:rsidRDefault="002C0F15">
      <w:pPr>
        <w:pStyle w:val="FootnoteText"/>
      </w:pPr>
      <w:r>
        <w:rPr>
          <w:rStyle w:val="FootnoteReference"/>
        </w:rPr>
        <w:footnoteRef/>
      </w:r>
      <w:r>
        <w:t xml:space="preserve"> </w:t>
      </w:r>
      <w:r>
        <w:tab/>
        <w:t>‘Signals’ could include specific messaging from leaders about the OIA, or actions demonstrating support for the disclosure of information under the OIA.</w:t>
      </w:r>
    </w:p>
  </w:footnote>
  <w:footnote w:id="10">
    <w:p w14:paraId="4EFDA61D" w14:textId="03288629" w:rsidR="00D0424A" w:rsidRPr="00A4481E" w:rsidRDefault="00D0424A" w:rsidP="00D0424A">
      <w:pPr>
        <w:pStyle w:val="FootnoteText"/>
        <w:rPr>
          <w:lang w:val="en-GB"/>
        </w:rPr>
      </w:pPr>
      <w:r>
        <w:rPr>
          <w:rStyle w:val="FootnoteReference"/>
        </w:rPr>
        <w:footnoteRef/>
      </w:r>
      <w:r>
        <w:t xml:space="preserve"> </w:t>
      </w:r>
      <w:r>
        <w:rPr>
          <w:lang w:val="en-GB"/>
        </w:rPr>
        <w:tab/>
      </w:r>
      <w:r w:rsidR="00030D1E" w:rsidRPr="00030D1E">
        <w:rPr>
          <w:lang w:val="en-GB"/>
        </w:rPr>
        <w:t>This question was answered by 228 survey respondents.</w:t>
      </w:r>
      <w:r w:rsidR="00030D1E">
        <w:rPr>
          <w:lang w:val="en-GB"/>
        </w:rPr>
        <w:t xml:space="preserve"> </w:t>
      </w:r>
      <w:r>
        <w:rPr>
          <w:lang w:val="en-GB"/>
        </w:rPr>
        <w:t>Percentages have been rounded to the nearest whole number.</w:t>
      </w:r>
    </w:p>
  </w:footnote>
  <w:footnote w:id="11">
    <w:p w14:paraId="14B26848" w14:textId="309911F9" w:rsidR="0010421F" w:rsidRDefault="0010421F" w:rsidP="0010421F">
      <w:pPr>
        <w:pStyle w:val="FootnoteText"/>
      </w:pPr>
      <w:r>
        <w:rPr>
          <w:rStyle w:val="FootnoteReference"/>
        </w:rPr>
        <w:footnoteRef/>
      </w:r>
      <w:r>
        <w:t xml:space="preserve"> </w:t>
      </w:r>
      <w:r>
        <w:tab/>
        <w:t>Consultation may be reasonably necessary when the requested information is of concern to the Minister</w:t>
      </w:r>
      <w:r w:rsidR="004D1DD4">
        <w:t xml:space="preserve"> – </w:t>
      </w:r>
      <w:r>
        <w:t>for example, because they supplied the information or it is about their functions or activities.</w:t>
      </w:r>
    </w:p>
  </w:footnote>
  <w:footnote w:id="12">
    <w:p w14:paraId="1B57548C" w14:textId="4832393B" w:rsidR="0010421F" w:rsidRDefault="0010421F" w:rsidP="0010421F">
      <w:pPr>
        <w:pStyle w:val="FootnoteText"/>
      </w:pPr>
      <w:r>
        <w:rPr>
          <w:rStyle w:val="FootnoteReference"/>
        </w:rPr>
        <w:footnoteRef/>
      </w:r>
      <w:r>
        <w:t xml:space="preserve"> </w:t>
      </w:r>
      <w:r>
        <w:tab/>
        <w:t xml:space="preserve">See </w:t>
      </w:r>
      <w:r w:rsidR="004D1DD4">
        <w:t xml:space="preserve">link to </w:t>
      </w:r>
      <w:hyperlink r:id="rId2" w:history="1">
        <w:r w:rsidR="004D1DD4">
          <w:rPr>
            <w:rStyle w:val="Hyperlink"/>
          </w:rPr>
          <w:t>section 15(4) of the OIA</w:t>
        </w:r>
      </w:hyperlink>
      <w:r w:rsidR="004D1DD4">
        <w:t>.</w:t>
      </w:r>
    </w:p>
  </w:footnote>
  <w:footnote w:id="13">
    <w:p w14:paraId="54D0261B" w14:textId="7E425512" w:rsidR="009C742A" w:rsidRDefault="009C742A">
      <w:pPr>
        <w:pStyle w:val="FootnoteText"/>
      </w:pPr>
      <w:r>
        <w:rPr>
          <w:rStyle w:val="FootnoteReference"/>
        </w:rPr>
        <w:footnoteRef/>
      </w:r>
      <w:r>
        <w:t xml:space="preserve"> </w:t>
      </w:r>
      <w:r>
        <w:tab/>
      </w:r>
      <w:r w:rsidR="001C75E9">
        <w:t xml:space="preserve">See link to the </w:t>
      </w:r>
      <w:hyperlink r:id="rId3" w:history="1">
        <w:r w:rsidR="001C75E9" w:rsidRPr="001C75E9">
          <w:rPr>
            <w:rStyle w:val="Hyperlink"/>
          </w:rPr>
          <w:t>Cabinet Manual, para 3.26(a)</w:t>
        </w:r>
      </w:hyperlink>
      <w:r w:rsidR="001C75E9">
        <w:t xml:space="preserve">. </w:t>
      </w:r>
    </w:p>
  </w:footnote>
  <w:footnote w:id="14">
    <w:p w14:paraId="3DC9BD4F" w14:textId="6D75A223" w:rsidR="003D6474" w:rsidRDefault="003D6474" w:rsidP="003D6474">
      <w:pPr>
        <w:pStyle w:val="FootnoteText"/>
      </w:pPr>
      <w:r>
        <w:rPr>
          <w:rStyle w:val="FootnoteReference"/>
        </w:rPr>
        <w:footnoteRef/>
      </w:r>
      <w:r>
        <w:t xml:space="preserve"> </w:t>
      </w:r>
      <w:r>
        <w:tab/>
      </w:r>
      <w:r w:rsidR="00D33A4B">
        <w:t xml:space="preserve">When developing template letters for </w:t>
      </w:r>
      <w:r>
        <w:t>corres</w:t>
      </w:r>
      <w:r w:rsidR="00D33A4B">
        <w:t>ponding with the Ministers’ offices, t</w:t>
      </w:r>
      <w:r>
        <w:t xml:space="preserve">he Ministry may wish to refer to wording used in the Ombudsman’s </w:t>
      </w:r>
      <w:hyperlink r:id="rId4" w:history="1">
        <w:r w:rsidRPr="004C5BA9">
          <w:rPr>
            <w:rStyle w:val="Hyperlink"/>
            <w:i/>
            <w:iCs/>
          </w:rPr>
          <w:t>‘Template letter 25: Consultation with third parties’</w:t>
        </w:r>
      </w:hyperlink>
      <w:r>
        <w:t>.</w:t>
      </w:r>
      <w:r w:rsidR="00646F28">
        <w:t xml:space="preserve"> For example, the template may set a clear deadline, noting that failure to respond may result in a decision being made without the input from the Minister’s office. </w:t>
      </w:r>
    </w:p>
  </w:footnote>
  <w:footnote w:id="15">
    <w:p w14:paraId="30B1D071" w14:textId="094A3DB5" w:rsidR="00D25D07" w:rsidRDefault="00D25D07" w:rsidP="00D25D07">
      <w:pPr>
        <w:pStyle w:val="FootnoteText"/>
      </w:pPr>
      <w:r>
        <w:rPr>
          <w:rStyle w:val="FootnoteReference"/>
        </w:rPr>
        <w:footnoteRef/>
      </w:r>
      <w:r>
        <w:t xml:space="preserve"> </w:t>
      </w:r>
      <w:r>
        <w:tab/>
      </w:r>
      <w:r w:rsidR="00040CB1">
        <w:t>See l</w:t>
      </w:r>
      <w:r>
        <w:t xml:space="preserve">ink to the </w:t>
      </w:r>
      <w:r w:rsidR="000449CC">
        <w:t xml:space="preserve">Ombudsman’s </w:t>
      </w:r>
      <w:r w:rsidR="000449CC" w:rsidRPr="000449CC">
        <w:rPr>
          <w:i/>
          <w:iCs/>
        </w:rPr>
        <w:t>‘</w:t>
      </w:r>
      <w:hyperlink r:id="rId5" w:history="1">
        <w:r w:rsidRPr="00F25ABC">
          <w:rPr>
            <w:rStyle w:val="Hyperlink"/>
            <w:i/>
            <w:iCs/>
          </w:rPr>
          <w:t xml:space="preserve">Model </w:t>
        </w:r>
        <w:r w:rsidR="000449CC" w:rsidRPr="00F25ABC">
          <w:rPr>
            <w:rStyle w:val="Hyperlink"/>
            <w:i/>
            <w:iCs/>
          </w:rPr>
          <w:t>p</w:t>
        </w:r>
        <w:r w:rsidRPr="00F25ABC">
          <w:rPr>
            <w:rStyle w:val="Hyperlink"/>
            <w:i/>
            <w:iCs/>
          </w:rPr>
          <w:t>rotocol</w:t>
        </w:r>
        <w:r w:rsidR="000449CC" w:rsidRPr="00F25ABC">
          <w:rPr>
            <w:rStyle w:val="Hyperlink"/>
            <w:i/>
            <w:iCs/>
          </w:rPr>
          <w:t xml:space="preserve"> on dealing with OIA requests involving Ministers’</w:t>
        </w:r>
      </w:hyperlink>
      <w:r w:rsidR="000449CC">
        <w:t>.</w:t>
      </w:r>
    </w:p>
  </w:footnote>
  <w:footnote w:id="16">
    <w:p w14:paraId="2D5B404F" w14:textId="369325C8" w:rsidR="00D00DEE" w:rsidRDefault="00D00DEE">
      <w:pPr>
        <w:pStyle w:val="FootnoteText"/>
      </w:pPr>
      <w:r>
        <w:rPr>
          <w:rStyle w:val="FootnoteReference"/>
        </w:rPr>
        <w:footnoteRef/>
      </w:r>
      <w:r>
        <w:t xml:space="preserve"> </w:t>
      </w:r>
      <w:r>
        <w:tab/>
      </w:r>
      <w:r w:rsidR="00040CB1">
        <w:t>See l</w:t>
      </w:r>
      <w:r>
        <w:t xml:space="preserve">ink to the Ombudsman’s guide </w:t>
      </w:r>
      <w:hyperlink r:id="rId6" w:history="1">
        <w:r w:rsidRPr="00D00DEE">
          <w:rPr>
            <w:rStyle w:val="Hyperlink"/>
            <w:i/>
            <w:iCs/>
          </w:rPr>
          <w:t>‘Dealing with OIA requests involving Min</w:t>
        </w:r>
        <w:r w:rsidR="00291FC8">
          <w:rPr>
            <w:rStyle w:val="Hyperlink"/>
            <w:i/>
            <w:iCs/>
          </w:rPr>
          <w:t>i</w:t>
        </w:r>
        <w:r w:rsidRPr="00D00DEE">
          <w:rPr>
            <w:rStyle w:val="Hyperlink"/>
            <w:i/>
            <w:iCs/>
          </w:rPr>
          <w:t>sters’</w:t>
        </w:r>
      </w:hyperlink>
      <w:r>
        <w:t>.</w:t>
      </w:r>
    </w:p>
  </w:footnote>
  <w:footnote w:id="17">
    <w:p w14:paraId="0B5ED3D9" w14:textId="7ED6E719" w:rsidR="00DB7A93" w:rsidRDefault="00DB7A93">
      <w:pPr>
        <w:pStyle w:val="FootnoteText"/>
      </w:pPr>
      <w:r>
        <w:rPr>
          <w:rStyle w:val="FootnoteReference"/>
        </w:rPr>
        <w:footnoteRef/>
      </w:r>
      <w:r>
        <w:t xml:space="preserve"> </w:t>
      </w:r>
      <w:r>
        <w:tab/>
      </w:r>
      <w:r w:rsidR="00624094">
        <w:t>See link to</w:t>
      </w:r>
      <w:r w:rsidR="00624094" w:rsidRPr="00624094">
        <w:t xml:space="preserve"> </w:t>
      </w:r>
      <w:hyperlink r:id="rId7" w:history="1">
        <w:r w:rsidR="00624094" w:rsidRPr="00624094">
          <w:rPr>
            <w:rStyle w:val="Hyperlink"/>
            <w:i/>
            <w:iCs/>
          </w:rPr>
          <w:t xml:space="preserve">Kelsey v </w:t>
        </w:r>
        <w:r w:rsidR="00A072C6">
          <w:rPr>
            <w:rStyle w:val="Hyperlink"/>
            <w:i/>
            <w:iCs/>
          </w:rPr>
          <w:t xml:space="preserve">The </w:t>
        </w:r>
        <w:r w:rsidR="00624094" w:rsidRPr="00624094">
          <w:rPr>
            <w:rStyle w:val="Hyperlink"/>
            <w:i/>
            <w:iCs/>
          </w:rPr>
          <w:t>Minister of Trade</w:t>
        </w:r>
        <w:r w:rsidR="00624094" w:rsidRPr="00624094">
          <w:rPr>
            <w:rStyle w:val="Hyperlink"/>
          </w:rPr>
          <w:t xml:space="preserve"> [2015] NZHC 2497</w:t>
        </w:r>
      </w:hyperlink>
      <w:r w:rsidR="00624094">
        <w:t xml:space="preserve">, at [108]. </w:t>
      </w:r>
      <w:r>
        <w:t>For</w:t>
      </w:r>
      <w:r w:rsidR="00256B94">
        <w:t xml:space="preserve"> further</w:t>
      </w:r>
      <w:r w:rsidR="00624094">
        <w:t xml:space="preserve"> discussion, </w:t>
      </w:r>
      <w:r>
        <w:t xml:space="preserve">see link to the Ombudsman’s case note </w:t>
      </w:r>
      <w:hyperlink r:id="rId8" w:history="1">
        <w:r w:rsidRPr="00DB7A93">
          <w:rPr>
            <w:rStyle w:val="Hyperlink"/>
          </w:rPr>
          <w:t>‘</w:t>
        </w:r>
        <w:r w:rsidRPr="00DB7A93">
          <w:rPr>
            <w:rStyle w:val="Hyperlink"/>
            <w:i/>
            <w:iCs/>
          </w:rPr>
          <w:t>Deficiencies and delays in decision-making process and release of official information’</w:t>
        </w:r>
      </w:hyperlink>
      <w:r>
        <w:t>.</w:t>
      </w:r>
    </w:p>
  </w:footnote>
  <w:footnote w:id="18">
    <w:p w14:paraId="42D11918" w14:textId="6A8F9DEA" w:rsidR="00682B62" w:rsidRDefault="00682B62" w:rsidP="00682B62">
      <w:pPr>
        <w:pStyle w:val="FootnoteText"/>
      </w:pPr>
      <w:r>
        <w:rPr>
          <w:rStyle w:val="FootnoteReference"/>
        </w:rPr>
        <w:footnoteRef/>
      </w:r>
      <w:r>
        <w:tab/>
      </w:r>
      <w:r w:rsidR="001C75E9">
        <w:t>See l</w:t>
      </w:r>
      <w:r>
        <w:t xml:space="preserve">ink to </w:t>
      </w:r>
      <w:hyperlink r:id="rId9" w:anchor="DLM65390" w:history="1">
        <w:r w:rsidRPr="0086709A">
          <w:rPr>
            <w:rStyle w:val="Hyperlink"/>
          </w:rPr>
          <w:t>section 15(1) of the OIA</w:t>
        </w:r>
      </w:hyperlink>
      <w:r>
        <w:t>.</w:t>
      </w:r>
    </w:p>
  </w:footnote>
  <w:footnote w:id="19">
    <w:p w14:paraId="49929929" w14:textId="7EDDEE92" w:rsidR="00552E4E" w:rsidRDefault="00552E4E" w:rsidP="00552E4E">
      <w:pPr>
        <w:pStyle w:val="FootnoteText"/>
      </w:pPr>
      <w:r w:rsidRPr="00C8609F">
        <w:rPr>
          <w:rStyle w:val="FootnoteReference"/>
        </w:rPr>
        <w:footnoteRef/>
      </w:r>
      <w:r w:rsidRPr="00C8609F">
        <w:t xml:space="preserve"> </w:t>
      </w:r>
      <w:r w:rsidRPr="00C8609F">
        <w:tab/>
      </w:r>
      <w:r w:rsidR="001C75E9">
        <w:t>See l</w:t>
      </w:r>
      <w:r w:rsidRPr="00C8609F">
        <w:t xml:space="preserve">ink to </w:t>
      </w:r>
      <w:hyperlink r:id="rId10" w:history="1">
        <w:r w:rsidRPr="00C8609F">
          <w:rPr>
            <w:rStyle w:val="Hyperlink"/>
          </w:rPr>
          <w:t>section 15A of the OIA</w:t>
        </w:r>
      </w:hyperlink>
      <w:r w:rsidRPr="00C8609F">
        <w:t>.</w:t>
      </w:r>
      <w:r w:rsidR="006A5970" w:rsidRPr="00C8609F">
        <w:t xml:space="preserve"> </w:t>
      </w:r>
      <w:r w:rsidR="008C4DF7" w:rsidRPr="00C8609F">
        <w:t>Also</w:t>
      </w:r>
      <w:r w:rsidR="00672774" w:rsidRPr="00C8609F">
        <w:t>,</w:t>
      </w:r>
      <w:r w:rsidR="008C4DF7" w:rsidRPr="00C8609F">
        <w:t xml:space="preserve"> see link to the </w:t>
      </w:r>
      <w:r w:rsidR="006A5970" w:rsidRPr="00C8609F">
        <w:t>Ombudsman’s case note ‘</w:t>
      </w:r>
      <w:hyperlink r:id="rId11" w:history="1">
        <w:r w:rsidR="006A5970" w:rsidRPr="00C8609F">
          <w:rPr>
            <w:rStyle w:val="Hyperlink"/>
            <w:i/>
            <w:iCs/>
          </w:rPr>
          <w:t>Unreasonable extension of time limit for internal consultations</w:t>
        </w:r>
      </w:hyperlink>
      <w:r w:rsidR="006A5970" w:rsidRPr="00C8609F">
        <w:t>’. For example, while routine peer reviews and sign</w:t>
      </w:r>
      <w:r w:rsidR="00FB2D2D">
        <w:t>-</w:t>
      </w:r>
      <w:r w:rsidR="00E85D23" w:rsidRPr="00C8609F">
        <w:t xml:space="preserve">outs </w:t>
      </w:r>
      <w:r w:rsidR="006A5970" w:rsidRPr="00C8609F">
        <w:t>are part of the standard decision-making process and do not justify an extension, internal consultations can be valid grounds if they involve</w:t>
      </w:r>
      <w:r w:rsidR="005D3279" w:rsidRPr="00C8609F">
        <w:t>, for example,</w:t>
      </w:r>
      <w:r w:rsidR="006A5970" w:rsidRPr="00C8609F">
        <w:t xml:space="preserve"> subject matter experts or legal advisors </w:t>
      </w:r>
      <w:r w:rsidR="005D3279" w:rsidRPr="00C8609F">
        <w:t>when they are not the decision-makers</w:t>
      </w:r>
      <w:r w:rsidR="006A5970" w:rsidRPr="00C8609F">
        <w:t>.</w:t>
      </w:r>
      <w:r w:rsidR="00672774" w:rsidRPr="00C8609F">
        <w:t xml:space="preserve"> </w:t>
      </w:r>
      <w:r w:rsidR="00FB6A3B" w:rsidRPr="00C8609F">
        <w:t>To qualify, t</w:t>
      </w:r>
      <w:r w:rsidR="00672774" w:rsidRPr="00C8609F">
        <w:t xml:space="preserve">hese consultations must be discrete from </w:t>
      </w:r>
      <w:r w:rsidR="00E85D23" w:rsidRPr="00C8609F">
        <w:t xml:space="preserve">the </w:t>
      </w:r>
      <w:r w:rsidR="00FB6A3B" w:rsidRPr="00C8609F">
        <w:t>decision</w:t>
      </w:r>
      <w:r w:rsidR="00E85D23" w:rsidRPr="00C8609F">
        <w:t>-making processes such as peer review and sign</w:t>
      </w:r>
      <w:r w:rsidR="00FB2D2D">
        <w:t>-</w:t>
      </w:r>
      <w:r w:rsidR="00E85D23" w:rsidRPr="00C8609F">
        <w:t>out.</w:t>
      </w:r>
    </w:p>
  </w:footnote>
  <w:footnote w:id="20">
    <w:p w14:paraId="77C30586" w14:textId="1C52D407" w:rsidR="006A28B6" w:rsidRDefault="006A28B6" w:rsidP="006A28B6">
      <w:pPr>
        <w:pStyle w:val="FootnoteText"/>
      </w:pPr>
      <w:r>
        <w:rPr>
          <w:rStyle w:val="FootnoteReference"/>
        </w:rPr>
        <w:footnoteRef/>
      </w:r>
      <w:r>
        <w:t xml:space="preserve"> </w:t>
      </w:r>
      <w:r>
        <w:tab/>
      </w:r>
      <w:r w:rsidRPr="00CB7537">
        <w:t>For example, when refusing information under section 18(d), the decision-making memo can outline (among other aspects) that there was a pre-existing decision or a high degree of certainty that the specific information requested will be published.</w:t>
      </w:r>
      <w:r w:rsidR="000A2BDA">
        <w:t xml:space="preserve"> See link to the Ombudsman’s guidance </w:t>
      </w:r>
      <w:hyperlink r:id="rId12" w:history="1">
        <w:r w:rsidR="000A2BDA" w:rsidRPr="000A2BDA">
          <w:rPr>
            <w:rStyle w:val="Hyperlink"/>
            <w:i/>
            <w:iCs/>
          </w:rPr>
          <w:t>‘Publicly available information: A guide to section 18(d) of the OIA…’</w:t>
        </w:r>
      </w:hyperlink>
      <w:r w:rsidR="000A2BDA">
        <w:t>.</w:t>
      </w:r>
    </w:p>
  </w:footnote>
  <w:footnote w:id="21">
    <w:p w14:paraId="0FB7D1CE" w14:textId="3BE243F4" w:rsidR="006A28B6" w:rsidRDefault="006A28B6" w:rsidP="006A28B6">
      <w:pPr>
        <w:pStyle w:val="FootnoteText"/>
      </w:pPr>
      <w:r>
        <w:rPr>
          <w:rStyle w:val="FootnoteReference"/>
        </w:rPr>
        <w:footnoteRef/>
      </w:r>
      <w:r>
        <w:t xml:space="preserve"> </w:t>
      </w:r>
      <w:r>
        <w:tab/>
      </w:r>
      <w:r w:rsidRPr="00CB7537">
        <w:t>For example, when withholding information under section 9 of the OIA, the Ministry’s records should include a</w:t>
      </w:r>
      <w:r w:rsidR="00285CAB">
        <w:t>n</w:t>
      </w:r>
      <w:r w:rsidRPr="00CB7537">
        <w:t xml:space="preserve"> assessment of the prejudice or harm that would result from release, as well as the required public interest ‘balancing exercise’.</w:t>
      </w:r>
      <w:r w:rsidR="008F5979">
        <w:t xml:space="preserve"> See link to the Ombudsman’s guidance </w:t>
      </w:r>
      <w:hyperlink r:id="rId13" w:history="1">
        <w:r w:rsidR="008F5979" w:rsidRPr="008F5979">
          <w:rPr>
            <w:rStyle w:val="Hyperlink"/>
            <w:i/>
            <w:iCs/>
          </w:rPr>
          <w:t>‘Public interest: A guide to the public interest test’</w:t>
        </w:r>
      </w:hyperlink>
      <w:r w:rsidR="008F5979">
        <w:t>.</w:t>
      </w:r>
    </w:p>
  </w:footnote>
  <w:footnote w:id="22">
    <w:p w14:paraId="497F7DE0" w14:textId="0AED71AF" w:rsidR="007C266B" w:rsidRDefault="007C266B">
      <w:pPr>
        <w:pStyle w:val="FootnoteText"/>
      </w:pPr>
      <w:r>
        <w:rPr>
          <w:rStyle w:val="FootnoteReference"/>
        </w:rPr>
        <w:footnoteRef/>
      </w:r>
      <w:r>
        <w:t xml:space="preserve"> </w:t>
      </w:r>
      <w:r>
        <w:tab/>
      </w:r>
      <w:r w:rsidR="004627AB">
        <w:t>See l</w:t>
      </w:r>
      <w:r>
        <w:t xml:space="preserve">ink to the Ministry’s webpage </w:t>
      </w:r>
      <w:hyperlink r:id="rId14" w:history="1">
        <w:r w:rsidR="00450BCD" w:rsidRPr="00450BCD">
          <w:rPr>
            <w:rStyle w:val="Hyperlink"/>
            <w:i/>
            <w:iCs/>
          </w:rPr>
          <w:t>‘Official Information Act requests’</w:t>
        </w:r>
      </w:hyperlink>
      <w:r w:rsidR="00450BCD">
        <w:t>.</w:t>
      </w:r>
      <w:r>
        <w:t xml:space="preserve"> </w:t>
      </w:r>
    </w:p>
  </w:footnote>
  <w:footnote w:id="23">
    <w:p w14:paraId="01860028" w14:textId="07112903" w:rsidR="007B230F" w:rsidRDefault="007B230F" w:rsidP="007B230F">
      <w:pPr>
        <w:pStyle w:val="FootnoteText"/>
      </w:pPr>
      <w:r>
        <w:rPr>
          <w:rStyle w:val="FootnoteReference"/>
        </w:rPr>
        <w:footnoteRef/>
      </w:r>
      <w:r>
        <w:t xml:space="preserve"> </w:t>
      </w:r>
      <w:r>
        <w:tab/>
      </w:r>
      <w:r w:rsidR="004627AB">
        <w:t>See l</w:t>
      </w:r>
      <w:r>
        <w:t xml:space="preserve">ink to the Ministry’s </w:t>
      </w:r>
      <w:hyperlink r:id="rId15" w:history="1">
        <w:r w:rsidRPr="007B230F">
          <w:rPr>
            <w:rStyle w:val="Hyperlink"/>
            <w:i/>
            <w:iCs/>
          </w:rPr>
          <w:t>Annual Report 202</w:t>
        </w:r>
        <w:r w:rsidR="00006FCD">
          <w:rPr>
            <w:rStyle w:val="Hyperlink"/>
            <w:i/>
            <w:iCs/>
          </w:rPr>
          <w:t>4</w:t>
        </w:r>
        <w:r w:rsidRPr="007B230F">
          <w:rPr>
            <w:rStyle w:val="Hyperlink"/>
            <w:i/>
            <w:iCs/>
          </w:rPr>
          <w:t>/</w:t>
        </w:r>
        <w:r w:rsidR="00006FCD">
          <w:rPr>
            <w:rStyle w:val="Hyperlink"/>
            <w:i/>
            <w:iCs/>
          </w:rPr>
          <w:t>25</w:t>
        </w:r>
      </w:hyperlink>
      <w:r w:rsidRPr="007B230F">
        <w:t xml:space="preserve"> </w:t>
      </w:r>
    </w:p>
  </w:footnote>
  <w:footnote w:id="24">
    <w:p w14:paraId="69F5E526" w14:textId="6229A9F6" w:rsidR="00020164" w:rsidRDefault="00020164">
      <w:pPr>
        <w:pStyle w:val="FootnoteText"/>
      </w:pPr>
      <w:r>
        <w:rPr>
          <w:rStyle w:val="FootnoteReference"/>
        </w:rPr>
        <w:footnoteRef/>
      </w:r>
      <w:r>
        <w:t xml:space="preserve"> </w:t>
      </w:r>
      <w:r>
        <w:tab/>
      </w:r>
      <w:r w:rsidR="004627AB">
        <w:t>See l</w:t>
      </w:r>
      <w:r>
        <w:t xml:space="preserve">ink to the Ministry’s </w:t>
      </w:r>
      <w:hyperlink r:id="rId16" w:history="1">
        <w:r w:rsidRPr="008911A2">
          <w:rPr>
            <w:rStyle w:val="Hyperlink"/>
            <w:i/>
            <w:iCs/>
          </w:rPr>
          <w:t>Strategic Intentions 2025–2029</w:t>
        </w:r>
      </w:hyperlink>
      <w:r>
        <w:t>.</w:t>
      </w:r>
    </w:p>
  </w:footnote>
  <w:footnote w:id="25">
    <w:p w14:paraId="7036ACE5" w14:textId="5BDBA7AA" w:rsidR="00982105" w:rsidRDefault="00982105">
      <w:pPr>
        <w:pStyle w:val="FootnoteText"/>
      </w:pPr>
      <w:r>
        <w:rPr>
          <w:rStyle w:val="FootnoteReference"/>
        </w:rPr>
        <w:footnoteRef/>
      </w:r>
      <w:r>
        <w:t xml:space="preserve"> </w:t>
      </w:r>
      <w:r>
        <w:tab/>
        <w:t>This may include</w:t>
      </w:r>
      <w:r w:rsidRPr="00982105">
        <w:t xml:space="preserve"> elevating proactive release to a primary performance indicator.</w:t>
      </w:r>
    </w:p>
  </w:footnote>
  <w:footnote w:id="26">
    <w:p w14:paraId="70EB2ED6" w14:textId="05E81847" w:rsidR="00D62B79" w:rsidRDefault="00D62B79" w:rsidP="00D62B79">
      <w:pPr>
        <w:pStyle w:val="FootnoteText"/>
      </w:pPr>
      <w:r>
        <w:rPr>
          <w:rStyle w:val="FootnoteReference"/>
        </w:rPr>
        <w:footnoteRef/>
      </w:r>
      <w:r>
        <w:t xml:space="preserve"> </w:t>
      </w:r>
      <w:r>
        <w:tab/>
      </w:r>
      <w:r w:rsidR="000777A1">
        <w:t xml:space="preserve">See link to </w:t>
      </w:r>
      <w:hyperlink r:id="rId17" w:anchor="DLM65622" w:history="1">
        <w:r w:rsidRPr="000777A1">
          <w:rPr>
            <w:rStyle w:val="Hyperlink"/>
          </w:rPr>
          <w:t>section 22 of the OIA</w:t>
        </w:r>
      </w:hyperlink>
      <w:r w:rsidR="000777A1">
        <w:t>. Under this section</w:t>
      </w:r>
      <w:r>
        <w:t>, r</w:t>
      </w:r>
      <w:r w:rsidRPr="00E21487">
        <w:t xml:space="preserve">equesters have a presumptive right to access documents containing </w:t>
      </w:r>
      <w:r w:rsidRPr="00E21487">
        <w:rPr>
          <w:i/>
          <w:iCs/>
        </w:rPr>
        <w:t>‘policies, principles, rules, or guidelines in accordance with which decisions or recommendations are made’</w:t>
      </w:r>
      <w:r w:rsidRPr="00E21487">
        <w:t xml:space="preserve">.  </w:t>
      </w:r>
    </w:p>
  </w:footnote>
  <w:footnote w:id="27">
    <w:p w14:paraId="116474A6" w14:textId="77777777" w:rsidR="000204E9" w:rsidRDefault="000204E9" w:rsidP="000204E9">
      <w:pPr>
        <w:pStyle w:val="FootnoteText"/>
      </w:pPr>
      <w:r>
        <w:rPr>
          <w:rStyle w:val="FootnoteReference"/>
        </w:rPr>
        <w:footnoteRef/>
      </w:r>
      <w:r>
        <w:t xml:space="preserve"> </w:t>
      </w:r>
      <w:r>
        <w:tab/>
      </w:r>
      <w:r w:rsidRPr="00BD269E">
        <w:t>This primarily refers to the three-phase overhaul of the resource management system initiated in December 2023. Key delivery milestones during this period included the repeal of previous legislation, the introduction of the Fast-track Approvals Act 2024, and the ongoing development of the Planning and Natural Environment Bills to replace the Resource Management Act 1991.</w:t>
      </w:r>
    </w:p>
  </w:footnote>
  <w:footnote w:id="28">
    <w:p w14:paraId="1AA333A8" w14:textId="7D1E521A" w:rsidR="00277BB8" w:rsidRDefault="00277BB8">
      <w:pPr>
        <w:pStyle w:val="FootnoteText"/>
      </w:pPr>
      <w:r>
        <w:rPr>
          <w:rStyle w:val="FootnoteReference"/>
        </w:rPr>
        <w:footnoteRef/>
      </w:r>
      <w:r>
        <w:t xml:space="preserve"> </w:t>
      </w:r>
      <w:r>
        <w:tab/>
      </w:r>
      <w:r w:rsidR="004627AB">
        <w:t>See l</w:t>
      </w:r>
      <w:r>
        <w:t xml:space="preserve">ink to the Ministry’s </w:t>
      </w:r>
      <w:hyperlink r:id="rId18" w:history="1">
        <w:r w:rsidRPr="00D36690">
          <w:rPr>
            <w:rStyle w:val="Hyperlink"/>
          </w:rPr>
          <w:t>Annual Report 2023</w:t>
        </w:r>
        <w:r>
          <w:rPr>
            <w:rStyle w:val="Hyperlink"/>
          </w:rPr>
          <w:t>-20</w:t>
        </w:r>
        <w:r w:rsidRPr="00D36690">
          <w:rPr>
            <w:rStyle w:val="Hyperlink"/>
          </w:rPr>
          <w:t>24</w:t>
        </w:r>
      </w:hyperlink>
      <w:r>
        <w:t>, page 7.</w:t>
      </w:r>
    </w:p>
  </w:footnote>
  <w:footnote w:id="29">
    <w:p w14:paraId="0FAC62C5" w14:textId="60B38811" w:rsidR="00AC5F62" w:rsidRDefault="00AC5F62">
      <w:pPr>
        <w:pStyle w:val="FootnoteText"/>
      </w:pPr>
      <w:r>
        <w:rPr>
          <w:rStyle w:val="FootnoteReference"/>
        </w:rPr>
        <w:footnoteRef/>
      </w:r>
      <w:r>
        <w:t xml:space="preserve"> </w:t>
      </w:r>
      <w:r>
        <w:tab/>
      </w:r>
      <w:bookmarkStart w:id="49" w:name="_Hlk226955746"/>
      <w:r w:rsidR="009C7E7E">
        <w:t xml:space="preserve">The </w:t>
      </w:r>
      <w:r w:rsidRPr="00991B71">
        <w:t>2024 calendar year statistics are a</w:t>
      </w:r>
      <w:r w:rsidR="006651E9">
        <w:t>n</w:t>
      </w:r>
      <w:r w:rsidRPr="00991B71">
        <w:t xml:space="preserve"> average derived from two reporting periods published by </w:t>
      </w:r>
      <w:r>
        <w:t xml:space="preserve">the PSC: </w:t>
      </w:r>
      <w:bookmarkStart w:id="50" w:name="_Hlk226704303"/>
      <w:r w:rsidRPr="00991B71">
        <w:t>January–June 2024 (9</w:t>
      </w:r>
      <w:r w:rsidR="009C6209">
        <w:t>9.5 percent</w:t>
      </w:r>
      <w:r w:rsidRPr="00991B71">
        <w:t>) and July–December 2024</w:t>
      </w:r>
      <w:bookmarkEnd w:id="50"/>
      <w:r w:rsidRPr="00991B71">
        <w:t xml:space="preserve"> (98.</w:t>
      </w:r>
      <w:r w:rsidR="009C6209">
        <w:t>1 percent</w:t>
      </w:r>
      <w:r w:rsidRPr="00991B71">
        <w:t>).</w:t>
      </w:r>
      <w:r>
        <w:t xml:space="preserve"> See links for </w:t>
      </w:r>
      <w:hyperlink r:id="rId19" w:history="1">
        <w:r w:rsidRPr="009C7E7E">
          <w:rPr>
            <w:rStyle w:val="Hyperlink"/>
          </w:rPr>
          <w:t>January-June 2024</w:t>
        </w:r>
      </w:hyperlink>
      <w:r w:rsidRPr="00BF2B98">
        <w:t xml:space="preserve"> and </w:t>
      </w:r>
      <w:hyperlink r:id="rId20" w:history="1">
        <w:r w:rsidRPr="009C7E7E">
          <w:rPr>
            <w:rStyle w:val="Hyperlink"/>
          </w:rPr>
          <w:t>July-December 2024</w:t>
        </w:r>
      </w:hyperlink>
      <w:r>
        <w:t>.</w:t>
      </w:r>
      <w:bookmarkEnd w:id="49"/>
    </w:p>
  </w:footnote>
  <w:footnote w:id="30">
    <w:p w14:paraId="5A6DD5A0" w14:textId="627AE387" w:rsidR="00C641A2" w:rsidRDefault="00C641A2">
      <w:pPr>
        <w:pStyle w:val="FootnoteText"/>
      </w:pPr>
      <w:r>
        <w:rPr>
          <w:rStyle w:val="FootnoteReference"/>
        </w:rPr>
        <w:footnoteRef/>
      </w:r>
      <w:r>
        <w:t xml:space="preserve"> </w:t>
      </w:r>
      <w:r>
        <w:tab/>
        <w:t>The 2025</w:t>
      </w:r>
      <w:r w:rsidRPr="00991B71">
        <w:t xml:space="preserve"> calendar year statistics are a</w:t>
      </w:r>
      <w:r w:rsidR="006651E9">
        <w:t>n</w:t>
      </w:r>
      <w:r w:rsidRPr="00991B71">
        <w:t xml:space="preserve"> average derived from two reporting periods published by </w:t>
      </w:r>
      <w:r>
        <w:t xml:space="preserve">the PSC: </w:t>
      </w:r>
      <w:r w:rsidRPr="00991B71">
        <w:t>January–June 202</w:t>
      </w:r>
      <w:r>
        <w:t>5</w:t>
      </w:r>
      <w:r w:rsidRPr="00991B71">
        <w:t xml:space="preserve"> (</w:t>
      </w:r>
      <w:r>
        <w:t>100 percent</w:t>
      </w:r>
      <w:r w:rsidRPr="00991B71">
        <w:t>) and July–December 202</w:t>
      </w:r>
      <w:r>
        <w:t>5</w:t>
      </w:r>
      <w:r w:rsidRPr="00991B71">
        <w:t xml:space="preserve"> (9</w:t>
      </w:r>
      <w:r>
        <w:t>9.5 percent</w:t>
      </w:r>
      <w:r w:rsidRPr="00991B71">
        <w:t>).</w:t>
      </w:r>
      <w:r>
        <w:t xml:space="preserve"> See links for </w:t>
      </w:r>
      <w:hyperlink r:id="rId21" w:anchor=":~:text=Agencies%20were%20advised%20that%20this,requests%20subject%20to%20an%20extension" w:history="1">
        <w:r w:rsidRPr="009C7E7E">
          <w:rPr>
            <w:rStyle w:val="Hyperlink"/>
          </w:rPr>
          <w:t>January-June 20</w:t>
        </w:r>
        <w:r>
          <w:rPr>
            <w:rStyle w:val="Hyperlink"/>
          </w:rPr>
          <w:t>25</w:t>
        </w:r>
      </w:hyperlink>
      <w:r w:rsidRPr="00BF2B98">
        <w:t xml:space="preserve"> and </w:t>
      </w:r>
      <w:hyperlink r:id="rId22" w:history="1">
        <w:r w:rsidRPr="009C7E7E">
          <w:rPr>
            <w:rStyle w:val="Hyperlink"/>
          </w:rPr>
          <w:t>July-December 20</w:t>
        </w:r>
        <w:r>
          <w:rPr>
            <w:rStyle w:val="Hyperlink"/>
          </w:rPr>
          <w:t>25</w:t>
        </w:r>
      </w:hyperlink>
      <w:r>
        <w:t>.</w:t>
      </w:r>
    </w:p>
  </w:footnote>
  <w:footnote w:id="31">
    <w:p w14:paraId="5026B7E0" w14:textId="2CADC421" w:rsidR="004C2D41" w:rsidRDefault="004C2D41" w:rsidP="004C2D41">
      <w:pPr>
        <w:pStyle w:val="FootnoteText"/>
      </w:pPr>
      <w:r>
        <w:rPr>
          <w:rStyle w:val="FootnoteReference"/>
        </w:rPr>
        <w:footnoteRef/>
      </w:r>
      <w:r>
        <w:t xml:space="preserve"> </w:t>
      </w:r>
      <w:r>
        <w:tab/>
      </w:r>
      <w:r w:rsidR="004627AB">
        <w:t>See l</w:t>
      </w:r>
      <w:r>
        <w:t xml:space="preserve">ink to the </w:t>
      </w:r>
      <w:hyperlink r:id="rId23" w:history="1">
        <w:r w:rsidRPr="00F75D82">
          <w:rPr>
            <w:rStyle w:val="Hyperlink"/>
          </w:rPr>
          <w:t>PSC statistics for January-June 2023</w:t>
        </w:r>
      </w:hyperlink>
      <w:r>
        <w:t>.</w:t>
      </w:r>
    </w:p>
  </w:footnote>
  <w:footnote w:id="32">
    <w:p w14:paraId="4B5AA006" w14:textId="5E13560F" w:rsidR="006D2965" w:rsidRDefault="006D2965">
      <w:pPr>
        <w:pStyle w:val="FootnoteText"/>
      </w:pPr>
      <w:r>
        <w:rPr>
          <w:rStyle w:val="FootnoteReference"/>
        </w:rPr>
        <w:footnoteRef/>
      </w:r>
      <w:r w:rsidR="0054614E">
        <w:t xml:space="preserve">  </w:t>
      </w:r>
      <w:r w:rsidR="00B60248" w:rsidRPr="00B60248">
        <w:t>An OIA request is considered 'on time' for PSC reporting if the decision is communicated within the original 20-working-day limit or, if an extension is used, within the newly specified deadline.</w:t>
      </w:r>
    </w:p>
  </w:footnote>
  <w:footnote w:id="33">
    <w:p w14:paraId="6F4DA0E2" w14:textId="741DEA55" w:rsidR="003B5CCC" w:rsidRDefault="003B5CCC" w:rsidP="003B5CCC">
      <w:pPr>
        <w:pStyle w:val="FootnoteText"/>
      </w:pPr>
      <w:r>
        <w:rPr>
          <w:rStyle w:val="FootnoteReference"/>
        </w:rPr>
        <w:footnoteRef/>
      </w:r>
      <w:r>
        <w:t xml:space="preserve"> </w:t>
      </w:r>
      <w:r>
        <w:tab/>
        <w:t>See</w:t>
      </w:r>
      <w:r w:rsidR="002C0744">
        <w:t>, for example,</w:t>
      </w:r>
      <w:r>
        <w:t xml:space="preserve"> link to </w:t>
      </w:r>
      <w:r w:rsidRPr="00283426">
        <w:t xml:space="preserve">the </w:t>
      </w:r>
      <w:hyperlink r:id="rId24" w:history="1">
        <w:r w:rsidRPr="00DE7CC8">
          <w:rPr>
            <w:rStyle w:val="Hyperlink"/>
          </w:rPr>
          <w:t>OIA forum</w:t>
        </w:r>
      </w:hyperlink>
      <w:r>
        <w:t xml:space="preserve"> </w:t>
      </w:r>
      <w:r w:rsidRPr="00283426">
        <w:t>led by Te Kawa Mataaho Public Service Commission</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BD682" w14:textId="77777777" w:rsidR="008C6ACE" w:rsidRDefault="008C6A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E429882"/>
    <w:lvl w:ilvl="0">
      <w:start w:val="1"/>
      <w:numFmt w:val="decimal"/>
      <w:pStyle w:val="ListNumber5"/>
      <w:lvlText w:val="%1."/>
      <w:lvlJc w:val="left"/>
      <w:pPr>
        <w:tabs>
          <w:tab w:val="num" w:pos="1634"/>
        </w:tabs>
        <w:ind w:left="1634" w:hanging="360"/>
      </w:pPr>
    </w:lvl>
  </w:abstractNum>
  <w:abstractNum w:abstractNumId="1" w15:restartNumberingAfterBreak="0">
    <w:nsid w:val="FFFFFF7D"/>
    <w:multiLevelType w:val="singleLevel"/>
    <w:tmpl w:val="7A4E878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EE56F9C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6AA380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386DE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0926BD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8ADA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DEE2C5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F1CF79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226B45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37325B"/>
    <w:multiLevelType w:val="multilevel"/>
    <w:tmpl w:val="5EB4B8F0"/>
    <w:lvl w:ilvl="0">
      <w:start w:val="1"/>
      <w:numFmt w:val="bullet"/>
      <w:pStyle w:val="Tablecheckbox1"/>
      <w:lvlText w:val=""/>
      <w:lvlJc w:val="left"/>
      <w:pPr>
        <w:tabs>
          <w:tab w:val="num" w:pos="357"/>
        </w:tabs>
        <w:ind w:left="357" w:hanging="357"/>
      </w:pPr>
      <w:rPr>
        <w:rFonts w:ascii="Wingdings 2" w:hAnsi="Wingdings 2" w:hint="default"/>
        <w:u w:color="696969"/>
      </w:rPr>
    </w:lvl>
    <w:lvl w:ilvl="1">
      <w:start w:val="1"/>
      <w:numFmt w:val="bullet"/>
      <w:pStyle w:val="Tablecheckbox2"/>
      <w:lvlText w:val=""/>
      <w:lvlJc w:val="left"/>
      <w:pPr>
        <w:tabs>
          <w:tab w:val="num" w:pos="714"/>
        </w:tabs>
        <w:ind w:left="714" w:hanging="357"/>
      </w:pPr>
      <w:rPr>
        <w:rFonts w:ascii="Wingdings 2" w:hAnsi="Wingdings 2" w:hint="default"/>
      </w:rPr>
    </w:lvl>
    <w:lvl w:ilvl="2">
      <w:start w:val="1"/>
      <w:numFmt w:val="bullet"/>
      <w:pStyle w:val="Tablecheckbox3"/>
      <w:lvlText w:val=""/>
      <w:lvlJc w:val="left"/>
      <w:pPr>
        <w:tabs>
          <w:tab w:val="num" w:pos="1072"/>
        </w:tabs>
        <w:ind w:left="1072" w:hanging="358"/>
      </w:pPr>
      <w:rPr>
        <w:rFonts w:ascii="Wingdings 2" w:hAnsi="Wingdings 2"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11" w15:restartNumberingAfterBreak="0">
    <w:nsid w:val="03157814"/>
    <w:multiLevelType w:val="hybridMultilevel"/>
    <w:tmpl w:val="B53649CA"/>
    <w:lvl w:ilvl="0" w:tplc="49FEEE8E">
      <w:start w:val="1"/>
      <w:numFmt w:val="bullet"/>
      <w:lvlText w:val=""/>
      <w:lvlJc w:val="left"/>
      <w:pPr>
        <w:ind w:left="720" w:hanging="360"/>
      </w:pPr>
      <w:rPr>
        <w:rFonts w:ascii="Symbol" w:hAnsi="Symbol"/>
      </w:rPr>
    </w:lvl>
    <w:lvl w:ilvl="1" w:tplc="57EA17E8">
      <w:start w:val="1"/>
      <w:numFmt w:val="bullet"/>
      <w:lvlText w:val=""/>
      <w:lvlJc w:val="left"/>
      <w:pPr>
        <w:ind w:left="720" w:hanging="360"/>
      </w:pPr>
      <w:rPr>
        <w:rFonts w:ascii="Symbol" w:hAnsi="Symbol"/>
      </w:rPr>
    </w:lvl>
    <w:lvl w:ilvl="2" w:tplc="8DB60CD2">
      <w:start w:val="1"/>
      <w:numFmt w:val="bullet"/>
      <w:lvlText w:val=""/>
      <w:lvlJc w:val="left"/>
      <w:pPr>
        <w:ind w:left="720" w:hanging="360"/>
      </w:pPr>
      <w:rPr>
        <w:rFonts w:ascii="Symbol" w:hAnsi="Symbol"/>
      </w:rPr>
    </w:lvl>
    <w:lvl w:ilvl="3" w:tplc="4AE8F564">
      <w:start w:val="1"/>
      <w:numFmt w:val="bullet"/>
      <w:lvlText w:val=""/>
      <w:lvlJc w:val="left"/>
      <w:pPr>
        <w:ind w:left="720" w:hanging="360"/>
      </w:pPr>
      <w:rPr>
        <w:rFonts w:ascii="Symbol" w:hAnsi="Symbol"/>
      </w:rPr>
    </w:lvl>
    <w:lvl w:ilvl="4" w:tplc="8C1A5426">
      <w:start w:val="1"/>
      <w:numFmt w:val="bullet"/>
      <w:lvlText w:val=""/>
      <w:lvlJc w:val="left"/>
      <w:pPr>
        <w:ind w:left="720" w:hanging="360"/>
      </w:pPr>
      <w:rPr>
        <w:rFonts w:ascii="Symbol" w:hAnsi="Symbol"/>
      </w:rPr>
    </w:lvl>
    <w:lvl w:ilvl="5" w:tplc="9A94BCB2">
      <w:start w:val="1"/>
      <w:numFmt w:val="bullet"/>
      <w:lvlText w:val=""/>
      <w:lvlJc w:val="left"/>
      <w:pPr>
        <w:ind w:left="720" w:hanging="360"/>
      </w:pPr>
      <w:rPr>
        <w:rFonts w:ascii="Symbol" w:hAnsi="Symbol"/>
      </w:rPr>
    </w:lvl>
    <w:lvl w:ilvl="6" w:tplc="6E542CAE">
      <w:start w:val="1"/>
      <w:numFmt w:val="bullet"/>
      <w:lvlText w:val=""/>
      <w:lvlJc w:val="left"/>
      <w:pPr>
        <w:ind w:left="720" w:hanging="360"/>
      </w:pPr>
      <w:rPr>
        <w:rFonts w:ascii="Symbol" w:hAnsi="Symbol"/>
      </w:rPr>
    </w:lvl>
    <w:lvl w:ilvl="7" w:tplc="8AA8F3A2">
      <w:start w:val="1"/>
      <w:numFmt w:val="bullet"/>
      <w:lvlText w:val=""/>
      <w:lvlJc w:val="left"/>
      <w:pPr>
        <w:ind w:left="720" w:hanging="360"/>
      </w:pPr>
      <w:rPr>
        <w:rFonts w:ascii="Symbol" w:hAnsi="Symbol"/>
      </w:rPr>
    </w:lvl>
    <w:lvl w:ilvl="8" w:tplc="2908A342">
      <w:start w:val="1"/>
      <w:numFmt w:val="bullet"/>
      <w:lvlText w:val=""/>
      <w:lvlJc w:val="left"/>
      <w:pPr>
        <w:ind w:left="720" w:hanging="360"/>
      </w:pPr>
      <w:rPr>
        <w:rFonts w:ascii="Symbol" w:hAnsi="Symbol"/>
      </w:rPr>
    </w:lvl>
  </w:abstractNum>
  <w:abstractNum w:abstractNumId="12" w15:restartNumberingAfterBreak="0">
    <w:nsid w:val="04B36CDD"/>
    <w:multiLevelType w:val="hybridMultilevel"/>
    <w:tmpl w:val="64CA0A60"/>
    <w:lvl w:ilvl="0" w:tplc="74F08B4E">
      <w:start w:val="1"/>
      <w:numFmt w:val="bullet"/>
      <w:lvlText w:val=""/>
      <w:lvlJc w:val="left"/>
      <w:pPr>
        <w:ind w:left="1140" w:hanging="360"/>
      </w:pPr>
      <w:rPr>
        <w:rFonts w:ascii="Symbol" w:hAnsi="Symbol"/>
      </w:rPr>
    </w:lvl>
    <w:lvl w:ilvl="1" w:tplc="A0C63E64">
      <w:start w:val="1"/>
      <w:numFmt w:val="bullet"/>
      <w:lvlText w:val=""/>
      <w:lvlJc w:val="left"/>
      <w:pPr>
        <w:ind w:left="1140" w:hanging="360"/>
      </w:pPr>
      <w:rPr>
        <w:rFonts w:ascii="Symbol" w:hAnsi="Symbol"/>
      </w:rPr>
    </w:lvl>
    <w:lvl w:ilvl="2" w:tplc="EDC8D76C">
      <w:start w:val="1"/>
      <w:numFmt w:val="bullet"/>
      <w:lvlText w:val=""/>
      <w:lvlJc w:val="left"/>
      <w:pPr>
        <w:ind w:left="1140" w:hanging="360"/>
      </w:pPr>
      <w:rPr>
        <w:rFonts w:ascii="Symbol" w:hAnsi="Symbol"/>
      </w:rPr>
    </w:lvl>
    <w:lvl w:ilvl="3" w:tplc="0186D80A">
      <w:start w:val="1"/>
      <w:numFmt w:val="bullet"/>
      <w:lvlText w:val=""/>
      <w:lvlJc w:val="left"/>
      <w:pPr>
        <w:ind w:left="1140" w:hanging="360"/>
      </w:pPr>
      <w:rPr>
        <w:rFonts w:ascii="Symbol" w:hAnsi="Symbol"/>
      </w:rPr>
    </w:lvl>
    <w:lvl w:ilvl="4" w:tplc="8B3E624C">
      <w:start w:val="1"/>
      <w:numFmt w:val="bullet"/>
      <w:lvlText w:val=""/>
      <w:lvlJc w:val="left"/>
      <w:pPr>
        <w:ind w:left="1140" w:hanging="360"/>
      </w:pPr>
      <w:rPr>
        <w:rFonts w:ascii="Symbol" w:hAnsi="Symbol"/>
      </w:rPr>
    </w:lvl>
    <w:lvl w:ilvl="5" w:tplc="76DC34CA">
      <w:start w:val="1"/>
      <w:numFmt w:val="bullet"/>
      <w:lvlText w:val=""/>
      <w:lvlJc w:val="left"/>
      <w:pPr>
        <w:ind w:left="1140" w:hanging="360"/>
      </w:pPr>
      <w:rPr>
        <w:rFonts w:ascii="Symbol" w:hAnsi="Symbol"/>
      </w:rPr>
    </w:lvl>
    <w:lvl w:ilvl="6" w:tplc="B7048F9C">
      <w:start w:val="1"/>
      <w:numFmt w:val="bullet"/>
      <w:lvlText w:val=""/>
      <w:lvlJc w:val="left"/>
      <w:pPr>
        <w:ind w:left="1140" w:hanging="360"/>
      </w:pPr>
      <w:rPr>
        <w:rFonts w:ascii="Symbol" w:hAnsi="Symbol"/>
      </w:rPr>
    </w:lvl>
    <w:lvl w:ilvl="7" w:tplc="E0ACE962">
      <w:start w:val="1"/>
      <w:numFmt w:val="bullet"/>
      <w:lvlText w:val=""/>
      <w:lvlJc w:val="left"/>
      <w:pPr>
        <w:ind w:left="1140" w:hanging="360"/>
      </w:pPr>
      <w:rPr>
        <w:rFonts w:ascii="Symbol" w:hAnsi="Symbol"/>
      </w:rPr>
    </w:lvl>
    <w:lvl w:ilvl="8" w:tplc="DD242700">
      <w:start w:val="1"/>
      <w:numFmt w:val="bullet"/>
      <w:lvlText w:val=""/>
      <w:lvlJc w:val="left"/>
      <w:pPr>
        <w:ind w:left="1140" w:hanging="360"/>
      </w:pPr>
      <w:rPr>
        <w:rFonts w:ascii="Symbol" w:hAnsi="Symbol"/>
      </w:rPr>
    </w:lvl>
  </w:abstractNum>
  <w:abstractNum w:abstractNumId="13" w15:restartNumberingAfterBreak="0">
    <w:nsid w:val="076B55DC"/>
    <w:multiLevelType w:val="hybridMultilevel"/>
    <w:tmpl w:val="65CCB76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4" w15:restartNumberingAfterBreak="0">
    <w:nsid w:val="0E266A35"/>
    <w:multiLevelType w:val="multilevel"/>
    <w:tmpl w:val="132E5168"/>
    <w:lvl w:ilvl="0">
      <w:start w:val="1"/>
      <w:numFmt w:val="lowerRoman"/>
      <w:pStyle w:val="QListroman"/>
      <w:lvlText w:val="%1."/>
      <w:lvlJc w:val="left"/>
      <w:pPr>
        <w:tabs>
          <w:tab w:val="num" w:pos="1134"/>
        </w:tabs>
        <w:ind w:left="1134" w:hanging="567"/>
      </w:pPr>
      <w:rPr>
        <w:rFonts w:hint="default"/>
        <w:i/>
        <w:color w:val="4D4D4D"/>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18DE3FB7"/>
    <w:multiLevelType w:val="hybridMultilevel"/>
    <w:tmpl w:val="12BE5638"/>
    <w:lvl w:ilvl="0" w:tplc="2CDA3242">
      <w:start w:val="1"/>
      <w:numFmt w:val="bullet"/>
      <w:lvlText w:val=""/>
      <w:lvlJc w:val="left"/>
      <w:pPr>
        <w:ind w:left="1140" w:hanging="360"/>
      </w:pPr>
      <w:rPr>
        <w:rFonts w:ascii="Symbol" w:hAnsi="Symbol"/>
      </w:rPr>
    </w:lvl>
    <w:lvl w:ilvl="1" w:tplc="77B850D2">
      <w:start w:val="1"/>
      <w:numFmt w:val="bullet"/>
      <w:lvlText w:val=""/>
      <w:lvlJc w:val="left"/>
      <w:pPr>
        <w:ind w:left="1140" w:hanging="360"/>
      </w:pPr>
      <w:rPr>
        <w:rFonts w:ascii="Symbol" w:hAnsi="Symbol"/>
      </w:rPr>
    </w:lvl>
    <w:lvl w:ilvl="2" w:tplc="DF5448AA">
      <w:start w:val="1"/>
      <w:numFmt w:val="bullet"/>
      <w:lvlText w:val=""/>
      <w:lvlJc w:val="left"/>
      <w:pPr>
        <w:ind w:left="1140" w:hanging="360"/>
      </w:pPr>
      <w:rPr>
        <w:rFonts w:ascii="Symbol" w:hAnsi="Symbol"/>
      </w:rPr>
    </w:lvl>
    <w:lvl w:ilvl="3" w:tplc="3556B58C">
      <w:start w:val="1"/>
      <w:numFmt w:val="bullet"/>
      <w:lvlText w:val=""/>
      <w:lvlJc w:val="left"/>
      <w:pPr>
        <w:ind w:left="1140" w:hanging="360"/>
      </w:pPr>
      <w:rPr>
        <w:rFonts w:ascii="Symbol" w:hAnsi="Symbol"/>
      </w:rPr>
    </w:lvl>
    <w:lvl w:ilvl="4" w:tplc="2D962688">
      <w:start w:val="1"/>
      <w:numFmt w:val="bullet"/>
      <w:lvlText w:val=""/>
      <w:lvlJc w:val="left"/>
      <w:pPr>
        <w:ind w:left="1140" w:hanging="360"/>
      </w:pPr>
      <w:rPr>
        <w:rFonts w:ascii="Symbol" w:hAnsi="Symbol"/>
      </w:rPr>
    </w:lvl>
    <w:lvl w:ilvl="5" w:tplc="989075B0">
      <w:start w:val="1"/>
      <w:numFmt w:val="bullet"/>
      <w:lvlText w:val=""/>
      <w:lvlJc w:val="left"/>
      <w:pPr>
        <w:ind w:left="1140" w:hanging="360"/>
      </w:pPr>
      <w:rPr>
        <w:rFonts w:ascii="Symbol" w:hAnsi="Symbol"/>
      </w:rPr>
    </w:lvl>
    <w:lvl w:ilvl="6" w:tplc="5B566CAA">
      <w:start w:val="1"/>
      <w:numFmt w:val="bullet"/>
      <w:lvlText w:val=""/>
      <w:lvlJc w:val="left"/>
      <w:pPr>
        <w:ind w:left="1140" w:hanging="360"/>
      </w:pPr>
      <w:rPr>
        <w:rFonts w:ascii="Symbol" w:hAnsi="Symbol"/>
      </w:rPr>
    </w:lvl>
    <w:lvl w:ilvl="7" w:tplc="0C742812">
      <w:start w:val="1"/>
      <w:numFmt w:val="bullet"/>
      <w:lvlText w:val=""/>
      <w:lvlJc w:val="left"/>
      <w:pPr>
        <w:ind w:left="1140" w:hanging="360"/>
      </w:pPr>
      <w:rPr>
        <w:rFonts w:ascii="Symbol" w:hAnsi="Symbol"/>
      </w:rPr>
    </w:lvl>
    <w:lvl w:ilvl="8" w:tplc="8B107268">
      <w:start w:val="1"/>
      <w:numFmt w:val="bullet"/>
      <w:lvlText w:val=""/>
      <w:lvlJc w:val="left"/>
      <w:pPr>
        <w:ind w:left="1140" w:hanging="360"/>
      </w:pPr>
      <w:rPr>
        <w:rFonts w:ascii="Symbol" w:hAnsi="Symbol"/>
      </w:rPr>
    </w:lvl>
  </w:abstractNum>
  <w:abstractNum w:abstractNumId="16" w15:restartNumberingAfterBreak="0">
    <w:nsid w:val="1E747FDC"/>
    <w:multiLevelType w:val="hybridMultilevel"/>
    <w:tmpl w:val="ECB212C0"/>
    <w:lvl w:ilvl="0" w:tplc="B3F8B002">
      <w:start w:val="1"/>
      <w:numFmt w:val="decimal"/>
      <w:lvlText w:val="%1."/>
      <w:lvlJc w:val="left"/>
      <w:pPr>
        <w:ind w:left="1440" w:hanging="360"/>
      </w:pPr>
    </w:lvl>
    <w:lvl w:ilvl="1" w:tplc="E01AEEDE">
      <w:start w:val="1"/>
      <w:numFmt w:val="decimal"/>
      <w:lvlText w:val="%2."/>
      <w:lvlJc w:val="left"/>
      <w:pPr>
        <w:ind w:left="1440" w:hanging="360"/>
      </w:pPr>
    </w:lvl>
    <w:lvl w:ilvl="2" w:tplc="52584CE2">
      <w:start w:val="1"/>
      <w:numFmt w:val="decimal"/>
      <w:lvlText w:val="%3."/>
      <w:lvlJc w:val="left"/>
      <w:pPr>
        <w:ind w:left="1440" w:hanging="360"/>
      </w:pPr>
    </w:lvl>
    <w:lvl w:ilvl="3" w:tplc="C9A0ADAE">
      <w:start w:val="1"/>
      <w:numFmt w:val="decimal"/>
      <w:lvlText w:val="%4."/>
      <w:lvlJc w:val="left"/>
      <w:pPr>
        <w:ind w:left="1440" w:hanging="360"/>
      </w:pPr>
    </w:lvl>
    <w:lvl w:ilvl="4" w:tplc="79B80AB8">
      <w:start w:val="1"/>
      <w:numFmt w:val="decimal"/>
      <w:lvlText w:val="%5."/>
      <w:lvlJc w:val="left"/>
      <w:pPr>
        <w:ind w:left="1440" w:hanging="360"/>
      </w:pPr>
    </w:lvl>
    <w:lvl w:ilvl="5" w:tplc="AA3EA8E0">
      <w:start w:val="1"/>
      <w:numFmt w:val="decimal"/>
      <w:lvlText w:val="%6."/>
      <w:lvlJc w:val="left"/>
      <w:pPr>
        <w:ind w:left="1440" w:hanging="360"/>
      </w:pPr>
    </w:lvl>
    <w:lvl w:ilvl="6" w:tplc="3CB08E7C">
      <w:start w:val="1"/>
      <w:numFmt w:val="decimal"/>
      <w:lvlText w:val="%7."/>
      <w:lvlJc w:val="left"/>
      <w:pPr>
        <w:ind w:left="1440" w:hanging="360"/>
      </w:pPr>
    </w:lvl>
    <w:lvl w:ilvl="7" w:tplc="9E7A34A8">
      <w:start w:val="1"/>
      <w:numFmt w:val="decimal"/>
      <w:lvlText w:val="%8."/>
      <w:lvlJc w:val="left"/>
      <w:pPr>
        <w:ind w:left="1440" w:hanging="360"/>
      </w:pPr>
    </w:lvl>
    <w:lvl w:ilvl="8" w:tplc="637E48A4">
      <w:start w:val="1"/>
      <w:numFmt w:val="decimal"/>
      <w:lvlText w:val="%9."/>
      <w:lvlJc w:val="left"/>
      <w:pPr>
        <w:ind w:left="1440" w:hanging="360"/>
      </w:pPr>
    </w:lvl>
  </w:abstractNum>
  <w:abstractNum w:abstractNumId="17" w15:restartNumberingAfterBreak="0">
    <w:nsid w:val="278F62EA"/>
    <w:multiLevelType w:val="multilevel"/>
    <w:tmpl w:val="53A8DE6E"/>
    <w:lvl w:ilvl="0">
      <w:start w:val="1"/>
      <w:numFmt w:val="bullet"/>
      <w:pStyle w:val="End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18" w15:restartNumberingAfterBreak="0">
    <w:nsid w:val="2A496CAF"/>
    <w:multiLevelType w:val="multilevel"/>
    <w:tmpl w:val="9048A306"/>
    <w:lvl w:ilvl="0">
      <w:start w:val="1"/>
      <w:numFmt w:val="bullet"/>
      <w:pStyle w:val="Boxsmallbullet1"/>
      <w:lvlText w:val=""/>
      <w:lvlJc w:val="left"/>
      <w:pPr>
        <w:tabs>
          <w:tab w:val="num" w:pos="357"/>
        </w:tabs>
        <w:ind w:left="360" w:hanging="360"/>
      </w:pPr>
      <w:rPr>
        <w:rFonts w:ascii="Symbol" w:hAnsi="Symbol" w:hint="default"/>
      </w:rPr>
    </w:lvl>
    <w:lvl w:ilvl="1">
      <w:start w:val="1"/>
      <w:numFmt w:val="bullet"/>
      <w:pStyle w:val="Boxsmallbullet2"/>
      <w:lvlText w:val="-"/>
      <w:lvlJc w:val="left"/>
      <w:pPr>
        <w:tabs>
          <w:tab w:val="num" w:pos="714"/>
        </w:tabs>
        <w:ind w:left="714" w:hanging="354"/>
      </w:pPr>
      <w:rPr>
        <w:rFonts w:ascii="Calibri" w:hAnsi="Calibri" w:hint="default"/>
      </w:rPr>
    </w:lvl>
    <w:lvl w:ilvl="2">
      <w:start w:val="1"/>
      <w:numFmt w:val="none"/>
      <w:suff w:val="nothing"/>
      <w:lvlText w:val=""/>
      <w:lvlJc w:val="left"/>
      <w:pPr>
        <w:ind w:left="714" w:firstLine="0"/>
      </w:pPr>
      <w:rPr>
        <w:rFonts w:hint="default"/>
      </w:rPr>
    </w:lvl>
    <w:lvl w:ilvl="3">
      <w:start w:val="1"/>
      <w:numFmt w:val="none"/>
      <w:suff w:val="nothing"/>
      <w:lvlText w:val=""/>
      <w:lvlJc w:val="left"/>
      <w:pPr>
        <w:ind w:left="714" w:firstLine="0"/>
      </w:pPr>
      <w:rPr>
        <w:rFonts w:hint="default"/>
      </w:rPr>
    </w:lvl>
    <w:lvl w:ilvl="4">
      <w:start w:val="1"/>
      <w:numFmt w:val="none"/>
      <w:suff w:val="nothing"/>
      <w:lvlText w:val=""/>
      <w:lvlJc w:val="left"/>
      <w:pPr>
        <w:ind w:left="714" w:firstLine="0"/>
      </w:pPr>
      <w:rPr>
        <w:rFonts w:hint="default"/>
      </w:rPr>
    </w:lvl>
    <w:lvl w:ilvl="5">
      <w:start w:val="1"/>
      <w:numFmt w:val="none"/>
      <w:suff w:val="nothing"/>
      <w:lvlText w:val=""/>
      <w:lvlJc w:val="left"/>
      <w:pPr>
        <w:ind w:left="714" w:firstLine="0"/>
      </w:pPr>
      <w:rPr>
        <w:rFonts w:hint="default"/>
      </w:rPr>
    </w:lvl>
    <w:lvl w:ilvl="6">
      <w:start w:val="1"/>
      <w:numFmt w:val="none"/>
      <w:suff w:val="nothing"/>
      <w:lvlText w:val=""/>
      <w:lvlJc w:val="left"/>
      <w:pPr>
        <w:ind w:left="714" w:firstLine="0"/>
      </w:pPr>
      <w:rPr>
        <w:rFonts w:hint="default"/>
      </w:rPr>
    </w:lvl>
    <w:lvl w:ilvl="7">
      <w:start w:val="1"/>
      <w:numFmt w:val="none"/>
      <w:suff w:val="nothing"/>
      <w:lvlText w:val=""/>
      <w:lvlJc w:val="left"/>
      <w:pPr>
        <w:ind w:left="714" w:firstLine="0"/>
      </w:pPr>
      <w:rPr>
        <w:rFonts w:hint="default"/>
      </w:rPr>
    </w:lvl>
    <w:lvl w:ilvl="8">
      <w:start w:val="1"/>
      <w:numFmt w:val="none"/>
      <w:suff w:val="nothing"/>
      <w:lvlText w:val=""/>
      <w:lvlJc w:val="left"/>
      <w:pPr>
        <w:ind w:left="714" w:firstLine="0"/>
      </w:pPr>
      <w:rPr>
        <w:rFonts w:hint="default"/>
      </w:rPr>
    </w:lvl>
  </w:abstractNum>
  <w:abstractNum w:abstractNumId="19" w15:restartNumberingAfterBreak="0">
    <w:nsid w:val="2CA86B94"/>
    <w:multiLevelType w:val="hybridMultilevel"/>
    <w:tmpl w:val="9A0406AA"/>
    <w:lvl w:ilvl="0" w:tplc="2938B9FA">
      <w:start w:val="1"/>
      <w:numFmt w:val="decimal"/>
      <w:lvlText w:val="%1."/>
      <w:lvlJc w:val="left"/>
      <w:pPr>
        <w:ind w:left="720" w:hanging="360"/>
      </w:pPr>
    </w:lvl>
    <w:lvl w:ilvl="1" w:tplc="2C5C244A">
      <w:start w:val="1"/>
      <w:numFmt w:val="decimal"/>
      <w:lvlText w:val="%2."/>
      <w:lvlJc w:val="left"/>
      <w:pPr>
        <w:ind w:left="720" w:hanging="360"/>
      </w:pPr>
    </w:lvl>
    <w:lvl w:ilvl="2" w:tplc="9D626296">
      <w:start w:val="1"/>
      <w:numFmt w:val="decimal"/>
      <w:lvlText w:val="%3."/>
      <w:lvlJc w:val="left"/>
      <w:pPr>
        <w:ind w:left="720" w:hanging="360"/>
      </w:pPr>
    </w:lvl>
    <w:lvl w:ilvl="3" w:tplc="6DF862F2">
      <w:start w:val="1"/>
      <w:numFmt w:val="decimal"/>
      <w:lvlText w:val="%4."/>
      <w:lvlJc w:val="left"/>
      <w:pPr>
        <w:ind w:left="720" w:hanging="360"/>
      </w:pPr>
    </w:lvl>
    <w:lvl w:ilvl="4" w:tplc="518CF6A4">
      <w:start w:val="1"/>
      <w:numFmt w:val="decimal"/>
      <w:lvlText w:val="%5."/>
      <w:lvlJc w:val="left"/>
      <w:pPr>
        <w:ind w:left="720" w:hanging="360"/>
      </w:pPr>
    </w:lvl>
    <w:lvl w:ilvl="5" w:tplc="8BB2C890">
      <w:start w:val="1"/>
      <w:numFmt w:val="decimal"/>
      <w:lvlText w:val="%6."/>
      <w:lvlJc w:val="left"/>
      <w:pPr>
        <w:ind w:left="720" w:hanging="360"/>
      </w:pPr>
    </w:lvl>
    <w:lvl w:ilvl="6" w:tplc="E4341A8C">
      <w:start w:val="1"/>
      <w:numFmt w:val="decimal"/>
      <w:lvlText w:val="%7."/>
      <w:lvlJc w:val="left"/>
      <w:pPr>
        <w:ind w:left="720" w:hanging="360"/>
      </w:pPr>
    </w:lvl>
    <w:lvl w:ilvl="7" w:tplc="F39C51CE">
      <w:start w:val="1"/>
      <w:numFmt w:val="decimal"/>
      <w:lvlText w:val="%8."/>
      <w:lvlJc w:val="left"/>
      <w:pPr>
        <w:ind w:left="720" w:hanging="360"/>
      </w:pPr>
    </w:lvl>
    <w:lvl w:ilvl="8" w:tplc="E5E4F258">
      <w:start w:val="1"/>
      <w:numFmt w:val="decimal"/>
      <w:lvlText w:val="%9."/>
      <w:lvlJc w:val="left"/>
      <w:pPr>
        <w:ind w:left="720" w:hanging="360"/>
      </w:pPr>
    </w:lvl>
  </w:abstractNum>
  <w:abstractNum w:abstractNumId="20" w15:restartNumberingAfterBreak="0">
    <w:nsid w:val="2D4153D4"/>
    <w:multiLevelType w:val="multilevel"/>
    <w:tmpl w:val="D10C43F8"/>
    <w:lvl w:ilvl="0">
      <w:start w:val="1"/>
      <w:numFmt w:val="bullet"/>
      <w:pStyle w:val="FootnoteBullet"/>
      <w:lvlText w:val=""/>
      <w:lvlJc w:val="left"/>
      <w:pPr>
        <w:tabs>
          <w:tab w:val="num" w:pos="567"/>
        </w:tabs>
        <w:ind w:left="567" w:hanging="283"/>
      </w:pPr>
      <w:rPr>
        <w:rFonts w:ascii="Symbol" w:hAnsi="Symbol" w:hint="default"/>
        <w:color w:val="4D4D4D"/>
      </w:rPr>
    </w:lvl>
    <w:lvl w:ilvl="1">
      <w:start w:val="1"/>
      <w:numFmt w:val="none"/>
      <w:suff w:val="nothing"/>
      <w:lvlText w:val=""/>
      <w:lvlJc w:val="left"/>
      <w:pPr>
        <w:ind w:left="567" w:firstLine="0"/>
      </w:pPr>
      <w:rPr>
        <w:rFonts w:hint="default"/>
      </w:rPr>
    </w:lvl>
    <w:lvl w:ilvl="2">
      <w:start w:val="1"/>
      <w:numFmt w:val="none"/>
      <w:suff w:val="nothing"/>
      <w:lvlText w:val=""/>
      <w:lvlJc w:val="left"/>
      <w:pPr>
        <w:ind w:left="567" w:firstLine="0"/>
      </w:pPr>
      <w:rPr>
        <w:rFonts w:hint="default"/>
      </w:rPr>
    </w:lvl>
    <w:lvl w:ilvl="3">
      <w:start w:val="1"/>
      <w:numFmt w:val="none"/>
      <w:suff w:val="nothing"/>
      <w:lvlText w:val=""/>
      <w:lvlJc w:val="left"/>
      <w:pPr>
        <w:ind w:left="567" w:firstLine="0"/>
      </w:pPr>
      <w:rPr>
        <w:rFonts w:hint="default"/>
      </w:rPr>
    </w:lvl>
    <w:lvl w:ilvl="4">
      <w:start w:val="1"/>
      <w:numFmt w:val="none"/>
      <w:suff w:val="nothing"/>
      <w:lvlText w:val=""/>
      <w:lvlJc w:val="left"/>
      <w:pPr>
        <w:ind w:left="567" w:firstLine="0"/>
      </w:pPr>
      <w:rPr>
        <w:rFonts w:hint="default"/>
      </w:rPr>
    </w:lvl>
    <w:lvl w:ilvl="5">
      <w:start w:val="1"/>
      <w:numFmt w:val="none"/>
      <w:suff w:val="nothing"/>
      <w:lvlText w:val=""/>
      <w:lvlJc w:val="left"/>
      <w:pPr>
        <w:ind w:left="567" w:firstLine="0"/>
      </w:pPr>
      <w:rPr>
        <w:rFonts w:hint="default"/>
      </w:rPr>
    </w:lvl>
    <w:lvl w:ilvl="6">
      <w:start w:val="1"/>
      <w:numFmt w:val="none"/>
      <w:suff w:val="nothing"/>
      <w:lvlText w:val=""/>
      <w:lvlJc w:val="left"/>
      <w:pPr>
        <w:ind w:left="567" w:firstLine="0"/>
      </w:pPr>
      <w:rPr>
        <w:rFonts w:hint="default"/>
      </w:rPr>
    </w:lvl>
    <w:lvl w:ilvl="7">
      <w:start w:val="1"/>
      <w:numFmt w:val="none"/>
      <w:suff w:val="nothing"/>
      <w:lvlText w:val=""/>
      <w:lvlJc w:val="left"/>
      <w:pPr>
        <w:ind w:left="567" w:firstLine="0"/>
      </w:pPr>
      <w:rPr>
        <w:rFonts w:hint="default"/>
      </w:rPr>
    </w:lvl>
    <w:lvl w:ilvl="8">
      <w:start w:val="1"/>
      <w:numFmt w:val="none"/>
      <w:suff w:val="nothing"/>
      <w:lvlText w:val=""/>
      <w:lvlJc w:val="left"/>
      <w:pPr>
        <w:ind w:left="567" w:firstLine="0"/>
      </w:pPr>
      <w:rPr>
        <w:rFonts w:hint="default"/>
      </w:rPr>
    </w:lvl>
  </w:abstractNum>
  <w:abstractNum w:abstractNumId="21" w15:restartNumberingAfterBreak="0">
    <w:nsid w:val="369C4F70"/>
    <w:multiLevelType w:val="multilevel"/>
    <w:tmpl w:val="E5D2630A"/>
    <w:lvl w:ilvl="0">
      <w:start w:val="1"/>
      <w:numFmt w:val="decimal"/>
      <w:pStyle w:val="Boxsmallnumber-1"/>
      <w:lvlText w:val="%1."/>
      <w:lvlJc w:val="left"/>
      <w:pPr>
        <w:tabs>
          <w:tab w:val="num" w:pos="357"/>
        </w:tabs>
        <w:ind w:left="360" w:hanging="360"/>
      </w:pPr>
      <w:rPr>
        <w:rFonts w:hint="default"/>
      </w:rPr>
    </w:lvl>
    <w:lvl w:ilvl="1">
      <w:start w:val="1"/>
      <w:numFmt w:val="lowerLetter"/>
      <w:pStyle w:val="Boxsmallnumber-a"/>
      <w:lvlText w:val="%2."/>
      <w:lvlJc w:val="left"/>
      <w:pPr>
        <w:tabs>
          <w:tab w:val="num" w:pos="714"/>
        </w:tabs>
        <w:ind w:left="714" w:hanging="354"/>
      </w:pPr>
      <w:rPr>
        <w:rFonts w:hint="default"/>
      </w:rPr>
    </w:lvl>
    <w:lvl w:ilvl="2">
      <w:start w:val="1"/>
      <w:numFmt w:val="lowerRoman"/>
      <w:pStyle w:val="Boxsmall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7"/>
      <w:lvlJc w:val="left"/>
      <w:pPr>
        <w:ind w:left="1072" w:firstLine="0"/>
      </w:pPr>
      <w:rPr>
        <w:rFonts w:hint="default"/>
      </w:rPr>
    </w:lvl>
    <w:lvl w:ilvl="7">
      <w:start w:val="1"/>
      <w:numFmt w:val="none"/>
      <w:suff w:val="nothing"/>
      <w:lvlText w:val="%8"/>
      <w:lvlJc w:val="left"/>
      <w:pPr>
        <w:ind w:left="1072" w:firstLine="0"/>
      </w:pPr>
      <w:rPr>
        <w:rFonts w:hint="default"/>
      </w:rPr>
    </w:lvl>
    <w:lvl w:ilvl="8">
      <w:start w:val="1"/>
      <w:numFmt w:val="none"/>
      <w:suff w:val="nothing"/>
      <w:lvlText w:val="%9"/>
      <w:lvlJc w:val="left"/>
      <w:pPr>
        <w:ind w:left="1072" w:firstLine="0"/>
      </w:pPr>
      <w:rPr>
        <w:rFonts w:hint="default"/>
      </w:rPr>
    </w:lvl>
  </w:abstractNum>
  <w:abstractNum w:abstractNumId="22" w15:restartNumberingAfterBreak="0">
    <w:nsid w:val="36BD306A"/>
    <w:multiLevelType w:val="multilevel"/>
    <w:tmpl w:val="8C040BC8"/>
    <w:lvl w:ilvl="0">
      <w:start w:val="1"/>
      <w:numFmt w:val="bullet"/>
      <w:pStyle w:val="Checkbox1"/>
      <w:lvlText w:val=""/>
      <w:lvlJc w:val="left"/>
      <w:pPr>
        <w:tabs>
          <w:tab w:val="num" w:pos="567"/>
        </w:tabs>
        <w:ind w:left="567" w:hanging="567"/>
      </w:pPr>
      <w:rPr>
        <w:rFonts w:ascii="Wingdings 2" w:hAnsi="Wingdings 2" w:hint="default"/>
        <w:u w:color="696969"/>
      </w:rPr>
    </w:lvl>
    <w:lvl w:ilvl="1">
      <w:start w:val="1"/>
      <w:numFmt w:val="bullet"/>
      <w:pStyle w:val="Checkbox2"/>
      <w:lvlText w:val=""/>
      <w:lvlJc w:val="left"/>
      <w:pPr>
        <w:tabs>
          <w:tab w:val="num" w:pos="1134"/>
        </w:tabs>
        <w:ind w:left="1134" w:hanging="567"/>
      </w:pPr>
      <w:rPr>
        <w:rFonts w:ascii="Wingdings 2" w:hAnsi="Wingdings 2" w:hint="default"/>
      </w:rPr>
    </w:lvl>
    <w:lvl w:ilvl="2">
      <w:start w:val="1"/>
      <w:numFmt w:val="bullet"/>
      <w:pStyle w:val="Checkbox3"/>
      <w:lvlText w:val=""/>
      <w:lvlJc w:val="left"/>
      <w:pPr>
        <w:tabs>
          <w:tab w:val="num" w:pos="1701"/>
        </w:tabs>
        <w:ind w:left="1701" w:hanging="567"/>
      </w:pPr>
      <w:rPr>
        <w:rFonts w:ascii="Wingdings 2" w:hAnsi="Wingdings 2" w:hint="default"/>
      </w:rPr>
    </w:lvl>
    <w:lvl w:ilvl="3">
      <w:start w:val="1"/>
      <w:numFmt w:val="bullet"/>
      <w:pStyle w:val="Checkbox4"/>
      <w:lvlText w:val=""/>
      <w:lvlJc w:val="left"/>
      <w:pPr>
        <w:tabs>
          <w:tab w:val="num" w:pos="2268"/>
        </w:tabs>
        <w:ind w:left="2268" w:hanging="567"/>
      </w:pPr>
      <w:rPr>
        <w:rFonts w:ascii="Wingdings 2" w:hAnsi="Wingdings 2" w:hint="default"/>
      </w:rPr>
    </w:lvl>
    <w:lvl w:ilvl="4">
      <w:start w:val="1"/>
      <w:numFmt w:val="none"/>
      <w:suff w:val="nothing"/>
      <w:lvlText w:val=""/>
      <w:lvlJc w:val="left"/>
      <w:pPr>
        <w:ind w:left="2268" w:firstLine="0"/>
      </w:pPr>
      <w:rPr>
        <w:rFonts w:hint="default"/>
      </w:rPr>
    </w:lvl>
    <w:lvl w:ilvl="5">
      <w:start w:val="1"/>
      <w:numFmt w:val="none"/>
      <w:lvlText w:val=""/>
      <w:lvlJc w:val="left"/>
      <w:pPr>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23" w15:restartNumberingAfterBreak="0">
    <w:nsid w:val="381D5E25"/>
    <w:multiLevelType w:val="multilevel"/>
    <w:tmpl w:val="174E6B08"/>
    <w:lvl w:ilvl="0">
      <w:start w:val="1"/>
      <w:numFmt w:val="decimal"/>
      <w:pStyle w:val="TableNumber1"/>
      <w:lvlText w:val="%1."/>
      <w:lvlJc w:val="left"/>
      <w:pPr>
        <w:tabs>
          <w:tab w:val="num" w:pos="357"/>
        </w:tabs>
        <w:ind w:left="357" w:hanging="357"/>
      </w:pPr>
      <w:rPr>
        <w:rFonts w:hint="eastAsia"/>
        <w:u w:color="696969"/>
      </w:rPr>
    </w:lvl>
    <w:lvl w:ilvl="1">
      <w:start w:val="1"/>
      <w:numFmt w:val="lowerLetter"/>
      <w:pStyle w:val="TableNumbera"/>
      <w:lvlText w:val="%2."/>
      <w:lvlJc w:val="left"/>
      <w:pPr>
        <w:tabs>
          <w:tab w:val="num" w:pos="714"/>
        </w:tabs>
        <w:ind w:left="714" w:hanging="357"/>
      </w:pPr>
      <w:rPr>
        <w:rFonts w:hint="default"/>
      </w:rPr>
    </w:lvl>
    <w:lvl w:ilvl="2">
      <w:start w:val="1"/>
      <w:numFmt w:val="lowerRoman"/>
      <w:pStyle w:val="TableNumberi"/>
      <w:lvlText w:val="%3."/>
      <w:lvlJc w:val="left"/>
      <w:pPr>
        <w:tabs>
          <w:tab w:val="num" w:pos="1072"/>
        </w:tabs>
        <w:ind w:left="1072" w:hanging="358"/>
      </w:pPr>
      <w:rPr>
        <w:rFonts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24" w15:restartNumberingAfterBreak="0">
    <w:nsid w:val="39744B21"/>
    <w:multiLevelType w:val="multilevel"/>
    <w:tmpl w:val="BB00A090"/>
    <w:lvl w:ilvl="0">
      <w:start w:val="1"/>
      <w:numFmt w:val="bullet"/>
      <w:pStyle w:val="QListbullet"/>
      <w:lvlText w:val=""/>
      <w:lvlJc w:val="left"/>
      <w:pPr>
        <w:tabs>
          <w:tab w:val="num" w:pos="1134"/>
        </w:tabs>
        <w:ind w:left="1134" w:hanging="567"/>
      </w:pPr>
      <w:rPr>
        <w:rFonts w:ascii="Symbol" w:hAnsi="Symbol" w:hint="default"/>
      </w:rPr>
    </w:lvl>
    <w:lvl w:ilvl="1">
      <w:start w:val="1"/>
      <w:numFmt w:val="none"/>
      <w:suff w:val="nothing"/>
      <w:lvlText w:val=""/>
      <w:lvlJc w:val="left"/>
      <w:pPr>
        <w:ind w:left="1134" w:firstLine="0"/>
      </w:pPr>
      <w:rPr>
        <w:rFonts w:hint="default"/>
      </w:rPr>
    </w:lvl>
    <w:lvl w:ilvl="2">
      <w:start w:val="1"/>
      <w:numFmt w:val="none"/>
      <w:suff w:val="nothing"/>
      <w:lvlText w:val=""/>
      <w:lvlJc w:val="left"/>
      <w:pPr>
        <w:ind w:left="1134" w:firstLine="0"/>
      </w:pPr>
      <w:rPr>
        <w:rFonts w:hint="default"/>
      </w:rPr>
    </w:lvl>
    <w:lvl w:ilvl="3">
      <w:start w:val="1"/>
      <w:numFmt w:val="none"/>
      <w:suff w:val="nothing"/>
      <w:lvlText w:val=""/>
      <w:lvlJc w:val="left"/>
      <w:pPr>
        <w:ind w:left="1134" w:firstLine="0"/>
      </w:pPr>
      <w:rPr>
        <w:rFonts w:hint="default"/>
      </w:rPr>
    </w:lvl>
    <w:lvl w:ilvl="4">
      <w:start w:val="1"/>
      <w:numFmt w:val="none"/>
      <w:suff w:val="nothing"/>
      <w:lvlText w:val=""/>
      <w:lvlJc w:val="left"/>
      <w:pPr>
        <w:ind w:left="1134" w:firstLine="0"/>
      </w:pPr>
      <w:rPr>
        <w:rFonts w:hint="default"/>
      </w:rPr>
    </w:lvl>
    <w:lvl w:ilvl="5">
      <w:start w:val="1"/>
      <w:numFmt w:val="none"/>
      <w:suff w:val="nothing"/>
      <w:lvlText w:val=""/>
      <w:lvlJc w:val="left"/>
      <w:pPr>
        <w:ind w:left="1134" w:firstLine="0"/>
      </w:pPr>
      <w:rPr>
        <w:rFonts w:hint="default"/>
      </w:rPr>
    </w:lvl>
    <w:lvl w:ilvl="6">
      <w:start w:val="1"/>
      <w:numFmt w:val="none"/>
      <w:suff w:val="nothing"/>
      <w:lvlText w:val=""/>
      <w:lvlJc w:val="left"/>
      <w:pPr>
        <w:ind w:left="1134" w:firstLine="0"/>
      </w:pPr>
      <w:rPr>
        <w:rFonts w:hint="default"/>
      </w:rPr>
    </w:lvl>
    <w:lvl w:ilvl="7">
      <w:start w:val="1"/>
      <w:numFmt w:val="none"/>
      <w:suff w:val="nothing"/>
      <w:lvlText w:val=""/>
      <w:lvlJc w:val="left"/>
      <w:pPr>
        <w:ind w:left="1134" w:firstLine="0"/>
      </w:pPr>
      <w:rPr>
        <w:rFonts w:hint="default"/>
      </w:rPr>
    </w:lvl>
    <w:lvl w:ilvl="8">
      <w:start w:val="1"/>
      <w:numFmt w:val="none"/>
      <w:suff w:val="nothing"/>
      <w:lvlText w:val=""/>
      <w:lvlJc w:val="left"/>
      <w:pPr>
        <w:ind w:left="1134" w:firstLine="0"/>
      </w:pPr>
      <w:rPr>
        <w:rFonts w:hint="default"/>
      </w:rPr>
    </w:lvl>
  </w:abstractNum>
  <w:abstractNum w:abstractNumId="25" w15:restartNumberingAfterBreak="0">
    <w:nsid w:val="3A620B60"/>
    <w:multiLevelType w:val="hybridMultilevel"/>
    <w:tmpl w:val="38AECCFE"/>
    <w:lvl w:ilvl="0" w:tplc="EC866402">
      <w:start w:val="1"/>
      <w:numFmt w:val="decimal"/>
      <w:lvlText w:val="%1."/>
      <w:lvlJc w:val="left"/>
      <w:pPr>
        <w:ind w:left="1440" w:hanging="360"/>
      </w:pPr>
    </w:lvl>
    <w:lvl w:ilvl="1" w:tplc="2C66BF20">
      <w:start w:val="1"/>
      <w:numFmt w:val="decimal"/>
      <w:lvlText w:val="%2."/>
      <w:lvlJc w:val="left"/>
      <w:pPr>
        <w:ind w:left="1440" w:hanging="360"/>
      </w:pPr>
    </w:lvl>
    <w:lvl w:ilvl="2" w:tplc="C52A581A">
      <w:start w:val="1"/>
      <w:numFmt w:val="decimal"/>
      <w:lvlText w:val="%3."/>
      <w:lvlJc w:val="left"/>
      <w:pPr>
        <w:ind w:left="1440" w:hanging="360"/>
      </w:pPr>
    </w:lvl>
    <w:lvl w:ilvl="3" w:tplc="68866866">
      <w:start w:val="1"/>
      <w:numFmt w:val="decimal"/>
      <w:lvlText w:val="%4."/>
      <w:lvlJc w:val="left"/>
      <w:pPr>
        <w:ind w:left="1440" w:hanging="360"/>
      </w:pPr>
    </w:lvl>
    <w:lvl w:ilvl="4" w:tplc="7042FA72">
      <w:start w:val="1"/>
      <w:numFmt w:val="decimal"/>
      <w:lvlText w:val="%5."/>
      <w:lvlJc w:val="left"/>
      <w:pPr>
        <w:ind w:left="1440" w:hanging="360"/>
      </w:pPr>
    </w:lvl>
    <w:lvl w:ilvl="5" w:tplc="82461A5A">
      <w:start w:val="1"/>
      <w:numFmt w:val="decimal"/>
      <w:lvlText w:val="%6."/>
      <w:lvlJc w:val="left"/>
      <w:pPr>
        <w:ind w:left="1440" w:hanging="360"/>
      </w:pPr>
    </w:lvl>
    <w:lvl w:ilvl="6" w:tplc="46CE9AEC">
      <w:start w:val="1"/>
      <w:numFmt w:val="decimal"/>
      <w:lvlText w:val="%7."/>
      <w:lvlJc w:val="left"/>
      <w:pPr>
        <w:ind w:left="1440" w:hanging="360"/>
      </w:pPr>
    </w:lvl>
    <w:lvl w:ilvl="7" w:tplc="CDFE2D62">
      <w:start w:val="1"/>
      <w:numFmt w:val="decimal"/>
      <w:lvlText w:val="%8."/>
      <w:lvlJc w:val="left"/>
      <w:pPr>
        <w:ind w:left="1440" w:hanging="360"/>
      </w:pPr>
    </w:lvl>
    <w:lvl w:ilvl="8" w:tplc="75F8117E">
      <w:start w:val="1"/>
      <w:numFmt w:val="decimal"/>
      <w:lvlText w:val="%9."/>
      <w:lvlJc w:val="left"/>
      <w:pPr>
        <w:ind w:left="1440" w:hanging="360"/>
      </w:pPr>
    </w:lvl>
  </w:abstractNum>
  <w:abstractNum w:abstractNumId="26" w15:restartNumberingAfterBreak="0">
    <w:nsid w:val="40DF63CF"/>
    <w:multiLevelType w:val="hybridMultilevel"/>
    <w:tmpl w:val="8FEE4416"/>
    <w:lvl w:ilvl="0" w:tplc="14090001">
      <w:start w:val="1"/>
      <w:numFmt w:val="bullet"/>
      <w:lvlText w:val=""/>
      <w:lvlJc w:val="left"/>
      <w:pPr>
        <w:ind w:left="775" w:hanging="360"/>
      </w:pPr>
      <w:rPr>
        <w:rFonts w:ascii="Symbol" w:hAnsi="Symbol" w:hint="default"/>
      </w:rPr>
    </w:lvl>
    <w:lvl w:ilvl="1" w:tplc="14090003" w:tentative="1">
      <w:start w:val="1"/>
      <w:numFmt w:val="bullet"/>
      <w:lvlText w:val="o"/>
      <w:lvlJc w:val="left"/>
      <w:pPr>
        <w:ind w:left="1495" w:hanging="360"/>
      </w:pPr>
      <w:rPr>
        <w:rFonts w:ascii="Courier New" w:hAnsi="Courier New" w:cs="Courier New" w:hint="default"/>
      </w:rPr>
    </w:lvl>
    <w:lvl w:ilvl="2" w:tplc="14090005" w:tentative="1">
      <w:start w:val="1"/>
      <w:numFmt w:val="bullet"/>
      <w:lvlText w:val=""/>
      <w:lvlJc w:val="left"/>
      <w:pPr>
        <w:ind w:left="2215" w:hanging="360"/>
      </w:pPr>
      <w:rPr>
        <w:rFonts w:ascii="Wingdings" w:hAnsi="Wingdings" w:hint="default"/>
      </w:rPr>
    </w:lvl>
    <w:lvl w:ilvl="3" w:tplc="14090001" w:tentative="1">
      <w:start w:val="1"/>
      <w:numFmt w:val="bullet"/>
      <w:lvlText w:val=""/>
      <w:lvlJc w:val="left"/>
      <w:pPr>
        <w:ind w:left="2935" w:hanging="360"/>
      </w:pPr>
      <w:rPr>
        <w:rFonts w:ascii="Symbol" w:hAnsi="Symbol" w:hint="default"/>
      </w:rPr>
    </w:lvl>
    <w:lvl w:ilvl="4" w:tplc="14090003" w:tentative="1">
      <w:start w:val="1"/>
      <w:numFmt w:val="bullet"/>
      <w:lvlText w:val="o"/>
      <w:lvlJc w:val="left"/>
      <w:pPr>
        <w:ind w:left="3655" w:hanging="360"/>
      </w:pPr>
      <w:rPr>
        <w:rFonts w:ascii="Courier New" w:hAnsi="Courier New" w:cs="Courier New" w:hint="default"/>
      </w:rPr>
    </w:lvl>
    <w:lvl w:ilvl="5" w:tplc="14090005" w:tentative="1">
      <w:start w:val="1"/>
      <w:numFmt w:val="bullet"/>
      <w:lvlText w:val=""/>
      <w:lvlJc w:val="left"/>
      <w:pPr>
        <w:ind w:left="4375" w:hanging="360"/>
      </w:pPr>
      <w:rPr>
        <w:rFonts w:ascii="Wingdings" w:hAnsi="Wingdings" w:hint="default"/>
      </w:rPr>
    </w:lvl>
    <w:lvl w:ilvl="6" w:tplc="14090001" w:tentative="1">
      <w:start w:val="1"/>
      <w:numFmt w:val="bullet"/>
      <w:lvlText w:val=""/>
      <w:lvlJc w:val="left"/>
      <w:pPr>
        <w:ind w:left="5095" w:hanging="360"/>
      </w:pPr>
      <w:rPr>
        <w:rFonts w:ascii="Symbol" w:hAnsi="Symbol" w:hint="default"/>
      </w:rPr>
    </w:lvl>
    <w:lvl w:ilvl="7" w:tplc="14090003" w:tentative="1">
      <w:start w:val="1"/>
      <w:numFmt w:val="bullet"/>
      <w:lvlText w:val="o"/>
      <w:lvlJc w:val="left"/>
      <w:pPr>
        <w:ind w:left="5815" w:hanging="360"/>
      </w:pPr>
      <w:rPr>
        <w:rFonts w:ascii="Courier New" w:hAnsi="Courier New" w:cs="Courier New" w:hint="default"/>
      </w:rPr>
    </w:lvl>
    <w:lvl w:ilvl="8" w:tplc="14090005" w:tentative="1">
      <w:start w:val="1"/>
      <w:numFmt w:val="bullet"/>
      <w:lvlText w:val=""/>
      <w:lvlJc w:val="left"/>
      <w:pPr>
        <w:ind w:left="6535" w:hanging="360"/>
      </w:pPr>
      <w:rPr>
        <w:rFonts w:ascii="Wingdings" w:hAnsi="Wingdings" w:hint="default"/>
      </w:rPr>
    </w:lvl>
  </w:abstractNum>
  <w:abstractNum w:abstractNumId="27" w15:restartNumberingAfterBreak="0">
    <w:nsid w:val="4557561E"/>
    <w:multiLevelType w:val="multilevel"/>
    <w:tmpl w:val="92AA2182"/>
    <w:lvl w:ilvl="0">
      <w:start w:val="1"/>
      <w:numFmt w:val="none"/>
      <w:pStyle w:val="Heading1"/>
      <w:suff w:val="nothing"/>
      <w:lvlText w:val=""/>
      <w:lvlJc w:val="left"/>
      <w:pPr>
        <w:ind w:left="0" w:firstLine="0"/>
      </w:pPr>
      <w:rPr>
        <w:rFonts w:hint="default"/>
      </w:rPr>
    </w:lvl>
    <w:lvl w:ilvl="1">
      <w:start w:val="1"/>
      <w:numFmt w:val="none"/>
      <w:pStyle w:val="Heading2"/>
      <w:isLgl/>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righ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right"/>
      <w:pPr>
        <w:ind w:left="0" w:firstLine="0"/>
      </w:pPr>
      <w:rPr>
        <w:rFonts w:hint="default"/>
      </w:rPr>
    </w:lvl>
  </w:abstractNum>
  <w:abstractNum w:abstractNumId="28" w15:restartNumberingAfterBreak="0">
    <w:nsid w:val="460608EB"/>
    <w:multiLevelType w:val="hybridMultilevel"/>
    <w:tmpl w:val="B31A8796"/>
    <w:lvl w:ilvl="0" w:tplc="F5C296D2">
      <w:start w:val="1"/>
      <w:numFmt w:val="decimal"/>
      <w:lvlText w:val="%1."/>
      <w:lvlJc w:val="left"/>
      <w:pPr>
        <w:ind w:left="720" w:hanging="360"/>
      </w:pPr>
    </w:lvl>
    <w:lvl w:ilvl="1" w:tplc="9CC82144">
      <w:start w:val="1"/>
      <w:numFmt w:val="decimal"/>
      <w:lvlText w:val="%2."/>
      <w:lvlJc w:val="left"/>
      <w:pPr>
        <w:ind w:left="720" w:hanging="360"/>
      </w:pPr>
    </w:lvl>
    <w:lvl w:ilvl="2" w:tplc="B8CE5D8C">
      <w:start w:val="1"/>
      <w:numFmt w:val="decimal"/>
      <w:lvlText w:val="%3."/>
      <w:lvlJc w:val="left"/>
      <w:pPr>
        <w:ind w:left="720" w:hanging="360"/>
      </w:pPr>
    </w:lvl>
    <w:lvl w:ilvl="3" w:tplc="59E62F64">
      <w:start w:val="1"/>
      <w:numFmt w:val="decimal"/>
      <w:lvlText w:val="%4."/>
      <w:lvlJc w:val="left"/>
      <w:pPr>
        <w:ind w:left="720" w:hanging="360"/>
      </w:pPr>
    </w:lvl>
    <w:lvl w:ilvl="4" w:tplc="9C6C5CA6">
      <w:start w:val="1"/>
      <w:numFmt w:val="decimal"/>
      <w:lvlText w:val="%5."/>
      <w:lvlJc w:val="left"/>
      <w:pPr>
        <w:ind w:left="720" w:hanging="360"/>
      </w:pPr>
    </w:lvl>
    <w:lvl w:ilvl="5" w:tplc="A5C05440">
      <w:start w:val="1"/>
      <w:numFmt w:val="decimal"/>
      <w:lvlText w:val="%6."/>
      <w:lvlJc w:val="left"/>
      <w:pPr>
        <w:ind w:left="720" w:hanging="360"/>
      </w:pPr>
    </w:lvl>
    <w:lvl w:ilvl="6" w:tplc="A858B978">
      <w:start w:val="1"/>
      <w:numFmt w:val="decimal"/>
      <w:lvlText w:val="%7."/>
      <w:lvlJc w:val="left"/>
      <w:pPr>
        <w:ind w:left="720" w:hanging="360"/>
      </w:pPr>
    </w:lvl>
    <w:lvl w:ilvl="7" w:tplc="B0400A40">
      <w:start w:val="1"/>
      <w:numFmt w:val="decimal"/>
      <w:lvlText w:val="%8."/>
      <w:lvlJc w:val="left"/>
      <w:pPr>
        <w:ind w:left="720" w:hanging="360"/>
      </w:pPr>
    </w:lvl>
    <w:lvl w:ilvl="8" w:tplc="8D0A5626">
      <w:start w:val="1"/>
      <w:numFmt w:val="decimal"/>
      <w:lvlText w:val="%9."/>
      <w:lvlJc w:val="left"/>
      <w:pPr>
        <w:ind w:left="720" w:hanging="360"/>
      </w:pPr>
    </w:lvl>
  </w:abstractNum>
  <w:abstractNum w:abstractNumId="29" w15:restartNumberingAfterBreak="0">
    <w:nsid w:val="4FC32322"/>
    <w:multiLevelType w:val="multilevel"/>
    <w:tmpl w:val="4FD03F6A"/>
    <w:lvl w:ilvl="0">
      <w:start w:val="1"/>
      <w:numFmt w:val="decimal"/>
      <w:pStyle w:val="Number1"/>
      <w:lvlText w:val="%1."/>
      <w:lvlJc w:val="left"/>
      <w:pPr>
        <w:tabs>
          <w:tab w:val="num" w:pos="567"/>
        </w:tabs>
        <w:ind w:left="567" w:hanging="567"/>
      </w:pPr>
      <w:rPr>
        <w:rFonts w:hint="eastAsia"/>
        <w:u w:color="696969"/>
      </w:rPr>
    </w:lvl>
    <w:lvl w:ilvl="1">
      <w:start w:val="1"/>
      <w:numFmt w:val="lowerLetter"/>
      <w:pStyle w:val="Number2"/>
      <w:lvlText w:val="%2."/>
      <w:lvlJc w:val="left"/>
      <w:pPr>
        <w:tabs>
          <w:tab w:val="num" w:pos="1134"/>
        </w:tabs>
        <w:ind w:left="1134" w:hanging="567"/>
      </w:pPr>
      <w:rPr>
        <w:rFonts w:hint="default"/>
      </w:rPr>
    </w:lvl>
    <w:lvl w:ilvl="2">
      <w:start w:val="1"/>
      <w:numFmt w:val="lowerRoman"/>
      <w:pStyle w:val="Number3"/>
      <w:lvlText w:val="%3."/>
      <w:lvlJc w:val="left"/>
      <w:pPr>
        <w:tabs>
          <w:tab w:val="num" w:pos="1701"/>
        </w:tabs>
        <w:ind w:left="1701" w:hanging="567"/>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30" w15:restartNumberingAfterBreak="0">
    <w:nsid w:val="532912FB"/>
    <w:multiLevelType w:val="multilevel"/>
    <w:tmpl w:val="AE2AF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E7543A"/>
    <w:multiLevelType w:val="hybridMultilevel"/>
    <w:tmpl w:val="D2F6E200"/>
    <w:lvl w:ilvl="0" w:tplc="DDA0D108">
      <w:start w:val="1"/>
      <w:numFmt w:val="decimal"/>
      <w:lvlText w:val="%1."/>
      <w:lvlJc w:val="left"/>
      <w:pPr>
        <w:ind w:left="1440" w:hanging="360"/>
      </w:pPr>
    </w:lvl>
    <w:lvl w:ilvl="1" w:tplc="BE30AB88">
      <w:start w:val="1"/>
      <w:numFmt w:val="decimal"/>
      <w:lvlText w:val="%2."/>
      <w:lvlJc w:val="left"/>
      <w:pPr>
        <w:ind w:left="1440" w:hanging="360"/>
      </w:pPr>
    </w:lvl>
    <w:lvl w:ilvl="2" w:tplc="2F02A956">
      <w:start w:val="1"/>
      <w:numFmt w:val="decimal"/>
      <w:lvlText w:val="%3."/>
      <w:lvlJc w:val="left"/>
      <w:pPr>
        <w:ind w:left="1440" w:hanging="360"/>
      </w:pPr>
    </w:lvl>
    <w:lvl w:ilvl="3" w:tplc="B1E8BBCC">
      <w:start w:val="1"/>
      <w:numFmt w:val="decimal"/>
      <w:lvlText w:val="%4."/>
      <w:lvlJc w:val="left"/>
      <w:pPr>
        <w:ind w:left="1440" w:hanging="360"/>
      </w:pPr>
    </w:lvl>
    <w:lvl w:ilvl="4" w:tplc="24869636">
      <w:start w:val="1"/>
      <w:numFmt w:val="decimal"/>
      <w:lvlText w:val="%5."/>
      <w:lvlJc w:val="left"/>
      <w:pPr>
        <w:ind w:left="1440" w:hanging="360"/>
      </w:pPr>
    </w:lvl>
    <w:lvl w:ilvl="5" w:tplc="17A0A594">
      <w:start w:val="1"/>
      <w:numFmt w:val="decimal"/>
      <w:lvlText w:val="%6."/>
      <w:lvlJc w:val="left"/>
      <w:pPr>
        <w:ind w:left="1440" w:hanging="360"/>
      </w:pPr>
    </w:lvl>
    <w:lvl w:ilvl="6" w:tplc="8E5E150C">
      <w:start w:val="1"/>
      <w:numFmt w:val="decimal"/>
      <w:lvlText w:val="%7."/>
      <w:lvlJc w:val="left"/>
      <w:pPr>
        <w:ind w:left="1440" w:hanging="360"/>
      </w:pPr>
    </w:lvl>
    <w:lvl w:ilvl="7" w:tplc="C1BA9CF4">
      <w:start w:val="1"/>
      <w:numFmt w:val="decimal"/>
      <w:lvlText w:val="%8."/>
      <w:lvlJc w:val="left"/>
      <w:pPr>
        <w:ind w:left="1440" w:hanging="360"/>
      </w:pPr>
    </w:lvl>
    <w:lvl w:ilvl="8" w:tplc="A9ACD966">
      <w:start w:val="1"/>
      <w:numFmt w:val="decimal"/>
      <w:lvlText w:val="%9."/>
      <w:lvlJc w:val="left"/>
      <w:pPr>
        <w:ind w:left="1440" w:hanging="360"/>
      </w:pPr>
    </w:lvl>
  </w:abstractNum>
  <w:abstractNum w:abstractNumId="32" w15:restartNumberingAfterBreak="0">
    <w:nsid w:val="5C240FF5"/>
    <w:multiLevelType w:val="hybridMultilevel"/>
    <w:tmpl w:val="954AD05A"/>
    <w:lvl w:ilvl="0" w:tplc="85FA2B88">
      <w:start w:val="1"/>
      <w:numFmt w:val="decimal"/>
      <w:lvlText w:val="%1."/>
      <w:lvlJc w:val="left"/>
      <w:pPr>
        <w:ind w:left="720" w:hanging="360"/>
      </w:pPr>
    </w:lvl>
    <w:lvl w:ilvl="1" w:tplc="79DEBB74">
      <w:start w:val="1"/>
      <w:numFmt w:val="decimal"/>
      <w:lvlText w:val="%2."/>
      <w:lvlJc w:val="left"/>
      <w:pPr>
        <w:ind w:left="720" w:hanging="360"/>
      </w:pPr>
    </w:lvl>
    <w:lvl w:ilvl="2" w:tplc="E760FB50">
      <w:start w:val="1"/>
      <w:numFmt w:val="decimal"/>
      <w:lvlText w:val="%3."/>
      <w:lvlJc w:val="left"/>
      <w:pPr>
        <w:ind w:left="720" w:hanging="360"/>
      </w:pPr>
    </w:lvl>
    <w:lvl w:ilvl="3" w:tplc="BCC2CDDC">
      <w:start w:val="1"/>
      <w:numFmt w:val="decimal"/>
      <w:lvlText w:val="%4."/>
      <w:lvlJc w:val="left"/>
      <w:pPr>
        <w:ind w:left="720" w:hanging="360"/>
      </w:pPr>
    </w:lvl>
    <w:lvl w:ilvl="4" w:tplc="EE94608A">
      <w:start w:val="1"/>
      <w:numFmt w:val="decimal"/>
      <w:lvlText w:val="%5."/>
      <w:lvlJc w:val="left"/>
      <w:pPr>
        <w:ind w:left="720" w:hanging="360"/>
      </w:pPr>
    </w:lvl>
    <w:lvl w:ilvl="5" w:tplc="EFBEEF9A">
      <w:start w:val="1"/>
      <w:numFmt w:val="decimal"/>
      <w:lvlText w:val="%6."/>
      <w:lvlJc w:val="left"/>
      <w:pPr>
        <w:ind w:left="720" w:hanging="360"/>
      </w:pPr>
    </w:lvl>
    <w:lvl w:ilvl="6" w:tplc="70109884">
      <w:start w:val="1"/>
      <w:numFmt w:val="decimal"/>
      <w:lvlText w:val="%7."/>
      <w:lvlJc w:val="left"/>
      <w:pPr>
        <w:ind w:left="720" w:hanging="360"/>
      </w:pPr>
    </w:lvl>
    <w:lvl w:ilvl="7" w:tplc="7FFC480A">
      <w:start w:val="1"/>
      <w:numFmt w:val="decimal"/>
      <w:lvlText w:val="%8."/>
      <w:lvlJc w:val="left"/>
      <w:pPr>
        <w:ind w:left="720" w:hanging="360"/>
      </w:pPr>
    </w:lvl>
    <w:lvl w:ilvl="8" w:tplc="37566E0A">
      <w:start w:val="1"/>
      <w:numFmt w:val="decimal"/>
      <w:lvlText w:val="%9."/>
      <w:lvlJc w:val="left"/>
      <w:pPr>
        <w:ind w:left="720" w:hanging="360"/>
      </w:pPr>
    </w:lvl>
  </w:abstractNum>
  <w:abstractNum w:abstractNumId="33" w15:restartNumberingAfterBreak="0">
    <w:nsid w:val="639818B9"/>
    <w:multiLevelType w:val="multilevel"/>
    <w:tmpl w:val="AE28E690"/>
    <w:lvl w:ilvl="0">
      <w:start w:val="1"/>
      <w:numFmt w:val="bullet"/>
      <w:pStyle w:val="TableBullet1"/>
      <w:lvlText w:val=""/>
      <w:lvlJc w:val="left"/>
      <w:pPr>
        <w:tabs>
          <w:tab w:val="num" w:pos="357"/>
        </w:tabs>
        <w:ind w:left="357" w:hanging="357"/>
      </w:pPr>
      <w:rPr>
        <w:rFonts w:ascii="Symbol" w:hAnsi="Symbol" w:hint="default"/>
        <w:u w:color="696969"/>
      </w:rPr>
    </w:lvl>
    <w:lvl w:ilvl="1">
      <w:start w:val="1"/>
      <w:numFmt w:val="bullet"/>
      <w:pStyle w:val="TableBullet2"/>
      <w:lvlText w:val="-"/>
      <w:lvlJc w:val="left"/>
      <w:pPr>
        <w:tabs>
          <w:tab w:val="num" w:pos="714"/>
        </w:tabs>
        <w:ind w:left="714" w:hanging="357"/>
      </w:pPr>
      <w:rPr>
        <w:rFonts w:ascii="Calibri" w:hAnsi="Calibri" w:hint="default"/>
      </w:rPr>
    </w:lvl>
    <w:lvl w:ilvl="2">
      <w:start w:val="1"/>
      <w:numFmt w:val="bullet"/>
      <w:pStyle w:val="TableBullet3"/>
      <w:lvlText w:val="›"/>
      <w:lvlJc w:val="left"/>
      <w:pPr>
        <w:tabs>
          <w:tab w:val="num" w:pos="1072"/>
        </w:tabs>
        <w:ind w:left="1072" w:hanging="358"/>
      </w:pPr>
      <w:rPr>
        <w:rFonts w:ascii="Calibri" w:hAnsi="Calibri" w:hint="default"/>
      </w:rPr>
    </w:lvl>
    <w:lvl w:ilvl="3">
      <w:start w:val="1"/>
      <w:numFmt w:val="none"/>
      <w:suff w:val="nothing"/>
      <w:lvlText w:val=""/>
      <w:lvlJc w:val="left"/>
      <w:pPr>
        <w:ind w:left="1072" w:firstLine="0"/>
      </w:pPr>
      <w:rPr>
        <w:rFonts w:hint="default"/>
      </w:rPr>
    </w:lvl>
    <w:lvl w:ilvl="4">
      <w:start w:val="1"/>
      <w:numFmt w:val="none"/>
      <w:suff w:val="nothing"/>
      <w:lvlText w:val=""/>
      <w:lvlJc w:val="left"/>
      <w:pPr>
        <w:ind w:left="1072" w:firstLine="0"/>
      </w:pPr>
      <w:rPr>
        <w:rFonts w:hint="default"/>
      </w:rPr>
    </w:lvl>
    <w:lvl w:ilvl="5">
      <w:start w:val="1"/>
      <w:numFmt w:val="none"/>
      <w:suff w:val="nothing"/>
      <w:lvlText w:val=""/>
      <w:lvlJc w:val="left"/>
      <w:pPr>
        <w:ind w:left="1072" w:firstLine="0"/>
      </w:pPr>
      <w:rPr>
        <w:rFonts w:hint="default"/>
      </w:rPr>
    </w:lvl>
    <w:lvl w:ilvl="6">
      <w:start w:val="1"/>
      <w:numFmt w:val="none"/>
      <w:suff w:val="nothing"/>
      <w:lvlText w:val=""/>
      <w:lvlJc w:val="left"/>
      <w:pPr>
        <w:ind w:left="1072" w:firstLine="0"/>
      </w:pPr>
      <w:rPr>
        <w:rFonts w:hint="default"/>
      </w:rPr>
    </w:lvl>
    <w:lvl w:ilvl="7">
      <w:start w:val="1"/>
      <w:numFmt w:val="none"/>
      <w:suff w:val="nothing"/>
      <w:lvlText w:val=""/>
      <w:lvlJc w:val="left"/>
      <w:pPr>
        <w:ind w:left="1072" w:firstLine="0"/>
      </w:pPr>
      <w:rPr>
        <w:rFonts w:hint="default"/>
      </w:rPr>
    </w:lvl>
    <w:lvl w:ilvl="8">
      <w:start w:val="1"/>
      <w:numFmt w:val="none"/>
      <w:suff w:val="nothing"/>
      <w:lvlText w:val=""/>
      <w:lvlJc w:val="left"/>
      <w:pPr>
        <w:ind w:left="1072" w:firstLine="0"/>
      </w:pPr>
      <w:rPr>
        <w:rFonts w:hint="default"/>
      </w:rPr>
    </w:lvl>
  </w:abstractNum>
  <w:abstractNum w:abstractNumId="34" w15:restartNumberingAfterBreak="0">
    <w:nsid w:val="688B6577"/>
    <w:multiLevelType w:val="multilevel"/>
    <w:tmpl w:val="BA4EF786"/>
    <w:lvl w:ilvl="0">
      <w:start w:val="1"/>
      <w:numFmt w:val="decimal"/>
      <w:pStyle w:val="HeadingAppendix"/>
      <w:suff w:val="space"/>
      <w:lvlText w:val="Appendix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6E795464"/>
    <w:multiLevelType w:val="multilevel"/>
    <w:tmpl w:val="060E9DC8"/>
    <w:lvl w:ilvl="0">
      <w:start w:val="1"/>
      <w:numFmt w:val="lowerLetter"/>
      <w:pStyle w:val="Number-a"/>
      <w:lvlText w:val="%1."/>
      <w:lvlJc w:val="left"/>
      <w:pPr>
        <w:tabs>
          <w:tab w:val="num" w:pos="1418"/>
        </w:tabs>
        <w:ind w:left="1418" w:hanging="567"/>
      </w:pPr>
      <w:rPr>
        <w:rFonts w:hint="default"/>
      </w:rPr>
    </w:lvl>
    <w:lvl w:ilvl="1">
      <w:start w:val="1"/>
      <w:numFmt w:val="lowerRoman"/>
      <w:pStyle w:val="Number-i"/>
      <w:lvlText w:val="%2."/>
      <w:lvlJc w:val="left"/>
      <w:pPr>
        <w:tabs>
          <w:tab w:val="num" w:pos="1985"/>
        </w:tabs>
        <w:ind w:left="1985" w:hanging="567"/>
      </w:pPr>
      <w:rPr>
        <w:rFonts w:hint="default"/>
      </w:rPr>
    </w:lvl>
    <w:lvl w:ilvl="2">
      <w:start w:val="1"/>
      <w:numFmt w:val="none"/>
      <w:suff w:val="nothing"/>
      <w:lvlText w:val=""/>
      <w:lvlJc w:val="left"/>
      <w:pPr>
        <w:ind w:left="1985" w:firstLine="0"/>
      </w:pPr>
      <w:rPr>
        <w:rFonts w:hint="default"/>
      </w:rPr>
    </w:lvl>
    <w:lvl w:ilvl="3">
      <w:start w:val="1"/>
      <w:numFmt w:val="none"/>
      <w:suff w:val="nothing"/>
      <w:lvlText w:val=""/>
      <w:lvlJc w:val="left"/>
      <w:pPr>
        <w:ind w:left="1985" w:firstLine="0"/>
      </w:pPr>
      <w:rPr>
        <w:rFonts w:hint="default"/>
      </w:rPr>
    </w:lvl>
    <w:lvl w:ilvl="4">
      <w:start w:val="1"/>
      <w:numFmt w:val="none"/>
      <w:suff w:val="nothing"/>
      <w:lvlText w:val=""/>
      <w:lvlJc w:val="left"/>
      <w:pPr>
        <w:ind w:left="1985" w:firstLine="0"/>
      </w:pPr>
      <w:rPr>
        <w:rFonts w:hint="default"/>
      </w:rPr>
    </w:lvl>
    <w:lvl w:ilvl="5">
      <w:start w:val="1"/>
      <w:numFmt w:val="none"/>
      <w:suff w:val="nothing"/>
      <w:lvlText w:val=""/>
      <w:lvlJc w:val="left"/>
      <w:pPr>
        <w:ind w:left="1985" w:firstLine="0"/>
      </w:pPr>
      <w:rPr>
        <w:rFonts w:hint="default"/>
      </w:rPr>
    </w:lvl>
    <w:lvl w:ilvl="6">
      <w:start w:val="1"/>
      <w:numFmt w:val="none"/>
      <w:suff w:val="nothing"/>
      <w:lvlText w:val=""/>
      <w:lvlJc w:val="left"/>
      <w:pPr>
        <w:ind w:left="1985" w:firstLine="0"/>
      </w:pPr>
      <w:rPr>
        <w:rFonts w:hint="default"/>
      </w:rPr>
    </w:lvl>
    <w:lvl w:ilvl="7">
      <w:start w:val="1"/>
      <w:numFmt w:val="none"/>
      <w:suff w:val="nothing"/>
      <w:lvlText w:val=""/>
      <w:lvlJc w:val="left"/>
      <w:pPr>
        <w:ind w:left="1985" w:firstLine="0"/>
      </w:pPr>
      <w:rPr>
        <w:rFonts w:hint="default"/>
      </w:rPr>
    </w:lvl>
    <w:lvl w:ilvl="8">
      <w:start w:val="1"/>
      <w:numFmt w:val="none"/>
      <w:suff w:val="nothing"/>
      <w:lvlText w:val=""/>
      <w:lvlJc w:val="left"/>
      <w:pPr>
        <w:ind w:left="1985" w:firstLine="0"/>
      </w:pPr>
      <w:rPr>
        <w:rFonts w:hint="default"/>
      </w:rPr>
    </w:lvl>
  </w:abstractNum>
  <w:abstractNum w:abstractNumId="36" w15:restartNumberingAfterBreak="0">
    <w:nsid w:val="6EB01AD9"/>
    <w:multiLevelType w:val="multilevel"/>
    <w:tmpl w:val="5E14BAB2"/>
    <w:lvl w:ilvl="0">
      <w:start w:val="1"/>
      <w:numFmt w:val="lowerLetter"/>
      <w:pStyle w:val="QListalpha"/>
      <w:lvlText w:val="%1."/>
      <w:lvlJc w:val="left"/>
      <w:pPr>
        <w:tabs>
          <w:tab w:val="num" w:pos="1134"/>
        </w:tabs>
        <w:ind w:left="1134" w:hanging="567"/>
      </w:pPr>
      <w:rPr>
        <w:rFonts w:hint="default"/>
      </w:rPr>
    </w:lvl>
    <w:lvl w:ilvl="1">
      <w:start w:val="1"/>
      <w:numFmt w:val="none"/>
      <w:suff w:val="nothing"/>
      <w:lvlText w:val=""/>
      <w:lvlJc w:val="left"/>
      <w:pPr>
        <w:ind w:left="1134"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15:restartNumberingAfterBreak="0">
    <w:nsid w:val="6ECE1B24"/>
    <w:multiLevelType w:val="multilevel"/>
    <w:tmpl w:val="1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5C83962"/>
    <w:multiLevelType w:val="hybridMultilevel"/>
    <w:tmpl w:val="4E76680E"/>
    <w:lvl w:ilvl="0" w:tplc="55A2B36A">
      <w:start w:val="1"/>
      <w:numFmt w:val="bullet"/>
      <w:lvlText w:val=""/>
      <w:lvlJc w:val="left"/>
      <w:pPr>
        <w:ind w:left="720" w:hanging="360"/>
      </w:pPr>
      <w:rPr>
        <w:rFonts w:ascii="Symbol" w:hAnsi="Symbol"/>
      </w:rPr>
    </w:lvl>
    <w:lvl w:ilvl="1" w:tplc="97447264">
      <w:start w:val="1"/>
      <w:numFmt w:val="bullet"/>
      <w:lvlText w:val=""/>
      <w:lvlJc w:val="left"/>
      <w:pPr>
        <w:ind w:left="720" w:hanging="360"/>
      </w:pPr>
      <w:rPr>
        <w:rFonts w:ascii="Symbol" w:hAnsi="Symbol"/>
      </w:rPr>
    </w:lvl>
    <w:lvl w:ilvl="2" w:tplc="D040D8A4">
      <w:start w:val="1"/>
      <w:numFmt w:val="bullet"/>
      <w:lvlText w:val=""/>
      <w:lvlJc w:val="left"/>
      <w:pPr>
        <w:ind w:left="720" w:hanging="360"/>
      </w:pPr>
      <w:rPr>
        <w:rFonts w:ascii="Symbol" w:hAnsi="Symbol"/>
      </w:rPr>
    </w:lvl>
    <w:lvl w:ilvl="3" w:tplc="B98A5B2A">
      <w:start w:val="1"/>
      <w:numFmt w:val="bullet"/>
      <w:lvlText w:val=""/>
      <w:lvlJc w:val="left"/>
      <w:pPr>
        <w:ind w:left="720" w:hanging="360"/>
      </w:pPr>
      <w:rPr>
        <w:rFonts w:ascii="Symbol" w:hAnsi="Symbol"/>
      </w:rPr>
    </w:lvl>
    <w:lvl w:ilvl="4" w:tplc="D628353C">
      <w:start w:val="1"/>
      <w:numFmt w:val="bullet"/>
      <w:lvlText w:val=""/>
      <w:lvlJc w:val="left"/>
      <w:pPr>
        <w:ind w:left="720" w:hanging="360"/>
      </w:pPr>
      <w:rPr>
        <w:rFonts w:ascii="Symbol" w:hAnsi="Symbol"/>
      </w:rPr>
    </w:lvl>
    <w:lvl w:ilvl="5" w:tplc="D0C00D40">
      <w:start w:val="1"/>
      <w:numFmt w:val="bullet"/>
      <w:lvlText w:val=""/>
      <w:lvlJc w:val="left"/>
      <w:pPr>
        <w:ind w:left="720" w:hanging="360"/>
      </w:pPr>
      <w:rPr>
        <w:rFonts w:ascii="Symbol" w:hAnsi="Symbol"/>
      </w:rPr>
    </w:lvl>
    <w:lvl w:ilvl="6" w:tplc="CD4EE43E">
      <w:start w:val="1"/>
      <w:numFmt w:val="bullet"/>
      <w:lvlText w:val=""/>
      <w:lvlJc w:val="left"/>
      <w:pPr>
        <w:ind w:left="720" w:hanging="360"/>
      </w:pPr>
      <w:rPr>
        <w:rFonts w:ascii="Symbol" w:hAnsi="Symbol"/>
      </w:rPr>
    </w:lvl>
    <w:lvl w:ilvl="7" w:tplc="D21C3644">
      <w:start w:val="1"/>
      <w:numFmt w:val="bullet"/>
      <w:lvlText w:val=""/>
      <w:lvlJc w:val="left"/>
      <w:pPr>
        <w:ind w:left="720" w:hanging="360"/>
      </w:pPr>
      <w:rPr>
        <w:rFonts w:ascii="Symbol" w:hAnsi="Symbol"/>
      </w:rPr>
    </w:lvl>
    <w:lvl w:ilvl="8" w:tplc="4E3A8B70">
      <w:start w:val="1"/>
      <w:numFmt w:val="bullet"/>
      <w:lvlText w:val=""/>
      <w:lvlJc w:val="left"/>
      <w:pPr>
        <w:ind w:left="720" w:hanging="360"/>
      </w:pPr>
      <w:rPr>
        <w:rFonts w:ascii="Symbol" w:hAnsi="Symbol"/>
      </w:rPr>
    </w:lvl>
  </w:abstractNum>
  <w:abstractNum w:abstractNumId="39" w15:restartNumberingAfterBreak="0">
    <w:nsid w:val="76A26424"/>
    <w:multiLevelType w:val="multilevel"/>
    <w:tmpl w:val="15A022C6"/>
    <w:lvl w:ilvl="0">
      <w:start w:val="1"/>
      <w:numFmt w:val="bullet"/>
      <w:pStyle w:val="Bullet1"/>
      <w:lvlText w:val=""/>
      <w:lvlJc w:val="left"/>
      <w:pPr>
        <w:tabs>
          <w:tab w:val="num" w:pos="567"/>
        </w:tabs>
        <w:ind w:left="567" w:hanging="567"/>
      </w:pPr>
      <w:rPr>
        <w:rFonts w:ascii="Symbol" w:hAnsi="Symbol" w:hint="default"/>
      </w:rPr>
    </w:lvl>
    <w:lvl w:ilvl="1">
      <w:start w:val="1"/>
      <w:numFmt w:val="bullet"/>
      <w:pStyle w:val="Bullet2"/>
      <w:lvlText w:val="-"/>
      <w:lvlJc w:val="left"/>
      <w:pPr>
        <w:tabs>
          <w:tab w:val="num" w:pos="1134"/>
        </w:tabs>
        <w:ind w:left="1134" w:hanging="567"/>
      </w:pPr>
      <w:rPr>
        <w:rFonts w:ascii="Calibri" w:hAnsi="Calibri" w:hint="default"/>
      </w:rPr>
    </w:lvl>
    <w:lvl w:ilvl="2">
      <w:start w:val="1"/>
      <w:numFmt w:val="bullet"/>
      <w:pStyle w:val="Bullet3"/>
      <w:lvlText w:val="›"/>
      <w:lvlJc w:val="left"/>
      <w:pPr>
        <w:tabs>
          <w:tab w:val="num" w:pos="1701"/>
        </w:tabs>
        <w:ind w:left="1701" w:hanging="567"/>
      </w:pPr>
      <w:rPr>
        <w:rFonts w:ascii="Calibri" w:hAnsi="Calibri" w:hint="default"/>
      </w:rPr>
    </w:lvl>
    <w:lvl w:ilvl="3">
      <w:start w:val="1"/>
      <w:numFmt w:val="bullet"/>
      <w:pStyle w:val="Bullet4"/>
      <w:lvlText w:val="»"/>
      <w:lvlJc w:val="left"/>
      <w:pPr>
        <w:tabs>
          <w:tab w:val="num" w:pos="2268"/>
        </w:tabs>
        <w:ind w:left="2268" w:hanging="567"/>
      </w:pPr>
      <w:rPr>
        <w:rFonts w:ascii="Calibri" w:hAnsi="Calibri" w:hint="default"/>
      </w:rPr>
    </w:lvl>
    <w:lvl w:ilvl="4">
      <w:start w:val="1"/>
      <w:numFmt w:val="none"/>
      <w:suff w:val="nothing"/>
      <w:lvlText w:val=""/>
      <w:lvlJc w:val="left"/>
      <w:pPr>
        <w:ind w:left="2268" w:firstLine="0"/>
      </w:pPr>
      <w:rPr>
        <w:rFonts w:hint="default"/>
      </w:rPr>
    </w:lvl>
    <w:lvl w:ilvl="5">
      <w:start w:val="1"/>
      <w:numFmt w:val="none"/>
      <w:lvlText w:val=""/>
      <w:lvlJc w:val="left"/>
      <w:pPr>
        <w:tabs>
          <w:tab w:val="num" w:pos="2268"/>
        </w:tabs>
        <w:ind w:left="2268" w:firstLine="0"/>
      </w:pPr>
      <w:rPr>
        <w:rFonts w:hint="default"/>
      </w:rPr>
    </w:lvl>
    <w:lvl w:ilvl="6">
      <w:start w:val="1"/>
      <w:numFmt w:val="none"/>
      <w:lvlText w:val=""/>
      <w:lvlJc w:val="left"/>
      <w:pPr>
        <w:ind w:left="2268" w:firstLine="0"/>
      </w:pPr>
      <w:rPr>
        <w:rFonts w:hint="default"/>
      </w:rPr>
    </w:lvl>
    <w:lvl w:ilvl="7">
      <w:start w:val="1"/>
      <w:numFmt w:val="none"/>
      <w:lvlText w:val=""/>
      <w:lvlJc w:val="left"/>
      <w:pPr>
        <w:ind w:left="2268" w:firstLine="0"/>
      </w:pPr>
      <w:rPr>
        <w:rFonts w:hint="default"/>
      </w:rPr>
    </w:lvl>
    <w:lvl w:ilvl="8">
      <w:start w:val="1"/>
      <w:numFmt w:val="none"/>
      <w:lvlText w:val=""/>
      <w:lvlJc w:val="left"/>
      <w:pPr>
        <w:ind w:left="2268" w:firstLine="0"/>
      </w:pPr>
      <w:rPr>
        <w:rFonts w:hint="default"/>
      </w:rPr>
    </w:lvl>
  </w:abstractNum>
  <w:abstractNum w:abstractNumId="40" w15:restartNumberingAfterBreak="0">
    <w:nsid w:val="78900876"/>
    <w:multiLevelType w:val="hybridMultilevel"/>
    <w:tmpl w:val="79ECE162"/>
    <w:lvl w:ilvl="0" w:tplc="1468362C">
      <w:start w:val="1"/>
      <w:numFmt w:val="decimal"/>
      <w:lvlText w:val="%1."/>
      <w:lvlJc w:val="left"/>
      <w:pPr>
        <w:ind w:left="720" w:hanging="360"/>
      </w:pPr>
    </w:lvl>
    <w:lvl w:ilvl="1" w:tplc="9B56B0FA">
      <w:start w:val="1"/>
      <w:numFmt w:val="decimal"/>
      <w:lvlText w:val="%2."/>
      <w:lvlJc w:val="left"/>
      <w:pPr>
        <w:ind w:left="720" w:hanging="360"/>
      </w:pPr>
    </w:lvl>
    <w:lvl w:ilvl="2" w:tplc="FF70F3BA">
      <w:start w:val="1"/>
      <w:numFmt w:val="decimal"/>
      <w:lvlText w:val="%3."/>
      <w:lvlJc w:val="left"/>
      <w:pPr>
        <w:ind w:left="720" w:hanging="360"/>
      </w:pPr>
    </w:lvl>
    <w:lvl w:ilvl="3" w:tplc="EA1A790A">
      <w:start w:val="1"/>
      <w:numFmt w:val="decimal"/>
      <w:lvlText w:val="%4."/>
      <w:lvlJc w:val="left"/>
      <w:pPr>
        <w:ind w:left="720" w:hanging="360"/>
      </w:pPr>
    </w:lvl>
    <w:lvl w:ilvl="4" w:tplc="1334F21A">
      <w:start w:val="1"/>
      <w:numFmt w:val="decimal"/>
      <w:lvlText w:val="%5."/>
      <w:lvlJc w:val="left"/>
      <w:pPr>
        <w:ind w:left="720" w:hanging="360"/>
      </w:pPr>
    </w:lvl>
    <w:lvl w:ilvl="5" w:tplc="9576577A">
      <w:start w:val="1"/>
      <w:numFmt w:val="decimal"/>
      <w:lvlText w:val="%6."/>
      <w:lvlJc w:val="left"/>
      <w:pPr>
        <w:ind w:left="720" w:hanging="360"/>
      </w:pPr>
    </w:lvl>
    <w:lvl w:ilvl="6" w:tplc="3D786D52">
      <w:start w:val="1"/>
      <w:numFmt w:val="decimal"/>
      <w:lvlText w:val="%7."/>
      <w:lvlJc w:val="left"/>
      <w:pPr>
        <w:ind w:left="720" w:hanging="360"/>
      </w:pPr>
    </w:lvl>
    <w:lvl w:ilvl="7" w:tplc="584A8B16">
      <w:start w:val="1"/>
      <w:numFmt w:val="decimal"/>
      <w:lvlText w:val="%8."/>
      <w:lvlJc w:val="left"/>
      <w:pPr>
        <w:ind w:left="720" w:hanging="360"/>
      </w:pPr>
    </w:lvl>
    <w:lvl w:ilvl="8" w:tplc="377A8F2A">
      <w:start w:val="1"/>
      <w:numFmt w:val="decimal"/>
      <w:lvlText w:val="%9."/>
      <w:lvlJc w:val="left"/>
      <w:pPr>
        <w:ind w:left="720" w:hanging="360"/>
      </w:pPr>
    </w:lvl>
  </w:abstractNum>
  <w:abstractNum w:abstractNumId="41" w15:restartNumberingAfterBreak="0">
    <w:nsid w:val="7B247774"/>
    <w:multiLevelType w:val="multilevel"/>
    <w:tmpl w:val="64685270"/>
    <w:lvl w:ilvl="0">
      <w:start w:val="1"/>
      <w:numFmt w:val="decimal"/>
      <w:pStyle w:val="QListnumber"/>
      <w:lvlText w:val="%1."/>
      <w:lvlJc w:val="left"/>
      <w:pPr>
        <w:tabs>
          <w:tab w:val="num" w:pos="1134"/>
        </w:tabs>
        <w:ind w:left="1134" w:hanging="567"/>
      </w:pPr>
      <w:rPr>
        <w:rFonts w:hint="default"/>
      </w:rPr>
    </w:lvl>
    <w:lvl w:ilvl="1">
      <w:start w:val="1"/>
      <w:numFmt w:val="lowerLetter"/>
      <w:lvlText w:val="%2."/>
      <w:lvlJc w:val="left"/>
      <w:pPr>
        <w:tabs>
          <w:tab w:val="num" w:pos="1701"/>
        </w:tabs>
        <w:ind w:left="1701" w:hanging="567"/>
      </w:pPr>
      <w:rPr>
        <w:rFonts w:hint="default"/>
      </w:rPr>
    </w:lvl>
    <w:lvl w:ilvl="2">
      <w:start w:val="1"/>
      <w:numFmt w:val="lowerRoman"/>
      <w:lvlText w:val="%3."/>
      <w:lvlJc w:val="left"/>
      <w:pPr>
        <w:tabs>
          <w:tab w:val="num" w:pos="2268"/>
        </w:tabs>
        <w:ind w:left="2268" w:hanging="567"/>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42" w15:restartNumberingAfterBreak="0">
    <w:nsid w:val="7C2C7926"/>
    <w:multiLevelType w:val="multilevel"/>
    <w:tmpl w:val="1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D297346"/>
    <w:multiLevelType w:val="multilevel"/>
    <w:tmpl w:val="1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4" w15:restartNumberingAfterBreak="0">
    <w:nsid w:val="7F720A42"/>
    <w:multiLevelType w:val="hybridMultilevel"/>
    <w:tmpl w:val="633667B8"/>
    <w:lvl w:ilvl="0" w:tplc="69C04C76">
      <w:start w:val="1"/>
      <w:numFmt w:val="decimal"/>
      <w:lvlText w:val="%1."/>
      <w:lvlJc w:val="left"/>
      <w:pPr>
        <w:ind w:left="1440" w:hanging="360"/>
      </w:pPr>
    </w:lvl>
    <w:lvl w:ilvl="1" w:tplc="A3A6833E">
      <w:start w:val="1"/>
      <w:numFmt w:val="decimal"/>
      <w:lvlText w:val="%2."/>
      <w:lvlJc w:val="left"/>
      <w:pPr>
        <w:ind w:left="1440" w:hanging="360"/>
      </w:pPr>
    </w:lvl>
    <w:lvl w:ilvl="2" w:tplc="74567C22">
      <w:start w:val="1"/>
      <w:numFmt w:val="decimal"/>
      <w:lvlText w:val="%3."/>
      <w:lvlJc w:val="left"/>
      <w:pPr>
        <w:ind w:left="1440" w:hanging="360"/>
      </w:pPr>
    </w:lvl>
    <w:lvl w:ilvl="3" w:tplc="AC12A41E">
      <w:start w:val="1"/>
      <w:numFmt w:val="decimal"/>
      <w:lvlText w:val="%4."/>
      <w:lvlJc w:val="left"/>
      <w:pPr>
        <w:ind w:left="1440" w:hanging="360"/>
      </w:pPr>
    </w:lvl>
    <w:lvl w:ilvl="4" w:tplc="7F9AD096">
      <w:start w:val="1"/>
      <w:numFmt w:val="decimal"/>
      <w:lvlText w:val="%5."/>
      <w:lvlJc w:val="left"/>
      <w:pPr>
        <w:ind w:left="1440" w:hanging="360"/>
      </w:pPr>
    </w:lvl>
    <w:lvl w:ilvl="5" w:tplc="983A7456">
      <w:start w:val="1"/>
      <w:numFmt w:val="decimal"/>
      <w:lvlText w:val="%6."/>
      <w:lvlJc w:val="left"/>
      <w:pPr>
        <w:ind w:left="1440" w:hanging="360"/>
      </w:pPr>
    </w:lvl>
    <w:lvl w:ilvl="6" w:tplc="739E191E">
      <w:start w:val="1"/>
      <w:numFmt w:val="decimal"/>
      <w:lvlText w:val="%7."/>
      <w:lvlJc w:val="left"/>
      <w:pPr>
        <w:ind w:left="1440" w:hanging="360"/>
      </w:pPr>
    </w:lvl>
    <w:lvl w:ilvl="7" w:tplc="0DE4476A">
      <w:start w:val="1"/>
      <w:numFmt w:val="decimal"/>
      <w:lvlText w:val="%8."/>
      <w:lvlJc w:val="left"/>
      <w:pPr>
        <w:ind w:left="1440" w:hanging="360"/>
      </w:pPr>
    </w:lvl>
    <w:lvl w:ilvl="8" w:tplc="1892E648">
      <w:start w:val="1"/>
      <w:numFmt w:val="decimal"/>
      <w:lvlText w:val="%9."/>
      <w:lvlJc w:val="left"/>
      <w:pPr>
        <w:ind w:left="1440" w:hanging="360"/>
      </w:pPr>
    </w:lvl>
  </w:abstractNum>
  <w:num w:numId="1" w16cid:durableId="622809613">
    <w:abstractNumId w:val="39"/>
  </w:num>
  <w:num w:numId="2" w16cid:durableId="619267263">
    <w:abstractNumId w:val="22"/>
  </w:num>
  <w:num w:numId="3" w16cid:durableId="1902249349">
    <w:abstractNumId w:val="29"/>
  </w:num>
  <w:num w:numId="4" w16cid:durableId="1804038282">
    <w:abstractNumId w:val="33"/>
  </w:num>
  <w:num w:numId="5" w16cid:durableId="934627156">
    <w:abstractNumId w:val="10"/>
  </w:num>
  <w:num w:numId="6" w16cid:durableId="379521256">
    <w:abstractNumId w:val="23"/>
  </w:num>
  <w:num w:numId="7" w16cid:durableId="801845092">
    <w:abstractNumId w:val="18"/>
  </w:num>
  <w:num w:numId="8" w16cid:durableId="820847443">
    <w:abstractNumId w:val="34"/>
  </w:num>
  <w:num w:numId="9" w16cid:durableId="623582253">
    <w:abstractNumId w:val="27"/>
  </w:num>
  <w:num w:numId="10" w16cid:durableId="2043747433">
    <w:abstractNumId w:val="21"/>
  </w:num>
  <w:num w:numId="11" w16cid:durableId="390882240">
    <w:abstractNumId w:val="35"/>
  </w:num>
  <w:num w:numId="12" w16cid:durableId="1861699082">
    <w:abstractNumId w:val="36"/>
  </w:num>
  <w:num w:numId="13" w16cid:durableId="824666412">
    <w:abstractNumId w:val="24"/>
  </w:num>
  <w:num w:numId="14" w16cid:durableId="160584131">
    <w:abstractNumId w:val="41"/>
  </w:num>
  <w:num w:numId="15" w16cid:durableId="1945409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42765132">
    <w:abstractNumId w:val="17"/>
  </w:num>
  <w:num w:numId="17" w16cid:durableId="380634671">
    <w:abstractNumId w:val="20"/>
  </w:num>
  <w:num w:numId="18" w16cid:durableId="1489519229">
    <w:abstractNumId w:val="1"/>
  </w:num>
  <w:num w:numId="19" w16cid:durableId="1861157879">
    <w:abstractNumId w:val="37"/>
  </w:num>
  <w:num w:numId="20" w16cid:durableId="978536179">
    <w:abstractNumId w:val="42"/>
  </w:num>
  <w:num w:numId="21" w16cid:durableId="1928807735">
    <w:abstractNumId w:val="43"/>
  </w:num>
  <w:num w:numId="22" w16cid:durableId="1084455069">
    <w:abstractNumId w:val="9"/>
  </w:num>
  <w:num w:numId="23" w16cid:durableId="1852449706">
    <w:abstractNumId w:val="7"/>
  </w:num>
  <w:num w:numId="24" w16cid:durableId="141773829">
    <w:abstractNumId w:val="6"/>
  </w:num>
  <w:num w:numId="25" w16cid:durableId="1618413598">
    <w:abstractNumId w:val="5"/>
  </w:num>
  <w:num w:numId="26" w16cid:durableId="490176311">
    <w:abstractNumId w:val="4"/>
  </w:num>
  <w:num w:numId="27" w16cid:durableId="633757953">
    <w:abstractNumId w:val="8"/>
  </w:num>
  <w:num w:numId="28" w16cid:durableId="260455223">
    <w:abstractNumId w:val="3"/>
  </w:num>
  <w:num w:numId="29" w16cid:durableId="350684316">
    <w:abstractNumId w:val="2"/>
  </w:num>
  <w:num w:numId="30" w16cid:durableId="680819027">
    <w:abstractNumId w:val="0"/>
  </w:num>
  <w:num w:numId="31" w16cid:durableId="985162214">
    <w:abstractNumId w:val="15"/>
  </w:num>
  <w:num w:numId="32" w16cid:durableId="1906648924">
    <w:abstractNumId w:val="38"/>
  </w:num>
  <w:num w:numId="33" w16cid:durableId="1398439034">
    <w:abstractNumId w:val="12"/>
  </w:num>
  <w:num w:numId="34" w16cid:durableId="2042778840">
    <w:abstractNumId w:val="44"/>
  </w:num>
  <w:num w:numId="35" w16cid:durableId="1756200763">
    <w:abstractNumId w:val="26"/>
  </w:num>
  <w:num w:numId="36" w16cid:durableId="502086686">
    <w:abstractNumId w:val="30"/>
  </w:num>
  <w:num w:numId="37" w16cid:durableId="160880684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093673174">
    <w:abstractNumId w:val="11"/>
  </w:num>
  <w:num w:numId="39" w16cid:durableId="1841777962">
    <w:abstractNumId w:val="40"/>
  </w:num>
  <w:num w:numId="40" w16cid:durableId="874149461">
    <w:abstractNumId w:val="25"/>
  </w:num>
  <w:num w:numId="41" w16cid:durableId="1781560991">
    <w:abstractNumId w:val="32"/>
  </w:num>
  <w:num w:numId="42" w16cid:durableId="1474637821">
    <w:abstractNumId w:val="31"/>
  </w:num>
  <w:num w:numId="43" w16cid:durableId="1675455320">
    <w:abstractNumId w:val="19"/>
  </w:num>
  <w:num w:numId="44" w16cid:durableId="89279136">
    <w:abstractNumId w:val="16"/>
  </w:num>
  <w:num w:numId="45" w16cid:durableId="964237452">
    <w:abstractNumId w:val="28"/>
  </w:num>
  <w:num w:numId="46" w16cid:durableId="1267663835">
    <w:abstractNumId w:val="1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drawingGridHorizontalSpacing w:val="120"/>
  <w:displayHorizontalDrawingGridEvery w:val="2"/>
  <w:characterSpacingControl w:val="doNotCompress"/>
  <w:savePreviewPicture/>
  <w:hdrShapeDefaults>
    <o:shapedefaults v:ext="edit" spidmax="2050" fillcolor="none [3204]" strokecolor="none [3204]">
      <v:fill color="none [3204]"/>
      <v:stroke color="none [3204]" weight="3pt"/>
      <v:shadow type="perspective" color="none [1604]" opacity=".5" offset="1pt" offset2="-1pt"/>
    </o:shapedefaults>
  </w:hdrShapeDefaults>
  <w:footnotePr>
    <w:footnote w:id="-1"/>
    <w:footnote w:id="0"/>
    <w:footnote w:id="1"/>
  </w:footnotePr>
  <w:endnotePr>
    <w:pos w:val="sectEnd"/>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tentsAppendix" w:val="0"/>
    <w:docVar w:name="ContentsCreated" w:val="1"/>
    <w:docVar w:name="ContentsFigure" w:val="0"/>
    <w:docVar w:name="ContentsMain" w:val="1"/>
    <w:docVar w:name="ContentsMainLevel" w:val="3"/>
    <w:docVar w:name="ContentsTable" w:val="0"/>
    <w:docVar w:name="dgnword-docGUID" w:val="{132F452D-B4B4-4264-AD46-E2C8A0607147}"/>
    <w:docVar w:name="dgnword-eventsink" w:val="545137752"/>
    <w:docVar w:name="dvBlankFooter1" w:val="True"/>
    <w:docVar w:name="dvBlankFooter2" w:val="False"/>
    <w:docVar w:name="dvBlankHeader1" w:val="True"/>
    <w:docVar w:name="dvBlankHeader2" w:val="True"/>
    <w:docVar w:name="dvLogoHeader1" w:val="False"/>
    <w:docVar w:name="dvShortFooter1" w:val="False"/>
    <w:docVar w:name="dvShortFooter2" w:val="True"/>
    <w:docVar w:name="dvShortText" w:val=" "/>
    <w:docVar w:name="dvShortTextFrm" w:val=" "/>
    <w:docVar w:name="dvTextHeader1" w:val="False"/>
    <w:docVar w:name="dvTextHeader2" w:val="False"/>
    <w:docVar w:name="FooterL1" w:val="InsertFooterBlankL"/>
    <w:docVar w:name="FooterL2" w:val="InsertSecondFooterShortTitleL"/>
    <w:docVar w:name="FooterP1" w:val="InsertFooterBlankP"/>
    <w:docVar w:name="FooterP2" w:val="InsertSecondFooterShortTitleP"/>
    <w:docVar w:name="HeaderL1" w:val="InsertHeaderBlankL"/>
    <w:docVar w:name="HeaderL2" w:val="InsertHeaderBlankL"/>
    <w:docVar w:name="HeaderP1" w:val="InsertHeaderBlankP"/>
    <w:docVar w:name="HeaderP2" w:val="InsertHeaderBlankP"/>
    <w:docVar w:name="IsfirstTb" w:val="False"/>
    <w:docVar w:name="IsInTable" w:val="False"/>
    <w:docVar w:name="OOTOTemplate" w:val="OOTO General\OOTO_Blank.dotm"/>
    <w:docVar w:name="ShowFooter" w:val="True"/>
    <w:docVar w:name="ShowLogo" w:val="False"/>
  </w:docVars>
  <w:rsids>
    <w:rsidRoot w:val="00A7740A"/>
    <w:rsid w:val="00000B49"/>
    <w:rsid w:val="00000BA0"/>
    <w:rsid w:val="00000FFE"/>
    <w:rsid w:val="00001A86"/>
    <w:rsid w:val="00001C59"/>
    <w:rsid w:val="00001F57"/>
    <w:rsid w:val="000023A8"/>
    <w:rsid w:val="0000282F"/>
    <w:rsid w:val="00002A7E"/>
    <w:rsid w:val="00002E2D"/>
    <w:rsid w:val="00002FA7"/>
    <w:rsid w:val="00003135"/>
    <w:rsid w:val="000033BE"/>
    <w:rsid w:val="00003593"/>
    <w:rsid w:val="00003B34"/>
    <w:rsid w:val="00003DE8"/>
    <w:rsid w:val="0000420E"/>
    <w:rsid w:val="00004417"/>
    <w:rsid w:val="00005071"/>
    <w:rsid w:val="00005419"/>
    <w:rsid w:val="00005519"/>
    <w:rsid w:val="00005F4D"/>
    <w:rsid w:val="0000676E"/>
    <w:rsid w:val="0000694E"/>
    <w:rsid w:val="00006FCD"/>
    <w:rsid w:val="00007127"/>
    <w:rsid w:val="00007371"/>
    <w:rsid w:val="000073D0"/>
    <w:rsid w:val="0000741C"/>
    <w:rsid w:val="000076D8"/>
    <w:rsid w:val="00007902"/>
    <w:rsid w:val="0000793F"/>
    <w:rsid w:val="00007A91"/>
    <w:rsid w:val="000103B0"/>
    <w:rsid w:val="00010945"/>
    <w:rsid w:val="00011C93"/>
    <w:rsid w:val="000124CC"/>
    <w:rsid w:val="0001260E"/>
    <w:rsid w:val="00012895"/>
    <w:rsid w:val="0001299E"/>
    <w:rsid w:val="000129E3"/>
    <w:rsid w:val="00012BFC"/>
    <w:rsid w:val="00012FF9"/>
    <w:rsid w:val="00013041"/>
    <w:rsid w:val="00013791"/>
    <w:rsid w:val="00013D24"/>
    <w:rsid w:val="00013E39"/>
    <w:rsid w:val="000143D2"/>
    <w:rsid w:val="00014941"/>
    <w:rsid w:val="0001499F"/>
    <w:rsid w:val="00014C07"/>
    <w:rsid w:val="00014FB3"/>
    <w:rsid w:val="00015707"/>
    <w:rsid w:val="00015AF3"/>
    <w:rsid w:val="00015C26"/>
    <w:rsid w:val="00015E5F"/>
    <w:rsid w:val="00015F5B"/>
    <w:rsid w:val="00016C5D"/>
    <w:rsid w:val="00017802"/>
    <w:rsid w:val="00020164"/>
    <w:rsid w:val="000204E9"/>
    <w:rsid w:val="00020AD8"/>
    <w:rsid w:val="00020B08"/>
    <w:rsid w:val="00021382"/>
    <w:rsid w:val="00021AD6"/>
    <w:rsid w:val="00021D96"/>
    <w:rsid w:val="00021E47"/>
    <w:rsid w:val="00021F48"/>
    <w:rsid w:val="0002207A"/>
    <w:rsid w:val="000221C9"/>
    <w:rsid w:val="00022263"/>
    <w:rsid w:val="00022BBF"/>
    <w:rsid w:val="00022D24"/>
    <w:rsid w:val="000233C2"/>
    <w:rsid w:val="000243C3"/>
    <w:rsid w:val="000249D1"/>
    <w:rsid w:val="0002621E"/>
    <w:rsid w:val="0002625E"/>
    <w:rsid w:val="0002655B"/>
    <w:rsid w:val="00026A3B"/>
    <w:rsid w:val="00026DAC"/>
    <w:rsid w:val="00027E34"/>
    <w:rsid w:val="00030D1E"/>
    <w:rsid w:val="000322D9"/>
    <w:rsid w:val="00032A75"/>
    <w:rsid w:val="0003335F"/>
    <w:rsid w:val="0003369F"/>
    <w:rsid w:val="00033B7F"/>
    <w:rsid w:val="00033E44"/>
    <w:rsid w:val="00034159"/>
    <w:rsid w:val="000342D9"/>
    <w:rsid w:val="00034424"/>
    <w:rsid w:val="000344A7"/>
    <w:rsid w:val="00035210"/>
    <w:rsid w:val="000356C3"/>
    <w:rsid w:val="000356C9"/>
    <w:rsid w:val="00035E28"/>
    <w:rsid w:val="00035E80"/>
    <w:rsid w:val="00035ED6"/>
    <w:rsid w:val="00035FE0"/>
    <w:rsid w:val="0003657B"/>
    <w:rsid w:val="000367E6"/>
    <w:rsid w:val="0003699B"/>
    <w:rsid w:val="00036C08"/>
    <w:rsid w:val="00036FDE"/>
    <w:rsid w:val="00037674"/>
    <w:rsid w:val="00037754"/>
    <w:rsid w:val="000377EA"/>
    <w:rsid w:val="00037BD2"/>
    <w:rsid w:val="00040397"/>
    <w:rsid w:val="000405E7"/>
    <w:rsid w:val="0004069A"/>
    <w:rsid w:val="000407EA"/>
    <w:rsid w:val="00040CB1"/>
    <w:rsid w:val="00041257"/>
    <w:rsid w:val="00041287"/>
    <w:rsid w:val="00041615"/>
    <w:rsid w:val="00041912"/>
    <w:rsid w:val="00041F7A"/>
    <w:rsid w:val="000425AB"/>
    <w:rsid w:val="00042BAF"/>
    <w:rsid w:val="00042E09"/>
    <w:rsid w:val="0004315B"/>
    <w:rsid w:val="00043446"/>
    <w:rsid w:val="000434FE"/>
    <w:rsid w:val="00043764"/>
    <w:rsid w:val="0004385E"/>
    <w:rsid w:val="000438D9"/>
    <w:rsid w:val="00043C31"/>
    <w:rsid w:val="00044223"/>
    <w:rsid w:val="000442C9"/>
    <w:rsid w:val="0004440C"/>
    <w:rsid w:val="00044519"/>
    <w:rsid w:val="000448BD"/>
    <w:rsid w:val="000448CB"/>
    <w:rsid w:val="000449CC"/>
    <w:rsid w:val="00044DA4"/>
    <w:rsid w:val="00045290"/>
    <w:rsid w:val="0004536E"/>
    <w:rsid w:val="000454B2"/>
    <w:rsid w:val="00045560"/>
    <w:rsid w:val="00045570"/>
    <w:rsid w:val="00046353"/>
    <w:rsid w:val="000463EC"/>
    <w:rsid w:val="000468D6"/>
    <w:rsid w:val="00046950"/>
    <w:rsid w:val="000469A3"/>
    <w:rsid w:val="00046B3E"/>
    <w:rsid w:val="00046D32"/>
    <w:rsid w:val="00046D8F"/>
    <w:rsid w:val="00047248"/>
    <w:rsid w:val="00047E06"/>
    <w:rsid w:val="00050123"/>
    <w:rsid w:val="000501B7"/>
    <w:rsid w:val="00050483"/>
    <w:rsid w:val="0005062B"/>
    <w:rsid w:val="000507D4"/>
    <w:rsid w:val="00050896"/>
    <w:rsid w:val="00050EA7"/>
    <w:rsid w:val="00052610"/>
    <w:rsid w:val="00052E06"/>
    <w:rsid w:val="00052F14"/>
    <w:rsid w:val="00052FE0"/>
    <w:rsid w:val="00053114"/>
    <w:rsid w:val="0005379D"/>
    <w:rsid w:val="000539AB"/>
    <w:rsid w:val="000539DD"/>
    <w:rsid w:val="00053BBB"/>
    <w:rsid w:val="00053BD0"/>
    <w:rsid w:val="00053CE5"/>
    <w:rsid w:val="000543F9"/>
    <w:rsid w:val="000547CC"/>
    <w:rsid w:val="00054F2D"/>
    <w:rsid w:val="00054FDB"/>
    <w:rsid w:val="000550D3"/>
    <w:rsid w:val="0005522B"/>
    <w:rsid w:val="0005538F"/>
    <w:rsid w:val="000555AF"/>
    <w:rsid w:val="00055D74"/>
    <w:rsid w:val="000561DF"/>
    <w:rsid w:val="000561FA"/>
    <w:rsid w:val="000563B4"/>
    <w:rsid w:val="00056A37"/>
    <w:rsid w:val="00056E27"/>
    <w:rsid w:val="00057A11"/>
    <w:rsid w:val="00057C4D"/>
    <w:rsid w:val="00057CF2"/>
    <w:rsid w:val="00060080"/>
    <w:rsid w:val="0006009F"/>
    <w:rsid w:val="000600EC"/>
    <w:rsid w:val="000607B1"/>
    <w:rsid w:val="00060CDA"/>
    <w:rsid w:val="00060D73"/>
    <w:rsid w:val="00060EE3"/>
    <w:rsid w:val="0006137D"/>
    <w:rsid w:val="0006153E"/>
    <w:rsid w:val="00061E63"/>
    <w:rsid w:val="000620B2"/>
    <w:rsid w:val="0006245E"/>
    <w:rsid w:val="0006263E"/>
    <w:rsid w:val="00062939"/>
    <w:rsid w:val="000629B8"/>
    <w:rsid w:val="00062BDB"/>
    <w:rsid w:val="00062EBE"/>
    <w:rsid w:val="00062FF3"/>
    <w:rsid w:val="000630D1"/>
    <w:rsid w:val="000636DE"/>
    <w:rsid w:val="00063A8B"/>
    <w:rsid w:val="00063D41"/>
    <w:rsid w:val="00064D78"/>
    <w:rsid w:val="00065578"/>
    <w:rsid w:val="0006557F"/>
    <w:rsid w:val="00065694"/>
    <w:rsid w:val="00065AEE"/>
    <w:rsid w:val="00066154"/>
    <w:rsid w:val="00066C3F"/>
    <w:rsid w:val="00066FA4"/>
    <w:rsid w:val="00067588"/>
    <w:rsid w:val="000676CF"/>
    <w:rsid w:val="00067CE6"/>
    <w:rsid w:val="00067E8A"/>
    <w:rsid w:val="00067F40"/>
    <w:rsid w:val="00070723"/>
    <w:rsid w:val="00070A2E"/>
    <w:rsid w:val="00071430"/>
    <w:rsid w:val="000714FF"/>
    <w:rsid w:val="00071CD1"/>
    <w:rsid w:val="00072164"/>
    <w:rsid w:val="00072239"/>
    <w:rsid w:val="000725B3"/>
    <w:rsid w:val="0007281B"/>
    <w:rsid w:val="00072A3E"/>
    <w:rsid w:val="00072C3B"/>
    <w:rsid w:val="00072EA5"/>
    <w:rsid w:val="00073295"/>
    <w:rsid w:val="000733A6"/>
    <w:rsid w:val="00073660"/>
    <w:rsid w:val="0007378B"/>
    <w:rsid w:val="00074297"/>
    <w:rsid w:val="000745D1"/>
    <w:rsid w:val="00074CBE"/>
    <w:rsid w:val="00074E4B"/>
    <w:rsid w:val="00075081"/>
    <w:rsid w:val="00075175"/>
    <w:rsid w:val="00075954"/>
    <w:rsid w:val="00075D5F"/>
    <w:rsid w:val="00076FD0"/>
    <w:rsid w:val="0007758E"/>
    <w:rsid w:val="000777A1"/>
    <w:rsid w:val="00077B87"/>
    <w:rsid w:val="00077BFA"/>
    <w:rsid w:val="00077E09"/>
    <w:rsid w:val="000800E3"/>
    <w:rsid w:val="00080931"/>
    <w:rsid w:val="00080A86"/>
    <w:rsid w:val="00080B3B"/>
    <w:rsid w:val="00080C31"/>
    <w:rsid w:val="00080D7D"/>
    <w:rsid w:val="00080EEE"/>
    <w:rsid w:val="00081316"/>
    <w:rsid w:val="0008140D"/>
    <w:rsid w:val="00081831"/>
    <w:rsid w:val="000825E3"/>
    <w:rsid w:val="00082FDC"/>
    <w:rsid w:val="000832BC"/>
    <w:rsid w:val="000833F9"/>
    <w:rsid w:val="0008347E"/>
    <w:rsid w:val="0008349D"/>
    <w:rsid w:val="0008391F"/>
    <w:rsid w:val="00083F90"/>
    <w:rsid w:val="00084DC6"/>
    <w:rsid w:val="00084EC9"/>
    <w:rsid w:val="00085474"/>
    <w:rsid w:val="000856CC"/>
    <w:rsid w:val="00085945"/>
    <w:rsid w:val="00085BA3"/>
    <w:rsid w:val="0008644C"/>
    <w:rsid w:val="00086B56"/>
    <w:rsid w:val="00087367"/>
    <w:rsid w:val="00087B44"/>
    <w:rsid w:val="00087F47"/>
    <w:rsid w:val="00087F9A"/>
    <w:rsid w:val="000902CE"/>
    <w:rsid w:val="00090481"/>
    <w:rsid w:val="000908C8"/>
    <w:rsid w:val="00090D3C"/>
    <w:rsid w:val="00090D92"/>
    <w:rsid w:val="000912DD"/>
    <w:rsid w:val="000913A4"/>
    <w:rsid w:val="00091BBA"/>
    <w:rsid w:val="00092737"/>
    <w:rsid w:val="0009290D"/>
    <w:rsid w:val="000929F9"/>
    <w:rsid w:val="0009380B"/>
    <w:rsid w:val="00093AFC"/>
    <w:rsid w:val="00093E9B"/>
    <w:rsid w:val="000942D1"/>
    <w:rsid w:val="00094A23"/>
    <w:rsid w:val="00094A7D"/>
    <w:rsid w:val="00094B5D"/>
    <w:rsid w:val="00094D66"/>
    <w:rsid w:val="000951F7"/>
    <w:rsid w:val="000959C5"/>
    <w:rsid w:val="00095C5C"/>
    <w:rsid w:val="00096387"/>
    <w:rsid w:val="000964E1"/>
    <w:rsid w:val="00096632"/>
    <w:rsid w:val="00096797"/>
    <w:rsid w:val="00096872"/>
    <w:rsid w:val="00096BD2"/>
    <w:rsid w:val="00097528"/>
    <w:rsid w:val="00097588"/>
    <w:rsid w:val="0009767F"/>
    <w:rsid w:val="00097695"/>
    <w:rsid w:val="00097711"/>
    <w:rsid w:val="0009776A"/>
    <w:rsid w:val="00097781"/>
    <w:rsid w:val="000A0107"/>
    <w:rsid w:val="000A07B3"/>
    <w:rsid w:val="000A08AB"/>
    <w:rsid w:val="000A0A6D"/>
    <w:rsid w:val="000A1306"/>
    <w:rsid w:val="000A1516"/>
    <w:rsid w:val="000A1ABC"/>
    <w:rsid w:val="000A2720"/>
    <w:rsid w:val="000A2BDA"/>
    <w:rsid w:val="000A2C31"/>
    <w:rsid w:val="000A3086"/>
    <w:rsid w:val="000A34CD"/>
    <w:rsid w:val="000A35A8"/>
    <w:rsid w:val="000A464D"/>
    <w:rsid w:val="000A47CC"/>
    <w:rsid w:val="000A481F"/>
    <w:rsid w:val="000A4DA6"/>
    <w:rsid w:val="000A540D"/>
    <w:rsid w:val="000A5411"/>
    <w:rsid w:val="000A547B"/>
    <w:rsid w:val="000A56A9"/>
    <w:rsid w:val="000A64F9"/>
    <w:rsid w:val="000A65ED"/>
    <w:rsid w:val="000A6CCA"/>
    <w:rsid w:val="000A6E09"/>
    <w:rsid w:val="000A7386"/>
    <w:rsid w:val="000A7486"/>
    <w:rsid w:val="000A76F6"/>
    <w:rsid w:val="000A7CF3"/>
    <w:rsid w:val="000B01D0"/>
    <w:rsid w:val="000B04AC"/>
    <w:rsid w:val="000B04EE"/>
    <w:rsid w:val="000B0EDE"/>
    <w:rsid w:val="000B1204"/>
    <w:rsid w:val="000B157F"/>
    <w:rsid w:val="000B1E4B"/>
    <w:rsid w:val="000B243C"/>
    <w:rsid w:val="000B288D"/>
    <w:rsid w:val="000B2A2F"/>
    <w:rsid w:val="000B2D09"/>
    <w:rsid w:val="000B2DA9"/>
    <w:rsid w:val="000B2EC0"/>
    <w:rsid w:val="000B3001"/>
    <w:rsid w:val="000B327A"/>
    <w:rsid w:val="000B345B"/>
    <w:rsid w:val="000B43C3"/>
    <w:rsid w:val="000B4518"/>
    <w:rsid w:val="000B4916"/>
    <w:rsid w:val="000B4D69"/>
    <w:rsid w:val="000B51D3"/>
    <w:rsid w:val="000B5ACC"/>
    <w:rsid w:val="000B5DBC"/>
    <w:rsid w:val="000B6308"/>
    <w:rsid w:val="000B6390"/>
    <w:rsid w:val="000B64F9"/>
    <w:rsid w:val="000B65DF"/>
    <w:rsid w:val="000B673D"/>
    <w:rsid w:val="000B767C"/>
    <w:rsid w:val="000B76DB"/>
    <w:rsid w:val="000B79BC"/>
    <w:rsid w:val="000C0103"/>
    <w:rsid w:val="000C042D"/>
    <w:rsid w:val="000C100C"/>
    <w:rsid w:val="000C181D"/>
    <w:rsid w:val="000C20DA"/>
    <w:rsid w:val="000C3640"/>
    <w:rsid w:val="000C39EE"/>
    <w:rsid w:val="000C3B09"/>
    <w:rsid w:val="000C3B55"/>
    <w:rsid w:val="000C3D50"/>
    <w:rsid w:val="000C3F47"/>
    <w:rsid w:val="000C4834"/>
    <w:rsid w:val="000C487C"/>
    <w:rsid w:val="000C4C53"/>
    <w:rsid w:val="000C4E66"/>
    <w:rsid w:val="000C5644"/>
    <w:rsid w:val="000C5752"/>
    <w:rsid w:val="000C5B7B"/>
    <w:rsid w:val="000C67C4"/>
    <w:rsid w:val="000C7077"/>
    <w:rsid w:val="000C77C9"/>
    <w:rsid w:val="000C794D"/>
    <w:rsid w:val="000C7A49"/>
    <w:rsid w:val="000D0170"/>
    <w:rsid w:val="000D09D0"/>
    <w:rsid w:val="000D0A75"/>
    <w:rsid w:val="000D0B49"/>
    <w:rsid w:val="000D0EFB"/>
    <w:rsid w:val="000D13CF"/>
    <w:rsid w:val="000D1606"/>
    <w:rsid w:val="000D1A0E"/>
    <w:rsid w:val="000D1B15"/>
    <w:rsid w:val="000D1EAF"/>
    <w:rsid w:val="000D22B2"/>
    <w:rsid w:val="000D2BB6"/>
    <w:rsid w:val="000D3183"/>
    <w:rsid w:val="000D33D6"/>
    <w:rsid w:val="000D3571"/>
    <w:rsid w:val="000D3AA5"/>
    <w:rsid w:val="000D3D14"/>
    <w:rsid w:val="000D4757"/>
    <w:rsid w:val="000D4EB7"/>
    <w:rsid w:val="000D5913"/>
    <w:rsid w:val="000D60C3"/>
    <w:rsid w:val="000D6548"/>
    <w:rsid w:val="000D6971"/>
    <w:rsid w:val="000D6A9D"/>
    <w:rsid w:val="000D6D69"/>
    <w:rsid w:val="000D6E94"/>
    <w:rsid w:val="000D6FA6"/>
    <w:rsid w:val="000D7175"/>
    <w:rsid w:val="000D798E"/>
    <w:rsid w:val="000E0494"/>
    <w:rsid w:val="000E0B68"/>
    <w:rsid w:val="000E0D3B"/>
    <w:rsid w:val="000E0D75"/>
    <w:rsid w:val="000E0DD8"/>
    <w:rsid w:val="000E1111"/>
    <w:rsid w:val="000E242A"/>
    <w:rsid w:val="000E24E1"/>
    <w:rsid w:val="000E2A98"/>
    <w:rsid w:val="000E2C2F"/>
    <w:rsid w:val="000E2DE5"/>
    <w:rsid w:val="000E31D0"/>
    <w:rsid w:val="000E4410"/>
    <w:rsid w:val="000E4842"/>
    <w:rsid w:val="000E49FC"/>
    <w:rsid w:val="000E4CDB"/>
    <w:rsid w:val="000E4F9E"/>
    <w:rsid w:val="000E6013"/>
    <w:rsid w:val="000E6DE2"/>
    <w:rsid w:val="000E7009"/>
    <w:rsid w:val="000E70BA"/>
    <w:rsid w:val="000E74A5"/>
    <w:rsid w:val="000E74F3"/>
    <w:rsid w:val="000E7696"/>
    <w:rsid w:val="000E7897"/>
    <w:rsid w:val="000E7D5F"/>
    <w:rsid w:val="000F04AA"/>
    <w:rsid w:val="000F04E7"/>
    <w:rsid w:val="000F09C4"/>
    <w:rsid w:val="000F0C6A"/>
    <w:rsid w:val="000F12C4"/>
    <w:rsid w:val="000F139A"/>
    <w:rsid w:val="000F1434"/>
    <w:rsid w:val="000F1567"/>
    <w:rsid w:val="000F1604"/>
    <w:rsid w:val="000F1841"/>
    <w:rsid w:val="000F1C88"/>
    <w:rsid w:val="000F1EA3"/>
    <w:rsid w:val="000F2566"/>
    <w:rsid w:val="000F2786"/>
    <w:rsid w:val="000F2F29"/>
    <w:rsid w:val="000F305F"/>
    <w:rsid w:val="000F32C4"/>
    <w:rsid w:val="000F40B7"/>
    <w:rsid w:val="000F4427"/>
    <w:rsid w:val="000F45AE"/>
    <w:rsid w:val="000F4E58"/>
    <w:rsid w:val="000F582E"/>
    <w:rsid w:val="000F5CD9"/>
    <w:rsid w:val="000F5FE0"/>
    <w:rsid w:val="000F60FF"/>
    <w:rsid w:val="000F6174"/>
    <w:rsid w:val="000F6832"/>
    <w:rsid w:val="000F6AC0"/>
    <w:rsid w:val="000F6B0C"/>
    <w:rsid w:val="000F72BF"/>
    <w:rsid w:val="000F74E4"/>
    <w:rsid w:val="001001D0"/>
    <w:rsid w:val="001005B8"/>
    <w:rsid w:val="0010089F"/>
    <w:rsid w:val="001009F5"/>
    <w:rsid w:val="00100B98"/>
    <w:rsid w:val="00100C4F"/>
    <w:rsid w:val="00101821"/>
    <w:rsid w:val="00101DB4"/>
    <w:rsid w:val="00102562"/>
    <w:rsid w:val="001026B4"/>
    <w:rsid w:val="001028AE"/>
    <w:rsid w:val="00102C03"/>
    <w:rsid w:val="00103F85"/>
    <w:rsid w:val="0010421F"/>
    <w:rsid w:val="001043E6"/>
    <w:rsid w:val="0010490D"/>
    <w:rsid w:val="00104C56"/>
    <w:rsid w:val="00105CB6"/>
    <w:rsid w:val="00105EC3"/>
    <w:rsid w:val="001064E0"/>
    <w:rsid w:val="0010684B"/>
    <w:rsid w:val="001068BD"/>
    <w:rsid w:val="0010723F"/>
    <w:rsid w:val="00107858"/>
    <w:rsid w:val="00110322"/>
    <w:rsid w:val="001103C9"/>
    <w:rsid w:val="00110B5D"/>
    <w:rsid w:val="001110B4"/>
    <w:rsid w:val="00111106"/>
    <w:rsid w:val="00111320"/>
    <w:rsid w:val="00111512"/>
    <w:rsid w:val="0011160F"/>
    <w:rsid w:val="00111726"/>
    <w:rsid w:val="001118AC"/>
    <w:rsid w:val="001119FE"/>
    <w:rsid w:val="00111D1B"/>
    <w:rsid w:val="00112371"/>
    <w:rsid w:val="0011248E"/>
    <w:rsid w:val="001128C1"/>
    <w:rsid w:val="00112A11"/>
    <w:rsid w:val="00112D68"/>
    <w:rsid w:val="00112E72"/>
    <w:rsid w:val="001138DC"/>
    <w:rsid w:val="00113CF4"/>
    <w:rsid w:val="00113E9A"/>
    <w:rsid w:val="001145D9"/>
    <w:rsid w:val="00114B87"/>
    <w:rsid w:val="00114FED"/>
    <w:rsid w:val="0011502D"/>
    <w:rsid w:val="00115068"/>
    <w:rsid w:val="0011522F"/>
    <w:rsid w:val="001156E9"/>
    <w:rsid w:val="001158CD"/>
    <w:rsid w:val="00115E92"/>
    <w:rsid w:val="00115FC4"/>
    <w:rsid w:val="001160C2"/>
    <w:rsid w:val="00116271"/>
    <w:rsid w:val="00116379"/>
    <w:rsid w:val="00116B19"/>
    <w:rsid w:val="00116D96"/>
    <w:rsid w:val="00116FE8"/>
    <w:rsid w:val="0011751D"/>
    <w:rsid w:val="00117BA0"/>
    <w:rsid w:val="00117C18"/>
    <w:rsid w:val="00117C9E"/>
    <w:rsid w:val="00117D1D"/>
    <w:rsid w:val="00117D68"/>
    <w:rsid w:val="00120044"/>
    <w:rsid w:val="00120126"/>
    <w:rsid w:val="001202C0"/>
    <w:rsid w:val="0012041B"/>
    <w:rsid w:val="0012042D"/>
    <w:rsid w:val="00120AD2"/>
    <w:rsid w:val="00120AE8"/>
    <w:rsid w:val="00120C0D"/>
    <w:rsid w:val="00120FF4"/>
    <w:rsid w:val="001211AF"/>
    <w:rsid w:val="00121A3F"/>
    <w:rsid w:val="00121E21"/>
    <w:rsid w:val="00121F2C"/>
    <w:rsid w:val="00122EC0"/>
    <w:rsid w:val="00123187"/>
    <w:rsid w:val="00123510"/>
    <w:rsid w:val="001235FD"/>
    <w:rsid w:val="0012371A"/>
    <w:rsid w:val="00123BED"/>
    <w:rsid w:val="0012402C"/>
    <w:rsid w:val="001244D5"/>
    <w:rsid w:val="001244F5"/>
    <w:rsid w:val="00124631"/>
    <w:rsid w:val="00124E46"/>
    <w:rsid w:val="00125193"/>
    <w:rsid w:val="00125279"/>
    <w:rsid w:val="001253FD"/>
    <w:rsid w:val="001255F4"/>
    <w:rsid w:val="001262E1"/>
    <w:rsid w:val="00126378"/>
    <w:rsid w:val="001267DC"/>
    <w:rsid w:val="0012686A"/>
    <w:rsid w:val="00127011"/>
    <w:rsid w:val="001273E1"/>
    <w:rsid w:val="00127771"/>
    <w:rsid w:val="00127D1E"/>
    <w:rsid w:val="00127E58"/>
    <w:rsid w:val="00127EFD"/>
    <w:rsid w:val="0013064A"/>
    <w:rsid w:val="00130BC4"/>
    <w:rsid w:val="0013138D"/>
    <w:rsid w:val="00132578"/>
    <w:rsid w:val="00132848"/>
    <w:rsid w:val="00132ED8"/>
    <w:rsid w:val="00133095"/>
    <w:rsid w:val="001332F9"/>
    <w:rsid w:val="0013358F"/>
    <w:rsid w:val="00134187"/>
    <w:rsid w:val="00134817"/>
    <w:rsid w:val="00134CE6"/>
    <w:rsid w:val="00135C6F"/>
    <w:rsid w:val="00136152"/>
    <w:rsid w:val="00136963"/>
    <w:rsid w:val="001370D2"/>
    <w:rsid w:val="001372F1"/>
    <w:rsid w:val="00137F0A"/>
    <w:rsid w:val="00140478"/>
    <w:rsid w:val="00140996"/>
    <w:rsid w:val="00140DAC"/>
    <w:rsid w:val="00141D8C"/>
    <w:rsid w:val="001430E2"/>
    <w:rsid w:val="001434AC"/>
    <w:rsid w:val="001436B5"/>
    <w:rsid w:val="00143903"/>
    <w:rsid w:val="00143A77"/>
    <w:rsid w:val="001442C5"/>
    <w:rsid w:val="0014441E"/>
    <w:rsid w:val="0014466A"/>
    <w:rsid w:val="00144917"/>
    <w:rsid w:val="00144EA9"/>
    <w:rsid w:val="001452C2"/>
    <w:rsid w:val="00145E9B"/>
    <w:rsid w:val="0014685D"/>
    <w:rsid w:val="00146C5D"/>
    <w:rsid w:val="00146D19"/>
    <w:rsid w:val="00146E08"/>
    <w:rsid w:val="001470FE"/>
    <w:rsid w:val="0014793C"/>
    <w:rsid w:val="00147962"/>
    <w:rsid w:val="0014797B"/>
    <w:rsid w:val="00147AD4"/>
    <w:rsid w:val="00147EA2"/>
    <w:rsid w:val="00147F7B"/>
    <w:rsid w:val="00150C04"/>
    <w:rsid w:val="00150D42"/>
    <w:rsid w:val="00151136"/>
    <w:rsid w:val="0015159E"/>
    <w:rsid w:val="001515DD"/>
    <w:rsid w:val="00151941"/>
    <w:rsid w:val="00151AF4"/>
    <w:rsid w:val="00151F5B"/>
    <w:rsid w:val="00152816"/>
    <w:rsid w:val="00152A3A"/>
    <w:rsid w:val="00152E90"/>
    <w:rsid w:val="0015312C"/>
    <w:rsid w:val="00153328"/>
    <w:rsid w:val="00153C84"/>
    <w:rsid w:val="00153DCF"/>
    <w:rsid w:val="00153E4D"/>
    <w:rsid w:val="00153F53"/>
    <w:rsid w:val="00154218"/>
    <w:rsid w:val="00154752"/>
    <w:rsid w:val="00154802"/>
    <w:rsid w:val="00154920"/>
    <w:rsid w:val="00154936"/>
    <w:rsid w:val="00154E08"/>
    <w:rsid w:val="00154F34"/>
    <w:rsid w:val="0015558D"/>
    <w:rsid w:val="00155848"/>
    <w:rsid w:val="00155893"/>
    <w:rsid w:val="00155AD6"/>
    <w:rsid w:val="00155EAE"/>
    <w:rsid w:val="00155FBB"/>
    <w:rsid w:val="0015601B"/>
    <w:rsid w:val="001568EE"/>
    <w:rsid w:val="00156CF2"/>
    <w:rsid w:val="00156DE1"/>
    <w:rsid w:val="00156F3B"/>
    <w:rsid w:val="00156FA6"/>
    <w:rsid w:val="00157E6F"/>
    <w:rsid w:val="00160202"/>
    <w:rsid w:val="00160B6F"/>
    <w:rsid w:val="001611CB"/>
    <w:rsid w:val="00161936"/>
    <w:rsid w:val="00161A41"/>
    <w:rsid w:val="00161CC2"/>
    <w:rsid w:val="00161E0C"/>
    <w:rsid w:val="00161EB1"/>
    <w:rsid w:val="00162811"/>
    <w:rsid w:val="00162921"/>
    <w:rsid w:val="0016296B"/>
    <w:rsid w:val="00162AE9"/>
    <w:rsid w:val="0016322E"/>
    <w:rsid w:val="0016360B"/>
    <w:rsid w:val="0016382B"/>
    <w:rsid w:val="00163A23"/>
    <w:rsid w:val="00164AA0"/>
    <w:rsid w:val="00164D8B"/>
    <w:rsid w:val="00164E0E"/>
    <w:rsid w:val="0016599E"/>
    <w:rsid w:val="00165C2E"/>
    <w:rsid w:val="00165C89"/>
    <w:rsid w:val="00166150"/>
    <w:rsid w:val="001661DE"/>
    <w:rsid w:val="00166444"/>
    <w:rsid w:val="0016693D"/>
    <w:rsid w:val="00166972"/>
    <w:rsid w:val="00167084"/>
    <w:rsid w:val="00167CF5"/>
    <w:rsid w:val="0017001C"/>
    <w:rsid w:val="001701BD"/>
    <w:rsid w:val="00170619"/>
    <w:rsid w:val="0017067D"/>
    <w:rsid w:val="00170699"/>
    <w:rsid w:val="001709F2"/>
    <w:rsid w:val="00170BC1"/>
    <w:rsid w:val="00170D99"/>
    <w:rsid w:val="00170EF0"/>
    <w:rsid w:val="0017178A"/>
    <w:rsid w:val="001722BC"/>
    <w:rsid w:val="0017250C"/>
    <w:rsid w:val="00172A4D"/>
    <w:rsid w:val="00173834"/>
    <w:rsid w:val="00173926"/>
    <w:rsid w:val="00173B54"/>
    <w:rsid w:val="00173C47"/>
    <w:rsid w:val="00173E9F"/>
    <w:rsid w:val="00173ED2"/>
    <w:rsid w:val="0017444A"/>
    <w:rsid w:val="001745FF"/>
    <w:rsid w:val="0017465B"/>
    <w:rsid w:val="0017495B"/>
    <w:rsid w:val="001751CA"/>
    <w:rsid w:val="00175C25"/>
    <w:rsid w:val="00175E56"/>
    <w:rsid w:val="001767F5"/>
    <w:rsid w:val="00176E6D"/>
    <w:rsid w:val="001773CD"/>
    <w:rsid w:val="00177922"/>
    <w:rsid w:val="00177E3D"/>
    <w:rsid w:val="00177EF0"/>
    <w:rsid w:val="00180A57"/>
    <w:rsid w:val="00180B80"/>
    <w:rsid w:val="001816F4"/>
    <w:rsid w:val="00181A45"/>
    <w:rsid w:val="00181B5B"/>
    <w:rsid w:val="00182212"/>
    <w:rsid w:val="001822E3"/>
    <w:rsid w:val="0018245E"/>
    <w:rsid w:val="001825F0"/>
    <w:rsid w:val="00182D2B"/>
    <w:rsid w:val="001833D5"/>
    <w:rsid w:val="001839CA"/>
    <w:rsid w:val="00183BF2"/>
    <w:rsid w:val="001840D8"/>
    <w:rsid w:val="0018418D"/>
    <w:rsid w:val="0018466F"/>
    <w:rsid w:val="00184916"/>
    <w:rsid w:val="00184D1D"/>
    <w:rsid w:val="0018508C"/>
    <w:rsid w:val="0018542A"/>
    <w:rsid w:val="001856C6"/>
    <w:rsid w:val="001857EF"/>
    <w:rsid w:val="00185EDB"/>
    <w:rsid w:val="00186608"/>
    <w:rsid w:val="0018674E"/>
    <w:rsid w:val="00186860"/>
    <w:rsid w:val="00186A52"/>
    <w:rsid w:val="00186BA0"/>
    <w:rsid w:val="00186D5E"/>
    <w:rsid w:val="001870A0"/>
    <w:rsid w:val="00187211"/>
    <w:rsid w:val="001872A2"/>
    <w:rsid w:val="001874C5"/>
    <w:rsid w:val="0018795B"/>
    <w:rsid w:val="001901B1"/>
    <w:rsid w:val="0019042E"/>
    <w:rsid w:val="00190585"/>
    <w:rsid w:val="00190A34"/>
    <w:rsid w:val="00190AF8"/>
    <w:rsid w:val="00190C1B"/>
    <w:rsid w:val="001911D2"/>
    <w:rsid w:val="00191B45"/>
    <w:rsid w:val="00191CB2"/>
    <w:rsid w:val="001933AA"/>
    <w:rsid w:val="001936FD"/>
    <w:rsid w:val="001938BA"/>
    <w:rsid w:val="001938EF"/>
    <w:rsid w:val="00193C39"/>
    <w:rsid w:val="0019414B"/>
    <w:rsid w:val="00194280"/>
    <w:rsid w:val="001942F2"/>
    <w:rsid w:val="001944CE"/>
    <w:rsid w:val="00194539"/>
    <w:rsid w:val="00194AF8"/>
    <w:rsid w:val="00194C09"/>
    <w:rsid w:val="00194C38"/>
    <w:rsid w:val="001953C1"/>
    <w:rsid w:val="001957F9"/>
    <w:rsid w:val="0019583F"/>
    <w:rsid w:val="00196510"/>
    <w:rsid w:val="001965B7"/>
    <w:rsid w:val="0019693F"/>
    <w:rsid w:val="00197181"/>
    <w:rsid w:val="001971F7"/>
    <w:rsid w:val="001975F1"/>
    <w:rsid w:val="0019779B"/>
    <w:rsid w:val="001A0082"/>
    <w:rsid w:val="001A08C2"/>
    <w:rsid w:val="001A08D2"/>
    <w:rsid w:val="001A09E1"/>
    <w:rsid w:val="001A0BD8"/>
    <w:rsid w:val="001A0C7B"/>
    <w:rsid w:val="001A0FDD"/>
    <w:rsid w:val="001A1606"/>
    <w:rsid w:val="001A171E"/>
    <w:rsid w:val="001A19BB"/>
    <w:rsid w:val="001A1FD3"/>
    <w:rsid w:val="001A2225"/>
    <w:rsid w:val="001A2281"/>
    <w:rsid w:val="001A2DE0"/>
    <w:rsid w:val="001A320D"/>
    <w:rsid w:val="001A32B3"/>
    <w:rsid w:val="001A342A"/>
    <w:rsid w:val="001A4092"/>
    <w:rsid w:val="001A4670"/>
    <w:rsid w:val="001A495C"/>
    <w:rsid w:val="001A4C19"/>
    <w:rsid w:val="001A4CF5"/>
    <w:rsid w:val="001A502E"/>
    <w:rsid w:val="001A5160"/>
    <w:rsid w:val="001A527F"/>
    <w:rsid w:val="001A58CF"/>
    <w:rsid w:val="001A5AE8"/>
    <w:rsid w:val="001A5AEA"/>
    <w:rsid w:val="001A5C4A"/>
    <w:rsid w:val="001A5E2C"/>
    <w:rsid w:val="001A65F1"/>
    <w:rsid w:val="001A738C"/>
    <w:rsid w:val="001A73D1"/>
    <w:rsid w:val="001A75B8"/>
    <w:rsid w:val="001A7ABC"/>
    <w:rsid w:val="001A7C45"/>
    <w:rsid w:val="001A7F8F"/>
    <w:rsid w:val="001B00FF"/>
    <w:rsid w:val="001B01D5"/>
    <w:rsid w:val="001B04E1"/>
    <w:rsid w:val="001B0B02"/>
    <w:rsid w:val="001B0E48"/>
    <w:rsid w:val="001B0FBD"/>
    <w:rsid w:val="001B12E9"/>
    <w:rsid w:val="001B1CE1"/>
    <w:rsid w:val="001B20DF"/>
    <w:rsid w:val="001B2111"/>
    <w:rsid w:val="001B2A72"/>
    <w:rsid w:val="001B44F4"/>
    <w:rsid w:val="001B4C01"/>
    <w:rsid w:val="001B4D26"/>
    <w:rsid w:val="001B53BE"/>
    <w:rsid w:val="001B56F9"/>
    <w:rsid w:val="001B5961"/>
    <w:rsid w:val="001B5C5C"/>
    <w:rsid w:val="001B5D7B"/>
    <w:rsid w:val="001B66AB"/>
    <w:rsid w:val="001B7609"/>
    <w:rsid w:val="001B78D0"/>
    <w:rsid w:val="001C0952"/>
    <w:rsid w:val="001C1218"/>
    <w:rsid w:val="001C142A"/>
    <w:rsid w:val="001C1614"/>
    <w:rsid w:val="001C176D"/>
    <w:rsid w:val="001C1D18"/>
    <w:rsid w:val="001C1D6F"/>
    <w:rsid w:val="001C1F60"/>
    <w:rsid w:val="001C1F79"/>
    <w:rsid w:val="001C2A4D"/>
    <w:rsid w:val="001C2FDC"/>
    <w:rsid w:val="001C3A5C"/>
    <w:rsid w:val="001C3B48"/>
    <w:rsid w:val="001C3BDF"/>
    <w:rsid w:val="001C4577"/>
    <w:rsid w:val="001C4771"/>
    <w:rsid w:val="001C54AE"/>
    <w:rsid w:val="001C54CD"/>
    <w:rsid w:val="001C6621"/>
    <w:rsid w:val="001C6802"/>
    <w:rsid w:val="001C6C77"/>
    <w:rsid w:val="001C72C4"/>
    <w:rsid w:val="001C7347"/>
    <w:rsid w:val="001C75E9"/>
    <w:rsid w:val="001C7B6D"/>
    <w:rsid w:val="001D0666"/>
    <w:rsid w:val="001D076D"/>
    <w:rsid w:val="001D0ACA"/>
    <w:rsid w:val="001D1279"/>
    <w:rsid w:val="001D12E1"/>
    <w:rsid w:val="001D1799"/>
    <w:rsid w:val="001D1E84"/>
    <w:rsid w:val="001D2936"/>
    <w:rsid w:val="001D2A9E"/>
    <w:rsid w:val="001D2F79"/>
    <w:rsid w:val="001D34B2"/>
    <w:rsid w:val="001D3872"/>
    <w:rsid w:val="001D4263"/>
    <w:rsid w:val="001D4AF0"/>
    <w:rsid w:val="001D515B"/>
    <w:rsid w:val="001D5230"/>
    <w:rsid w:val="001D5334"/>
    <w:rsid w:val="001D5439"/>
    <w:rsid w:val="001D582A"/>
    <w:rsid w:val="001D5926"/>
    <w:rsid w:val="001D5C6B"/>
    <w:rsid w:val="001D64B9"/>
    <w:rsid w:val="001D65FF"/>
    <w:rsid w:val="001D66DA"/>
    <w:rsid w:val="001D71F0"/>
    <w:rsid w:val="001D74AE"/>
    <w:rsid w:val="001D74AF"/>
    <w:rsid w:val="001D7595"/>
    <w:rsid w:val="001D799F"/>
    <w:rsid w:val="001D7BDB"/>
    <w:rsid w:val="001D7CC2"/>
    <w:rsid w:val="001D7F1B"/>
    <w:rsid w:val="001E00B8"/>
    <w:rsid w:val="001E056D"/>
    <w:rsid w:val="001E067E"/>
    <w:rsid w:val="001E0756"/>
    <w:rsid w:val="001E0A71"/>
    <w:rsid w:val="001E0A8E"/>
    <w:rsid w:val="001E0ABE"/>
    <w:rsid w:val="001E10CD"/>
    <w:rsid w:val="001E154A"/>
    <w:rsid w:val="001E16D0"/>
    <w:rsid w:val="001E2083"/>
    <w:rsid w:val="001E2181"/>
    <w:rsid w:val="001E26E5"/>
    <w:rsid w:val="001E274D"/>
    <w:rsid w:val="001E2809"/>
    <w:rsid w:val="001E2B5A"/>
    <w:rsid w:val="001E2D1F"/>
    <w:rsid w:val="001E37F0"/>
    <w:rsid w:val="001E393C"/>
    <w:rsid w:val="001E39BE"/>
    <w:rsid w:val="001E4287"/>
    <w:rsid w:val="001E47F0"/>
    <w:rsid w:val="001E4C77"/>
    <w:rsid w:val="001E4C83"/>
    <w:rsid w:val="001E4F84"/>
    <w:rsid w:val="001E4FE1"/>
    <w:rsid w:val="001E55BD"/>
    <w:rsid w:val="001E5785"/>
    <w:rsid w:val="001E57FF"/>
    <w:rsid w:val="001E5A37"/>
    <w:rsid w:val="001E5B46"/>
    <w:rsid w:val="001E5FAF"/>
    <w:rsid w:val="001E6468"/>
    <w:rsid w:val="001E6710"/>
    <w:rsid w:val="001E6A5E"/>
    <w:rsid w:val="001E7106"/>
    <w:rsid w:val="001E75EF"/>
    <w:rsid w:val="001E7650"/>
    <w:rsid w:val="001E76FC"/>
    <w:rsid w:val="001E7819"/>
    <w:rsid w:val="001E785D"/>
    <w:rsid w:val="001E78EB"/>
    <w:rsid w:val="001E7928"/>
    <w:rsid w:val="001E79B3"/>
    <w:rsid w:val="001E7B7C"/>
    <w:rsid w:val="001F036E"/>
    <w:rsid w:val="001F0583"/>
    <w:rsid w:val="001F10D5"/>
    <w:rsid w:val="001F10FE"/>
    <w:rsid w:val="001F1287"/>
    <w:rsid w:val="001F12FC"/>
    <w:rsid w:val="001F14C5"/>
    <w:rsid w:val="001F14FF"/>
    <w:rsid w:val="001F19B5"/>
    <w:rsid w:val="001F20AE"/>
    <w:rsid w:val="001F295C"/>
    <w:rsid w:val="001F29E8"/>
    <w:rsid w:val="001F2C65"/>
    <w:rsid w:val="001F2F94"/>
    <w:rsid w:val="001F3384"/>
    <w:rsid w:val="001F402B"/>
    <w:rsid w:val="001F4BF6"/>
    <w:rsid w:val="001F58EB"/>
    <w:rsid w:val="001F5FB8"/>
    <w:rsid w:val="001F6172"/>
    <w:rsid w:val="001F6A6E"/>
    <w:rsid w:val="001F6E84"/>
    <w:rsid w:val="001F7171"/>
    <w:rsid w:val="001F73F5"/>
    <w:rsid w:val="00200017"/>
    <w:rsid w:val="002006F5"/>
    <w:rsid w:val="002009EB"/>
    <w:rsid w:val="00200CDC"/>
    <w:rsid w:val="002013FD"/>
    <w:rsid w:val="002015DA"/>
    <w:rsid w:val="00201911"/>
    <w:rsid w:val="00201AAC"/>
    <w:rsid w:val="00202261"/>
    <w:rsid w:val="002023CB"/>
    <w:rsid w:val="00203EA4"/>
    <w:rsid w:val="00203F5C"/>
    <w:rsid w:val="002047F5"/>
    <w:rsid w:val="00204AB3"/>
    <w:rsid w:val="00204C10"/>
    <w:rsid w:val="00204CBB"/>
    <w:rsid w:val="00205FAE"/>
    <w:rsid w:val="00206056"/>
    <w:rsid w:val="002068E0"/>
    <w:rsid w:val="00206D81"/>
    <w:rsid w:val="00206F17"/>
    <w:rsid w:val="00207400"/>
    <w:rsid w:val="00207B2D"/>
    <w:rsid w:val="00207BB1"/>
    <w:rsid w:val="00207BD2"/>
    <w:rsid w:val="00207CA8"/>
    <w:rsid w:val="0021001D"/>
    <w:rsid w:val="002101A7"/>
    <w:rsid w:val="002101B6"/>
    <w:rsid w:val="0021046E"/>
    <w:rsid w:val="00210614"/>
    <w:rsid w:val="0021064F"/>
    <w:rsid w:val="00211AAA"/>
    <w:rsid w:val="00211ECB"/>
    <w:rsid w:val="00211F10"/>
    <w:rsid w:val="002120CF"/>
    <w:rsid w:val="0021276E"/>
    <w:rsid w:val="002128C1"/>
    <w:rsid w:val="002129C2"/>
    <w:rsid w:val="00212DBD"/>
    <w:rsid w:val="00213404"/>
    <w:rsid w:val="00213539"/>
    <w:rsid w:val="00213AE7"/>
    <w:rsid w:val="00213F5A"/>
    <w:rsid w:val="00214070"/>
    <w:rsid w:val="0021409E"/>
    <w:rsid w:val="00214578"/>
    <w:rsid w:val="0021461F"/>
    <w:rsid w:val="00214994"/>
    <w:rsid w:val="00214AA5"/>
    <w:rsid w:val="00214D03"/>
    <w:rsid w:val="00215479"/>
    <w:rsid w:val="00215CD1"/>
    <w:rsid w:val="00216143"/>
    <w:rsid w:val="0021639F"/>
    <w:rsid w:val="00217814"/>
    <w:rsid w:val="00217F95"/>
    <w:rsid w:val="0022033C"/>
    <w:rsid w:val="00220769"/>
    <w:rsid w:val="002208BB"/>
    <w:rsid w:val="002214BF"/>
    <w:rsid w:val="00221799"/>
    <w:rsid w:val="00221C2F"/>
    <w:rsid w:val="00222498"/>
    <w:rsid w:val="0022297E"/>
    <w:rsid w:val="00222B27"/>
    <w:rsid w:val="00222EA0"/>
    <w:rsid w:val="00223087"/>
    <w:rsid w:val="00223512"/>
    <w:rsid w:val="0022395C"/>
    <w:rsid w:val="00223A10"/>
    <w:rsid w:val="00223F79"/>
    <w:rsid w:val="002247D7"/>
    <w:rsid w:val="00225263"/>
    <w:rsid w:val="00225505"/>
    <w:rsid w:val="002255D4"/>
    <w:rsid w:val="00225A59"/>
    <w:rsid w:val="00226825"/>
    <w:rsid w:val="00226DE7"/>
    <w:rsid w:val="00226E5E"/>
    <w:rsid w:val="00226FCD"/>
    <w:rsid w:val="0022719E"/>
    <w:rsid w:val="0022792D"/>
    <w:rsid w:val="00227B2E"/>
    <w:rsid w:val="00227CC4"/>
    <w:rsid w:val="00227F2D"/>
    <w:rsid w:val="002300A9"/>
    <w:rsid w:val="00230128"/>
    <w:rsid w:val="00230167"/>
    <w:rsid w:val="0023071A"/>
    <w:rsid w:val="00230A3B"/>
    <w:rsid w:val="00230FF4"/>
    <w:rsid w:val="0023126A"/>
    <w:rsid w:val="0023141F"/>
    <w:rsid w:val="002315DE"/>
    <w:rsid w:val="00232129"/>
    <w:rsid w:val="00232952"/>
    <w:rsid w:val="00232CAD"/>
    <w:rsid w:val="002332FC"/>
    <w:rsid w:val="0023342C"/>
    <w:rsid w:val="00233CA4"/>
    <w:rsid w:val="00233DD9"/>
    <w:rsid w:val="00233EDA"/>
    <w:rsid w:val="002346A8"/>
    <w:rsid w:val="002349F3"/>
    <w:rsid w:val="0023517B"/>
    <w:rsid w:val="002352F1"/>
    <w:rsid w:val="002355BF"/>
    <w:rsid w:val="002357FC"/>
    <w:rsid w:val="00235812"/>
    <w:rsid w:val="002358FF"/>
    <w:rsid w:val="00235BA0"/>
    <w:rsid w:val="00235DDF"/>
    <w:rsid w:val="00235F9B"/>
    <w:rsid w:val="00235FE7"/>
    <w:rsid w:val="002362BE"/>
    <w:rsid w:val="0023649D"/>
    <w:rsid w:val="002364CF"/>
    <w:rsid w:val="00236D05"/>
    <w:rsid w:val="0023726C"/>
    <w:rsid w:val="002372E1"/>
    <w:rsid w:val="00237419"/>
    <w:rsid w:val="002375D3"/>
    <w:rsid w:val="00237802"/>
    <w:rsid w:val="00237AB9"/>
    <w:rsid w:val="00240153"/>
    <w:rsid w:val="0024053D"/>
    <w:rsid w:val="00240830"/>
    <w:rsid w:val="00240C6A"/>
    <w:rsid w:val="00240FC7"/>
    <w:rsid w:val="00240FEE"/>
    <w:rsid w:val="0024103C"/>
    <w:rsid w:val="00241278"/>
    <w:rsid w:val="00241542"/>
    <w:rsid w:val="00241BEE"/>
    <w:rsid w:val="00242B23"/>
    <w:rsid w:val="00242C97"/>
    <w:rsid w:val="00242F04"/>
    <w:rsid w:val="00243891"/>
    <w:rsid w:val="00244A72"/>
    <w:rsid w:val="00244F13"/>
    <w:rsid w:val="00245112"/>
    <w:rsid w:val="00245ACC"/>
    <w:rsid w:val="0024602D"/>
    <w:rsid w:val="00246347"/>
    <w:rsid w:val="0024648C"/>
    <w:rsid w:val="002466D8"/>
    <w:rsid w:val="0024678E"/>
    <w:rsid w:val="0024685E"/>
    <w:rsid w:val="00246C8D"/>
    <w:rsid w:val="00246D84"/>
    <w:rsid w:val="0024701A"/>
    <w:rsid w:val="0024701B"/>
    <w:rsid w:val="00247063"/>
    <w:rsid w:val="002473F2"/>
    <w:rsid w:val="00247515"/>
    <w:rsid w:val="00247847"/>
    <w:rsid w:val="00247C3C"/>
    <w:rsid w:val="00247DB5"/>
    <w:rsid w:val="00250660"/>
    <w:rsid w:val="00250745"/>
    <w:rsid w:val="0025080F"/>
    <w:rsid w:val="00250BFE"/>
    <w:rsid w:val="00250F0B"/>
    <w:rsid w:val="00251456"/>
    <w:rsid w:val="0025189C"/>
    <w:rsid w:val="00251E0E"/>
    <w:rsid w:val="002520FD"/>
    <w:rsid w:val="00252294"/>
    <w:rsid w:val="00252853"/>
    <w:rsid w:val="00252899"/>
    <w:rsid w:val="0025298D"/>
    <w:rsid w:val="00253466"/>
    <w:rsid w:val="00253BD5"/>
    <w:rsid w:val="002541A0"/>
    <w:rsid w:val="0025420A"/>
    <w:rsid w:val="002544F5"/>
    <w:rsid w:val="002549A4"/>
    <w:rsid w:val="00254B8C"/>
    <w:rsid w:val="00254D72"/>
    <w:rsid w:val="00254F0C"/>
    <w:rsid w:val="00254F6A"/>
    <w:rsid w:val="002550CB"/>
    <w:rsid w:val="002552BB"/>
    <w:rsid w:val="00255492"/>
    <w:rsid w:val="002556C7"/>
    <w:rsid w:val="002558AB"/>
    <w:rsid w:val="00255DA9"/>
    <w:rsid w:val="00256168"/>
    <w:rsid w:val="00256692"/>
    <w:rsid w:val="002568BF"/>
    <w:rsid w:val="00256A08"/>
    <w:rsid w:val="00256B94"/>
    <w:rsid w:val="00256C2E"/>
    <w:rsid w:val="00256DEB"/>
    <w:rsid w:val="00256F48"/>
    <w:rsid w:val="00257208"/>
    <w:rsid w:val="00257495"/>
    <w:rsid w:val="00257751"/>
    <w:rsid w:val="00257B0E"/>
    <w:rsid w:val="00257E38"/>
    <w:rsid w:val="00257EB5"/>
    <w:rsid w:val="00260BF4"/>
    <w:rsid w:val="00260E34"/>
    <w:rsid w:val="00261226"/>
    <w:rsid w:val="002612E2"/>
    <w:rsid w:val="002613E2"/>
    <w:rsid w:val="00261587"/>
    <w:rsid w:val="00261BE1"/>
    <w:rsid w:val="00262483"/>
    <w:rsid w:val="00262E72"/>
    <w:rsid w:val="00262EF5"/>
    <w:rsid w:val="00263700"/>
    <w:rsid w:val="002637EA"/>
    <w:rsid w:val="00263EE2"/>
    <w:rsid w:val="00263F50"/>
    <w:rsid w:val="00264734"/>
    <w:rsid w:val="002649CB"/>
    <w:rsid w:val="00264B61"/>
    <w:rsid w:val="00264FBB"/>
    <w:rsid w:val="002652A3"/>
    <w:rsid w:val="002653ED"/>
    <w:rsid w:val="0026588A"/>
    <w:rsid w:val="00265F71"/>
    <w:rsid w:val="00266084"/>
    <w:rsid w:val="0026688F"/>
    <w:rsid w:val="00266ADF"/>
    <w:rsid w:val="00266B22"/>
    <w:rsid w:val="00266C32"/>
    <w:rsid w:val="0026736A"/>
    <w:rsid w:val="002678CA"/>
    <w:rsid w:val="002678EA"/>
    <w:rsid w:val="00267942"/>
    <w:rsid w:val="00267E22"/>
    <w:rsid w:val="00267EC5"/>
    <w:rsid w:val="002701C7"/>
    <w:rsid w:val="002709CE"/>
    <w:rsid w:val="00270BA7"/>
    <w:rsid w:val="00270F30"/>
    <w:rsid w:val="0027171F"/>
    <w:rsid w:val="00271D0C"/>
    <w:rsid w:val="0027213A"/>
    <w:rsid w:val="0027214C"/>
    <w:rsid w:val="00272541"/>
    <w:rsid w:val="00272788"/>
    <w:rsid w:val="002738B8"/>
    <w:rsid w:val="002749EE"/>
    <w:rsid w:val="00274B5F"/>
    <w:rsid w:val="00274CB9"/>
    <w:rsid w:val="002753A9"/>
    <w:rsid w:val="00275DA7"/>
    <w:rsid w:val="00276105"/>
    <w:rsid w:val="002768B2"/>
    <w:rsid w:val="0027691D"/>
    <w:rsid w:val="00276B72"/>
    <w:rsid w:val="00276C73"/>
    <w:rsid w:val="00276C77"/>
    <w:rsid w:val="00277085"/>
    <w:rsid w:val="00277247"/>
    <w:rsid w:val="00277354"/>
    <w:rsid w:val="00277625"/>
    <w:rsid w:val="00277BB8"/>
    <w:rsid w:val="00280532"/>
    <w:rsid w:val="00280A38"/>
    <w:rsid w:val="00280F75"/>
    <w:rsid w:val="002817F4"/>
    <w:rsid w:val="00281B5C"/>
    <w:rsid w:val="002823C9"/>
    <w:rsid w:val="00282590"/>
    <w:rsid w:val="00282ADF"/>
    <w:rsid w:val="00283110"/>
    <w:rsid w:val="00283426"/>
    <w:rsid w:val="00283493"/>
    <w:rsid w:val="0028379E"/>
    <w:rsid w:val="00283A23"/>
    <w:rsid w:val="002841A3"/>
    <w:rsid w:val="002842E7"/>
    <w:rsid w:val="002842F3"/>
    <w:rsid w:val="0028442E"/>
    <w:rsid w:val="00284A06"/>
    <w:rsid w:val="00284CE4"/>
    <w:rsid w:val="00284EF8"/>
    <w:rsid w:val="00285CAB"/>
    <w:rsid w:val="00285EB1"/>
    <w:rsid w:val="00286528"/>
    <w:rsid w:val="00286599"/>
    <w:rsid w:val="002874A3"/>
    <w:rsid w:val="0028792A"/>
    <w:rsid w:val="00287D4B"/>
    <w:rsid w:val="002907C9"/>
    <w:rsid w:val="002909D0"/>
    <w:rsid w:val="00290AB1"/>
    <w:rsid w:val="00290EF8"/>
    <w:rsid w:val="00291028"/>
    <w:rsid w:val="002912F7"/>
    <w:rsid w:val="0029197D"/>
    <w:rsid w:val="00291C38"/>
    <w:rsid w:val="00291CD8"/>
    <w:rsid w:val="00291FC8"/>
    <w:rsid w:val="0029209E"/>
    <w:rsid w:val="002921D8"/>
    <w:rsid w:val="00292A2B"/>
    <w:rsid w:val="00292AE1"/>
    <w:rsid w:val="00293587"/>
    <w:rsid w:val="00293672"/>
    <w:rsid w:val="002937CD"/>
    <w:rsid w:val="0029470E"/>
    <w:rsid w:val="002949C1"/>
    <w:rsid w:val="00294EB8"/>
    <w:rsid w:val="002950D0"/>
    <w:rsid w:val="00295101"/>
    <w:rsid w:val="002954FF"/>
    <w:rsid w:val="00295893"/>
    <w:rsid w:val="00295B1C"/>
    <w:rsid w:val="00295BC3"/>
    <w:rsid w:val="00295C79"/>
    <w:rsid w:val="00296876"/>
    <w:rsid w:val="00296B92"/>
    <w:rsid w:val="0029713F"/>
    <w:rsid w:val="002971DA"/>
    <w:rsid w:val="0029743E"/>
    <w:rsid w:val="002974F2"/>
    <w:rsid w:val="00297F7A"/>
    <w:rsid w:val="002A0068"/>
    <w:rsid w:val="002A04F9"/>
    <w:rsid w:val="002A13FE"/>
    <w:rsid w:val="002A17D8"/>
    <w:rsid w:val="002A1C06"/>
    <w:rsid w:val="002A1C3F"/>
    <w:rsid w:val="002A1D84"/>
    <w:rsid w:val="002A1DC8"/>
    <w:rsid w:val="002A2822"/>
    <w:rsid w:val="002A29DD"/>
    <w:rsid w:val="002A2B5A"/>
    <w:rsid w:val="002A2C44"/>
    <w:rsid w:val="002A315F"/>
    <w:rsid w:val="002A34F1"/>
    <w:rsid w:val="002A3B03"/>
    <w:rsid w:val="002A3D31"/>
    <w:rsid w:val="002A451B"/>
    <w:rsid w:val="002A48E0"/>
    <w:rsid w:val="002A4ACD"/>
    <w:rsid w:val="002A4AE3"/>
    <w:rsid w:val="002A5918"/>
    <w:rsid w:val="002A65B2"/>
    <w:rsid w:val="002A6649"/>
    <w:rsid w:val="002A6B29"/>
    <w:rsid w:val="002A6B6E"/>
    <w:rsid w:val="002A753C"/>
    <w:rsid w:val="002A76E4"/>
    <w:rsid w:val="002A778B"/>
    <w:rsid w:val="002A7DAA"/>
    <w:rsid w:val="002A7DBF"/>
    <w:rsid w:val="002B02D5"/>
    <w:rsid w:val="002B0B42"/>
    <w:rsid w:val="002B0E78"/>
    <w:rsid w:val="002B19E4"/>
    <w:rsid w:val="002B22D8"/>
    <w:rsid w:val="002B2415"/>
    <w:rsid w:val="002B271E"/>
    <w:rsid w:val="002B2F96"/>
    <w:rsid w:val="002B35D0"/>
    <w:rsid w:val="002B3BCE"/>
    <w:rsid w:val="002B4164"/>
    <w:rsid w:val="002B4324"/>
    <w:rsid w:val="002B446B"/>
    <w:rsid w:val="002B4602"/>
    <w:rsid w:val="002B4809"/>
    <w:rsid w:val="002B4C2A"/>
    <w:rsid w:val="002B4D0C"/>
    <w:rsid w:val="002B519C"/>
    <w:rsid w:val="002B5274"/>
    <w:rsid w:val="002B5A79"/>
    <w:rsid w:val="002B5E32"/>
    <w:rsid w:val="002B6241"/>
    <w:rsid w:val="002B6859"/>
    <w:rsid w:val="002B6C49"/>
    <w:rsid w:val="002B6CA9"/>
    <w:rsid w:val="002B6D16"/>
    <w:rsid w:val="002B7450"/>
    <w:rsid w:val="002B7550"/>
    <w:rsid w:val="002B7645"/>
    <w:rsid w:val="002B7689"/>
    <w:rsid w:val="002B7B62"/>
    <w:rsid w:val="002C0687"/>
    <w:rsid w:val="002C0708"/>
    <w:rsid w:val="002C0744"/>
    <w:rsid w:val="002C0A27"/>
    <w:rsid w:val="002C0BEF"/>
    <w:rsid w:val="002C0D2F"/>
    <w:rsid w:val="002C0F15"/>
    <w:rsid w:val="002C12D6"/>
    <w:rsid w:val="002C16CE"/>
    <w:rsid w:val="002C182F"/>
    <w:rsid w:val="002C187C"/>
    <w:rsid w:val="002C1910"/>
    <w:rsid w:val="002C2714"/>
    <w:rsid w:val="002C2C22"/>
    <w:rsid w:val="002C2CEE"/>
    <w:rsid w:val="002C2DB9"/>
    <w:rsid w:val="002C355D"/>
    <w:rsid w:val="002C35C9"/>
    <w:rsid w:val="002C3925"/>
    <w:rsid w:val="002C3BE6"/>
    <w:rsid w:val="002C3EBC"/>
    <w:rsid w:val="002C4624"/>
    <w:rsid w:val="002C48EC"/>
    <w:rsid w:val="002C498A"/>
    <w:rsid w:val="002C4BAD"/>
    <w:rsid w:val="002C4EBC"/>
    <w:rsid w:val="002C5109"/>
    <w:rsid w:val="002C5544"/>
    <w:rsid w:val="002C5755"/>
    <w:rsid w:val="002C5AE5"/>
    <w:rsid w:val="002C5D5A"/>
    <w:rsid w:val="002C6132"/>
    <w:rsid w:val="002C6380"/>
    <w:rsid w:val="002C6579"/>
    <w:rsid w:val="002C66AC"/>
    <w:rsid w:val="002C6AFE"/>
    <w:rsid w:val="002C6ECD"/>
    <w:rsid w:val="002C7226"/>
    <w:rsid w:val="002C75C0"/>
    <w:rsid w:val="002C7E75"/>
    <w:rsid w:val="002C7EC6"/>
    <w:rsid w:val="002D09E7"/>
    <w:rsid w:val="002D0A28"/>
    <w:rsid w:val="002D0B10"/>
    <w:rsid w:val="002D0BBD"/>
    <w:rsid w:val="002D0C0B"/>
    <w:rsid w:val="002D0CA7"/>
    <w:rsid w:val="002D1154"/>
    <w:rsid w:val="002D18C9"/>
    <w:rsid w:val="002D1C8F"/>
    <w:rsid w:val="002D21DD"/>
    <w:rsid w:val="002D271B"/>
    <w:rsid w:val="002D27B7"/>
    <w:rsid w:val="002D2C43"/>
    <w:rsid w:val="002D2D41"/>
    <w:rsid w:val="002D2D7B"/>
    <w:rsid w:val="002D2ED4"/>
    <w:rsid w:val="002D3139"/>
    <w:rsid w:val="002D355B"/>
    <w:rsid w:val="002D3CC2"/>
    <w:rsid w:val="002D3E12"/>
    <w:rsid w:val="002D3E53"/>
    <w:rsid w:val="002D3F59"/>
    <w:rsid w:val="002D4479"/>
    <w:rsid w:val="002D451C"/>
    <w:rsid w:val="002D4E63"/>
    <w:rsid w:val="002D4F4F"/>
    <w:rsid w:val="002D5390"/>
    <w:rsid w:val="002D5BFC"/>
    <w:rsid w:val="002D5D0F"/>
    <w:rsid w:val="002D65EA"/>
    <w:rsid w:val="002D668C"/>
    <w:rsid w:val="002D6805"/>
    <w:rsid w:val="002D6D59"/>
    <w:rsid w:val="002D6D77"/>
    <w:rsid w:val="002D6E92"/>
    <w:rsid w:val="002D6F4A"/>
    <w:rsid w:val="002D7318"/>
    <w:rsid w:val="002D735D"/>
    <w:rsid w:val="002D7BD6"/>
    <w:rsid w:val="002E08ED"/>
    <w:rsid w:val="002E0FFE"/>
    <w:rsid w:val="002E135E"/>
    <w:rsid w:val="002E17CB"/>
    <w:rsid w:val="002E1854"/>
    <w:rsid w:val="002E1D2E"/>
    <w:rsid w:val="002E2349"/>
    <w:rsid w:val="002E24AB"/>
    <w:rsid w:val="002E2666"/>
    <w:rsid w:val="002E287B"/>
    <w:rsid w:val="002E2C59"/>
    <w:rsid w:val="002E2E53"/>
    <w:rsid w:val="002E374C"/>
    <w:rsid w:val="002E37EB"/>
    <w:rsid w:val="002E3AE7"/>
    <w:rsid w:val="002E3EA8"/>
    <w:rsid w:val="002E4516"/>
    <w:rsid w:val="002E485B"/>
    <w:rsid w:val="002E4D53"/>
    <w:rsid w:val="002E4E20"/>
    <w:rsid w:val="002E56BD"/>
    <w:rsid w:val="002E5750"/>
    <w:rsid w:val="002E58FF"/>
    <w:rsid w:val="002E5E68"/>
    <w:rsid w:val="002E643B"/>
    <w:rsid w:val="002E657D"/>
    <w:rsid w:val="002E6678"/>
    <w:rsid w:val="002E704C"/>
    <w:rsid w:val="002E73AE"/>
    <w:rsid w:val="002E775B"/>
    <w:rsid w:val="002E7824"/>
    <w:rsid w:val="002F01EF"/>
    <w:rsid w:val="002F0275"/>
    <w:rsid w:val="002F075B"/>
    <w:rsid w:val="002F0932"/>
    <w:rsid w:val="002F0F69"/>
    <w:rsid w:val="002F1298"/>
    <w:rsid w:val="002F13AF"/>
    <w:rsid w:val="002F13D6"/>
    <w:rsid w:val="002F1B40"/>
    <w:rsid w:val="002F2236"/>
    <w:rsid w:val="002F22CC"/>
    <w:rsid w:val="002F28AF"/>
    <w:rsid w:val="002F335D"/>
    <w:rsid w:val="002F3475"/>
    <w:rsid w:val="002F4048"/>
    <w:rsid w:val="002F42B0"/>
    <w:rsid w:val="002F4E61"/>
    <w:rsid w:val="002F522A"/>
    <w:rsid w:val="002F5231"/>
    <w:rsid w:val="002F591F"/>
    <w:rsid w:val="002F63D7"/>
    <w:rsid w:val="002F70F4"/>
    <w:rsid w:val="002F71B3"/>
    <w:rsid w:val="002F7406"/>
    <w:rsid w:val="002F7634"/>
    <w:rsid w:val="002F7692"/>
    <w:rsid w:val="002F7A08"/>
    <w:rsid w:val="002F7B2D"/>
    <w:rsid w:val="00300060"/>
    <w:rsid w:val="003000B2"/>
    <w:rsid w:val="003002CA"/>
    <w:rsid w:val="00300913"/>
    <w:rsid w:val="00300B41"/>
    <w:rsid w:val="00300BDE"/>
    <w:rsid w:val="00301045"/>
    <w:rsid w:val="00301542"/>
    <w:rsid w:val="00301A41"/>
    <w:rsid w:val="00301D5E"/>
    <w:rsid w:val="0030244B"/>
    <w:rsid w:val="00302FD4"/>
    <w:rsid w:val="003035BE"/>
    <w:rsid w:val="003036CF"/>
    <w:rsid w:val="00305031"/>
    <w:rsid w:val="00305142"/>
    <w:rsid w:val="0030529F"/>
    <w:rsid w:val="003055F3"/>
    <w:rsid w:val="00305701"/>
    <w:rsid w:val="00306278"/>
    <w:rsid w:val="003063D0"/>
    <w:rsid w:val="003067CB"/>
    <w:rsid w:val="00306E73"/>
    <w:rsid w:val="003070E6"/>
    <w:rsid w:val="003071AA"/>
    <w:rsid w:val="00307273"/>
    <w:rsid w:val="003073B4"/>
    <w:rsid w:val="003074E8"/>
    <w:rsid w:val="00307C58"/>
    <w:rsid w:val="003100C4"/>
    <w:rsid w:val="00310545"/>
    <w:rsid w:val="00310759"/>
    <w:rsid w:val="003108C7"/>
    <w:rsid w:val="00310BF1"/>
    <w:rsid w:val="00311186"/>
    <w:rsid w:val="003114EF"/>
    <w:rsid w:val="00311529"/>
    <w:rsid w:val="00311620"/>
    <w:rsid w:val="00311668"/>
    <w:rsid w:val="003116C0"/>
    <w:rsid w:val="0031173A"/>
    <w:rsid w:val="003118B1"/>
    <w:rsid w:val="00311ABF"/>
    <w:rsid w:val="0031265B"/>
    <w:rsid w:val="00312C23"/>
    <w:rsid w:val="00312E3E"/>
    <w:rsid w:val="00312E93"/>
    <w:rsid w:val="003131F6"/>
    <w:rsid w:val="003141C5"/>
    <w:rsid w:val="0031456E"/>
    <w:rsid w:val="0031490F"/>
    <w:rsid w:val="003149CE"/>
    <w:rsid w:val="00314C83"/>
    <w:rsid w:val="00314EE6"/>
    <w:rsid w:val="00314FCA"/>
    <w:rsid w:val="00315EA6"/>
    <w:rsid w:val="00315FA9"/>
    <w:rsid w:val="00316136"/>
    <w:rsid w:val="00316C22"/>
    <w:rsid w:val="00316DB2"/>
    <w:rsid w:val="0031734B"/>
    <w:rsid w:val="00317432"/>
    <w:rsid w:val="00317478"/>
    <w:rsid w:val="003178D1"/>
    <w:rsid w:val="003179F3"/>
    <w:rsid w:val="003205E8"/>
    <w:rsid w:val="00320644"/>
    <w:rsid w:val="003210C8"/>
    <w:rsid w:val="003214F9"/>
    <w:rsid w:val="003218B8"/>
    <w:rsid w:val="00321B9B"/>
    <w:rsid w:val="003222D4"/>
    <w:rsid w:val="003222E4"/>
    <w:rsid w:val="00322D24"/>
    <w:rsid w:val="00323123"/>
    <w:rsid w:val="003234D2"/>
    <w:rsid w:val="00323BA9"/>
    <w:rsid w:val="00323D67"/>
    <w:rsid w:val="003241F4"/>
    <w:rsid w:val="00324547"/>
    <w:rsid w:val="00324708"/>
    <w:rsid w:val="00324D5D"/>
    <w:rsid w:val="00324E88"/>
    <w:rsid w:val="00325997"/>
    <w:rsid w:val="00325A9B"/>
    <w:rsid w:val="003269D9"/>
    <w:rsid w:val="00327BFE"/>
    <w:rsid w:val="00327CBE"/>
    <w:rsid w:val="00327EA8"/>
    <w:rsid w:val="00327F42"/>
    <w:rsid w:val="00327F6F"/>
    <w:rsid w:val="003302C2"/>
    <w:rsid w:val="003303A4"/>
    <w:rsid w:val="003305E2"/>
    <w:rsid w:val="003305F8"/>
    <w:rsid w:val="00330AEA"/>
    <w:rsid w:val="00330C22"/>
    <w:rsid w:val="00330C26"/>
    <w:rsid w:val="00330E42"/>
    <w:rsid w:val="00331A47"/>
    <w:rsid w:val="00331C40"/>
    <w:rsid w:val="00332170"/>
    <w:rsid w:val="00332558"/>
    <w:rsid w:val="003325EC"/>
    <w:rsid w:val="0033362C"/>
    <w:rsid w:val="003339F5"/>
    <w:rsid w:val="00333A3E"/>
    <w:rsid w:val="00333A97"/>
    <w:rsid w:val="00333DBC"/>
    <w:rsid w:val="00333EBD"/>
    <w:rsid w:val="003340AF"/>
    <w:rsid w:val="00334220"/>
    <w:rsid w:val="00334ABD"/>
    <w:rsid w:val="00334F2E"/>
    <w:rsid w:val="003350A5"/>
    <w:rsid w:val="003351B3"/>
    <w:rsid w:val="003351DB"/>
    <w:rsid w:val="003352F9"/>
    <w:rsid w:val="00335324"/>
    <w:rsid w:val="00335C71"/>
    <w:rsid w:val="00335C80"/>
    <w:rsid w:val="0033609A"/>
    <w:rsid w:val="0033636C"/>
    <w:rsid w:val="003364D7"/>
    <w:rsid w:val="00337398"/>
    <w:rsid w:val="003374ED"/>
    <w:rsid w:val="00337910"/>
    <w:rsid w:val="003379FA"/>
    <w:rsid w:val="003403D4"/>
    <w:rsid w:val="0034061A"/>
    <w:rsid w:val="00340750"/>
    <w:rsid w:val="003408B6"/>
    <w:rsid w:val="00340B76"/>
    <w:rsid w:val="00340BF3"/>
    <w:rsid w:val="0034131F"/>
    <w:rsid w:val="003419AA"/>
    <w:rsid w:val="00342B58"/>
    <w:rsid w:val="00342FE3"/>
    <w:rsid w:val="003434D2"/>
    <w:rsid w:val="0034381C"/>
    <w:rsid w:val="00343BB8"/>
    <w:rsid w:val="00343F73"/>
    <w:rsid w:val="00344197"/>
    <w:rsid w:val="00344672"/>
    <w:rsid w:val="003450F6"/>
    <w:rsid w:val="00345149"/>
    <w:rsid w:val="00345207"/>
    <w:rsid w:val="0034531B"/>
    <w:rsid w:val="003459C5"/>
    <w:rsid w:val="003466DB"/>
    <w:rsid w:val="003468C0"/>
    <w:rsid w:val="00346CC3"/>
    <w:rsid w:val="003470D3"/>
    <w:rsid w:val="003471AB"/>
    <w:rsid w:val="00347204"/>
    <w:rsid w:val="0034762B"/>
    <w:rsid w:val="00350513"/>
    <w:rsid w:val="00350D7A"/>
    <w:rsid w:val="00350F36"/>
    <w:rsid w:val="00351500"/>
    <w:rsid w:val="003516B6"/>
    <w:rsid w:val="003516DB"/>
    <w:rsid w:val="003518F0"/>
    <w:rsid w:val="003519FA"/>
    <w:rsid w:val="00351B53"/>
    <w:rsid w:val="00351BFD"/>
    <w:rsid w:val="00351D42"/>
    <w:rsid w:val="00351F96"/>
    <w:rsid w:val="003521DE"/>
    <w:rsid w:val="003521FD"/>
    <w:rsid w:val="00352552"/>
    <w:rsid w:val="003531C6"/>
    <w:rsid w:val="0035349A"/>
    <w:rsid w:val="003539AD"/>
    <w:rsid w:val="00353EE8"/>
    <w:rsid w:val="00354081"/>
    <w:rsid w:val="003542E8"/>
    <w:rsid w:val="00354550"/>
    <w:rsid w:val="0035497A"/>
    <w:rsid w:val="00354B93"/>
    <w:rsid w:val="00354EB7"/>
    <w:rsid w:val="00355423"/>
    <w:rsid w:val="003556E9"/>
    <w:rsid w:val="003557E5"/>
    <w:rsid w:val="00355967"/>
    <w:rsid w:val="003567EB"/>
    <w:rsid w:val="00356CB7"/>
    <w:rsid w:val="003572EE"/>
    <w:rsid w:val="00357416"/>
    <w:rsid w:val="003575AD"/>
    <w:rsid w:val="003579A9"/>
    <w:rsid w:val="00357ED4"/>
    <w:rsid w:val="0036078D"/>
    <w:rsid w:val="00360C6C"/>
    <w:rsid w:val="003610D4"/>
    <w:rsid w:val="003617A9"/>
    <w:rsid w:val="00361953"/>
    <w:rsid w:val="00361A4C"/>
    <w:rsid w:val="00361D51"/>
    <w:rsid w:val="0036233A"/>
    <w:rsid w:val="003626F3"/>
    <w:rsid w:val="00363305"/>
    <w:rsid w:val="003635DD"/>
    <w:rsid w:val="00363724"/>
    <w:rsid w:val="00363CF6"/>
    <w:rsid w:val="00363FDC"/>
    <w:rsid w:val="0036410D"/>
    <w:rsid w:val="00364173"/>
    <w:rsid w:val="003647A3"/>
    <w:rsid w:val="0036494A"/>
    <w:rsid w:val="0036499B"/>
    <w:rsid w:val="00364DAE"/>
    <w:rsid w:val="003651E6"/>
    <w:rsid w:val="003652A4"/>
    <w:rsid w:val="003654BA"/>
    <w:rsid w:val="00365998"/>
    <w:rsid w:val="00366063"/>
    <w:rsid w:val="003662DB"/>
    <w:rsid w:val="003666E8"/>
    <w:rsid w:val="00366918"/>
    <w:rsid w:val="0036697C"/>
    <w:rsid w:val="00366D7D"/>
    <w:rsid w:val="00367454"/>
    <w:rsid w:val="00367C3D"/>
    <w:rsid w:val="003700C7"/>
    <w:rsid w:val="00370BC2"/>
    <w:rsid w:val="00370D26"/>
    <w:rsid w:val="00370EBD"/>
    <w:rsid w:val="003711D4"/>
    <w:rsid w:val="0037141F"/>
    <w:rsid w:val="003715E5"/>
    <w:rsid w:val="00371918"/>
    <w:rsid w:val="00371EBC"/>
    <w:rsid w:val="00372031"/>
    <w:rsid w:val="00372DFB"/>
    <w:rsid w:val="0037319A"/>
    <w:rsid w:val="0037335F"/>
    <w:rsid w:val="003739CB"/>
    <w:rsid w:val="00373A99"/>
    <w:rsid w:val="00373BC1"/>
    <w:rsid w:val="00373C3B"/>
    <w:rsid w:val="00373DCE"/>
    <w:rsid w:val="00373E9C"/>
    <w:rsid w:val="0037427B"/>
    <w:rsid w:val="00374485"/>
    <w:rsid w:val="00374ABF"/>
    <w:rsid w:val="00374D9C"/>
    <w:rsid w:val="00374EED"/>
    <w:rsid w:val="00375411"/>
    <w:rsid w:val="00375736"/>
    <w:rsid w:val="00375F0B"/>
    <w:rsid w:val="003762BA"/>
    <w:rsid w:val="0037715F"/>
    <w:rsid w:val="0037725C"/>
    <w:rsid w:val="00377455"/>
    <w:rsid w:val="00377839"/>
    <w:rsid w:val="003779E6"/>
    <w:rsid w:val="00377A38"/>
    <w:rsid w:val="003802CE"/>
    <w:rsid w:val="00380345"/>
    <w:rsid w:val="00380376"/>
    <w:rsid w:val="00380BE3"/>
    <w:rsid w:val="003815F7"/>
    <w:rsid w:val="003819BE"/>
    <w:rsid w:val="00381C61"/>
    <w:rsid w:val="00381DF7"/>
    <w:rsid w:val="00381E99"/>
    <w:rsid w:val="00381F63"/>
    <w:rsid w:val="003821C3"/>
    <w:rsid w:val="0038246B"/>
    <w:rsid w:val="00382697"/>
    <w:rsid w:val="00383460"/>
    <w:rsid w:val="00383BC9"/>
    <w:rsid w:val="00383C41"/>
    <w:rsid w:val="0038415E"/>
    <w:rsid w:val="00384225"/>
    <w:rsid w:val="003844C9"/>
    <w:rsid w:val="003848BA"/>
    <w:rsid w:val="00384BCE"/>
    <w:rsid w:val="00384D4B"/>
    <w:rsid w:val="00384D75"/>
    <w:rsid w:val="00385529"/>
    <w:rsid w:val="00385594"/>
    <w:rsid w:val="00385BCC"/>
    <w:rsid w:val="00385F47"/>
    <w:rsid w:val="00386071"/>
    <w:rsid w:val="0038640E"/>
    <w:rsid w:val="00386412"/>
    <w:rsid w:val="003875FF"/>
    <w:rsid w:val="003901AC"/>
    <w:rsid w:val="00390415"/>
    <w:rsid w:val="00390B31"/>
    <w:rsid w:val="00390DDF"/>
    <w:rsid w:val="00390F7E"/>
    <w:rsid w:val="00391813"/>
    <w:rsid w:val="00392F29"/>
    <w:rsid w:val="00393880"/>
    <w:rsid w:val="00393934"/>
    <w:rsid w:val="003939B4"/>
    <w:rsid w:val="00394BD2"/>
    <w:rsid w:val="0039525D"/>
    <w:rsid w:val="003953A1"/>
    <w:rsid w:val="0039549C"/>
    <w:rsid w:val="003956C2"/>
    <w:rsid w:val="003958D6"/>
    <w:rsid w:val="00395AF2"/>
    <w:rsid w:val="00395E9D"/>
    <w:rsid w:val="00396010"/>
    <w:rsid w:val="003960DD"/>
    <w:rsid w:val="00396156"/>
    <w:rsid w:val="003961D7"/>
    <w:rsid w:val="00396770"/>
    <w:rsid w:val="00396C6C"/>
    <w:rsid w:val="00397540"/>
    <w:rsid w:val="0039756F"/>
    <w:rsid w:val="0039759C"/>
    <w:rsid w:val="0039787E"/>
    <w:rsid w:val="00397A10"/>
    <w:rsid w:val="003A00FA"/>
    <w:rsid w:val="003A0A62"/>
    <w:rsid w:val="003A0BDA"/>
    <w:rsid w:val="003A10EE"/>
    <w:rsid w:val="003A135C"/>
    <w:rsid w:val="003A1465"/>
    <w:rsid w:val="003A1DA4"/>
    <w:rsid w:val="003A2030"/>
    <w:rsid w:val="003A21D8"/>
    <w:rsid w:val="003A26FF"/>
    <w:rsid w:val="003A2A3A"/>
    <w:rsid w:val="003A2D79"/>
    <w:rsid w:val="003A2E0E"/>
    <w:rsid w:val="003A3ABC"/>
    <w:rsid w:val="003A3C7B"/>
    <w:rsid w:val="003A4403"/>
    <w:rsid w:val="003A45B6"/>
    <w:rsid w:val="003A478F"/>
    <w:rsid w:val="003A4E4C"/>
    <w:rsid w:val="003A4E82"/>
    <w:rsid w:val="003A51E0"/>
    <w:rsid w:val="003A5291"/>
    <w:rsid w:val="003A557A"/>
    <w:rsid w:val="003A5615"/>
    <w:rsid w:val="003A61F6"/>
    <w:rsid w:val="003A69E4"/>
    <w:rsid w:val="003A6A67"/>
    <w:rsid w:val="003A6BC1"/>
    <w:rsid w:val="003A6C9C"/>
    <w:rsid w:val="003A6FAF"/>
    <w:rsid w:val="003A7CFA"/>
    <w:rsid w:val="003A7F11"/>
    <w:rsid w:val="003B0253"/>
    <w:rsid w:val="003B02D6"/>
    <w:rsid w:val="003B04BE"/>
    <w:rsid w:val="003B08FD"/>
    <w:rsid w:val="003B0C10"/>
    <w:rsid w:val="003B1A0F"/>
    <w:rsid w:val="003B200D"/>
    <w:rsid w:val="003B28E0"/>
    <w:rsid w:val="003B29DA"/>
    <w:rsid w:val="003B2E6F"/>
    <w:rsid w:val="003B2E76"/>
    <w:rsid w:val="003B31DB"/>
    <w:rsid w:val="003B3DDF"/>
    <w:rsid w:val="003B42BC"/>
    <w:rsid w:val="003B44BC"/>
    <w:rsid w:val="003B4675"/>
    <w:rsid w:val="003B562C"/>
    <w:rsid w:val="003B5CCC"/>
    <w:rsid w:val="003B5E8C"/>
    <w:rsid w:val="003B691D"/>
    <w:rsid w:val="003B6ADD"/>
    <w:rsid w:val="003B732E"/>
    <w:rsid w:val="003B7469"/>
    <w:rsid w:val="003B785A"/>
    <w:rsid w:val="003B7D2D"/>
    <w:rsid w:val="003B7DFA"/>
    <w:rsid w:val="003C06CC"/>
    <w:rsid w:val="003C094A"/>
    <w:rsid w:val="003C1928"/>
    <w:rsid w:val="003C19AC"/>
    <w:rsid w:val="003C1F2A"/>
    <w:rsid w:val="003C2697"/>
    <w:rsid w:val="003C2857"/>
    <w:rsid w:val="003C2C29"/>
    <w:rsid w:val="003C2D2C"/>
    <w:rsid w:val="003C3036"/>
    <w:rsid w:val="003C385F"/>
    <w:rsid w:val="003C3D85"/>
    <w:rsid w:val="003C40C3"/>
    <w:rsid w:val="003C4500"/>
    <w:rsid w:val="003C4D71"/>
    <w:rsid w:val="003C5AA9"/>
    <w:rsid w:val="003C5ED4"/>
    <w:rsid w:val="003C6B10"/>
    <w:rsid w:val="003C6D2A"/>
    <w:rsid w:val="003C6EDC"/>
    <w:rsid w:val="003C6F8F"/>
    <w:rsid w:val="003C711D"/>
    <w:rsid w:val="003C73C5"/>
    <w:rsid w:val="003C73DF"/>
    <w:rsid w:val="003C75C8"/>
    <w:rsid w:val="003C7615"/>
    <w:rsid w:val="003C7889"/>
    <w:rsid w:val="003C7A83"/>
    <w:rsid w:val="003C7DB6"/>
    <w:rsid w:val="003D08E3"/>
    <w:rsid w:val="003D0E52"/>
    <w:rsid w:val="003D12ED"/>
    <w:rsid w:val="003D139D"/>
    <w:rsid w:val="003D16B0"/>
    <w:rsid w:val="003D1B3B"/>
    <w:rsid w:val="003D1DE9"/>
    <w:rsid w:val="003D1FB6"/>
    <w:rsid w:val="003D1FD6"/>
    <w:rsid w:val="003D27EA"/>
    <w:rsid w:val="003D3021"/>
    <w:rsid w:val="003D33B7"/>
    <w:rsid w:val="003D34E1"/>
    <w:rsid w:val="003D365E"/>
    <w:rsid w:val="003D4046"/>
    <w:rsid w:val="003D40FD"/>
    <w:rsid w:val="003D44F2"/>
    <w:rsid w:val="003D4D2C"/>
    <w:rsid w:val="003D50C3"/>
    <w:rsid w:val="003D518B"/>
    <w:rsid w:val="003D53E1"/>
    <w:rsid w:val="003D5E54"/>
    <w:rsid w:val="003D5FDD"/>
    <w:rsid w:val="003D6474"/>
    <w:rsid w:val="003D6476"/>
    <w:rsid w:val="003D6734"/>
    <w:rsid w:val="003D692A"/>
    <w:rsid w:val="003D725F"/>
    <w:rsid w:val="003D73B9"/>
    <w:rsid w:val="003D7603"/>
    <w:rsid w:val="003D7A73"/>
    <w:rsid w:val="003D7D16"/>
    <w:rsid w:val="003E056F"/>
    <w:rsid w:val="003E0A10"/>
    <w:rsid w:val="003E1003"/>
    <w:rsid w:val="003E18A9"/>
    <w:rsid w:val="003E1B23"/>
    <w:rsid w:val="003E1D1F"/>
    <w:rsid w:val="003E2DE5"/>
    <w:rsid w:val="003E32A7"/>
    <w:rsid w:val="003E3374"/>
    <w:rsid w:val="003E353D"/>
    <w:rsid w:val="003E391A"/>
    <w:rsid w:val="003E4400"/>
    <w:rsid w:val="003E4898"/>
    <w:rsid w:val="003E51DA"/>
    <w:rsid w:val="003E540C"/>
    <w:rsid w:val="003E573B"/>
    <w:rsid w:val="003E5A10"/>
    <w:rsid w:val="003E5D9F"/>
    <w:rsid w:val="003E6107"/>
    <w:rsid w:val="003E71FC"/>
    <w:rsid w:val="003E73D7"/>
    <w:rsid w:val="003E77E5"/>
    <w:rsid w:val="003E7BBC"/>
    <w:rsid w:val="003F0032"/>
    <w:rsid w:val="003F011B"/>
    <w:rsid w:val="003F029A"/>
    <w:rsid w:val="003F039F"/>
    <w:rsid w:val="003F098C"/>
    <w:rsid w:val="003F0F13"/>
    <w:rsid w:val="003F1523"/>
    <w:rsid w:val="003F1D85"/>
    <w:rsid w:val="003F1E82"/>
    <w:rsid w:val="003F2AC0"/>
    <w:rsid w:val="003F30DB"/>
    <w:rsid w:val="003F3611"/>
    <w:rsid w:val="003F396C"/>
    <w:rsid w:val="003F4414"/>
    <w:rsid w:val="003F4491"/>
    <w:rsid w:val="003F4C32"/>
    <w:rsid w:val="003F4FDA"/>
    <w:rsid w:val="003F5273"/>
    <w:rsid w:val="003F53DA"/>
    <w:rsid w:val="003F55F9"/>
    <w:rsid w:val="003F5A90"/>
    <w:rsid w:val="003F5F52"/>
    <w:rsid w:val="003F68AA"/>
    <w:rsid w:val="003F6E0C"/>
    <w:rsid w:val="003F6FE9"/>
    <w:rsid w:val="004000E2"/>
    <w:rsid w:val="004001C8"/>
    <w:rsid w:val="004001D5"/>
    <w:rsid w:val="00400203"/>
    <w:rsid w:val="0040025B"/>
    <w:rsid w:val="00400284"/>
    <w:rsid w:val="00400518"/>
    <w:rsid w:val="0040093C"/>
    <w:rsid w:val="00400BBC"/>
    <w:rsid w:val="004011A1"/>
    <w:rsid w:val="00401BF2"/>
    <w:rsid w:val="00401EFF"/>
    <w:rsid w:val="00401FE0"/>
    <w:rsid w:val="0040235D"/>
    <w:rsid w:val="00402848"/>
    <w:rsid w:val="00402BDA"/>
    <w:rsid w:val="00402DAB"/>
    <w:rsid w:val="00403427"/>
    <w:rsid w:val="004039E1"/>
    <w:rsid w:val="00403EDE"/>
    <w:rsid w:val="00403F59"/>
    <w:rsid w:val="0040402A"/>
    <w:rsid w:val="00404063"/>
    <w:rsid w:val="004045C4"/>
    <w:rsid w:val="00404C91"/>
    <w:rsid w:val="00405076"/>
    <w:rsid w:val="004052B9"/>
    <w:rsid w:val="00405413"/>
    <w:rsid w:val="00405854"/>
    <w:rsid w:val="00405A1E"/>
    <w:rsid w:val="00405DB0"/>
    <w:rsid w:val="00405E1E"/>
    <w:rsid w:val="00406000"/>
    <w:rsid w:val="0040612E"/>
    <w:rsid w:val="004061BA"/>
    <w:rsid w:val="0040669B"/>
    <w:rsid w:val="00407608"/>
    <w:rsid w:val="00410181"/>
    <w:rsid w:val="00410B12"/>
    <w:rsid w:val="00411123"/>
    <w:rsid w:val="004111EF"/>
    <w:rsid w:val="00411A3B"/>
    <w:rsid w:val="00411A78"/>
    <w:rsid w:val="00412281"/>
    <w:rsid w:val="004122D9"/>
    <w:rsid w:val="004123B5"/>
    <w:rsid w:val="004126BA"/>
    <w:rsid w:val="004133E7"/>
    <w:rsid w:val="00413C8A"/>
    <w:rsid w:val="00413E81"/>
    <w:rsid w:val="0041433B"/>
    <w:rsid w:val="0041519A"/>
    <w:rsid w:val="00415796"/>
    <w:rsid w:val="00415999"/>
    <w:rsid w:val="00415BC8"/>
    <w:rsid w:val="00415EDF"/>
    <w:rsid w:val="00416709"/>
    <w:rsid w:val="004170DE"/>
    <w:rsid w:val="00417415"/>
    <w:rsid w:val="0041780C"/>
    <w:rsid w:val="00417ABF"/>
    <w:rsid w:val="00417D65"/>
    <w:rsid w:val="00420439"/>
    <w:rsid w:val="004218FD"/>
    <w:rsid w:val="00421934"/>
    <w:rsid w:val="00421BF1"/>
    <w:rsid w:val="00421DED"/>
    <w:rsid w:val="0042237E"/>
    <w:rsid w:val="00422604"/>
    <w:rsid w:val="004228AA"/>
    <w:rsid w:val="00422BEE"/>
    <w:rsid w:val="00423100"/>
    <w:rsid w:val="0042345D"/>
    <w:rsid w:val="00423854"/>
    <w:rsid w:val="00423BAC"/>
    <w:rsid w:val="00423DAE"/>
    <w:rsid w:val="00424666"/>
    <w:rsid w:val="004248DF"/>
    <w:rsid w:val="004248F5"/>
    <w:rsid w:val="00424AB4"/>
    <w:rsid w:val="00424AEF"/>
    <w:rsid w:val="00424BB8"/>
    <w:rsid w:val="0042525C"/>
    <w:rsid w:val="004254A6"/>
    <w:rsid w:val="00425987"/>
    <w:rsid w:val="00425ACA"/>
    <w:rsid w:val="00425DF0"/>
    <w:rsid w:val="00426863"/>
    <w:rsid w:val="00426E0B"/>
    <w:rsid w:val="004272BA"/>
    <w:rsid w:val="00427301"/>
    <w:rsid w:val="00427341"/>
    <w:rsid w:val="004302DE"/>
    <w:rsid w:val="004307AF"/>
    <w:rsid w:val="004307F3"/>
    <w:rsid w:val="00430AB2"/>
    <w:rsid w:val="00430B14"/>
    <w:rsid w:val="00430CFD"/>
    <w:rsid w:val="00430D28"/>
    <w:rsid w:val="00431054"/>
    <w:rsid w:val="0043151D"/>
    <w:rsid w:val="00431860"/>
    <w:rsid w:val="00431F33"/>
    <w:rsid w:val="00432044"/>
    <w:rsid w:val="004322CF"/>
    <w:rsid w:val="004324C9"/>
    <w:rsid w:val="004328CD"/>
    <w:rsid w:val="00432BCB"/>
    <w:rsid w:val="00432C60"/>
    <w:rsid w:val="00433038"/>
    <w:rsid w:val="004331B5"/>
    <w:rsid w:val="00433295"/>
    <w:rsid w:val="004335E7"/>
    <w:rsid w:val="0043370F"/>
    <w:rsid w:val="00433F78"/>
    <w:rsid w:val="0043415B"/>
    <w:rsid w:val="00434442"/>
    <w:rsid w:val="0043473C"/>
    <w:rsid w:val="00434F8E"/>
    <w:rsid w:val="0043551F"/>
    <w:rsid w:val="00435B30"/>
    <w:rsid w:val="00435ED3"/>
    <w:rsid w:val="0043616E"/>
    <w:rsid w:val="004362C6"/>
    <w:rsid w:val="00436EF8"/>
    <w:rsid w:val="00437045"/>
    <w:rsid w:val="004371AE"/>
    <w:rsid w:val="0043747A"/>
    <w:rsid w:val="00437485"/>
    <w:rsid w:val="00437492"/>
    <w:rsid w:val="0043768E"/>
    <w:rsid w:val="0043781B"/>
    <w:rsid w:val="0043798C"/>
    <w:rsid w:val="004409E0"/>
    <w:rsid w:val="00440BED"/>
    <w:rsid w:val="00440C97"/>
    <w:rsid w:val="00440F51"/>
    <w:rsid w:val="00440FDD"/>
    <w:rsid w:val="00441307"/>
    <w:rsid w:val="004417E3"/>
    <w:rsid w:val="004418F1"/>
    <w:rsid w:val="00442610"/>
    <w:rsid w:val="0044266F"/>
    <w:rsid w:val="00442C2A"/>
    <w:rsid w:val="00442E66"/>
    <w:rsid w:val="00442EE0"/>
    <w:rsid w:val="00443097"/>
    <w:rsid w:val="004430E0"/>
    <w:rsid w:val="00443209"/>
    <w:rsid w:val="0044328C"/>
    <w:rsid w:val="004433E2"/>
    <w:rsid w:val="00443750"/>
    <w:rsid w:val="00445306"/>
    <w:rsid w:val="0044537A"/>
    <w:rsid w:val="0044579D"/>
    <w:rsid w:val="0044594D"/>
    <w:rsid w:val="00445C29"/>
    <w:rsid w:val="00446F61"/>
    <w:rsid w:val="00447380"/>
    <w:rsid w:val="00447E6A"/>
    <w:rsid w:val="00450281"/>
    <w:rsid w:val="00450305"/>
    <w:rsid w:val="00450BCD"/>
    <w:rsid w:val="00450E81"/>
    <w:rsid w:val="0045148E"/>
    <w:rsid w:val="0045166C"/>
    <w:rsid w:val="00451986"/>
    <w:rsid w:val="004521C0"/>
    <w:rsid w:val="0045229D"/>
    <w:rsid w:val="0045264A"/>
    <w:rsid w:val="0045284A"/>
    <w:rsid w:val="00452A35"/>
    <w:rsid w:val="00452C91"/>
    <w:rsid w:val="00453064"/>
    <w:rsid w:val="00453EEA"/>
    <w:rsid w:val="0045409C"/>
    <w:rsid w:val="004542DE"/>
    <w:rsid w:val="00454B1E"/>
    <w:rsid w:val="0045515F"/>
    <w:rsid w:val="004552AC"/>
    <w:rsid w:val="004557EE"/>
    <w:rsid w:val="00455A0B"/>
    <w:rsid w:val="00455E26"/>
    <w:rsid w:val="0045652B"/>
    <w:rsid w:val="00456A3C"/>
    <w:rsid w:val="00456CC5"/>
    <w:rsid w:val="004573C4"/>
    <w:rsid w:val="00457690"/>
    <w:rsid w:val="00457AD9"/>
    <w:rsid w:val="00457EDC"/>
    <w:rsid w:val="00460255"/>
    <w:rsid w:val="00460973"/>
    <w:rsid w:val="00460982"/>
    <w:rsid w:val="00460BF4"/>
    <w:rsid w:val="00460F29"/>
    <w:rsid w:val="0046138B"/>
    <w:rsid w:val="004613F9"/>
    <w:rsid w:val="00461BC0"/>
    <w:rsid w:val="00461BD5"/>
    <w:rsid w:val="00461CA7"/>
    <w:rsid w:val="004620A1"/>
    <w:rsid w:val="00462394"/>
    <w:rsid w:val="00462414"/>
    <w:rsid w:val="00462452"/>
    <w:rsid w:val="004627AB"/>
    <w:rsid w:val="00462AB5"/>
    <w:rsid w:val="00462C25"/>
    <w:rsid w:val="00462EC9"/>
    <w:rsid w:val="004636AD"/>
    <w:rsid w:val="004639E1"/>
    <w:rsid w:val="0046411D"/>
    <w:rsid w:val="00464718"/>
    <w:rsid w:val="0046476E"/>
    <w:rsid w:val="0046502C"/>
    <w:rsid w:val="00465067"/>
    <w:rsid w:val="00465172"/>
    <w:rsid w:val="00465187"/>
    <w:rsid w:val="00465515"/>
    <w:rsid w:val="00465960"/>
    <w:rsid w:val="00465BCB"/>
    <w:rsid w:val="004660A5"/>
    <w:rsid w:val="00466268"/>
    <w:rsid w:val="00466DA1"/>
    <w:rsid w:val="004679AE"/>
    <w:rsid w:val="00467C36"/>
    <w:rsid w:val="00467D21"/>
    <w:rsid w:val="00467E54"/>
    <w:rsid w:val="00470023"/>
    <w:rsid w:val="0047005E"/>
    <w:rsid w:val="004704D0"/>
    <w:rsid w:val="00470813"/>
    <w:rsid w:val="00471AFE"/>
    <w:rsid w:val="0047294F"/>
    <w:rsid w:val="00472D03"/>
    <w:rsid w:val="004730D8"/>
    <w:rsid w:val="00474013"/>
    <w:rsid w:val="0047437B"/>
    <w:rsid w:val="004743DD"/>
    <w:rsid w:val="004747E6"/>
    <w:rsid w:val="00474929"/>
    <w:rsid w:val="00474B33"/>
    <w:rsid w:val="00474B38"/>
    <w:rsid w:val="00474E8A"/>
    <w:rsid w:val="004750E7"/>
    <w:rsid w:val="0047527A"/>
    <w:rsid w:val="00475428"/>
    <w:rsid w:val="004759C4"/>
    <w:rsid w:val="0047613E"/>
    <w:rsid w:val="00477A0B"/>
    <w:rsid w:val="00480327"/>
    <w:rsid w:val="0048092E"/>
    <w:rsid w:val="00480D86"/>
    <w:rsid w:val="00480FA1"/>
    <w:rsid w:val="00481402"/>
    <w:rsid w:val="00481412"/>
    <w:rsid w:val="0048146E"/>
    <w:rsid w:val="004814A6"/>
    <w:rsid w:val="00481694"/>
    <w:rsid w:val="004816A8"/>
    <w:rsid w:val="004819E2"/>
    <w:rsid w:val="00482287"/>
    <w:rsid w:val="00482323"/>
    <w:rsid w:val="00482437"/>
    <w:rsid w:val="00482780"/>
    <w:rsid w:val="00482D23"/>
    <w:rsid w:val="00482E2E"/>
    <w:rsid w:val="004835B0"/>
    <w:rsid w:val="00484278"/>
    <w:rsid w:val="00484D91"/>
    <w:rsid w:val="00484EC8"/>
    <w:rsid w:val="004850E6"/>
    <w:rsid w:val="00485699"/>
    <w:rsid w:val="004860C5"/>
    <w:rsid w:val="004861CD"/>
    <w:rsid w:val="004863D7"/>
    <w:rsid w:val="004868A0"/>
    <w:rsid w:val="004871D2"/>
    <w:rsid w:val="004877E3"/>
    <w:rsid w:val="00487B4F"/>
    <w:rsid w:val="00490C55"/>
    <w:rsid w:val="004911D7"/>
    <w:rsid w:val="0049152C"/>
    <w:rsid w:val="00491E5B"/>
    <w:rsid w:val="00492E65"/>
    <w:rsid w:val="00493032"/>
    <w:rsid w:val="0049319E"/>
    <w:rsid w:val="004931C2"/>
    <w:rsid w:val="004940D6"/>
    <w:rsid w:val="00494534"/>
    <w:rsid w:val="00494771"/>
    <w:rsid w:val="004949D7"/>
    <w:rsid w:val="00494F19"/>
    <w:rsid w:val="00495BA2"/>
    <w:rsid w:val="004967A5"/>
    <w:rsid w:val="00496B2B"/>
    <w:rsid w:val="004A022A"/>
    <w:rsid w:val="004A0C20"/>
    <w:rsid w:val="004A0EE9"/>
    <w:rsid w:val="004A11DB"/>
    <w:rsid w:val="004A12E8"/>
    <w:rsid w:val="004A14EC"/>
    <w:rsid w:val="004A1BC3"/>
    <w:rsid w:val="004A1C41"/>
    <w:rsid w:val="004A1D3C"/>
    <w:rsid w:val="004A1FA2"/>
    <w:rsid w:val="004A23AA"/>
    <w:rsid w:val="004A259F"/>
    <w:rsid w:val="004A2675"/>
    <w:rsid w:val="004A2C79"/>
    <w:rsid w:val="004A34E6"/>
    <w:rsid w:val="004A363D"/>
    <w:rsid w:val="004A3F20"/>
    <w:rsid w:val="004A3F53"/>
    <w:rsid w:val="004A40BD"/>
    <w:rsid w:val="004A46BE"/>
    <w:rsid w:val="004A48A3"/>
    <w:rsid w:val="004A59C8"/>
    <w:rsid w:val="004A66E1"/>
    <w:rsid w:val="004A67CF"/>
    <w:rsid w:val="004A717A"/>
    <w:rsid w:val="004A7878"/>
    <w:rsid w:val="004B0108"/>
    <w:rsid w:val="004B01B4"/>
    <w:rsid w:val="004B0734"/>
    <w:rsid w:val="004B099D"/>
    <w:rsid w:val="004B0CDB"/>
    <w:rsid w:val="004B13D5"/>
    <w:rsid w:val="004B1F28"/>
    <w:rsid w:val="004B2216"/>
    <w:rsid w:val="004B25BB"/>
    <w:rsid w:val="004B3108"/>
    <w:rsid w:val="004B3160"/>
    <w:rsid w:val="004B3BFC"/>
    <w:rsid w:val="004B3D1A"/>
    <w:rsid w:val="004B3EC7"/>
    <w:rsid w:val="004B4026"/>
    <w:rsid w:val="004B4445"/>
    <w:rsid w:val="004B4634"/>
    <w:rsid w:val="004B4D41"/>
    <w:rsid w:val="004B578D"/>
    <w:rsid w:val="004B608B"/>
    <w:rsid w:val="004B6151"/>
    <w:rsid w:val="004B63EE"/>
    <w:rsid w:val="004B657F"/>
    <w:rsid w:val="004B66C9"/>
    <w:rsid w:val="004B6762"/>
    <w:rsid w:val="004B676D"/>
    <w:rsid w:val="004B6AD6"/>
    <w:rsid w:val="004B6FE7"/>
    <w:rsid w:val="004B76B1"/>
    <w:rsid w:val="004B76E4"/>
    <w:rsid w:val="004B7746"/>
    <w:rsid w:val="004B7919"/>
    <w:rsid w:val="004C0251"/>
    <w:rsid w:val="004C0494"/>
    <w:rsid w:val="004C08A7"/>
    <w:rsid w:val="004C0FA8"/>
    <w:rsid w:val="004C14AC"/>
    <w:rsid w:val="004C2CB5"/>
    <w:rsid w:val="004C2D41"/>
    <w:rsid w:val="004C3031"/>
    <w:rsid w:val="004C3418"/>
    <w:rsid w:val="004C37DF"/>
    <w:rsid w:val="004C3A1A"/>
    <w:rsid w:val="004C3D50"/>
    <w:rsid w:val="004C3EA2"/>
    <w:rsid w:val="004C4190"/>
    <w:rsid w:val="004C459E"/>
    <w:rsid w:val="004C470D"/>
    <w:rsid w:val="004C4E1B"/>
    <w:rsid w:val="004C5090"/>
    <w:rsid w:val="004C5164"/>
    <w:rsid w:val="004C581D"/>
    <w:rsid w:val="004C5887"/>
    <w:rsid w:val="004C5BA9"/>
    <w:rsid w:val="004C5C66"/>
    <w:rsid w:val="004C6581"/>
    <w:rsid w:val="004C748E"/>
    <w:rsid w:val="004C7E26"/>
    <w:rsid w:val="004C7FD6"/>
    <w:rsid w:val="004D006C"/>
    <w:rsid w:val="004D1161"/>
    <w:rsid w:val="004D128B"/>
    <w:rsid w:val="004D1720"/>
    <w:rsid w:val="004D1745"/>
    <w:rsid w:val="004D17F0"/>
    <w:rsid w:val="004D1DD4"/>
    <w:rsid w:val="004D2355"/>
    <w:rsid w:val="004D2445"/>
    <w:rsid w:val="004D2647"/>
    <w:rsid w:val="004D285E"/>
    <w:rsid w:val="004D3D78"/>
    <w:rsid w:val="004D482A"/>
    <w:rsid w:val="004D4ED7"/>
    <w:rsid w:val="004D4FAC"/>
    <w:rsid w:val="004D50B8"/>
    <w:rsid w:val="004D567B"/>
    <w:rsid w:val="004D5E37"/>
    <w:rsid w:val="004D6486"/>
    <w:rsid w:val="004D75D2"/>
    <w:rsid w:val="004D77A7"/>
    <w:rsid w:val="004D7DC1"/>
    <w:rsid w:val="004E0B21"/>
    <w:rsid w:val="004E0C36"/>
    <w:rsid w:val="004E1003"/>
    <w:rsid w:val="004E1189"/>
    <w:rsid w:val="004E1670"/>
    <w:rsid w:val="004E231A"/>
    <w:rsid w:val="004E2391"/>
    <w:rsid w:val="004E2404"/>
    <w:rsid w:val="004E24C9"/>
    <w:rsid w:val="004E28CF"/>
    <w:rsid w:val="004E2E98"/>
    <w:rsid w:val="004E3076"/>
    <w:rsid w:val="004E342C"/>
    <w:rsid w:val="004E34BF"/>
    <w:rsid w:val="004E41B8"/>
    <w:rsid w:val="004E466C"/>
    <w:rsid w:val="004E47EF"/>
    <w:rsid w:val="004E4A86"/>
    <w:rsid w:val="004E5243"/>
    <w:rsid w:val="004E530C"/>
    <w:rsid w:val="004E57D3"/>
    <w:rsid w:val="004E593E"/>
    <w:rsid w:val="004E5A2B"/>
    <w:rsid w:val="004E6143"/>
    <w:rsid w:val="004E67C0"/>
    <w:rsid w:val="004E700E"/>
    <w:rsid w:val="004E7175"/>
    <w:rsid w:val="004E7183"/>
    <w:rsid w:val="004E7E24"/>
    <w:rsid w:val="004F0137"/>
    <w:rsid w:val="004F02EA"/>
    <w:rsid w:val="004F03D6"/>
    <w:rsid w:val="004F03E9"/>
    <w:rsid w:val="004F0B79"/>
    <w:rsid w:val="004F0F0F"/>
    <w:rsid w:val="004F10EC"/>
    <w:rsid w:val="004F2FA9"/>
    <w:rsid w:val="004F36E7"/>
    <w:rsid w:val="004F386A"/>
    <w:rsid w:val="004F3B95"/>
    <w:rsid w:val="004F40C2"/>
    <w:rsid w:val="004F43F3"/>
    <w:rsid w:val="004F47E4"/>
    <w:rsid w:val="004F4E70"/>
    <w:rsid w:val="004F549A"/>
    <w:rsid w:val="004F570E"/>
    <w:rsid w:val="004F5793"/>
    <w:rsid w:val="004F5B37"/>
    <w:rsid w:val="004F5BC1"/>
    <w:rsid w:val="004F5CF1"/>
    <w:rsid w:val="004F5DA6"/>
    <w:rsid w:val="004F6382"/>
    <w:rsid w:val="004F6384"/>
    <w:rsid w:val="004F6533"/>
    <w:rsid w:val="004F699C"/>
    <w:rsid w:val="004F6E4D"/>
    <w:rsid w:val="004F70D1"/>
    <w:rsid w:val="004F74AC"/>
    <w:rsid w:val="004F79A2"/>
    <w:rsid w:val="004F79E9"/>
    <w:rsid w:val="004F7E7F"/>
    <w:rsid w:val="00500528"/>
    <w:rsid w:val="005007BC"/>
    <w:rsid w:val="005008EB"/>
    <w:rsid w:val="005009BD"/>
    <w:rsid w:val="00500DD0"/>
    <w:rsid w:val="00500DFF"/>
    <w:rsid w:val="00500E83"/>
    <w:rsid w:val="00501467"/>
    <w:rsid w:val="005014A3"/>
    <w:rsid w:val="0050208D"/>
    <w:rsid w:val="00502937"/>
    <w:rsid w:val="00502A25"/>
    <w:rsid w:val="00502CD0"/>
    <w:rsid w:val="005034C2"/>
    <w:rsid w:val="00503624"/>
    <w:rsid w:val="005039A9"/>
    <w:rsid w:val="00503E51"/>
    <w:rsid w:val="005047D7"/>
    <w:rsid w:val="005048BB"/>
    <w:rsid w:val="00504B6A"/>
    <w:rsid w:val="00505302"/>
    <w:rsid w:val="0050595B"/>
    <w:rsid w:val="00506593"/>
    <w:rsid w:val="00506B8B"/>
    <w:rsid w:val="00506ED5"/>
    <w:rsid w:val="0050745F"/>
    <w:rsid w:val="00507E4B"/>
    <w:rsid w:val="00507F66"/>
    <w:rsid w:val="005102D8"/>
    <w:rsid w:val="005107F9"/>
    <w:rsid w:val="005108B4"/>
    <w:rsid w:val="00510B2E"/>
    <w:rsid w:val="005110A6"/>
    <w:rsid w:val="005110CF"/>
    <w:rsid w:val="00511163"/>
    <w:rsid w:val="0051153A"/>
    <w:rsid w:val="00511E0E"/>
    <w:rsid w:val="00511E15"/>
    <w:rsid w:val="005124DD"/>
    <w:rsid w:val="005126FC"/>
    <w:rsid w:val="005128D8"/>
    <w:rsid w:val="00512A39"/>
    <w:rsid w:val="00512C68"/>
    <w:rsid w:val="00513297"/>
    <w:rsid w:val="00513AFE"/>
    <w:rsid w:val="00515146"/>
    <w:rsid w:val="00515234"/>
    <w:rsid w:val="00515585"/>
    <w:rsid w:val="00515B6A"/>
    <w:rsid w:val="005161BA"/>
    <w:rsid w:val="00516C2D"/>
    <w:rsid w:val="00516FD6"/>
    <w:rsid w:val="00520AC7"/>
    <w:rsid w:val="00520F12"/>
    <w:rsid w:val="00521514"/>
    <w:rsid w:val="00521700"/>
    <w:rsid w:val="00521F78"/>
    <w:rsid w:val="005222F2"/>
    <w:rsid w:val="00522453"/>
    <w:rsid w:val="00522979"/>
    <w:rsid w:val="00522A4F"/>
    <w:rsid w:val="00522F4C"/>
    <w:rsid w:val="005230C7"/>
    <w:rsid w:val="005234CC"/>
    <w:rsid w:val="00523621"/>
    <w:rsid w:val="00523E06"/>
    <w:rsid w:val="00524B70"/>
    <w:rsid w:val="00524D23"/>
    <w:rsid w:val="0052518C"/>
    <w:rsid w:val="0052534E"/>
    <w:rsid w:val="00525593"/>
    <w:rsid w:val="00525793"/>
    <w:rsid w:val="00525C23"/>
    <w:rsid w:val="00525C6F"/>
    <w:rsid w:val="00525DE4"/>
    <w:rsid w:val="00525F04"/>
    <w:rsid w:val="005261A0"/>
    <w:rsid w:val="0052677F"/>
    <w:rsid w:val="00526C38"/>
    <w:rsid w:val="00527367"/>
    <w:rsid w:val="00527369"/>
    <w:rsid w:val="00527540"/>
    <w:rsid w:val="005276F3"/>
    <w:rsid w:val="00527863"/>
    <w:rsid w:val="00527A3A"/>
    <w:rsid w:val="00527C54"/>
    <w:rsid w:val="0053005F"/>
    <w:rsid w:val="00530F0E"/>
    <w:rsid w:val="0053121B"/>
    <w:rsid w:val="00531B68"/>
    <w:rsid w:val="005330B3"/>
    <w:rsid w:val="005338FD"/>
    <w:rsid w:val="00533B31"/>
    <w:rsid w:val="00533B89"/>
    <w:rsid w:val="00534170"/>
    <w:rsid w:val="005347D8"/>
    <w:rsid w:val="00534920"/>
    <w:rsid w:val="00534D55"/>
    <w:rsid w:val="005351D6"/>
    <w:rsid w:val="00535A96"/>
    <w:rsid w:val="00536031"/>
    <w:rsid w:val="005365FB"/>
    <w:rsid w:val="00536674"/>
    <w:rsid w:val="005366B0"/>
    <w:rsid w:val="00536AE3"/>
    <w:rsid w:val="005374C9"/>
    <w:rsid w:val="005379AA"/>
    <w:rsid w:val="00537A04"/>
    <w:rsid w:val="00537B25"/>
    <w:rsid w:val="00537CE5"/>
    <w:rsid w:val="00540007"/>
    <w:rsid w:val="0054001E"/>
    <w:rsid w:val="0054012C"/>
    <w:rsid w:val="0054051E"/>
    <w:rsid w:val="005409E7"/>
    <w:rsid w:val="00540D50"/>
    <w:rsid w:val="00540E7E"/>
    <w:rsid w:val="00541040"/>
    <w:rsid w:val="005410BB"/>
    <w:rsid w:val="005413EA"/>
    <w:rsid w:val="00541433"/>
    <w:rsid w:val="0054148D"/>
    <w:rsid w:val="00541631"/>
    <w:rsid w:val="005416EE"/>
    <w:rsid w:val="00542229"/>
    <w:rsid w:val="00542676"/>
    <w:rsid w:val="0054277D"/>
    <w:rsid w:val="005429D3"/>
    <w:rsid w:val="00542CB2"/>
    <w:rsid w:val="00542D35"/>
    <w:rsid w:val="0054303E"/>
    <w:rsid w:val="005430F9"/>
    <w:rsid w:val="00543510"/>
    <w:rsid w:val="00543A02"/>
    <w:rsid w:val="00543B50"/>
    <w:rsid w:val="00544097"/>
    <w:rsid w:val="0054417A"/>
    <w:rsid w:val="005441F5"/>
    <w:rsid w:val="0054420E"/>
    <w:rsid w:val="0054448E"/>
    <w:rsid w:val="0054464E"/>
    <w:rsid w:val="00544885"/>
    <w:rsid w:val="005449CA"/>
    <w:rsid w:val="005451A9"/>
    <w:rsid w:val="00545A39"/>
    <w:rsid w:val="00545FB3"/>
    <w:rsid w:val="0054614E"/>
    <w:rsid w:val="005465C1"/>
    <w:rsid w:val="00546D54"/>
    <w:rsid w:val="00546E08"/>
    <w:rsid w:val="005474CB"/>
    <w:rsid w:val="005476DE"/>
    <w:rsid w:val="00547848"/>
    <w:rsid w:val="00547A11"/>
    <w:rsid w:val="00547E08"/>
    <w:rsid w:val="00550220"/>
    <w:rsid w:val="00550463"/>
    <w:rsid w:val="005506F8"/>
    <w:rsid w:val="00550ACC"/>
    <w:rsid w:val="00550AE9"/>
    <w:rsid w:val="00551570"/>
    <w:rsid w:val="0055163F"/>
    <w:rsid w:val="00551CA7"/>
    <w:rsid w:val="00551EAD"/>
    <w:rsid w:val="0055200E"/>
    <w:rsid w:val="005520BF"/>
    <w:rsid w:val="005520C0"/>
    <w:rsid w:val="0055229C"/>
    <w:rsid w:val="00552BF7"/>
    <w:rsid w:val="00552E4E"/>
    <w:rsid w:val="00553448"/>
    <w:rsid w:val="00553A5F"/>
    <w:rsid w:val="0055406F"/>
    <w:rsid w:val="00554CC9"/>
    <w:rsid w:val="00554FCD"/>
    <w:rsid w:val="00555161"/>
    <w:rsid w:val="005558E6"/>
    <w:rsid w:val="00555FE1"/>
    <w:rsid w:val="005561E2"/>
    <w:rsid w:val="0055639C"/>
    <w:rsid w:val="005567B6"/>
    <w:rsid w:val="005568AC"/>
    <w:rsid w:val="00556963"/>
    <w:rsid w:val="00556BFE"/>
    <w:rsid w:val="00556D0A"/>
    <w:rsid w:val="005574BB"/>
    <w:rsid w:val="00557980"/>
    <w:rsid w:val="005610BD"/>
    <w:rsid w:val="005612E2"/>
    <w:rsid w:val="0056154F"/>
    <w:rsid w:val="00562290"/>
    <w:rsid w:val="0056250A"/>
    <w:rsid w:val="005628B1"/>
    <w:rsid w:val="00562B8B"/>
    <w:rsid w:val="00562D05"/>
    <w:rsid w:val="00563369"/>
    <w:rsid w:val="00563824"/>
    <w:rsid w:val="00563B46"/>
    <w:rsid w:val="00563EB0"/>
    <w:rsid w:val="00563F55"/>
    <w:rsid w:val="00563FEE"/>
    <w:rsid w:val="0056475E"/>
    <w:rsid w:val="005650D6"/>
    <w:rsid w:val="005655AA"/>
    <w:rsid w:val="00565BA9"/>
    <w:rsid w:val="00565F50"/>
    <w:rsid w:val="005661BE"/>
    <w:rsid w:val="0056651E"/>
    <w:rsid w:val="00566A47"/>
    <w:rsid w:val="00567702"/>
    <w:rsid w:val="0056776B"/>
    <w:rsid w:val="00567A15"/>
    <w:rsid w:val="00567B4F"/>
    <w:rsid w:val="00567D41"/>
    <w:rsid w:val="00567E23"/>
    <w:rsid w:val="0057004D"/>
    <w:rsid w:val="00570081"/>
    <w:rsid w:val="00570836"/>
    <w:rsid w:val="00570FC0"/>
    <w:rsid w:val="00571D76"/>
    <w:rsid w:val="0057207D"/>
    <w:rsid w:val="00572542"/>
    <w:rsid w:val="00572B49"/>
    <w:rsid w:val="00572C76"/>
    <w:rsid w:val="00572F56"/>
    <w:rsid w:val="0057394B"/>
    <w:rsid w:val="0057481D"/>
    <w:rsid w:val="00574A50"/>
    <w:rsid w:val="00574CA6"/>
    <w:rsid w:val="00574D66"/>
    <w:rsid w:val="005758E8"/>
    <w:rsid w:val="00575916"/>
    <w:rsid w:val="0057603B"/>
    <w:rsid w:val="0057620B"/>
    <w:rsid w:val="005768B9"/>
    <w:rsid w:val="00576B1B"/>
    <w:rsid w:val="00576BE1"/>
    <w:rsid w:val="0057715A"/>
    <w:rsid w:val="0057737C"/>
    <w:rsid w:val="00577B05"/>
    <w:rsid w:val="00577BBB"/>
    <w:rsid w:val="005800F3"/>
    <w:rsid w:val="00580365"/>
    <w:rsid w:val="005803B7"/>
    <w:rsid w:val="00580506"/>
    <w:rsid w:val="00581269"/>
    <w:rsid w:val="00581FCB"/>
    <w:rsid w:val="005820EE"/>
    <w:rsid w:val="00582105"/>
    <w:rsid w:val="0058238E"/>
    <w:rsid w:val="00582533"/>
    <w:rsid w:val="00582579"/>
    <w:rsid w:val="00582E75"/>
    <w:rsid w:val="00582FE5"/>
    <w:rsid w:val="00583459"/>
    <w:rsid w:val="0058447E"/>
    <w:rsid w:val="00584529"/>
    <w:rsid w:val="005846C1"/>
    <w:rsid w:val="005849A5"/>
    <w:rsid w:val="00584E8C"/>
    <w:rsid w:val="0058515A"/>
    <w:rsid w:val="00585321"/>
    <w:rsid w:val="0058538A"/>
    <w:rsid w:val="00585824"/>
    <w:rsid w:val="00585AA0"/>
    <w:rsid w:val="00585E41"/>
    <w:rsid w:val="0058612C"/>
    <w:rsid w:val="005862CB"/>
    <w:rsid w:val="0058630E"/>
    <w:rsid w:val="00586614"/>
    <w:rsid w:val="00586D72"/>
    <w:rsid w:val="00587B8D"/>
    <w:rsid w:val="0059004E"/>
    <w:rsid w:val="0059081B"/>
    <w:rsid w:val="00590AA9"/>
    <w:rsid w:val="00591396"/>
    <w:rsid w:val="00591FB2"/>
    <w:rsid w:val="005921C7"/>
    <w:rsid w:val="00592370"/>
    <w:rsid w:val="00592800"/>
    <w:rsid w:val="00592E89"/>
    <w:rsid w:val="0059343B"/>
    <w:rsid w:val="00593C2C"/>
    <w:rsid w:val="00593E40"/>
    <w:rsid w:val="00594054"/>
    <w:rsid w:val="00594BA6"/>
    <w:rsid w:val="00594CC9"/>
    <w:rsid w:val="00594F46"/>
    <w:rsid w:val="005958C8"/>
    <w:rsid w:val="00595969"/>
    <w:rsid w:val="00595B26"/>
    <w:rsid w:val="00595BC5"/>
    <w:rsid w:val="0059694B"/>
    <w:rsid w:val="00596FD4"/>
    <w:rsid w:val="0059730C"/>
    <w:rsid w:val="00597ABB"/>
    <w:rsid w:val="005A0339"/>
    <w:rsid w:val="005A0426"/>
    <w:rsid w:val="005A0481"/>
    <w:rsid w:val="005A0828"/>
    <w:rsid w:val="005A0A96"/>
    <w:rsid w:val="005A0F46"/>
    <w:rsid w:val="005A2429"/>
    <w:rsid w:val="005A28B3"/>
    <w:rsid w:val="005A299C"/>
    <w:rsid w:val="005A2BAA"/>
    <w:rsid w:val="005A2E1B"/>
    <w:rsid w:val="005A2FC1"/>
    <w:rsid w:val="005A30FC"/>
    <w:rsid w:val="005A3394"/>
    <w:rsid w:val="005A3528"/>
    <w:rsid w:val="005A3D28"/>
    <w:rsid w:val="005A3E43"/>
    <w:rsid w:val="005A4465"/>
    <w:rsid w:val="005A4D0A"/>
    <w:rsid w:val="005A60A1"/>
    <w:rsid w:val="005A6101"/>
    <w:rsid w:val="005A623D"/>
    <w:rsid w:val="005A6492"/>
    <w:rsid w:val="005A64B8"/>
    <w:rsid w:val="005A66A4"/>
    <w:rsid w:val="005A6A76"/>
    <w:rsid w:val="005A6F2C"/>
    <w:rsid w:val="005A7475"/>
    <w:rsid w:val="005A775D"/>
    <w:rsid w:val="005A7944"/>
    <w:rsid w:val="005A7C85"/>
    <w:rsid w:val="005A7C9C"/>
    <w:rsid w:val="005B095B"/>
    <w:rsid w:val="005B0DD7"/>
    <w:rsid w:val="005B0E93"/>
    <w:rsid w:val="005B1169"/>
    <w:rsid w:val="005B12D3"/>
    <w:rsid w:val="005B15BD"/>
    <w:rsid w:val="005B21F7"/>
    <w:rsid w:val="005B245F"/>
    <w:rsid w:val="005B2514"/>
    <w:rsid w:val="005B26EE"/>
    <w:rsid w:val="005B2856"/>
    <w:rsid w:val="005B2996"/>
    <w:rsid w:val="005B2A21"/>
    <w:rsid w:val="005B2B88"/>
    <w:rsid w:val="005B2D2D"/>
    <w:rsid w:val="005B3576"/>
    <w:rsid w:val="005B3685"/>
    <w:rsid w:val="005B50C2"/>
    <w:rsid w:val="005B5487"/>
    <w:rsid w:val="005B5AFE"/>
    <w:rsid w:val="005B6110"/>
    <w:rsid w:val="005B62CC"/>
    <w:rsid w:val="005B6554"/>
    <w:rsid w:val="005B6EA9"/>
    <w:rsid w:val="005B6EB0"/>
    <w:rsid w:val="005B6ECA"/>
    <w:rsid w:val="005B6EE9"/>
    <w:rsid w:val="005B77A8"/>
    <w:rsid w:val="005C0739"/>
    <w:rsid w:val="005C1455"/>
    <w:rsid w:val="005C1756"/>
    <w:rsid w:val="005C1EDF"/>
    <w:rsid w:val="005C2532"/>
    <w:rsid w:val="005C2C49"/>
    <w:rsid w:val="005C3732"/>
    <w:rsid w:val="005C3E0D"/>
    <w:rsid w:val="005C42CA"/>
    <w:rsid w:val="005C4474"/>
    <w:rsid w:val="005C4C0D"/>
    <w:rsid w:val="005C4D8C"/>
    <w:rsid w:val="005C517E"/>
    <w:rsid w:val="005C54F5"/>
    <w:rsid w:val="005C576A"/>
    <w:rsid w:val="005C61E8"/>
    <w:rsid w:val="005C6C56"/>
    <w:rsid w:val="005C70FE"/>
    <w:rsid w:val="005C7516"/>
    <w:rsid w:val="005C7CF7"/>
    <w:rsid w:val="005D01A0"/>
    <w:rsid w:val="005D031C"/>
    <w:rsid w:val="005D0888"/>
    <w:rsid w:val="005D0C69"/>
    <w:rsid w:val="005D10E8"/>
    <w:rsid w:val="005D1463"/>
    <w:rsid w:val="005D16F4"/>
    <w:rsid w:val="005D24FE"/>
    <w:rsid w:val="005D26A5"/>
    <w:rsid w:val="005D2713"/>
    <w:rsid w:val="005D2DCD"/>
    <w:rsid w:val="005D3279"/>
    <w:rsid w:val="005D327A"/>
    <w:rsid w:val="005D3375"/>
    <w:rsid w:val="005D3524"/>
    <w:rsid w:val="005D370C"/>
    <w:rsid w:val="005D384F"/>
    <w:rsid w:val="005D389F"/>
    <w:rsid w:val="005D3D18"/>
    <w:rsid w:val="005D3E62"/>
    <w:rsid w:val="005D3E8E"/>
    <w:rsid w:val="005D4AF3"/>
    <w:rsid w:val="005D4E14"/>
    <w:rsid w:val="005D4EB1"/>
    <w:rsid w:val="005D5065"/>
    <w:rsid w:val="005D50F3"/>
    <w:rsid w:val="005D5211"/>
    <w:rsid w:val="005D525E"/>
    <w:rsid w:val="005D595B"/>
    <w:rsid w:val="005D5A1B"/>
    <w:rsid w:val="005D5ACB"/>
    <w:rsid w:val="005D5C07"/>
    <w:rsid w:val="005D60A2"/>
    <w:rsid w:val="005D61D4"/>
    <w:rsid w:val="005D682D"/>
    <w:rsid w:val="005D6B80"/>
    <w:rsid w:val="005D726A"/>
    <w:rsid w:val="005E0280"/>
    <w:rsid w:val="005E043F"/>
    <w:rsid w:val="005E09CC"/>
    <w:rsid w:val="005E0A06"/>
    <w:rsid w:val="005E0E1A"/>
    <w:rsid w:val="005E1181"/>
    <w:rsid w:val="005E1529"/>
    <w:rsid w:val="005E1A43"/>
    <w:rsid w:val="005E1E24"/>
    <w:rsid w:val="005E1E70"/>
    <w:rsid w:val="005E2854"/>
    <w:rsid w:val="005E2932"/>
    <w:rsid w:val="005E2CA4"/>
    <w:rsid w:val="005E321B"/>
    <w:rsid w:val="005E3400"/>
    <w:rsid w:val="005E34A3"/>
    <w:rsid w:val="005E3BDD"/>
    <w:rsid w:val="005E3E8F"/>
    <w:rsid w:val="005E3F36"/>
    <w:rsid w:val="005E449A"/>
    <w:rsid w:val="005E4E07"/>
    <w:rsid w:val="005E55DD"/>
    <w:rsid w:val="005E5B29"/>
    <w:rsid w:val="005E627D"/>
    <w:rsid w:val="005E6559"/>
    <w:rsid w:val="005E658A"/>
    <w:rsid w:val="005E6632"/>
    <w:rsid w:val="005E6BD9"/>
    <w:rsid w:val="005E6C2C"/>
    <w:rsid w:val="005E6E92"/>
    <w:rsid w:val="005E6EE5"/>
    <w:rsid w:val="005E70F1"/>
    <w:rsid w:val="005E7137"/>
    <w:rsid w:val="005E76F3"/>
    <w:rsid w:val="005E7821"/>
    <w:rsid w:val="005E7FBF"/>
    <w:rsid w:val="005F0426"/>
    <w:rsid w:val="005F0DDD"/>
    <w:rsid w:val="005F0E19"/>
    <w:rsid w:val="005F151F"/>
    <w:rsid w:val="005F15C3"/>
    <w:rsid w:val="005F1DC2"/>
    <w:rsid w:val="005F1F55"/>
    <w:rsid w:val="005F1FC8"/>
    <w:rsid w:val="005F2663"/>
    <w:rsid w:val="005F2B7C"/>
    <w:rsid w:val="005F2DD6"/>
    <w:rsid w:val="005F316E"/>
    <w:rsid w:val="005F324B"/>
    <w:rsid w:val="005F33D8"/>
    <w:rsid w:val="005F3488"/>
    <w:rsid w:val="005F37F1"/>
    <w:rsid w:val="005F3CF0"/>
    <w:rsid w:val="005F3E90"/>
    <w:rsid w:val="005F43B4"/>
    <w:rsid w:val="005F458F"/>
    <w:rsid w:val="005F4739"/>
    <w:rsid w:val="005F47BA"/>
    <w:rsid w:val="005F4993"/>
    <w:rsid w:val="005F524A"/>
    <w:rsid w:val="005F53E2"/>
    <w:rsid w:val="005F552E"/>
    <w:rsid w:val="005F566A"/>
    <w:rsid w:val="005F5DFD"/>
    <w:rsid w:val="005F6B4B"/>
    <w:rsid w:val="005F6CF4"/>
    <w:rsid w:val="005F6D30"/>
    <w:rsid w:val="005F7018"/>
    <w:rsid w:val="005F70F0"/>
    <w:rsid w:val="005F775A"/>
    <w:rsid w:val="005F7A6C"/>
    <w:rsid w:val="0060011F"/>
    <w:rsid w:val="00600296"/>
    <w:rsid w:val="00600430"/>
    <w:rsid w:val="00600C74"/>
    <w:rsid w:val="00600F23"/>
    <w:rsid w:val="0060127F"/>
    <w:rsid w:val="00601429"/>
    <w:rsid w:val="00601730"/>
    <w:rsid w:val="00601D3F"/>
    <w:rsid w:val="006020AE"/>
    <w:rsid w:val="006029B8"/>
    <w:rsid w:val="00602BF8"/>
    <w:rsid w:val="00602CCE"/>
    <w:rsid w:val="0060312E"/>
    <w:rsid w:val="00603ADE"/>
    <w:rsid w:val="00604987"/>
    <w:rsid w:val="0060503A"/>
    <w:rsid w:val="00605093"/>
    <w:rsid w:val="006051E2"/>
    <w:rsid w:val="0060527F"/>
    <w:rsid w:val="00605BF9"/>
    <w:rsid w:val="0060627C"/>
    <w:rsid w:val="006063B0"/>
    <w:rsid w:val="006063D4"/>
    <w:rsid w:val="00606578"/>
    <w:rsid w:val="00606A87"/>
    <w:rsid w:val="00607625"/>
    <w:rsid w:val="006077BF"/>
    <w:rsid w:val="006077FB"/>
    <w:rsid w:val="00607839"/>
    <w:rsid w:val="006102AA"/>
    <w:rsid w:val="00610320"/>
    <w:rsid w:val="006103A9"/>
    <w:rsid w:val="0061090E"/>
    <w:rsid w:val="00610FD3"/>
    <w:rsid w:val="00611540"/>
    <w:rsid w:val="00611A7E"/>
    <w:rsid w:val="00611EFD"/>
    <w:rsid w:val="00612205"/>
    <w:rsid w:val="0061224A"/>
    <w:rsid w:val="0061290A"/>
    <w:rsid w:val="00612EB1"/>
    <w:rsid w:val="0061335E"/>
    <w:rsid w:val="006136E0"/>
    <w:rsid w:val="00613B9C"/>
    <w:rsid w:val="006145E5"/>
    <w:rsid w:val="006149CC"/>
    <w:rsid w:val="00614D4C"/>
    <w:rsid w:val="006151C0"/>
    <w:rsid w:val="006153D1"/>
    <w:rsid w:val="00615E1C"/>
    <w:rsid w:val="00616336"/>
    <w:rsid w:val="00616A83"/>
    <w:rsid w:val="00616CEE"/>
    <w:rsid w:val="00617B5A"/>
    <w:rsid w:val="00617C79"/>
    <w:rsid w:val="00617E98"/>
    <w:rsid w:val="0062072C"/>
    <w:rsid w:val="006208BD"/>
    <w:rsid w:val="00620DEB"/>
    <w:rsid w:val="0062140B"/>
    <w:rsid w:val="006214DC"/>
    <w:rsid w:val="00621521"/>
    <w:rsid w:val="006215F5"/>
    <w:rsid w:val="00621630"/>
    <w:rsid w:val="00621779"/>
    <w:rsid w:val="00621A54"/>
    <w:rsid w:val="00621B7D"/>
    <w:rsid w:val="006223D1"/>
    <w:rsid w:val="006224D5"/>
    <w:rsid w:val="00622C85"/>
    <w:rsid w:val="00623793"/>
    <w:rsid w:val="00624094"/>
    <w:rsid w:val="00624540"/>
    <w:rsid w:val="0062474C"/>
    <w:rsid w:val="0062484D"/>
    <w:rsid w:val="006248E8"/>
    <w:rsid w:val="0062499A"/>
    <w:rsid w:val="00624E7B"/>
    <w:rsid w:val="0062506B"/>
    <w:rsid w:val="00626B4A"/>
    <w:rsid w:val="00626EBD"/>
    <w:rsid w:val="00627061"/>
    <w:rsid w:val="00630254"/>
    <w:rsid w:val="0063028B"/>
    <w:rsid w:val="00630445"/>
    <w:rsid w:val="006305C0"/>
    <w:rsid w:val="006305F2"/>
    <w:rsid w:val="00630E15"/>
    <w:rsid w:val="00630E54"/>
    <w:rsid w:val="00630F07"/>
    <w:rsid w:val="00631113"/>
    <w:rsid w:val="00631483"/>
    <w:rsid w:val="00631621"/>
    <w:rsid w:val="00631F01"/>
    <w:rsid w:val="00632483"/>
    <w:rsid w:val="006327A8"/>
    <w:rsid w:val="00633EBD"/>
    <w:rsid w:val="006344C2"/>
    <w:rsid w:val="00634663"/>
    <w:rsid w:val="006346EE"/>
    <w:rsid w:val="0063489D"/>
    <w:rsid w:val="00635198"/>
    <w:rsid w:val="00635B71"/>
    <w:rsid w:val="00636B14"/>
    <w:rsid w:val="00636E7B"/>
    <w:rsid w:val="00637E81"/>
    <w:rsid w:val="00640312"/>
    <w:rsid w:val="0064087E"/>
    <w:rsid w:val="00640E6D"/>
    <w:rsid w:val="0064119F"/>
    <w:rsid w:val="00642945"/>
    <w:rsid w:val="00642CBE"/>
    <w:rsid w:val="0064354B"/>
    <w:rsid w:val="006435C9"/>
    <w:rsid w:val="006439FE"/>
    <w:rsid w:val="00643E03"/>
    <w:rsid w:val="0064423D"/>
    <w:rsid w:val="006447CF"/>
    <w:rsid w:val="006447EB"/>
    <w:rsid w:val="006449AA"/>
    <w:rsid w:val="00644C54"/>
    <w:rsid w:val="00644CBB"/>
    <w:rsid w:val="00644EEB"/>
    <w:rsid w:val="00644FCD"/>
    <w:rsid w:val="00645393"/>
    <w:rsid w:val="00645546"/>
    <w:rsid w:val="00645584"/>
    <w:rsid w:val="006456C8"/>
    <w:rsid w:val="00645966"/>
    <w:rsid w:val="00645C7C"/>
    <w:rsid w:val="00645EA7"/>
    <w:rsid w:val="00646193"/>
    <w:rsid w:val="00646F28"/>
    <w:rsid w:val="0064702C"/>
    <w:rsid w:val="0064707E"/>
    <w:rsid w:val="0064712E"/>
    <w:rsid w:val="00647276"/>
    <w:rsid w:val="00647C0B"/>
    <w:rsid w:val="00647D36"/>
    <w:rsid w:val="006504C4"/>
    <w:rsid w:val="0065058B"/>
    <w:rsid w:val="00650764"/>
    <w:rsid w:val="00650EF3"/>
    <w:rsid w:val="00651115"/>
    <w:rsid w:val="00652584"/>
    <w:rsid w:val="0065283E"/>
    <w:rsid w:val="00652D67"/>
    <w:rsid w:val="00653129"/>
    <w:rsid w:val="006535AB"/>
    <w:rsid w:val="00654197"/>
    <w:rsid w:val="00654CB6"/>
    <w:rsid w:val="00654FC1"/>
    <w:rsid w:val="006559D7"/>
    <w:rsid w:val="00655AAF"/>
    <w:rsid w:val="00656125"/>
    <w:rsid w:val="00656322"/>
    <w:rsid w:val="0065650A"/>
    <w:rsid w:val="006568E6"/>
    <w:rsid w:val="00656E73"/>
    <w:rsid w:val="006570C5"/>
    <w:rsid w:val="006570EF"/>
    <w:rsid w:val="00657406"/>
    <w:rsid w:val="00657439"/>
    <w:rsid w:val="00657749"/>
    <w:rsid w:val="00657B07"/>
    <w:rsid w:val="0066076A"/>
    <w:rsid w:val="00660A6D"/>
    <w:rsid w:val="00660DAE"/>
    <w:rsid w:val="00660E66"/>
    <w:rsid w:val="00661724"/>
    <w:rsid w:val="00661A3A"/>
    <w:rsid w:val="00661BB6"/>
    <w:rsid w:val="00661BE5"/>
    <w:rsid w:val="00661C96"/>
    <w:rsid w:val="00661DCF"/>
    <w:rsid w:val="00661EE4"/>
    <w:rsid w:val="0066236F"/>
    <w:rsid w:val="0066266F"/>
    <w:rsid w:val="00662BFD"/>
    <w:rsid w:val="00662EE4"/>
    <w:rsid w:val="0066336B"/>
    <w:rsid w:val="006635FB"/>
    <w:rsid w:val="00663757"/>
    <w:rsid w:val="00663B34"/>
    <w:rsid w:val="00663EF2"/>
    <w:rsid w:val="00663F21"/>
    <w:rsid w:val="006642D7"/>
    <w:rsid w:val="006651E9"/>
    <w:rsid w:val="00665372"/>
    <w:rsid w:val="0066559E"/>
    <w:rsid w:val="00665D8C"/>
    <w:rsid w:val="00666219"/>
    <w:rsid w:val="006663ED"/>
    <w:rsid w:val="00666F41"/>
    <w:rsid w:val="00666FFB"/>
    <w:rsid w:val="00667084"/>
    <w:rsid w:val="0066708E"/>
    <w:rsid w:val="006677A2"/>
    <w:rsid w:val="0066781F"/>
    <w:rsid w:val="00667D8F"/>
    <w:rsid w:val="00667ECA"/>
    <w:rsid w:val="0067015F"/>
    <w:rsid w:val="0067054C"/>
    <w:rsid w:val="00670855"/>
    <w:rsid w:val="006708F4"/>
    <w:rsid w:val="00670ABE"/>
    <w:rsid w:val="00670D22"/>
    <w:rsid w:val="00670DDA"/>
    <w:rsid w:val="00670FD2"/>
    <w:rsid w:val="006711E3"/>
    <w:rsid w:val="0067163D"/>
    <w:rsid w:val="00672774"/>
    <w:rsid w:val="00672866"/>
    <w:rsid w:val="00672ACA"/>
    <w:rsid w:val="00673182"/>
    <w:rsid w:val="006735E5"/>
    <w:rsid w:val="006737E1"/>
    <w:rsid w:val="00674399"/>
    <w:rsid w:val="00674677"/>
    <w:rsid w:val="00674B30"/>
    <w:rsid w:val="00674F5D"/>
    <w:rsid w:val="0067541D"/>
    <w:rsid w:val="0067548D"/>
    <w:rsid w:val="00675CF4"/>
    <w:rsid w:val="00675E42"/>
    <w:rsid w:val="00675EE9"/>
    <w:rsid w:val="0067644D"/>
    <w:rsid w:val="0067681D"/>
    <w:rsid w:val="006768EF"/>
    <w:rsid w:val="00676923"/>
    <w:rsid w:val="006779B7"/>
    <w:rsid w:val="00677DDB"/>
    <w:rsid w:val="0068008A"/>
    <w:rsid w:val="006802FA"/>
    <w:rsid w:val="00680370"/>
    <w:rsid w:val="00680BE2"/>
    <w:rsid w:val="00680E4A"/>
    <w:rsid w:val="006811DB"/>
    <w:rsid w:val="00681262"/>
    <w:rsid w:val="00681565"/>
    <w:rsid w:val="00681961"/>
    <w:rsid w:val="00681A37"/>
    <w:rsid w:val="00681C45"/>
    <w:rsid w:val="00682877"/>
    <w:rsid w:val="00682B62"/>
    <w:rsid w:val="00682E82"/>
    <w:rsid w:val="00684052"/>
    <w:rsid w:val="006842F0"/>
    <w:rsid w:val="00684C77"/>
    <w:rsid w:val="00685307"/>
    <w:rsid w:val="006853F2"/>
    <w:rsid w:val="0068548C"/>
    <w:rsid w:val="0068588B"/>
    <w:rsid w:val="00685B82"/>
    <w:rsid w:val="00685FDA"/>
    <w:rsid w:val="00686A21"/>
    <w:rsid w:val="00686AF1"/>
    <w:rsid w:val="00686BAF"/>
    <w:rsid w:val="00686E90"/>
    <w:rsid w:val="00687444"/>
    <w:rsid w:val="00690E96"/>
    <w:rsid w:val="00691335"/>
    <w:rsid w:val="00691604"/>
    <w:rsid w:val="006923BA"/>
    <w:rsid w:val="006924A3"/>
    <w:rsid w:val="00692BD2"/>
    <w:rsid w:val="00693935"/>
    <w:rsid w:val="00693D47"/>
    <w:rsid w:val="00694055"/>
    <w:rsid w:val="006946C7"/>
    <w:rsid w:val="00694875"/>
    <w:rsid w:val="006949EB"/>
    <w:rsid w:val="00694A7E"/>
    <w:rsid w:val="00694B28"/>
    <w:rsid w:val="00694DE9"/>
    <w:rsid w:val="00694FB4"/>
    <w:rsid w:val="006953A2"/>
    <w:rsid w:val="00695639"/>
    <w:rsid w:val="00695782"/>
    <w:rsid w:val="006957BE"/>
    <w:rsid w:val="006964BA"/>
    <w:rsid w:val="00696692"/>
    <w:rsid w:val="006978E8"/>
    <w:rsid w:val="0069792E"/>
    <w:rsid w:val="00697FD6"/>
    <w:rsid w:val="006A0730"/>
    <w:rsid w:val="006A0931"/>
    <w:rsid w:val="006A0D55"/>
    <w:rsid w:val="006A11C7"/>
    <w:rsid w:val="006A12AA"/>
    <w:rsid w:val="006A13E5"/>
    <w:rsid w:val="006A1A46"/>
    <w:rsid w:val="006A1AAB"/>
    <w:rsid w:val="006A1C98"/>
    <w:rsid w:val="006A1F3A"/>
    <w:rsid w:val="006A2201"/>
    <w:rsid w:val="006A237B"/>
    <w:rsid w:val="006A27DA"/>
    <w:rsid w:val="006A28AC"/>
    <w:rsid w:val="006A28B6"/>
    <w:rsid w:val="006A36AE"/>
    <w:rsid w:val="006A3812"/>
    <w:rsid w:val="006A3B92"/>
    <w:rsid w:val="006A3F70"/>
    <w:rsid w:val="006A3FA6"/>
    <w:rsid w:val="006A3FBB"/>
    <w:rsid w:val="006A401F"/>
    <w:rsid w:val="006A44A6"/>
    <w:rsid w:val="006A4512"/>
    <w:rsid w:val="006A47A1"/>
    <w:rsid w:val="006A551F"/>
    <w:rsid w:val="006A5970"/>
    <w:rsid w:val="006A5CB2"/>
    <w:rsid w:val="006A5E82"/>
    <w:rsid w:val="006A6045"/>
    <w:rsid w:val="006A660F"/>
    <w:rsid w:val="006A67A7"/>
    <w:rsid w:val="006A7A14"/>
    <w:rsid w:val="006A7B14"/>
    <w:rsid w:val="006A7C6A"/>
    <w:rsid w:val="006B04BD"/>
    <w:rsid w:val="006B0B1B"/>
    <w:rsid w:val="006B0B9F"/>
    <w:rsid w:val="006B0F5A"/>
    <w:rsid w:val="006B14C0"/>
    <w:rsid w:val="006B183B"/>
    <w:rsid w:val="006B1C28"/>
    <w:rsid w:val="006B25EC"/>
    <w:rsid w:val="006B2725"/>
    <w:rsid w:val="006B4272"/>
    <w:rsid w:val="006B4EA9"/>
    <w:rsid w:val="006B4FCD"/>
    <w:rsid w:val="006B532E"/>
    <w:rsid w:val="006B576A"/>
    <w:rsid w:val="006B5BE9"/>
    <w:rsid w:val="006B6231"/>
    <w:rsid w:val="006B652B"/>
    <w:rsid w:val="006B6718"/>
    <w:rsid w:val="006B6815"/>
    <w:rsid w:val="006B6E61"/>
    <w:rsid w:val="006B78D7"/>
    <w:rsid w:val="006B7BA6"/>
    <w:rsid w:val="006C0568"/>
    <w:rsid w:val="006C080D"/>
    <w:rsid w:val="006C0CF0"/>
    <w:rsid w:val="006C0E0E"/>
    <w:rsid w:val="006C2A8A"/>
    <w:rsid w:val="006C2E99"/>
    <w:rsid w:val="006C37CB"/>
    <w:rsid w:val="006C3E3A"/>
    <w:rsid w:val="006C42E4"/>
    <w:rsid w:val="006C4586"/>
    <w:rsid w:val="006C4590"/>
    <w:rsid w:val="006C4E80"/>
    <w:rsid w:val="006C4FAA"/>
    <w:rsid w:val="006C5196"/>
    <w:rsid w:val="006C53CB"/>
    <w:rsid w:val="006C5AB9"/>
    <w:rsid w:val="006C5C5A"/>
    <w:rsid w:val="006C5CD8"/>
    <w:rsid w:val="006C5D96"/>
    <w:rsid w:val="006C5FAD"/>
    <w:rsid w:val="006C62C5"/>
    <w:rsid w:val="006C6D39"/>
    <w:rsid w:val="006C71E2"/>
    <w:rsid w:val="006C73E2"/>
    <w:rsid w:val="006C77BF"/>
    <w:rsid w:val="006C7ACA"/>
    <w:rsid w:val="006D0684"/>
    <w:rsid w:val="006D0D9C"/>
    <w:rsid w:val="006D0F22"/>
    <w:rsid w:val="006D1417"/>
    <w:rsid w:val="006D172E"/>
    <w:rsid w:val="006D17A0"/>
    <w:rsid w:val="006D1F2A"/>
    <w:rsid w:val="006D1F44"/>
    <w:rsid w:val="006D2120"/>
    <w:rsid w:val="006D28B2"/>
    <w:rsid w:val="006D2965"/>
    <w:rsid w:val="006D335F"/>
    <w:rsid w:val="006D33B5"/>
    <w:rsid w:val="006D3C65"/>
    <w:rsid w:val="006D4066"/>
    <w:rsid w:val="006D431C"/>
    <w:rsid w:val="006D4463"/>
    <w:rsid w:val="006D4C4A"/>
    <w:rsid w:val="006D5D4F"/>
    <w:rsid w:val="006D6264"/>
    <w:rsid w:val="006D63B0"/>
    <w:rsid w:val="006D68DD"/>
    <w:rsid w:val="006D7058"/>
    <w:rsid w:val="006D7243"/>
    <w:rsid w:val="006D74C7"/>
    <w:rsid w:val="006D7601"/>
    <w:rsid w:val="006D7B17"/>
    <w:rsid w:val="006D7B77"/>
    <w:rsid w:val="006D7E00"/>
    <w:rsid w:val="006E05CB"/>
    <w:rsid w:val="006E0D38"/>
    <w:rsid w:val="006E0E53"/>
    <w:rsid w:val="006E1D4A"/>
    <w:rsid w:val="006E2257"/>
    <w:rsid w:val="006E2346"/>
    <w:rsid w:val="006E2CEE"/>
    <w:rsid w:val="006E3A4F"/>
    <w:rsid w:val="006E49CB"/>
    <w:rsid w:val="006E4AD6"/>
    <w:rsid w:val="006E4CE3"/>
    <w:rsid w:val="006E567B"/>
    <w:rsid w:val="006E5BAA"/>
    <w:rsid w:val="006E5E11"/>
    <w:rsid w:val="006E5FEA"/>
    <w:rsid w:val="006E6265"/>
    <w:rsid w:val="006E641F"/>
    <w:rsid w:val="006E65AE"/>
    <w:rsid w:val="006E6CE5"/>
    <w:rsid w:val="006E6D94"/>
    <w:rsid w:val="006E6E7A"/>
    <w:rsid w:val="006E7343"/>
    <w:rsid w:val="006E7912"/>
    <w:rsid w:val="006F00E9"/>
    <w:rsid w:val="006F015B"/>
    <w:rsid w:val="006F06DA"/>
    <w:rsid w:val="006F0742"/>
    <w:rsid w:val="006F0997"/>
    <w:rsid w:val="006F1976"/>
    <w:rsid w:val="006F1B85"/>
    <w:rsid w:val="006F20BB"/>
    <w:rsid w:val="006F2670"/>
    <w:rsid w:val="006F2A96"/>
    <w:rsid w:val="006F3083"/>
    <w:rsid w:val="006F331E"/>
    <w:rsid w:val="006F3746"/>
    <w:rsid w:val="006F3A49"/>
    <w:rsid w:val="006F3F19"/>
    <w:rsid w:val="006F4034"/>
    <w:rsid w:val="006F430E"/>
    <w:rsid w:val="006F4412"/>
    <w:rsid w:val="006F4975"/>
    <w:rsid w:val="006F4C29"/>
    <w:rsid w:val="006F511B"/>
    <w:rsid w:val="006F5397"/>
    <w:rsid w:val="006F57D8"/>
    <w:rsid w:val="006F5CEE"/>
    <w:rsid w:val="006F62BB"/>
    <w:rsid w:val="006F6F2A"/>
    <w:rsid w:val="006F6FB3"/>
    <w:rsid w:val="006F7177"/>
    <w:rsid w:val="006F7782"/>
    <w:rsid w:val="006F7816"/>
    <w:rsid w:val="00700150"/>
    <w:rsid w:val="00700409"/>
    <w:rsid w:val="0070076A"/>
    <w:rsid w:val="00701B62"/>
    <w:rsid w:val="00701B96"/>
    <w:rsid w:val="00701D65"/>
    <w:rsid w:val="00701D79"/>
    <w:rsid w:val="00701F7E"/>
    <w:rsid w:val="00702322"/>
    <w:rsid w:val="007027AB"/>
    <w:rsid w:val="0070288A"/>
    <w:rsid w:val="0070291A"/>
    <w:rsid w:val="00702CC4"/>
    <w:rsid w:val="00703444"/>
    <w:rsid w:val="00703643"/>
    <w:rsid w:val="007036FE"/>
    <w:rsid w:val="00703C65"/>
    <w:rsid w:val="00703CF9"/>
    <w:rsid w:val="007041CA"/>
    <w:rsid w:val="00704294"/>
    <w:rsid w:val="007045C5"/>
    <w:rsid w:val="007046B7"/>
    <w:rsid w:val="00704768"/>
    <w:rsid w:val="00704AE5"/>
    <w:rsid w:val="00704C60"/>
    <w:rsid w:val="00704F8B"/>
    <w:rsid w:val="007052DB"/>
    <w:rsid w:val="00705612"/>
    <w:rsid w:val="0070597D"/>
    <w:rsid w:val="007059CE"/>
    <w:rsid w:val="00705EEF"/>
    <w:rsid w:val="00705EF2"/>
    <w:rsid w:val="00706813"/>
    <w:rsid w:val="007073E3"/>
    <w:rsid w:val="0070760B"/>
    <w:rsid w:val="007078AF"/>
    <w:rsid w:val="00707B00"/>
    <w:rsid w:val="00707B6E"/>
    <w:rsid w:val="00710420"/>
    <w:rsid w:val="007108EC"/>
    <w:rsid w:val="0071106B"/>
    <w:rsid w:val="007114B8"/>
    <w:rsid w:val="00711531"/>
    <w:rsid w:val="0071170B"/>
    <w:rsid w:val="00711B96"/>
    <w:rsid w:val="00711DCE"/>
    <w:rsid w:val="00711FE9"/>
    <w:rsid w:val="0071225F"/>
    <w:rsid w:val="00712540"/>
    <w:rsid w:val="00712594"/>
    <w:rsid w:val="007127DD"/>
    <w:rsid w:val="00712C05"/>
    <w:rsid w:val="00713008"/>
    <w:rsid w:val="00713203"/>
    <w:rsid w:val="00713C9F"/>
    <w:rsid w:val="00713F10"/>
    <w:rsid w:val="00714376"/>
    <w:rsid w:val="0071438D"/>
    <w:rsid w:val="00714520"/>
    <w:rsid w:val="00714CC5"/>
    <w:rsid w:val="0071514A"/>
    <w:rsid w:val="00715287"/>
    <w:rsid w:val="007152F2"/>
    <w:rsid w:val="007153CE"/>
    <w:rsid w:val="0071605A"/>
    <w:rsid w:val="00716866"/>
    <w:rsid w:val="00717410"/>
    <w:rsid w:val="00717606"/>
    <w:rsid w:val="007177C5"/>
    <w:rsid w:val="00717A58"/>
    <w:rsid w:val="00717D2F"/>
    <w:rsid w:val="00720343"/>
    <w:rsid w:val="007205C3"/>
    <w:rsid w:val="00720C65"/>
    <w:rsid w:val="0072133B"/>
    <w:rsid w:val="007218A6"/>
    <w:rsid w:val="00723533"/>
    <w:rsid w:val="00723743"/>
    <w:rsid w:val="007243AF"/>
    <w:rsid w:val="0072446C"/>
    <w:rsid w:val="007246DC"/>
    <w:rsid w:val="007247B2"/>
    <w:rsid w:val="00724C23"/>
    <w:rsid w:val="00725169"/>
    <w:rsid w:val="00725268"/>
    <w:rsid w:val="007253E4"/>
    <w:rsid w:val="00725881"/>
    <w:rsid w:val="00725A1D"/>
    <w:rsid w:val="007265BC"/>
    <w:rsid w:val="00726A63"/>
    <w:rsid w:val="00726C7D"/>
    <w:rsid w:val="007274DB"/>
    <w:rsid w:val="007277BC"/>
    <w:rsid w:val="00727CDB"/>
    <w:rsid w:val="00731091"/>
    <w:rsid w:val="007310BC"/>
    <w:rsid w:val="00731422"/>
    <w:rsid w:val="0073197D"/>
    <w:rsid w:val="0073211B"/>
    <w:rsid w:val="00732738"/>
    <w:rsid w:val="007327F1"/>
    <w:rsid w:val="00732911"/>
    <w:rsid w:val="00732C37"/>
    <w:rsid w:val="00733100"/>
    <w:rsid w:val="00733DAC"/>
    <w:rsid w:val="00733F14"/>
    <w:rsid w:val="007345CC"/>
    <w:rsid w:val="00734951"/>
    <w:rsid w:val="00734AFE"/>
    <w:rsid w:val="00734E22"/>
    <w:rsid w:val="00734E9C"/>
    <w:rsid w:val="00734F27"/>
    <w:rsid w:val="00735082"/>
    <w:rsid w:val="007350F3"/>
    <w:rsid w:val="00735322"/>
    <w:rsid w:val="00735802"/>
    <w:rsid w:val="007359C0"/>
    <w:rsid w:val="00735D3F"/>
    <w:rsid w:val="00736299"/>
    <w:rsid w:val="007362F1"/>
    <w:rsid w:val="00736967"/>
    <w:rsid w:val="00736A70"/>
    <w:rsid w:val="00736E0C"/>
    <w:rsid w:val="0073719E"/>
    <w:rsid w:val="00737253"/>
    <w:rsid w:val="0073772C"/>
    <w:rsid w:val="00737DA9"/>
    <w:rsid w:val="00740C4C"/>
    <w:rsid w:val="00740D71"/>
    <w:rsid w:val="00740DA5"/>
    <w:rsid w:val="00740E05"/>
    <w:rsid w:val="0074113B"/>
    <w:rsid w:val="0074146D"/>
    <w:rsid w:val="00741D48"/>
    <w:rsid w:val="00742504"/>
    <w:rsid w:val="00742E27"/>
    <w:rsid w:val="007432D2"/>
    <w:rsid w:val="007433AB"/>
    <w:rsid w:val="007435E4"/>
    <w:rsid w:val="0074383E"/>
    <w:rsid w:val="00743899"/>
    <w:rsid w:val="00743A63"/>
    <w:rsid w:val="00743FF7"/>
    <w:rsid w:val="00744E5E"/>
    <w:rsid w:val="00745293"/>
    <w:rsid w:val="00745414"/>
    <w:rsid w:val="007459F7"/>
    <w:rsid w:val="00745ACC"/>
    <w:rsid w:val="00745B7B"/>
    <w:rsid w:val="0074641A"/>
    <w:rsid w:val="00746467"/>
    <w:rsid w:val="0074756E"/>
    <w:rsid w:val="007477C2"/>
    <w:rsid w:val="00747A19"/>
    <w:rsid w:val="0075043B"/>
    <w:rsid w:val="0075049A"/>
    <w:rsid w:val="007506E0"/>
    <w:rsid w:val="00750AD4"/>
    <w:rsid w:val="00751439"/>
    <w:rsid w:val="007521D2"/>
    <w:rsid w:val="0075234F"/>
    <w:rsid w:val="00752498"/>
    <w:rsid w:val="007526B4"/>
    <w:rsid w:val="007534BB"/>
    <w:rsid w:val="007536BB"/>
    <w:rsid w:val="007537C5"/>
    <w:rsid w:val="007539DA"/>
    <w:rsid w:val="00753DEA"/>
    <w:rsid w:val="0075462F"/>
    <w:rsid w:val="0075464E"/>
    <w:rsid w:val="007547DA"/>
    <w:rsid w:val="00754947"/>
    <w:rsid w:val="00754D7E"/>
    <w:rsid w:val="00755070"/>
    <w:rsid w:val="00755346"/>
    <w:rsid w:val="007554E1"/>
    <w:rsid w:val="00755713"/>
    <w:rsid w:val="0075612F"/>
    <w:rsid w:val="00756148"/>
    <w:rsid w:val="0075654F"/>
    <w:rsid w:val="00756599"/>
    <w:rsid w:val="00756CFF"/>
    <w:rsid w:val="00757038"/>
    <w:rsid w:val="00757A68"/>
    <w:rsid w:val="00757A73"/>
    <w:rsid w:val="00757E4C"/>
    <w:rsid w:val="00760521"/>
    <w:rsid w:val="0076256E"/>
    <w:rsid w:val="00762993"/>
    <w:rsid w:val="00763AA4"/>
    <w:rsid w:val="00763D25"/>
    <w:rsid w:val="00763D28"/>
    <w:rsid w:val="00763D2B"/>
    <w:rsid w:val="0076405A"/>
    <w:rsid w:val="00764857"/>
    <w:rsid w:val="007650F3"/>
    <w:rsid w:val="00765374"/>
    <w:rsid w:val="007653E9"/>
    <w:rsid w:val="0076556C"/>
    <w:rsid w:val="00765A6A"/>
    <w:rsid w:val="00765B0B"/>
    <w:rsid w:val="00765CD7"/>
    <w:rsid w:val="00765F16"/>
    <w:rsid w:val="007666E0"/>
    <w:rsid w:val="007673D5"/>
    <w:rsid w:val="0076778E"/>
    <w:rsid w:val="00767C05"/>
    <w:rsid w:val="007700B8"/>
    <w:rsid w:val="007706F7"/>
    <w:rsid w:val="007709EA"/>
    <w:rsid w:val="00771AD1"/>
    <w:rsid w:val="00771ED3"/>
    <w:rsid w:val="007732A1"/>
    <w:rsid w:val="00773628"/>
    <w:rsid w:val="00773694"/>
    <w:rsid w:val="0077391D"/>
    <w:rsid w:val="00773BC1"/>
    <w:rsid w:val="00774105"/>
    <w:rsid w:val="00774707"/>
    <w:rsid w:val="00774C74"/>
    <w:rsid w:val="00774F34"/>
    <w:rsid w:val="00775186"/>
    <w:rsid w:val="0077522D"/>
    <w:rsid w:val="0077526A"/>
    <w:rsid w:val="007752EE"/>
    <w:rsid w:val="00775777"/>
    <w:rsid w:val="0077594E"/>
    <w:rsid w:val="00775A6A"/>
    <w:rsid w:val="007765C6"/>
    <w:rsid w:val="0077693D"/>
    <w:rsid w:val="007772CE"/>
    <w:rsid w:val="00777675"/>
    <w:rsid w:val="00777A9D"/>
    <w:rsid w:val="00777DA4"/>
    <w:rsid w:val="00777FCD"/>
    <w:rsid w:val="00780167"/>
    <w:rsid w:val="00780201"/>
    <w:rsid w:val="0078024D"/>
    <w:rsid w:val="0078036A"/>
    <w:rsid w:val="00781DBD"/>
    <w:rsid w:val="007826EE"/>
    <w:rsid w:val="00782743"/>
    <w:rsid w:val="0078292F"/>
    <w:rsid w:val="0078297D"/>
    <w:rsid w:val="00783611"/>
    <w:rsid w:val="007836BD"/>
    <w:rsid w:val="007836C1"/>
    <w:rsid w:val="00783EC8"/>
    <w:rsid w:val="00784800"/>
    <w:rsid w:val="00784C71"/>
    <w:rsid w:val="00785589"/>
    <w:rsid w:val="0078582C"/>
    <w:rsid w:val="00785F26"/>
    <w:rsid w:val="0078624D"/>
    <w:rsid w:val="00786B9D"/>
    <w:rsid w:val="00786C30"/>
    <w:rsid w:val="00786CE2"/>
    <w:rsid w:val="00786F89"/>
    <w:rsid w:val="00787208"/>
    <w:rsid w:val="007872F5"/>
    <w:rsid w:val="00787323"/>
    <w:rsid w:val="007900D2"/>
    <w:rsid w:val="0079010C"/>
    <w:rsid w:val="00790674"/>
    <w:rsid w:val="00790B87"/>
    <w:rsid w:val="00790DD4"/>
    <w:rsid w:val="0079118A"/>
    <w:rsid w:val="00791FB5"/>
    <w:rsid w:val="007926AC"/>
    <w:rsid w:val="007929EE"/>
    <w:rsid w:val="00792A81"/>
    <w:rsid w:val="00792F90"/>
    <w:rsid w:val="00793B1C"/>
    <w:rsid w:val="00793FBB"/>
    <w:rsid w:val="00794673"/>
    <w:rsid w:val="007946B0"/>
    <w:rsid w:val="0079484D"/>
    <w:rsid w:val="00794B57"/>
    <w:rsid w:val="00794BE5"/>
    <w:rsid w:val="00794C09"/>
    <w:rsid w:val="00794C4A"/>
    <w:rsid w:val="00794EDB"/>
    <w:rsid w:val="0079547E"/>
    <w:rsid w:val="00795530"/>
    <w:rsid w:val="00795939"/>
    <w:rsid w:val="007959B0"/>
    <w:rsid w:val="00795A18"/>
    <w:rsid w:val="00795BBA"/>
    <w:rsid w:val="00795ED2"/>
    <w:rsid w:val="007960FE"/>
    <w:rsid w:val="00796374"/>
    <w:rsid w:val="0079647B"/>
    <w:rsid w:val="007966CC"/>
    <w:rsid w:val="00797DC2"/>
    <w:rsid w:val="007A0292"/>
    <w:rsid w:val="007A039A"/>
    <w:rsid w:val="007A06FD"/>
    <w:rsid w:val="007A0CC4"/>
    <w:rsid w:val="007A14AE"/>
    <w:rsid w:val="007A14F8"/>
    <w:rsid w:val="007A1591"/>
    <w:rsid w:val="007A1AC3"/>
    <w:rsid w:val="007A1F7C"/>
    <w:rsid w:val="007A2422"/>
    <w:rsid w:val="007A2A5D"/>
    <w:rsid w:val="007A2CC9"/>
    <w:rsid w:val="007A2D08"/>
    <w:rsid w:val="007A31AB"/>
    <w:rsid w:val="007A3848"/>
    <w:rsid w:val="007A39BF"/>
    <w:rsid w:val="007A3C11"/>
    <w:rsid w:val="007A3D04"/>
    <w:rsid w:val="007A444B"/>
    <w:rsid w:val="007A4615"/>
    <w:rsid w:val="007A4782"/>
    <w:rsid w:val="007A49C4"/>
    <w:rsid w:val="007A4A03"/>
    <w:rsid w:val="007A5064"/>
    <w:rsid w:val="007A53D1"/>
    <w:rsid w:val="007A5D13"/>
    <w:rsid w:val="007A5E24"/>
    <w:rsid w:val="007A5E61"/>
    <w:rsid w:val="007A5E71"/>
    <w:rsid w:val="007A6586"/>
    <w:rsid w:val="007A664F"/>
    <w:rsid w:val="007A677C"/>
    <w:rsid w:val="007A67B7"/>
    <w:rsid w:val="007A6BF1"/>
    <w:rsid w:val="007A6BF7"/>
    <w:rsid w:val="007A6C20"/>
    <w:rsid w:val="007A6D03"/>
    <w:rsid w:val="007A6D36"/>
    <w:rsid w:val="007A7368"/>
    <w:rsid w:val="007A74A0"/>
    <w:rsid w:val="007A75AA"/>
    <w:rsid w:val="007A7A2E"/>
    <w:rsid w:val="007B08D3"/>
    <w:rsid w:val="007B1184"/>
    <w:rsid w:val="007B1A06"/>
    <w:rsid w:val="007B1FDC"/>
    <w:rsid w:val="007B230F"/>
    <w:rsid w:val="007B27C4"/>
    <w:rsid w:val="007B2869"/>
    <w:rsid w:val="007B2F06"/>
    <w:rsid w:val="007B30A3"/>
    <w:rsid w:val="007B3AB3"/>
    <w:rsid w:val="007B3C86"/>
    <w:rsid w:val="007B3D47"/>
    <w:rsid w:val="007B3E3F"/>
    <w:rsid w:val="007B477E"/>
    <w:rsid w:val="007B49E3"/>
    <w:rsid w:val="007B4F3B"/>
    <w:rsid w:val="007B501F"/>
    <w:rsid w:val="007B5080"/>
    <w:rsid w:val="007B5B6D"/>
    <w:rsid w:val="007B6014"/>
    <w:rsid w:val="007B6056"/>
    <w:rsid w:val="007B62A9"/>
    <w:rsid w:val="007B6768"/>
    <w:rsid w:val="007B6C06"/>
    <w:rsid w:val="007B7095"/>
    <w:rsid w:val="007B732F"/>
    <w:rsid w:val="007B7580"/>
    <w:rsid w:val="007B7617"/>
    <w:rsid w:val="007B7A6B"/>
    <w:rsid w:val="007B7AE1"/>
    <w:rsid w:val="007B7EF2"/>
    <w:rsid w:val="007C0234"/>
    <w:rsid w:val="007C0426"/>
    <w:rsid w:val="007C0C14"/>
    <w:rsid w:val="007C157C"/>
    <w:rsid w:val="007C1966"/>
    <w:rsid w:val="007C199A"/>
    <w:rsid w:val="007C2593"/>
    <w:rsid w:val="007C266B"/>
    <w:rsid w:val="007C267A"/>
    <w:rsid w:val="007C2769"/>
    <w:rsid w:val="007C2D79"/>
    <w:rsid w:val="007C2FB9"/>
    <w:rsid w:val="007C3254"/>
    <w:rsid w:val="007C3842"/>
    <w:rsid w:val="007C3BDA"/>
    <w:rsid w:val="007C44B9"/>
    <w:rsid w:val="007C4978"/>
    <w:rsid w:val="007C53CF"/>
    <w:rsid w:val="007C55F3"/>
    <w:rsid w:val="007C5E19"/>
    <w:rsid w:val="007C606F"/>
    <w:rsid w:val="007C610F"/>
    <w:rsid w:val="007C6341"/>
    <w:rsid w:val="007C6418"/>
    <w:rsid w:val="007C672A"/>
    <w:rsid w:val="007C69E2"/>
    <w:rsid w:val="007C6A99"/>
    <w:rsid w:val="007C6C35"/>
    <w:rsid w:val="007C6C5F"/>
    <w:rsid w:val="007C6E89"/>
    <w:rsid w:val="007C70F9"/>
    <w:rsid w:val="007C751A"/>
    <w:rsid w:val="007C756A"/>
    <w:rsid w:val="007C796A"/>
    <w:rsid w:val="007C7AE5"/>
    <w:rsid w:val="007D0000"/>
    <w:rsid w:val="007D037D"/>
    <w:rsid w:val="007D150C"/>
    <w:rsid w:val="007D18DF"/>
    <w:rsid w:val="007D1953"/>
    <w:rsid w:val="007D19F7"/>
    <w:rsid w:val="007D1A6D"/>
    <w:rsid w:val="007D1BF6"/>
    <w:rsid w:val="007D1E30"/>
    <w:rsid w:val="007D20E3"/>
    <w:rsid w:val="007D2C03"/>
    <w:rsid w:val="007D349D"/>
    <w:rsid w:val="007D37A2"/>
    <w:rsid w:val="007D3BD1"/>
    <w:rsid w:val="007D4881"/>
    <w:rsid w:val="007D49A7"/>
    <w:rsid w:val="007D515F"/>
    <w:rsid w:val="007D58B8"/>
    <w:rsid w:val="007D58FB"/>
    <w:rsid w:val="007D6850"/>
    <w:rsid w:val="007D7042"/>
    <w:rsid w:val="007D771B"/>
    <w:rsid w:val="007D774D"/>
    <w:rsid w:val="007E0286"/>
    <w:rsid w:val="007E08EC"/>
    <w:rsid w:val="007E0B42"/>
    <w:rsid w:val="007E199E"/>
    <w:rsid w:val="007E1EF8"/>
    <w:rsid w:val="007E21E6"/>
    <w:rsid w:val="007E227B"/>
    <w:rsid w:val="007E26BD"/>
    <w:rsid w:val="007E27BA"/>
    <w:rsid w:val="007E38E3"/>
    <w:rsid w:val="007E38EC"/>
    <w:rsid w:val="007E478F"/>
    <w:rsid w:val="007E4B2E"/>
    <w:rsid w:val="007E4CA8"/>
    <w:rsid w:val="007E4CEE"/>
    <w:rsid w:val="007E51E6"/>
    <w:rsid w:val="007E5248"/>
    <w:rsid w:val="007E557D"/>
    <w:rsid w:val="007E56DA"/>
    <w:rsid w:val="007E5C8C"/>
    <w:rsid w:val="007E5D6A"/>
    <w:rsid w:val="007E5F4D"/>
    <w:rsid w:val="007E62C9"/>
    <w:rsid w:val="007E6F00"/>
    <w:rsid w:val="007F049D"/>
    <w:rsid w:val="007F0613"/>
    <w:rsid w:val="007F0F57"/>
    <w:rsid w:val="007F157D"/>
    <w:rsid w:val="007F16B9"/>
    <w:rsid w:val="007F1F6B"/>
    <w:rsid w:val="007F2DCA"/>
    <w:rsid w:val="007F3398"/>
    <w:rsid w:val="007F34E2"/>
    <w:rsid w:val="007F4163"/>
    <w:rsid w:val="007F486F"/>
    <w:rsid w:val="007F4B71"/>
    <w:rsid w:val="007F4C62"/>
    <w:rsid w:val="007F514C"/>
    <w:rsid w:val="007F5539"/>
    <w:rsid w:val="007F5A49"/>
    <w:rsid w:val="007F5ADB"/>
    <w:rsid w:val="007F6613"/>
    <w:rsid w:val="007F66C2"/>
    <w:rsid w:val="007F6DED"/>
    <w:rsid w:val="007F6E95"/>
    <w:rsid w:val="007F7539"/>
    <w:rsid w:val="007F79A6"/>
    <w:rsid w:val="007F7A6A"/>
    <w:rsid w:val="007F7AFF"/>
    <w:rsid w:val="007F7E16"/>
    <w:rsid w:val="0080051F"/>
    <w:rsid w:val="008007D1"/>
    <w:rsid w:val="00800911"/>
    <w:rsid w:val="008009ED"/>
    <w:rsid w:val="00800EC3"/>
    <w:rsid w:val="00801F30"/>
    <w:rsid w:val="008028DE"/>
    <w:rsid w:val="00802E3D"/>
    <w:rsid w:val="0080322A"/>
    <w:rsid w:val="0080356A"/>
    <w:rsid w:val="00803697"/>
    <w:rsid w:val="008037B7"/>
    <w:rsid w:val="008039CD"/>
    <w:rsid w:val="00803AE7"/>
    <w:rsid w:val="00803E0B"/>
    <w:rsid w:val="0080417A"/>
    <w:rsid w:val="0080477F"/>
    <w:rsid w:val="00804987"/>
    <w:rsid w:val="008056FF"/>
    <w:rsid w:val="00805733"/>
    <w:rsid w:val="00805759"/>
    <w:rsid w:val="00805BC4"/>
    <w:rsid w:val="00805BE6"/>
    <w:rsid w:val="00805E79"/>
    <w:rsid w:val="008060A0"/>
    <w:rsid w:val="008062C6"/>
    <w:rsid w:val="00806C52"/>
    <w:rsid w:val="008076F3"/>
    <w:rsid w:val="0080781F"/>
    <w:rsid w:val="00807F16"/>
    <w:rsid w:val="00807F1D"/>
    <w:rsid w:val="0081039F"/>
    <w:rsid w:val="00810760"/>
    <w:rsid w:val="008111BC"/>
    <w:rsid w:val="008114FA"/>
    <w:rsid w:val="00811505"/>
    <w:rsid w:val="008116AA"/>
    <w:rsid w:val="0081245B"/>
    <w:rsid w:val="00812C67"/>
    <w:rsid w:val="008131D4"/>
    <w:rsid w:val="00813AC0"/>
    <w:rsid w:val="00813B10"/>
    <w:rsid w:val="00813F2E"/>
    <w:rsid w:val="008141DC"/>
    <w:rsid w:val="00814C39"/>
    <w:rsid w:val="00816263"/>
    <w:rsid w:val="008164D3"/>
    <w:rsid w:val="00816547"/>
    <w:rsid w:val="0081668B"/>
    <w:rsid w:val="008169AC"/>
    <w:rsid w:val="008169CD"/>
    <w:rsid w:val="0081773A"/>
    <w:rsid w:val="00820026"/>
    <w:rsid w:val="0082014D"/>
    <w:rsid w:val="00820253"/>
    <w:rsid w:val="00820BBA"/>
    <w:rsid w:val="00821574"/>
    <w:rsid w:val="00822023"/>
    <w:rsid w:val="00822239"/>
    <w:rsid w:val="0082229E"/>
    <w:rsid w:val="0082258D"/>
    <w:rsid w:val="00823086"/>
    <w:rsid w:val="0082375B"/>
    <w:rsid w:val="00823938"/>
    <w:rsid w:val="00823DED"/>
    <w:rsid w:val="008242CC"/>
    <w:rsid w:val="00824734"/>
    <w:rsid w:val="008247AC"/>
    <w:rsid w:val="00824A4B"/>
    <w:rsid w:val="00824A6E"/>
    <w:rsid w:val="0082520B"/>
    <w:rsid w:val="00825877"/>
    <w:rsid w:val="00825FCF"/>
    <w:rsid w:val="00826208"/>
    <w:rsid w:val="00826329"/>
    <w:rsid w:val="00827E65"/>
    <w:rsid w:val="00827F33"/>
    <w:rsid w:val="00830211"/>
    <w:rsid w:val="00830372"/>
    <w:rsid w:val="00830680"/>
    <w:rsid w:val="00830B99"/>
    <w:rsid w:val="00830EBD"/>
    <w:rsid w:val="008314BD"/>
    <w:rsid w:val="0083179E"/>
    <w:rsid w:val="008319D0"/>
    <w:rsid w:val="00831C22"/>
    <w:rsid w:val="00832289"/>
    <w:rsid w:val="008323E4"/>
    <w:rsid w:val="0083246D"/>
    <w:rsid w:val="008332D6"/>
    <w:rsid w:val="00833370"/>
    <w:rsid w:val="008334D0"/>
    <w:rsid w:val="0083358F"/>
    <w:rsid w:val="00833F32"/>
    <w:rsid w:val="008341BA"/>
    <w:rsid w:val="008346E9"/>
    <w:rsid w:val="008352FC"/>
    <w:rsid w:val="0083590F"/>
    <w:rsid w:val="00835AF3"/>
    <w:rsid w:val="008362EB"/>
    <w:rsid w:val="008365EB"/>
    <w:rsid w:val="00836757"/>
    <w:rsid w:val="00836899"/>
    <w:rsid w:val="008370AC"/>
    <w:rsid w:val="008374C1"/>
    <w:rsid w:val="00837743"/>
    <w:rsid w:val="00837BB9"/>
    <w:rsid w:val="00837CF2"/>
    <w:rsid w:val="00837D23"/>
    <w:rsid w:val="00837EA6"/>
    <w:rsid w:val="008401CE"/>
    <w:rsid w:val="00840302"/>
    <w:rsid w:val="008405C2"/>
    <w:rsid w:val="0084095D"/>
    <w:rsid w:val="00840986"/>
    <w:rsid w:val="00840C7C"/>
    <w:rsid w:val="00840E6E"/>
    <w:rsid w:val="00841318"/>
    <w:rsid w:val="0084147F"/>
    <w:rsid w:val="0084161B"/>
    <w:rsid w:val="00841AB1"/>
    <w:rsid w:val="00841D23"/>
    <w:rsid w:val="00842119"/>
    <w:rsid w:val="00842619"/>
    <w:rsid w:val="008429A9"/>
    <w:rsid w:val="008429D3"/>
    <w:rsid w:val="00842AE9"/>
    <w:rsid w:val="00842D87"/>
    <w:rsid w:val="0084397D"/>
    <w:rsid w:val="00843D8B"/>
    <w:rsid w:val="008442AB"/>
    <w:rsid w:val="008449CA"/>
    <w:rsid w:val="00844A94"/>
    <w:rsid w:val="00844F08"/>
    <w:rsid w:val="00845116"/>
    <w:rsid w:val="008451D5"/>
    <w:rsid w:val="0084597B"/>
    <w:rsid w:val="00845B59"/>
    <w:rsid w:val="00845C92"/>
    <w:rsid w:val="00846062"/>
    <w:rsid w:val="008461B9"/>
    <w:rsid w:val="00846455"/>
    <w:rsid w:val="008466A1"/>
    <w:rsid w:val="008466EA"/>
    <w:rsid w:val="00846D79"/>
    <w:rsid w:val="00847A3A"/>
    <w:rsid w:val="0085027E"/>
    <w:rsid w:val="00850AD4"/>
    <w:rsid w:val="00850E94"/>
    <w:rsid w:val="00851055"/>
    <w:rsid w:val="008511D7"/>
    <w:rsid w:val="00851A0F"/>
    <w:rsid w:val="00851E40"/>
    <w:rsid w:val="00852715"/>
    <w:rsid w:val="00852725"/>
    <w:rsid w:val="00852F77"/>
    <w:rsid w:val="00853D38"/>
    <w:rsid w:val="0085448D"/>
    <w:rsid w:val="00854716"/>
    <w:rsid w:val="00854A23"/>
    <w:rsid w:val="008555D5"/>
    <w:rsid w:val="0085594E"/>
    <w:rsid w:val="00855BC3"/>
    <w:rsid w:val="00856262"/>
    <w:rsid w:val="00856FD1"/>
    <w:rsid w:val="0085724C"/>
    <w:rsid w:val="0085765E"/>
    <w:rsid w:val="008576E9"/>
    <w:rsid w:val="00857BC5"/>
    <w:rsid w:val="00857E1C"/>
    <w:rsid w:val="00857E3F"/>
    <w:rsid w:val="00860858"/>
    <w:rsid w:val="00860B01"/>
    <w:rsid w:val="00860BF7"/>
    <w:rsid w:val="0086178B"/>
    <w:rsid w:val="00861887"/>
    <w:rsid w:val="00861AC1"/>
    <w:rsid w:val="00863181"/>
    <w:rsid w:val="008635B6"/>
    <w:rsid w:val="00863755"/>
    <w:rsid w:val="008637D0"/>
    <w:rsid w:val="008640CB"/>
    <w:rsid w:val="00864195"/>
    <w:rsid w:val="008643E8"/>
    <w:rsid w:val="008646AE"/>
    <w:rsid w:val="00864D35"/>
    <w:rsid w:val="00864E9C"/>
    <w:rsid w:val="008650A5"/>
    <w:rsid w:val="00865358"/>
    <w:rsid w:val="00865C6D"/>
    <w:rsid w:val="008662F7"/>
    <w:rsid w:val="0086709A"/>
    <w:rsid w:val="008674B1"/>
    <w:rsid w:val="008675DD"/>
    <w:rsid w:val="00867CF0"/>
    <w:rsid w:val="00867E52"/>
    <w:rsid w:val="00870097"/>
    <w:rsid w:val="00870718"/>
    <w:rsid w:val="00870958"/>
    <w:rsid w:val="00870B92"/>
    <w:rsid w:val="0087171B"/>
    <w:rsid w:val="008717AD"/>
    <w:rsid w:val="00871B0F"/>
    <w:rsid w:val="00871BC9"/>
    <w:rsid w:val="00871E97"/>
    <w:rsid w:val="00871F98"/>
    <w:rsid w:val="008720FC"/>
    <w:rsid w:val="008722EB"/>
    <w:rsid w:val="0087235C"/>
    <w:rsid w:val="00872728"/>
    <w:rsid w:val="0087283E"/>
    <w:rsid w:val="008729F5"/>
    <w:rsid w:val="00872FE3"/>
    <w:rsid w:val="008731C5"/>
    <w:rsid w:val="00873379"/>
    <w:rsid w:val="0087342C"/>
    <w:rsid w:val="008735F7"/>
    <w:rsid w:val="00873684"/>
    <w:rsid w:val="0087375A"/>
    <w:rsid w:val="00873B33"/>
    <w:rsid w:val="00873EC0"/>
    <w:rsid w:val="00873F27"/>
    <w:rsid w:val="00874116"/>
    <w:rsid w:val="0087461F"/>
    <w:rsid w:val="00874AEC"/>
    <w:rsid w:val="00874E3C"/>
    <w:rsid w:val="00874F3D"/>
    <w:rsid w:val="008755AC"/>
    <w:rsid w:val="00875C4B"/>
    <w:rsid w:val="00875FCC"/>
    <w:rsid w:val="00876224"/>
    <w:rsid w:val="008763C4"/>
    <w:rsid w:val="00876697"/>
    <w:rsid w:val="008775B1"/>
    <w:rsid w:val="0087773B"/>
    <w:rsid w:val="00877A9D"/>
    <w:rsid w:val="00877E41"/>
    <w:rsid w:val="0088019E"/>
    <w:rsid w:val="00880853"/>
    <w:rsid w:val="00880F73"/>
    <w:rsid w:val="008812ED"/>
    <w:rsid w:val="00881677"/>
    <w:rsid w:val="0088190E"/>
    <w:rsid w:val="00881B9A"/>
    <w:rsid w:val="00881C9D"/>
    <w:rsid w:val="00881F2A"/>
    <w:rsid w:val="00882480"/>
    <w:rsid w:val="008831E1"/>
    <w:rsid w:val="00883787"/>
    <w:rsid w:val="00883CD8"/>
    <w:rsid w:val="00884454"/>
    <w:rsid w:val="008844DA"/>
    <w:rsid w:val="0088452E"/>
    <w:rsid w:val="00884716"/>
    <w:rsid w:val="008847B6"/>
    <w:rsid w:val="008847F2"/>
    <w:rsid w:val="008848F2"/>
    <w:rsid w:val="00884AF3"/>
    <w:rsid w:val="00884B63"/>
    <w:rsid w:val="00884CBE"/>
    <w:rsid w:val="00884E73"/>
    <w:rsid w:val="00884F74"/>
    <w:rsid w:val="008851F1"/>
    <w:rsid w:val="00885A35"/>
    <w:rsid w:val="00885A3B"/>
    <w:rsid w:val="00885B3E"/>
    <w:rsid w:val="008861E6"/>
    <w:rsid w:val="008865CF"/>
    <w:rsid w:val="00886E32"/>
    <w:rsid w:val="00886E59"/>
    <w:rsid w:val="00886F8A"/>
    <w:rsid w:val="008874CD"/>
    <w:rsid w:val="0088771F"/>
    <w:rsid w:val="008879A1"/>
    <w:rsid w:val="00887F88"/>
    <w:rsid w:val="00890187"/>
    <w:rsid w:val="008906B9"/>
    <w:rsid w:val="00890B1B"/>
    <w:rsid w:val="008911A2"/>
    <w:rsid w:val="00891C7A"/>
    <w:rsid w:val="00891FB3"/>
    <w:rsid w:val="0089232F"/>
    <w:rsid w:val="00893316"/>
    <w:rsid w:val="00893D65"/>
    <w:rsid w:val="008944D5"/>
    <w:rsid w:val="008948D6"/>
    <w:rsid w:val="00894C6B"/>
    <w:rsid w:val="00894E4D"/>
    <w:rsid w:val="00895229"/>
    <w:rsid w:val="008955F5"/>
    <w:rsid w:val="00895D63"/>
    <w:rsid w:val="00895DA4"/>
    <w:rsid w:val="00895EFF"/>
    <w:rsid w:val="0089624F"/>
    <w:rsid w:val="0089627A"/>
    <w:rsid w:val="00896A19"/>
    <w:rsid w:val="008973EF"/>
    <w:rsid w:val="008A0078"/>
    <w:rsid w:val="008A0367"/>
    <w:rsid w:val="008A05B7"/>
    <w:rsid w:val="008A065E"/>
    <w:rsid w:val="008A10C8"/>
    <w:rsid w:val="008A1552"/>
    <w:rsid w:val="008A17B6"/>
    <w:rsid w:val="008A1C39"/>
    <w:rsid w:val="008A1D0D"/>
    <w:rsid w:val="008A1D65"/>
    <w:rsid w:val="008A271A"/>
    <w:rsid w:val="008A2731"/>
    <w:rsid w:val="008A2B33"/>
    <w:rsid w:val="008A2C50"/>
    <w:rsid w:val="008A2F2D"/>
    <w:rsid w:val="008A331B"/>
    <w:rsid w:val="008A3594"/>
    <w:rsid w:val="008A3744"/>
    <w:rsid w:val="008A37BD"/>
    <w:rsid w:val="008A383F"/>
    <w:rsid w:val="008A3AE2"/>
    <w:rsid w:val="008A3B83"/>
    <w:rsid w:val="008A3EC0"/>
    <w:rsid w:val="008A4734"/>
    <w:rsid w:val="008A4D46"/>
    <w:rsid w:val="008A50FC"/>
    <w:rsid w:val="008A5230"/>
    <w:rsid w:val="008A5A7C"/>
    <w:rsid w:val="008A5AC1"/>
    <w:rsid w:val="008A6A2E"/>
    <w:rsid w:val="008A70B5"/>
    <w:rsid w:val="008A77FE"/>
    <w:rsid w:val="008A7FD7"/>
    <w:rsid w:val="008B0679"/>
    <w:rsid w:val="008B0742"/>
    <w:rsid w:val="008B094E"/>
    <w:rsid w:val="008B0A68"/>
    <w:rsid w:val="008B0C10"/>
    <w:rsid w:val="008B0D20"/>
    <w:rsid w:val="008B103F"/>
    <w:rsid w:val="008B12D2"/>
    <w:rsid w:val="008B143A"/>
    <w:rsid w:val="008B1687"/>
    <w:rsid w:val="008B2096"/>
    <w:rsid w:val="008B20D6"/>
    <w:rsid w:val="008B2AE3"/>
    <w:rsid w:val="008B38D3"/>
    <w:rsid w:val="008B38DE"/>
    <w:rsid w:val="008B5540"/>
    <w:rsid w:val="008B58E5"/>
    <w:rsid w:val="008B58F0"/>
    <w:rsid w:val="008B599C"/>
    <w:rsid w:val="008B5B12"/>
    <w:rsid w:val="008B5FF5"/>
    <w:rsid w:val="008B60D2"/>
    <w:rsid w:val="008B638F"/>
    <w:rsid w:val="008B6510"/>
    <w:rsid w:val="008B658A"/>
    <w:rsid w:val="008B6A70"/>
    <w:rsid w:val="008B75CC"/>
    <w:rsid w:val="008B76D2"/>
    <w:rsid w:val="008B7AB0"/>
    <w:rsid w:val="008C0099"/>
    <w:rsid w:val="008C014F"/>
    <w:rsid w:val="008C023F"/>
    <w:rsid w:val="008C0293"/>
    <w:rsid w:val="008C03AF"/>
    <w:rsid w:val="008C1014"/>
    <w:rsid w:val="008C1080"/>
    <w:rsid w:val="008C12DE"/>
    <w:rsid w:val="008C18A5"/>
    <w:rsid w:val="008C1D69"/>
    <w:rsid w:val="008C20AA"/>
    <w:rsid w:val="008C24F7"/>
    <w:rsid w:val="008C257F"/>
    <w:rsid w:val="008C29B9"/>
    <w:rsid w:val="008C2CC0"/>
    <w:rsid w:val="008C3086"/>
    <w:rsid w:val="008C312A"/>
    <w:rsid w:val="008C31E9"/>
    <w:rsid w:val="008C3437"/>
    <w:rsid w:val="008C3569"/>
    <w:rsid w:val="008C37BB"/>
    <w:rsid w:val="008C39DB"/>
    <w:rsid w:val="008C3B42"/>
    <w:rsid w:val="008C3D4B"/>
    <w:rsid w:val="008C3D99"/>
    <w:rsid w:val="008C3EA5"/>
    <w:rsid w:val="008C3EAE"/>
    <w:rsid w:val="008C4700"/>
    <w:rsid w:val="008C48CF"/>
    <w:rsid w:val="008C4C24"/>
    <w:rsid w:val="008C4CD4"/>
    <w:rsid w:val="008C4DF7"/>
    <w:rsid w:val="008C5126"/>
    <w:rsid w:val="008C520C"/>
    <w:rsid w:val="008C5395"/>
    <w:rsid w:val="008C53C5"/>
    <w:rsid w:val="008C5BCD"/>
    <w:rsid w:val="008C61E6"/>
    <w:rsid w:val="008C69DD"/>
    <w:rsid w:val="008C6A5A"/>
    <w:rsid w:val="008C6ACE"/>
    <w:rsid w:val="008C7199"/>
    <w:rsid w:val="008C7305"/>
    <w:rsid w:val="008C74C3"/>
    <w:rsid w:val="008D03CC"/>
    <w:rsid w:val="008D062D"/>
    <w:rsid w:val="008D099E"/>
    <w:rsid w:val="008D0A23"/>
    <w:rsid w:val="008D0CD4"/>
    <w:rsid w:val="008D0E01"/>
    <w:rsid w:val="008D0FF4"/>
    <w:rsid w:val="008D1272"/>
    <w:rsid w:val="008D146C"/>
    <w:rsid w:val="008D154A"/>
    <w:rsid w:val="008D19F1"/>
    <w:rsid w:val="008D1FDA"/>
    <w:rsid w:val="008D2002"/>
    <w:rsid w:val="008D216D"/>
    <w:rsid w:val="008D252C"/>
    <w:rsid w:val="008D2702"/>
    <w:rsid w:val="008D27C7"/>
    <w:rsid w:val="008D2BB0"/>
    <w:rsid w:val="008D2E3C"/>
    <w:rsid w:val="008D2E92"/>
    <w:rsid w:val="008D3004"/>
    <w:rsid w:val="008D31AF"/>
    <w:rsid w:val="008D32C3"/>
    <w:rsid w:val="008D3504"/>
    <w:rsid w:val="008D3548"/>
    <w:rsid w:val="008D36A9"/>
    <w:rsid w:val="008D38A4"/>
    <w:rsid w:val="008D3DF3"/>
    <w:rsid w:val="008D3F22"/>
    <w:rsid w:val="008D3F36"/>
    <w:rsid w:val="008D4274"/>
    <w:rsid w:val="008D4813"/>
    <w:rsid w:val="008D484C"/>
    <w:rsid w:val="008D4BEE"/>
    <w:rsid w:val="008D4D30"/>
    <w:rsid w:val="008D5034"/>
    <w:rsid w:val="008D513E"/>
    <w:rsid w:val="008D53E4"/>
    <w:rsid w:val="008D5634"/>
    <w:rsid w:val="008D6054"/>
    <w:rsid w:val="008D61F8"/>
    <w:rsid w:val="008D62C6"/>
    <w:rsid w:val="008D6609"/>
    <w:rsid w:val="008D698D"/>
    <w:rsid w:val="008D6A37"/>
    <w:rsid w:val="008D71B9"/>
    <w:rsid w:val="008D736A"/>
    <w:rsid w:val="008D7476"/>
    <w:rsid w:val="008E04B4"/>
    <w:rsid w:val="008E0636"/>
    <w:rsid w:val="008E0639"/>
    <w:rsid w:val="008E0CD7"/>
    <w:rsid w:val="008E113A"/>
    <w:rsid w:val="008E180B"/>
    <w:rsid w:val="008E206B"/>
    <w:rsid w:val="008E21D5"/>
    <w:rsid w:val="008E2727"/>
    <w:rsid w:val="008E30D1"/>
    <w:rsid w:val="008E3117"/>
    <w:rsid w:val="008E3332"/>
    <w:rsid w:val="008E3D27"/>
    <w:rsid w:val="008E407D"/>
    <w:rsid w:val="008E4223"/>
    <w:rsid w:val="008E44B7"/>
    <w:rsid w:val="008E44C3"/>
    <w:rsid w:val="008E46A0"/>
    <w:rsid w:val="008E4D8D"/>
    <w:rsid w:val="008E4E08"/>
    <w:rsid w:val="008E4E22"/>
    <w:rsid w:val="008E5555"/>
    <w:rsid w:val="008E5FE9"/>
    <w:rsid w:val="008E661C"/>
    <w:rsid w:val="008E6A68"/>
    <w:rsid w:val="008E6C86"/>
    <w:rsid w:val="008E6D79"/>
    <w:rsid w:val="008E77E7"/>
    <w:rsid w:val="008F00AE"/>
    <w:rsid w:val="008F04D5"/>
    <w:rsid w:val="008F0B7C"/>
    <w:rsid w:val="008F0C2A"/>
    <w:rsid w:val="008F0C7D"/>
    <w:rsid w:val="008F13B6"/>
    <w:rsid w:val="008F16C6"/>
    <w:rsid w:val="008F19FB"/>
    <w:rsid w:val="008F1A6F"/>
    <w:rsid w:val="008F2277"/>
    <w:rsid w:val="008F2563"/>
    <w:rsid w:val="008F2BA9"/>
    <w:rsid w:val="008F2F1C"/>
    <w:rsid w:val="008F3199"/>
    <w:rsid w:val="008F3609"/>
    <w:rsid w:val="008F3B92"/>
    <w:rsid w:val="008F4193"/>
    <w:rsid w:val="008F45F9"/>
    <w:rsid w:val="008F4C57"/>
    <w:rsid w:val="008F52C1"/>
    <w:rsid w:val="008F5979"/>
    <w:rsid w:val="008F5E20"/>
    <w:rsid w:val="008F5FA4"/>
    <w:rsid w:val="008F6079"/>
    <w:rsid w:val="008F614F"/>
    <w:rsid w:val="008F629D"/>
    <w:rsid w:val="008F643B"/>
    <w:rsid w:val="008F6475"/>
    <w:rsid w:val="008F6FAE"/>
    <w:rsid w:val="008F73A8"/>
    <w:rsid w:val="008F7E73"/>
    <w:rsid w:val="00900111"/>
    <w:rsid w:val="0090016D"/>
    <w:rsid w:val="0090085E"/>
    <w:rsid w:val="00900E85"/>
    <w:rsid w:val="00901E73"/>
    <w:rsid w:val="00902C8E"/>
    <w:rsid w:val="009037FF"/>
    <w:rsid w:val="00903D8C"/>
    <w:rsid w:val="00903FCC"/>
    <w:rsid w:val="009041B3"/>
    <w:rsid w:val="00904343"/>
    <w:rsid w:val="00904AC8"/>
    <w:rsid w:val="00904B43"/>
    <w:rsid w:val="00904BF5"/>
    <w:rsid w:val="00904F17"/>
    <w:rsid w:val="00905368"/>
    <w:rsid w:val="00905581"/>
    <w:rsid w:val="0090564B"/>
    <w:rsid w:val="0090589D"/>
    <w:rsid w:val="009059E2"/>
    <w:rsid w:val="00905C3B"/>
    <w:rsid w:val="00905F1B"/>
    <w:rsid w:val="00906006"/>
    <w:rsid w:val="0090694C"/>
    <w:rsid w:val="0090714E"/>
    <w:rsid w:val="00907155"/>
    <w:rsid w:val="009071C5"/>
    <w:rsid w:val="00907A48"/>
    <w:rsid w:val="00907F44"/>
    <w:rsid w:val="0091085F"/>
    <w:rsid w:val="009108FB"/>
    <w:rsid w:val="00910C8B"/>
    <w:rsid w:val="00910F87"/>
    <w:rsid w:val="00911209"/>
    <w:rsid w:val="00911E26"/>
    <w:rsid w:val="00911FFD"/>
    <w:rsid w:val="009128FF"/>
    <w:rsid w:val="009135B5"/>
    <w:rsid w:val="00913C4B"/>
    <w:rsid w:val="00914344"/>
    <w:rsid w:val="009143C1"/>
    <w:rsid w:val="009143D9"/>
    <w:rsid w:val="0091494D"/>
    <w:rsid w:val="00914985"/>
    <w:rsid w:val="00914C6B"/>
    <w:rsid w:val="00915271"/>
    <w:rsid w:val="00915417"/>
    <w:rsid w:val="009165C7"/>
    <w:rsid w:val="00916C93"/>
    <w:rsid w:val="00917195"/>
    <w:rsid w:val="009171F3"/>
    <w:rsid w:val="009173CA"/>
    <w:rsid w:val="00917418"/>
    <w:rsid w:val="009174AB"/>
    <w:rsid w:val="0091760C"/>
    <w:rsid w:val="0091785A"/>
    <w:rsid w:val="00917C71"/>
    <w:rsid w:val="00920978"/>
    <w:rsid w:val="00920E92"/>
    <w:rsid w:val="0092101E"/>
    <w:rsid w:val="0092163F"/>
    <w:rsid w:val="0092165B"/>
    <w:rsid w:val="00921EB6"/>
    <w:rsid w:val="00922162"/>
    <w:rsid w:val="0092216E"/>
    <w:rsid w:val="009222EE"/>
    <w:rsid w:val="00922353"/>
    <w:rsid w:val="009224B2"/>
    <w:rsid w:val="0092262B"/>
    <w:rsid w:val="00922C17"/>
    <w:rsid w:val="0092342D"/>
    <w:rsid w:val="0092375D"/>
    <w:rsid w:val="009238D9"/>
    <w:rsid w:val="00923A7C"/>
    <w:rsid w:val="00923B77"/>
    <w:rsid w:val="00923ED7"/>
    <w:rsid w:val="00924549"/>
    <w:rsid w:val="009248A5"/>
    <w:rsid w:val="00924CE6"/>
    <w:rsid w:val="00924D7F"/>
    <w:rsid w:val="00925358"/>
    <w:rsid w:val="00925BCD"/>
    <w:rsid w:val="00925BF6"/>
    <w:rsid w:val="00925E53"/>
    <w:rsid w:val="0092668F"/>
    <w:rsid w:val="0092687C"/>
    <w:rsid w:val="00926CE8"/>
    <w:rsid w:val="00926CF6"/>
    <w:rsid w:val="00927088"/>
    <w:rsid w:val="009272DB"/>
    <w:rsid w:val="0092736C"/>
    <w:rsid w:val="00927478"/>
    <w:rsid w:val="0092755E"/>
    <w:rsid w:val="00927B2E"/>
    <w:rsid w:val="00927DFC"/>
    <w:rsid w:val="00927F04"/>
    <w:rsid w:val="0093025C"/>
    <w:rsid w:val="00930842"/>
    <w:rsid w:val="0093198C"/>
    <w:rsid w:val="009319DC"/>
    <w:rsid w:val="009327F8"/>
    <w:rsid w:val="00932EAD"/>
    <w:rsid w:val="009331FB"/>
    <w:rsid w:val="00933218"/>
    <w:rsid w:val="009334FD"/>
    <w:rsid w:val="00933A18"/>
    <w:rsid w:val="00933AAF"/>
    <w:rsid w:val="00933BE6"/>
    <w:rsid w:val="00933D0F"/>
    <w:rsid w:val="00934365"/>
    <w:rsid w:val="0093461F"/>
    <w:rsid w:val="009348CC"/>
    <w:rsid w:val="00934D7D"/>
    <w:rsid w:val="00935540"/>
    <w:rsid w:val="009356E9"/>
    <w:rsid w:val="00935944"/>
    <w:rsid w:val="00935DBD"/>
    <w:rsid w:val="00935DD0"/>
    <w:rsid w:val="00936120"/>
    <w:rsid w:val="00936218"/>
    <w:rsid w:val="0093625B"/>
    <w:rsid w:val="009362C5"/>
    <w:rsid w:val="00936330"/>
    <w:rsid w:val="00936859"/>
    <w:rsid w:val="009370CA"/>
    <w:rsid w:val="009378B7"/>
    <w:rsid w:val="00937AA4"/>
    <w:rsid w:val="00937EDA"/>
    <w:rsid w:val="00937FC6"/>
    <w:rsid w:val="009406E2"/>
    <w:rsid w:val="009408A6"/>
    <w:rsid w:val="00940FE5"/>
    <w:rsid w:val="0094105A"/>
    <w:rsid w:val="0094108C"/>
    <w:rsid w:val="009418EA"/>
    <w:rsid w:val="00942B4B"/>
    <w:rsid w:val="009433BD"/>
    <w:rsid w:val="00944005"/>
    <w:rsid w:val="00944729"/>
    <w:rsid w:val="00944B48"/>
    <w:rsid w:val="00945D5A"/>
    <w:rsid w:val="00945D8E"/>
    <w:rsid w:val="0094602E"/>
    <w:rsid w:val="00946097"/>
    <w:rsid w:val="009462AB"/>
    <w:rsid w:val="00946B5B"/>
    <w:rsid w:val="00946FAD"/>
    <w:rsid w:val="00947025"/>
    <w:rsid w:val="0094738D"/>
    <w:rsid w:val="00947702"/>
    <w:rsid w:val="0094777F"/>
    <w:rsid w:val="00947B4F"/>
    <w:rsid w:val="0095053F"/>
    <w:rsid w:val="00950583"/>
    <w:rsid w:val="00950E9E"/>
    <w:rsid w:val="009512F7"/>
    <w:rsid w:val="00951B3C"/>
    <w:rsid w:val="00951BEB"/>
    <w:rsid w:val="00952ED4"/>
    <w:rsid w:val="00952FE5"/>
    <w:rsid w:val="009535E6"/>
    <w:rsid w:val="009537ED"/>
    <w:rsid w:val="00953A1A"/>
    <w:rsid w:val="00954746"/>
    <w:rsid w:val="0095480A"/>
    <w:rsid w:val="00955BA9"/>
    <w:rsid w:val="00955E69"/>
    <w:rsid w:val="009560E1"/>
    <w:rsid w:val="00956325"/>
    <w:rsid w:val="009563F4"/>
    <w:rsid w:val="0095642F"/>
    <w:rsid w:val="0095684F"/>
    <w:rsid w:val="00956A32"/>
    <w:rsid w:val="00956A3B"/>
    <w:rsid w:val="00957C7F"/>
    <w:rsid w:val="00957D05"/>
    <w:rsid w:val="00957D88"/>
    <w:rsid w:val="00960183"/>
    <w:rsid w:val="00960501"/>
    <w:rsid w:val="009606FB"/>
    <w:rsid w:val="009606FD"/>
    <w:rsid w:val="0096078D"/>
    <w:rsid w:val="0096083D"/>
    <w:rsid w:val="0096086D"/>
    <w:rsid w:val="009609F6"/>
    <w:rsid w:val="00960ABE"/>
    <w:rsid w:val="00961394"/>
    <w:rsid w:val="009616B2"/>
    <w:rsid w:val="00961A91"/>
    <w:rsid w:val="00961C06"/>
    <w:rsid w:val="00961E00"/>
    <w:rsid w:val="00961EFB"/>
    <w:rsid w:val="00962AC9"/>
    <w:rsid w:val="00962AF6"/>
    <w:rsid w:val="00962CF1"/>
    <w:rsid w:val="00962EEA"/>
    <w:rsid w:val="00963026"/>
    <w:rsid w:val="009635CD"/>
    <w:rsid w:val="00963844"/>
    <w:rsid w:val="0096422D"/>
    <w:rsid w:val="00964401"/>
    <w:rsid w:val="009646A9"/>
    <w:rsid w:val="00964783"/>
    <w:rsid w:val="009649F9"/>
    <w:rsid w:val="009650D5"/>
    <w:rsid w:val="00965239"/>
    <w:rsid w:val="009655A8"/>
    <w:rsid w:val="00965722"/>
    <w:rsid w:val="009657E5"/>
    <w:rsid w:val="00965824"/>
    <w:rsid w:val="00965932"/>
    <w:rsid w:val="00965E60"/>
    <w:rsid w:val="00966052"/>
    <w:rsid w:val="009668CA"/>
    <w:rsid w:val="00966D1D"/>
    <w:rsid w:val="00966D84"/>
    <w:rsid w:val="00966F96"/>
    <w:rsid w:val="00967567"/>
    <w:rsid w:val="0096768A"/>
    <w:rsid w:val="00967D9B"/>
    <w:rsid w:val="00967EB3"/>
    <w:rsid w:val="009704DE"/>
    <w:rsid w:val="00970795"/>
    <w:rsid w:val="00970E79"/>
    <w:rsid w:val="00971349"/>
    <w:rsid w:val="00971415"/>
    <w:rsid w:val="009718F0"/>
    <w:rsid w:val="00971951"/>
    <w:rsid w:val="00971EF0"/>
    <w:rsid w:val="009724A0"/>
    <w:rsid w:val="00972953"/>
    <w:rsid w:val="0097298F"/>
    <w:rsid w:val="00972FAF"/>
    <w:rsid w:val="009735A1"/>
    <w:rsid w:val="00973AAD"/>
    <w:rsid w:val="0097448F"/>
    <w:rsid w:val="00974B82"/>
    <w:rsid w:val="00974BED"/>
    <w:rsid w:val="00974E65"/>
    <w:rsid w:val="00974F46"/>
    <w:rsid w:val="0097570E"/>
    <w:rsid w:val="00975785"/>
    <w:rsid w:val="00975A73"/>
    <w:rsid w:val="00975C75"/>
    <w:rsid w:val="00975F4C"/>
    <w:rsid w:val="009767F8"/>
    <w:rsid w:val="00976C9B"/>
    <w:rsid w:val="009775F4"/>
    <w:rsid w:val="009779D9"/>
    <w:rsid w:val="009779E3"/>
    <w:rsid w:val="00977F61"/>
    <w:rsid w:val="00980971"/>
    <w:rsid w:val="00981B78"/>
    <w:rsid w:val="009820F6"/>
    <w:rsid w:val="00982105"/>
    <w:rsid w:val="0098217E"/>
    <w:rsid w:val="00982B63"/>
    <w:rsid w:val="00982C91"/>
    <w:rsid w:val="00982FA3"/>
    <w:rsid w:val="0098372E"/>
    <w:rsid w:val="00983B8F"/>
    <w:rsid w:val="00984111"/>
    <w:rsid w:val="009845D1"/>
    <w:rsid w:val="0098477E"/>
    <w:rsid w:val="00984ADA"/>
    <w:rsid w:val="00984F29"/>
    <w:rsid w:val="00984FBA"/>
    <w:rsid w:val="00985871"/>
    <w:rsid w:val="009858F3"/>
    <w:rsid w:val="00985CA9"/>
    <w:rsid w:val="00986D14"/>
    <w:rsid w:val="0098761A"/>
    <w:rsid w:val="00987A54"/>
    <w:rsid w:val="00987B0E"/>
    <w:rsid w:val="00987BBB"/>
    <w:rsid w:val="00987C13"/>
    <w:rsid w:val="00987E16"/>
    <w:rsid w:val="00990212"/>
    <w:rsid w:val="0099066A"/>
    <w:rsid w:val="00990783"/>
    <w:rsid w:val="00990A92"/>
    <w:rsid w:val="00991A2A"/>
    <w:rsid w:val="00991B71"/>
    <w:rsid w:val="00991D33"/>
    <w:rsid w:val="00991FBB"/>
    <w:rsid w:val="00992751"/>
    <w:rsid w:val="00992A6B"/>
    <w:rsid w:val="00992E69"/>
    <w:rsid w:val="00993684"/>
    <w:rsid w:val="00994280"/>
    <w:rsid w:val="00994699"/>
    <w:rsid w:val="009946EA"/>
    <w:rsid w:val="00994772"/>
    <w:rsid w:val="0099537C"/>
    <w:rsid w:val="009954B2"/>
    <w:rsid w:val="0099604F"/>
    <w:rsid w:val="009964E6"/>
    <w:rsid w:val="00996CE8"/>
    <w:rsid w:val="009970CE"/>
    <w:rsid w:val="00997CE4"/>
    <w:rsid w:val="00997CF7"/>
    <w:rsid w:val="00997DA3"/>
    <w:rsid w:val="009A06BC"/>
    <w:rsid w:val="009A0AF3"/>
    <w:rsid w:val="009A16AD"/>
    <w:rsid w:val="009A19EE"/>
    <w:rsid w:val="009A1CAC"/>
    <w:rsid w:val="009A1D8A"/>
    <w:rsid w:val="009A1F94"/>
    <w:rsid w:val="009A222B"/>
    <w:rsid w:val="009A24BE"/>
    <w:rsid w:val="009A274A"/>
    <w:rsid w:val="009A2B02"/>
    <w:rsid w:val="009A2F80"/>
    <w:rsid w:val="009A34A5"/>
    <w:rsid w:val="009A3964"/>
    <w:rsid w:val="009A399D"/>
    <w:rsid w:val="009A3D44"/>
    <w:rsid w:val="009A3E0C"/>
    <w:rsid w:val="009A4676"/>
    <w:rsid w:val="009A5BAE"/>
    <w:rsid w:val="009A5BDD"/>
    <w:rsid w:val="009A5F5B"/>
    <w:rsid w:val="009A6C79"/>
    <w:rsid w:val="009A7C12"/>
    <w:rsid w:val="009A7EA6"/>
    <w:rsid w:val="009B032A"/>
    <w:rsid w:val="009B063C"/>
    <w:rsid w:val="009B0A78"/>
    <w:rsid w:val="009B0E9D"/>
    <w:rsid w:val="009B16C8"/>
    <w:rsid w:val="009B2235"/>
    <w:rsid w:val="009B26E4"/>
    <w:rsid w:val="009B27BB"/>
    <w:rsid w:val="009B2F2C"/>
    <w:rsid w:val="009B3272"/>
    <w:rsid w:val="009B3434"/>
    <w:rsid w:val="009B37E9"/>
    <w:rsid w:val="009B3912"/>
    <w:rsid w:val="009B3BA2"/>
    <w:rsid w:val="009B43EC"/>
    <w:rsid w:val="009B49FB"/>
    <w:rsid w:val="009B4B1B"/>
    <w:rsid w:val="009B4B79"/>
    <w:rsid w:val="009B4C83"/>
    <w:rsid w:val="009B510B"/>
    <w:rsid w:val="009B553B"/>
    <w:rsid w:val="009B57CF"/>
    <w:rsid w:val="009B5949"/>
    <w:rsid w:val="009B5A3E"/>
    <w:rsid w:val="009B618E"/>
    <w:rsid w:val="009B6382"/>
    <w:rsid w:val="009B64C5"/>
    <w:rsid w:val="009B6A00"/>
    <w:rsid w:val="009B70F3"/>
    <w:rsid w:val="009B7D87"/>
    <w:rsid w:val="009C008F"/>
    <w:rsid w:val="009C1083"/>
    <w:rsid w:val="009C1437"/>
    <w:rsid w:val="009C1890"/>
    <w:rsid w:val="009C23A0"/>
    <w:rsid w:val="009C2624"/>
    <w:rsid w:val="009C2903"/>
    <w:rsid w:val="009C2C61"/>
    <w:rsid w:val="009C2F7E"/>
    <w:rsid w:val="009C3179"/>
    <w:rsid w:val="009C33FE"/>
    <w:rsid w:val="009C375B"/>
    <w:rsid w:val="009C40A0"/>
    <w:rsid w:val="009C40C1"/>
    <w:rsid w:val="009C41DD"/>
    <w:rsid w:val="009C42F1"/>
    <w:rsid w:val="009C43D5"/>
    <w:rsid w:val="009C4723"/>
    <w:rsid w:val="009C48AD"/>
    <w:rsid w:val="009C512A"/>
    <w:rsid w:val="009C5C84"/>
    <w:rsid w:val="009C607D"/>
    <w:rsid w:val="009C6209"/>
    <w:rsid w:val="009C623D"/>
    <w:rsid w:val="009C6BF6"/>
    <w:rsid w:val="009C742A"/>
    <w:rsid w:val="009C76F1"/>
    <w:rsid w:val="009C77FD"/>
    <w:rsid w:val="009C7839"/>
    <w:rsid w:val="009C7D44"/>
    <w:rsid w:val="009C7E7E"/>
    <w:rsid w:val="009C7E99"/>
    <w:rsid w:val="009D018A"/>
    <w:rsid w:val="009D0339"/>
    <w:rsid w:val="009D0AB1"/>
    <w:rsid w:val="009D0EAA"/>
    <w:rsid w:val="009D12D3"/>
    <w:rsid w:val="009D1552"/>
    <w:rsid w:val="009D2AB6"/>
    <w:rsid w:val="009D2ADB"/>
    <w:rsid w:val="009D35A1"/>
    <w:rsid w:val="009D4ED4"/>
    <w:rsid w:val="009D52B0"/>
    <w:rsid w:val="009D562E"/>
    <w:rsid w:val="009D604B"/>
    <w:rsid w:val="009D627A"/>
    <w:rsid w:val="009D687E"/>
    <w:rsid w:val="009D69FB"/>
    <w:rsid w:val="009D6B9E"/>
    <w:rsid w:val="009D75AE"/>
    <w:rsid w:val="009D76F8"/>
    <w:rsid w:val="009D7BEB"/>
    <w:rsid w:val="009E00D6"/>
    <w:rsid w:val="009E02A1"/>
    <w:rsid w:val="009E034F"/>
    <w:rsid w:val="009E0A75"/>
    <w:rsid w:val="009E0A76"/>
    <w:rsid w:val="009E0BEF"/>
    <w:rsid w:val="009E1131"/>
    <w:rsid w:val="009E122A"/>
    <w:rsid w:val="009E1959"/>
    <w:rsid w:val="009E1B13"/>
    <w:rsid w:val="009E1CA0"/>
    <w:rsid w:val="009E2386"/>
    <w:rsid w:val="009E2747"/>
    <w:rsid w:val="009E2BE4"/>
    <w:rsid w:val="009E2E7C"/>
    <w:rsid w:val="009E3309"/>
    <w:rsid w:val="009E4326"/>
    <w:rsid w:val="009E434D"/>
    <w:rsid w:val="009E43DD"/>
    <w:rsid w:val="009E43F1"/>
    <w:rsid w:val="009E4562"/>
    <w:rsid w:val="009E473E"/>
    <w:rsid w:val="009E4A81"/>
    <w:rsid w:val="009E4CF0"/>
    <w:rsid w:val="009E4E24"/>
    <w:rsid w:val="009E56A5"/>
    <w:rsid w:val="009E5A14"/>
    <w:rsid w:val="009E5C61"/>
    <w:rsid w:val="009E658C"/>
    <w:rsid w:val="009E6C50"/>
    <w:rsid w:val="009E6CB0"/>
    <w:rsid w:val="009E7176"/>
    <w:rsid w:val="009E7352"/>
    <w:rsid w:val="009E7463"/>
    <w:rsid w:val="009E7B4B"/>
    <w:rsid w:val="009F00A8"/>
    <w:rsid w:val="009F0266"/>
    <w:rsid w:val="009F0EDB"/>
    <w:rsid w:val="009F107A"/>
    <w:rsid w:val="009F115C"/>
    <w:rsid w:val="009F1F46"/>
    <w:rsid w:val="009F26A2"/>
    <w:rsid w:val="009F2B9E"/>
    <w:rsid w:val="009F37F9"/>
    <w:rsid w:val="009F3D24"/>
    <w:rsid w:val="009F4380"/>
    <w:rsid w:val="009F4A3D"/>
    <w:rsid w:val="009F5141"/>
    <w:rsid w:val="009F52F2"/>
    <w:rsid w:val="009F543D"/>
    <w:rsid w:val="009F667D"/>
    <w:rsid w:val="009F6888"/>
    <w:rsid w:val="009F68AD"/>
    <w:rsid w:val="009F6E74"/>
    <w:rsid w:val="009F754C"/>
    <w:rsid w:val="009F7636"/>
    <w:rsid w:val="009F7722"/>
    <w:rsid w:val="00A000BB"/>
    <w:rsid w:val="00A0056F"/>
    <w:rsid w:val="00A006BF"/>
    <w:rsid w:val="00A00FCD"/>
    <w:rsid w:val="00A00FDC"/>
    <w:rsid w:val="00A010D5"/>
    <w:rsid w:val="00A0140E"/>
    <w:rsid w:val="00A022F6"/>
    <w:rsid w:val="00A027B3"/>
    <w:rsid w:val="00A0418A"/>
    <w:rsid w:val="00A043BB"/>
    <w:rsid w:val="00A046A4"/>
    <w:rsid w:val="00A04CA7"/>
    <w:rsid w:val="00A05039"/>
    <w:rsid w:val="00A05BF4"/>
    <w:rsid w:val="00A0600D"/>
    <w:rsid w:val="00A06097"/>
    <w:rsid w:val="00A06273"/>
    <w:rsid w:val="00A067F8"/>
    <w:rsid w:val="00A0686B"/>
    <w:rsid w:val="00A068CB"/>
    <w:rsid w:val="00A06963"/>
    <w:rsid w:val="00A06EF4"/>
    <w:rsid w:val="00A072AA"/>
    <w:rsid w:val="00A072C6"/>
    <w:rsid w:val="00A1047E"/>
    <w:rsid w:val="00A10821"/>
    <w:rsid w:val="00A109BE"/>
    <w:rsid w:val="00A10C49"/>
    <w:rsid w:val="00A113C9"/>
    <w:rsid w:val="00A113FC"/>
    <w:rsid w:val="00A11779"/>
    <w:rsid w:val="00A12698"/>
    <w:rsid w:val="00A12906"/>
    <w:rsid w:val="00A12958"/>
    <w:rsid w:val="00A129E9"/>
    <w:rsid w:val="00A12FE2"/>
    <w:rsid w:val="00A135A9"/>
    <w:rsid w:val="00A136CF"/>
    <w:rsid w:val="00A13ACE"/>
    <w:rsid w:val="00A13DA1"/>
    <w:rsid w:val="00A13DEC"/>
    <w:rsid w:val="00A1415B"/>
    <w:rsid w:val="00A147A8"/>
    <w:rsid w:val="00A14822"/>
    <w:rsid w:val="00A14D7C"/>
    <w:rsid w:val="00A14DEB"/>
    <w:rsid w:val="00A1577D"/>
    <w:rsid w:val="00A15C47"/>
    <w:rsid w:val="00A15E69"/>
    <w:rsid w:val="00A15F7F"/>
    <w:rsid w:val="00A16524"/>
    <w:rsid w:val="00A168B9"/>
    <w:rsid w:val="00A16D9D"/>
    <w:rsid w:val="00A16EAD"/>
    <w:rsid w:val="00A16FA7"/>
    <w:rsid w:val="00A173BD"/>
    <w:rsid w:val="00A17539"/>
    <w:rsid w:val="00A176DD"/>
    <w:rsid w:val="00A17A90"/>
    <w:rsid w:val="00A200F6"/>
    <w:rsid w:val="00A206D8"/>
    <w:rsid w:val="00A20DEB"/>
    <w:rsid w:val="00A21026"/>
    <w:rsid w:val="00A21661"/>
    <w:rsid w:val="00A22C6D"/>
    <w:rsid w:val="00A22F2D"/>
    <w:rsid w:val="00A23242"/>
    <w:rsid w:val="00A2351D"/>
    <w:rsid w:val="00A23BB3"/>
    <w:rsid w:val="00A23D45"/>
    <w:rsid w:val="00A2487E"/>
    <w:rsid w:val="00A24B58"/>
    <w:rsid w:val="00A24CEC"/>
    <w:rsid w:val="00A25B13"/>
    <w:rsid w:val="00A25F10"/>
    <w:rsid w:val="00A2665A"/>
    <w:rsid w:val="00A26F98"/>
    <w:rsid w:val="00A270BC"/>
    <w:rsid w:val="00A27D12"/>
    <w:rsid w:val="00A3057B"/>
    <w:rsid w:val="00A30994"/>
    <w:rsid w:val="00A30A0D"/>
    <w:rsid w:val="00A30AB6"/>
    <w:rsid w:val="00A30B85"/>
    <w:rsid w:val="00A312FA"/>
    <w:rsid w:val="00A32286"/>
    <w:rsid w:val="00A32301"/>
    <w:rsid w:val="00A3246C"/>
    <w:rsid w:val="00A32ADB"/>
    <w:rsid w:val="00A33315"/>
    <w:rsid w:val="00A3375E"/>
    <w:rsid w:val="00A33851"/>
    <w:rsid w:val="00A3399C"/>
    <w:rsid w:val="00A33A61"/>
    <w:rsid w:val="00A34057"/>
    <w:rsid w:val="00A34706"/>
    <w:rsid w:val="00A347F1"/>
    <w:rsid w:val="00A349DB"/>
    <w:rsid w:val="00A34DE9"/>
    <w:rsid w:val="00A34E1B"/>
    <w:rsid w:val="00A34EC7"/>
    <w:rsid w:val="00A357B1"/>
    <w:rsid w:val="00A35AC3"/>
    <w:rsid w:val="00A361B5"/>
    <w:rsid w:val="00A36444"/>
    <w:rsid w:val="00A366AB"/>
    <w:rsid w:val="00A36718"/>
    <w:rsid w:val="00A36787"/>
    <w:rsid w:val="00A371C8"/>
    <w:rsid w:val="00A37B1F"/>
    <w:rsid w:val="00A40154"/>
    <w:rsid w:val="00A40321"/>
    <w:rsid w:val="00A4049F"/>
    <w:rsid w:val="00A40582"/>
    <w:rsid w:val="00A405CD"/>
    <w:rsid w:val="00A4087E"/>
    <w:rsid w:val="00A408C5"/>
    <w:rsid w:val="00A40CAB"/>
    <w:rsid w:val="00A40FF3"/>
    <w:rsid w:val="00A4117D"/>
    <w:rsid w:val="00A413E6"/>
    <w:rsid w:val="00A414A0"/>
    <w:rsid w:val="00A41617"/>
    <w:rsid w:val="00A417AE"/>
    <w:rsid w:val="00A417C0"/>
    <w:rsid w:val="00A41B49"/>
    <w:rsid w:val="00A41BD6"/>
    <w:rsid w:val="00A421E3"/>
    <w:rsid w:val="00A42942"/>
    <w:rsid w:val="00A42BAD"/>
    <w:rsid w:val="00A42C17"/>
    <w:rsid w:val="00A42E49"/>
    <w:rsid w:val="00A4321D"/>
    <w:rsid w:val="00A43765"/>
    <w:rsid w:val="00A442D7"/>
    <w:rsid w:val="00A442EF"/>
    <w:rsid w:val="00A44878"/>
    <w:rsid w:val="00A449F4"/>
    <w:rsid w:val="00A45941"/>
    <w:rsid w:val="00A45C89"/>
    <w:rsid w:val="00A46620"/>
    <w:rsid w:val="00A46665"/>
    <w:rsid w:val="00A46929"/>
    <w:rsid w:val="00A47267"/>
    <w:rsid w:val="00A472D6"/>
    <w:rsid w:val="00A47932"/>
    <w:rsid w:val="00A479E9"/>
    <w:rsid w:val="00A47C1D"/>
    <w:rsid w:val="00A47ED8"/>
    <w:rsid w:val="00A47F79"/>
    <w:rsid w:val="00A5014B"/>
    <w:rsid w:val="00A5066D"/>
    <w:rsid w:val="00A508FB"/>
    <w:rsid w:val="00A5129F"/>
    <w:rsid w:val="00A5222A"/>
    <w:rsid w:val="00A522F7"/>
    <w:rsid w:val="00A52525"/>
    <w:rsid w:val="00A525F4"/>
    <w:rsid w:val="00A52608"/>
    <w:rsid w:val="00A5280E"/>
    <w:rsid w:val="00A5292B"/>
    <w:rsid w:val="00A52AF0"/>
    <w:rsid w:val="00A52E6A"/>
    <w:rsid w:val="00A52EC9"/>
    <w:rsid w:val="00A534DB"/>
    <w:rsid w:val="00A539D8"/>
    <w:rsid w:val="00A53A42"/>
    <w:rsid w:val="00A53FCB"/>
    <w:rsid w:val="00A53FEA"/>
    <w:rsid w:val="00A54024"/>
    <w:rsid w:val="00A543A7"/>
    <w:rsid w:val="00A543E5"/>
    <w:rsid w:val="00A545CC"/>
    <w:rsid w:val="00A547C1"/>
    <w:rsid w:val="00A54991"/>
    <w:rsid w:val="00A55210"/>
    <w:rsid w:val="00A556F2"/>
    <w:rsid w:val="00A57802"/>
    <w:rsid w:val="00A57A93"/>
    <w:rsid w:val="00A57CA5"/>
    <w:rsid w:val="00A60C85"/>
    <w:rsid w:val="00A60E05"/>
    <w:rsid w:val="00A612F9"/>
    <w:rsid w:val="00A61880"/>
    <w:rsid w:val="00A61B7B"/>
    <w:rsid w:val="00A61E05"/>
    <w:rsid w:val="00A62097"/>
    <w:rsid w:val="00A626F2"/>
    <w:rsid w:val="00A62D80"/>
    <w:rsid w:val="00A630DC"/>
    <w:rsid w:val="00A63263"/>
    <w:rsid w:val="00A63638"/>
    <w:rsid w:val="00A63644"/>
    <w:rsid w:val="00A63708"/>
    <w:rsid w:val="00A63ECA"/>
    <w:rsid w:val="00A648FE"/>
    <w:rsid w:val="00A6506D"/>
    <w:rsid w:val="00A6512D"/>
    <w:rsid w:val="00A6537E"/>
    <w:rsid w:val="00A65429"/>
    <w:rsid w:val="00A6573C"/>
    <w:rsid w:val="00A65A3D"/>
    <w:rsid w:val="00A65AC5"/>
    <w:rsid w:val="00A65BCC"/>
    <w:rsid w:val="00A65E15"/>
    <w:rsid w:val="00A66071"/>
    <w:rsid w:val="00A661E2"/>
    <w:rsid w:val="00A66B9E"/>
    <w:rsid w:val="00A6707A"/>
    <w:rsid w:val="00A6717C"/>
    <w:rsid w:val="00A67923"/>
    <w:rsid w:val="00A67FD9"/>
    <w:rsid w:val="00A705AB"/>
    <w:rsid w:val="00A7093F"/>
    <w:rsid w:val="00A7129B"/>
    <w:rsid w:val="00A717DA"/>
    <w:rsid w:val="00A71A1A"/>
    <w:rsid w:val="00A72068"/>
    <w:rsid w:val="00A720DD"/>
    <w:rsid w:val="00A7233D"/>
    <w:rsid w:val="00A72379"/>
    <w:rsid w:val="00A7293B"/>
    <w:rsid w:val="00A72F95"/>
    <w:rsid w:val="00A732EF"/>
    <w:rsid w:val="00A737B0"/>
    <w:rsid w:val="00A738E8"/>
    <w:rsid w:val="00A739F2"/>
    <w:rsid w:val="00A73A9E"/>
    <w:rsid w:val="00A73AB6"/>
    <w:rsid w:val="00A73C5A"/>
    <w:rsid w:val="00A7437C"/>
    <w:rsid w:val="00A7498B"/>
    <w:rsid w:val="00A74BE3"/>
    <w:rsid w:val="00A74D76"/>
    <w:rsid w:val="00A74D82"/>
    <w:rsid w:val="00A74E82"/>
    <w:rsid w:val="00A7509D"/>
    <w:rsid w:val="00A75328"/>
    <w:rsid w:val="00A75357"/>
    <w:rsid w:val="00A75750"/>
    <w:rsid w:val="00A75A43"/>
    <w:rsid w:val="00A761CA"/>
    <w:rsid w:val="00A766F9"/>
    <w:rsid w:val="00A76B36"/>
    <w:rsid w:val="00A76D5C"/>
    <w:rsid w:val="00A7715E"/>
    <w:rsid w:val="00A7740A"/>
    <w:rsid w:val="00A77838"/>
    <w:rsid w:val="00A77B8F"/>
    <w:rsid w:val="00A77DE4"/>
    <w:rsid w:val="00A77DF9"/>
    <w:rsid w:val="00A800F7"/>
    <w:rsid w:val="00A8037F"/>
    <w:rsid w:val="00A80669"/>
    <w:rsid w:val="00A80807"/>
    <w:rsid w:val="00A80B0B"/>
    <w:rsid w:val="00A80C5E"/>
    <w:rsid w:val="00A80E0D"/>
    <w:rsid w:val="00A816C7"/>
    <w:rsid w:val="00A816E6"/>
    <w:rsid w:val="00A823DD"/>
    <w:rsid w:val="00A82455"/>
    <w:rsid w:val="00A82CEC"/>
    <w:rsid w:val="00A830B4"/>
    <w:rsid w:val="00A83A51"/>
    <w:rsid w:val="00A83F11"/>
    <w:rsid w:val="00A83FC7"/>
    <w:rsid w:val="00A841AA"/>
    <w:rsid w:val="00A8428E"/>
    <w:rsid w:val="00A84507"/>
    <w:rsid w:val="00A84CB1"/>
    <w:rsid w:val="00A8522C"/>
    <w:rsid w:val="00A856C2"/>
    <w:rsid w:val="00A85A3C"/>
    <w:rsid w:val="00A85B2F"/>
    <w:rsid w:val="00A85C93"/>
    <w:rsid w:val="00A86240"/>
    <w:rsid w:val="00A86439"/>
    <w:rsid w:val="00A864B5"/>
    <w:rsid w:val="00A86A00"/>
    <w:rsid w:val="00A86B55"/>
    <w:rsid w:val="00A873EA"/>
    <w:rsid w:val="00A87449"/>
    <w:rsid w:val="00A875C9"/>
    <w:rsid w:val="00A87F54"/>
    <w:rsid w:val="00A90037"/>
    <w:rsid w:val="00A908AB"/>
    <w:rsid w:val="00A90FE0"/>
    <w:rsid w:val="00A9111E"/>
    <w:rsid w:val="00A91139"/>
    <w:rsid w:val="00A917EB"/>
    <w:rsid w:val="00A918C9"/>
    <w:rsid w:val="00A91A3E"/>
    <w:rsid w:val="00A91C78"/>
    <w:rsid w:val="00A92225"/>
    <w:rsid w:val="00A922B1"/>
    <w:rsid w:val="00A92980"/>
    <w:rsid w:val="00A93559"/>
    <w:rsid w:val="00A93955"/>
    <w:rsid w:val="00A939CC"/>
    <w:rsid w:val="00A94B42"/>
    <w:rsid w:val="00A94B8F"/>
    <w:rsid w:val="00A95822"/>
    <w:rsid w:val="00A95A67"/>
    <w:rsid w:val="00A965D2"/>
    <w:rsid w:val="00A96A56"/>
    <w:rsid w:val="00A979E0"/>
    <w:rsid w:val="00A97AD2"/>
    <w:rsid w:val="00AA042C"/>
    <w:rsid w:val="00AA0756"/>
    <w:rsid w:val="00AA124A"/>
    <w:rsid w:val="00AA12A2"/>
    <w:rsid w:val="00AA13D6"/>
    <w:rsid w:val="00AA1764"/>
    <w:rsid w:val="00AA1D24"/>
    <w:rsid w:val="00AA22F6"/>
    <w:rsid w:val="00AA2891"/>
    <w:rsid w:val="00AA2A3F"/>
    <w:rsid w:val="00AA35C8"/>
    <w:rsid w:val="00AA3606"/>
    <w:rsid w:val="00AA4257"/>
    <w:rsid w:val="00AA431E"/>
    <w:rsid w:val="00AA47C0"/>
    <w:rsid w:val="00AA4ACA"/>
    <w:rsid w:val="00AA5178"/>
    <w:rsid w:val="00AA599D"/>
    <w:rsid w:val="00AA5AEA"/>
    <w:rsid w:val="00AA5BE6"/>
    <w:rsid w:val="00AA5C64"/>
    <w:rsid w:val="00AA5D0A"/>
    <w:rsid w:val="00AA6363"/>
    <w:rsid w:val="00AA6557"/>
    <w:rsid w:val="00AA67CC"/>
    <w:rsid w:val="00AA69FE"/>
    <w:rsid w:val="00AA7176"/>
    <w:rsid w:val="00AA717D"/>
    <w:rsid w:val="00AA741A"/>
    <w:rsid w:val="00AA764C"/>
    <w:rsid w:val="00AA7797"/>
    <w:rsid w:val="00AA7AAC"/>
    <w:rsid w:val="00AA7CF4"/>
    <w:rsid w:val="00AA7E44"/>
    <w:rsid w:val="00AB139F"/>
    <w:rsid w:val="00AB157E"/>
    <w:rsid w:val="00AB158A"/>
    <w:rsid w:val="00AB1614"/>
    <w:rsid w:val="00AB1CB1"/>
    <w:rsid w:val="00AB2108"/>
    <w:rsid w:val="00AB26E0"/>
    <w:rsid w:val="00AB2BD7"/>
    <w:rsid w:val="00AB2CA0"/>
    <w:rsid w:val="00AB2DD4"/>
    <w:rsid w:val="00AB2FE6"/>
    <w:rsid w:val="00AB30F0"/>
    <w:rsid w:val="00AB4734"/>
    <w:rsid w:val="00AB4887"/>
    <w:rsid w:val="00AB4E78"/>
    <w:rsid w:val="00AB5002"/>
    <w:rsid w:val="00AB53FF"/>
    <w:rsid w:val="00AB562E"/>
    <w:rsid w:val="00AB56DB"/>
    <w:rsid w:val="00AB577E"/>
    <w:rsid w:val="00AB57A5"/>
    <w:rsid w:val="00AB5975"/>
    <w:rsid w:val="00AB5E64"/>
    <w:rsid w:val="00AB6894"/>
    <w:rsid w:val="00AB6CDD"/>
    <w:rsid w:val="00AB7F7D"/>
    <w:rsid w:val="00AC044B"/>
    <w:rsid w:val="00AC067E"/>
    <w:rsid w:val="00AC0A0D"/>
    <w:rsid w:val="00AC0A31"/>
    <w:rsid w:val="00AC0B19"/>
    <w:rsid w:val="00AC0B6A"/>
    <w:rsid w:val="00AC1730"/>
    <w:rsid w:val="00AC1926"/>
    <w:rsid w:val="00AC1E8F"/>
    <w:rsid w:val="00AC2E3E"/>
    <w:rsid w:val="00AC3353"/>
    <w:rsid w:val="00AC34A2"/>
    <w:rsid w:val="00AC3668"/>
    <w:rsid w:val="00AC3737"/>
    <w:rsid w:val="00AC3883"/>
    <w:rsid w:val="00AC4758"/>
    <w:rsid w:val="00AC5318"/>
    <w:rsid w:val="00AC5F62"/>
    <w:rsid w:val="00AC6215"/>
    <w:rsid w:val="00AC6985"/>
    <w:rsid w:val="00AC74A1"/>
    <w:rsid w:val="00AC7653"/>
    <w:rsid w:val="00AC79C8"/>
    <w:rsid w:val="00AC7B2A"/>
    <w:rsid w:val="00AD007B"/>
    <w:rsid w:val="00AD015E"/>
    <w:rsid w:val="00AD01FC"/>
    <w:rsid w:val="00AD0345"/>
    <w:rsid w:val="00AD0422"/>
    <w:rsid w:val="00AD07B6"/>
    <w:rsid w:val="00AD0918"/>
    <w:rsid w:val="00AD0D73"/>
    <w:rsid w:val="00AD0ECC"/>
    <w:rsid w:val="00AD1494"/>
    <w:rsid w:val="00AD230F"/>
    <w:rsid w:val="00AD24E2"/>
    <w:rsid w:val="00AD27AE"/>
    <w:rsid w:val="00AD2CF5"/>
    <w:rsid w:val="00AD3581"/>
    <w:rsid w:val="00AD3585"/>
    <w:rsid w:val="00AD3E9E"/>
    <w:rsid w:val="00AD4053"/>
    <w:rsid w:val="00AD4287"/>
    <w:rsid w:val="00AD42E0"/>
    <w:rsid w:val="00AD42E2"/>
    <w:rsid w:val="00AD43B9"/>
    <w:rsid w:val="00AD4410"/>
    <w:rsid w:val="00AD46F3"/>
    <w:rsid w:val="00AD4CFF"/>
    <w:rsid w:val="00AD5189"/>
    <w:rsid w:val="00AD52AF"/>
    <w:rsid w:val="00AD550E"/>
    <w:rsid w:val="00AD5F78"/>
    <w:rsid w:val="00AD60E4"/>
    <w:rsid w:val="00AD62E7"/>
    <w:rsid w:val="00AD6A30"/>
    <w:rsid w:val="00AD6F4C"/>
    <w:rsid w:val="00AD7B88"/>
    <w:rsid w:val="00AD7B96"/>
    <w:rsid w:val="00AD7BEA"/>
    <w:rsid w:val="00AE0418"/>
    <w:rsid w:val="00AE07FA"/>
    <w:rsid w:val="00AE08C0"/>
    <w:rsid w:val="00AE0BA6"/>
    <w:rsid w:val="00AE0DD0"/>
    <w:rsid w:val="00AE1889"/>
    <w:rsid w:val="00AE1A71"/>
    <w:rsid w:val="00AE1C94"/>
    <w:rsid w:val="00AE2346"/>
    <w:rsid w:val="00AE243B"/>
    <w:rsid w:val="00AE2556"/>
    <w:rsid w:val="00AE2AAE"/>
    <w:rsid w:val="00AE2C09"/>
    <w:rsid w:val="00AE3065"/>
    <w:rsid w:val="00AE3C36"/>
    <w:rsid w:val="00AE40BA"/>
    <w:rsid w:val="00AE4256"/>
    <w:rsid w:val="00AE43CF"/>
    <w:rsid w:val="00AE47F6"/>
    <w:rsid w:val="00AE496C"/>
    <w:rsid w:val="00AE4D22"/>
    <w:rsid w:val="00AE4D82"/>
    <w:rsid w:val="00AE4F25"/>
    <w:rsid w:val="00AE59FB"/>
    <w:rsid w:val="00AE62EF"/>
    <w:rsid w:val="00AE674F"/>
    <w:rsid w:val="00AE6C35"/>
    <w:rsid w:val="00AE6CC6"/>
    <w:rsid w:val="00AE703B"/>
    <w:rsid w:val="00AE712F"/>
    <w:rsid w:val="00AE71A8"/>
    <w:rsid w:val="00AE75ED"/>
    <w:rsid w:val="00AE7EA6"/>
    <w:rsid w:val="00AF08A9"/>
    <w:rsid w:val="00AF0E64"/>
    <w:rsid w:val="00AF14C9"/>
    <w:rsid w:val="00AF2169"/>
    <w:rsid w:val="00AF28AF"/>
    <w:rsid w:val="00AF2900"/>
    <w:rsid w:val="00AF2985"/>
    <w:rsid w:val="00AF2FFC"/>
    <w:rsid w:val="00AF3099"/>
    <w:rsid w:val="00AF31D6"/>
    <w:rsid w:val="00AF3A8A"/>
    <w:rsid w:val="00AF4504"/>
    <w:rsid w:val="00AF4719"/>
    <w:rsid w:val="00AF4AC8"/>
    <w:rsid w:val="00AF5365"/>
    <w:rsid w:val="00AF5AF0"/>
    <w:rsid w:val="00AF5F2B"/>
    <w:rsid w:val="00AF6D34"/>
    <w:rsid w:val="00AF6D8A"/>
    <w:rsid w:val="00AF7532"/>
    <w:rsid w:val="00AF7ABC"/>
    <w:rsid w:val="00AF7C2F"/>
    <w:rsid w:val="00AF7ECB"/>
    <w:rsid w:val="00AF7EFC"/>
    <w:rsid w:val="00B009BC"/>
    <w:rsid w:val="00B014F0"/>
    <w:rsid w:val="00B01A2B"/>
    <w:rsid w:val="00B01AF8"/>
    <w:rsid w:val="00B01D8C"/>
    <w:rsid w:val="00B02D2B"/>
    <w:rsid w:val="00B02EBF"/>
    <w:rsid w:val="00B02EC9"/>
    <w:rsid w:val="00B038BA"/>
    <w:rsid w:val="00B040EB"/>
    <w:rsid w:val="00B04CB4"/>
    <w:rsid w:val="00B057D0"/>
    <w:rsid w:val="00B059D4"/>
    <w:rsid w:val="00B05F34"/>
    <w:rsid w:val="00B06476"/>
    <w:rsid w:val="00B067E7"/>
    <w:rsid w:val="00B06833"/>
    <w:rsid w:val="00B07041"/>
    <w:rsid w:val="00B07287"/>
    <w:rsid w:val="00B0753F"/>
    <w:rsid w:val="00B078C3"/>
    <w:rsid w:val="00B07D76"/>
    <w:rsid w:val="00B101B9"/>
    <w:rsid w:val="00B1024F"/>
    <w:rsid w:val="00B106A1"/>
    <w:rsid w:val="00B10732"/>
    <w:rsid w:val="00B108BA"/>
    <w:rsid w:val="00B10965"/>
    <w:rsid w:val="00B11A28"/>
    <w:rsid w:val="00B11B84"/>
    <w:rsid w:val="00B11C5B"/>
    <w:rsid w:val="00B11CAA"/>
    <w:rsid w:val="00B11D76"/>
    <w:rsid w:val="00B12002"/>
    <w:rsid w:val="00B122BC"/>
    <w:rsid w:val="00B12503"/>
    <w:rsid w:val="00B1288D"/>
    <w:rsid w:val="00B12A4A"/>
    <w:rsid w:val="00B12EE1"/>
    <w:rsid w:val="00B12F2E"/>
    <w:rsid w:val="00B13472"/>
    <w:rsid w:val="00B13558"/>
    <w:rsid w:val="00B139D6"/>
    <w:rsid w:val="00B14499"/>
    <w:rsid w:val="00B14541"/>
    <w:rsid w:val="00B14591"/>
    <w:rsid w:val="00B147D9"/>
    <w:rsid w:val="00B1488A"/>
    <w:rsid w:val="00B15731"/>
    <w:rsid w:val="00B15873"/>
    <w:rsid w:val="00B163F1"/>
    <w:rsid w:val="00B16C0A"/>
    <w:rsid w:val="00B170E0"/>
    <w:rsid w:val="00B170E6"/>
    <w:rsid w:val="00B175C0"/>
    <w:rsid w:val="00B17DD5"/>
    <w:rsid w:val="00B20500"/>
    <w:rsid w:val="00B206C1"/>
    <w:rsid w:val="00B206DE"/>
    <w:rsid w:val="00B20E56"/>
    <w:rsid w:val="00B21140"/>
    <w:rsid w:val="00B21F76"/>
    <w:rsid w:val="00B220C6"/>
    <w:rsid w:val="00B22992"/>
    <w:rsid w:val="00B22D1F"/>
    <w:rsid w:val="00B230BD"/>
    <w:rsid w:val="00B2365C"/>
    <w:rsid w:val="00B23691"/>
    <w:rsid w:val="00B236D8"/>
    <w:rsid w:val="00B2380A"/>
    <w:rsid w:val="00B23894"/>
    <w:rsid w:val="00B23A2A"/>
    <w:rsid w:val="00B2442A"/>
    <w:rsid w:val="00B244EA"/>
    <w:rsid w:val="00B24D1D"/>
    <w:rsid w:val="00B25232"/>
    <w:rsid w:val="00B25242"/>
    <w:rsid w:val="00B25316"/>
    <w:rsid w:val="00B26260"/>
    <w:rsid w:val="00B2646F"/>
    <w:rsid w:val="00B26D2E"/>
    <w:rsid w:val="00B26F88"/>
    <w:rsid w:val="00B2707F"/>
    <w:rsid w:val="00B272B1"/>
    <w:rsid w:val="00B27D5D"/>
    <w:rsid w:val="00B3033C"/>
    <w:rsid w:val="00B306DC"/>
    <w:rsid w:val="00B30739"/>
    <w:rsid w:val="00B30AB6"/>
    <w:rsid w:val="00B30F53"/>
    <w:rsid w:val="00B32127"/>
    <w:rsid w:val="00B32FAF"/>
    <w:rsid w:val="00B331AB"/>
    <w:rsid w:val="00B33681"/>
    <w:rsid w:val="00B33996"/>
    <w:rsid w:val="00B339FF"/>
    <w:rsid w:val="00B33EFC"/>
    <w:rsid w:val="00B33F0E"/>
    <w:rsid w:val="00B344DF"/>
    <w:rsid w:val="00B349CF"/>
    <w:rsid w:val="00B34DDE"/>
    <w:rsid w:val="00B3501F"/>
    <w:rsid w:val="00B35A44"/>
    <w:rsid w:val="00B35B81"/>
    <w:rsid w:val="00B35C03"/>
    <w:rsid w:val="00B36AFE"/>
    <w:rsid w:val="00B37646"/>
    <w:rsid w:val="00B3783A"/>
    <w:rsid w:val="00B378ED"/>
    <w:rsid w:val="00B3793E"/>
    <w:rsid w:val="00B379FA"/>
    <w:rsid w:val="00B37A08"/>
    <w:rsid w:val="00B40B34"/>
    <w:rsid w:val="00B40E8C"/>
    <w:rsid w:val="00B412CE"/>
    <w:rsid w:val="00B41D70"/>
    <w:rsid w:val="00B42176"/>
    <w:rsid w:val="00B42653"/>
    <w:rsid w:val="00B42953"/>
    <w:rsid w:val="00B42E2D"/>
    <w:rsid w:val="00B43152"/>
    <w:rsid w:val="00B431F4"/>
    <w:rsid w:val="00B43FC3"/>
    <w:rsid w:val="00B441BF"/>
    <w:rsid w:val="00B4451E"/>
    <w:rsid w:val="00B4553C"/>
    <w:rsid w:val="00B456DC"/>
    <w:rsid w:val="00B4663F"/>
    <w:rsid w:val="00B4676F"/>
    <w:rsid w:val="00B469D3"/>
    <w:rsid w:val="00B46EC4"/>
    <w:rsid w:val="00B47A5C"/>
    <w:rsid w:val="00B47BBF"/>
    <w:rsid w:val="00B50309"/>
    <w:rsid w:val="00B50FF7"/>
    <w:rsid w:val="00B5162A"/>
    <w:rsid w:val="00B517C8"/>
    <w:rsid w:val="00B518F1"/>
    <w:rsid w:val="00B51DDD"/>
    <w:rsid w:val="00B52554"/>
    <w:rsid w:val="00B5279B"/>
    <w:rsid w:val="00B5290E"/>
    <w:rsid w:val="00B53117"/>
    <w:rsid w:val="00B5319B"/>
    <w:rsid w:val="00B53D1C"/>
    <w:rsid w:val="00B53FD2"/>
    <w:rsid w:val="00B5420F"/>
    <w:rsid w:val="00B55231"/>
    <w:rsid w:val="00B5549A"/>
    <w:rsid w:val="00B5597B"/>
    <w:rsid w:val="00B559BF"/>
    <w:rsid w:val="00B560E9"/>
    <w:rsid w:val="00B5720B"/>
    <w:rsid w:val="00B5784F"/>
    <w:rsid w:val="00B57902"/>
    <w:rsid w:val="00B5793C"/>
    <w:rsid w:val="00B57981"/>
    <w:rsid w:val="00B57BBD"/>
    <w:rsid w:val="00B60248"/>
    <w:rsid w:val="00B6097C"/>
    <w:rsid w:val="00B60B9A"/>
    <w:rsid w:val="00B61426"/>
    <w:rsid w:val="00B6167D"/>
    <w:rsid w:val="00B616BA"/>
    <w:rsid w:val="00B6184E"/>
    <w:rsid w:val="00B619E5"/>
    <w:rsid w:val="00B61A6E"/>
    <w:rsid w:val="00B61B57"/>
    <w:rsid w:val="00B61EA7"/>
    <w:rsid w:val="00B61ED8"/>
    <w:rsid w:val="00B61FE9"/>
    <w:rsid w:val="00B622F0"/>
    <w:rsid w:val="00B6237F"/>
    <w:rsid w:val="00B629F1"/>
    <w:rsid w:val="00B62CE0"/>
    <w:rsid w:val="00B630E6"/>
    <w:rsid w:val="00B63B1B"/>
    <w:rsid w:val="00B63F36"/>
    <w:rsid w:val="00B641D2"/>
    <w:rsid w:val="00B65523"/>
    <w:rsid w:val="00B65CD2"/>
    <w:rsid w:val="00B65E4A"/>
    <w:rsid w:val="00B6657B"/>
    <w:rsid w:val="00B66681"/>
    <w:rsid w:val="00B6675A"/>
    <w:rsid w:val="00B66DA1"/>
    <w:rsid w:val="00B670E0"/>
    <w:rsid w:val="00B67FC4"/>
    <w:rsid w:val="00B7053B"/>
    <w:rsid w:val="00B70938"/>
    <w:rsid w:val="00B70A9D"/>
    <w:rsid w:val="00B70F51"/>
    <w:rsid w:val="00B71417"/>
    <w:rsid w:val="00B7158D"/>
    <w:rsid w:val="00B71888"/>
    <w:rsid w:val="00B719D5"/>
    <w:rsid w:val="00B72347"/>
    <w:rsid w:val="00B732D1"/>
    <w:rsid w:val="00B7408A"/>
    <w:rsid w:val="00B740C9"/>
    <w:rsid w:val="00B741C5"/>
    <w:rsid w:val="00B74F3A"/>
    <w:rsid w:val="00B768D6"/>
    <w:rsid w:val="00B7749F"/>
    <w:rsid w:val="00B8057C"/>
    <w:rsid w:val="00B807F6"/>
    <w:rsid w:val="00B80BD9"/>
    <w:rsid w:val="00B81FE9"/>
    <w:rsid w:val="00B82539"/>
    <w:rsid w:val="00B83577"/>
    <w:rsid w:val="00B83970"/>
    <w:rsid w:val="00B83A7E"/>
    <w:rsid w:val="00B849C1"/>
    <w:rsid w:val="00B850BE"/>
    <w:rsid w:val="00B8530D"/>
    <w:rsid w:val="00B858FB"/>
    <w:rsid w:val="00B859A9"/>
    <w:rsid w:val="00B86606"/>
    <w:rsid w:val="00B86727"/>
    <w:rsid w:val="00B86870"/>
    <w:rsid w:val="00B86EBF"/>
    <w:rsid w:val="00B86FC3"/>
    <w:rsid w:val="00B870EF"/>
    <w:rsid w:val="00B87392"/>
    <w:rsid w:val="00B87876"/>
    <w:rsid w:val="00B878F0"/>
    <w:rsid w:val="00B87F30"/>
    <w:rsid w:val="00B90093"/>
    <w:rsid w:val="00B90820"/>
    <w:rsid w:val="00B90845"/>
    <w:rsid w:val="00B91736"/>
    <w:rsid w:val="00B91DD3"/>
    <w:rsid w:val="00B922F7"/>
    <w:rsid w:val="00B925DE"/>
    <w:rsid w:val="00B9280C"/>
    <w:rsid w:val="00B9283C"/>
    <w:rsid w:val="00B92B7F"/>
    <w:rsid w:val="00B9315D"/>
    <w:rsid w:val="00B938C4"/>
    <w:rsid w:val="00B93F73"/>
    <w:rsid w:val="00B943B4"/>
    <w:rsid w:val="00B945BA"/>
    <w:rsid w:val="00B949E4"/>
    <w:rsid w:val="00B94C48"/>
    <w:rsid w:val="00B94EC1"/>
    <w:rsid w:val="00B95096"/>
    <w:rsid w:val="00B95462"/>
    <w:rsid w:val="00B959DA"/>
    <w:rsid w:val="00B95A17"/>
    <w:rsid w:val="00B95AF6"/>
    <w:rsid w:val="00B95CA9"/>
    <w:rsid w:val="00B9633D"/>
    <w:rsid w:val="00B963D5"/>
    <w:rsid w:val="00B96C06"/>
    <w:rsid w:val="00B96C72"/>
    <w:rsid w:val="00B96DC1"/>
    <w:rsid w:val="00B96F25"/>
    <w:rsid w:val="00B9742F"/>
    <w:rsid w:val="00B97814"/>
    <w:rsid w:val="00B978DC"/>
    <w:rsid w:val="00B97A37"/>
    <w:rsid w:val="00B97A62"/>
    <w:rsid w:val="00BA0122"/>
    <w:rsid w:val="00BA03AC"/>
    <w:rsid w:val="00BA0C43"/>
    <w:rsid w:val="00BA1EA7"/>
    <w:rsid w:val="00BA2BE3"/>
    <w:rsid w:val="00BA3055"/>
    <w:rsid w:val="00BA3261"/>
    <w:rsid w:val="00BA38D0"/>
    <w:rsid w:val="00BA3DDD"/>
    <w:rsid w:val="00BA40DD"/>
    <w:rsid w:val="00BA4596"/>
    <w:rsid w:val="00BA483B"/>
    <w:rsid w:val="00BA578E"/>
    <w:rsid w:val="00BA59AD"/>
    <w:rsid w:val="00BA5B9C"/>
    <w:rsid w:val="00BA652A"/>
    <w:rsid w:val="00BA6563"/>
    <w:rsid w:val="00BA755A"/>
    <w:rsid w:val="00BA7D0F"/>
    <w:rsid w:val="00BA7D26"/>
    <w:rsid w:val="00BA7FE0"/>
    <w:rsid w:val="00BB08CE"/>
    <w:rsid w:val="00BB1A2F"/>
    <w:rsid w:val="00BB1ADC"/>
    <w:rsid w:val="00BB1B06"/>
    <w:rsid w:val="00BB1E06"/>
    <w:rsid w:val="00BB324B"/>
    <w:rsid w:val="00BB33CF"/>
    <w:rsid w:val="00BB348B"/>
    <w:rsid w:val="00BB39CD"/>
    <w:rsid w:val="00BB3A8A"/>
    <w:rsid w:val="00BB3A9D"/>
    <w:rsid w:val="00BB3B8C"/>
    <w:rsid w:val="00BB3BDF"/>
    <w:rsid w:val="00BB3C32"/>
    <w:rsid w:val="00BB3EDA"/>
    <w:rsid w:val="00BB4078"/>
    <w:rsid w:val="00BB44D8"/>
    <w:rsid w:val="00BB4594"/>
    <w:rsid w:val="00BB4EAF"/>
    <w:rsid w:val="00BB4EDA"/>
    <w:rsid w:val="00BB5253"/>
    <w:rsid w:val="00BB598A"/>
    <w:rsid w:val="00BB5B57"/>
    <w:rsid w:val="00BB5C0B"/>
    <w:rsid w:val="00BB5C56"/>
    <w:rsid w:val="00BB5D98"/>
    <w:rsid w:val="00BB602F"/>
    <w:rsid w:val="00BB62C1"/>
    <w:rsid w:val="00BB6309"/>
    <w:rsid w:val="00BB6676"/>
    <w:rsid w:val="00BB6F8B"/>
    <w:rsid w:val="00BB73FB"/>
    <w:rsid w:val="00BB74D3"/>
    <w:rsid w:val="00BB77C5"/>
    <w:rsid w:val="00BB78FF"/>
    <w:rsid w:val="00BB7BC0"/>
    <w:rsid w:val="00BB7C00"/>
    <w:rsid w:val="00BB7C67"/>
    <w:rsid w:val="00BC000F"/>
    <w:rsid w:val="00BC07B5"/>
    <w:rsid w:val="00BC085D"/>
    <w:rsid w:val="00BC09FC"/>
    <w:rsid w:val="00BC1291"/>
    <w:rsid w:val="00BC16BC"/>
    <w:rsid w:val="00BC16C9"/>
    <w:rsid w:val="00BC175D"/>
    <w:rsid w:val="00BC190A"/>
    <w:rsid w:val="00BC1AF0"/>
    <w:rsid w:val="00BC38E1"/>
    <w:rsid w:val="00BC3D5D"/>
    <w:rsid w:val="00BC3FC2"/>
    <w:rsid w:val="00BC416F"/>
    <w:rsid w:val="00BC438B"/>
    <w:rsid w:val="00BC45DE"/>
    <w:rsid w:val="00BC48B3"/>
    <w:rsid w:val="00BC4921"/>
    <w:rsid w:val="00BC4C4D"/>
    <w:rsid w:val="00BC4F28"/>
    <w:rsid w:val="00BC5514"/>
    <w:rsid w:val="00BC5C90"/>
    <w:rsid w:val="00BC5CDF"/>
    <w:rsid w:val="00BC5EB7"/>
    <w:rsid w:val="00BC60FD"/>
    <w:rsid w:val="00BC6100"/>
    <w:rsid w:val="00BC6238"/>
    <w:rsid w:val="00BC639B"/>
    <w:rsid w:val="00BC6B14"/>
    <w:rsid w:val="00BC6BA1"/>
    <w:rsid w:val="00BC7019"/>
    <w:rsid w:val="00BC7228"/>
    <w:rsid w:val="00BC753C"/>
    <w:rsid w:val="00BC7670"/>
    <w:rsid w:val="00BC7D87"/>
    <w:rsid w:val="00BD0185"/>
    <w:rsid w:val="00BD03B6"/>
    <w:rsid w:val="00BD0663"/>
    <w:rsid w:val="00BD0F1F"/>
    <w:rsid w:val="00BD1205"/>
    <w:rsid w:val="00BD1461"/>
    <w:rsid w:val="00BD1682"/>
    <w:rsid w:val="00BD18C3"/>
    <w:rsid w:val="00BD1CBB"/>
    <w:rsid w:val="00BD1E5C"/>
    <w:rsid w:val="00BD2074"/>
    <w:rsid w:val="00BD2131"/>
    <w:rsid w:val="00BD21F5"/>
    <w:rsid w:val="00BD23D9"/>
    <w:rsid w:val="00BD249C"/>
    <w:rsid w:val="00BD269E"/>
    <w:rsid w:val="00BD2735"/>
    <w:rsid w:val="00BD2B41"/>
    <w:rsid w:val="00BD2CC5"/>
    <w:rsid w:val="00BD2EC8"/>
    <w:rsid w:val="00BD3C86"/>
    <w:rsid w:val="00BD40F2"/>
    <w:rsid w:val="00BD40F5"/>
    <w:rsid w:val="00BD4324"/>
    <w:rsid w:val="00BD54FE"/>
    <w:rsid w:val="00BD59A3"/>
    <w:rsid w:val="00BD5A11"/>
    <w:rsid w:val="00BD5DE6"/>
    <w:rsid w:val="00BD5E78"/>
    <w:rsid w:val="00BD6D7E"/>
    <w:rsid w:val="00BD6F04"/>
    <w:rsid w:val="00BE0A70"/>
    <w:rsid w:val="00BE0E6A"/>
    <w:rsid w:val="00BE0F48"/>
    <w:rsid w:val="00BE1742"/>
    <w:rsid w:val="00BE17B5"/>
    <w:rsid w:val="00BE18A3"/>
    <w:rsid w:val="00BE2765"/>
    <w:rsid w:val="00BE2BB8"/>
    <w:rsid w:val="00BE2ED0"/>
    <w:rsid w:val="00BE344F"/>
    <w:rsid w:val="00BE3688"/>
    <w:rsid w:val="00BE3907"/>
    <w:rsid w:val="00BE3FAF"/>
    <w:rsid w:val="00BE42F3"/>
    <w:rsid w:val="00BE4888"/>
    <w:rsid w:val="00BE4992"/>
    <w:rsid w:val="00BE4BA3"/>
    <w:rsid w:val="00BE4DD7"/>
    <w:rsid w:val="00BE4E05"/>
    <w:rsid w:val="00BE51BA"/>
    <w:rsid w:val="00BE549E"/>
    <w:rsid w:val="00BE5B88"/>
    <w:rsid w:val="00BE5D83"/>
    <w:rsid w:val="00BE5F94"/>
    <w:rsid w:val="00BE6163"/>
    <w:rsid w:val="00BE63E7"/>
    <w:rsid w:val="00BE6451"/>
    <w:rsid w:val="00BE67D3"/>
    <w:rsid w:val="00BE6ABC"/>
    <w:rsid w:val="00BE6EF4"/>
    <w:rsid w:val="00BE77BD"/>
    <w:rsid w:val="00BE77D2"/>
    <w:rsid w:val="00BE7BB4"/>
    <w:rsid w:val="00BE7E64"/>
    <w:rsid w:val="00BF0538"/>
    <w:rsid w:val="00BF0622"/>
    <w:rsid w:val="00BF086E"/>
    <w:rsid w:val="00BF0B21"/>
    <w:rsid w:val="00BF0E05"/>
    <w:rsid w:val="00BF0FA2"/>
    <w:rsid w:val="00BF11EB"/>
    <w:rsid w:val="00BF14FD"/>
    <w:rsid w:val="00BF174E"/>
    <w:rsid w:val="00BF18BD"/>
    <w:rsid w:val="00BF1C71"/>
    <w:rsid w:val="00BF2322"/>
    <w:rsid w:val="00BF2B98"/>
    <w:rsid w:val="00BF310E"/>
    <w:rsid w:val="00BF3543"/>
    <w:rsid w:val="00BF4458"/>
    <w:rsid w:val="00BF4A9B"/>
    <w:rsid w:val="00BF528F"/>
    <w:rsid w:val="00BF5859"/>
    <w:rsid w:val="00BF59E2"/>
    <w:rsid w:val="00BF5A3B"/>
    <w:rsid w:val="00BF6989"/>
    <w:rsid w:val="00BF6FB5"/>
    <w:rsid w:val="00BF768F"/>
    <w:rsid w:val="00BF795D"/>
    <w:rsid w:val="00BF7B00"/>
    <w:rsid w:val="00C0015A"/>
    <w:rsid w:val="00C001E3"/>
    <w:rsid w:val="00C00857"/>
    <w:rsid w:val="00C0107D"/>
    <w:rsid w:val="00C014DF"/>
    <w:rsid w:val="00C01922"/>
    <w:rsid w:val="00C01B0C"/>
    <w:rsid w:val="00C01DEB"/>
    <w:rsid w:val="00C01F61"/>
    <w:rsid w:val="00C01FC6"/>
    <w:rsid w:val="00C0207F"/>
    <w:rsid w:val="00C031F9"/>
    <w:rsid w:val="00C03553"/>
    <w:rsid w:val="00C035F6"/>
    <w:rsid w:val="00C0399D"/>
    <w:rsid w:val="00C03A62"/>
    <w:rsid w:val="00C048C7"/>
    <w:rsid w:val="00C04BDE"/>
    <w:rsid w:val="00C051E9"/>
    <w:rsid w:val="00C05491"/>
    <w:rsid w:val="00C063EB"/>
    <w:rsid w:val="00C06705"/>
    <w:rsid w:val="00C06F4E"/>
    <w:rsid w:val="00C07EBC"/>
    <w:rsid w:val="00C07FD8"/>
    <w:rsid w:val="00C1003E"/>
    <w:rsid w:val="00C103EE"/>
    <w:rsid w:val="00C11299"/>
    <w:rsid w:val="00C11535"/>
    <w:rsid w:val="00C11772"/>
    <w:rsid w:val="00C119CC"/>
    <w:rsid w:val="00C11F14"/>
    <w:rsid w:val="00C12235"/>
    <w:rsid w:val="00C12349"/>
    <w:rsid w:val="00C12682"/>
    <w:rsid w:val="00C12B95"/>
    <w:rsid w:val="00C1359E"/>
    <w:rsid w:val="00C13731"/>
    <w:rsid w:val="00C139E8"/>
    <w:rsid w:val="00C13A5B"/>
    <w:rsid w:val="00C13C00"/>
    <w:rsid w:val="00C14083"/>
    <w:rsid w:val="00C14639"/>
    <w:rsid w:val="00C14BB2"/>
    <w:rsid w:val="00C150D8"/>
    <w:rsid w:val="00C15B7C"/>
    <w:rsid w:val="00C15C61"/>
    <w:rsid w:val="00C15E93"/>
    <w:rsid w:val="00C15EBD"/>
    <w:rsid w:val="00C16131"/>
    <w:rsid w:val="00C16286"/>
    <w:rsid w:val="00C169D0"/>
    <w:rsid w:val="00C16AF2"/>
    <w:rsid w:val="00C16D0C"/>
    <w:rsid w:val="00C16E67"/>
    <w:rsid w:val="00C16F9A"/>
    <w:rsid w:val="00C173D7"/>
    <w:rsid w:val="00C17567"/>
    <w:rsid w:val="00C17717"/>
    <w:rsid w:val="00C17BA3"/>
    <w:rsid w:val="00C17CAC"/>
    <w:rsid w:val="00C17D41"/>
    <w:rsid w:val="00C2020E"/>
    <w:rsid w:val="00C206C4"/>
    <w:rsid w:val="00C20876"/>
    <w:rsid w:val="00C21036"/>
    <w:rsid w:val="00C211F1"/>
    <w:rsid w:val="00C21AB7"/>
    <w:rsid w:val="00C22802"/>
    <w:rsid w:val="00C22984"/>
    <w:rsid w:val="00C22B27"/>
    <w:rsid w:val="00C230BB"/>
    <w:rsid w:val="00C23F19"/>
    <w:rsid w:val="00C240C6"/>
    <w:rsid w:val="00C241AD"/>
    <w:rsid w:val="00C24385"/>
    <w:rsid w:val="00C24573"/>
    <w:rsid w:val="00C248D5"/>
    <w:rsid w:val="00C24D8C"/>
    <w:rsid w:val="00C261B9"/>
    <w:rsid w:val="00C2643D"/>
    <w:rsid w:val="00C264B9"/>
    <w:rsid w:val="00C266CE"/>
    <w:rsid w:val="00C26DB7"/>
    <w:rsid w:val="00C27112"/>
    <w:rsid w:val="00C2714B"/>
    <w:rsid w:val="00C27339"/>
    <w:rsid w:val="00C27475"/>
    <w:rsid w:val="00C275C4"/>
    <w:rsid w:val="00C27740"/>
    <w:rsid w:val="00C277A9"/>
    <w:rsid w:val="00C27F9E"/>
    <w:rsid w:val="00C3006F"/>
    <w:rsid w:val="00C30083"/>
    <w:rsid w:val="00C30653"/>
    <w:rsid w:val="00C307B9"/>
    <w:rsid w:val="00C309BD"/>
    <w:rsid w:val="00C30E06"/>
    <w:rsid w:val="00C3195B"/>
    <w:rsid w:val="00C320C4"/>
    <w:rsid w:val="00C3214C"/>
    <w:rsid w:val="00C324DF"/>
    <w:rsid w:val="00C32ACC"/>
    <w:rsid w:val="00C32C9C"/>
    <w:rsid w:val="00C33076"/>
    <w:rsid w:val="00C330D1"/>
    <w:rsid w:val="00C33477"/>
    <w:rsid w:val="00C33861"/>
    <w:rsid w:val="00C33F5A"/>
    <w:rsid w:val="00C344EF"/>
    <w:rsid w:val="00C34A27"/>
    <w:rsid w:val="00C35659"/>
    <w:rsid w:val="00C35CE3"/>
    <w:rsid w:val="00C369FA"/>
    <w:rsid w:val="00C36A57"/>
    <w:rsid w:val="00C36D59"/>
    <w:rsid w:val="00C37234"/>
    <w:rsid w:val="00C3771E"/>
    <w:rsid w:val="00C37C46"/>
    <w:rsid w:val="00C4014F"/>
    <w:rsid w:val="00C40238"/>
    <w:rsid w:val="00C40ADB"/>
    <w:rsid w:val="00C40AEC"/>
    <w:rsid w:val="00C40B51"/>
    <w:rsid w:val="00C4103C"/>
    <w:rsid w:val="00C41044"/>
    <w:rsid w:val="00C416CC"/>
    <w:rsid w:val="00C41B18"/>
    <w:rsid w:val="00C41EBF"/>
    <w:rsid w:val="00C41F67"/>
    <w:rsid w:val="00C426DF"/>
    <w:rsid w:val="00C42B38"/>
    <w:rsid w:val="00C42B57"/>
    <w:rsid w:val="00C42E4D"/>
    <w:rsid w:val="00C43F3B"/>
    <w:rsid w:val="00C440A8"/>
    <w:rsid w:val="00C44181"/>
    <w:rsid w:val="00C441FE"/>
    <w:rsid w:val="00C4442B"/>
    <w:rsid w:val="00C44465"/>
    <w:rsid w:val="00C448D1"/>
    <w:rsid w:val="00C44B1D"/>
    <w:rsid w:val="00C44B46"/>
    <w:rsid w:val="00C45111"/>
    <w:rsid w:val="00C451F4"/>
    <w:rsid w:val="00C455CC"/>
    <w:rsid w:val="00C45688"/>
    <w:rsid w:val="00C4573E"/>
    <w:rsid w:val="00C463FF"/>
    <w:rsid w:val="00C46979"/>
    <w:rsid w:val="00C4777A"/>
    <w:rsid w:val="00C478C8"/>
    <w:rsid w:val="00C47B66"/>
    <w:rsid w:val="00C47E6C"/>
    <w:rsid w:val="00C5018E"/>
    <w:rsid w:val="00C502F3"/>
    <w:rsid w:val="00C502FF"/>
    <w:rsid w:val="00C50877"/>
    <w:rsid w:val="00C508D6"/>
    <w:rsid w:val="00C50D5D"/>
    <w:rsid w:val="00C51107"/>
    <w:rsid w:val="00C517CA"/>
    <w:rsid w:val="00C5191F"/>
    <w:rsid w:val="00C51948"/>
    <w:rsid w:val="00C519C4"/>
    <w:rsid w:val="00C51CF6"/>
    <w:rsid w:val="00C51E3D"/>
    <w:rsid w:val="00C52354"/>
    <w:rsid w:val="00C52F0D"/>
    <w:rsid w:val="00C5382D"/>
    <w:rsid w:val="00C53A4A"/>
    <w:rsid w:val="00C53D48"/>
    <w:rsid w:val="00C53F6E"/>
    <w:rsid w:val="00C53FC2"/>
    <w:rsid w:val="00C5459A"/>
    <w:rsid w:val="00C55035"/>
    <w:rsid w:val="00C55501"/>
    <w:rsid w:val="00C55519"/>
    <w:rsid w:val="00C55EA0"/>
    <w:rsid w:val="00C55F6F"/>
    <w:rsid w:val="00C562CC"/>
    <w:rsid w:val="00C56640"/>
    <w:rsid w:val="00C56DDC"/>
    <w:rsid w:val="00C575F7"/>
    <w:rsid w:val="00C60190"/>
    <w:rsid w:val="00C6026A"/>
    <w:rsid w:val="00C612D8"/>
    <w:rsid w:val="00C615DE"/>
    <w:rsid w:val="00C616AE"/>
    <w:rsid w:val="00C61B7C"/>
    <w:rsid w:val="00C61DAB"/>
    <w:rsid w:val="00C61FD4"/>
    <w:rsid w:val="00C62199"/>
    <w:rsid w:val="00C622B2"/>
    <w:rsid w:val="00C6303F"/>
    <w:rsid w:val="00C6366D"/>
    <w:rsid w:val="00C638BF"/>
    <w:rsid w:val="00C63902"/>
    <w:rsid w:val="00C63E9C"/>
    <w:rsid w:val="00C6406C"/>
    <w:rsid w:val="00C641A2"/>
    <w:rsid w:val="00C6426C"/>
    <w:rsid w:val="00C643C3"/>
    <w:rsid w:val="00C6450A"/>
    <w:rsid w:val="00C64A6F"/>
    <w:rsid w:val="00C64C92"/>
    <w:rsid w:val="00C65155"/>
    <w:rsid w:val="00C65C6D"/>
    <w:rsid w:val="00C65D88"/>
    <w:rsid w:val="00C660A0"/>
    <w:rsid w:val="00C66143"/>
    <w:rsid w:val="00C66252"/>
    <w:rsid w:val="00C66454"/>
    <w:rsid w:val="00C66620"/>
    <w:rsid w:val="00C6671B"/>
    <w:rsid w:val="00C6770E"/>
    <w:rsid w:val="00C67947"/>
    <w:rsid w:val="00C67D48"/>
    <w:rsid w:val="00C67F3B"/>
    <w:rsid w:val="00C703B7"/>
    <w:rsid w:val="00C7071E"/>
    <w:rsid w:val="00C707F6"/>
    <w:rsid w:val="00C708BC"/>
    <w:rsid w:val="00C7107B"/>
    <w:rsid w:val="00C7154E"/>
    <w:rsid w:val="00C71656"/>
    <w:rsid w:val="00C71DDF"/>
    <w:rsid w:val="00C71F73"/>
    <w:rsid w:val="00C723ED"/>
    <w:rsid w:val="00C7281C"/>
    <w:rsid w:val="00C72957"/>
    <w:rsid w:val="00C72A99"/>
    <w:rsid w:val="00C72B74"/>
    <w:rsid w:val="00C72DEC"/>
    <w:rsid w:val="00C7337D"/>
    <w:rsid w:val="00C73380"/>
    <w:rsid w:val="00C733DD"/>
    <w:rsid w:val="00C7347F"/>
    <w:rsid w:val="00C73D2B"/>
    <w:rsid w:val="00C73F20"/>
    <w:rsid w:val="00C743F7"/>
    <w:rsid w:val="00C74799"/>
    <w:rsid w:val="00C74C8D"/>
    <w:rsid w:val="00C7507F"/>
    <w:rsid w:val="00C75709"/>
    <w:rsid w:val="00C75974"/>
    <w:rsid w:val="00C75BCC"/>
    <w:rsid w:val="00C764F8"/>
    <w:rsid w:val="00C76690"/>
    <w:rsid w:val="00C7678F"/>
    <w:rsid w:val="00C76C0B"/>
    <w:rsid w:val="00C771A8"/>
    <w:rsid w:val="00C77648"/>
    <w:rsid w:val="00C77D21"/>
    <w:rsid w:val="00C77D76"/>
    <w:rsid w:val="00C80299"/>
    <w:rsid w:val="00C804EB"/>
    <w:rsid w:val="00C80A3D"/>
    <w:rsid w:val="00C80A60"/>
    <w:rsid w:val="00C80EBB"/>
    <w:rsid w:val="00C80FA0"/>
    <w:rsid w:val="00C80FA1"/>
    <w:rsid w:val="00C80FE4"/>
    <w:rsid w:val="00C8118C"/>
    <w:rsid w:val="00C81544"/>
    <w:rsid w:val="00C81B4C"/>
    <w:rsid w:val="00C81E4F"/>
    <w:rsid w:val="00C82370"/>
    <w:rsid w:val="00C829A2"/>
    <w:rsid w:val="00C82BFC"/>
    <w:rsid w:val="00C82C13"/>
    <w:rsid w:val="00C82E75"/>
    <w:rsid w:val="00C8368E"/>
    <w:rsid w:val="00C836CD"/>
    <w:rsid w:val="00C837C7"/>
    <w:rsid w:val="00C83A7E"/>
    <w:rsid w:val="00C83B43"/>
    <w:rsid w:val="00C83C26"/>
    <w:rsid w:val="00C83C54"/>
    <w:rsid w:val="00C83FB4"/>
    <w:rsid w:val="00C84D10"/>
    <w:rsid w:val="00C84F83"/>
    <w:rsid w:val="00C85765"/>
    <w:rsid w:val="00C85BA8"/>
    <w:rsid w:val="00C86022"/>
    <w:rsid w:val="00C8609F"/>
    <w:rsid w:val="00C86718"/>
    <w:rsid w:val="00C86882"/>
    <w:rsid w:val="00C86BDD"/>
    <w:rsid w:val="00C870F1"/>
    <w:rsid w:val="00C87764"/>
    <w:rsid w:val="00C878BF"/>
    <w:rsid w:val="00C87945"/>
    <w:rsid w:val="00C901CE"/>
    <w:rsid w:val="00C9058E"/>
    <w:rsid w:val="00C907B5"/>
    <w:rsid w:val="00C90A8C"/>
    <w:rsid w:val="00C9114B"/>
    <w:rsid w:val="00C939BB"/>
    <w:rsid w:val="00C93B05"/>
    <w:rsid w:val="00C94053"/>
    <w:rsid w:val="00C941CF"/>
    <w:rsid w:val="00C9432D"/>
    <w:rsid w:val="00C94DA0"/>
    <w:rsid w:val="00C953B9"/>
    <w:rsid w:val="00C954FF"/>
    <w:rsid w:val="00C95723"/>
    <w:rsid w:val="00C959E5"/>
    <w:rsid w:val="00C95C7E"/>
    <w:rsid w:val="00C95EF3"/>
    <w:rsid w:val="00C9605B"/>
    <w:rsid w:val="00C96902"/>
    <w:rsid w:val="00C969C3"/>
    <w:rsid w:val="00C96EFD"/>
    <w:rsid w:val="00C97102"/>
    <w:rsid w:val="00C9744A"/>
    <w:rsid w:val="00CA038A"/>
    <w:rsid w:val="00CA0E74"/>
    <w:rsid w:val="00CA10DD"/>
    <w:rsid w:val="00CA10E5"/>
    <w:rsid w:val="00CA1533"/>
    <w:rsid w:val="00CA1A45"/>
    <w:rsid w:val="00CA1C2B"/>
    <w:rsid w:val="00CA2125"/>
    <w:rsid w:val="00CA22A2"/>
    <w:rsid w:val="00CA257A"/>
    <w:rsid w:val="00CA2647"/>
    <w:rsid w:val="00CA2B66"/>
    <w:rsid w:val="00CA3003"/>
    <w:rsid w:val="00CA3388"/>
    <w:rsid w:val="00CA3C64"/>
    <w:rsid w:val="00CA3EBC"/>
    <w:rsid w:val="00CA3EEB"/>
    <w:rsid w:val="00CA4763"/>
    <w:rsid w:val="00CA4A3B"/>
    <w:rsid w:val="00CA4BC4"/>
    <w:rsid w:val="00CA5C98"/>
    <w:rsid w:val="00CA6019"/>
    <w:rsid w:val="00CA6079"/>
    <w:rsid w:val="00CA626A"/>
    <w:rsid w:val="00CA6996"/>
    <w:rsid w:val="00CA6EA0"/>
    <w:rsid w:val="00CA70B3"/>
    <w:rsid w:val="00CA71F6"/>
    <w:rsid w:val="00CA74C0"/>
    <w:rsid w:val="00CA779E"/>
    <w:rsid w:val="00CA78BF"/>
    <w:rsid w:val="00CB0C44"/>
    <w:rsid w:val="00CB0F56"/>
    <w:rsid w:val="00CB11A7"/>
    <w:rsid w:val="00CB11AE"/>
    <w:rsid w:val="00CB144E"/>
    <w:rsid w:val="00CB1921"/>
    <w:rsid w:val="00CB20FE"/>
    <w:rsid w:val="00CB21B6"/>
    <w:rsid w:val="00CB2295"/>
    <w:rsid w:val="00CB2468"/>
    <w:rsid w:val="00CB2994"/>
    <w:rsid w:val="00CB2A74"/>
    <w:rsid w:val="00CB321F"/>
    <w:rsid w:val="00CB3E57"/>
    <w:rsid w:val="00CB3EEF"/>
    <w:rsid w:val="00CB41F1"/>
    <w:rsid w:val="00CB49B6"/>
    <w:rsid w:val="00CB561E"/>
    <w:rsid w:val="00CB5B41"/>
    <w:rsid w:val="00CB628C"/>
    <w:rsid w:val="00CB6CA3"/>
    <w:rsid w:val="00CB6FDB"/>
    <w:rsid w:val="00CB7469"/>
    <w:rsid w:val="00CB7537"/>
    <w:rsid w:val="00CB7539"/>
    <w:rsid w:val="00CB7CE8"/>
    <w:rsid w:val="00CC0131"/>
    <w:rsid w:val="00CC02DE"/>
    <w:rsid w:val="00CC0C97"/>
    <w:rsid w:val="00CC0F4B"/>
    <w:rsid w:val="00CC13BC"/>
    <w:rsid w:val="00CC1581"/>
    <w:rsid w:val="00CC1823"/>
    <w:rsid w:val="00CC2318"/>
    <w:rsid w:val="00CC2369"/>
    <w:rsid w:val="00CC2578"/>
    <w:rsid w:val="00CC2765"/>
    <w:rsid w:val="00CC2819"/>
    <w:rsid w:val="00CC2CB3"/>
    <w:rsid w:val="00CC2DFB"/>
    <w:rsid w:val="00CC2FC0"/>
    <w:rsid w:val="00CC30FB"/>
    <w:rsid w:val="00CC3AAB"/>
    <w:rsid w:val="00CC3AF2"/>
    <w:rsid w:val="00CC3C4F"/>
    <w:rsid w:val="00CC3D6E"/>
    <w:rsid w:val="00CC3DA3"/>
    <w:rsid w:val="00CC4080"/>
    <w:rsid w:val="00CC4764"/>
    <w:rsid w:val="00CC4928"/>
    <w:rsid w:val="00CC4967"/>
    <w:rsid w:val="00CC5375"/>
    <w:rsid w:val="00CC6143"/>
    <w:rsid w:val="00CC64E7"/>
    <w:rsid w:val="00CC6D69"/>
    <w:rsid w:val="00CC70C8"/>
    <w:rsid w:val="00CC712E"/>
    <w:rsid w:val="00CC7783"/>
    <w:rsid w:val="00CC7B95"/>
    <w:rsid w:val="00CD0309"/>
    <w:rsid w:val="00CD0495"/>
    <w:rsid w:val="00CD0A84"/>
    <w:rsid w:val="00CD0AB3"/>
    <w:rsid w:val="00CD0C14"/>
    <w:rsid w:val="00CD18C3"/>
    <w:rsid w:val="00CD1CA6"/>
    <w:rsid w:val="00CD2344"/>
    <w:rsid w:val="00CD2F43"/>
    <w:rsid w:val="00CD3282"/>
    <w:rsid w:val="00CD35DA"/>
    <w:rsid w:val="00CD3909"/>
    <w:rsid w:val="00CD3A76"/>
    <w:rsid w:val="00CD3D16"/>
    <w:rsid w:val="00CD3DB3"/>
    <w:rsid w:val="00CD4061"/>
    <w:rsid w:val="00CD40DB"/>
    <w:rsid w:val="00CD412C"/>
    <w:rsid w:val="00CD45FF"/>
    <w:rsid w:val="00CD493F"/>
    <w:rsid w:val="00CD5636"/>
    <w:rsid w:val="00CD5675"/>
    <w:rsid w:val="00CD58D9"/>
    <w:rsid w:val="00CD5BC4"/>
    <w:rsid w:val="00CD5D9E"/>
    <w:rsid w:val="00CD5E60"/>
    <w:rsid w:val="00CD6339"/>
    <w:rsid w:val="00CD6AFA"/>
    <w:rsid w:val="00CD6F4A"/>
    <w:rsid w:val="00CD7014"/>
    <w:rsid w:val="00CD7106"/>
    <w:rsid w:val="00CD7404"/>
    <w:rsid w:val="00CD7523"/>
    <w:rsid w:val="00CD7633"/>
    <w:rsid w:val="00CD76A4"/>
    <w:rsid w:val="00CD7F6E"/>
    <w:rsid w:val="00CE0A99"/>
    <w:rsid w:val="00CE0D5B"/>
    <w:rsid w:val="00CE0EDA"/>
    <w:rsid w:val="00CE111B"/>
    <w:rsid w:val="00CE16E9"/>
    <w:rsid w:val="00CE170D"/>
    <w:rsid w:val="00CE18D8"/>
    <w:rsid w:val="00CE221E"/>
    <w:rsid w:val="00CE294B"/>
    <w:rsid w:val="00CE3CC4"/>
    <w:rsid w:val="00CE41CD"/>
    <w:rsid w:val="00CE46B3"/>
    <w:rsid w:val="00CE483E"/>
    <w:rsid w:val="00CE4A63"/>
    <w:rsid w:val="00CE4CA2"/>
    <w:rsid w:val="00CE4CBB"/>
    <w:rsid w:val="00CE4DE9"/>
    <w:rsid w:val="00CE517C"/>
    <w:rsid w:val="00CE563C"/>
    <w:rsid w:val="00CE5BDF"/>
    <w:rsid w:val="00CE5F06"/>
    <w:rsid w:val="00CE63F0"/>
    <w:rsid w:val="00CE6A80"/>
    <w:rsid w:val="00CE6E6F"/>
    <w:rsid w:val="00CE7005"/>
    <w:rsid w:val="00CE72A8"/>
    <w:rsid w:val="00CF0231"/>
    <w:rsid w:val="00CF05E6"/>
    <w:rsid w:val="00CF0BF2"/>
    <w:rsid w:val="00CF0CBF"/>
    <w:rsid w:val="00CF13FD"/>
    <w:rsid w:val="00CF141D"/>
    <w:rsid w:val="00CF1C6E"/>
    <w:rsid w:val="00CF1DD5"/>
    <w:rsid w:val="00CF1EC1"/>
    <w:rsid w:val="00CF2182"/>
    <w:rsid w:val="00CF2384"/>
    <w:rsid w:val="00CF2ECA"/>
    <w:rsid w:val="00CF2F4E"/>
    <w:rsid w:val="00CF35C9"/>
    <w:rsid w:val="00CF3E0B"/>
    <w:rsid w:val="00CF40C0"/>
    <w:rsid w:val="00CF4E0A"/>
    <w:rsid w:val="00CF4E15"/>
    <w:rsid w:val="00CF535F"/>
    <w:rsid w:val="00CF542A"/>
    <w:rsid w:val="00CF596F"/>
    <w:rsid w:val="00CF5CB3"/>
    <w:rsid w:val="00CF61F7"/>
    <w:rsid w:val="00CF6D41"/>
    <w:rsid w:val="00CF7280"/>
    <w:rsid w:val="00CF749D"/>
    <w:rsid w:val="00CF76D5"/>
    <w:rsid w:val="00CF7ABA"/>
    <w:rsid w:val="00D00878"/>
    <w:rsid w:val="00D00DEE"/>
    <w:rsid w:val="00D023F1"/>
    <w:rsid w:val="00D02501"/>
    <w:rsid w:val="00D02540"/>
    <w:rsid w:val="00D02730"/>
    <w:rsid w:val="00D02BCA"/>
    <w:rsid w:val="00D0373A"/>
    <w:rsid w:val="00D040E6"/>
    <w:rsid w:val="00D04226"/>
    <w:rsid w:val="00D0424A"/>
    <w:rsid w:val="00D044F7"/>
    <w:rsid w:val="00D04616"/>
    <w:rsid w:val="00D048E4"/>
    <w:rsid w:val="00D05079"/>
    <w:rsid w:val="00D050AC"/>
    <w:rsid w:val="00D05981"/>
    <w:rsid w:val="00D05C0E"/>
    <w:rsid w:val="00D05F24"/>
    <w:rsid w:val="00D068F1"/>
    <w:rsid w:val="00D069FC"/>
    <w:rsid w:val="00D076ED"/>
    <w:rsid w:val="00D07FBB"/>
    <w:rsid w:val="00D101F6"/>
    <w:rsid w:val="00D11229"/>
    <w:rsid w:val="00D11261"/>
    <w:rsid w:val="00D11A7D"/>
    <w:rsid w:val="00D12145"/>
    <w:rsid w:val="00D12430"/>
    <w:rsid w:val="00D1254B"/>
    <w:rsid w:val="00D12D69"/>
    <w:rsid w:val="00D12FBA"/>
    <w:rsid w:val="00D13103"/>
    <w:rsid w:val="00D134C2"/>
    <w:rsid w:val="00D13672"/>
    <w:rsid w:val="00D13710"/>
    <w:rsid w:val="00D137AD"/>
    <w:rsid w:val="00D137EC"/>
    <w:rsid w:val="00D13CC3"/>
    <w:rsid w:val="00D13CF0"/>
    <w:rsid w:val="00D13D5C"/>
    <w:rsid w:val="00D14049"/>
    <w:rsid w:val="00D141B4"/>
    <w:rsid w:val="00D146FE"/>
    <w:rsid w:val="00D14846"/>
    <w:rsid w:val="00D15351"/>
    <w:rsid w:val="00D15833"/>
    <w:rsid w:val="00D158AD"/>
    <w:rsid w:val="00D15A13"/>
    <w:rsid w:val="00D15CB6"/>
    <w:rsid w:val="00D16231"/>
    <w:rsid w:val="00D162C9"/>
    <w:rsid w:val="00D1654B"/>
    <w:rsid w:val="00D165AF"/>
    <w:rsid w:val="00D16793"/>
    <w:rsid w:val="00D17225"/>
    <w:rsid w:val="00D1759F"/>
    <w:rsid w:val="00D17CC2"/>
    <w:rsid w:val="00D17CCD"/>
    <w:rsid w:val="00D17DBC"/>
    <w:rsid w:val="00D20415"/>
    <w:rsid w:val="00D20BBD"/>
    <w:rsid w:val="00D20E8D"/>
    <w:rsid w:val="00D210F7"/>
    <w:rsid w:val="00D21645"/>
    <w:rsid w:val="00D21E0C"/>
    <w:rsid w:val="00D21F25"/>
    <w:rsid w:val="00D2211B"/>
    <w:rsid w:val="00D2216C"/>
    <w:rsid w:val="00D22268"/>
    <w:rsid w:val="00D22463"/>
    <w:rsid w:val="00D2281A"/>
    <w:rsid w:val="00D22A51"/>
    <w:rsid w:val="00D22CB6"/>
    <w:rsid w:val="00D22D78"/>
    <w:rsid w:val="00D22DCB"/>
    <w:rsid w:val="00D22DE3"/>
    <w:rsid w:val="00D22E9E"/>
    <w:rsid w:val="00D22F10"/>
    <w:rsid w:val="00D2337F"/>
    <w:rsid w:val="00D23685"/>
    <w:rsid w:val="00D238C5"/>
    <w:rsid w:val="00D23AC7"/>
    <w:rsid w:val="00D23C54"/>
    <w:rsid w:val="00D244DC"/>
    <w:rsid w:val="00D24A6B"/>
    <w:rsid w:val="00D25285"/>
    <w:rsid w:val="00D253DA"/>
    <w:rsid w:val="00D255A2"/>
    <w:rsid w:val="00D259D8"/>
    <w:rsid w:val="00D25D07"/>
    <w:rsid w:val="00D25E3D"/>
    <w:rsid w:val="00D25FE7"/>
    <w:rsid w:val="00D26305"/>
    <w:rsid w:val="00D2662F"/>
    <w:rsid w:val="00D266E5"/>
    <w:rsid w:val="00D268E7"/>
    <w:rsid w:val="00D26F42"/>
    <w:rsid w:val="00D27009"/>
    <w:rsid w:val="00D27037"/>
    <w:rsid w:val="00D273A8"/>
    <w:rsid w:val="00D27AD3"/>
    <w:rsid w:val="00D27C3D"/>
    <w:rsid w:val="00D3057C"/>
    <w:rsid w:val="00D30CA5"/>
    <w:rsid w:val="00D316A6"/>
    <w:rsid w:val="00D31CAF"/>
    <w:rsid w:val="00D31D2A"/>
    <w:rsid w:val="00D3222E"/>
    <w:rsid w:val="00D32C76"/>
    <w:rsid w:val="00D32E1C"/>
    <w:rsid w:val="00D33004"/>
    <w:rsid w:val="00D330F0"/>
    <w:rsid w:val="00D334E6"/>
    <w:rsid w:val="00D33932"/>
    <w:rsid w:val="00D33A4B"/>
    <w:rsid w:val="00D33F3F"/>
    <w:rsid w:val="00D33F65"/>
    <w:rsid w:val="00D349F7"/>
    <w:rsid w:val="00D34B29"/>
    <w:rsid w:val="00D3546C"/>
    <w:rsid w:val="00D35DD7"/>
    <w:rsid w:val="00D361AA"/>
    <w:rsid w:val="00D3629D"/>
    <w:rsid w:val="00D365A8"/>
    <w:rsid w:val="00D36690"/>
    <w:rsid w:val="00D36CAD"/>
    <w:rsid w:val="00D36F66"/>
    <w:rsid w:val="00D4098B"/>
    <w:rsid w:val="00D40B43"/>
    <w:rsid w:val="00D40C3E"/>
    <w:rsid w:val="00D41228"/>
    <w:rsid w:val="00D413D6"/>
    <w:rsid w:val="00D41591"/>
    <w:rsid w:val="00D416B4"/>
    <w:rsid w:val="00D417C4"/>
    <w:rsid w:val="00D4191F"/>
    <w:rsid w:val="00D41CFB"/>
    <w:rsid w:val="00D4225D"/>
    <w:rsid w:val="00D42A5D"/>
    <w:rsid w:val="00D42C41"/>
    <w:rsid w:val="00D42FBA"/>
    <w:rsid w:val="00D437C7"/>
    <w:rsid w:val="00D43D38"/>
    <w:rsid w:val="00D43D44"/>
    <w:rsid w:val="00D43EB6"/>
    <w:rsid w:val="00D44591"/>
    <w:rsid w:val="00D44898"/>
    <w:rsid w:val="00D44B4A"/>
    <w:rsid w:val="00D44CB1"/>
    <w:rsid w:val="00D44EE0"/>
    <w:rsid w:val="00D45126"/>
    <w:rsid w:val="00D45134"/>
    <w:rsid w:val="00D4529B"/>
    <w:rsid w:val="00D45790"/>
    <w:rsid w:val="00D45C61"/>
    <w:rsid w:val="00D46739"/>
    <w:rsid w:val="00D46A53"/>
    <w:rsid w:val="00D46C89"/>
    <w:rsid w:val="00D46CA5"/>
    <w:rsid w:val="00D46E6A"/>
    <w:rsid w:val="00D47A7B"/>
    <w:rsid w:val="00D47D95"/>
    <w:rsid w:val="00D50188"/>
    <w:rsid w:val="00D50342"/>
    <w:rsid w:val="00D50A06"/>
    <w:rsid w:val="00D50D14"/>
    <w:rsid w:val="00D51497"/>
    <w:rsid w:val="00D51A1F"/>
    <w:rsid w:val="00D51F44"/>
    <w:rsid w:val="00D523EE"/>
    <w:rsid w:val="00D529C5"/>
    <w:rsid w:val="00D52FE5"/>
    <w:rsid w:val="00D531CA"/>
    <w:rsid w:val="00D53408"/>
    <w:rsid w:val="00D535CE"/>
    <w:rsid w:val="00D53A56"/>
    <w:rsid w:val="00D53A70"/>
    <w:rsid w:val="00D548CE"/>
    <w:rsid w:val="00D54986"/>
    <w:rsid w:val="00D54B19"/>
    <w:rsid w:val="00D54CFF"/>
    <w:rsid w:val="00D54F4F"/>
    <w:rsid w:val="00D55B6E"/>
    <w:rsid w:val="00D55DCE"/>
    <w:rsid w:val="00D563D5"/>
    <w:rsid w:val="00D564B9"/>
    <w:rsid w:val="00D56946"/>
    <w:rsid w:val="00D5697B"/>
    <w:rsid w:val="00D56F0A"/>
    <w:rsid w:val="00D56FC1"/>
    <w:rsid w:val="00D57159"/>
    <w:rsid w:val="00D5748E"/>
    <w:rsid w:val="00D57518"/>
    <w:rsid w:val="00D576D8"/>
    <w:rsid w:val="00D577CE"/>
    <w:rsid w:val="00D60895"/>
    <w:rsid w:val="00D6103D"/>
    <w:rsid w:val="00D611BE"/>
    <w:rsid w:val="00D61799"/>
    <w:rsid w:val="00D62A8F"/>
    <w:rsid w:val="00D62B79"/>
    <w:rsid w:val="00D62BB4"/>
    <w:rsid w:val="00D62F9B"/>
    <w:rsid w:val="00D63602"/>
    <w:rsid w:val="00D63889"/>
    <w:rsid w:val="00D64018"/>
    <w:rsid w:val="00D645C5"/>
    <w:rsid w:val="00D647FF"/>
    <w:rsid w:val="00D650EA"/>
    <w:rsid w:val="00D65125"/>
    <w:rsid w:val="00D6520C"/>
    <w:rsid w:val="00D6526D"/>
    <w:rsid w:val="00D652C1"/>
    <w:rsid w:val="00D65344"/>
    <w:rsid w:val="00D6538C"/>
    <w:rsid w:val="00D6542B"/>
    <w:rsid w:val="00D655C0"/>
    <w:rsid w:val="00D6582C"/>
    <w:rsid w:val="00D6588C"/>
    <w:rsid w:val="00D65CFC"/>
    <w:rsid w:val="00D65F90"/>
    <w:rsid w:val="00D65F95"/>
    <w:rsid w:val="00D66190"/>
    <w:rsid w:val="00D663CA"/>
    <w:rsid w:val="00D66726"/>
    <w:rsid w:val="00D66933"/>
    <w:rsid w:val="00D66E30"/>
    <w:rsid w:val="00D66EF7"/>
    <w:rsid w:val="00D67BAC"/>
    <w:rsid w:val="00D70200"/>
    <w:rsid w:val="00D706A0"/>
    <w:rsid w:val="00D70EBE"/>
    <w:rsid w:val="00D7186B"/>
    <w:rsid w:val="00D71A9E"/>
    <w:rsid w:val="00D722BA"/>
    <w:rsid w:val="00D72C68"/>
    <w:rsid w:val="00D73842"/>
    <w:rsid w:val="00D73F4E"/>
    <w:rsid w:val="00D74020"/>
    <w:rsid w:val="00D7452C"/>
    <w:rsid w:val="00D74DCC"/>
    <w:rsid w:val="00D74F54"/>
    <w:rsid w:val="00D754B2"/>
    <w:rsid w:val="00D755AE"/>
    <w:rsid w:val="00D75DCB"/>
    <w:rsid w:val="00D76518"/>
    <w:rsid w:val="00D76690"/>
    <w:rsid w:val="00D7674A"/>
    <w:rsid w:val="00D767C2"/>
    <w:rsid w:val="00D76939"/>
    <w:rsid w:val="00D76BB6"/>
    <w:rsid w:val="00D76E11"/>
    <w:rsid w:val="00D77218"/>
    <w:rsid w:val="00D77B81"/>
    <w:rsid w:val="00D77D74"/>
    <w:rsid w:val="00D80703"/>
    <w:rsid w:val="00D8089E"/>
    <w:rsid w:val="00D80C23"/>
    <w:rsid w:val="00D80CC0"/>
    <w:rsid w:val="00D80FB9"/>
    <w:rsid w:val="00D81055"/>
    <w:rsid w:val="00D814D6"/>
    <w:rsid w:val="00D815A1"/>
    <w:rsid w:val="00D8193E"/>
    <w:rsid w:val="00D81D28"/>
    <w:rsid w:val="00D827F7"/>
    <w:rsid w:val="00D8282A"/>
    <w:rsid w:val="00D82845"/>
    <w:rsid w:val="00D82A56"/>
    <w:rsid w:val="00D82D6A"/>
    <w:rsid w:val="00D833B2"/>
    <w:rsid w:val="00D834A9"/>
    <w:rsid w:val="00D83E4B"/>
    <w:rsid w:val="00D84014"/>
    <w:rsid w:val="00D84C66"/>
    <w:rsid w:val="00D84F09"/>
    <w:rsid w:val="00D85043"/>
    <w:rsid w:val="00D854FD"/>
    <w:rsid w:val="00D85C05"/>
    <w:rsid w:val="00D8752C"/>
    <w:rsid w:val="00D877CA"/>
    <w:rsid w:val="00D877DB"/>
    <w:rsid w:val="00D87A16"/>
    <w:rsid w:val="00D87B8A"/>
    <w:rsid w:val="00D9049C"/>
    <w:rsid w:val="00D90AF8"/>
    <w:rsid w:val="00D90BF3"/>
    <w:rsid w:val="00D91039"/>
    <w:rsid w:val="00D910F1"/>
    <w:rsid w:val="00D91231"/>
    <w:rsid w:val="00D91760"/>
    <w:rsid w:val="00D91F07"/>
    <w:rsid w:val="00D9225C"/>
    <w:rsid w:val="00D92287"/>
    <w:rsid w:val="00D92BE6"/>
    <w:rsid w:val="00D92DAD"/>
    <w:rsid w:val="00D93A2C"/>
    <w:rsid w:val="00D949CB"/>
    <w:rsid w:val="00D94AE1"/>
    <w:rsid w:val="00D95036"/>
    <w:rsid w:val="00D95206"/>
    <w:rsid w:val="00D95793"/>
    <w:rsid w:val="00D95934"/>
    <w:rsid w:val="00D95948"/>
    <w:rsid w:val="00D959D2"/>
    <w:rsid w:val="00D95B28"/>
    <w:rsid w:val="00D95C6A"/>
    <w:rsid w:val="00D95F0B"/>
    <w:rsid w:val="00D95F2E"/>
    <w:rsid w:val="00D96A5A"/>
    <w:rsid w:val="00D96D16"/>
    <w:rsid w:val="00D97718"/>
    <w:rsid w:val="00D97A1E"/>
    <w:rsid w:val="00DA0042"/>
    <w:rsid w:val="00DA04B0"/>
    <w:rsid w:val="00DA0595"/>
    <w:rsid w:val="00DA0679"/>
    <w:rsid w:val="00DA06B8"/>
    <w:rsid w:val="00DA0AD0"/>
    <w:rsid w:val="00DA0B0D"/>
    <w:rsid w:val="00DA0CA2"/>
    <w:rsid w:val="00DA0CC7"/>
    <w:rsid w:val="00DA0DE3"/>
    <w:rsid w:val="00DA1B9D"/>
    <w:rsid w:val="00DA2080"/>
    <w:rsid w:val="00DA31D4"/>
    <w:rsid w:val="00DA35F8"/>
    <w:rsid w:val="00DA363C"/>
    <w:rsid w:val="00DA3B79"/>
    <w:rsid w:val="00DA3CC6"/>
    <w:rsid w:val="00DA3D2C"/>
    <w:rsid w:val="00DA425D"/>
    <w:rsid w:val="00DA456C"/>
    <w:rsid w:val="00DA457D"/>
    <w:rsid w:val="00DA46F0"/>
    <w:rsid w:val="00DA48E1"/>
    <w:rsid w:val="00DA4990"/>
    <w:rsid w:val="00DA4B49"/>
    <w:rsid w:val="00DA5474"/>
    <w:rsid w:val="00DA57A5"/>
    <w:rsid w:val="00DA6102"/>
    <w:rsid w:val="00DA65E8"/>
    <w:rsid w:val="00DA6D5D"/>
    <w:rsid w:val="00DA6D9E"/>
    <w:rsid w:val="00DA6EB2"/>
    <w:rsid w:val="00DA70B7"/>
    <w:rsid w:val="00DA727C"/>
    <w:rsid w:val="00DA734F"/>
    <w:rsid w:val="00DA7C37"/>
    <w:rsid w:val="00DA7EB6"/>
    <w:rsid w:val="00DA7FC2"/>
    <w:rsid w:val="00DA7FC4"/>
    <w:rsid w:val="00DB0C97"/>
    <w:rsid w:val="00DB0E5D"/>
    <w:rsid w:val="00DB0E90"/>
    <w:rsid w:val="00DB1026"/>
    <w:rsid w:val="00DB144E"/>
    <w:rsid w:val="00DB15D9"/>
    <w:rsid w:val="00DB191E"/>
    <w:rsid w:val="00DB1A7E"/>
    <w:rsid w:val="00DB1C3C"/>
    <w:rsid w:val="00DB3865"/>
    <w:rsid w:val="00DB390B"/>
    <w:rsid w:val="00DB419B"/>
    <w:rsid w:val="00DB46FC"/>
    <w:rsid w:val="00DB4D0F"/>
    <w:rsid w:val="00DB56C3"/>
    <w:rsid w:val="00DB5BD0"/>
    <w:rsid w:val="00DB5CBA"/>
    <w:rsid w:val="00DB62E7"/>
    <w:rsid w:val="00DB64A0"/>
    <w:rsid w:val="00DB67B7"/>
    <w:rsid w:val="00DB6BC0"/>
    <w:rsid w:val="00DB6E20"/>
    <w:rsid w:val="00DB6EF4"/>
    <w:rsid w:val="00DB7088"/>
    <w:rsid w:val="00DB762F"/>
    <w:rsid w:val="00DB7764"/>
    <w:rsid w:val="00DB7A93"/>
    <w:rsid w:val="00DB7D9B"/>
    <w:rsid w:val="00DB7F7E"/>
    <w:rsid w:val="00DC007F"/>
    <w:rsid w:val="00DC043E"/>
    <w:rsid w:val="00DC0509"/>
    <w:rsid w:val="00DC0666"/>
    <w:rsid w:val="00DC0F16"/>
    <w:rsid w:val="00DC12D5"/>
    <w:rsid w:val="00DC157A"/>
    <w:rsid w:val="00DC1958"/>
    <w:rsid w:val="00DC1D60"/>
    <w:rsid w:val="00DC1F78"/>
    <w:rsid w:val="00DC2138"/>
    <w:rsid w:val="00DC254A"/>
    <w:rsid w:val="00DC29D1"/>
    <w:rsid w:val="00DC2EC2"/>
    <w:rsid w:val="00DC2FED"/>
    <w:rsid w:val="00DC3038"/>
    <w:rsid w:val="00DC3235"/>
    <w:rsid w:val="00DC32A4"/>
    <w:rsid w:val="00DC3BBE"/>
    <w:rsid w:val="00DC4251"/>
    <w:rsid w:val="00DC43A3"/>
    <w:rsid w:val="00DC49CF"/>
    <w:rsid w:val="00DC4B56"/>
    <w:rsid w:val="00DC5101"/>
    <w:rsid w:val="00DC5632"/>
    <w:rsid w:val="00DC5B3E"/>
    <w:rsid w:val="00DC5BDC"/>
    <w:rsid w:val="00DC633C"/>
    <w:rsid w:val="00DC6991"/>
    <w:rsid w:val="00DC76AA"/>
    <w:rsid w:val="00DC791D"/>
    <w:rsid w:val="00DC792E"/>
    <w:rsid w:val="00DC7BB2"/>
    <w:rsid w:val="00DC7E75"/>
    <w:rsid w:val="00DC7E7F"/>
    <w:rsid w:val="00DD011A"/>
    <w:rsid w:val="00DD0438"/>
    <w:rsid w:val="00DD062A"/>
    <w:rsid w:val="00DD0B3F"/>
    <w:rsid w:val="00DD12DC"/>
    <w:rsid w:val="00DD1386"/>
    <w:rsid w:val="00DD17A6"/>
    <w:rsid w:val="00DD1848"/>
    <w:rsid w:val="00DD1F39"/>
    <w:rsid w:val="00DD2459"/>
    <w:rsid w:val="00DD25BC"/>
    <w:rsid w:val="00DD2841"/>
    <w:rsid w:val="00DD2B70"/>
    <w:rsid w:val="00DD2F8D"/>
    <w:rsid w:val="00DD30A3"/>
    <w:rsid w:val="00DD3B93"/>
    <w:rsid w:val="00DD3D11"/>
    <w:rsid w:val="00DD3E0C"/>
    <w:rsid w:val="00DD3E17"/>
    <w:rsid w:val="00DD40EC"/>
    <w:rsid w:val="00DD4183"/>
    <w:rsid w:val="00DD42EE"/>
    <w:rsid w:val="00DD469E"/>
    <w:rsid w:val="00DD4C9E"/>
    <w:rsid w:val="00DD5D93"/>
    <w:rsid w:val="00DD653A"/>
    <w:rsid w:val="00DD69FA"/>
    <w:rsid w:val="00DD7232"/>
    <w:rsid w:val="00DD75E7"/>
    <w:rsid w:val="00DD7CEF"/>
    <w:rsid w:val="00DD7E5C"/>
    <w:rsid w:val="00DD7F77"/>
    <w:rsid w:val="00DE02E4"/>
    <w:rsid w:val="00DE0373"/>
    <w:rsid w:val="00DE0B14"/>
    <w:rsid w:val="00DE1050"/>
    <w:rsid w:val="00DE1F5C"/>
    <w:rsid w:val="00DE28BA"/>
    <w:rsid w:val="00DE2FD9"/>
    <w:rsid w:val="00DE3E01"/>
    <w:rsid w:val="00DE5456"/>
    <w:rsid w:val="00DE57A8"/>
    <w:rsid w:val="00DE6440"/>
    <w:rsid w:val="00DE6A49"/>
    <w:rsid w:val="00DE6CE9"/>
    <w:rsid w:val="00DE6E2C"/>
    <w:rsid w:val="00DE7012"/>
    <w:rsid w:val="00DE766D"/>
    <w:rsid w:val="00DE77F6"/>
    <w:rsid w:val="00DE7BAD"/>
    <w:rsid w:val="00DE7CC8"/>
    <w:rsid w:val="00DE7D53"/>
    <w:rsid w:val="00DF138F"/>
    <w:rsid w:val="00DF171B"/>
    <w:rsid w:val="00DF19C2"/>
    <w:rsid w:val="00DF1C51"/>
    <w:rsid w:val="00DF259A"/>
    <w:rsid w:val="00DF25C4"/>
    <w:rsid w:val="00DF2739"/>
    <w:rsid w:val="00DF2919"/>
    <w:rsid w:val="00DF2A75"/>
    <w:rsid w:val="00DF2DC0"/>
    <w:rsid w:val="00DF3452"/>
    <w:rsid w:val="00DF3FE0"/>
    <w:rsid w:val="00DF40BB"/>
    <w:rsid w:val="00DF41E1"/>
    <w:rsid w:val="00DF430D"/>
    <w:rsid w:val="00DF449B"/>
    <w:rsid w:val="00DF4612"/>
    <w:rsid w:val="00DF470C"/>
    <w:rsid w:val="00DF4826"/>
    <w:rsid w:val="00DF4B78"/>
    <w:rsid w:val="00DF5B33"/>
    <w:rsid w:val="00DF5BBB"/>
    <w:rsid w:val="00DF629E"/>
    <w:rsid w:val="00DF665F"/>
    <w:rsid w:val="00DF6967"/>
    <w:rsid w:val="00DF69E8"/>
    <w:rsid w:val="00DF6AF4"/>
    <w:rsid w:val="00DF6E3A"/>
    <w:rsid w:val="00DF712B"/>
    <w:rsid w:val="00DF7458"/>
    <w:rsid w:val="00DF7859"/>
    <w:rsid w:val="00DF7EFD"/>
    <w:rsid w:val="00E00ADE"/>
    <w:rsid w:val="00E010D5"/>
    <w:rsid w:val="00E01AD7"/>
    <w:rsid w:val="00E01EEE"/>
    <w:rsid w:val="00E0220D"/>
    <w:rsid w:val="00E02A04"/>
    <w:rsid w:val="00E02F5F"/>
    <w:rsid w:val="00E0331C"/>
    <w:rsid w:val="00E03A2C"/>
    <w:rsid w:val="00E03A76"/>
    <w:rsid w:val="00E03CA4"/>
    <w:rsid w:val="00E05052"/>
    <w:rsid w:val="00E05512"/>
    <w:rsid w:val="00E05560"/>
    <w:rsid w:val="00E05865"/>
    <w:rsid w:val="00E05A93"/>
    <w:rsid w:val="00E05C4E"/>
    <w:rsid w:val="00E05D1A"/>
    <w:rsid w:val="00E05DD7"/>
    <w:rsid w:val="00E05DFB"/>
    <w:rsid w:val="00E05F3E"/>
    <w:rsid w:val="00E060C6"/>
    <w:rsid w:val="00E06417"/>
    <w:rsid w:val="00E06739"/>
    <w:rsid w:val="00E0757E"/>
    <w:rsid w:val="00E0771B"/>
    <w:rsid w:val="00E07CEA"/>
    <w:rsid w:val="00E1006E"/>
    <w:rsid w:val="00E105BC"/>
    <w:rsid w:val="00E10942"/>
    <w:rsid w:val="00E10A62"/>
    <w:rsid w:val="00E10C41"/>
    <w:rsid w:val="00E10EA1"/>
    <w:rsid w:val="00E11A0E"/>
    <w:rsid w:val="00E11A44"/>
    <w:rsid w:val="00E11A93"/>
    <w:rsid w:val="00E11EE1"/>
    <w:rsid w:val="00E12364"/>
    <w:rsid w:val="00E12438"/>
    <w:rsid w:val="00E129B2"/>
    <w:rsid w:val="00E13023"/>
    <w:rsid w:val="00E13040"/>
    <w:rsid w:val="00E137A5"/>
    <w:rsid w:val="00E13B37"/>
    <w:rsid w:val="00E13E20"/>
    <w:rsid w:val="00E14778"/>
    <w:rsid w:val="00E14D35"/>
    <w:rsid w:val="00E169C1"/>
    <w:rsid w:val="00E171E8"/>
    <w:rsid w:val="00E175EB"/>
    <w:rsid w:val="00E178BD"/>
    <w:rsid w:val="00E17AA3"/>
    <w:rsid w:val="00E202B7"/>
    <w:rsid w:val="00E2034E"/>
    <w:rsid w:val="00E20434"/>
    <w:rsid w:val="00E2070F"/>
    <w:rsid w:val="00E20E78"/>
    <w:rsid w:val="00E20F0D"/>
    <w:rsid w:val="00E2115B"/>
    <w:rsid w:val="00E21487"/>
    <w:rsid w:val="00E21CBC"/>
    <w:rsid w:val="00E21F02"/>
    <w:rsid w:val="00E2202D"/>
    <w:rsid w:val="00E22D4A"/>
    <w:rsid w:val="00E22FE8"/>
    <w:rsid w:val="00E2375C"/>
    <w:rsid w:val="00E23AA1"/>
    <w:rsid w:val="00E23BEA"/>
    <w:rsid w:val="00E247BC"/>
    <w:rsid w:val="00E249FF"/>
    <w:rsid w:val="00E24CFE"/>
    <w:rsid w:val="00E24D5D"/>
    <w:rsid w:val="00E24F82"/>
    <w:rsid w:val="00E254C8"/>
    <w:rsid w:val="00E256E9"/>
    <w:rsid w:val="00E26B70"/>
    <w:rsid w:val="00E27316"/>
    <w:rsid w:val="00E27636"/>
    <w:rsid w:val="00E27B6E"/>
    <w:rsid w:val="00E27E24"/>
    <w:rsid w:val="00E30629"/>
    <w:rsid w:val="00E30785"/>
    <w:rsid w:val="00E307D6"/>
    <w:rsid w:val="00E30C86"/>
    <w:rsid w:val="00E30F41"/>
    <w:rsid w:val="00E30F82"/>
    <w:rsid w:val="00E315D5"/>
    <w:rsid w:val="00E3172E"/>
    <w:rsid w:val="00E31A26"/>
    <w:rsid w:val="00E31C70"/>
    <w:rsid w:val="00E31ED4"/>
    <w:rsid w:val="00E31F7D"/>
    <w:rsid w:val="00E32703"/>
    <w:rsid w:val="00E32BB1"/>
    <w:rsid w:val="00E33D07"/>
    <w:rsid w:val="00E34108"/>
    <w:rsid w:val="00E3489B"/>
    <w:rsid w:val="00E34CE3"/>
    <w:rsid w:val="00E358E7"/>
    <w:rsid w:val="00E35AB1"/>
    <w:rsid w:val="00E35BDA"/>
    <w:rsid w:val="00E35C88"/>
    <w:rsid w:val="00E35FF1"/>
    <w:rsid w:val="00E3668B"/>
    <w:rsid w:val="00E3701A"/>
    <w:rsid w:val="00E3711F"/>
    <w:rsid w:val="00E37476"/>
    <w:rsid w:val="00E3755D"/>
    <w:rsid w:val="00E37748"/>
    <w:rsid w:val="00E37761"/>
    <w:rsid w:val="00E3782B"/>
    <w:rsid w:val="00E378DE"/>
    <w:rsid w:val="00E37932"/>
    <w:rsid w:val="00E37ED7"/>
    <w:rsid w:val="00E40003"/>
    <w:rsid w:val="00E4028B"/>
    <w:rsid w:val="00E40594"/>
    <w:rsid w:val="00E407CE"/>
    <w:rsid w:val="00E40C98"/>
    <w:rsid w:val="00E40F14"/>
    <w:rsid w:val="00E41086"/>
    <w:rsid w:val="00E4159E"/>
    <w:rsid w:val="00E415F1"/>
    <w:rsid w:val="00E41E92"/>
    <w:rsid w:val="00E41F8E"/>
    <w:rsid w:val="00E423F9"/>
    <w:rsid w:val="00E425A3"/>
    <w:rsid w:val="00E42BED"/>
    <w:rsid w:val="00E42C5F"/>
    <w:rsid w:val="00E42E2A"/>
    <w:rsid w:val="00E42ED1"/>
    <w:rsid w:val="00E433F6"/>
    <w:rsid w:val="00E434F9"/>
    <w:rsid w:val="00E437A4"/>
    <w:rsid w:val="00E43E2C"/>
    <w:rsid w:val="00E43EF2"/>
    <w:rsid w:val="00E44336"/>
    <w:rsid w:val="00E4463D"/>
    <w:rsid w:val="00E448F8"/>
    <w:rsid w:val="00E451AD"/>
    <w:rsid w:val="00E45BEB"/>
    <w:rsid w:val="00E45CF2"/>
    <w:rsid w:val="00E463CA"/>
    <w:rsid w:val="00E46423"/>
    <w:rsid w:val="00E46E81"/>
    <w:rsid w:val="00E46F00"/>
    <w:rsid w:val="00E46F5C"/>
    <w:rsid w:val="00E46FE4"/>
    <w:rsid w:val="00E472CF"/>
    <w:rsid w:val="00E47506"/>
    <w:rsid w:val="00E477A6"/>
    <w:rsid w:val="00E47A97"/>
    <w:rsid w:val="00E505B1"/>
    <w:rsid w:val="00E50ED7"/>
    <w:rsid w:val="00E51225"/>
    <w:rsid w:val="00E513EA"/>
    <w:rsid w:val="00E5190E"/>
    <w:rsid w:val="00E51D83"/>
    <w:rsid w:val="00E52524"/>
    <w:rsid w:val="00E527A0"/>
    <w:rsid w:val="00E528C6"/>
    <w:rsid w:val="00E52A0C"/>
    <w:rsid w:val="00E52E63"/>
    <w:rsid w:val="00E52F5A"/>
    <w:rsid w:val="00E533CA"/>
    <w:rsid w:val="00E5378A"/>
    <w:rsid w:val="00E53A1A"/>
    <w:rsid w:val="00E53A56"/>
    <w:rsid w:val="00E53C7E"/>
    <w:rsid w:val="00E53CA5"/>
    <w:rsid w:val="00E54349"/>
    <w:rsid w:val="00E5491F"/>
    <w:rsid w:val="00E54D7F"/>
    <w:rsid w:val="00E54E3F"/>
    <w:rsid w:val="00E5640D"/>
    <w:rsid w:val="00E56421"/>
    <w:rsid w:val="00E56DAB"/>
    <w:rsid w:val="00E57075"/>
    <w:rsid w:val="00E571FE"/>
    <w:rsid w:val="00E6001C"/>
    <w:rsid w:val="00E60352"/>
    <w:rsid w:val="00E603F7"/>
    <w:rsid w:val="00E6042D"/>
    <w:rsid w:val="00E60972"/>
    <w:rsid w:val="00E60AE2"/>
    <w:rsid w:val="00E60B84"/>
    <w:rsid w:val="00E61B36"/>
    <w:rsid w:val="00E61F2D"/>
    <w:rsid w:val="00E6214A"/>
    <w:rsid w:val="00E6249F"/>
    <w:rsid w:val="00E634EE"/>
    <w:rsid w:val="00E63D1D"/>
    <w:rsid w:val="00E64889"/>
    <w:rsid w:val="00E649F0"/>
    <w:rsid w:val="00E6532F"/>
    <w:rsid w:val="00E65532"/>
    <w:rsid w:val="00E65E08"/>
    <w:rsid w:val="00E66494"/>
    <w:rsid w:val="00E666B8"/>
    <w:rsid w:val="00E66760"/>
    <w:rsid w:val="00E668F8"/>
    <w:rsid w:val="00E66987"/>
    <w:rsid w:val="00E66B55"/>
    <w:rsid w:val="00E66C90"/>
    <w:rsid w:val="00E66EDA"/>
    <w:rsid w:val="00E66EFF"/>
    <w:rsid w:val="00E67238"/>
    <w:rsid w:val="00E70364"/>
    <w:rsid w:val="00E703C3"/>
    <w:rsid w:val="00E7080D"/>
    <w:rsid w:val="00E70C19"/>
    <w:rsid w:val="00E70C6E"/>
    <w:rsid w:val="00E70C82"/>
    <w:rsid w:val="00E70D48"/>
    <w:rsid w:val="00E716EE"/>
    <w:rsid w:val="00E72267"/>
    <w:rsid w:val="00E725C0"/>
    <w:rsid w:val="00E72749"/>
    <w:rsid w:val="00E734D3"/>
    <w:rsid w:val="00E736FB"/>
    <w:rsid w:val="00E73DE8"/>
    <w:rsid w:val="00E74673"/>
    <w:rsid w:val="00E74F68"/>
    <w:rsid w:val="00E752A8"/>
    <w:rsid w:val="00E7533C"/>
    <w:rsid w:val="00E7540C"/>
    <w:rsid w:val="00E758AC"/>
    <w:rsid w:val="00E75976"/>
    <w:rsid w:val="00E76023"/>
    <w:rsid w:val="00E7638B"/>
    <w:rsid w:val="00E766FA"/>
    <w:rsid w:val="00E76893"/>
    <w:rsid w:val="00E76A9F"/>
    <w:rsid w:val="00E76D8E"/>
    <w:rsid w:val="00E76FD3"/>
    <w:rsid w:val="00E76FE3"/>
    <w:rsid w:val="00E77420"/>
    <w:rsid w:val="00E77824"/>
    <w:rsid w:val="00E7796C"/>
    <w:rsid w:val="00E77C38"/>
    <w:rsid w:val="00E77CDA"/>
    <w:rsid w:val="00E807AF"/>
    <w:rsid w:val="00E807BB"/>
    <w:rsid w:val="00E808A8"/>
    <w:rsid w:val="00E80A81"/>
    <w:rsid w:val="00E80C84"/>
    <w:rsid w:val="00E810B4"/>
    <w:rsid w:val="00E8165E"/>
    <w:rsid w:val="00E81696"/>
    <w:rsid w:val="00E81AFD"/>
    <w:rsid w:val="00E82407"/>
    <w:rsid w:val="00E8254B"/>
    <w:rsid w:val="00E829FD"/>
    <w:rsid w:val="00E82C9B"/>
    <w:rsid w:val="00E8335E"/>
    <w:rsid w:val="00E83403"/>
    <w:rsid w:val="00E83574"/>
    <w:rsid w:val="00E836A8"/>
    <w:rsid w:val="00E83D63"/>
    <w:rsid w:val="00E846D3"/>
    <w:rsid w:val="00E84D59"/>
    <w:rsid w:val="00E850BC"/>
    <w:rsid w:val="00E8533C"/>
    <w:rsid w:val="00E85D23"/>
    <w:rsid w:val="00E86137"/>
    <w:rsid w:val="00E86173"/>
    <w:rsid w:val="00E866CC"/>
    <w:rsid w:val="00E86E48"/>
    <w:rsid w:val="00E8702E"/>
    <w:rsid w:val="00E87504"/>
    <w:rsid w:val="00E8759B"/>
    <w:rsid w:val="00E87F72"/>
    <w:rsid w:val="00E902F6"/>
    <w:rsid w:val="00E91090"/>
    <w:rsid w:val="00E910B4"/>
    <w:rsid w:val="00E916A2"/>
    <w:rsid w:val="00E91A68"/>
    <w:rsid w:val="00E91E05"/>
    <w:rsid w:val="00E922E6"/>
    <w:rsid w:val="00E92312"/>
    <w:rsid w:val="00E92928"/>
    <w:rsid w:val="00E929DB"/>
    <w:rsid w:val="00E92C46"/>
    <w:rsid w:val="00E9358F"/>
    <w:rsid w:val="00E93E94"/>
    <w:rsid w:val="00E940B1"/>
    <w:rsid w:val="00E941C1"/>
    <w:rsid w:val="00E94315"/>
    <w:rsid w:val="00E945DF"/>
    <w:rsid w:val="00E9502D"/>
    <w:rsid w:val="00E953A3"/>
    <w:rsid w:val="00E9593C"/>
    <w:rsid w:val="00E95E67"/>
    <w:rsid w:val="00E97088"/>
    <w:rsid w:val="00E97190"/>
    <w:rsid w:val="00E973D7"/>
    <w:rsid w:val="00E979BB"/>
    <w:rsid w:val="00E97F2D"/>
    <w:rsid w:val="00E97FD1"/>
    <w:rsid w:val="00EA0775"/>
    <w:rsid w:val="00EA0A01"/>
    <w:rsid w:val="00EA0FD7"/>
    <w:rsid w:val="00EA136A"/>
    <w:rsid w:val="00EA1495"/>
    <w:rsid w:val="00EA16C2"/>
    <w:rsid w:val="00EA1916"/>
    <w:rsid w:val="00EA1976"/>
    <w:rsid w:val="00EA2082"/>
    <w:rsid w:val="00EA24B5"/>
    <w:rsid w:val="00EA24EA"/>
    <w:rsid w:val="00EA255A"/>
    <w:rsid w:val="00EA3585"/>
    <w:rsid w:val="00EA3CDD"/>
    <w:rsid w:val="00EA422A"/>
    <w:rsid w:val="00EA44F8"/>
    <w:rsid w:val="00EA4673"/>
    <w:rsid w:val="00EA5AA7"/>
    <w:rsid w:val="00EA64C4"/>
    <w:rsid w:val="00EA6695"/>
    <w:rsid w:val="00EA6720"/>
    <w:rsid w:val="00EA67E8"/>
    <w:rsid w:val="00EA6926"/>
    <w:rsid w:val="00EA6972"/>
    <w:rsid w:val="00EA6F8E"/>
    <w:rsid w:val="00EA72DE"/>
    <w:rsid w:val="00EA78A2"/>
    <w:rsid w:val="00EA7AF7"/>
    <w:rsid w:val="00EB0397"/>
    <w:rsid w:val="00EB0AEF"/>
    <w:rsid w:val="00EB1123"/>
    <w:rsid w:val="00EB11F1"/>
    <w:rsid w:val="00EB1420"/>
    <w:rsid w:val="00EB2770"/>
    <w:rsid w:val="00EB2789"/>
    <w:rsid w:val="00EB2DE3"/>
    <w:rsid w:val="00EB2EA9"/>
    <w:rsid w:val="00EB307B"/>
    <w:rsid w:val="00EB3842"/>
    <w:rsid w:val="00EB3D94"/>
    <w:rsid w:val="00EB3EA2"/>
    <w:rsid w:val="00EB414A"/>
    <w:rsid w:val="00EB41FA"/>
    <w:rsid w:val="00EB4299"/>
    <w:rsid w:val="00EB44D9"/>
    <w:rsid w:val="00EB514A"/>
    <w:rsid w:val="00EB51EB"/>
    <w:rsid w:val="00EB528A"/>
    <w:rsid w:val="00EB5398"/>
    <w:rsid w:val="00EB5CB9"/>
    <w:rsid w:val="00EB5D26"/>
    <w:rsid w:val="00EB662A"/>
    <w:rsid w:val="00EB6DA3"/>
    <w:rsid w:val="00EB7B24"/>
    <w:rsid w:val="00EB7CD8"/>
    <w:rsid w:val="00EB7D49"/>
    <w:rsid w:val="00EC0067"/>
    <w:rsid w:val="00EC0312"/>
    <w:rsid w:val="00EC046D"/>
    <w:rsid w:val="00EC05F8"/>
    <w:rsid w:val="00EC0805"/>
    <w:rsid w:val="00EC08F4"/>
    <w:rsid w:val="00EC0A10"/>
    <w:rsid w:val="00EC0B05"/>
    <w:rsid w:val="00EC0CB7"/>
    <w:rsid w:val="00EC1019"/>
    <w:rsid w:val="00EC1044"/>
    <w:rsid w:val="00EC13FE"/>
    <w:rsid w:val="00EC14E6"/>
    <w:rsid w:val="00EC181B"/>
    <w:rsid w:val="00EC23A8"/>
    <w:rsid w:val="00EC2502"/>
    <w:rsid w:val="00EC25C7"/>
    <w:rsid w:val="00EC2BAC"/>
    <w:rsid w:val="00EC2C44"/>
    <w:rsid w:val="00EC318C"/>
    <w:rsid w:val="00EC354E"/>
    <w:rsid w:val="00EC3CE4"/>
    <w:rsid w:val="00EC3D20"/>
    <w:rsid w:val="00EC3F06"/>
    <w:rsid w:val="00EC400A"/>
    <w:rsid w:val="00EC4CCB"/>
    <w:rsid w:val="00EC4D67"/>
    <w:rsid w:val="00EC4F20"/>
    <w:rsid w:val="00EC5190"/>
    <w:rsid w:val="00EC5631"/>
    <w:rsid w:val="00EC582B"/>
    <w:rsid w:val="00EC59D8"/>
    <w:rsid w:val="00EC6307"/>
    <w:rsid w:val="00EC63D6"/>
    <w:rsid w:val="00EC6DCD"/>
    <w:rsid w:val="00EC70DD"/>
    <w:rsid w:val="00EC7514"/>
    <w:rsid w:val="00EC784A"/>
    <w:rsid w:val="00EC7B7F"/>
    <w:rsid w:val="00EC7FF8"/>
    <w:rsid w:val="00ED027A"/>
    <w:rsid w:val="00ED07C7"/>
    <w:rsid w:val="00ED1220"/>
    <w:rsid w:val="00ED24E3"/>
    <w:rsid w:val="00ED26D4"/>
    <w:rsid w:val="00ED2932"/>
    <w:rsid w:val="00ED29A8"/>
    <w:rsid w:val="00ED29E7"/>
    <w:rsid w:val="00ED2BC4"/>
    <w:rsid w:val="00ED2D0A"/>
    <w:rsid w:val="00ED300C"/>
    <w:rsid w:val="00ED33F1"/>
    <w:rsid w:val="00ED355C"/>
    <w:rsid w:val="00ED3B42"/>
    <w:rsid w:val="00ED3DBF"/>
    <w:rsid w:val="00ED48B4"/>
    <w:rsid w:val="00ED51FC"/>
    <w:rsid w:val="00ED5517"/>
    <w:rsid w:val="00ED5979"/>
    <w:rsid w:val="00ED5C3C"/>
    <w:rsid w:val="00ED5D16"/>
    <w:rsid w:val="00ED5DB3"/>
    <w:rsid w:val="00ED5E38"/>
    <w:rsid w:val="00ED5F34"/>
    <w:rsid w:val="00ED6655"/>
    <w:rsid w:val="00ED68EF"/>
    <w:rsid w:val="00ED69D5"/>
    <w:rsid w:val="00ED75BF"/>
    <w:rsid w:val="00ED7760"/>
    <w:rsid w:val="00ED77D7"/>
    <w:rsid w:val="00EE014F"/>
    <w:rsid w:val="00EE023A"/>
    <w:rsid w:val="00EE1694"/>
    <w:rsid w:val="00EE1836"/>
    <w:rsid w:val="00EE1C8A"/>
    <w:rsid w:val="00EE1E6A"/>
    <w:rsid w:val="00EE2280"/>
    <w:rsid w:val="00EE287E"/>
    <w:rsid w:val="00EE2D61"/>
    <w:rsid w:val="00EE2F0D"/>
    <w:rsid w:val="00EE2F88"/>
    <w:rsid w:val="00EE3075"/>
    <w:rsid w:val="00EE31D1"/>
    <w:rsid w:val="00EE322B"/>
    <w:rsid w:val="00EE3715"/>
    <w:rsid w:val="00EE3C5E"/>
    <w:rsid w:val="00EE4510"/>
    <w:rsid w:val="00EE46AF"/>
    <w:rsid w:val="00EE483E"/>
    <w:rsid w:val="00EE538F"/>
    <w:rsid w:val="00EE5444"/>
    <w:rsid w:val="00EE593A"/>
    <w:rsid w:val="00EE616D"/>
    <w:rsid w:val="00EE6345"/>
    <w:rsid w:val="00EE6BBF"/>
    <w:rsid w:val="00EE717A"/>
    <w:rsid w:val="00EF0AF2"/>
    <w:rsid w:val="00EF11F9"/>
    <w:rsid w:val="00EF125D"/>
    <w:rsid w:val="00EF13A7"/>
    <w:rsid w:val="00EF14B9"/>
    <w:rsid w:val="00EF1AE7"/>
    <w:rsid w:val="00EF1DF3"/>
    <w:rsid w:val="00EF2072"/>
    <w:rsid w:val="00EF2938"/>
    <w:rsid w:val="00EF2CEE"/>
    <w:rsid w:val="00EF346E"/>
    <w:rsid w:val="00EF37A8"/>
    <w:rsid w:val="00EF3A61"/>
    <w:rsid w:val="00EF3AE3"/>
    <w:rsid w:val="00EF40E1"/>
    <w:rsid w:val="00EF4786"/>
    <w:rsid w:val="00EF48C8"/>
    <w:rsid w:val="00EF48E5"/>
    <w:rsid w:val="00EF4E61"/>
    <w:rsid w:val="00EF52DF"/>
    <w:rsid w:val="00EF5662"/>
    <w:rsid w:val="00EF5E6C"/>
    <w:rsid w:val="00EF6524"/>
    <w:rsid w:val="00EF6E14"/>
    <w:rsid w:val="00EF6ED9"/>
    <w:rsid w:val="00EF7059"/>
    <w:rsid w:val="00EF7DAA"/>
    <w:rsid w:val="00EF7F54"/>
    <w:rsid w:val="00F0077B"/>
    <w:rsid w:val="00F00A84"/>
    <w:rsid w:val="00F01D81"/>
    <w:rsid w:val="00F01F89"/>
    <w:rsid w:val="00F01FBF"/>
    <w:rsid w:val="00F023FD"/>
    <w:rsid w:val="00F024E3"/>
    <w:rsid w:val="00F02D2E"/>
    <w:rsid w:val="00F02DFB"/>
    <w:rsid w:val="00F02E47"/>
    <w:rsid w:val="00F02F78"/>
    <w:rsid w:val="00F03050"/>
    <w:rsid w:val="00F031EB"/>
    <w:rsid w:val="00F03752"/>
    <w:rsid w:val="00F043FE"/>
    <w:rsid w:val="00F04958"/>
    <w:rsid w:val="00F049A5"/>
    <w:rsid w:val="00F049AA"/>
    <w:rsid w:val="00F049D7"/>
    <w:rsid w:val="00F04B05"/>
    <w:rsid w:val="00F04B20"/>
    <w:rsid w:val="00F05541"/>
    <w:rsid w:val="00F056CF"/>
    <w:rsid w:val="00F0579D"/>
    <w:rsid w:val="00F05801"/>
    <w:rsid w:val="00F05FF3"/>
    <w:rsid w:val="00F06D3D"/>
    <w:rsid w:val="00F06F3E"/>
    <w:rsid w:val="00F07006"/>
    <w:rsid w:val="00F070AE"/>
    <w:rsid w:val="00F071F4"/>
    <w:rsid w:val="00F0729C"/>
    <w:rsid w:val="00F073C9"/>
    <w:rsid w:val="00F073EB"/>
    <w:rsid w:val="00F073EE"/>
    <w:rsid w:val="00F07969"/>
    <w:rsid w:val="00F079F4"/>
    <w:rsid w:val="00F07C3F"/>
    <w:rsid w:val="00F07E82"/>
    <w:rsid w:val="00F07F0A"/>
    <w:rsid w:val="00F10046"/>
    <w:rsid w:val="00F100DE"/>
    <w:rsid w:val="00F1020B"/>
    <w:rsid w:val="00F10587"/>
    <w:rsid w:val="00F1067B"/>
    <w:rsid w:val="00F10828"/>
    <w:rsid w:val="00F10FCD"/>
    <w:rsid w:val="00F1104D"/>
    <w:rsid w:val="00F112A1"/>
    <w:rsid w:val="00F11407"/>
    <w:rsid w:val="00F11557"/>
    <w:rsid w:val="00F115AD"/>
    <w:rsid w:val="00F116D9"/>
    <w:rsid w:val="00F11794"/>
    <w:rsid w:val="00F11859"/>
    <w:rsid w:val="00F141DF"/>
    <w:rsid w:val="00F1422D"/>
    <w:rsid w:val="00F14418"/>
    <w:rsid w:val="00F1454B"/>
    <w:rsid w:val="00F1464B"/>
    <w:rsid w:val="00F148AB"/>
    <w:rsid w:val="00F148B2"/>
    <w:rsid w:val="00F148D2"/>
    <w:rsid w:val="00F14EB5"/>
    <w:rsid w:val="00F14FBC"/>
    <w:rsid w:val="00F1525D"/>
    <w:rsid w:val="00F153BA"/>
    <w:rsid w:val="00F15547"/>
    <w:rsid w:val="00F15778"/>
    <w:rsid w:val="00F1588A"/>
    <w:rsid w:val="00F15A17"/>
    <w:rsid w:val="00F16412"/>
    <w:rsid w:val="00F16AC4"/>
    <w:rsid w:val="00F16C09"/>
    <w:rsid w:val="00F17FE6"/>
    <w:rsid w:val="00F20620"/>
    <w:rsid w:val="00F2077C"/>
    <w:rsid w:val="00F20B18"/>
    <w:rsid w:val="00F20C2D"/>
    <w:rsid w:val="00F210DA"/>
    <w:rsid w:val="00F21156"/>
    <w:rsid w:val="00F21266"/>
    <w:rsid w:val="00F213B1"/>
    <w:rsid w:val="00F218A1"/>
    <w:rsid w:val="00F21D84"/>
    <w:rsid w:val="00F21E9B"/>
    <w:rsid w:val="00F228E6"/>
    <w:rsid w:val="00F22BB7"/>
    <w:rsid w:val="00F23959"/>
    <w:rsid w:val="00F23BB5"/>
    <w:rsid w:val="00F23FD0"/>
    <w:rsid w:val="00F243C6"/>
    <w:rsid w:val="00F247BC"/>
    <w:rsid w:val="00F248D0"/>
    <w:rsid w:val="00F2524A"/>
    <w:rsid w:val="00F256CB"/>
    <w:rsid w:val="00F2571A"/>
    <w:rsid w:val="00F25ABC"/>
    <w:rsid w:val="00F25D90"/>
    <w:rsid w:val="00F26D33"/>
    <w:rsid w:val="00F26D93"/>
    <w:rsid w:val="00F26F9B"/>
    <w:rsid w:val="00F272FB"/>
    <w:rsid w:val="00F27ACE"/>
    <w:rsid w:val="00F301AB"/>
    <w:rsid w:val="00F30470"/>
    <w:rsid w:val="00F30D05"/>
    <w:rsid w:val="00F31043"/>
    <w:rsid w:val="00F313A8"/>
    <w:rsid w:val="00F31A78"/>
    <w:rsid w:val="00F31AB7"/>
    <w:rsid w:val="00F31CCA"/>
    <w:rsid w:val="00F31FF5"/>
    <w:rsid w:val="00F325E8"/>
    <w:rsid w:val="00F32654"/>
    <w:rsid w:val="00F32BD2"/>
    <w:rsid w:val="00F32C2B"/>
    <w:rsid w:val="00F331B3"/>
    <w:rsid w:val="00F331EC"/>
    <w:rsid w:val="00F33880"/>
    <w:rsid w:val="00F33AC9"/>
    <w:rsid w:val="00F342C7"/>
    <w:rsid w:val="00F3435F"/>
    <w:rsid w:val="00F34E44"/>
    <w:rsid w:val="00F350FB"/>
    <w:rsid w:val="00F35839"/>
    <w:rsid w:val="00F35BE5"/>
    <w:rsid w:val="00F36446"/>
    <w:rsid w:val="00F365E7"/>
    <w:rsid w:val="00F36B09"/>
    <w:rsid w:val="00F370B6"/>
    <w:rsid w:val="00F37A1F"/>
    <w:rsid w:val="00F37CF8"/>
    <w:rsid w:val="00F4031E"/>
    <w:rsid w:val="00F40411"/>
    <w:rsid w:val="00F408C7"/>
    <w:rsid w:val="00F40EC3"/>
    <w:rsid w:val="00F4106A"/>
    <w:rsid w:val="00F41134"/>
    <w:rsid w:val="00F41966"/>
    <w:rsid w:val="00F41EC1"/>
    <w:rsid w:val="00F421F8"/>
    <w:rsid w:val="00F42622"/>
    <w:rsid w:val="00F4338B"/>
    <w:rsid w:val="00F43454"/>
    <w:rsid w:val="00F439C4"/>
    <w:rsid w:val="00F43E55"/>
    <w:rsid w:val="00F44184"/>
    <w:rsid w:val="00F445C0"/>
    <w:rsid w:val="00F44631"/>
    <w:rsid w:val="00F446E1"/>
    <w:rsid w:val="00F448E2"/>
    <w:rsid w:val="00F44A9C"/>
    <w:rsid w:val="00F44AB3"/>
    <w:rsid w:val="00F44B8A"/>
    <w:rsid w:val="00F45898"/>
    <w:rsid w:val="00F458BE"/>
    <w:rsid w:val="00F45C1E"/>
    <w:rsid w:val="00F45F9C"/>
    <w:rsid w:val="00F461E2"/>
    <w:rsid w:val="00F461F9"/>
    <w:rsid w:val="00F4637E"/>
    <w:rsid w:val="00F46B8A"/>
    <w:rsid w:val="00F46E6B"/>
    <w:rsid w:val="00F46F6E"/>
    <w:rsid w:val="00F46FC9"/>
    <w:rsid w:val="00F46FF8"/>
    <w:rsid w:val="00F4781A"/>
    <w:rsid w:val="00F47871"/>
    <w:rsid w:val="00F504BC"/>
    <w:rsid w:val="00F508EB"/>
    <w:rsid w:val="00F50A93"/>
    <w:rsid w:val="00F50FC3"/>
    <w:rsid w:val="00F51486"/>
    <w:rsid w:val="00F515CE"/>
    <w:rsid w:val="00F51E02"/>
    <w:rsid w:val="00F51FF0"/>
    <w:rsid w:val="00F52E13"/>
    <w:rsid w:val="00F53AF8"/>
    <w:rsid w:val="00F53F8E"/>
    <w:rsid w:val="00F53FB7"/>
    <w:rsid w:val="00F54593"/>
    <w:rsid w:val="00F54656"/>
    <w:rsid w:val="00F549BC"/>
    <w:rsid w:val="00F54B4E"/>
    <w:rsid w:val="00F54E64"/>
    <w:rsid w:val="00F55965"/>
    <w:rsid w:val="00F55998"/>
    <w:rsid w:val="00F559D8"/>
    <w:rsid w:val="00F55BA1"/>
    <w:rsid w:val="00F56633"/>
    <w:rsid w:val="00F56725"/>
    <w:rsid w:val="00F56AB4"/>
    <w:rsid w:val="00F56B9C"/>
    <w:rsid w:val="00F5733F"/>
    <w:rsid w:val="00F5740C"/>
    <w:rsid w:val="00F575E8"/>
    <w:rsid w:val="00F57718"/>
    <w:rsid w:val="00F57AEB"/>
    <w:rsid w:val="00F57DBF"/>
    <w:rsid w:val="00F6014C"/>
    <w:rsid w:val="00F6015A"/>
    <w:rsid w:val="00F606F2"/>
    <w:rsid w:val="00F607DC"/>
    <w:rsid w:val="00F61966"/>
    <w:rsid w:val="00F6201A"/>
    <w:rsid w:val="00F62319"/>
    <w:rsid w:val="00F633D9"/>
    <w:rsid w:val="00F63674"/>
    <w:rsid w:val="00F63B88"/>
    <w:rsid w:val="00F63C0A"/>
    <w:rsid w:val="00F63F3F"/>
    <w:rsid w:val="00F64188"/>
    <w:rsid w:val="00F6423E"/>
    <w:rsid w:val="00F64E78"/>
    <w:rsid w:val="00F65374"/>
    <w:rsid w:val="00F654F7"/>
    <w:rsid w:val="00F65639"/>
    <w:rsid w:val="00F657B1"/>
    <w:rsid w:val="00F659A0"/>
    <w:rsid w:val="00F66414"/>
    <w:rsid w:val="00F664C7"/>
    <w:rsid w:val="00F6657D"/>
    <w:rsid w:val="00F667CF"/>
    <w:rsid w:val="00F66863"/>
    <w:rsid w:val="00F6690C"/>
    <w:rsid w:val="00F669A8"/>
    <w:rsid w:val="00F66BEC"/>
    <w:rsid w:val="00F67002"/>
    <w:rsid w:val="00F674F7"/>
    <w:rsid w:val="00F67589"/>
    <w:rsid w:val="00F67D0C"/>
    <w:rsid w:val="00F7009B"/>
    <w:rsid w:val="00F700E1"/>
    <w:rsid w:val="00F7080A"/>
    <w:rsid w:val="00F7144C"/>
    <w:rsid w:val="00F71DDF"/>
    <w:rsid w:val="00F72200"/>
    <w:rsid w:val="00F72201"/>
    <w:rsid w:val="00F72484"/>
    <w:rsid w:val="00F72D21"/>
    <w:rsid w:val="00F72E94"/>
    <w:rsid w:val="00F73195"/>
    <w:rsid w:val="00F73636"/>
    <w:rsid w:val="00F73935"/>
    <w:rsid w:val="00F73980"/>
    <w:rsid w:val="00F73A72"/>
    <w:rsid w:val="00F73E6A"/>
    <w:rsid w:val="00F74E71"/>
    <w:rsid w:val="00F750C7"/>
    <w:rsid w:val="00F75121"/>
    <w:rsid w:val="00F75867"/>
    <w:rsid w:val="00F75D82"/>
    <w:rsid w:val="00F75E07"/>
    <w:rsid w:val="00F75E2B"/>
    <w:rsid w:val="00F766A2"/>
    <w:rsid w:val="00F766E7"/>
    <w:rsid w:val="00F76FF3"/>
    <w:rsid w:val="00F77137"/>
    <w:rsid w:val="00F777DE"/>
    <w:rsid w:val="00F77B56"/>
    <w:rsid w:val="00F77BFB"/>
    <w:rsid w:val="00F77F0B"/>
    <w:rsid w:val="00F800A9"/>
    <w:rsid w:val="00F80133"/>
    <w:rsid w:val="00F80266"/>
    <w:rsid w:val="00F803D4"/>
    <w:rsid w:val="00F804B1"/>
    <w:rsid w:val="00F80930"/>
    <w:rsid w:val="00F80A97"/>
    <w:rsid w:val="00F80C7D"/>
    <w:rsid w:val="00F80E29"/>
    <w:rsid w:val="00F80F6E"/>
    <w:rsid w:val="00F812C8"/>
    <w:rsid w:val="00F81935"/>
    <w:rsid w:val="00F81C9E"/>
    <w:rsid w:val="00F81F64"/>
    <w:rsid w:val="00F826E3"/>
    <w:rsid w:val="00F82967"/>
    <w:rsid w:val="00F82E0D"/>
    <w:rsid w:val="00F832CF"/>
    <w:rsid w:val="00F834CD"/>
    <w:rsid w:val="00F84092"/>
    <w:rsid w:val="00F84160"/>
    <w:rsid w:val="00F843A3"/>
    <w:rsid w:val="00F8440D"/>
    <w:rsid w:val="00F845C5"/>
    <w:rsid w:val="00F8473A"/>
    <w:rsid w:val="00F84CD1"/>
    <w:rsid w:val="00F84FD8"/>
    <w:rsid w:val="00F8547B"/>
    <w:rsid w:val="00F855A2"/>
    <w:rsid w:val="00F85AA3"/>
    <w:rsid w:val="00F85F8A"/>
    <w:rsid w:val="00F866EF"/>
    <w:rsid w:val="00F87116"/>
    <w:rsid w:val="00F8752D"/>
    <w:rsid w:val="00F87B6A"/>
    <w:rsid w:val="00F87F64"/>
    <w:rsid w:val="00F90089"/>
    <w:rsid w:val="00F90824"/>
    <w:rsid w:val="00F90E72"/>
    <w:rsid w:val="00F911B5"/>
    <w:rsid w:val="00F912C8"/>
    <w:rsid w:val="00F9179E"/>
    <w:rsid w:val="00F917E3"/>
    <w:rsid w:val="00F91932"/>
    <w:rsid w:val="00F91CA5"/>
    <w:rsid w:val="00F91D47"/>
    <w:rsid w:val="00F91D7B"/>
    <w:rsid w:val="00F92028"/>
    <w:rsid w:val="00F92385"/>
    <w:rsid w:val="00F927C4"/>
    <w:rsid w:val="00F92CCC"/>
    <w:rsid w:val="00F92D0D"/>
    <w:rsid w:val="00F939F3"/>
    <w:rsid w:val="00F9412A"/>
    <w:rsid w:val="00F944E9"/>
    <w:rsid w:val="00F94983"/>
    <w:rsid w:val="00F95379"/>
    <w:rsid w:val="00F95553"/>
    <w:rsid w:val="00F956B2"/>
    <w:rsid w:val="00F95743"/>
    <w:rsid w:val="00F95945"/>
    <w:rsid w:val="00F95AF7"/>
    <w:rsid w:val="00F95C01"/>
    <w:rsid w:val="00F95E8E"/>
    <w:rsid w:val="00F95EB7"/>
    <w:rsid w:val="00F960BF"/>
    <w:rsid w:val="00F962FA"/>
    <w:rsid w:val="00F96901"/>
    <w:rsid w:val="00F97007"/>
    <w:rsid w:val="00F97120"/>
    <w:rsid w:val="00F97692"/>
    <w:rsid w:val="00F97C43"/>
    <w:rsid w:val="00F97CC5"/>
    <w:rsid w:val="00F97E49"/>
    <w:rsid w:val="00FA002C"/>
    <w:rsid w:val="00FA003E"/>
    <w:rsid w:val="00FA07A2"/>
    <w:rsid w:val="00FA08CE"/>
    <w:rsid w:val="00FA0914"/>
    <w:rsid w:val="00FA119F"/>
    <w:rsid w:val="00FA15A9"/>
    <w:rsid w:val="00FA206A"/>
    <w:rsid w:val="00FA2636"/>
    <w:rsid w:val="00FA26CF"/>
    <w:rsid w:val="00FA2D4E"/>
    <w:rsid w:val="00FA2E5F"/>
    <w:rsid w:val="00FA31AB"/>
    <w:rsid w:val="00FA33DD"/>
    <w:rsid w:val="00FA3560"/>
    <w:rsid w:val="00FA3979"/>
    <w:rsid w:val="00FA3EA2"/>
    <w:rsid w:val="00FA4300"/>
    <w:rsid w:val="00FA4929"/>
    <w:rsid w:val="00FA4AD5"/>
    <w:rsid w:val="00FA4B6D"/>
    <w:rsid w:val="00FA4CA7"/>
    <w:rsid w:val="00FA4D0B"/>
    <w:rsid w:val="00FA5172"/>
    <w:rsid w:val="00FA59D2"/>
    <w:rsid w:val="00FA61A0"/>
    <w:rsid w:val="00FA629D"/>
    <w:rsid w:val="00FA6447"/>
    <w:rsid w:val="00FA6455"/>
    <w:rsid w:val="00FA6B6E"/>
    <w:rsid w:val="00FA6D23"/>
    <w:rsid w:val="00FA721E"/>
    <w:rsid w:val="00FA7240"/>
    <w:rsid w:val="00FA7303"/>
    <w:rsid w:val="00FA7908"/>
    <w:rsid w:val="00FB00AB"/>
    <w:rsid w:val="00FB09CB"/>
    <w:rsid w:val="00FB0DBE"/>
    <w:rsid w:val="00FB0E28"/>
    <w:rsid w:val="00FB159D"/>
    <w:rsid w:val="00FB1620"/>
    <w:rsid w:val="00FB1CF5"/>
    <w:rsid w:val="00FB235C"/>
    <w:rsid w:val="00FB23CB"/>
    <w:rsid w:val="00FB26FF"/>
    <w:rsid w:val="00FB2829"/>
    <w:rsid w:val="00FB2B0F"/>
    <w:rsid w:val="00FB2C17"/>
    <w:rsid w:val="00FB2D2D"/>
    <w:rsid w:val="00FB302E"/>
    <w:rsid w:val="00FB51F1"/>
    <w:rsid w:val="00FB5A74"/>
    <w:rsid w:val="00FB5F63"/>
    <w:rsid w:val="00FB61FD"/>
    <w:rsid w:val="00FB6490"/>
    <w:rsid w:val="00FB6956"/>
    <w:rsid w:val="00FB6A3B"/>
    <w:rsid w:val="00FB73FE"/>
    <w:rsid w:val="00FB79A8"/>
    <w:rsid w:val="00FB7C24"/>
    <w:rsid w:val="00FC02C1"/>
    <w:rsid w:val="00FC0AE8"/>
    <w:rsid w:val="00FC0E3C"/>
    <w:rsid w:val="00FC0E5C"/>
    <w:rsid w:val="00FC0E9A"/>
    <w:rsid w:val="00FC1347"/>
    <w:rsid w:val="00FC14B2"/>
    <w:rsid w:val="00FC17C3"/>
    <w:rsid w:val="00FC1D91"/>
    <w:rsid w:val="00FC1F4F"/>
    <w:rsid w:val="00FC234E"/>
    <w:rsid w:val="00FC2A80"/>
    <w:rsid w:val="00FC2D63"/>
    <w:rsid w:val="00FC310A"/>
    <w:rsid w:val="00FC3919"/>
    <w:rsid w:val="00FC44CA"/>
    <w:rsid w:val="00FC4C1A"/>
    <w:rsid w:val="00FC4C90"/>
    <w:rsid w:val="00FC4EE6"/>
    <w:rsid w:val="00FC5500"/>
    <w:rsid w:val="00FC5AE1"/>
    <w:rsid w:val="00FC5D11"/>
    <w:rsid w:val="00FC5E63"/>
    <w:rsid w:val="00FC5F27"/>
    <w:rsid w:val="00FC61DB"/>
    <w:rsid w:val="00FC6601"/>
    <w:rsid w:val="00FC67BC"/>
    <w:rsid w:val="00FC691D"/>
    <w:rsid w:val="00FC6D33"/>
    <w:rsid w:val="00FC6DB7"/>
    <w:rsid w:val="00FC7066"/>
    <w:rsid w:val="00FC782B"/>
    <w:rsid w:val="00FC7E58"/>
    <w:rsid w:val="00FD0582"/>
    <w:rsid w:val="00FD0A48"/>
    <w:rsid w:val="00FD0BB6"/>
    <w:rsid w:val="00FD0E94"/>
    <w:rsid w:val="00FD0EF3"/>
    <w:rsid w:val="00FD11B3"/>
    <w:rsid w:val="00FD12EB"/>
    <w:rsid w:val="00FD142D"/>
    <w:rsid w:val="00FD152C"/>
    <w:rsid w:val="00FD1CC2"/>
    <w:rsid w:val="00FD22D1"/>
    <w:rsid w:val="00FD267A"/>
    <w:rsid w:val="00FD2970"/>
    <w:rsid w:val="00FD2D7B"/>
    <w:rsid w:val="00FD2FEB"/>
    <w:rsid w:val="00FD2FFA"/>
    <w:rsid w:val="00FD31B8"/>
    <w:rsid w:val="00FD3367"/>
    <w:rsid w:val="00FD370C"/>
    <w:rsid w:val="00FD3C62"/>
    <w:rsid w:val="00FD3D99"/>
    <w:rsid w:val="00FD3EE3"/>
    <w:rsid w:val="00FD44AA"/>
    <w:rsid w:val="00FD458B"/>
    <w:rsid w:val="00FD45BF"/>
    <w:rsid w:val="00FD473D"/>
    <w:rsid w:val="00FD4F4B"/>
    <w:rsid w:val="00FD51F1"/>
    <w:rsid w:val="00FD5857"/>
    <w:rsid w:val="00FD60FA"/>
    <w:rsid w:val="00FD662A"/>
    <w:rsid w:val="00FD6A38"/>
    <w:rsid w:val="00FD781B"/>
    <w:rsid w:val="00FD79E3"/>
    <w:rsid w:val="00FD7BF2"/>
    <w:rsid w:val="00FE0227"/>
    <w:rsid w:val="00FE0415"/>
    <w:rsid w:val="00FE0D54"/>
    <w:rsid w:val="00FE24B2"/>
    <w:rsid w:val="00FE253F"/>
    <w:rsid w:val="00FE2E27"/>
    <w:rsid w:val="00FE2EED"/>
    <w:rsid w:val="00FE2FAA"/>
    <w:rsid w:val="00FE30B3"/>
    <w:rsid w:val="00FE3617"/>
    <w:rsid w:val="00FE3AF2"/>
    <w:rsid w:val="00FE47C1"/>
    <w:rsid w:val="00FE47DA"/>
    <w:rsid w:val="00FE4F1A"/>
    <w:rsid w:val="00FE51CC"/>
    <w:rsid w:val="00FE56FA"/>
    <w:rsid w:val="00FE5A6C"/>
    <w:rsid w:val="00FE5D9B"/>
    <w:rsid w:val="00FE5EF7"/>
    <w:rsid w:val="00FE6198"/>
    <w:rsid w:val="00FE677A"/>
    <w:rsid w:val="00FE6820"/>
    <w:rsid w:val="00FE6B0A"/>
    <w:rsid w:val="00FE76EB"/>
    <w:rsid w:val="00FE7BA3"/>
    <w:rsid w:val="00FE7DAF"/>
    <w:rsid w:val="00FF01E2"/>
    <w:rsid w:val="00FF023A"/>
    <w:rsid w:val="00FF03C7"/>
    <w:rsid w:val="00FF04F1"/>
    <w:rsid w:val="00FF0772"/>
    <w:rsid w:val="00FF0890"/>
    <w:rsid w:val="00FF0C92"/>
    <w:rsid w:val="00FF0D36"/>
    <w:rsid w:val="00FF0E36"/>
    <w:rsid w:val="00FF0EB6"/>
    <w:rsid w:val="00FF117E"/>
    <w:rsid w:val="00FF1AA5"/>
    <w:rsid w:val="00FF227D"/>
    <w:rsid w:val="00FF24D6"/>
    <w:rsid w:val="00FF2632"/>
    <w:rsid w:val="00FF2D95"/>
    <w:rsid w:val="00FF306C"/>
    <w:rsid w:val="00FF344B"/>
    <w:rsid w:val="00FF386B"/>
    <w:rsid w:val="00FF3D18"/>
    <w:rsid w:val="00FF3E0F"/>
    <w:rsid w:val="00FF40E9"/>
    <w:rsid w:val="00FF5118"/>
    <w:rsid w:val="00FF5617"/>
    <w:rsid w:val="00FF5694"/>
    <w:rsid w:val="00FF584F"/>
    <w:rsid w:val="00FF616D"/>
    <w:rsid w:val="00FF7BF9"/>
  </w:rsids>
  <m:mathPr>
    <m:mathFont m:val="Cambria Math"/>
    <m:brkBin m:val="before"/>
    <m:brkBinSub m:val="--"/>
    <m:smallFrac/>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fillcolor="none [3204]" strokecolor="none [3204]">
      <v:fill color="none [3204]"/>
      <v:stroke color="none [3204]" weight="3pt"/>
      <v:shadow type="perspective" color="none [1604]" opacity=".5" offset="1pt" offset2="-1pt"/>
    </o:shapedefaults>
    <o:shapelayout v:ext="edit">
      <o:idmap v:ext="edit" data="2"/>
    </o:shapelayout>
  </w:shapeDefaults>
  <w:decimalSymbol w:val="."/>
  <w:listSeparator w:val=","/>
  <w14:docId w14:val="32A7B3F7"/>
  <w15:docId w15:val="{6A18C43E-7F92-4930-9930-316E1649F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98"/>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 w:unhideWhenUsed="1" w:qFormat="1"/>
    <w:lsdException w:name="annotation text" w:semiHidden="1" w:uiPriority="98" w:unhideWhenUsed="1"/>
    <w:lsdException w:name="header" w:semiHidden="1" w:uiPriority="0" w:unhideWhenUsed="1"/>
    <w:lsdException w:name="footer" w:semiHidden="1" w:uiPriority="10" w:unhideWhenUsed="1"/>
    <w:lsdException w:name="index heading" w:semiHidden="1" w:uiPriority="1" w:unhideWhenUsed="1"/>
    <w:lsdException w:name="caption" w:semiHidden="1" w:uiPriority="2" w:unhideWhenUsed="1"/>
    <w:lsdException w:name="table of figures" w:semiHidden="1" w:unhideWhenUsed="1"/>
    <w:lsdException w:name="envelope address" w:semiHidden="1" w:unhideWhenUsed="1"/>
    <w:lsdException w:name="envelope return" w:semiHidden="1" w:unhideWhenUsed="1"/>
    <w:lsdException w:name="footnote reference" w:uiPriority="7"/>
    <w:lsdException w:name="annotation reference" w:semiHidden="1" w:unhideWhenUsed="1"/>
    <w:lsdException w:name="line number" w:semiHidden="1" w:unhideWhenUsed="1"/>
    <w:lsdException w:name="page number" w:semiHidden="1" w:uiPriority="0" w:unhideWhenUsed="1"/>
    <w:lsdException w:name="endnote reference" w:semiHidden="1" w:uiPriority="7" w:unhideWhenUsed="1"/>
    <w:lsdException w:name="endnote text" w:semiHidden="1" w:uiPriority="7" w:unhideWhenUsed="1"/>
    <w:lsdException w:name="table of authorities" w:semiHidden="1" w:uiPriority="9" w:unhideWhenUsed="1"/>
    <w:lsdException w:name="macro" w:semiHidden="1" w:unhideWhenUsed="1"/>
    <w:lsdException w:name="toa heading" w:semiHidden="1" w:uiPriority="9" w:unhideWhenUsed="1"/>
    <w:lsdException w:name="List" w:semiHidden="1" w:unhideWhenUsed="1"/>
    <w:lsdException w:name="List Bullet" w:semiHidden="1" w:uiPriority="3" w:unhideWhenUsed="1"/>
    <w:lsdException w:name="List Number" w:semiHidden="1" w:uiPriority="5"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lsdException w:name="List Bullet 3" w:semiHidden="1" w:uiPriority="3" w:unhideWhenUsed="1"/>
    <w:lsdException w:name="List Bullet 4" w:semiHidden="1" w:uiPriority="3" w:unhideWhenUsed="1"/>
    <w:lsdException w:name="List Bullet 5" w:semiHidden="1"/>
    <w:lsdException w:name="List Number 2" w:semiHidden="1" w:uiPriority="5" w:unhideWhenUsed="1"/>
    <w:lsdException w:name="List Number 3" w:semiHidden="1" w:uiPriority="5" w:unhideWhenUsed="1"/>
    <w:lsdException w:name="List Number 4" w:semiHidden="1" w:uiPriority="97" w:unhideWhenUsed="1"/>
    <w:lsdException w:name="List Number 5" w:semiHidden="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iPriority="4" w:unhideWhenUsed="1"/>
    <w:lsdException w:name="List Continue 2" w:semiHidden="1" w:uiPriority="4" w:unhideWhenUsed="1"/>
    <w:lsdException w:name="List Continue 3" w:semiHidden="1" w:uiPriority="4" w:unhideWhenUsed="1"/>
    <w:lsdException w:name="List Continue 4" w:semiHidden="1" w:uiPriority="4"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2" w:unhideWhenUsed="1"/>
    <w:lsdException w:name="Strong" w:semiHidden="1"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8"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8"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7" w:unhideWhenUsed="1"/>
    <w:lsdException w:name="TOC Heading" w:semiHidden="1" w:uiPriority="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8"/>
    <w:rsid w:val="00460973"/>
    <w:pPr>
      <w:spacing w:after="160" w:line="300" w:lineRule="atLeast"/>
    </w:pPr>
    <w:rPr>
      <w:rFonts w:ascii="Calibri" w:hAnsi="Calibri"/>
      <w:color w:val="1E1E1E"/>
      <w:sz w:val="24"/>
    </w:rPr>
  </w:style>
  <w:style w:type="paragraph" w:styleId="Heading1">
    <w:name w:val="heading 1"/>
    <w:basedOn w:val="Normalcolour"/>
    <w:next w:val="BodyText"/>
    <w:link w:val="Heading1Char"/>
    <w:uiPriority w:val="9"/>
    <w:qFormat/>
    <w:rsid w:val="00E666B8"/>
    <w:pPr>
      <w:keepNext/>
      <w:keepLines/>
      <w:numPr>
        <w:numId w:val="9"/>
      </w:numPr>
      <w:spacing w:before="480" w:after="140" w:line="240" w:lineRule="auto"/>
      <w:ind w:right="284"/>
      <w:outlineLvl w:val="0"/>
    </w:pPr>
    <w:rPr>
      <w:rFonts w:eastAsiaTheme="majorEastAsia" w:cstheme="majorBidi"/>
      <w:bCs/>
      <w:sz w:val="38"/>
      <w:szCs w:val="28"/>
    </w:rPr>
  </w:style>
  <w:style w:type="paragraph" w:styleId="Heading2">
    <w:name w:val="heading 2"/>
    <w:basedOn w:val="Normal"/>
    <w:next w:val="BodyText"/>
    <w:link w:val="Heading2Char"/>
    <w:uiPriority w:val="9"/>
    <w:qFormat/>
    <w:rsid w:val="00E666B8"/>
    <w:pPr>
      <w:keepNext/>
      <w:keepLines/>
      <w:numPr>
        <w:ilvl w:val="1"/>
        <w:numId w:val="9"/>
      </w:numPr>
      <w:spacing w:before="360" w:after="140" w:line="240" w:lineRule="auto"/>
      <w:ind w:right="284"/>
      <w:outlineLvl w:val="1"/>
    </w:pPr>
    <w:rPr>
      <w:rFonts w:eastAsiaTheme="majorEastAsia" w:cstheme="majorBidi"/>
      <w:b/>
      <w:bCs/>
      <w:sz w:val="30"/>
      <w:szCs w:val="26"/>
    </w:rPr>
  </w:style>
  <w:style w:type="paragraph" w:styleId="Heading3">
    <w:name w:val="heading 3"/>
    <w:basedOn w:val="Normalcolour"/>
    <w:next w:val="BodyText"/>
    <w:link w:val="Heading3Char"/>
    <w:uiPriority w:val="9"/>
    <w:qFormat/>
    <w:rsid w:val="00E666B8"/>
    <w:pPr>
      <w:keepNext/>
      <w:keepLines/>
      <w:numPr>
        <w:ilvl w:val="2"/>
        <w:numId w:val="9"/>
      </w:numPr>
      <w:spacing w:before="360" w:after="60" w:line="240" w:lineRule="auto"/>
      <w:ind w:right="284"/>
      <w:outlineLvl w:val="2"/>
    </w:pPr>
    <w:rPr>
      <w:rFonts w:eastAsiaTheme="majorEastAsia" w:cstheme="majorBidi"/>
      <w:bCs/>
      <w:color w:val="1E1E1E"/>
      <w:sz w:val="29"/>
    </w:rPr>
  </w:style>
  <w:style w:type="paragraph" w:styleId="Heading4">
    <w:name w:val="heading 4"/>
    <w:basedOn w:val="Normal"/>
    <w:next w:val="BodyText"/>
    <w:link w:val="Heading4Char"/>
    <w:uiPriority w:val="9"/>
    <w:qFormat/>
    <w:rsid w:val="00E666B8"/>
    <w:pPr>
      <w:keepNext/>
      <w:keepLines/>
      <w:numPr>
        <w:ilvl w:val="3"/>
        <w:numId w:val="9"/>
      </w:numPr>
      <w:spacing w:before="280" w:after="60" w:line="240" w:lineRule="auto"/>
      <w:ind w:right="284"/>
      <w:outlineLvl w:val="3"/>
    </w:pPr>
    <w:rPr>
      <w:rFonts w:eastAsiaTheme="majorEastAsia" w:cstheme="majorBidi"/>
      <w:b/>
      <w:bCs/>
      <w:iCs/>
      <w:sz w:val="26"/>
    </w:rPr>
  </w:style>
  <w:style w:type="paragraph" w:styleId="Heading5">
    <w:name w:val="heading 5"/>
    <w:basedOn w:val="Normal"/>
    <w:next w:val="BodyText"/>
    <w:link w:val="Heading5Char"/>
    <w:uiPriority w:val="9"/>
    <w:qFormat/>
    <w:rsid w:val="00E666B8"/>
    <w:pPr>
      <w:keepNext/>
      <w:keepLines/>
      <w:numPr>
        <w:ilvl w:val="4"/>
        <w:numId w:val="9"/>
      </w:numPr>
      <w:spacing w:before="360" w:after="60"/>
      <w:ind w:right="284"/>
      <w:outlineLvl w:val="4"/>
    </w:pPr>
    <w:rPr>
      <w:rFonts w:eastAsiaTheme="majorEastAsia" w:cstheme="majorBidi"/>
      <w:b/>
      <w:caps/>
      <w:sz w:val="22"/>
    </w:rPr>
  </w:style>
  <w:style w:type="paragraph" w:styleId="Heading6">
    <w:name w:val="heading 6"/>
    <w:basedOn w:val="Normal"/>
    <w:next w:val="Normal"/>
    <w:link w:val="Heading6Char"/>
    <w:uiPriority w:val="9"/>
    <w:semiHidden/>
    <w:qFormat/>
    <w:rsid w:val="00E666B8"/>
    <w:pPr>
      <w:keepNext/>
      <w:keepLines/>
      <w:numPr>
        <w:ilvl w:val="5"/>
        <w:numId w:val="9"/>
      </w:numPr>
      <w:spacing w:before="200" w:after="0"/>
      <w:outlineLvl w:val="5"/>
    </w:pPr>
    <w:rPr>
      <w:rFonts w:asciiTheme="majorHAnsi" w:eastAsiaTheme="majorEastAsia" w:hAnsiTheme="majorHAnsi" w:cstheme="majorBidi"/>
      <w:i/>
      <w:iCs/>
      <w:color w:val="155A39" w:themeColor="accent1" w:themeShade="7F"/>
    </w:rPr>
  </w:style>
  <w:style w:type="paragraph" w:styleId="Heading7">
    <w:name w:val="heading 7"/>
    <w:basedOn w:val="Normal"/>
    <w:next w:val="Normal"/>
    <w:link w:val="Heading7Char"/>
    <w:uiPriority w:val="9"/>
    <w:semiHidden/>
    <w:qFormat/>
    <w:rsid w:val="00E666B8"/>
    <w:pPr>
      <w:keepNext/>
      <w:keepLines/>
      <w:numPr>
        <w:ilvl w:val="6"/>
        <w:numId w:val="9"/>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qFormat/>
    <w:rsid w:val="00E666B8"/>
    <w:pPr>
      <w:keepNext/>
      <w:keepLines/>
      <w:numPr>
        <w:ilvl w:val="7"/>
        <w:numId w:val="9"/>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qFormat/>
    <w:rsid w:val="00E666B8"/>
    <w:pPr>
      <w:keepNext/>
      <w:keepLines/>
      <w:numPr>
        <w:ilvl w:val="8"/>
        <w:numId w:val="9"/>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7"/>
    <w:rsid w:val="00E666B8"/>
    <w:rPr>
      <w:vertAlign w:val="superscript"/>
    </w:rPr>
  </w:style>
  <w:style w:type="paragraph" w:styleId="BalloonText">
    <w:name w:val="Balloon Text"/>
    <w:basedOn w:val="Normal"/>
    <w:link w:val="BalloonTextChar"/>
    <w:uiPriority w:val="98"/>
    <w:semiHidden/>
    <w:rsid w:val="00E66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8"/>
    <w:semiHidden/>
    <w:rsid w:val="00E666B8"/>
    <w:rPr>
      <w:rFonts w:ascii="Tahoma" w:hAnsi="Tahoma" w:cs="Tahoma"/>
      <w:color w:val="1E1E1E"/>
      <w:sz w:val="16"/>
      <w:szCs w:val="16"/>
    </w:rPr>
  </w:style>
  <w:style w:type="character" w:customStyle="1" w:styleId="Heading1Char">
    <w:name w:val="Heading 1 Char"/>
    <w:basedOn w:val="DefaultParagraphFont"/>
    <w:link w:val="Heading1"/>
    <w:uiPriority w:val="1"/>
    <w:rsid w:val="00E666B8"/>
    <w:rPr>
      <w:rFonts w:ascii="Calibri" w:eastAsiaTheme="majorEastAsia" w:hAnsi="Calibri" w:cstheme="majorBidi"/>
      <w:bCs/>
      <w:color w:val="2BB673"/>
      <w:sz w:val="38"/>
      <w:szCs w:val="28"/>
    </w:rPr>
  </w:style>
  <w:style w:type="character" w:customStyle="1" w:styleId="Heading2Char">
    <w:name w:val="Heading 2 Char"/>
    <w:basedOn w:val="DefaultParagraphFont"/>
    <w:link w:val="Heading2"/>
    <w:uiPriority w:val="9"/>
    <w:rsid w:val="00E666B8"/>
    <w:rPr>
      <w:rFonts w:ascii="Calibri" w:eastAsiaTheme="majorEastAsia" w:hAnsi="Calibri" w:cstheme="majorBidi"/>
      <w:b/>
      <w:bCs/>
      <w:color w:val="1E1E1E"/>
      <w:sz w:val="30"/>
      <w:szCs w:val="26"/>
    </w:rPr>
  </w:style>
  <w:style w:type="character" w:customStyle="1" w:styleId="Heading3Char">
    <w:name w:val="Heading 3 Char"/>
    <w:basedOn w:val="DefaultParagraphFont"/>
    <w:link w:val="Heading3"/>
    <w:uiPriority w:val="1"/>
    <w:rsid w:val="00E666B8"/>
    <w:rPr>
      <w:rFonts w:ascii="Calibri" w:eastAsiaTheme="majorEastAsia" w:hAnsi="Calibri" w:cstheme="majorBidi"/>
      <w:bCs/>
      <w:color w:val="1E1E1E"/>
      <w:sz w:val="29"/>
    </w:rPr>
  </w:style>
  <w:style w:type="paragraph" w:styleId="Title">
    <w:name w:val="Title"/>
    <w:basedOn w:val="Normalcolour"/>
    <w:next w:val="BodyText"/>
    <w:link w:val="TitleChar"/>
    <w:uiPriority w:val="1"/>
    <w:rsid w:val="00E666B8"/>
    <w:pPr>
      <w:spacing w:after="0" w:line="240" w:lineRule="auto"/>
      <w:ind w:right="284"/>
      <w:contextualSpacing/>
    </w:pPr>
    <w:rPr>
      <w:rFonts w:eastAsiaTheme="majorEastAsia" w:cstheme="majorBidi"/>
      <w:spacing w:val="5"/>
      <w:kern w:val="28"/>
      <w:sz w:val="48"/>
      <w:szCs w:val="52"/>
    </w:rPr>
  </w:style>
  <w:style w:type="character" w:customStyle="1" w:styleId="TitleChar">
    <w:name w:val="Title Char"/>
    <w:basedOn w:val="DefaultParagraphFont"/>
    <w:link w:val="Title"/>
    <w:uiPriority w:val="1"/>
    <w:rsid w:val="00E666B8"/>
    <w:rPr>
      <w:rFonts w:ascii="Calibri" w:eastAsiaTheme="majorEastAsia" w:hAnsi="Calibri" w:cstheme="majorBidi"/>
      <w:color w:val="2BB673"/>
      <w:spacing w:val="5"/>
      <w:kern w:val="28"/>
      <w:sz w:val="48"/>
      <w:szCs w:val="52"/>
    </w:rPr>
  </w:style>
  <w:style w:type="character" w:customStyle="1" w:styleId="Heading4Char">
    <w:name w:val="Heading 4 Char"/>
    <w:basedOn w:val="DefaultParagraphFont"/>
    <w:link w:val="Heading4"/>
    <w:uiPriority w:val="1"/>
    <w:rsid w:val="00E666B8"/>
    <w:rPr>
      <w:rFonts w:ascii="Calibri" w:eastAsiaTheme="majorEastAsia" w:hAnsi="Calibri" w:cstheme="majorBidi"/>
      <w:b/>
      <w:bCs/>
      <w:iCs/>
      <w:color w:val="1E1E1E"/>
      <w:sz w:val="26"/>
    </w:rPr>
  </w:style>
  <w:style w:type="character" w:customStyle="1" w:styleId="Heading5Char">
    <w:name w:val="Heading 5 Char"/>
    <w:basedOn w:val="DefaultParagraphFont"/>
    <w:link w:val="Heading5"/>
    <w:uiPriority w:val="1"/>
    <w:rsid w:val="00E666B8"/>
    <w:rPr>
      <w:rFonts w:ascii="Calibri" w:eastAsiaTheme="majorEastAsia" w:hAnsi="Calibri" w:cstheme="majorBidi"/>
      <w:b/>
      <w:caps/>
      <w:color w:val="1E1E1E"/>
    </w:rPr>
  </w:style>
  <w:style w:type="character" w:customStyle="1" w:styleId="Heading6Char">
    <w:name w:val="Heading 6 Char"/>
    <w:basedOn w:val="DefaultParagraphFont"/>
    <w:link w:val="Heading6"/>
    <w:uiPriority w:val="9"/>
    <w:semiHidden/>
    <w:rsid w:val="00E666B8"/>
    <w:rPr>
      <w:rFonts w:asciiTheme="majorHAnsi" w:eastAsiaTheme="majorEastAsia" w:hAnsiTheme="majorHAnsi" w:cstheme="majorBidi"/>
      <w:i/>
      <w:iCs/>
      <w:color w:val="155A39" w:themeColor="accent1" w:themeShade="7F"/>
      <w:sz w:val="24"/>
    </w:rPr>
  </w:style>
  <w:style w:type="character" w:customStyle="1" w:styleId="Heading7Char">
    <w:name w:val="Heading 7 Char"/>
    <w:basedOn w:val="DefaultParagraphFont"/>
    <w:link w:val="Heading7"/>
    <w:uiPriority w:val="9"/>
    <w:semiHidden/>
    <w:rsid w:val="00E666B8"/>
    <w:rPr>
      <w:rFonts w:asciiTheme="majorHAnsi" w:eastAsiaTheme="majorEastAsia" w:hAnsiTheme="majorHAnsi" w:cstheme="majorBidi"/>
      <w:i/>
      <w:iCs/>
      <w:color w:val="404040" w:themeColor="text1" w:themeTint="BF"/>
      <w:sz w:val="24"/>
    </w:rPr>
  </w:style>
  <w:style w:type="character" w:customStyle="1" w:styleId="Heading8Char">
    <w:name w:val="Heading 8 Char"/>
    <w:basedOn w:val="DefaultParagraphFont"/>
    <w:link w:val="Heading8"/>
    <w:uiPriority w:val="9"/>
    <w:semiHidden/>
    <w:rsid w:val="00E666B8"/>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666B8"/>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BodyText"/>
    <w:uiPriority w:val="2"/>
    <w:semiHidden/>
    <w:rsid w:val="00E666B8"/>
    <w:pPr>
      <w:keepNext/>
      <w:spacing w:before="200" w:after="140"/>
    </w:pPr>
    <w:rPr>
      <w:b/>
      <w:bCs/>
      <w:szCs w:val="18"/>
    </w:rPr>
  </w:style>
  <w:style w:type="paragraph" w:styleId="Bibliography">
    <w:name w:val="Bibliography"/>
    <w:basedOn w:val="Normal"/>
    <w:next w:val="Normal"/>
    <w:uiPriority w:val="7"/>
    <w:rsid w:val="00E666B8"/>
  </w:style>
  <w:style w:type="paragraph" w:styleId="TOC1">
    <w:name w:val="toc 1"/>
    <w:basedOn w:val="Normalcolour"/>
    <w:next w:val="Normal"/>
    <w:uiPriority w:val="39"/>
    <w:rsid w:val="00E666B8"/>
    <w:pPr>
      <w:tabs>
        <w:tab w:val="right" w:leader="underscore" w:pos="9299"/>
      </w:tabs>
      <w:spacing w:before="200" w:after="0"/>
      <w:ind w:right="425"/>
    </w:pPr>
    <w:rPr>
      <w:b/>
      <w:sz w:val="26"/>
    </w:rPr>
  </w:style>
  <w:style w:type="paragraph" w:styleId="TOC2">
    <w:name w:val="toc 2"/>
    <w:basedOn w:val="Normal"/>
    <w:next w:val="Normal"/>
    <w:uiPriority w:val="39"/>
    <w:rsid w:val="00E666B8"/>
    <w:pPr>
      <w:tabs>
        <w:tab w:val="right" w:leader="underscore" w:pos="9299"/>
      </w:tabs>
      <w:spacing w:after="0"/>
      <w:ind w:right="425"/>
    </w:pPr>
  </w:style>
  <w:style w:type="paragraph" w:styleId="TOC3">
    <w:name w:val="toc 3"/>
    <w:basedOn w:val="Normal"/>
    <w:next w:val="Normal"/>
    <w:uiPriority w:val="39"/>
    <w:rsid w:val="00E666B8"/>
    <w:pPr>
      <w:tabs>
        <w:tab w:val="right" w:leader="underscore" w:pos="9299"/>
      </w:tabs>
      <w:spacing w:after="0"/>
      <w:ind w:left="284" w:right="425"/>
    </w:pPr>
  </w:style>
  <w:style w:type="paragraph" w:styleId="TOC4">
    <w:name w:val="toc 4"/>
    <w:basedOn w:val="Normal"/>
    <w:next w:val="Normal"/>
    <w:uiPriority w:val="39"/>
    <w:rsid w:val="00E666B8"/>
    <w:pPr>
      <w:tabs>
        <w:tab w:val="right" w:leader="underscore" w:pos="9299"/>
      </w:tabs>
      <w:spacing w:after="0"/>
      <w:ind w:left="567" w:right="425"/>
    </w:pPr>
  </w:style>
  <w:style w:type="paragraph" w:styleId="TOC5">
    <w:name w:val="toc 5"/>
    <w:basedOn w:val="Normal"/>
    <w:next w:val="Normal"/>
    <w:uiPriority w:val="39"/>
    <w:semiHidden/>
    <w:rsid w:val="00E666B8"/>
    <w:pPr>
      <w:tabs>
        <w:tab w:val="right" w:leader="dot" w:pos="9299"/>
      </w:tabs>
      <w:spacing w:after="0" w:line="260" w:lineRule="atLeast"/>
      <w:ind w:left="851" w:right="425"/>
    </w:pPr>
  </w:style>
  <w:style w:type="paragraph" w:styleId="TOC6">
    <w:name w:val="toc 6"/>
    <w:basedOn w:val="Normal"/>
    <w:next w:val="Normal"/>
    <w:autoRedefine/>
    <w:uiPriority w:val="39"/>
    <w:semiHidden/>
    <w:rsid w:val="00E666B8"/>
    <w:pPr>
      <w:spacing w:after="100"/>
      <w:ind w:left="1100"/>
    </w:pPr>
  </w:style>
  <w:style w:type="paragraph" w:styleId="TOC7">
    <w:name w:val="toc 7"/>
    <w:basedOn w:val="Normal"/>
    <w:next w:val="Normal"/>
    <w:autoRedefine/>
    <w:uiPriority w:val="39"/>
    <w:semiHidden/>
    <w:rsid w:val="00E666B8"/>
    <w:pPr>
      <w:spacing w:after="100"/>
      <w:ind w:left="1320"/>
    </w:pPr>
  </w:style>
  <w:style w:type="paragraph" w:styleId="TOC8">
    <w:name w:val="toc 8"/>
    <w:basedOn w:val="Normal"/>
    <w:next w:val="Normal"/>
    <w:autoRedefine/>
    <w:uiPriority w:val="39"/>
    <w:semiHidden/>
    <w:rsid w:val="00E666B8"/>
    <w:pPr>
      <w:spacing w:after="100"/>
      <w:ind w:left="1540"/>
    </w:pPr>
  </w:style>
  <w:style w:type="paragraph" w:styleId="TOC9">
    <w:name w:val="toc 9"/>
    <w:basedOn w:val="Normal"/>
    <w:next w:val="Normal"/>
    <w:autoRedefine/>
    <w:uiPriority w:val="39"/>
    <w:semiHidden/>
    <w:rsid w:val="00E666B8"/>
    <w:pPr>
      <w:spacing w:after="100"/>
      <w:ind w:left="1760"/>
    </w:pPr>
  </w:style>
  <w:style w:type="paragraph" w:styleId="TOCHeading">
    <w:name w:val="TOC Heading"/>
    <w:basedOn w:val="Heading1"/>
    <w:next w:val="BodyText"/>
    <w:uiPriority w:val="1"/>
    <w:rsid w:val="00E666B8"/>
    <w:pPr>
      <w:outlineLvl w:val="9"/>
    </w:pPr>
  </w:style>
  <w:style w:type="paragraph" w:styleId="BodyText">
    <w:name w:val="Body Text"/>
    <w:basedOn w:val="Normal"/>
    <w:link w:val="BodyTextChar"/>
    <w:uiPriority w:val="2"/>
    <w:qFormat/>
    <w:rsid w:val="00E666B8"/>
  </w:style>
  <w:style w:type="character" w:customStyle="1" w:styleId="BodyTextChar">
    <w:name w:val="Body Text Char"/>
    <w:basedOn w:val="DefaultParagraphFont"/>
    <w:link w:val="BodyText"/>
    <w:uiPriority w:val="2"/>
    <w:rsid w:val="00E666B8"/>
    <w:rPr>
      <w:rFonts w:ascii="Calibri" w:hAnsi="Calibri"/>
      <w:color w:val="1E1E1E"/>
      <w:sz w:val="24"/>
    </w:rPr>
  </w:style>
  <w:style w:type="paragraph" w:styleId="CommentText">
    <w:name w:val="annotation text"/>
    <w:basedOn w:val="Normal"/>
    <w:link w:val="CommentTextChar"/>
    <w:uiPriority w:val="98"/>
    <w:rsid w:val="00E666B8"/>
    <w:pPr>
      <w:spacing w:line="240" w:lineRule="auto"/>
    </w:pPr>
    <w:rPr>
      <w:sz w:val="22"/>
      <w:szCs w:val="20"/>
    </w:rPr>
  </w:style>
  <w:style w:type="character" w:customStyle="1" w:styleId="CommentTextChar">
    <w:name w:val="Comment Text Char"/>
    <w:basedOn w:val="DefaultParagraphFont"/>
    <w:link w:val="CommentText"/>
    <w:uiPriority w:val="98"/>
    <w:rsid w:val="00E666B8"/>
    <w:rPr>
      <w:rFonts w:ascii="Calibri" w:hAnsi="Calibri"/>
      <w:color w:val="1E1E1E"/>
      <w:szCs w:val="20"/>
    </w:rPr>
  </w:style>
  <w:style w:type="paragraph" w:styleId="CommentSubject">
    <w:name w:val="annotation subject"/>
    <w:basedOn w:val="CommentText"/>
    <w:next w:val="CommentText"/>
    <w:link w:val="CommentSubjectChar"/>
    <w:uiPriority w:val="98"/>
    <w:semiHidden/>
    <w:rsid w:val="00E666B8"/>
    <w:rPr>
      <w:b/>
      <w:bCs/>
    </w:rPr>
  </w:style>
  <w:style w:type="character" w:customStyle="1" w:styleId="CommentSubjectChar">
    <w:name w:val="Comment Subject Char"/>
    <w:basedOn w:val="CommentTextChar"/>
    <w:link w:val="CommentSubject"/>
    <w:uiPriority w:val="98"/>
    <w:semiHidden/>
    <w:rsid w:val="00E666B8"/>
    <w:rPr>
      <w:rFonts w:ascii="Calibri" w:hAnsi="Calibri"/>
      <w:b/>
      <w:bCs/>
      <w:color w:val="1E1E1E"/>
      <w:szCs w:val="20"/>
    </w:rPr>
  </w:style>
  <w:style w:type="paragraph" w:styleId="Date">
    <w:name w:val="Date"/>
    <w:basedOn w:val="Normal"/>
    <w:next w:val="Normal"/>
    <w:link w:val="DateChar"/>
    <w:uiPriority w:val="99"/>
    <w:semiHidden/>
    <w:rsid w:val="00E666B8"/>
  </w:style>
  <w:style w:type="character" w:customStyle="1" w:styleId="DateChar">
    <w:name w:val="Date Char"/>
    <w:basedOn w:val="DefaultParagraphFont"/>
    <w:link w:val="Date"/>
    <w:uiPriority w:val="99"/>
    <w:semiHidden/>
    <w:rsid w:val="00E666B8"/>
    <w:rPr>
      <w:rFonts w:ascii="Calibri" w:hAnsi="Calibri"/>
      <w:color w:val="1E1E1E"/>
      <w:sz w:val="24"/>
    </w:rPr>
  </w:style>
  <w:style w:type="paragraph" w:styleId="EmailSignature">
    <w:name w:val="E-mail Signature"/>
    <w:basedOn w:val="Normal"/>
    <w:link w:val="EmailSignatureChar"/>
    <w:uiPriority w:val="99"/>
    <w:semiHidden/>
    <w:rsid w:val="00E666B8"/>
    <w:pPr>
      <w:spacing w:after="0" w:line="240" w:lineRule="auto"/>
    </w:pPr>
  </w:style>
  <w:style w:type="character" w:customStyle="1" w:styleId="EmailSignatureChar">
    <w:name w:val="Email Signature Char"/>
    <w:basedOn w:val="DefaultParagraphFont"/>
    <w:link w:val="EmailSignature"/>
    <w:uiPriority w:val="99"/>
    <w:semiHidden/>
    <w:rsid w:val="00E666B8"/>
    <w:rPr>
      <w:rFonts w:ascii="Calibri" w:hAnsi="Calibri"/>
      <w:color w:val="1E1E1E"/>
      <w:sz w:val="24"/>
    </w:rPr>
  </w:style>
  <w:style w:type="paragraph" w:styleId="EndnoteText">
    <w:name w:val="endnote text"/>
    <w:basedOn w:val="Normal"/>
    <w:link w:val="EndnoteTextChar"/>
    <w:uiPriority w:val="7"/>
    <w:rsid w:val="00E666B8"/>
    <w:pPr>
      <w:tabs>
        <w:tab w:val="left" w:pos="284"/>
      </w:tabs>
      <w:spacing w:after="80" w:line="230" w:lineRule="atLeast"/>
      <w:ind w:left="284" w:hanging="284"/>
    </w:pPr>
    <w:rPr>
      <w:color w:val="4D4D4D"/>
      <w:sz w:val="20"/>
      <w:szCs w:val="20"/>
    </w:rPr>
  </w:style>
  <w:style w:type="character" w:customStyle="1" w:styleId="EndnoteTextChar">
    <w:name w:val="Endnote Text Char"/>
    <w:basedOn w:val="DefaultParagraphFont"/>
    <w:link w:val="EndnoteText"/>
    <w:uiPriority w:val="7"/>
    <w:rsid w:val="00E666B8"/>
    <w:rPr>
      <w:rFonts w:ascii="Calibri" w:hAnsi="Calibri"/>
      <w:color w:val="4D4D4D"/>
      <w:sz w:val="20"/>
      <w:szCs w:val="20"/>
    </w:rPr>
  </w:style>
  <w:style w:type="paragraph" w:styleId="EnvelopeAddress">
    <w:name w:val="envelope address"/>
    <w:basedOn w:val="Normal"/>
    <w:uiPriority w:val="99"/>
    <w:semiHidden/>
    <w:rsid w:val="00E666B8"/>
    <w:pPr>
      <w:framePr w:w="7920" w:h="1980" w:hRule="exact" w:hSpace="180" w:wrap="auto" w:hAnchor="page" w:xAlign="center" w:yAlign="bottom"/>
      <w:spacing w:after="0"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rsid w:val="00E666B8"/>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10"/>
    <w:rsid w:val="00E666B8"/>
    <w:pPr>
      <w:spacing w:after="0" w:line="240" w:lineRule="auto"/>
      <w:jc w:val="right"/>
    </w:pPr>
    <w:rPr>
      <w:color w:val="696969"/>
      <w:sz w:val="20"/>
    </w:rPr>
  </w:style>
  <w:style w:type="character" w:customStyle="1" w:styleId="FooterChar">
    <w:name w:val="Footer Char"/>
    <w:basedOn w:val="DefaultParagraphFont"/>
    <w:link w:val="Footer"/>
    <w:uiPriority w:val="10"/>
    <w:rsid w:val="00E666B8"/>
    <w:rPr>
      <w:rFonts w:ascii="Calibri" w:hAnsi="Calibri"/>
      <w:color w:val="696969"/>
      <w:sz w:val="20"/>
    </w:rPr>
  </w:style>
  <w:style w:type="paragraph" w:styleId="FootnoteText">
    <w:name w:val="footnote text"/>
    <w:basedOn w:val="Normal"/>
    <w:link w:val="FootnoteTextChar"/>
    <w:uiPriority w:val="7"/>
    <w:qFormat/>
    <w:rsid w:val="00E666B8"/>
    <w:pPr>
      <w:tabs>
        <w:tab w:val="left" w:pos="284"/>
      </w:tabs>
      <w:spacing w:after="80" w:line="230" w:lineRule="atLeast"/>
      <w:ind w:left="284" w:hanging="284"/>
    </w:pPr>
    <w:rPr>
      <w:color w:val="4D4D4D"/>
      <w:sz w:val="20"/>
      <w:szCs w:val="20"/>
    </w:rPr>
  </w:style>
  <w:style w:type="character" w:customStyle="1" w:styleId="FootnoteTextChar">
    <w:name w:val="Footnote Text Char"/>
    <w:basedOn w:val="DefaultParagraphFont"/>
    <w:link w:val="FootnoteText"/>
    <w:uiPriority w:val="7"/>
    <w:rsid w:val="00E666B8"/>
    <w:rPr>
      <w:rFonts w:ascii="Calibri" w:hAnsi="Calibri"/>
      <w:color w:val="4D4D4D"/>
      <w:sz w:val="20"/>
      <w:szCs w:val="20"/>
    </w:rPr>
  </w:style>
  <w:style w:type="paragraph" w:styleId="Header">
    <w:name w:val="header"/>
    <w:basedOn w:val="Normal"/>
    <w:link w:val="HeaderChar"/>
    <w:rsid w:val="00E666B8"/>
    <w:pPr>
      <w:tabs>
        <w:tab w:val="right" w:pos="9299"/>
      </w:tabs>
      <w:spacing w:after="0" w:line="240" w:lineRule="auto"/>
    </w:pPr>
    <w:rPr>
      <w:color w:val="696969"/>
      <w:sz w:val="20"/>
    </w:rPr>
  </w:style>
  <w:style w:type="character" w:customStyle="1" w:styleId="HeaderChar">
    <w:name w:val="Header Char"/>
    <w:basedOn w:val="DefaultParagraphFont"/>
    <w:link w:val="Header"/>
    <w:rsid w:val="00E666B8"/>
    <w:rPr>
      <w:rFonts w:ascii="Calibri" w:hAnsi="Calibri"/>
      <w:color w:val="696969"/>
      <w:sz w:val="20"/>
    </w:rPr>
  </w:style>
  <w:style w:type="paragraph" w:styleId="HTMLAddress">
    <w:name w:val="HTML Address"/>
    <w:basedOn w:val="Normal"/>
    <w:link w:val="HTMLAddressChar"/>
    <w:uiPriority w:val="99"/>
    <w:semiHidden/>
    <w:rsid w:val="00E666B8"/>
    <w:pPr>
      <w:spacing w:after="0" w:line="240" w:lineRule="auto"/>
    </w:pPr>
    <w:rPr>
      <w:i/>
      <w:iCs/>
    </w:rPr>
  </w:style>
  <w:style w:type="character" w:customStyle="1" w:styleId="HTMLAddressChar">
    <w:name w:val="HTML Address Char"/>
    <w:basedOn w:val="DefaultParagraphFont"/>
    <w:link w:val="HTMLAddress"/>
    <w:uiPriority w:val="99"/>
    <w:semiHidden/>
    <w:rsid w:val="00E666B8"/>
    <w:rPr>
      <w:rFonts w:ascii="Calibri" w:hAnsi="Calibri"/>
      <w:i/>
      <w:iCs/>
      <w:color w:val="1E1E1E"/>
      <w:sz w:val="24"/>
    </w:rPr>
  </w:style>
  <w:style w:type="paragraph" w:styleId="HTMLPreformatted">
    <w:name w:val="HTML Preformatted"/>
    <w:basedOn w:val="Normal"/>
    <w:link w:val="HTMLPreformattedChar"/>
    <w:uiPriority w:val="99"/>
    <w:semiHidden/>
    <w:unhideWhenUsed/>
    <w:rsid w:val="00E666B8"/>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E666B8"/>
    <w:rPr>
      <w:rFonts w:ascii="Consolas" w:hAnsi="Consolas"/>
      <w:color w:val="1E1E1E"/>
      <w:sz w:val="20"/>
      <w:szCs w:val="20"/>
    </w:rPr>
  </w:style>
  <w:style w:type="paragraph" w:styleId="Index1">
    <w:name w:val="index 1"/>
    <w:basedOn w:val="Normal"/>
    <w:uiPriority w:val="99"/>
    <w:rsid w:val="00E666B8"/>
    <w:pPr>
      <w:spacing w:after="0"/>
      <w:ind w:left="220" w:hanging="220"/>
    </w:pPr>
    <w:rPr>
      <w:szCs w:val="18"/>
    </w:rPr>
  </w:style>
  <w:style w:type="paragraph" w:styleId="Index2">
    <w:name w:val="index 2"/>
    <w:basedOn w:val="Normal"/>
    <w:uiPriority w:val="99"/>
    <w:rsid w:val="00E666B8"/>
    <w:pPr>
      <w:spacing w:after="0"/>
      <w:ind w:left="440" w:hanging="220"/>
    </w:pPr>
    <w:rPr>
      <w:szCs w:val="18"/>
    </w:rPr>
  </w:style>
  <w:style w:type="paragraph" w:styleId="Index3">
    <w:name w:val="index 3"/>
    <w:basedOn w:val="Normal"/>
    <w:uiPriority w:val="99"/>
    <w:rsid w:val="00E666B8"/>
    <w:pPr>
      <w:spacing w:after="0"/>
      <w:ind w:left="660" w:hanging="220"/>
    </w:pPr>
    <w:rPr>
      <w:szCs w:val="18"/>
    </w:rPr>
  </w:style>
  <w:style w:type="paragraph" w:styleId="Index4">
    <w:name w:val="index 4"/>
    <w:basedOn w:val="Normal"/>
    <w:uiPriority w:val="99"/>
    <w:rsid w:val="00E666B8"/>
    <w:pPr>
      <w:spacing w:after="0"/>
      <w:ind w:left="880" w:hanging="220"/>
    </w:pPr>
    <w:rPr>
      <w:szCs w:val="18"/>
    </w:rPr>
  </w:style>
  <w:style w:type="paragraph" w:styleId="Index5">
    <w:name w:val="index 5"/>
    <w:basedOn w:val="Normal"/>
    <w:uiPriority w:val="99"/>
    <w:rsid w:val="00E666B8"/>
    <w:pPr>
      <w:spacing w:after="0"/>
      <w:ind w:left="1100" w:hanging="220"/>
    </w:pPr>
    <w:rPr>
      <w:szCs w:val="18"/>
    </w:rPr>
  </w:style>
  <w:style w:type="paragraph" w:styleId="Index6">
    <w:name w:val="index 6"/>
    <w:basedOn w:val="Normal"/>
    <w:uiPriority w:val="99"/>
    <w:rsid w:val="00E666B8"/>
    <w:pPr>
      <w:spacing w:after="0"/>
      <w:ind w:left="1320" w:hanging="220"/>
    </w:pPr>
    <w:rPr>
      <w:szCs w:val="18"/>
    </w:rPr>
  </w:style>
  <w:style w:type="paragraph" w:styleId="Index7">
    <w:name w:val="index 7"/>
    <w:basedOn w:val="Normal"/>
    <w:uiPriority w:val="99"/>
    <w:rsid w:val="00E666B8"/>
    <w:pPr>
      <w:spacing w:after="0"/>
      <w:ind w:left="1540" w:hanging="220"/>
    </w:pPr>
    <w:rPr>
      <w:szCs w:val="18"/>
    </w:rPr>
  </w:style>
  <w:style w:type="paragraph" w:styleId="Index8">
    <w:name w:val="index 8"/>
    <w:basedOn w:val="Normal"/>
    <w:uiPriority w:val="99"/>
    <w:rsid w:val="00E666B8"/>
    <w:pPr>
      <w:spacing w:after="0"/>
      <w:ind w:left="1760" w:hanging="220"/>
    </w:pPr>
    <w:rPr>
      <w:szCs w:val="18"/>
    </w:rPr>
  </w:style>
  <w:style w:type="paragraph" w:styleId="Index9">
    <w:name w:val="index 9"/>
    <w:basedOn w:val="Normal"/>
    <w:uiPriority w:val="99"/>
    <w:rsid w:val="00E666B8"/>
    <w:pPr>
      <w:spacing w:after="0"/>
      <w:ind w:left="1980" w:hanging="220"/>
    </w:pPr>
    <w:rPr>
      <w:szCs w:val="18"/>
    </w:rPr>
  </w:style>
  <w:style w:type="paragraph" w:styleId="IndexHeading">
    <w:name w:val="index heading"/>
    <w:basedOn w:val="Normalcolour"/>
    <w:next w:val="Index1"/>
    <w:uiPriority w:val="1"/>
    <w:rsid w:val="00E666B8"/>
    <w:pPr>
      <w:pBdr>
        <w:bottom w:val="single" w:sz="8" w:space="1" w:color="2BB673"/>
      </w:pBdr>
      <w:spacing w:before="200" w:after="60"/>
    </w:pPr>
    <w:rPr>
      <w:rFonts w:eastAsiaTheme="majorEastAsia" w:cstheme="majorBidi"/>
      <w:b/>
      <w:bCs/>
      <w:sz w:val="26"/>
    </w:rPr>
  </w:style>
  <w:style w:type="paragraph" w:styleId="NormalWeb">
    <w:name w:val="Normal (Web)"/>
    <w:basedOn w:val="Normal"/>
    <w:uiPriority w:val="99"/>
    <w:semiHidden/>
    <w:rsid w:val="00E666B8"/>
    <w:rPr>
      <w:rFonts w:ascii="Times New Roman" w:hAnsi="Times New Roman" w:cs="Times New Roman"/>
      <w:szCs w:val="24"/>
    </w:rPr>
  </w:style>
  <w:style w:type="paragraph" w:styleId="TableofAuthorities">
    <w:name w:val="table of authorities"/>
    <w:basedOn w:val="Normal"/>
    <w:next w:val="Normal"/>
    <w:uiPriority w:val="9"/>
    <w:rsid w:val="00E666B8"/>
    <w:pPr>
      <w:spacing w:after="0"/>
      <w:ind w:left="220" w:hanging="220"/>
    </w:pPr>
  </w:style>
  <w:style w:type="paragraph" w:styleId="TableofFigures">
    <w:name w:val="table of figures"/>
    <w:basedOn w:val="Normal"/>
    <w:next w:val="BodyText"/>
    <w:uiPriority w:val="99"/>
    <w:rsid w:val="00E666B8"/>
    <w:pPr>
      <w:tabs>
        <w:tab w:val="right" w:leader="underscore" w:pos="9299"/>
      </w:tabs>
      <w:spacing w:after="0"/>
      <w:ind w:right="425"/>
    </w:pPr>
  </w:style>
  <w:style w:type="paragraph" w:styleId="TOAHeading">
    <w:name w:val="toa heading"/>
    <w:basedOn w:val="Normal"/>
    <w:next w:val="Normal"/>
    <w:uiPriority w:val="9"/>
    <w:rsid w:val="00E666B8"/>
    <w:pPr>
      <w:spacing w:before="120"/>
    </w:pPr>
    <w:rPr>
      <w:rFonts w:eastAsiaTheme="majorEastAsia" w:cstheme="majorBidi"/>
      <w:b/>
      <w:bCs/>
      <w:szCs w:val="24"/>
    </w:rPr>
  </w:style>
  <w:style w:type="paragraph" w:customStyle="1" w:styleId="Normalcolour">
    <w:name w:val="Normal colour"/>
    <w:basedOn w:val="Normal"/>
    <w:uiPriority w:val="98"/>
    <w:rsid w:val="00E666B8"/>
    <w:rPr>
      <w:color w:val="2BB673"/>
    </w:rPr>
  </w:style>
  <w:style w:type="character" w:styleId="PageNumber">
    <w:name w:val="page number"/>
    <w:basedOn w:val="DefaultParagraphFont"/>
    <w:rsid w:val="00E666B8"/>
    <w:rPr>
      <w:b/>
      <w:color w:val="1E1E1E"/>
      <w:sz w:val="20"/>
    </w:rPr>
  </w:style>
  <w:style w:type="paragraph" w:customStyle="1" w:styleId="Heading1line">
    <w:name w:val="Heading 1 line"/>
    <w:basedOn w:val="Normal"/>
    <w:next w:val="BodyText"/>
    <w:uiPriority w:val="1"/>
    <w:rsid w:val="00E666B8"/>
    <w:pPr>
      <w:pBdr>
        <w:bottom w:val="single" w:sz="4" w:space="1" w:color="696969"/>
      </w:pBdr>
      <w:spacing w:before="200" w:line="240" w:lineRule="auto"/>
    </w:pPr>
    <w:rPr>
      <w:color w:val="696969"/>
    </w:rPr>
  </w:style>
  <w:style w:type="table" w:styleId="TableGrid">
    <w:name w:val="Table Grid"/>
    <w:basedOn w:val="TableNormal"/>
    <w:uiPriority w:val="59"/>
    <w:rsid w:val="00E666B8"/>
    <w:pPr>
      <w:spacing w:line="240" w:lineRule="atLeast"/>
    </w:pPr>
    <w:rPr>
      <w:rFonts w:ascii="Calibri" w:hAnsi="Calibri"/>
    </w:rPr>
    <w:tblPr>
      <w:tblStyleRowBandSize w:val="1"/>
      <w:tblStyleCol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
    <w:tblStylePr w:type="firstRow">
      <w:tblPr/>
      <w:trPr>
        <w:tblHeader/>
      </w:trPr>
      <w:tcPr>
        <w:tcBorders>
          <w:top w:val="single" w:sz="4" w:space="0" w:color="A6A6A6" w:themeColor="background1" w:themeShade="A6"/>
          <w:left w:val="single" w:sz="4" w:space="0" w:color="595959"/>
          <w:bottom w:val="single" w:sz="4" w:space="0" w:color="A6A6A6" w:themeColor="background1" w:themeShade="A6"/>
          <w:right w:val="single" w:sz="4" w:space="0" w:color="595959"/>
          <w:insideH w:val="single" w:sz="4" w:space="0" w:color="A6A6A6" w:themeColor="background1" w:themeShade="A6"/>
          <w:insideV w:val="single" w:sz="4" w:space="0" w:color="A6A6A6" w:themeColor="background1" w:themeShade="A6"/>
          <w:tl2br w:val="nil"/>
          <w:tr2bl w:val="nil"/>
        </w:tcBorders>
        <w:shd w:val="clear" w:color="auto" w:fill="595959"/>
      </w:tcPr>
    </w:tblStylePr>
    <w:tblStylePr w:type="lastRow">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fir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lastCol">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D3D3D3"/>
      </w:tcPr>
    </w:tblStylePr>
    <w:tblStylePr w:type="band1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Vert">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tblStylePr w:type="band1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E9E9E9"/>
      </w:tc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tcPr>
    </w:tblStylePr>
  </w:style>
  <w:style w:type="paragraph" w:customStyle="1" w:styleId="Tableheadingrow1">
    <w:name w:val="Table heading row 1"/>
    <w:basedOn w:val="Normal"/>
    <w:uiPriority w:val="1"/>
    <w:rsid w:val="00E666B8"/>
    <w:pPr>
      <w:keepNext/>
      <w:spacing w:before="60" w:after="60" w:line="240" w:lineRule="auto"/>
    </w:pPr>
    <w:rPr>
      <w:color w:val="FFFFFF" w:themeColor="background1"/>
    </w:rPr>
  </w:style>
  <w:style w:type="character" w:styleId="Hyperlink">
    <w:name w:val="Hyperlink"/>
    <w:basedOn w:val="DefaultParagraphFont"/>
    <w:uiPriority w:val="99"/>
    <w:rsid w:val="00E666B8"/>
    <w:rPr>
      <w:color w:val="0D6AB8"/>
      <w:u w:val="single"/>
    </w:rPr>
  </w:style>
  <w:style w:type="character" w:styleId="Emphasis">
    <w:name w:val="Emphasis"/>
    <w:uiPriority w:val="20"/>
    <w:qFormat/>
    <w:rsid w:val="00E666B8"/>
    <w:rPr>
      <w:rFonts w:ascii="Calibri" w:hAnsi="Calibri"/>
      <w:b/>
      <w:bCs/>
      <w:iCs/>
      <w:spacing w:val="0"/>
      <w:lang w:val="en-NZ"/>
    </w:rPr>
  </w:style>
  <w:style w:type="character" w:styleId="EndnoteReference">
    <w:name w:val="endnote reference"/>
    <w:basedOn w:val="DefaultParagraphFont"/>
    <w:uiPriority w:val="7"/>
    <w:rsid w:val="00E666B8"/>
    <w:rPr>
      <w:vertAlign w:val="superscript"/>
    </w:rPr>
  </w:style>
  <w:style w:type="paragraph" w:customStyle="1" w:styleId="Boxsmalltext">
    <w:name w:val="Box small text"/>
    <w:basedOn w:val="Normalcolour"/>
    <w:uiPriority w:val="2"/>
    <w:qFormat/>
    <w:rsid w:val="00E666B8"/>
    <w:rPr>
      <w:color w:val="1E1E1E"/>
    </w:rPr>
  </w:style>
  <w:style w:type="paragraph" w:customStyle="1" w:styleId="Boxlargetext">
    <w:name w:val="Box large text"/>
    <w:basedOn w:val="Normalcolour"/>
    <w:uiPriority w:val="2"/>
    <w:qFormat/>
    <w:rsid w:val="00E666B8"/>
    <w:pPr>
      <w:spacing w:line="320" w:lineRule="atLeast"/>
    </w:pPr>
    <w:rPr>
      <w:sz w:val="26"/>
    </w:rPr>
  </w:style>
  <w:style w:type="paragraph" w:customStyle="1" w:styleId="Quotationparagraphbefore">
    <w:name w:val="Quotation (paragraph before)"/>
    <w:basedOn w:val="Normal"/>
    <w:next w:val="Quotationseparateparagraph"/>
    <w:uiPriority w:val="6"/>
    <w:rsid w:val="00E666B8"/>
    <w:pPr>
      <w:spacing w:after="120"/>
    </w:pPr>
  </w:style>
  <w:style w:type="paragraph" w:customStyle="1" w:styleId="Quotationseparateparagraph">
    <w:name w:val="Quotation (separate paragraph)"/>
    <w:basedOn w:val="Normal"/>
    <w:uiPriority w:val="6"/>
    <w:rsid w:val="00E666B8"/>
    <w:pPr>
      <w:ind w:left="567" w:right="567"/>
    </w:pPr>
    <w:rPr>
      <w:i/>
      <w:color w:val="4D4D4D"/>
    </w:rPr>
  </w:style>
  <w:style w:type="character" w:customStyle="1" w:styleId="Quotationwithinthesentence">
    <w:name w:val="Quotation (within the sentence)"/>
    <w:basedOn w:val="DefaultParagraphFont"/>
    <w:uiPriority w:val="6"/>
    <w:rsid w:val="00E666B8"/>
    <w:rPr>
      <w:i/>
    </w:rPr>
  </w:style>
  <w:style w:type="paragraph" w:customStyle="1" w:styleId="Tablebodytext">
    <w:name w:val="Table body text"/>
    <w:basedOn w:val="BodyText"/>
    <w:uiPriority w:val="2"/>
    <w:rsid w:val="00E666B8"/>
    <w:pPr>
      <w:spacing w:before="120" w:after="120"/>
    </w:pPr>
    <w:rPr>
      <w:sz w:val="22"/>
    </w:rPr>
  </w:style>
  <w:style w:type="paragraph" w:customStyle="1" w:styleId="Tablebodytextnospaceafter">
    <w:name w:val="Table body text (no space after)"/>
    <w:basedOn w:val="BodyText"/>
    <w:uiPriority w:val="2"/>
    <w:rsid w:val="00E666B8"/>
    <w:pPr>
      <w:spacing w:after="0"/>
    </w:pPr>
    <w:rPr>
      <w:sz w:val="22"/>
    </w:rPr>
  </w:style>
  <w:style w:type="table" w:customStyle="1" w:styleId="TableBox">
    <w:name w:val="Table Box"/>
    <w:basedOn w:val="TableNormal"/>
    <w:uiPriority w:val="99"/>
    <w:rsid w:val="00E666B8"/>
    <w:pPr>
      <w:spacing w:line="240" w:lineRule="atLeast"/>
    </w:pPr>
    <w:rPr>
      <w:rFonts w:ascii="Calibri" w:hAnsi="Calibri"/>
      <w:sz w:val="24"/>
    </w:rPr>
    <w:tblPr>
      <w:tblCellMar>
        <w:top w:w="142" w:type="dxa"/>
        <w:left w:w="284" w:type="dxa"/>
        <w:bottom w:w="142" w:type="dxa"/>
        <w:right w:w="284" w:type="dxa"/>
      </w:tblCellMar>
    </w:tblPr>
    <w:tcPr>
      <w:shd w:val="clear" w:color="auto" w:fill="D3D3D3"/>
    </w:tcPr>
  </w:style>
  <w:style w:type="table" w:customStyle="1" w:styleId="TableGridnoborders">
    <w:name w:val="Table Grid (no borders)"/>
    <w:basedOn w:val="TableNormal"/>
    <w:uiPriority w:val="99"/>
    <w:rsid w:val="00E666B8"/>
    <w:pPr>
      <w:spacing w:line="240" w:lineRule="atLeast"/>
    </w:pPr>
    <w:rPr>
      <w:rFonts w:ascii="Calibri" w:hAnsi="Calibri"/>
      <w:sz w:val="24"/>
    </w:rPr>
    <w:tblPr>
      <w:tblInd w:w="113" w:type="dxa"/>
      <w:tblCellMar>
        <w:top w:w="28" w:type="dxa"/>
        <w:bottom w:w="28" w:type="dxa"/>
      </w:tblCellMar>
    </w:tblPr>
    <w:tcPr>
      <w:shd w:val="clear" w:color="auto" w:fill="auto"/>
    </w:tcPr>
  </w:style>
  <w:style w:type="paragraph" w:customStyle="1" w:styleId="Whitespace">
    <w:name w:val="White space"/>
    <w:basedOn w:val="BodyText"/>
    <w:uiPriority w:val="2"/>
    <w:rsid w:val="00E666B8"/>
    <w:pPr>
      <w:spacing w:after="0" w:line="240" w:lineRule="auto"/>
    </w:pPr>
    <w:rPr>
      <w:sz w:val="16"/>
    </w:rPr>
  </w:style>
  <w:style w:type="paragraph" w:customStyle="1" w:styleId="Singlespacedparagraph">
    <w:name w:val="Single spaced paragraph"/>
    <w:basedOn w:val="BodyText"/>
    <w:uiPriority w:val="2"/>
    <w:rsid w:val="00E666B8"/>
    <w:pPr>
      <w:spacing w:after="0"/>
    </w:pPr>
  </w:style>
  <w:style w:type="paragraph" w:customStyle="1" w:styleId="Headingboxtextinbody">
    <w:name w:val="Heading box text (in body)"/>
    <w:basedOn w:val="Normalcolour"/>
    <w:uiPriority w:val="1"/>
    <w:rsid w:val="00E666B8"/>
    <w:pPr>
      <w:keepNext/>
      <w:spacing w:before="360" w:after="60" w:line="320" w:lineRule="atLeast"/>
    </w:pPr>
    <w:rPr>
      <w:b/>
      <w:sz w:val="26"/>
    </w:rPr>
  </w:style>
  <w:style w:type="paragraph" w:customStyle="1" w:styleId="Headingboxtexttop">
    <w:name w:val="Heading box text (top)"/>
    <w:basedOn w:val="Normalcolour"/>
    <w:uiPriority w:val="1"/>
    <w:rsid w:val="00E666B8"/>
    <w:pPr>
      <w:spacing w:after="60" w:line="320" w:lineRule="atLeast"/>
    </w:pPr>
    <w:rPr>
      <w:b/>
      <w:sz w:val="26"/>
    </w:rPr>
  </w:style>
  <w:style w:type="character" w:styleId="FollowedHyperlink">
    <w:name w:val="FollowedHyperlink"/>
    <w:basedOn w:val="DefaultParagraphFont"/>
    <w:uiPriority w:val="2"/>
    <w:rsid w:val="00E666B8"/>
    <w:rPr>
      <w:color w:val="3C98E7"/>
      <w:u w:val="single"/>
    </w:rPr>
  </w:style>
  <w:style w:type="paragraph" w:customStyle="1" w:styleId="Heading1-Sub">
    <w:name w:val="Heading 1 - Sub"/>
    <w:basedOn w:val="Normal"/>
    <w:uiPriority w:val="1"/>
    <w:rsid w:val="00E666B8"/>
    <w:pPr>
      <w:tabs>
        <w:tab w:val="left" w:pos="2268"/>
      </w:tabs>
      <w:spacing w:after="0"/>
      <w:ind w:left="2268" w:hanging="2268"/>
    </w:pPr>
    <w:rPr>
      <w:b/>
    </w:rPr>
  </w:style>
  <w:style w:type="character" w:customStyle="1" w:styleId="Heading1-Subnonboldtext">
    <w:name w:val="Heading 1 - Sub (non bold text)"/>
    <w:basedOn w:val="DefaultParagraphFont"/>
    <w:uiPriority w:val="1"/>
    <w:rsid w:val="00E666B8"/>
    <w:rPr>
      <w:b/>
    </w:rPr>
  </w:style>
  <w:style w:type="paragraph" w:customStyle="1" w:styleId="Heading2-Start">
    <w:name w:val="Heading 2 - Start"/>
    <w:basedOn w:val="Heading2"/>
    <w:next w:val="BodyText"/>
    <w:uiPriority w:val="1"/>
    <w:semiHidden/>
    <w:qFormat/>
    <w:rsid w:val="00E666B8"/>
    <w:pPr>
      <w:spacing w:before="200"/>
    </w:pPr>
  </w:style>
  <w:style w:type="paragraph" w:customStyle="1" w:styleId="HeadingAppendix">
    <w:name w:val="Heading Appendix"/>
    <w:basedOn w:val="Heading1"/>
    <w:next w:val="BodyText"/>
    <w:uiPriority w:val="1"/>
    <w:rsid w:val="00E666B8"/>
    <w:pPr>
      <w:pageBreakBefore/>
      <w:numPr>
        <w:numId w:val="8"/>
      </w:numPr>
      <w:spacing w:before="0"/>
    </w:pPr>
  </w:style>
  <w:style w:type="paragraph" w:customStyle="1" w:styleId="DL-addresslines">
    <w:name w:val="DL - address lines"/>
    <w:basedOn w:val="Singlespacedparagraph"/>
    <w:uiPriority w:val="12"/>
    <w:semiHidden/>
    <w:qFormat/>
    <w:rsid w:val="00E666B8"/>
  </w:style>
  <w:style w:type="paragraph" w:customStyle="1" w:styleId="DL-closing">
    <w:name w:val="DL - closing"/>
    <w:basedOn w:val="Singlespacedparagraph"/>
    <w:uiPriority w:val="12"/>
    <w:semiHidden/>
    <w:qFormat/>
    <w:rsid w:val="00E666B8"/>
    <w:pPr>
      <w:spacing w:before="600"/>
    </w:pPr>
  </w:style>
  <w:style w:type="paragraph" w:customStyle="1" w:styleId="DL-closingname">
    <w:name w:val="DL - closing name"/>
    <w:basedOn w:val="Singlespacedparagraph"/>
    <w:uiPriority w:val="12"/>
    <w:semiHidden/>
    <w:qFormat/>
    <w:rsid w:val="00E666B8"/>
  </w:style>
  <w:style w:type="paragraph" w:customStyle="1" w:styleId="DL-closingposition">
    <w:name w:val="DL - closing position"/>
    <w:basedOn w:val="Singlespacedparagraph"/>
    <w:uiPriority w:val="12"/>
    <w:semiHidden/>
    <w:qFormat/>
    <w:rsid w:val="00E666B8"/>
    <w:pPr>
      <w:spacing w:after="240"/>
    </w:pPr>
  </w:style>
  <w:style w:type="paragraph" w:customStyle="1" w:styleId="DL-date">
    <w:name w:val="DL - date"/>
    <w:basedOn w:val="Singlespacedparagraph"/>
    <w:next w:val="DL-addresslines"/>
    <w:uiPriority w:val="12"/>
    <w:semiHidden/>
    <w:qFormat/>
    <w:rsid w:val="00E666B8"/>
    <w:pPr>
      <w:spacing w:before="300" w:after="600"/>
    </w:pPr>
  </w:style>
  <w:style w:type="paragraph" w:customStyle="1" w:styleId="DL-enclosure">
    <w:name w:val="DL - enclosure"/>
    <w:basedOn w:val="Singlespacedparagraph"/>
    <w:uiPriority w:val="12"/>
    <w:semiHidden/>
    <w:qFormat/>
    <w:rsid w:val="00E666B8"/>
    <w:pPr>
      <w:tabs>
        <w:tab w:val="left" w:pos="709"/>
      </w:tabs>
    </w:pPr>
  </w:style>
  <w:style w:type="paragraph" w:customStyle="1" w:styleId="DL-freephonetextline">
    <w:name w:val="DL - freephone text line"/>
    <w:basedOn w:val="Singlespacedparagraph"/>
    <w:uiPriority w:val="12"/>
    <w:semiHidden/>
    <w:rsid w:val="00E666B8"/>
    <w:pPr>
      <w:spacing w:before="340" w:after="600"/>
      <w:jc w:val="right"/>
    </w:pPr>
    <w:rPr>
      <w:sz w:val="17"/>
    </w:rPr>
  </w:style>
  <w:style w:type="paragraph" w:customStyle="1" w:styleId="DL-ourref">
    <w:name w:val="DL - our ref"/>
    <w:basedOn w:val="Singlespacedparagraph"/>
    <w:next w:val="DL-date"/>
    <w:uiPriority w:val="12"/>
    <w:semiHidden/>
    <w:qFormat/>
    <w:rsid w:val="00E666B8"/>
    <w:pPr>
      <w:spacing w:after="300"/>
    </w:pPr>
  </w:style>
  <w:style w:type="paragraph" w:customStyle="1" w:styleId="DL-salutation">
    <w:name w:val="DL - salutation"/>
    <w:basedOn w:val="Singlespacedparagraph"/>
    <w:next w:val="Heading1"/>
    <w:uiPriority w:val="12"/>
    <w:semiHidden/>
    <w:qFormat/>
    <w:rsid w:val="00E666B8"/>
    <w:pPr>
      <w:spacing w:before="600"/>
    </w:pPr>
  </w:style>
  <w:style w:type="paragraph" w:customStyle="1" w:styleId="Footerline">
    <w:name w:val="Footer line"/>
    <w:basedOn w:val="Footer"/>
    <w:next w:val="Footer"/>
    <w:uiPriority w:val="10"/>
    <w:rsid w:val="00E666B8"/>
    <w:pPr>
      <w:pBdr>
        <w:top w:val="single" w:sz="4" w:space="5" w:color="696969"/>
      </w:pBdr>
      <w:ind w:left="23" w:right="23"/>
    </w:pPr>
    <w:rPr>
      <w:sz w:val="2"/>
    </w:rPr>
  </w:style>
  <w:style w:type="paragraph" w:customStyle="1" w:styleId="Headerline">
    <w:name w:val="Header line"/>
    <w:basedOn w:val="Header"/>
    <w:rsid w:val="00E666B8"/>
    <w:pPr>
      <w:pBdr>
        <w:bottom w:val="single" w:sz="4" w:space="5" w:color="696969"/>
      </w:pBdr>
      <w:ind w:left="23" w:right="23"/>
    </w:pPr>
    <w:rPr>
      <w:sz w:val="2"/>
    </w:rPr>
  </w:style>
  <w:style w:type="paragraph" w:customStyle="1" w:styleId="Tableoffiguresheading">
    <w:name w:val="Table of figures heading"/>
    <w:basedOn w:val="Heading4"/>
    <w:next w:val="TableofFigures"/>
    <w:uiPriority w:val="1"/>
    <w:rsid w:val="00E666B8"/>
    <w:pPr>
      <w:outlineLvl w:val="9"/>
    </w:pPr>
  </w:style>
  <w:style w:type="paragraph" w:customStyle="1" w:styleId="Heading1-Start">
    <w:name w:val="Heading 1 - Start"/>
    <w:basedOn w:val="Heading1"/>
    <w:next w:val="BodyText"/>
    <w:uiPriority w:val="1"/>
    <w:rsid w:val="00E666B8"/>
    <w:pPr>
      <w:spacing w:before="200"/>
    </w:pPr>
  </w:style>
  <w:style w:type="paragraph" w:customStyle="1" w:styleId="Guidelines">
    <w:name w:val="Guidelines"/>
    <w:basedOn w:val="Normal"/>
    <w:next w:val="BodyText"/>
    <w:uiPriority w:val="2"/>
    <w:rsid w:val="00E666B8"/>
    <w:rPr>
      <w:color w:val="00B050"/>
    </w:rPr>
  </w:style>
  <w:style w:type="paragraph" w:customStyle="1" w:styleId="QIndent1">
    <w:name w:val="QIndent 1"/>
    <w:basedOn w:val="Normal"/>
    <w:uiPriority w:val="6"/>
    <w:rsid w:val="00E666B8"/>
    <w:pPr>
      <w:ind w:left="1134" w:right="567"/>
    </w:pPr>
    <w:rPr>
      <w:i/>
      <w:color w:val="4D4D4D"/>
    </w:rPr>
  </w:style>
  <w:style w:type="paragraph" w:customStyle="1" w:styleId="QIndent2">
    <w:name w:val="QIndent 2"/>
    <w:basedOn w:val="Normal"/>
    <w:uiPriority w:val="6"/>
    <w:rsid w:val="00E666B8"/>
    <w:pPr>
      <w:ind w:left="1701" w:right="567"/>
    </w:pPr>
    <w:rPr>
      <w:i/>
      <w:color w:val="4D4D4D"/>
    </w:rPr>
  </w:style>
  <w:style w:type="paragraph" w:customStyle="1" w:styleId="QIndent3">
    <w:name w:val="QIndent 3"/>
    <w:basedOn w:val="Normal"/>
    <w:uiPriority w:val="6"/>
    <w:rsid w:val="00E666B8"/>
    <w:pPr>
      <w:ind w:left="2268" w:right="567"/>
    </w:pPr>
    <w:rPr>
      <w:i/>
      <w:color w:val="4D4D4D"/>
    </w:rPr>
  </w:style>
  <w:style w:type="paragraph" w:customStyle="1" w:styleId="QListalpha">
    <w:name w:val="QList alpha"/>
    <w:basedOn w:val="Normal"/>
    <w:uiPriority w:val="6"/>
    <w:rsid w:val="00E666B8"/>
    <w:pPr>
      <w:numPr>
        <w:numId w:val="12"/>
      </w:numPr>
      <w:ind w:right="567"/>
    </w:pPr>
    <w:rPr>
      <w:i/>
      <w:color w:val="4D4D4D"/>
    </w:rPr>
  </w:style>
  <w:style w:type="paragraph" w:customStyle="1" w:styleId="QListbullet">
    <w:name w:val="QList bullet"/>
    <w:basedOn w:val="Normal"/>
    <w:uiPriority w:val="6"/>
    <w:rsid w:val="00E666B8"/>
    <w:pPr>
      <w:numPr>
        <w:numId w:val="13"/>
      </w:numPr>
      <w:ind w:right="567"/>
    </w:pPr>
    <w:rPr>
      <w:i/>
      <w:color w:val="4D4D4D"/>
    </w:rPr>
  </w:style>
  <w:style w:type="paragraph" w:customStyle="1" w:styleId="QListnumber">
    <w:name w:val="QList number"/>
    <w:basedOn w:val="Normal"/>
    <w:uiPriority w:val="6"/>
    <w:rsid w:val="00E666B8"/>
    <w:pPr>
      <w:numPr>
        <w:numId w:val="14"/>
      </w:numPr>
      <w:ind w:right="567"/>
    </w:pPr>
    <w:rPr>
      <w:i/>
      <w:color w:val="4D4D4D"/>
    </w:rPr>
  </w:style>
  <w:style w:type="paragraph" w:customStyle="1" w:styleId="QListroman">
    <w:name w:val="QList roman"/>
    <w:basedOn w:val="Normal"/>
    <w:uiPriority w:val="6"/>
    <w:rsid w:val="00E666B8"/>
    <w:pPr>
      <w:numPr>
        <w:numId w:val="15"/>
      </w:numPr>
      <w:ind w:right="567"/>
    </w:pPr>
    <w:rPr>
      <w:rFonts w:eastAsia="Times New Roman" w:cs="Times New Roman"/>
      <w:i/>
      <w:color w:val="4D4D4D"/>
      <w:szCs w:val="20"/>
    </w:rPr>
  </w:style>
  <w:style w:type="paragraph" w:customStyle="1" w:styleId="Bullet1">
    <w:name w:val="Bullet 1"/>
    <w:basedOn w:val="Normal"/>
    <w:link w:val="Bullet1Char"/>
    <w:uiPriority w:val="2"/>
    <w:rsid w:val="00E666B8"/>
    <w:pPr>
      <w:numPr>
        <w:numId w:val="1"/>
      </w:numPr>
    </w:pPr>
  </w:style>
  <w:style w:type="paragraph" w:customStyle="1" w:styleId="Bullet2">
    <w:name w:val="Bullet 2"/>
    <w:basedOn w:val="Normal"/>
    <w:uiPriority w:val="2"/>
    <w:rsid w:val="00E666B8"/>
    <w:pPr>
      <w:numPr>
        <w:ilvl w:val="1"/>
        <w:numId w:val="1"/>
      </w:numPr>
    </w:pPr>
  </w:style>
  <w:style w:type="paragraph" w:customStyle="1" w:styleId="Bullet3">
    <w:name w:val="Bullet 3"/>
    <w:basedOn w:val="Normal"/>
    <w:uiPriority w:val="2"/>
    <w:rsid w:val="00E666B8"/>
    <w:pPr>
      <w:numPr>
        <w:ilvl w:val="2"/>
        <w:numId w:val="1"/>
      </w:numPr>
    </w:pPr>
  </w:style>
  <w:style w:type="paragraph" w:customStyle="1" w:styleId="Bullet4">
    <w:name w:val="Bullet 4"/>
    <w:basedOn w:val="Normal"/>
    <w:uiPriority w:val="2"/>
    <w:rsid w:val="00E666B8"/>
    <w:pPr>
      <w:numPr>
        <w:ilvl w:val="3"/>
        <w:numId w:val="1"/>
      </w:numPr>
    </w:pPr>
  </w:style>
  <w:style w:type="paragraph" w:customStyle="1" w:styleId="Checkbox1">
    <w:name w:val="Check box 1"/>
    <w:basedOn w:val="BodyText"/>
    <w:uiPriority w:val="3"/>
    <w:rsid w:val="00E666B8"/>
    <w:pPr>
      <w:numPr>
        <w:numId w:val="2"/>
      </w:numPr>
    </w:pPr>
  </w:style>
  <w:style w:type="paragraph" w:customStyle="1" w:styleId="Indent1">
    <w:name w:val="Indent 1"/>
    <w:basedOn w:val="Normal"/>
    <w:uiPriority w:val="4"/>
    <w:rsid w:val="00E666B8"/>
    <w:pPr>
      <w:ind w:left="567"/>
    </w:pPr>
  </w:style>
  <w:style w:type="paragraph" w:customStyle="1" w:styleId="Indent2">
    <w:name w:val="Indent 2"/>
    <w:basedOn w:val="Normal"/>
    <w:uiPriority w:val="4"/>
    <w:rsid w:val="00E666B8"/>
    <w:pPr>
      <w:ind w:left="1134"/>
    </w:pPr>
  </w:style>
  <w:style w:type="paragraph" w:customStyle="1" w:styleId="Indent3">
    <w:name w:val="Indent 3"/>
    <w:basedOn w:val="Normal"/>
    <w:uiPriority w:val="4"/>
    <w:rsid w:val="00E666B8"/>
    <w:pPr>
      <w:ind w:left="1701"/>
    </w:pPr>
  </w:style>
  <w:style w:type="paragraph" w:customStyle="1" w:styleId="Indent4">
    <w:name w:val="Indent 4"/>
    <w:basedOn w:val="Normal"/>
    <w:uiPriority w:val="4"/>
    <w:rsid w:val="00E666B8"/>
    <w:pPr>
      <w:ind w:left="2268"/>
    </w:pPr>
  </w:style>
  <w:style w:type="paragraph" w:customStyle="1" w:styleId="Number-1">
    <w:name w:val="Number - 1."/>
    <w:basedOn w:val="BodyText"/>
    <w:uiPriority w:val="5"/>
    <w:rsid w:val="00E666B8"/>
    <w:pPr>
      <w:tabs>
        <w:tab w:val="num" w:pos="851"/>
      </w:tabs>
      <w:ind w:left="851" w:hanging="851"/>
    </w:pPr>
  </w:style>
  <w:style w:type="paragraph" w:customStyle="1" w:styleId="Number-11">
    <w:name w:val="Number - 1.1"/>
    <w:basedOn w:val="Normal"/>
    <w:uiPriority w:val="5"/>
    <w:rsid w:val="00E666B8"/>
    <w:pPr>
      <w:tabs>
        <w:tab w:val="num" w:pos="851"/>
      </w:tabs>
      <w:ind w:left="851" w:hanging="851"/>
    </w:pPr>
  </w:style>
  <w:style w:type="paragraph" w:customStyle="1" w:styleId="Number-111">
    <w:name w:val="Number - 1.1.1"/>
    <w:basedOn w:val="Normal"/>
    <w:uiPriority w:val="5"/>
    <w:rsid w:val="00E666B8"/>
    <w:pPr>
      <w:tabs>
        <w:tab w:val="num" w:pos="851"/>
      </w:tabs>
      <w:ind w:left="851" w:hanging="851"/>
    </w:pPr>
  </w:style>
  <w:style w:type="paragraph" w:customStyle="1" w:styleId="Number-a">
    <w:name w:val="Number - a."/>
    <w:basedOn w:val="Normal"/>
    <w:uiPriority w:val="5"/>
    <w:rsid w:val="00E666B8"/>
    <w:pPr>
      <w:numPr>
        <w:numId w:val="11"/>
      </w:numPr>
    </w:pPr>
  </w:style>
  <w:style w:type="paragraph" w:customStyle="1" w:styleId="Number-i">
    <w:name w:val="Number - i."/>
    <w:basedOn w:val="Normal"/>
    <w:uiPriority w:val="5"/>
    <w:rsid w:val="00E666B8"/>
    <w:pPr>
      <w:numPr>
        <w:ilvl w:val="1"/>
        <w:numId w:val="11"/>
      </w:numPr>
    </w:pPr>
  </w:style>
  <w:style w:type="paragraph" w:customStyle="1" w:styleId="Number1">
    <w:name w:val="Number 1"/>
    <w:basedOn w:val="Normal"/>
    <w:uiPriority w:val="5"/>
    <w:rsid w:val="00E666B8"/>
    <w:pPr>
      <w:numPr>
        <w:numId w:val="3"/>
      </w:numPr>
    </w:pPr>
  </w:style>
  <w:style w:type="paragraph" w:customStyle="1" w:styleId="Number2">
    <w:name w:val="Number 2"/>
    <w:basedOn w:val="Normal"/>
    <w:uiPriority w:val="5"/>
    <w:rsid w:val="00E666B8"/>
    <w:pPr>
      <w:numPr>
        <w:ilvl w:val="1"/>
        <w:numId w:val="3"/>
      </w:numPr>
    </w:pPr>
  </w:style>
  <w:style w:type="paragraph" w:customStyle="1" w:styleId="Number3">
    <w:name w:val="Number 3"/>
    <w:basedOn w:val="Normal"/>
    <w:uiPriority w:val="5"/>
    <w:rsid w:val="00E666B8"/>
    <w:pPr>
      <w:numPr>
        <w:ilvl w:val="2"/>
        <w:numId w:val="3"/>
      </w:numPr>
    </w:pPr>
  </w:style>
  <w:style w:type="paragraph" w:customStyle="1" w:styleId="TableBullet1">
    <w:name w:val="Table Bullet 1"/>
    <w:basedOn w:val="Tablebodytext"/>
    <w:uiPriority w:val="2"/>
    <w:rsid w:val="00E666B8"/>
    <w:pPr>
      <w:numPr>
        <w:numId w:val="4"/>
      </w:numPr>
    </w:pPr>
  </w:style>
  <w:style w:type="paragraph" w:customStyle="1" w:styleId="TableBullet2">
    <w:name w:val="Table Bullet 2"/>
    <w:basedOn w:val="Tablebodytext"/>
    <w:uiPriority w:val="2"/>
    <w:rsid w:val="00E666B8"/>
    <w:pPr>
      <w:numPr>
        <w:ilvl w:val="1"/>
        <w:numId w:val="4"/>
      </w:numPr>
    </w:pPr>
  </w:style>
  <w:style w:type="paragraph" w:customStyle="1" w:styleId="TableBullet3">
    <w:name w:val="Table Bullet 3"/>
    <w:basedOn w:val="Tablebodytext"/>
    <w:uiPriority w:val="2"/>
    <w:rsid w:val="00E666B8"/>
    <w:pPr>
      <w:numPr>
        <w:ilvl w:val="2"/>
        <w:numId w:val="4"/>
      </w:numPr>
    </w:pPr>
  </w:style>
  <w:style w:type="paragraph" w:customStyle="1" w:styleId="Tablecheckbox1">
    <w:name w:val="Table check box 1"/>
    <w:basedOn w:val="Tablebodytext"/>
    <w:uiPriority w:val="2"/>
    <w:rsid w:val="00E666B8"/>
    <w:pPr>
      <w:numPr>
        <w:numId w:val="5"/>
      </w:numPr>
    </w:pPr>
  </w:style>
  <w:style w:type="paragraph" w:customStyle="1" w:styleId="Tableheading">
    <w:name w:val="Table heading"/>
    <w:basedOn w:val="Tablebodytext"/>
    <w:next w:val="Tablebodytext"/>
    <w:uiPriority w:val="2"/>
    <w:rsid w:val="00E666B8"/>
    <w:pPr>
      <w:keepNext/>
      <w:spacing w:after="60"/>
    </w:pPr>
    <w:rPr>
      <w:b/>
    </w:rPr>
  </w:style>
  <w:style w:type="paragraph" w:customStyle="1" w:styleId="TableIndent1">
    <w:name w:val="Table Indent 1"/>
    <w:basedOn w:val="Normal"/>
    <w:uiPriority w:val="2"/>
    <w:rsid w:val="00E666B8"/>
    <w:pPr>
      <w:spacing w:before="120" w:after="120"/>
      <w:ind w:left="357"/>
    </w:pPr>
    <w:rPr>
      <w:sz w:val="22"/>
    </w:rPr>
  </w:style>
  <w:style w:type="paragraph" w:customStyle="1" w:styleId="TableIndent2">
    <w:name w:val="Table Indent 2"/>
    <w:basedOn w:val="Normal"/>
    <w:uiPriority w:val="2"/>
    <w:rsid w:val="00E666B8"/>
    <w:pPr>
      <w:spacing w:before="120" w:after="120"/>
      <w:ind w:left="714"/>
    </w:pPr>
    <w:rPr>
      <w:sz w:val="22"/>
    </w:rPr>
  </w:style>
  <w:style w:type="paragraph" w:customStyle="1" w:styleId="TableIndent3">
    <w:name w:val="Table Indent 3"/>
    <w:basedOn w:val="Normal"/>
    <w:uiPriority w:val="2"/>
    <w:rsid w:val="00E666B8"/>
    <w:pPr>
      <w:spacing w:before="120" w:after="120"/>
      <w:ind w:left="1072"/>
    </w:pPr>
    <w:rPr>
      <w:sz w:val="22"/>
    </w:rPr>
  </w:style>
  <w:style w:type="paragraph" w:customStyle="1" w:styleId="TableNumber1">
    <w:name w:val="Table Number 1."/>
    <w:basedOn w:val="Tablebodytext"/>
    <w:uiPriority w:val="2"/>
    <w:rsid w:val="00E666B8"/>
    <w:pPr>
      <w:numPr>
        <w:numId w:val="6"/>
      </w:numPr>
    </w:pPr>
  </w:style>
  <w:style w:type="paragraph" w:customStyle="1" w:styleId="TableNumbera">
    <w:name w:val="Table Number a."/>
    <w:basedOn w:val="Tablebodytext"/>
    <w:uiPriority w:val="2"/>
    <w:rsid w:val="00E666B8"/>
    <w:pPr>
      <w:numPr>
        <w:ilvl w:val="1"/>
        <w:numId w:val="6"/>
      </w:numPr>
    </w:pPr>
  </w:style>
  <w:style w:type="paragraph" w:customStyle="1" w:styleId="TableNumberi">
    <w:name w:val="Table Number i."/>
    <w:basedOn w:val="Tablebodytext"/>
    <w:uiPriority w:val="2"/>
    <w:rsid w:val="00E666B8"/>
    <w:pPr>
      <w:numPr>
        <w:ilvl w:val="2"/>
        <w:numId w:val="6"/>
      </w:numPr>
    </w:pPr>
  </w:style>
  <w:style w:type="paragraph" w:customStyle="1" w:styleId="TableQuotationseparateparagraph">
    <w:name w:val="Table Quotation (separate paragraph)"/>
    <w:basedOn w:val="Quotationseparateparagraph"/>
    <w:uiPriority w:val="2"/>
    <w:rsid w:val="00E666B8"/>
    <w:pPr>
      <w:spacing w:after="120"/>
      <w:ind w:left="357" w:right="357"/>
    </w:pPr>
    <w:rPr>
      <w:sz w:val="22"/>
    </w:rPr>
  </w:style>
  <w:style w:type="paragraph" w:customStyle="1" w:styleId="Tablesinglespacedparagraph">
    <w:name w:val="Table single spaced paragraph"/>
    <w:basedOn w:val="BodyText"/>
    <w:uiPriority w:val="2"/>
    <w:rsid w:val="00E666B8"/>
    <w:pPr>
      <w:spacing w:before="40" w:after="40"/>
    </w:pPr>
    <w:rPr>
      <w:sz w:val="22"/>
    </w:rPr>
  </w:style>
  <w:style w:type="paragraph" w:customStyle="1" w:styleId="Tablesinglespacedparagraphlast">
    <w:name w:val="Table single spaced paragraph (last)"/>
    <w:basedOn w:val="Tablesinglespacedparagraph"/>
    <w:uiPriority w:val="2"/>
    <w:rsid w:val="00E666B8"/>
  </w:style>
  <w:style w:type="paragraph" w:customStyle="1" w:styleId="Tablecaption">
    <w:name w:val="Table caption"/>
    <w:basedOn w:val="Normal"/>
    <w:next w:val="BodyText"/>
    <w:uiPriority w:val="98"/>
    <w:rsid w:val="00E666B8"/>
    <w:pPr>
      <w:keepNext/>
      <w:spacing w:before="360" w:after="60" w:line="260" w:lineRule="atLeast"/>
    </w:pPr>
    <w:rPr>
      <w:b/>
      <w:sz w:val="26"/>
    </w:rPr>
  </w:style>
  <w:style w:type="paragraph" w:customStyle="1" w:styleId="FigureCaption">
    <w:name w:val="Figure Caption"/>
    <w:basedOn w:val="Normal"/>
    <w:next w:val="BodyText"/>
    <w:uiPriority w:val="2"/>
    <w:rsid w:val="00E666B8"/>
    <w:pPr>
      <w:spacing w:line="240" w:lineRule="auto"/>
    </w:pPr>
    <w:rPr>
      <w:i/>
    </w:rPr>
  </w:style>
  <w:style w:type="paragraph" w:customStyle="1" w:styleId="Footerlandscape">
    <w:name w:val="Footer landscape"/>
    <w:basedOn w:val="Footer"/>
    <w:uiPriority w:val="10"/>
    <w:rsid w:val="00E666B8"/>
  </w:style>
  <w:style w:type="paragraph" w:customStyle="1" w:styleId="Headerlandscape">
    <w:name w:val="Header landscape"/>
    <w:basedOn w:val="Header"/>
    <w:rsid w:val="00E666B8"/>
    <w:pPr>
      <w:tabs>
        <w:tab w:val="clear" w:pos="9299"/>
        <w:tab w:val="right" w:pos="14232"/>
      </w:tabs>
    </w:pPr>
  </w:style>
  <w:style w:type="character" w:customStyle="1" w:styleId="Italics">
    <w:name w:val="Italics"/>
    <w:basedOn w:val="DefaultParagraphFont"/>
    <w:uiPriority w:val="2"/>
    <w:rsid w:val="00E666B8"/>
    <w:rPr>
      <w:i/>
    </w:rPr>
  </w:style>
  <w:style w:type="character" w:customStyle="1" w:styleId="Bluetext">
    <w:name w:val="Blue text"/>
    <w:basedOn w:val="DefaultParagraphFont"/>
    <w:uiPriority w:val="2"/>
    <w:rsid w:val="00E666B8"/>
    <w:rPr>
      <w:color w:val="0070C0"/>
    </w:rPr>
  </w:style>
  <w:style w:type="paragraph" w:customStyle="1" w:styleId="Boxsmallbullet1">
    <w:name w:val="Box small bullet 1"/>
    <w:basedOn w:val="Boxsmalltext"/>
    <w:uiPriority w:val="2"/>
    <w:rsid w:val="00E666B8"/>
    <w:pPr>
      <w:numPr>
        <w:numId w:val="7"/>
      </w:numPr>
    </w:pPr>
  </w:style>
  <w:style w:type="paragraph" w:customStyle="1" w:styleId="Boxsmallbullet2">
    <w:name w:val="Box small bullet 2"/>
    <w:basedOn w:val="Boxsmalltext"/>
    <w:uiPriority w:val="2"/>
    <w:rsid w:val="00E666B8"/>
    <w:pPr>
      <w:numPr>
        <w:ilvl w:val="1"/>
        <w:numId w:val="7"/>
      </w:numPr>
    </w:pPr>
  </w:style>
  <w:style w:type="character" w:customStyle="1" w:styleId="HyperlinkSourceTextReference">
    <w:name w:val="Hyperlink (Source Text Reference)"/>
    <w:basedOn w:val="Hyperlink"/>
    <w:uiPriority w:val="2"/>
    <w:rsid w:val="00E666B8"/>
    <w:rPr>
      <w:color w:val="0D6AB8"/>
      <w:u w:val="single"/>
    </w:rPr>
  </w:style>
  <w:style w:type="paragraph" w:customStyle="1" w:styleId="Boxsmallnumber-1">
    <w:name w:val="Box small number - 1."/>
    <w:basedOn w:val="Boxsmalltext"/>
    <w:uiPriority w:val="2"/>
    <w:rsid w:val="00E666B8"/>
    <w:pPr>
      <w:numPr>
        <w:numId w:val="10"/>
      </w:numPr>
    </w:pPr>
  </w:style>
  <w:style w:type="paragraph" w:customStyle="1" w:styleId="Boxsmallnumber-a">
    <w:name w:val="Box small number - a."/>
    <w:basedOn w:val="Boxsmalltext"/>
    <w:uiPriority w:val="2"/>
    <w:rsid w:val="00E666B8"/>
    <w:pPr>
      <w:numPr>
        <w:ilvl w:val="1"/>
        <w:numId w:val="10"/>
      </w:numPr>
    </w:pPr>
  </w:style>
  <w:style w:type="paragraph" w:customStyle="1" w:styleId="Boxsmallnumber-i">
    <w:name w:val="Box small number - i."/>
    <w:basedOn w:val="Boxsmalltext"/>
    <w:uiPriority w:val="2"/>
    <w:rsid w:val="00E666B8"/>
    <w:pPr>
      <w:numPr>
        <w:ilvl w:val="2"/>
        <w:numId w:val="10"/>
      </w:numPr>
    </w:pPr>
  </w:style>
  <w:style w:type="paragraph" w:customStyle="1" w:styleId="FootnoteBullet">
    <w:name w:val="Footnote Bullet"/>
    <w:basedOn w:val="FootnoteText"/>
    <w:uiPriority w:val="7"/>
    <w:rsid w:val="00E666B8"/>
    <w:pPr>
      <w:numPr>
        <w:numId w:val="17"/>
      </w:numPr>
      <w:tabs>
        <w:tab w:val="clear" w:pos="284"/>
      </w:tabs>
    </w:pPr>
  </w:style>
  <w:style w:type="paragraph" w:customStyle="1" w:styleId="Introduction">
    <w:name w:val="Introduction"/>
    <w:basedOn w:val="BodyText"/>
    <w:uiPriority w:val="2"/>
    <w:rsid w:val="00E666B8"/>
    <w:rPr>
      <w:color w:val="4D4D4D"/>
      <w:sz w:val="28"/>
    </w:rPr>
  </w:style>
  <w:style w:type="paragraph" w:customStyle="1" w:styleId="Checkbox2">
    <w:name w:val="Check box 2"/>
    <w:basedOn w:val="Checkbox1"/>
    <w:uiPriority w:val="3"/>
    <w:rsid w:val="00E666B8"/>
    <w:pPr>
      <w:numPr>
        <w:ilvl w:val="1"/>
      </w:numPr>
    </w:pPr>
  </w:style>
  <w:style w:type="paragraph" w:customStyle="1" w:styleId="Checkbox3">
    <w:name w:val="Check box 3"/>
    <w:basedOn w:val="Checkbox1"/>
    <w:uiPriority w:val="3"/>
    <w:rsid w:val="00E666B8"/>
    <w:pPr>
      <w:numPr>
        <w:ilvl w:val="2"/>
      </w:numPr>
    </w:pPr>
  </w:style>
  <w:style w:type="paragraph" w:customStyle="1" w:styleId="Checkbox4">
    <w:name w:val="Check box 4"/>
    <w:basedOn w:val="Checkbox1"/>
    <w:uiPriority w:val="3"/>
    <w:rsid w:val="00E666B8"/>
    <w:pPr>
      <w:numPr>
        <w:ilvl w:val="3"/>
      </w:numPr>
    </w:pPr>
  </w:style>
  <w:style w:type="paragraph" w:customStyle="1" w:styleId="Tablecheckbox2">
    <w:name w:val="Table check box 2"/>
    <w:basedOn w:val="Tablecheckbox1"/>
    <w:uiPriority w:val="2"/>
    <w:rsid w:val="00E666B8"/>
    <w:pPr>
      <w:numPr>
        <w:ilvl w:val="1"/>
      </w:numPr>
    </w:pPr>
  </w:style>
  <w:style w:type="paragraph" w:customStyle="1" w:styleId="Tablecheckbox3">
    <w:name w:val="Table check box 3"/>
    <w:basedOn w:val="Tablecheckbox1"/>
    <w:uiPriority w:val="2"/>
    <w:rsid w:val="00E666B8"/>
    <w:pPr>
      <w:numPr>
        <w:ilvl w:val="2"/>
      </w:numPr>
    </w:pPr>
  </w:style>
  <w:style w:type="paragraph" w:customStyle="1" w:styleId="EndnoteBullet">
    <w:name w:val="Endnote Bullet"/>
    <w:uiPriority w:val="7"/>
    <w:rsid w:val="00E666B8"/>
    <w:pPr>
      <w:numPr>
        <w:numId w:val="16"/>
      </w:numPr>
      <w:spacing w:after="80" w:line="230" w:lineRule="atLeast"/>
    </w:pPr>
    <w:rPr>
      <w:rFonts w:ascii="Calibri" w:hAnsi="Calibri"/>
      <w:color w:val="4D4D4D"/>
      <w:sz w:val="20"/>
      <w:szCs w:val="20"/>
    </w:rPr>
  </w:style>
  <w:style w:type="paragraph" w:customStyle="1" w:styleId="CQLegindent1">
    <w:name w:val="CQLeg indent 1"/>
    <w:basedOn w:val="Normal"/>
    <w:uiPriority w:val="6"/>
    <w:rsid w:val="00E666B8"/>
    <w:pPr>
      <w:ind w:left="2268" w:right="567"/>
    </w:pPr>
    <w:rPr>
      <w:i/>
      <w:color w:val="4D4D4D"/>
    </w:rPr>
  </w:style>
  <w:style w:type="paragraph" w:customStyle="1" w:styleId="CQLegindent2">
    <w:name w:val="CQLeg indent 2"/>
    <w:basedOn w:val="Normal"/>
    <w:uiPriority w:val="6"/>
    <w:rsid w:val="00E666B8"/>
    <w:pPr>
      <w:ind w:left="2977" w:right="567"/>
    </w:pPr>
    <w:rPr>
      <w:i/>
      <w:color w:val="4D4D4D"/>
    </w:rPr>
  </w:style>
  <w:style w:type="paragraph" w:customStyle="1" w:styleId="CQLegindent3">
    <w:name w:val="CQLeg indent 3"/>
    <w:basedOn w:val="Normal"/>
    <w:uiPriority w:val="6"/>
    <w:rsid w:val="00E666B8"/>
    <w:pPr>
      <w:ind w:left="3686" w:right="567"/>
    </w:pPr>
    <w:rPr>
      <w:i/>
      <w:color w:val="4D4D4D"/>
    </w:rPr>
  </w:style>
  <w:style w:type="paragraph" w:customStyle="1" w:styleId="CQLegstyle-1">
    <w:name w:val="CQLeg style - (1)"/>
    <w:basedOn w:val="Normal"/>
    <w:uiPriority w:val="6"/>
    <w:rsid w:val="00E666B8"/>
    <w:pPr>
      <w:tabs>
        <w:tab w:val="left" w:pos="2268"/>
      </w:tabs>
      <w:ind w:left="2269" w:right="567" w:hanging="851"/>
    </w:pPr>
    <w:rPr>
      <w:i/>
      <w:color w:val="4D4D4D"/>
    </w:rPr>
  </w:style>
  <w:style w:type="paragraph" w:customStyle="1" w:styleId="CQLegstyle-a">
    <w:name w:val="CQLeg style - (a)"/>
    <w:basedOn w:val="Normal"/>
    <w:uiPriority w:val="6"/>
    <w:rsid w:val="00E666B8"/>
    <w:pPr>
      <w:tabs>
        <w:tab w:val="left" w:pos="2977"/>
      </w:tabs>
      <w:ind w:left="2977" w:right="567" w:hanging="709"/>
    </w:pPr>
    <w:rPr>
      <w:i/>
      <w:color w:val="4D4D4D"/>
    </w:rPr>
  </w:style>
  <w:style w:type="paragraph" w:customStyle="1" w:styleId="CQLegstyle-i">
    <w:name w:val="CQLeg style - (i)"/>
    <w:basedOn w:val="Normal"/>
    <w:uiPriority w:val="6"/>
    <w:rsid w:val="00E666B8"/>
    <w:pPr>
      <w:tabs>
        <w:tab w:val="left" w:pos="3686"/>
      </w:tabs>
      <w:ind w:left="3686" w:right="567" w:hanging="709"/>
    </w:pPr>
    <w:rPr>
      <w:i/>
      <w:color w:val="4D4D4D"/>
    </w:rPr>
  </w:style>
  <w:style w:type="paragraph" w:customStyle="1" w:styleId="CQLegstyle-10">
    <w:name w:val="CQLeg style - 1"/>
    <w:basedOn w:val="Normal"/>
    <w:uiPriority w:val="6"/>
    <w:rsid w:val="00E666B8"/>
    <w:pPr>
      <w:keepNext/>
      <w:tabs>
        <w:tab w:val="left" w:pos="2268"/>
      </w:tabs>
      <w:ind w:left="2269" w:right="567" w:hanging="851"/>
    </w:pPr>
    <w:rPr>
      <w:b/>
      <w:i/>
      <w:color w:val="4D4D4D"/>
    </w:rPr>
  </w:style>
  <w:style w:type="paragraph" w:customStyle="1" w:styleId="BQLegindent1">
    <w:name w:val="BQLeg indent 1"/>
    <w:basedOn w:val="Normal"/>
    <w:uiPriority w:val="6"/>
    <w:rsid w:val="00E666B8"/>
    <w:pPr>
      <w:ind w:left="1418" w:right="567"/>
    </w:pPr>
    <w:rPr>
      <w:i/>
      <w:color w:val="4D4D4D"/>
    </w:rPr>
  </w:style>
  <w:style w:type="paragraph" w:customStyle="1" w:styleId="BQLegindent2">
    <w:name w:val="BQLeg indent 2"/>
    <w:basedOn w:val="Normal"/>
    <w:uiPriority w:val="6"/>
    <w:rsid w:val="00E666B8"/>
    <w:pPr>
      <w:ind w:left="2126" w:right="567"/>
    </w:pPr>
    <w:rPr>
      <w:i/>
      <w:color w:val="4D4D4D"/>
    </w:rPr>
  </w:style>
  <w:style w:type="paragraph" w:customStyle="1" w:styleId="BQLegindent3">
    <w:name w:val="BQLeg indent 3"/>
    <w:basedOn w:val="Normal"/>
    <w:uiPriority w:val="6"/>
    <w:rsid w:val="00E666B8"/>
    <w:pPr>
      <w:ind w:left="2835" w:right="567"/>
    </w:pPr>
    <w:rPr>
      <w:i/>
      <w:color w:val="4D4D4D"/>
    </w:rPr>
  </w:style>
  <w:style w:type="paragraph" w:customStyle="1" w:styleId="BQLegstyle-1">
    <w:name w:val="BQLeg style - (1)"/>
    <w:basedOn w:val="Normal"/>
    <w:uiPriority w:val="6"/>
    <w:rsid w:val="00E666B8"/>
    <w:pPr>
      <w:tabs>
        <w:tab w:val="left" w:pos="1418"/>
      </w:tabs>
      <w:ind w:left="1418" w:right="567" w:hanging="851"/>
    </w:pPr>
    <w:rPr>
      <w:i/>
      <w:color w:val="4D4D4D"/>
    </w:rPr>
  </w:style>
  <w:style w:type="paragraph" w:customStyle="1" w:styleId="BQLegstyle-a">
    <w:name w:val="BQLeg style - (a)"/>
    <w:basedOn w:val="Normal"/>
    <w:uiPriority w:val="6"/>
    <w:rsid w:val="00E666B8"/>
    <w:pPr>
      <w:tabs>
        <w:tab w:val="left" w:pos="2126"/>
      </w:tabs>
      <w:ind w:left="2127" w:right="567" w:hanging="709"/>
    </w:pPr>
    <w:rPr>
      <w:i/>
      <w:color w:val="4D4D4D"/>
    </w:rPr>
  </w:style>
  <w:style w:type="paragraph" w:customStyle="1" w:styleId="BQLegstyle-i">
    <w:name w:val="BQLeg style - (i)"/>
    <w:basedOn w:val="Normal"/>
    <w:uiPriority w:val="6"/>
    <w:rsid w:val="00E666B8"/>
    <w:pPr>
      <w:tabs>
        <w:tab w:val="left" w:pos="2835"/>
      </w:tabs>
      <w:ind w:left="2835" w:right="567" w:hanging="709"/>
    </w:pPr>
    <w:rPr>
      <w:i/>
      <w:color w:val="4D4D4D"/>
    </w:rPr>
  </w:style>
  <w:style w:type="paragraph" w:customStyle="1" w:styleId="BQLegstyle-10">
    <w:name w:val="BQLeg style - 1"/>
    <w:basedOn w:val="Normal"/>
    <w:uiPriority w:val="6"/>
    <w:rsid w:val="00E666B8"/>
    <w:pPr>
      <w:keepNext/>
      <w:tabs>
        <w:tab w:val="left" w:pos="1418"/>
      </w:tabs>
      <w:ind w:left="1418" w:right="567" w:hanging="851"/>
    </w:pPr>
    <w:rPr>
      <w:b/>
      <w:i/>
      <w:color w:val="4D4D4D"/>
    </w:rPr>
  </w:style>
  <w:style w:type="paragraph" w:customStyle="1" w:styleId="ALegindent1">
    <w:name w:val="ALeg indent 1"/>
    <w:basedOn w:val="Normal"/>
    <w:uiPriority w:val="6"/>
    <w:rsid w:val="00E666B8"/>
    <w:pPr>
      <w:ind w:left="851"/>
    </w:pPr>
  </w:style>
  <w:style w:type="paragraph" w:customStyle="1" w:styleId="ALegindent2">
    <w:name w:val="ALeg indent 2"/>
    <w:basedOn w:val="Normal"/>
    <w:uiPriority w:val="6"/>
    <w:rsid w:val="00E666B8"/>
    <w:pPr>
      <w:ind w:left="1559"/>
    </w:pPr>
  </w:style>
  <w:style w:type="paragraph" w:customStyle="1" w:styleId="ALegindent3">
    <w:name w:val="ALeg indent 3"/>
    <w:basedOn w:val="Normal"/>
    <w:uiPriority w:val="6"/>
    <w:rsid w:val="00E666B8"/>
    <w:pPr>
      <w:ind w:left="2268"/>
    </w:pPr>
  </w:style>
  <w:style w:type="paragraph" w:customStyle="1" w:styleId="ALegstyle-1">
    <w:name w:val="ALeg style - (1)"/>
    <w:basedOn w:val="Normal"/>
    <w:uiPriority w:val="6"/>
    <w:rsid w:val="00E666B8"/>
    <w:pPr>
      <w:tabs>
        <w:tab w:val="left" w:pos="851"/>
      </w:tabs>
      <w:ind w:left="851" w:hanging="851"/>
    </w:pPr>
  </w:style>
  <w:style w:type="paragraph" w:customStyle="1" w:styleId="ALegstyle-a">
    <w:name w:val="ALeg style - (a)"/>
    <w:basedOn w:val="Normal"/>
    <w:uiPriority w:val="6"/>
    <w:rsid w:val="00E666B8"/>
    <w:pPr>
      <w:tabs>
        <w:tab w:val="left" w:pos="1559"/>
      </w:tabs>
      <w:ind w:left="1560" w:hanging="709"/>
    </w:pPr>
  </w:style>
  <w:style w:type="paragraph" w:customStyle="1" w:styleId="ALegstyle-i">
    <w:name w:val="ALeg style - (i)"/>
    <w:basedOn w:val="Normal"/>
    <w:uiPriority w:val="6"/>
    <w:rsid w:val="00E666B8"/>
    <w:pPr>
      <w:tabs>
        <w:tab w:val="left" w:pos="2268"/>
      </w:tabs>
      <w:ind w:left="2268" w:hanging="709"/>
    </w:pPr>
  </w:style>
  <w:style w:type="paragraph" w:customStyle="1" w:styleId="ALegstyle-10">
    <w:name w:val="ALeg style - 1"/>
    <w:basedOn w:val="Normal"/>
    <w:uiPriority w:val="6"/>
    <w:rsid w:val="00E666B8"/>
    <w:pPr>
      <w:keepNext/>
      <w:tabs>
        <w:tab w:val="left" w:pos="851"/>
      </w:tabs>
      <w:ind w:left="851" w:hanging="851"/>
    </w:pPr>
    <w:rPr>
      <w:b/>
    </w:rPr>
  </w:style>
  <w:style w:type="paragraph" w:customStyle="1" w:styleId="SQLegindent1">
    <w:name w:val="SQLeg indent 1"/>
    <w:basedOn w:val="Normal"/>
    <w:uiPriority w:val="6"/>
    <w:rsid w:val="00E666B8"/>
    <w:pPr>
      <w:ind w:left="1985" w:right="567"/>
    </w:pPr>
    <w:rPr>
      <w:i/>
      <w:color w:val="4D4D4D"/>
    </w:rPr>
  </w:style>
  <w:style w:type="paragraph" w:customStyle="1" w:styleId="SQLegindent2">
    <w:name w:val="SQLeg indent 2"/>
    <w:basedOn w:val="Normal"/>
    <w:uiPriority w:val="6"/>
    <w:rsid w:val="00E666B8"/>
    <w:pPr>
      <w:ind w:left="2693" w:right="567"/>
    </w:pPr>
    <w:rPr>
      <w:i/>
      <w:color w:val="4D4D4D"/>
    </w:rPr>
  </w:style>
  <w:style w:type="paragraph" w:customStyle="1" w:styleId="SQLegindent3">
    <w:name w:val="SQLeg indent 3"/>
    <w:basedOn w:val="Normal"/>
    <w:uiPriority w:val="6"/>
    <w:rsid w:val="00E666B8"/>
    <w:pPr>
      <w:ind w:left="3402" w:right="567"/>
    </w:pPr>
    <w:rPr>
      <w:i/>
      <w:color w:val="4D4D4D"/>
    </w:rPr>
  </w:style>
  <w:style w:type="paragraph" w:customStyle="1" w:styleId="SQLegstyle-1">
    <w:name w:val="SQLeg style - (1)"/>
    <w:basedOn w:val="Normal"/>
    <w:uiPriority w:val="6"/>
    <w:rsid w:val="00E666B8"/>
    <w:pPr>
      <w:tabs>
        <w:tab w:val="left" w:pos="1985"/>
      </w:tabs>
      <w:ind w:left="1985" w:right="567" w:hanging="851"/>
    </w:pPr>
    <w:rPr>
      <w:i/>
      <w:color w:val="4D4D4D"/>
    </w:rPr>
  </w:style>
  <w:style w:type="paragraph" w:customStyle="1" w:styleId="SQLegstyle-a">
    <w:name w:val="SQLeg style - (a)"/>
    <w:basedOn w:val="Normal"/>
    <w:uiPriority w:val="6"/>
    <w:rsid w:val="00E666B8"/>
    <w:pPr>
      <w:tabs>
        <w:tab w:val="left" w:pos="2693"/>
      </w:tabs>
      <w:ind w:left="2694" w:right="567" w:hanging="709"/>
    </w:pPr>
    <w:rPr>
      <w:i/>
      <w:color w:val="4D4D4D"/>
    </w:rPr>
  </w:style>
  <w:style w:type="paragraph" w:customStyle="1" w:styleId="SQLegstyle-i">
    <w:name w:val="SQLeg style - (i)"/>
    <w:basedOn w:val="Normal"/>
    <w:uiPriority w:val="6"/>
    <w:rsid w:val="00E666B8"/>
    <w:pPr>
      <w:tabs>
        <w:tab w:val="left" w:pos="3402"/>
      </w:tabs>
      <w:ind w:left="3402" w:right="567" w:hanging="709"/>
    </w:pPr>
    <w:rPr>
      <w:i/>
      <w:color w:val="4D4D4D"/>
    </w:rPr>
  </w:style>
  <w:style w:type="paragraph" w:customStyle="1" w:styleId="SQLegstyle-10">
    <w:name w:val="SQLeg style - 1"/>
    <w:basedOn w:val="Normal"/>
    <w:uiPriority w:val="6"/>
    <w:rsid w:val="00E666B8"/>
    <w:pPr>
      <w:keepNext/>
      <w:tabs>
        <w:tab w:val="left" w:pos="1985"/>
      </w:tabs>
      <w:ind w:left="1985" w:right="567" w:hanging="851"/>
    </w:pPr>
    <w:rPr>
      <w:b/>
      <w:i/>
      <w:color w:val="4D4D4D"/>
    </w:rPr>
  </w:style>
  <w:style w:type="character" w:customStyle="1" w:styleId="EmphasisItalics">
    <w:name w:val="Emphasis Italics"/>
    <w:basedOn w:val="DefaultParagraphFont"/>
    <w:uiPriority w:val="2"/>
    <w:rsid w:val="00E666B8"/>
    <w:rPr>
      <w:b/>
      <w:i/>
    </w:rPr>
  </w:style>
  <w:style w:type="paragraph" w:customStyle="1" w:styleId="OIPI-Cover-title2">
    <w:name w:val="OIPI - Cover - title 2"/>
    <w:basedOn w:val="Normal"/>
    <w:uiPriority w:val="98"/>
    <w:rsid w:val="00D16793"/>
    <w:pPr>
      <w:spacing w:before="240" w:line="240" w:lineRule="auto"/>
      <w:contextualSpacing/>
    </w:pPr>
    <w:rPr>
      <w:b/>
      <w:color w:val="FFFFFF" w:themeColor="background1"/>
      <w:sz w:val="34"/>
    </w:rPr>
  </w:style>
  <w:style w:type="paragraph" w:customStyle="1" w:styleId="OIPI-Cover-agencyname">
    <w:name w:val="OIPI - Cover - agency name"/>
    <w:basedOn w:val="Normal"/>
    <w:uiPriority w:val="98"/>
    <w:rsid w:val="00D16793"/>
    <w:pPr>
      <w:spacing w:after="240" w:line="240" w:lineRule="auto"/>
      <w:contextualSpacing/>
    </w:pPr>
    <w:rPr>
      <w:b/>
      <w:color w:val="FFFFFF" w:themeColor="background1"/>
      <w:sz w:val="50"/>
      <w:szCs w:val="50"/>
    </w:rPr>
  </w:style>
  <w:style w:type="paragraph" w:customStyle="1" w:styleId="OIPIpullquote">
    <w:name w:val="OIPI pull quote"/>
    <w:basedOn w:val="Normal"/>
    <w:link w:val="OIPIpullquoteChar"/>
    <w:uiPriority w:val="98"/>
    <w:qFormat/>
    <w:rsid w:val="00AA67CC"/>
    <w:pPr>
      <w:pBdr>
        <w:top w:val="single" w:sz="4" w:space="12" w:color="2BB673" w:themeColor="accent1"/>
        <w:bottom w:val="single" w:sz="4" w:space="12" w:color="2BB673" w:themeColor="accent1"/>
      </w:pBdr>
      <w:spacing w:after="0" w:line="240" w:lineRule="auto"/>
      <w:jc w:val="right"/>
    </w:pPr>
    <w:rPr>
      <w:color w:val="2BB673" w:themeColor="accent1"/>
      <w:sz w:val="28"/>
      <w:szCs w:val="40"/>
    </w:rPr>
  </w:style>
  <w:style w:type="paragraph" w:customStyle="1" w:styleId="OIPI-White-Title">
    <w:name w:val="OIPI - White - Title"/>
    <w:basedOn w:val="Heading2"/>
    <w:link w:val="OIPI-White-TitleChar"/>
    <w:uiPriority w:val="98"/>
    <w:qFormat/>
    <w:rsid w:val="002F1298"/>
    <w:pPr>
      <w:spacing w:before="480"/>
    </w:pPr>
    <w:rPr>
      <w:noProof/>
      <w:color w:val="FFFFFF" w:themeColor="background1"/>
      <w:sz w:val="38"/>
      <w:szCs w:val="38"/>
      <w:lang w:eastAsia="en-NZ"/>
    </w:rPr>
  </w:style>
  <w:style w:type="character" w:customStyle="1" w:styleId="OIPIpullquoteChar">
    <w:name w:val="OIPI pull quote Char"/>
    <w:basedOn w:val="DefaultParagraphFont"/>
    <w:link w:val="OIPIpullquote"/>
    <w:uiPriority w:val="98"/>
    <w:rsid w:val="00AA67CC"/>
    <w:rPr>
      <w:rFonts w:ascii="Calibri" w:hAnsi="Calibri"/>
      <w:color w:val="2BB673" w:themeColor="accent1"/>
      <w:sz w:val="28"/>
      <w:szCs w:val="40"/>
    </w:rPr>
  </w:style>
  <w:style w:type="paragraph" w:customStyle="1" w:styleId="OIPI-White-Heading1">
    <w:name w:val="OIPI - White - Heading 1"/>
    <w:basedOn w:val="Heading4"/>
    <w:link w:val="OIPI-White-Heading1Char"/>
    <w:uiPriority w:val="98"/>
    <w:qFormat/>
    <w:rsid w:val="00574A50"/>
    <w:rPr>
      <w:color w:val="FFFFFF" w:themeColor="background1"/>
      <w:sz w:val="28"/>
    </w:rPr>
  </w:style>
  <w:style w:type="character" w:customStyle="1" w:styleId="OIPI-White-TitleChar">
    <w:name w:val="OIPI - White - Title Char"/>
    <w:basedOn w:val="Heading2Char"/>
    <w:link w:val="OIPI-White-Title"/>
    <w:uiPriority w:val="98"/>
    <w:rsid w:val="002F1298"/>
    <w:rPr>
      <w:rFonts w:ascii="Calibri" w:eastAsiaTheme="majorEastAsia" w:hAnsi="Calibri" w:cstheme="majorBidi"/>
      <w:b/>
      <w:bCs/>
      <w:noProof/>
      <w:color w:val="FFFFFF" w:themeColor="background1"/>
      <w:sz w:val="38"/>
      <w:szCs w:val="38"/>
      <w:lang w:eastAsia="en-NZ"/>
    </w:rPr>
  </w:style>
  <w:style w:type="paragraph" w:customStyle="1" w:styleId="OIPI-White-bodytext">
    <w:name w:val="OIPI - White - body text"/>
    <w:basedOn w:val="BodyText"/>
    <w:link w:val="OIPI-White-bodytextChar"/>
    <w:uiPriority w:val="98"/>
    <w:qFormat/>
    <w:rsid w:val="00574A50"/>
    <w:rPr>
      <w:b/>
      <w:color w:val="FFFFFF" w:themeColor="background1"/>
    </w:rPr>
  </w:style>
  <w:style w:type="character" w:customStyle="1" w:styleId="OIPI-White-Heading1Char">
    <w:name w:val="OIPI - White - Heading 1 Char"/>
    <w:basedOn w:val="Heading4Char"/>
    <w:link w:val="OIPI-White-Heading1"/>
    <w:uiPriority w:val="98"/>
    <w:rsid w:val="00574A50"/>
    <w:rPr>
      <w:rFonts w:ascii="Calibri" w:eastAsiaTheme="majorEastAsia" w:hAnsi="Calibri" w:cstheme="majorBidi"/>
      <w:b/>
      <w:bCs/>
      <w:iCs/>
      <w:color w:val="FFFFFF" w:themeColor="background1"/>
      <w:sz w:val="28"/>
    </w:rPr>
  </w:style>
  <w:style w:type="numbering" w:styleId="111111">
    <w:name w:val="Outline List 2"/>
    <w:basedOn w:val="NoList"/>
    <w:uiPriority w:val="99"/>
    <w:semiHidden/>
    <w:unhideWhenUsed/>
    <w:rsid w:val="00B469D3"/>
    <w:pPr>
      <w:numPr>
        <w:numId w:val="19"/>
      </w:numPr>
    </w:pPr>
  </w:style>
  <w:style w:type="character" w:customStyle="1" w:styleId="OIPI-White-bodytextChar">
    <w:name w:val="OIPI - White - body text Char"/>
    <w:basedOn w:val="BodyTextChar"/>
    <w:link w:val="OIPI-White-bodytext"/>
    <w:uiPriority w:val="98"/>
    <w:rsid w:val="00574A50"/>
    <w:rPr>
      <w:rFonts w:ascii="Calibri" w:hAnsi="Calibri"/>
      <w:b/>
      <w:color w:val="FFFFFF" w:themeColor="background1"/>
      <w:sz w:val="24"/>
    </w:rPr>
  </w:style>
  <w:style w:type="numbering" w:styleId="1ai">
    <w:name w:val="Outline List 1"/>
    <w:basedOn w:val="NoList"/>
    <w:uiPriority w:val="99"/>
    <w:semiHidden/>
    <w:unhideWhenUsed/>
    <w:rsid w:val="00B469D3"/>
    <w:pPr>
      <w:numPr>
        <w:numId w:val="20"/>
      </w:numPr>
    </w:pPr>
  </w:style>
  <w:style w:type="numbering" w:styleId="ArticleSection">
    <w:name w:val="Outline List 3"/>
    <w:basedOn w:val="NoList"/>
    <w:uiPriority w:val="99"/>
    <w:semiHidden/>
    <w:unhideWhenUsed/>
    <w:rsid w:val="00B469D3"/>
    <w:pPr>
      <w:numPr>
        <w:numId w:val="21"/>
      </w:numPr>
    </w:pPr>
  </w:style>
  <w:style w:type="paragraph" w:styleId="BlockText">
    <w:name w:val="Block Text"/>
    <w:basedOn w:val="Normal"/>
    <w:uiPriority w:val="99"/>
    <w:semiHidden/>
    <w:unhideWhenUsed/>
    <w:rsid w:val="00B469D3"/>
    <w:pPr>
      <w:pBdr>
        <w:top w:val="single" w:sz="2" w:space="10" w:color="2BB673" w:themeColor="accent1"/>
        <w:left w:val="single" w:sz="2" w:space="10" w:color="2BB673" w:themeColor="accent1"/>
        <w:bottom w:val="single" w:sz="2" w:space="10" w:color="2BB673" w:themeColor="accent1"/>
        <w:right w:val="single" w:sz="2" w:space="10" w:color="2BB673" w:themeColor="accent1"/>
      </w:pBdr>
      <w:ind w:left="1152" w:right="1152"/>
    </w:pPr>
    <w:rPr>
      <w:rFonts w:asciiTheme="minorHAnsi" w:eastAsiaTheme="minorEastAsia" w:hAnsiTheme="minorHAnsi"/>
      <w:i/>
      <w:iCs/>
      <w:color w:val="2BB673" w:themeColor="accent1"/>
    </w:rPr>
  </w:style>
  <w:style w:type="paragraph" w:styleId="BodyText2">
    <w:name w:val="Body Text 2"/>
    <w:basedOn w:val="Normal"/>
    <w:link w:val="BodyText2Char"/>
    <w:uiPriority w:val="99"/>
    <w:semiHidden/>
    <w:unhideWhenUsed/>
    <w:rsid w:val="00B469D3"/>
    <w:pPr>
      <w:spacing w:after="120" w:line="480" w:lineRule="auto"/>
    </w:pPr>
  </w:style>
  <w:style w:type="character" w:customStyle="1" w:styleId="BodyText2Char">
    <w:name w:val="Body Text 2 Char"/>
    <w:basedOn w:val="DefaultParagraphFont"/>
    <w:link w:val="BodyText2"/>
    <w:uiPriority w:val="99"/>
    <w:semiHidden/>
    <w:rsid w:val="00B469D3"/>
    <w:rPr>
      <w:rFonts w:ascii="Calibri" w:hAnsi="Calibri"/>
      <w:color w:val="1E1E1E"/>
      <w:sz w:val="24"/>
    </w:rPr>
  </w:style>
  <w:style w:type="paragraph" w:styleId="BodyText3">
    <w:name w:val="Body Text 3"/>
    <w:basedOn w:val="Normal"/>
    <w:link w:val="BodyText3Char"/>
    <w:uiPriority w:val="99"/>
    <w:semiHidden/>
    <w:unhideWhenUsed/>
    <w:rsid w:val="00B469D3"/>
    <w:pPr>
      <w:spacing w:after="120"/>
    </w:pPr>
    <w:rPr>
      <w:sz w:val="16"/>
      <w:szCs w:val="16"/>
    </w:rPr>
  </w:style>
  <w:style w:type="character" w:customStyle="1" w:styleId="BodyText3Char">
    <w:name w:val="Body Text 3 Char"/>
    <w:basedOn w:val="DefaultParagraphFont"/>
    <w:link w:val="BodyText3"/>
    <w:uiPriority w:val="99"/>
    <w:semiHidden/>
    <w:rsid w:val="00B469D3"/>
    <w:rPr>
      <w:rFonts w:ascii="Calibri" w:hAnsi="Calibri"/>
      <w:color w:val="1E1E1E"/>
      <w:sz w:val="16"/>
      <w:szCs w:val="16"/>
    </w:rPr>
  </w:style>
  <w:style w:type="paragraph" w:styleId="BodyTextFirstIndent">
    <w:name w:val="Body Text First Indent"/>
    <w:basedOn w:val="BodyText"/>
    <w:link w:val="BodyTextFirstIndentChar"/>
    <w:uiPriority w:val="99"/>
    <w:semiHidden/>
    <w:unhideWhenUsed/>
    <w:rsid w:val="00B469D3"/>
    <w:pPr>
      <w:ind w:firstLine="360"/>
    </w:pPr>
  </w:style>
  <w:style w:type="character" w:customStyle="1" w:styleId="BodyTextFirstIndentChar">
    <w:name w:val="Body Text First Indent Char"/>
    <w:basedOn w:val="BodyTextChar"/>
    <w:link w:val="BodyTextFirstIndent"/>
    <w:uiPriority w:val="99"/>
    <w:semiHidden/>
    <w:rsid w:val="00B469D3"/>
    <w:rPr>
      <w:rFonts w:ascii="Calibri" w:hAnsi="Calibri"/>
      <w:color w:val="1E1E1E"/>
      <w:sz w:val="24"/>
    </w:rPr>
  </w:style>
  <w:style w:type="paragraph" w:styleId="BodyTextIndent">
    <w:name w:val="Body Text Indent"/>
    <w:basedOn w:val="Normal"/>
    <w:link w:val="BodyTextIndentChar"/>
    <w:uiPriority w:val="99"/>
    <w:semiHidden/>
    <w:unhideWhenUsed/>
    <w:rsid w:val="00B469D3"/>
    <w:pPr>
      <w:spacing w:after="120"/>
      <w:ind w:left="283"/>
    </w:pPr>
  </w:style>
  <w:style w:type="character" w:customStyle="1" w:styleId="BodyTextIndentChar">
    <w:name w:val="Body Text Indent Char"/>
    <w:basedOn w:val="DefaultParagraphFont"/>
    <w:link w:val="BodyTextIndent"/>
    <w:uiPriority w:val="99"/>
    <w:semiHidden/>
    <w:rsid w:val="00B469D3"/>
    <w:rPr>
      <w:rFonts w:ascii="Calibri" w:hAnsi="Calibri"/>
      <w:color w:val="1E1E1E"/>
      <w:sz w:val="24"/>
    </w:rPr>
  </w:style>
  <w:style w:type="paragraph" w:styleId="BodyTextFirstIndent2">
    <w:name w:val="Body Text First Indent 2"/>
    <w:basedOn w:val="BodyTextIndent"/>
    <w:link w:val="BodyTextFirstIndent2Char"/>
    <w:uiPriority w:val="99"/>
    <w:semiHidden/>
    <w:unhideWhenUsed/>
    <w:rsid w:val="00B469D3"/>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B469D3"/>
    <w:rPr>
      <w:rFonts w:ascii="Calibri" w:hAnsi="Calibri"/>
      <w:color w:val="1E1E1E"/>
      <w:sz w:val="24"/>
    </w:rPr>
  </w:style>
  <w:style w:type="paragraph" w:styleId="BodyTextIndent2">
    <w:name w:val="Body Text Indent 2"/>
    <w:basedOn w:val="Normal"/>
    <w:link w:val="BodyTextIndent2Char"/>
    <w:uiPriority w:val="99"/>
    <w:semiHidden/>
    <w:unhideWhenUsed/>
    <w:rsid w:val="00B469D3"/>
    <w:pPr>
      <w:spacing w:after="120" w:line="480" w:lineRule="auto"/>
      <w:ind w:left="283"/>
    </w:pPr>
  </w:style>
  <w:style w:type="character" w:customStyle="1" w:styleId="BodyTextIndent2Char">
    <w:name w:val="Body Text Indent 2 Char"/>
    <w:basedOn w:val="DefaultParagraphFont"/>
    <w:link w:val="BodyTextIndent2"/>
    <w:uiPriority w:val="99"/>
    <w:semiHidden/>
    <w:rsid w:val="00B469D3"/>
    <w:rPr>
      <w:rFonts w:ascii="Calibri" w:hAnsi="Calibri"/>
      <w:color w:val="1E1E1E"/>
      <w:sz w:val="24"/>
    </w:rPr>
  </w:style>
  <w:style w:type="paragraph" w:styleId="BodyTextIndent3">
    <w:name w:val="Body Text Indent 3"/>
    <w:basedOn w:val="Normal"/>
    <w:link w:val="BodyTextIndent3Char"/>
    <w:uiPriority w:val="99"/>
    <w:semiHidden/>
    <w:unhideWhenUsed/>
    <w:rsid w:val="00B469D3"/>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469D3"/>
    <w:rPr>
      <w:rFonts w:ascii="Calibri" w:hAnsi="Calibri"/>
      <w:color w:val="1E1E1E"/>
      <w:sz w:val="16"/>
      <w:szCs w:val="16"/>
    </w:rPr>
  </w:style>
  <w:style w:type="character" w:styleId="BookTitle">
    <w:name w:val="Book Title"/>
    <w:basedOn w:val="DefaultParagraphFont"/>
    <w:uiPriority w:val="33"/>
    <w:semiHidden/>
    <w:rsid w:val="00B469D3"/>
    <w:rPr>
      <w:b/>
      <w:bCs/>
      <w:i/>
      <w:iCs/>
      <w:spacing w:val="5"/>
    </w:rPr>
  </w:style>
  <w:style w:type="paragraph" w:styleId="Closing">
    <w:name w:val="Closing"/>
    <w:basedOn w:val="Normal"/>
    <w:link w:val="ClosingChar"/>
    <w:uiPriority w:val="99"/>
    <w:semiHidden/>
    <w:unhideWhenUsed/>
    <w:rsid w:val="00B469D3"/>
    <w:pPr>
      <w:spacing w:after="0" w:line="240" w:lineRule="auto"/>
      <w:ind w:left="4252"/>
    </w:pPr>
  </w:style>
  <w:style w:type="character" w:customStyle="1" w:styleId="ClosingChar">
    <w:name w:val="Closing Char"/>
    <w:basedOn w:val="DefaultParagraphFont"/>
    <w:link w:val="Closing"/>
    <w:uiPriority w:val="99"/>
    <w:semiHidden/>
    <w:rsid w:val="00B469D3"/>
    <w:rPr>
      <w:rFonts w:ascii="Calibri" w:hAnsi="Calibri"/>
      <w:color w:val="1E1E1E"/>
      <w:sz w:val="24"/>
    </w:rPr>
  </w:style>
  <w:style w:type="table" w:styleId="ColourfulGrid">
    <w:name w:val="Colorful Grid"/>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0F4E3" w:themeFill="accent1" w:themeFillTint="33"/>
    </w:tcPr>
    <w:tblStylePr w:type="firstRow">
      <w:rPr>
        <w:b/>
        <w:bCs/>
      </w:rPr>
      <w:tblPr/>
      <w:tcPr>
        <w:shd w:val="clear" w:color="auto" w:fill="A2E9C7" w:themeFill="accent1" w:themeFillTint="66"/>
      </w:tcPr>
    </w:tblStylePr>
    <w:tblStylePr w:type="lastRow">
      <w:rPr>
        <w:b/>
        <w:bCs/>
        <w:color w:val="000000" w:themeColor="text1"/>
      </w:rPr>
      <w:tblPr/>
      <w:tcPr>
        <w:shd w:val="clear" w:color="auto" w:fill="A2E9C7" w:themeFill="accent1" w:themeFillTint="66"/>
      </w:tcPr>
    </w:tblStylePr>
    <w:tblStylePr w:type="firstCol">
      <w:rPr>
        <w:color w:val="FFFFFF" w:themeColor="background1"/>
      </w:rPr>
      <w:tblPr/>
      <w:tcPr>
        <w:shd w:val="clear" w:color="auto" w:fill="208855" w:themeFill="accent1" w:themeFillShade="BF"/>
      </w:tcPr>
    </w:tblStylePr>
    <w:tblStylePr w:type="lastCol">
      <w:rPr>
        <w:color w:val="FFFFFF" w:themeColor="background1"/>
      </w:rPr>
      <w:tblPr/>
      <w:tcPr>
        <w:shd w:val="clear" w:color="auto" w:fill="208855" w:themeFill="accent1" w:themeFillShade="BF"/>
      </w:tc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ColourfulGridAccent2">
    <w:name w:val="Colorful Grid Accent 2"/>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F7C9" w:themeFill="accent2" w:themeFillTint="33"/>
    </w:tcPr>
    <w:tblStylePr w:type="firstRow">
      <w:rPr>
        <w:b/>
        <w:bCs/>
      </w:rPr>
      <w:tblPr/>
      <w:tcPr>
        <w:shd w:val="clear" w:color="auto" w:fill="DCEF94" w:themeFill="accent2" w:themeFillTint="66"/>
      </w:tcPr>
    </w:tblStylePr>
    <w:tblStylePr w:type="lastRow">
      <w:rPr>
        <w:b/>
        <w:bCs/>
        <w:color w:val="000000" w:themeColor="text1"/>
      </w:rPr>
      <w:tblPr/>
      <w:tcPr>
        <w:shd w:val="clear" w:color="auto" w:fill="DCEF94" w:themeFill="accent2" w:themeFillTint="66"/>
      </w:tcPr>
    </w:tblStylePr>
    <w:tblStylePr w:type="firstCol">
      <w:rPr>
        <w:color w:val="FFFFFF" w:themeColor="background1"/>
      </w:rPr>
      <w:tblPr/>
      <w:tcPr>
        <w:shd w:val="clear" w:color="auto" w:fill="6D8613" w:themeFill="accent2" w:themeFillShade="BF"/>
      </w:tcPr>
    </w:tblStylePr>
    <w:tblStylePr w:type="lastCol">
      <w:rPr>
        <w:color w:val="FFFFFF" w:themeColor="background1"/>
      </w:rPr>
      <w:tblPr/>
      <w:tcPr>
        <w:shd w:val="clear" w:color="auto" w:fill="6D8613" w:themeFill="accent2" w:themeFillShade="BF"/>
      </w:tc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ColourfulGridAccent3">
    <w:name w:val="Colorful Grid Accent 3"/>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E1D7" w:themeFill="accent3" w:themeFillTint="33"/>
    </w:tcPr>
    <w:tblStylePr w:type="firstRow">
      <w:rPr>
        <w:b/>
        <w:bCs/>
      </w:rPr>
      <w:tblPr/>
      <w:tcPr>
        <w:shd w:val="clear" w:color="auto" w:fill="F9C3B0" w:themeFill="accent3" w:themeFillTint="66"/>
      </w:tcPr>
    </w:tblStylePr>
    <w:tblStylePr w:type="lastRow">
      <w:rPr>
        <w:b/>
        <w:bCs/>
        <w:color w:val="000000" w:themeColor="text1"/>
      </w:rPr>
      <w:tblPr/>
      <w:tcPr>
        <w:shd w:val="clear" w:color="auto" w:fill="F9C3B0" w:themeFill="accent3" w:themeFillTint="66"/>
      </w:tcPr>
    </w:tblStylePr>
    <w:tblStylePr w:type="firstCol">
      <w:rPr>
        <w:color w:val="FFFFFF" w:themeColor="background1"/>
      </w:rPr>
      <w:tblPr/>
      <w:tcPr>
        <w:shd w:val="clear" w:color="auto" w:fill="CF4110" w:themeFill="accent3" w:themeFillShade="BF"/>
      </w:tcPr>
    </w:tblStylePr>
    <w:tblStylePr w:type="lastCol">
      <w:rPr>
        <w:color w:val="FFFFFF" w:themeColor="background1"/>
      </w:rPr>
      <w:tblPr/>
      <w:tcPr>
        <w:shd w:val="clear" w:color="auto" w:fill="CF4110" w:themeFill="accent3" w:themeFillShade="BF"/>
      </w:tc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ColourfulGridAccent4">
    <w:name w:val="Colorful Grid Accent 4"/>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9DFF4" w:themeFill="accent4" w:themeFillTint="33"/>
    </w:tcPr>
    <w:tblStylePr w:type="firstRow">
      <w:rPr>
        <w:b/>
        <w:bCs/>
      </w:rPr>
      <w:tblPr/>
      <w:tcPr>
        <w:shd w:val="clear" w:color="auto" w:fill="D4BFEA" w:themeFill="accent4" w:themeFillTint="66"/>
      </w:tcPr>
    </w:tblStylePr>
    <w:tblStylePr w:type="lastRow">
      <w:rPr>
        <w:b/>
        <w:bCs/>
        <w:color w:val="000000" w:themeColor="text1"/>
      </w:rPr>
      <w:tblPr/>
      <w:tcPr>
        <w:shd w:val="clear" w:color="auto" w:fill="D4BFEA" w:themeFill="accent4" w:themeFillTint="66"/>
      </w:tcPr>
    </w:tblStylePr>
    <w:tblStylePr w:type="firstCol">
      <w:rPr>
        <w:color w:val="FFFFFF" w:themeColor="background1"/>
      </w:rPr>
      <w:tblPr/>
      <w:tcPr>
        <w:shd w:val="clear" w:color="auto" w:fill="6E37AA" w:themeFill="accent4" w:themeFillShade="BF"/>
      </w:tcPr>
    </w:tblStylePr>
    <w:tblStylePr w:type="lastCol">
      <w:rPr>
        <w:color w:val="FFFFFF" w:themeColor="background1"/>
      </w:rPr>
      <w:tblPr/>
      <w:tcPr>
        <w:shd w:val="clear" w:color="auto" w:fill="6E37AA" w:themeFill="accent4" w:themeFillShade="BF"/>
      </w:tc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ColourfulGridAccent5">
    <w:name w:val="Colorful Grid Accent 5"/>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0F6FF" w:themeFill="accent5" w:themeFillTint="33"/>
    </w:tcPr>
    <w:tblStylePr w:type="firstRow">
      <w:rPr>
        <w:b/>
        <w:bCs/>
      </w:rPr>
      <w:tblPr/>
      <w:tcPr>
        <w:shd w:val="clear" w:color="auto" w:fill="82EEFF" w:themeFill="accent5" w:themeFillTint="66"/>
      </w:tcPr>
    </w:tblStylePr>
    <w:tblStylePr w:type="lastRow">
      <w:rPr>
        <w:b/>
        <w:bCs/>
        <w:color w:val="000000" w:themeColor="text1"/>
      </w:rPr>
      <w:tblPr/>
      <w:tcPr>
        <w:shd w:val="clear" w:color="auto" w:fill="82EEFF" w:themeFill="accent5" w:themeFillTint="66"/>
      </w:tcPr>
    </w:tblStylePr>
    <w:tblStylePr w:type="firstCol">
      <w:rPr>
        <w:color w:val="FFFFFF" w:themeColor="background1"/>
      </w:rPr>
      <w:tblPr/>
      <w:tcPr>
        <w:shd w:val="clear" w:color="auto" w:fill="008094" w:themeFill="accent5" w:themeFillShade="BF"/>
      </w:tcPr>
    </w:tblStylePr>
    <w:tblStylePr w:type="lastCol">
      <w:rPr>
        <w:color w:val="FFFFFF" w:themeColor="background1"/>
      </w:rPr>
      <w:tblPr/>
      <w:tcPr>
        <w:shd w:val="clear" w:color="auto" w:fill="008094" w:themeFill="accent5" w:themeFillShade="BF"/>
      </w:tc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ColourfulGridAccent6">
    <w:name w:val="Colorful Grid Accent 6"/>
    <w:basedOn w:val="TableNormal"/>
    <w:uiPriority w:val="73"/>
    <w:semiHidden/>
    <w:unhideWhenUsed/>
    <w:rsid w:val="00B469D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EE8CD" w:themeFill="accent6" w:themeFillTint="33"/>
    </w:tcPr>
    <w:tblStylePr w:type="firstRow">
      <w:rPr>
        <w:b/>
        <w:bCs/>
      </w:rPr>
      <w:tblPr/>
      <w:tcPr>
        <w:shd w:val="clear" w:color="auto" w:fill="FED19C" w:themeFill="accent6" w:themeFillTint="66"/>
      </w:tcPr>
    </w:tblStylePr>
    <w:tblStylePr w:type="lastRow">
      <w:rPr>
        <w:b/>
        <w:bCs/>
        <w:color w:val="000000" w:themeColor="text1"/>
      </w:rPr>
      <w:tblPr/>
      <w:tcPr>
        <w:shd w:val="clear" w:color="auto" w:fill="FED19C" w:themeFill="accent6" w:themeFillTint="66"/>
      </w:tcPr>
    </w:tblStylePr>
    <w:tblStylePr w:type="firstCol">
      <w:rPr>
        <w:color w:val="FFFFFF" w:themeColor="background1"/>
      </w:rPr>
      <w:tblPr/>
      <w:tcPr>
        <w:shd w:val="clear" w:color="auto" w:fill="C36B01" w:themeFill="accent6" w:themeFillShade="BF"/>
      </w:tcPr>
    </w:tblStylePr>
    <w:tblStylePr w:type="lastCol">
      <w:rPr>
        <w:color w:val="FFFFFF" w:themeColor="background1"/>
      </w:rPr>
      <w:tblPr/>
      <w:tcPr>
        <w:shd w:val="clear" w:color="auto" w:fill="C36B01" w:themeFill="accent6" w:themeFillShade="BF"/>
      </w:tc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ColourfulList">
    <w:name w:val="Colorful List"/>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8F9F1" w:themeFill="accent1"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5F1DC" w:themeFill="accent1" w:themeFillTint="3F"/>
      </w:tcPr>
    </w:tblStylePr>
    <w:tblStylePr w:type="band1Horz">
      <w:tblPr/>
      <w:tcPr>
        <w:shd w:val="clear" w:color="auto" w:fill="D0F4E3" w:themeFill="accent1" w:themeFillTint="33"/>
      </w:tcPr>
    </w:tblStylePr>
  </w:style>
  <w:style w:type="table" w:styleId="ColourfulListAccent2">
    <w:name w:val="Colorful List Accent 2"/>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6FBE4" w:themeFill="accent2" w:themeFillTint="19"/>
    </w:tcPr>
    <w:tblStylePr w:type="firstRow">
      <w:rPr>
        <w:b/>
        <w:bCs/>
        <w:color w:val="FFFFFF" w:themeColor="background1"/>
      </w:rPr>
      <w:tblPr/>
      <w:tcPr>
        <w:tcBorders>
          <w:bottom w:val="single" w:sz="12" w:space="0" w:color="FFFFFF" w:themeColor="background1"/>
        </w:tcBorders>
        <w:shd w:val="clear" w:color="auto" w:fill="758F14" w:themeFill="accent2" w:themeFillShade="CC"/>
      </w:tcPr>
    </w:tblStylePr>
    <w:tblStylePr w:type="lastRow">
      <w:rPr>
        <w:b/>
        <w:bCs/>
        <w:color w:val="758F14"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9F5BD" w:themeFill="accent2" w:themeFillTint="3F"/>
      </w:tcPr>
    </w:tblStylePr>
    <w:tblStylePr w:type="band1Horz">
      <w:tblPr/>
      <w:tcPr>
        <w:shd w:val="clear" w:color="auto" w:fill="EDF7C9" w:themeFill="accent2" w:themeFillTint="33"/>
      </w:tcPr>
    </w:tblStylePr>
  </w:style>
  <w:style w:type="table" w:styleId="ColourfulListAccent3">
    <w:name w:val="Colorful List Accent 3"/>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DF0EB" w:themeFill="accent3" w:themeFillTint="19"/>
    </w:tcPr>
    <w:tblStylePr w:type="firstRow">
      <w:rPr>
        <w:b/>
        <w:bCs/>
        <w:color w:val="FFFFFF" w:themeColor="background1"/>
      </w:rPr>
      <w:tblPr/>
      <w:tcPr>
        <w:tcBorders>
          <w:bottom w:val="single" w:sz="12" w:space="0" w:color="FFFFFF" w:themeColor="background1"/>
        </w:tcBorders>
        <w:shd w:val="clear" w:color="auto" w:fill="763AB5" w:themeFill="accent4" w:themeFillShade="CC"/>
      </w:tcPr>
    </w:tblStylePr>
    <w:tblStylePr w:type="lastRow">
      <w:rPr>
        <w:b/>
        <w:bCs/>
        <w:color w:val="763AB5"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D9CE" w:themeFill="accent3" w:themeFillTint="3F"/>
      </w:tcPr>
    </w:tblStylePr>
    <w:tblStylePr w:type="band1Horz">
      <w:tblPr/>
      <w:tcPr>
        <w:shd w:val="clear" w:color="auto" w:fill="FCE1D7" w:themeFill="accent3" w:themeFillTint="33"/>
      </w:tcPr>
    </w:tblStylePr>
  </w:style>
  <w:style w:type="table" w:styleId="ColourfulListAccent4">
    <w:name w:val="Colorful List Accent 4"/>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4EFFA" w:themeFill="accent4" w:themeFillTint="19"/>
    </w:tcPr>
    <w:tblStylePr w:type="firstRow">
      <w:rPr>
        <w:b/>
        <w:bCs/>
        <w:color w:val="FFFFFF" w:themeColor="background1"/>
      </w:rPr>
      <w:tblPr/>
      <w:tcPr>
        <w:tcBorders>
          <w:bottom w:val="single" w:sz="12" w:space="0" w:color="FFFFFF" w:themeColor="background1"/>
        </w:tcBorders>
        <w:shd w:val="clear" w:color="auto" w:fill="DD4611" w:themeFill="accent3" w:themeFillShade="CC"/>
      </w:tcPr>
    </w:tblStylePr>
    <w:tblStylePr w:type="lastRow">
      <w:rPr>
        <w:b/>
        <w:bCs/>
        <w:color w:val="DD461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4D7F2" w:themeFill="accent4" w:themeFillTint="3F"/>
      </w:tcPr>
    </w:tblStylePr>
    <w:tblStylePr w:type="band1Horz">
      <w:tblPr/>
      <w:tcPr>
        <w:shd w:val="clear" w:color="auto" w:fill="E9DFF4" w:themeFill="accent4" w:themeFillTint="33"/>
      </w:tcPr>
    </w:tblStylePr>
  </w:style>
  <w:style w:type="table" w:styleId="ColourfulListAccent5">
    <w:name w:val="Colorful List Accent 5"/>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E0FBFF" w:themeFill="accent5" w:themeFillTint="19"/>
    </w:tcPr>
    <w:tblStylePr w:type="firstRow">
      <w:rPr>
        <w:b/>
        <w:bCs/>
        <w:color w:val="FFFFFF" w:themeColor="background1"/>
      </w:rPr>
      <w:tblPr/>
      <w:tcPr>
        <w:tcBorders>
          <w:bottom w:val="single" w:sz="12" w:space="0" w:color="FFFFFF" w:themeColor="background1"/>
        </w:tcBorders>
        <w:shd w:val="clear" w:color="auto" w:fill="D07201" w:themeFill="accent6" w:themeFillShade="CC"/>
      </w:tcPr>
    </w:tblStylePr>
    <w:tblStylePr w:type="lastRow">
      <w:rPr>
        <w:b/>
        <w:bCs/>
        <w:color w:val="D0720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1F4FF" w:themeFill="accent5" w:themeFillTint="3F"/>
      </w:tcPr>
    </w:tblStylePr>
    <w:tblStylePr w:type="band1Horz">
      <w:tblPr/>
      <w:tcPr>
        <w:shd w:val="clear" w:color="auto" w:fill="C0F6FF" w:themeFill="accent5" w:themeFillTint="33"/>
      </w:tcPr>
    </w:tblStylePr>
  </w:style>
  <w:style w:type="table" w:styleId="ColourfulListAccent6">
    <w:name w:val="Colorful List Accent 6"/>
    <w:basedOn w:val="TableNormal"/>
    <w:uiPriority w:val="72"/>
    <w:semiHidden/>
    <w:unhideWhenUsed/>
    <w:rsid w:val="00B469D3"/>
    <w:pPr>
      <w:spacing w:after="0" w:line="240" w:lineRule="auto"/>
    </w:pPr>
    <w:rPr>
      <w:color w:val="000000" w:themeColor="text1"/>
    </w:rPr>
    <w:tblPr>
      <w:tblStyleRowBandSize w:val="1"/>
      <w:tblStyleColBandSize w:val="1"/>
    </w:tblPr>
    <w:tcPr>
      <w:shd w:val="clear" w:color="auto" w:fill="FEF3E6" w:themeFill="accent6" w:themeFillTint="19"/>
    </w:tcPr>
    <w:tblStylePr w:type="firstRow">
      <w:rPr>
        <w:b/>
        <w:bCs/>
        <w:color w:val="FFFFFF" w:themeColor="background1"/>
      </w:rPr>
      <w:tblPr/>
      <w:tcPr>
        <w:tcBorders>
          <w:bottom w:val="single" w:sz="12" w:space="0" w:color="FFFFFF" w:themeColor="background1"/>
        </w:tcBorders>
        <w:shd w:val="clear" w:color="auto" w:fill="00899E" w:themeFill="accent5" w:themeFillShade="CC"/>
      </w:tcPr>
    </w:tblStylePr>
    <w:tblStylePr w:type="lastRow">
      <w:rPr>
        <w:b/>
        <w:bCs/>
        <w:color w:val="00899E"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EE3C2" w:themeFill="accent6" w:themeFillTint="3F"/>
      </w:tcPr>
    </w:tblStylePr>
    <w:tblStylePr w:type="band1Horz">
      <w:tblPr/>
      <w:tcPr>
        <w:shd w:val="clear" w:color="auto" w:fill="FEE8CD" w:themeFill="accent6" w:themeFillTint="33"/>
      </w:tcPr>
    </w:tblStylePr>
  </w:style>
  <w:style w:type="table" w:styleId="ColourfulShading">
    <w:name w:val="Colorful Shading"/>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2BB673" w:themeColor="accent1"/>
        <w:bottom w:val="single" w:sz="4" w:space="0" w:color="2BB673" w:themeColor="accent1"/>
        <w:right w:val="single" w:sz="4" w:space="0" w:color="2BB673" w:themeColor="accent1"/>
        <w:insideH w:val="single" w:sz="4" w:space="0" w:color="FFFFFF" w:themeColor="background1"/>
        <w:insideV w:val="single" w:sz="4" w:space="0" w:color="FFFFFF" w:themeColor="background1"/>
      </w:tblBorders>
    </w:tblPr>
    <w:tcPr>
      <w:shd w:val="clear" w:color="auto" w:fill="E8F9F1" w:themeFill="accent1"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6D44" w:themeFill="accent1" w:themeFillShade="99"/>
      </w:tcPr>
    </w:tblStylePr>
    <w:tblStylePr w:type="firstCol">
      <w:rPr>
        <w:color w:val="FFFFFF" w:themeColor="background1"/>
      </w:rPr>
      <w:tblPr/>
      <w:tcPr>
        <w:tcBorders>
          <w:top w:val="nil"/>
          <w:left w:val="nil"/>
          <w:bottom w:val="nil"/>
          <w:right w:val="nil"/>
          <w:insideH w:val="single" w:sz="4" w:space="0" w:color="196D44" w:themeColor="accent1" w:themeShade="99"/>
          <w:insideV w:val="nil"/>
        </w:tcBorders>
        <w:shd w:val="clear" w:color="auto" w:fill="196D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96D44" w:themeFill="accent1" w:themeFillShade="99"/>
      </w:tcPr>
    </w:tblStylePr>
    <w:tblStylePr w:type="band1Vert">
      <w:tblPr/>
      <w:tcPr>
        <w:shd w:val="clear" w:color="auto" w:fill="A2E9C7" w:themeFill="accent1" w:themeFillTint="66"/>
      </w:tcPr>
    </w:tblStylePr>
    <w:tblStylePr w:type="band1Horz">
      <w:tblPr/>
      <w:tcPr>
        <w:shd w:val="clear" w:color="auto" w:fill="8CE4B9"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3B41A" w:themeColor="accent2"/>
        <w:left w:val="single" w:sz="4" w:space="0" w:color="93B41A" w:themeColor="accent2"/>
        <w:bottom w:val="single" w:sz="4" w:space="0" w:color="93B41A" w:themeColor="accent2"/>
        <w:right w:val="single" w:sz="4" w:space="0" w:color="93B41A" w:themeColor="accent2"/>
        <w:insideH w:val="single" w:sz="4" w:space="0" w:color="FFFFFF" w:themeColor="background1"/>
        <w:insideV w:val="single" w:sz="4" w:space="0" w:color="FFFFFF" w:themeColor="background1"/>
      </w:tblBorders>
    </w:tblPr>
    <w:tcPr>
      <w:shd w:val="clear" w:color="auto" w:fill="F6FBE4" w:themeFill="accent2" w:themeFillTint="19"/>
    </w:tcPr>
    <w:tblStylePr w:type="firstRow">
      <w:rPr>
        <w:b/>
        <w:bCs/>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76B0F" w:themeFill="accent2" w:themeFillShade="99"/>
      </w:tcPr>
    </w:tblStylePr>
    <w:tblStylePr w:type="firstCol">
      <w:rPr>
        <w:color w:val="FFFFFF" w:themeColor="background1"/>
      </w:rPr>
      <w:tblPr/>
      <w:tcPr>
        <w:tcBorders>
          <w:top w:val="nil"/>
          <w:left w:val="nil"/>
          <w:bottom w:val="nil"/>
          <w:right w:val="nil"/>
          <w:insideH w:val="single" w:sz="4" w:space="0" w:color="576B0F" w:themeColor="accent2" w:themeShade="99"/>
          <w:insideV w:val="nil"/>
        </w:tcBorders>
        <w:shd w:val="clear" w:color="auto" w:fill="576B0F"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76B0F" w:themeFill="accent2" w:themeFillShade="99"/>
      </w:tcPr>
    </w:tblStylePr>
    <w:tblStylePr w:type="band1Vert">
      <w:tblPr/>
      <w:tcPr>
        <w:shd w:val="clear" w:color="auto" w:fill="DCEF94" w:themeFill="accent2" w:themeFillTint="66"/>
      </w:tcPr>
    </w:tblStylePr>
    <w:tblStylePr w:type="band1Horz">
      <w:tblPr/>
      <w:tcPr>
        <w:shd w:val="clear" w:color="auto" w:fill="D3EB7A"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9561CC" w:themeColor="accent4"/>
        <w:left w:val="single" w:sz="4" w:space="0" w:color="F06A3B" w:themeColor="accent3"/>
        <w:bottom w:val="single" w:sz="4" w:space="0" w:color="F06A3B" w:themeColor="accent3"/>
        <w:right w:val="single" w:sz="4" w:space="0" w:color="F06A3B" w:themeColor="accent3"/>
        <w:insideH w:val="single" w:sz="4" w:space="0" w:color="FFFFFF" w:themeColor="background1"/>
        <w:insideV w:val="single" w:sz="4" w:space="0" w:color="FFFFFF" w:themeColor="background1"/>
      </w:tblBorders>
    </w:tblPr>
    <w:tcPr>
      <w:shd w:val="clear" w:color="auto" w:fill="FDF0EB" w:themeFill="accent3" w:themeFillTint="19"/>
    </w:tcPr>
    <w:tblStylePr w:type="firstRow">
      <w:rPr>
        <w:b/>
        <w:bCs/>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6340C" w:themeFill="accent3" w:themeFillShade="99"/>
      </w:tcPr>
    </w:tblStylePr>
    <w:tblStylePr w:type="firstCol">
      <w:rPr>
        <w:color w:val="FFFFFF" w:themeColor="background1"/>
      </w:rPr>
      <w:tblPr/>
      <w:tcPr>
        <w:tcBorders>
          <w:top w:val="nil"/>
          <w:left w:val="nil"/>
          <w:bottom w:val="nil"/>
          <w:right w:val="nil"/>
          <w:insideH w:val="single" w:sz="4" w:space="0" w:color="A6340C" w:themeColor="accent3" w:themeShade="99"/>
          <w:insideV w:val="nil"/>
        </w:tcBorders>
        <w:shd w:val="clear" w:color="auto" w:fill="A6340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A6340C" w:themeFill="accent3" w:themeFillShade="99"/>
      </w:tcPr>
    </w:tblStylePr>
    <w:tblStylePr w:type="band1Vert">
      <w:tblPr/>
      <w:tcPr>
        <w:shd w:val="clear" w:color="auto" w:fill="F9C3B0" w:themeFill="accent3" w:themeFillTint="66"/>
      </w:tcPr>
    </w:tblStylePr>
    <w:tblStylePr w:type="band1Horz">
      <w:tblPr/>
      <w:tcPr>
        <w:shd w:val="clear" w:color="auto" w:fill="F7B49D" w:themeFill="accent3" w:themeFillTint="7F"/>
      </w:tcPr>
    </w:tblStylePr>
  </w:style>
  <w:style w:type="table" w:styleId="ColourfulShadingAccent4">
    <w:name w:val="Colorful Shading Accent 4"/>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F06A3B" w:themeColor="accent3"/>
        <w:left w:val="single" w:sz="4" w:space="0" w:color="9561CC" w:themeColor="accent4"/>
        <w:bottom w:val="single" w:sz="4" w:space="0" w:color="9561CC" w:themeColor="accent4"/>
        <w:right w:val="single" w:sz="4" w:space="0" w:color="9561CC" w:themeColor="accent4"/>
        <w:insideH w:val="single" w:sz="4" w:space="0" w:color="FFFFFF" w:themeColor="background1"/>
        <w:insideV w:val="single" w:sz="4" w:space="0" w:color="FFFFFF" w:themeColor="background1"/>
      </w:tblBorders>
    </w:tblPr>
    <w:tcPr>
      <w:shd w:val="clear" w:color="auto" w:fill="F4EFFA" w:themeFill="accent4" w:themeFillTint="19"/>
    </w:tcPr>
    <w:tblStylePr w:type="firstRow">
      <w:rPr>
        <w:b/>
        <w:bCs/>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82C88" w:themeFill="accent4" w:themeFillShade="99"/>
      </w:tcPr>
    </w:tblStylePr>
    <w:tblStylePr w:type="firstCol">
      <w:rPr>
        <w:color w:val="FFFFFF" w:themeColor="background1"/>
      </w:rPr>
      <w:tblPr/>
      <w:tcPr>
        <w:tcBorders>
          <w:top w:val="nil"/>
          <w:left w:val="nil"/>
          <w:bottom w:val="nil"/>
          <w:right w:val="nil"/>
          <w:insideH w:val="single" w:sz="4" w:space="0" w:color="582C88" w:themeColor="accent4" w:themeShade="99"/>
          <w:insideV w:val="nil"/>
        </w:tcBorders>
        <w:shd w:val="clear" w:color="auto" w:fill="582C88"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582C88" w:themeFill="accent4" w:themeFillShade="99"/>
      </w:tcPr>
    </w:tblStylePr>
    <w:tblStylePr w:type="band1Vert">
      <w:tblPr/>
      <w:tcPr>
        <w:shd w:val="clear" w:color="auto" w:fill="D4BFEA" w:themeFill="accent4" w:themeFillTint="66"/>
      </w:tcPr>
    </w:tblStylePr>
    <w:tblStylePr w:type="band1Horz">
      <w:tblPr/>
      <w:tcPr>
        <w:shd w:val="clear" w:color="auto" w:fill="C9B0E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FD8F0A" w:themeColor="accent6"/>
        <w:left w:val="single" w:sz="4" w:space="0" w:color="00ADC6" w:themeColor="accent5"/>
        <w:bottom w:val="single" w:sz="4" w:space="0" w:color="00ADC6" w:themeColor="accent5"/>
        <w:right w:val="single" w:sz="4" w:space="0" w:color="00ADC6" w:themeColor="accent5"/>
        <w:insideH w:val="single" w:sz="4" w:space="0" w:color="FFFFFF" w:themeColor="background1"/>
        <w:insideV w:val="single" w:sz="4" w:space="0" w:color="FFFFFF" w:themeColor="background1"/>
      </w:tblBorders>
    </w:tblPr>
    <w:tcPr>
      <w:shd w:val="clear" w:color="auto" w:fill="E0FBFF" w:themeFill="accent5" w:themeFillTint="19"/>
    </w:tcPr>
    <w:tblStylePr w:type="firstRow">
      <w:rPr>
        <w:b/>
        <w:bCs/>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776" w:themeFill="accent5" w:themeFillShade="99"/>
      </w:tcPr>
    </w:tblStylePr>
    <w:tblStylePr w:type="firstCol">
      <w:rPr>
        <w:color w:val="FFFFFF" w:themeColor="background1"/>
      </w:rPr>
      <w:tblPr/>
      <w:tcPr>
        <w:tcBorders>
          <w:top w:val="nil"/>
          <w:left w:val="nil"/>
          <w:bottom w:val="nil"/>
          <w:right w:val="nil"/>
          <w:insideH w:val="single" w:sz="4" w:space="0" w:color="006776" w:themeColor="accent5" w:themeShade="99"/>
          <w:insideV w:val="nil"/>
        </w:tcBorders>
        <w:shd w:val="clear" w:color="auto" w:fill="0067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6776" w:themeFill="accent5" w:themeFillShade="99"/>
      </w:tcPr>
    </w:tblStylePr>
    <w:tblStylePr w:type="band1Vert">
      <w:tblPr/>
      <w:tcPr>
        <w:shd w:val="clear" w:color="auto" w:fill="82EEFF" w:themeFill="accent5" w:themeFillTint="66"/>
      </w:tcPr>
    </w:tblStylePr>
    <w:tblStylePr w:type="band1Horz">
      <w:tblPr/>
      <w:tcPr>
        <w:shd w:val="clear" w:color="auto" w:fill="63EAFF"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B469D3"/>
    <w:pPr>
      <w:spacing w:after="0" w:line="240" w:lineRule="auto"/>
    </w:pPr>
    <w:rPr>
      <w:color w:val="000000" w:themeColor="text1"/>
    </w:rPr>
    <w:tblPr>
      <w:tblStyleRowBandSize w:val="1"/>
      <w:tblStyleColBandSize w:val="1"/>
      <w:tblBorders>
        <w:top w:val="single" w:sz="24" w:space="0" w:color="00ADC6" w:themeColor="accent5"/>
        <w:left w:val="single" w:sz="4" w:space="0" w:color="FD8F0A" w:themeColor="accent6"/>
        <w:bottom w:val="single" w:sz="4" w:space="0" w:color="FD8F0A" w:themeColor="accent6"/>
        <w:right w:val="single" w:sz="4" w:space="0" w:color="FD8F0A" w:themeColor="accent6"/>
        <w:insideH w:val="single" w:sz="4" w:space="0" w:color="FFFFFF" w:themeColor="background1"/>
        <w:insideV w:val="single" w:sz="4" w:space="0" w:color="FFFFFF" w:themeColor="background1"/>
      </w:tblBorders>
    </w:tblPr>
    <w:tcPr>
      <w:shd w:val="clear" w:color="auto" w:fill="FEF3E6" w:themeFill="accent6" w:themeFillTint="19"/>
    </w:tcPr>
    <w:tblStylePr w:type="firstRow">
      <w:rPr>
        <w:b/>
        <w:bCs/>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C5501" w:themeFill="accent6" w:themeFillShade="99"/>
      </w:tcPr>
    </w:tblStylePr>
    <w:tblStylePr w:type="firstCol">
      <w:rPr>
        <w:color w:val="FFFFFF" w:themeColor="background1"/>
      </w:rPr>
      <w:tblPr/>
      <w:tcPr>
        <w:tcBorders>
          <w:top w:val="nil"/>
          <w:left w:val="nil"/>
          <w:bottom w:val="nil"/>
          <w:right w:val="nil"/>
          <w:insideH w:val="single" w:sz="4" w:space="0" w:color="9C5501" w:themeColor="accent6" w:themeShade="99"/>
          <w:insideV w:val="nil"/>
        </w:tcBorders>
        <w:shd w:val="clear" w:color="auto" w:fill="9C5501"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C5501" w:themeFill="accent6" w:themeFillShade="99"/>
      </w:tcPr>
    </w:tblStylePr>
    <w:tblStylePr w:type="band1Vert">
      <w:tblPr/>
      <w:tcPr>
        <w:shd w:val="clear" w:color="auto" w:fill="FED19C" w:themeFill="accent6" w:themeFillTint="66"/>
      </w:tcPr>
    </w:tblStylePr>
    <w:tblStylePr w:type="band1Horz">
      <w:tblPr/>
      <w:tcPr>
        <w:shd w:val="clear" w:color="auto" w:fill="FEC684"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unhideWhenUsed/>
    <w:rsid w:val="00B469D3"/>
    <w:rPr>
      <w:sz w:val="16"/>
      <w:szCs w:val="16"/>
    </w:rPr>
  </w:style>
  <w:style w:type="table" w:styleId="DarkList">
    <w:name w:val="Dark List"/>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2BB67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5A39"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088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08855" w:themeFill="accent1" w:themeFillShade="BF"/>
      </w:tcPr>
    </w:tblStylePr>
    <w:tblStylePr w:type="band1Vert">
      <w:tblPr/>
      <w:tcPr>
        <w:tcBorders>
          <w:top w:val="nil"/>
          <w:left w:val="nil"/>
          <w:bottom w:val="nil"/>
          <w:right w:val="nil"/>
          <w:insideH w:val="nil"/>
          <w:insideV w:val="nil"/>
        </w:tcBorders>
        <w:shd w:val="clear" w:color="auto" w:fill="208855" w:themeFill="accent1" w:themeFillShade="BF"/>
      </w:tcPr>
    </w:tblStylePr>
    <w:tblStylePr w:type="band1Horz">
      <w:tblPr/>
      <w:tcPr>
        <w:tcBorders>
          <w:top w:val="nil"/>
          <w:left w:val="nil"/>
          <w:bottom w:val="nil"/>
          <w:right w:val="nil"/>
          <w:insideH w:val="nil"/>
          <w:insideV w:val="nil"/>
        </w:tcBorders>
        <w:shd w:val="clear" w:color="auto" w:fill="208855" w:themeFill="accent1" w:themeFillShade="BF"/>
      </w:tcPr>
    </w:tblStylePr>
  </w:style>
  <w:style w:type="table" w:styleId="DarkList-Accent2">
    <w:name w:val="Dark List Accent 2"/>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93B41A"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859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6D8613"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6D8613" w:themeFill="accent2" w:themeFillShade="BF"/>
      </w:tcPr>
    </w:tblStylePr>
    <w:tblStylePr w:type="band1Vert">
      <w:tblPr/>
      <w:tcPr>
        <w:tcBorders>
          <w:top w:val="nil"/>
          <w:left w:val="nil"/>
          <w:bottom w:val="nil"/>
          <w:right w:val="nil"/>
          <w:insideH w:val="nil"/>
          <w:insideV w:val="nil"/>
        </w:tcBorders>
        <w:shd w:val="clear" w:color="auto" w:fill="6D8613" w:themeFill="accent2" w:themeFillShade="BF"/>
      </w:tcPr>
    </w:tblStylePr>
    <w:tblStylePr w:type="band1Horz">
      <w:tblPr/>
      <w:tcPr>
        <w:tcBorders>
          <w:top w:val="nil"/>
          <w:left w:val="nil"/>
          <w:bottom w:val="nil"/>
          <w:right w:val="nil"/>
          <w:insideH w:val="nil"/>
          <w:insideV w:val="nil"/>
        </w:tcBorders>
        <w:shd w:val="clear" w:color="auto" w:fill="6D8613" w:themeFill="accent2" w:themeFillShade="BF"/>
      </w:tcPr>
    </w:tblStylePr>
  </w:style>
  <w:style w:type="table" w:styleId="DarkList-Accent3">
    <w:name w:val="Dark List Accent 3"/>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F06A3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A2B0A"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CF411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CF4110" w:themeFill="accent3" w:themeFillShade="BF"/>
      </w:tcPr>
    </w:tblStylePr>
    <w:tblStylePr w:type="band1Vert">
      <w:tblPr/>
      <w:tcPr>
        <w:tcBorders>
          <w:top w:val="nil"/>
          <w:left w:val="nil"/>
          <w:bottom w:val="nil"/>
          <w:right w:val="nil"/>
          <w:insideH w:val="nil"/>
          <w:insideV w:val="nil"/>
        </w:tcBorders>
        <w:shd w:val="clear" w:color="auto" w:fill="CF4110" w:themeFill="accent3" w:themeFillShade="BF"/>
      </w:tcPr>
    </w:tblStylePr>
    <w:tblStylePr w:type="band1Horz">
      <w:tblPr/>
      <w:tcPr>
        <w:tcBorders>
          <w:top w:val="nil"/>
          <w:left w:val="nil"/>
          <w:bottom w:val="nil"/>
          <w:right w:val="nil"/>
          <w:insideH w:val="nil"/>
          <w:insideV w:val="nil"/>
        </w:tcBorders>
        <w:shd w:val="clear" w:color="auto" w:fill="CF4110" w:themeFill="accent3" w:themeFillShade="BF"/>
      </w:tcPr>
    </w:tblStylePr>
  </w:style>
  <w:style w:type="table" w:styleId="DarkList-Accent4">
    <w:name w:val="Dark List Accent 4"/>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9561C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9247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E37A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E37AA" w:themeFill="accent4" w:themeFillShade="BF"/>
      </w:tcPr>
    </w:tblStylePr>
    <w:tblStylePr w:type="band1Vert">
      <w:tblPr/>
      <w:tcPr>
        <w:tcBorders>
          <w:top w:val="nil"/>
          <w:left w:val="nil"/>
          <w:bottom w:val="nil"/>
          <w:right w:val="nil"/>
          <w:insideH w:val="nil"/>
          <w:insideV w:val="nil"/>
        </w:tcBorders>
        <w:shd w:val="clear" w:color="auto" w:fill="6E37AA" w:themeFill="accent4" w:themeFillShade="BF"/>
      </w:tcPr>
    </w:tblStylePr>
    <w:tblStylePr w:type="band1Horz">
      <w:tblPr/>
      <w:tcPr>
        <w:tcBorders>
          <w:top w:val="nil"/>
          <w:left w:val="nil"/>
          <w:bottom w:val="nil"/>
          <w:right w:val="nil"/>
          <w:insideH w:val="nil"/>
          <w:insideV w:val="nil"/>
        </w:tcBorders>
        <w:shd w:val="clear" w:color="auto" w:fill="6E37AA" w:themeFill="accent4" w:themeFillShade="BF"/>
      </w:tcPr>
    </w:tblStylePr>
  </w:style>
  <w:style w:type="table" w:styleId="DarkList-Accent5">
    <w:name w:val="Dark List Accent 5"/>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00AD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55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809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8094" w:themeFill="accent5" w:themeFillShade="BF"/>
      </w:tcPr>
    </w:tblStylePr>
    <w:tblStylePr w:type="band1Vert">
      <w:tblPr/>
      <w:tcPr>
        <w:tcBorders>
          <w:top w:val="nil"/>
          <w:left w:val="nil"/>
          <w:bottom w:val="nil"/>
          <w:right w:val="nil"/>
          <w:insideH w:val="nil"/>
          <w:insideV w:val="nil"/>
        </w:tcBorders>
        <w:shd w:val="clear" w:color="auto" w:fill="008094" w:themeFill="accent5" w:themeFillShade="BF"/>
      </w:tcPr>
    </w:tblStylePr>
    <w:tblStylePr w:type="band1Horz">
      <w:tblPr/>
      <w:tcPr>
        <w:tcBorders>
          <w:top w:val="nil"/>
          <w:left w:val="nil"/>
          <w:bottom w:val="nil"/>
          <w:right w:val="nil"/>
          <w:insideH w:val="nil"/>
          <w:insideV w:val="nil"/>
        </w:tcBorders>
        <w:shd w:val="clear" w:color="auto" w:fill="008094" w:themeFill="accent5" w:themeFillShade="BF"/>
      </w:tcPr>
    </w:tblStylePr>
  </w:style>
  <w:style w:type="table" w:styleId="DarkList-Accent6">
    <w:name w:val="Dark List Accent 6"/>
    <w:basedOn w:val="TableNormal"/>
    <w:uiPriority w:val="70"/>
    <w:semiHidden/>
    <w:unhideWhenUsed/>
    <w:rsid w:val="00B469D3"/>
    <w:pPr>
      <w:spacing w:after="0" w:line="240" w:lineRule="auto"/>
    </w:pPr>
    <w:rPr>
      <w:color w:val="FFFFFF" w:themeColor="background1"/>
    </w:rPr>
    <w:tblPr>
      <w:tblStyleRowBandSize w:val="1"/>
      <w:tblStyleColBandSize w:val="1"/>
    </w:tblPr>
    <w:tcPr>
      <w:shd w:val="clear" w:color="auto" w:fill="FD8F0A"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1470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36B0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36B01" w:themeFill="accent6" w:themeFillShade="BF"/>
      </w:tcPr>
    </w:tblStylePr>
    <w:tblStylePr w:type="band1Vert">
      <w:tblPr/>
      <w:tcPr>
        <w:tcBorders>
          <w:top w:val="nil"/>
          <w:left w:val="nil"/>
          <w:bottom w:val="nil"/>
          <w:right w:val="nil"/>
          <w:insideH w:val="nil"/>
          <w:insideV w:val="nil"/>
        </w:tcBorders>
        <w:shd w:val="clear" w:color="auto" w:fill="C36B01" w:themeFill="accent6" w:themeFillShade="BF"/>
      </w:tcPr>
    </w:tblStylePr>
    <w:tblStylePr w:type="band1Horz">
      <w:tblPr/>
      <w:tcPr>
        <w:tcBorders>
          <w:top w:val="nil"/>
          <w:left w:val="nil"/>
          <w:bottom w:val="nil"/>
          <w:right w:val="nil"/>
          <w:insideH w:val="nil"/>
          <w:insideV w:val="nil"/>
        </w:tcBorders>
        <w:shd w:val="clear" w:color="auto" w:fill="C36B01" w:themeFill="accent6" w:themeFillShade="BF"/>
      </w:tcPr>
    </w:tblStylePr>
  </w:style>
  <w:style w:type="paragraph" w:styleId="DocumentMap">
    <w:name w:val="Document Map"/>
    <w:basedOn w:val="Normal"/>
    <w:link w:val="DocumentMapChar"/>
    <w:uiPriority w:val="99"/>
    <w:semiHidden/>
    <w:unhideWhenUsed/>
    <w:rsid w:val="00B469D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469D3"/>
    <w:rPr>
      <w:rFonts w:ascii="Segoe UI" w:hAnsi="Segoe UI" w:cs="Segoe UI"/>
      <w:color w:val="1E1E1E"/>
      <w:sz w:val="16"/>
      <w:szCs w:val="16"/>
    </w:rPr>
  </w:style>
  <w:style w:type="table" w:styleId="GridTable1Light">
    <w:name w:val="Grid Table 1 Light"/>
    <w:basedOn w:val="TableNormal"/>
    <w:uiPriority w:val="46"/>
    <w:rsid w:val="00B469D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469D3"/>
    <w:pPr>
      <w:spacing w:after="0" w:line="240" w:lineRule="auto"/>
    </w:pPr>
    <w:tblPr>
      <w:tblStyleRowBandSize w:val="1"/>
      <w:tblStyleColBandSize w:val="1"/>
      <w:tblBorders>
        <w:top w:val="single" w:sz="4" w:space="0" w:color="A2E9C7" w:themeColor="accent1" w:themeTint="66"/>
        <w:left w:val="single" w:sz="4" w:space="0" w:color="A2E9C7" w:themeColor="accent1" w:themeTint="66"/>
        <w:bottom w:val="single" w:sz="4" w:space="0" w:color="A2E9C7" w:themeColor="accent1" w:themeTint="66"/>
        <w:right w:val="single" w:sz="4" w:space="0" w:color="A2E9C7" w:themeColor="accent1" w:themeTint="66"/>
        <w:insideH w:val="single" w:sz="4" w:space="0" w:color="A2E9C7" w:themeColor="accent1" w:themeTint="66"/>
        <w:insideV w:val="single" w:sz="4" w:space="0" w:color="A2E9C7" w:themeColor="accent1" w:themeTint="66"/>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2" w:space="0" w:color="74DEA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B469D3"/>
    <w:pPr>
      <w:spacing w:after="0" w:line="240" w:lineRule="auto"/>
    </w:pPr>
    <w:tblPr>
      <w:tblStyleRowBandSize w:val="1"/>
      <w:tblStyleColBandSize w:val="1"/>
      <w:tblBorders>
        <w:top w:val="single" w:sz="4" w:space="0" w:color="DCEF94" w:themeColor="accent2" w:themeTint="66"/>
        <w:left w:val="single" w:sz="4" w:space="0" w:color="DCEF94" w:themeColor="accent2" w:themeTint="66"/>
        <w:bottom w:val="single" w:sz="4" w:space="0" w:color="DCEF94" w:themeColor="accent2" w:themeTint="66"/>
        <w:right w:val="single" w:sz="4" w:space="0" w:color="DCEF94" w:themeColor="accent2" w:themeTint="66"/>
        <w:insideH w:val="single" w:sz="4" w:space="0" w:color="DCEF94" w:themeColor="accent2" w:themeTint="66"/>
        <w:insideV w:val="single" w:sz="4" w:space="0" w:color="DCEF94" w:themeColor="accent2" w:themeTint="66"/>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2" w:space="0" w:color="CAE85F"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B469D3"/>
    <w:pPr>
      <w:spacing w:after="0" w:line="240" w:lineRule="auto"/>
    </w:pPr>
    <w:tblPr>
      <w:tblStyleRowBandSize w:val="1"/>
      <w:tblStyleColBandSize w:val="1"/>
      <w:tblBorders>
        <w:top w:val="single" w:sz="4" w:space="0" w:color="F9C3B0" w:themeColor="accent3" w:themeTint="66"/>
        <w:left w:val="single" w:sz="4" w:space="0" w:color="F9C3B0" w:themeColor="accent3" w:themeTint="66"/>
        <w:bottom w:val="single" w:sz="4" w:space="0" w:color="F9C3B0" w:themeColor="accent3" w:themeTint="66"/>
        <w:right w:val="single" w:sz="4" w:space="0" w:color="F9C3B0" w:themeColor="accent3" w:themeTint="66"/>
        <w:insideH w:val="single" w:sz="4" w:space="0" w:color="F9C3B0" w:themeColor="accent3" w:themeTint="66"/>
        <w:insideV w:val="single" w:sz="4" w:space="0" w:color="F9C3B0" w:themeColor="accent3" w:themeTint="66"/>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2" w:space="0" w:color="F6A58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B469D3"/>
    <w:pPr>
      <w:spacing w:after="0" w:line="240" w:lineRule="auto"/>
    </w:pPr>
    <w:tblPr>
      <w:tblStyleRowBandSize w:val="1"/>
      <w:tblStyleColBandSize w:val="1"/>
      <w:tblBorders>
        <w:top w:val="single" w:sz="4" w:space="0" w:color="D4BFEA" w:themeColor="accent4" w:themeTint="66"/>
        <w:left w:val="single" w:sz="4" w:space="0" w:color="D4BFEA" w:themeColor="accent4" w:themeTint="66"/>
        <w:bottom w:val="single" w:sz="4" w:space="0" w:color="D4BFEA" w:themeColor="accent4" w:themeTint="66"/>
        <w:right w:val="single" w:sz="4" w:space="0" w:color="D4BFEA" w:themeColor="accent4" w:themeTint="66"/>
        <w:insideH w:val="single" w:sz="4" w:space="0" w:color="D4BFEA" w:themeColor="accent4" w:themeTint="66"/>
        <w:insideV w:val="single" w:sz="4" w:space="0" w:color="D4BFEA" w:themeColor="accent4" w:themeTint="66"/>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2" w:space="0" w:color="BFA0E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B469D3"/>
    <w:pPr>
      <w:spacing w:after="0" w:line="240" w:lineRule="auto"/>
    </w:pPr>
    <w:tblPr>
      <w:tblStyleRowBandSize w:val="1"/>
      <w:tblStyleColBandSize w:val="1"/>
      <w:tblBorders>
        <w:top w:val="single" w:sz="4" w:space="0" w:color="82EEFF" w:themeColor="accent5" w:themeTint="66"/>
        <w:left w:val="single" w:sz="4" w:space="0" w:color="82EEFF" w:themeColor="accent5" w:themeTint="66"/>
        <w:bottom w:val="single" w:sz="4" w:space="0" w:color="82EEFF" w:themeColor="accent5" w:themeTint="66"/>
        <w:right w:val="single" w:sz="4" w:space="0" w:color="82EEFF" w:themeColor="accent5" w:themeTint="66"/>
        <w:insideH w:val="single" w:sz="4" w:space="0" w:color="82EEFF" w:themeColor="accent5" w:themeTint="66"/>
        <w:insideV w:val="single" w:sz="4" w:space="0" w:color="82EEFF" w:themeColor="accent5" w:themeTint="66"/>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2" w:space="0" w:color="43E6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B469D3"/>
    <w:pPr>
      <w:spacing w:after="0" w:line="240" w:lineRule="auto"/>
    </w:pPr>
    <w:tblPr>
      <w:tblStyleRowBandSize w:val="1"/>
      <w:tblStyleColBandSize w:val="1"/>
      <w:tblBorders>
        <w:top w:val="single" w:sz="4" w:space="0" w:color="FED19C" w:themeColor="accent6" w:themeTint="66"/>
        <w:left w:val="single" w:sz="4" w:space="0" w:color="FED19C" w:themeColor="accent6" w:themeTint="66"/>
        <w:bottom w:val="single" w:sz="4" w:space="0" w:color="FED19C" w:themeColor="accent6" w:themeTint="66"/>
        <w:right w:val="single" w:sz="4" w:space="0" w:color="FED19C" w:themeColor="accent6" w:themeTint="66"/>
        <w:insideH w:val="single" w:sz="4" w:space="0" w:color="FED19C" w:themeColor="accent6" w:themeTint="66"/>
        <w:insideV w:val="single" w:sz="4" w:space="0" w:color="FED19C" w:themeColor="accent6" w:themeTint="66"/>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2" w:space="0" w:color="FDBB6B"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B469D3"/>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B469D3"/>
    <w:pPr>
      <w:spacing w:after="0" w:line="240" w:lineRule="auto"/>
    </w:pPr>
    <w:tblPr>
      <w:tblStyleRowBandSize w:val="1"/>
      <w:tblStyleColBandSize w:val="1"/>
      <w:tblBorders>
        <w:top w:val="single" w:sz="2" w:space="0" w:color="74DEAB" w:themeColor="accent1" w:themeTint="99"/>
        <w:bottom w:val="single" w:sz="2" w:space="0" w:color="74DEAB" w:themeColor="accent1" w:themeTint="99"/>
        <w:insideH w:val="single" w:sz="2" w:space="0" w:color="74DEAB" w:themeColor="accent1" w:themeTint="99"/>
        <w:insideV w:val="single" w:sz="2" w:space="0" w:color="74DEAB" w:themeColor="accent1" w:themeTint="99"/>
      </w:tblBorders>
    </w:tblPr>
    <w:tblStylePr w:type="firstRow">
      <w:rPr>
        <w:b/>
        <w:bCs/>
      </w:rPr>
      <w:tblPr/>
      <w:tcPr>
        <w:tcBorders>
          <w:top w:val="nil"/>
          <w:bottom w:val="single" w:sz="12" w:space="0" w:color="74DEAB" w:themeColor="accent1" w:themeTint="99"/>
          <w:insideH w:val="nil"/>
          <w:insideV w:val="nil"/>
        </w:tcBorders>
        <w:shd w:val="clear" w:color="auto" w:fill="FFFFFF" w:themeFill="background1"/>
      </w:tcPr>
    </w:tblStylePr>
    <w:tblStylePr w:type="lastRow">
      <w:rPr>
        <w:b/>
        <w:bCs/>
      </w:rPr>
      <w:tblPr/>
      <w:tcPr>
        <w:tcBorders>
          <w:top w:val="double" w:sz="2" w:space="0" w:color="74DEA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2-Accent2">
    <w:name w:val="Grid Table 2 Accent 2"/>
    <w:basedOn w:val="TableNormal"/>
    <w:uiPriority w:val="47"/>
    <w:rsid w:val="00B469D3"/>
    <w:pPr>
      <w:spacing w:after="0" w:line="240" w:lineRule="auto"/>
    </w:pPr>
    <w:tblPr>
      <w:tblStyleRowBandSize w:val="1"/>
      <w:tblStyleColBandSize w:val="1"/>
      <w:tblBorders>
        <w:top w:val="single" w:sz="2" w:space="0" w:color="CAE85F" w:themeColor="accent2" w:themeTint="99"/>
        <w:bottom w:val="single" w:sz="2" w:space="0" w:color="CAE85F" w:themeColor="accent2" w:themeTint="99"/>
        <w:insideH w:val="single" w:sz="2" w:space="0" w:color="CAE85F" w:themeColor="accent2" w:themeTint="99"/>
        <w:insideV w:val="single" w:sz="2" w:space="0" w:color="CAE85F" w:themeColor="accent2" w:themeTint="99"/>
      </w:tblBorders>
    </w:tblPr>
    <w:tblStylePr w:type="firstRow">
      <w:rPr>
        <w:b/>
        <w:bCs/>
      </w:rPr>
      <w:tblPr/>
      <w:tcPr>
        <w:tcBorders>
          <w:top w:val="nil"/>
          <w:bottom w:val="single" w:sz="12" w:space="0" w:color="CAE85F" w:themeColor="accent2" w:themeTint="99"/>
          <w:insideH w:val="nil"/>
          <w:insideV w:val="nil"/>
        </w:tcBorders>
        <w:shd w:val="clear" w:color="auto" w:fill="FFFFFF" w:themeFill="background1"/>
      </w:tcPr>
    </w:tblStylePr>
    <w:tblStylePr w:type="lastRow">
      <w:rPr>
        <w:b/>
        <w:bCs/>
      </w:rPr>
      <w:tblPr/>
      <w:tcPr>
        <w:tcBorders>
          <w:top w:val="double" w:sz="2" w:space="0" w:color="CAE85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2-Accent3">
    <w:name w:val="Grid Table 2 Accent 3"/>
    <w:basedOn w:val="TableNormal"/>
    <w:uiPriority w:val="47"/>
    <w:rsid w:val="00B469D3"/>
    <w:pPr>
      <w:spacing w:after="0" w:line="240" w:lineRule="auto"/>
    </w:pPr>
    <w:tblPr>
      <w:tblStyleRowBandSize w:val="1"/>
      <w:tblStyleColBandSize w:val="1"/>
      <w:tblBorders>
        <w:top w:val="single" w:sz="2" w:space="0" w:color="F6A589" w:themeColor="accent3" w:themeTint="99"/>
        <w:bottom w:val="single" w:sz="2" w:space="0" w:color="F6A589" w:themeColor="accent3" w:themeTint="99"/>
        <w:insideH w:val="single" w:sz="2" w:space="0" w:color="F6A589" w:themeColor="accent3" w:themeTint="99"/>
        <w:insideV w:val="single" w:sz="2" w:space="0" w:color="F6A589" w:themeColor="accent3" w:themeTint="99"/>
      </w:tblBorders>
    </w:tblPr>
    <w:tblStylePr w:type="firstRow">
      <w:rPr>
        <w:b/>
        <w:bCs/>
      </w:rPr>
      <w:tblPr/>
      <w:tcPr>
        <w:tcBorders>
          <w:top w:val="nil"/>
          <w:bottom w:val="single" w:sz="12" w:space="0" w:color="F6A589" w:themeColor="accent3" w:themeTint="99"/>
          <w:insideH w:val="nil"/>
          <w:insideV w:val="nil"/>
        </w:tcBorders>
        <w:shd w:val="clear" w:color="auto" w:fill="FFFFFF" w:themeFill="background1"/>
      </w:tcPr>
    </w:tblStylePr>
    <w:tblStylePr w:type="lastRow">
      <w:rPr>
        <w:b/>
        <w:bCs/>
      </w:rPr>
      <w:tblPr/>
      <w:tcPr>
        <w:tcBorders>
          <w:top w:val="double" w:sz="2" w:space="0" w:color="F6A58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2-Accent4">
    <w:name w:val="Grid Table 2 Accent 4"/>
    <w:basedOn w:val="TableNormal"/>
    <w:uiPriority w:val="47"/>
    <w:rsid w:val="00B469D3"/>
    <w:pPr>
      <w:spacing w:after="0" w:line="240" w:lineRule="auto"/>
    </w:pPr>
    <w:tblPr>
      <w:tblStyleRowBandSize w:val="1"/>
      <w:tblStyleColBandSize w:val="1"/>
      <w:tblBorders>
        <w:top w:val="single" w:sz="2" w:space="0" w:color="BFA0E0" w:themeColor="accent4" w:themeTint="99"/>
        <w:bottom w:val="single" w:sz="2" w:space="0" w:color="BFA0E0" w:themeColor="accent4" w:themeTint="99"/>
        <w:insideH w:val="single" w:sz="2" w:space="0" w:color="BFA0E0" w:themeColor="accent4" w:themeTint="99"/>
        <w:insideV w:val="single" w:sz="2" w:space="0" w:color="BFA0E0" w:themeColor="accent4" w:themeTint="99"/>
      </w:tblBorders>
    </w:tblPr>
    <w:tblStylePr w:type="firstRow">
      <w:rPr>
        <w:b/>
        <w:bCs/>
      </w:rPr>
      <w:tblPr/>
      <w:tcPr>
        <w:tcBorders>
          <w:top w:val="nil"/>
          <w:bottom w:val="single" w:sz="12" w:space="0" w:color="BFA0E0" w:themeColor="accent4" w:themeTint="99"/>
          <w:insideH w:val="nil"/>
          <w:insideV w:val="nil"/>
        </w:tcBorders>
        <w:shd w:val="clear" w:color="auto" w:fill="FFFFFF" w:themeFill="background1"/>
      </w:tcPr>
    </w:tblStylePr>
    <w:tblStylePr w:type="lastRow">
      <w:rPr>
        <w:b/>
        <w:bCs/>
      </w:rPr>
      <w:tblPr/>
      <w:tcPr>
        <w:tcBorders>
          <w:top w:val="double" w:sz="2" w:space="0" w:color="BFA0E0"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2-Accent5">
    <w:name w:val="Grid Table 2 Accent 5"/>
    <w:basedOn w:val="TableNormal"/>
    <w:uiPriority w:val="47"/>
    <w:rsid w:val="00B469D3"/>
    <w:pPr>
      <w:spacing w:after="0" w:line="240" w:lineRule="auto"/>
    </w:pPr>
    <w:tblPr>
      <w:tblStyleRowBandSize w:val="1"/>
      <w:tblStyleColBandSize w:val="1"/>
      <w:tblBorders>
        <w:top w:val="single" w:sz="2" w:space="0" w:color="43E6FF" w:themeColor="accent5" w:themeTint="99"/>
        <w:bottom w:val="single" w:sz="2" w:space="0" w:color="43E6FF" w:themeColor="accent5" w:themeTint="99"/>
        <w:insideH w:val="single" w:sz="2" w:space="0" w:color="43E6FF" w:themeColor="accent5" w:themeTint="99"/>
        <w:insideV w:val="single" w:sz="2" w:space="0" w:color="43E6FF" w:themeColor="accent5" w:themeTint="99"/>
      </w:tblBorders>
    </w:tblPr>
    <w:tblStylePr w:type="firstRow">
      <w:rPr>
        <w:b/>
        <w:bCs/>
      </w:rPr>
      <w:tblPr/>
      <w:tcPr>
        <w:tcBorders>
          <w:top w:val="nil"/>
          <w:bottom w:val="single" w:sz="12" w:space="0" w:color="43E6FF" w:themeColor="accent5" w:themeTint="99"/>
          <w:insideH w:val="nil"/>
          <w:insideV w:val="nil"/>
        </w:tcBorders>
        <w:shd w:val="clear" w:color="auto" w:fill="FFFFFF" w:themeFill="background1"/>
      </w:tcPr>
    </w:tblStylePr>
    <w:tblStylePr w:type="lastRow">
      <w:rPr>
        <w:b/>
        <w:bCs/>
      </w:rPr>
      <w:tblPr/>
      <w:tcPr>
        <w:tcBorders>
          <w:top w:val="double" w:sz="2" w:space="0" w:color="43E6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2-Accent6">
    <w:name w:val="Grid Table 2 Accent 6"/>
    <w:basedOn w:val="TableNormal"/>
    <w:uiPriority w:val="47"/>
    <w:rsid w:val="00B469D3"/>
    <w:pPr>
      <w:spacing w:after="0" w:line="240" w:lineRule="auto"/>
    </w:pPr>
    <w:tblPr>
      <w:tblStyleRowBandSize w:val="1"/>
      <w:tblStyleColBandSize w:val="1"/>
      <w:tblBorders>
        <w:top w:val="single" w:sz="2" w:space="0" w:color="FDBB6B" w:themeColor="accent6" w:themeTint="99"/>
        <w:bottom w:val="single" w:sz="2" w:space="0" w:color="FDBB6B" w:themeColor="accent6" w:themeTint="99"/>
        <w:insideH w:val="single" w:sz="2" w:space="0" w:color="FDBB6B" w:themeColor="accent6" w:themeTint="99"/>
        <w:insideV w:val="single" w:sz="2" w:space="0" w:color="FDBB6B" w:themeColor="accent6" w:themeTint="99"/>
      </w:tblBorders>
    </w:tblPr>
    <w:tblStylePr w:type="firstRow">
      <w:rPr>
        <w:b/>
        <w:bCs/>
      </w:rPr>
      <w:tblPr/>
      <w:tcPr>
        <w:tcBorders>
          <w:top w:val="nil"/>
          <w:bottom w:val="single" w:sz="12" w:space="0" w:color="FDBB6B" w:themeColor="accent6" w:themeTint="99"/>
          <w:insideH w:val="nil"/>
          <w:insideV w:val="nil"/>
        </w:tcBorders>
        <w:shd w:val="clear" w:color="auto" w:fill="FFFFFF" w:themeFill="background1"/>
      </w:tcPr>
    </w:tblStylePr>
    <w:tblStylePr w:type="lastRow">
      <w:rPr>
        <w:b/>
        <w:bCs/>
      </w:rPr>
      <w:tblPr/>
      <w:tcPr>
        <w:tcBorders>
          <w:top w:val="double" w:sz="2" w:space="0" w:color="FDBB6B"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3">
    <w:name w:val="Grid Table 3"/>
    <w:basedOn w:val="TableNormal"/>
    <w:uiPriority w:val="48"/>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3-Accent2">
    <w:name w:val="Grid Table 3 Accent 2"/>
    <w:basedOn w:val="TableNormal"/>
    <w:uiPriority w:val="48"/>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3-Accent3">
    <w:name w:val="Grid Table 3 Accent 3"/>
    <w:basedOn w:val="TableNormal"/>
    <w:uiPriority w:val="48"/>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3-Accent4">
    <w:name w:val="Grid Table 3 Accent 4"/>
    <w:basedOn w:val="TableNormal"/>
    <w:uiPriority w:val="48"/>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3-Accent5">
    <w:name w:val="Grid Table 3 Accent 5"/>
    <w:basedOn w:val="TableNormal"/>
    <w:uiPriority w:val="48"/>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3-Accent6">
    <w:name w:val="Grid Table 3 Accent 6"/>
    <w:basedOn w:val="TableNormal"/>
    <w:uiPriority w:val="48"/>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table" w:styleId="GridTable4">
    <w:name w:val="Grid Table 4"/>
    <w:basedOn w:val="TableNormal"/>
    <w:uiPriority w:val="49"/>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insideV w:val="nil"/>
        </w:tcBorders>
        <w:shd w:val="clear" w:color="auto" w:fill="2BB673" w:themeFill="accent1"/>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4-Accent2">
    <w:name w:val="Grid Table 4 Accent 2"/>
    <w:basedOn w:val="TableNormal"/>
    <w:uiPriority w:val="49"/>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insideV w:val="nil"/>
        </w:tcBorders>
        <w:shd w:val="clear" w:color="auto" w:fill="93B41A" w:themeFill="accent2"/>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4-Accent3">
    <w:name w:val="Grid Table 4 Accent 3"/>
    <w:basedOn w:val="TableNormal"/>
    <w:uiPriority w:val="49"/>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insideV w:val="nil"/>
        </w:tcBorders>
        <w:shd w:val="clear" w:color="auto" w:fill="F06A3B" w:themeFill="accent3"/>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4-Accent4">
    <w:name w:val="Grid Table 4 Accent 4"/>
    <w:basedOn w:val="TableNormal"/>
    <w:uiPriority w:val="49"/>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insideV w:val="nil"/>
        </w:tcBorders>
        <w:shd w:val="clear" w:color="auto" w:fill="9561CC" w:themeFill="accent4"/>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4-Accent5">
    <w:name w:val="Grid Table 4 Accent 5"/>
    <w:basedOn w:val="TableNormal"/>
    <w:uiPriority w:val="49"/>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insideV w:val="nil"/>
        </w:tcBorders>
        <w:shd w:val="clear" w:color="auto" w:fill="00ADC6" w:themeFill="accent5"/>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4-Accent6">
    <w:name w:val="Grid Table 4 Accent 6"/>
    <w:basedOn w:val="TableNormal"/>
    <w:uiPriority w:val="49"/>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insideV w:val="nil"/>
        </w:tcBorders>
        <w:shd w:val="clear" w:color="auto" w:fill="FD8F0A" w:themeFill="accent6"/>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5Dark">
    <w:name w:val="Grid Table 5 Dark"/>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0F4E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B67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B67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B67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B673" w:themeFill="accent1"/>
      </w:tcPr>
    </w:tblStylePr>
    <w:tblStylePr w:type="band1Vert">
      <w:tblPr/>
      <w:tcPr>
        <w:shd w:val="clear" w:color="auto" w:fill="A2E9C7" w:themeFill="accent1" w:themeFillTint="66"/>
      </w:tcPr>
    </w:tblStylePr>
    <w:tblStylePr w:type="band1Horz">
      <w:tblPr/>
      <w:tcPr>
        <w:shd w:val="clear" w:color="auto" w:fill="A2E9C7" w:themeFill="accent1" w:themeFillTint="66"/>
      </w:tcPr>
    </w:tblStylePr>
  </w:style>
  <w:style w:type="table" w:styleId="GridTable5Dark-Accent2">
    <w:name w:val="Grid Table 5 Dark Accent 2"/>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F7C9"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3B41A"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3B41A"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3B41A"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3B41A" w:themeFill="accent2"/>
      </w:tcPr>
    </w:tblStylePr>
    <w:tblStylePr w:type="band1Vert">
      <w:tblPr/>
      <w:tcPr>
        <w:shd w:val="clear" w:color="auto" w:fill="DCEF94" w:themeFill="accent2" w:themeFillTint="66"/>
      </w:tcPr>
    </w:tblStylePr>
    <w:tblStylePr w:type="band1Horz">
      <w:tblPr/>
      <w:tcPr>
        <w:shd w:val="clear" w:color="auto" w:fill="DCEF94" w:themeFill="accent2" w:themeFillTint="66"/>
      </w:tcPr>
    </w:tblStylePr>
  </w:style>
  <w:style w:type="table" w:styleId="GridTable5Dark-Accent3">
    <w:name w:val="Grid Table 5 Dark Accent 3"/>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E1D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6A3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6A3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6A3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6A3B" w:themeFill="accent3"/>
      </w:tcPr>
    </w:tblStylePr>
    <w:tblStylePr w:type="band1Vert">
      <w:tblPr/>
      <w:tcPr>
        <w:shd w:val="clear" w:color="auto" w:fill="F9C3B0" w:themeFill="accent3" w:themeFillTint="66"/>
      </w:tcPr>
    </w:tblStylePr>
    <w:tblStylePr w:type="band1Horz">
      <w:tblPr/>
      <w:tcPr>
        <w:shd w:val="clear" w:color="auto" w:fill="F9C3B0" w:themeFill="accent3" w:themeFillTint="66"/>
      </w:tcPr>
    </w:tblStylePr>
  </w:style>
  <w:style w:type="table" w:styleId="GridTable5Dark-Accent4">
    <w:name w:val="Grid Table 5 Dark Accent 4"/>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9DF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561C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561C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561C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561CC" w:themeFill="accent4"/>
      </w:tcPr>
    </w:tblStylePr>
    <w:tblStylePr w:type="band1Vert">
      <w:tblPr/>
      <w:tcPr>
        <w:shd w:val="clear" w:color="auto" w:fill="D4BFEA" w:themeFill="accent4" w:themeFillTint="66"/>
      </w:tcPr>
    </w:tblStylePr>
    <w:tblStylePr w:type="band1Horz">
      <w:tblPr/>
      <w:tcPr>
        <w:shd w:val="clear" w:color="auto" w:fill="D4BFEA" w:themeFill="accent4" w:themeFillTint="66"/>
      </w:tcPr>
    </w:tblStylePr>
  </w:style>
  <w:style w:type="table" w:styleId="GridTable5Dark-Accent5">
    <w:name w:val="Grid Table 5 Dark Accent 5"/>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0F6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AD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AD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AD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ADC6" w:themeFill="accent5"/>
      </w:tcPr>
    </w:tblStylePr>
    <w:tblStylePr w:type="band1Vert">
      <w:tblPr/>
      <w:tcPr>
        <w:shd w:val="clear" w:color="auto" w:fill="82EEFF" w:themeFill="accent5" w:themeFillTint="66"/>
      </w:tcPr>
    </w:tblStylePr>
    <w:tblStylePr w:type="band1Horz">
      <w:tblPr/>
      <w:tcPr>
        <w:shd w:val="clear" w:color="auto" w:fill="82EEFF" w:themeFill="accent5" w:themeFillTint="66"/>
      </w:tcPr>
    </w:tblStylePr>
  </w:style>
  <w:style w:type="table" w:styleId="GridTable5Dark-Accent6">
    <w:name w:val="Grid Table 5 Dark Accent 6"/>
    <w:basedOn w:val="TableNormal"/>
    <w:uiPriority w:val="50"/>
    <w:rsid w:val="00B469D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EE8CD"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D8F0A"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D8F0A"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D8F0A"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D8F0A" w:themeFill="accent6"/>
      </w:tcPr>
    </w:tblStylePr>
    <w:tblStylePr w:type="band1Vert">
      <w:tblPr/>
      <w:tcPr>
        <w:shd w:val="clear" w:color="auto" w:fill="FED19C" w:themeFill="accent6" w:themeFillTint="66"/>
      </w:tcPr>
    </w:tblStylePr>
    <w:tblStylePr w:type="band1Horz">
      <w:tblPr/>
      <w:tcPr>
        <w:shd w:val="clear" w:color="auto" w:fill="FED19C" w:themeFill="accent6" w:themeFillTint="66"/>
      </w:tcPr>
    </w:tblStylePr>
  </w:style>
  <w:style w:type="table" w:styleId="GridTable6Colourful">
    <w:name w:val="Grid Table 6 Colorful"/>
    <w:basedOn w:val="TableNormal"/>
    <w:uiPriority w:val="51"/>
    <w:rsid w:val="00B469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urfulAccent1">
    <w:name w:val="Grid Table 6 Colorful Accent 1"/>
    <w:basedOn w:val="TableNormal"/>
    <w:uiPriority w:val="51"/>
    <w:rsid w:val="00B469D3"/>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bottom w:val="single" w:sz="12" w:space="0" w:color="74DEAB" w:themeColor="accent1" w:themeTint="99"/>
        </w:tcBorders>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GridTable6ColourfulAccent2">
    <w:name w:val="Grid Table 6 Colorful Accent 2"/>
    <w:basedOn w:val="TableNormal"/>
    <w:uiPriority w:val="51"/>
    <w:rsid w:val="00B469D3"/>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bottom w:val="single" w:sz="12" w:space="0" w:color="CAE85F" w:themeColor="accent2" w:themeTint="99"/>
        </w:tcBorders>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GridTable6ColourfulAccent3">
    <w:name w:val="Grid Table 6 Colorful Accent 3"/>
    <w:basedOn w:val="TableNormal"/>
    <w:uiPriority w:val="51"/>
    <w:rsid w:val="00B469D3"/>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bottom w:val="single" w:sz="12" w:space="0" w:color="F6A589" w:themeColor="accent3" w:themeTint="99"/>
        </w:tcBorders>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GridTable6ColourfulAccent4">
    <w:name w:val="Grid Table 6 Colorful Accent 4"/>
    <w:basedOn w:val="TableNormal"/>
    <w:uiPriority w:val="51"/>
    <w:rsid w:val="00B469D3"/>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bottom w:val="single" w:sz="12" w:space="0" w:color="BFA0E0" w:themeColor="accent4" w:themeTint="99"/>
        </w:tcBorders>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GridTable6ColourfulAccent5">
    <w:name w:val="Grid Table 6 Colorful Accent 5"/>
    <w:basedOn w:val="TableNormal"/>
    <w:uiPriority w:val="51"/>
    <w:rsid w:val="00B469D3"/>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bottom w:val="single" w:sz="12" w:space="0" w:color="43E6FF" w:themeColor="accent5" w:themeTint="99"/>
        </w:tcBorders>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GridTable6ColourfulAccent6">
    <w:name w:val="Grid Table 6 Colorful Accent 6"/>
    <w:basedOn w:val="TableNormal"/>
    <w:uiPriority w:val="51"/>
    <w:rsid w:val="00B469D3"/>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bottom w:val="single" w:sz="12" w:space="0" w:color="FDBB6B" w:themeColor="accent6" w:themeTint="99"/>
        </w:tcBorders>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GridTable7Colourful">
    <w:name w:val="Grid Table 7 Colorful"/>
    <w:basedOn w:val="TableNormal"/>
    <w:uiPriority w:val="52"/>
    <w:rsid w:val="00B469D3"/>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urfulAccent1">
    <w:name w:val="Grid Table 7 Colorful Accent 1"/>
    <w:basedOn w:val="TableNormal"/>
    <w:uiPriority w:val="52"/>
    <w:rsid w:val="00B469D3"/>
    <w:pPr>
      <w:spacing w:after="0" w:line="240" w:lineRule="auto"/>
    </w:pPr>
    <w:rPr>
      <w:color w:val="208855" w:themeColor="accent1" w:themeShade="BF"/>
    </w:r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insideV w:val="single" w:sz="4" w:space="0" w:color="74DEA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bottom w:val="single" w:sz="4" w:space="0" w:color="74DEAB" w:themeColor="accent1" w:themeTint="99"/>
        </w:tcBorders>
      </w:tcPr>
    </w:tblStylePr>
    <w:tblStylePr w:type="nwCell">
      <w:tblPr/>
      <w:tcPr>
        <w:tcBorders>
          <w:bottom w:val="single" w:sz="4" w:space="0" w:color="74DEAB" w:themeColor="accent1" w:themeTint="99"/>
        </w:tcBorders>
      </w:tcPr>
    </w:tblStylePr>
    <w:tblStylePr w:type="seCell">
      <w:tblPr/>
      <w:tcPr>
        <w:tcBorders>
          <w:top w:val="single" w:sz="4" w:space="0" w:color="74DEAB" w:themeColor="accent1" w:themeTint="99"/>
        </w:tcBorders>
      </w:tcPr>
    </w:tblStylePr>
    <w:tblStylePr w:type="swCell">
      <w:tblPr/>
      <w:tcPr>
        <w:tcBorders>
          <w:top w:val="single" w:sz="4" w:space="0" w:color="74DEAB" w:themeColor="accent1" w:themeTint="99"/>
        </w:tcBorders>
      </w:tcPr>
    </w:tblStylePr>
  </w:style>
  <w:style w:type="table" w:styleId="GridTable7ColourfulAccent2">
    <w:name w:val="Grid Table 7 Colorful Accent 2"/>
    <w:basedOn w:val="TableNormal"/>
    <w:uiPriority w:val="52"/>
    <w:rsid w:val="00B469D3"/>
    <w:pPr>
      <w:spacing w:after="0" w:line="240" w:lineRule="auto"/>
    </w:pPr>
    <w:rPr>
      <w:color w:val="6D8613" w:themeColor="accent2" w:themeShade="BF"/>
    </w:r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insideV w:val="single" w:sz="4" w:space="0" w:color="CAE85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bottom w:val="single" w:sz="4" w:space="0" w:color="CAE85F" w:themeColor="accent2" w:themeTint="99"/>
        </w:tcBorders>
      </w:tcPr>
    </w:tblStylePr>
    <w:tblStylePr w:type="nwCell">
      <w:tblPr/>
      <w:tcPr>
        <w:tcBorders>
          <w:bottom w:val="single" w:sz="4" w:space="0" w:color="CAE85F" w:themeColor="accent2" w:themeTint="99"/>
        </w:tcBorders>
      </w:tcPr>
    </w:tblStylePr>
    <w:tblStylePr w:type="seCell">
      <w:tblPr/>
      <w:tcPr>
        <w:tcBorders>
          <w:top w:val="single" w:sz="4" w:space="0" w:color="CAE85F" w:themeColor="accent2" w:themeTint="99"/>
        </w:tcBorders>
      </w:tcPr>
    </w:tblStylePr>
    <w:tblStylePr w:type="swCell">
      <w:tblPr/>
      <w:tcPr>
        <w:tcBorders>
          <w:top w:val="single" w:sz="4" w:space="0" w:color="CAE85F" w:themeColor="accent2" w:themeTint="99"/>
        </w:tcBorders>
      </w:tcPr>
    </w:tblStylePr>
  </w:style>
  <w:style w:type="table" w:styleId="GridTable7ColourfulAccent3">
    <w:name w:val="Grid Table 7 Colorful Accent 3"/>
    <w:basedOn w:val="TableNormal"/>
    <w:uiPriority w:val="52"/>
    <w:rsid w:val="00B469D3"/>
    <w:pPr>
      <w:spacing w:after="0" w:line="240" w:lineRule="auto"/>
    </w:pPr>
    <w:rPr>
      <w:color w:val="CF4110" w:themeColor="accent3" w:themeShade="BF"/>
    </w:r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insideV w:val="single" w:sz="4" w:space="0" w:color="F6A58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bottom w:val="single" w:sz="4" w:space="0" w:color="F6A589" w:themeColor="accent3" w:themeTint="99"/>
        </w:tcBorders>
      </w:tcPr>
    </w:tblStylePr>
    <w:tblStylePr w:type="nwCell">
      <w:tblPr/>
      <w:tcPr>
        <w:tcBorders>
          <w:bottom w:val="single" w:sz="4" w:space="0" w:color="F6A589" w:themeColor="accent3" w:themeTint="99"/>
        </w:tcBorders>
      </w:tcPr>
    </w:tblStylePr>
    <w:tblStylePr w:type="seCell">
      <w:tblPr/>
      <w:tcPr>
        <w:tcBorders>
          <w:top w:val="single" w:sz="4" w:space="0" w:color="F6A589" w:themeColor="accent3" w:themeTint="99"/>
        </w:tcBorders>
      </w:tcPr>
    </w:tblStylePr>
    <w:tblStylePr w:type="swCell">
      <w:tblPr/>
      <w:tcPr>
        <w:tcBorders>
          <w:top w:val="single" w:sz="4" w:space="0" w:color="F6A589" w:themeColor="accent3" w:themeTint="99"/>
        </w:tcBorders>
      </w:tcPr>
    </w:tblStylePr>
  </w:style>
  <w:style w:type="table" w:styleId="GridTable7ColourfulAccent4">
    <w:name w:val="Grid Table 7 Colorful Accent 4"/>
    <w:basedOn w:val="TableNormal"/>
    <w:uiPriority w:val="52"/>
    <w:rsid w:val="00B469D3"/>
    <w:pPr>
      <w:spacing w:after="0" w:line="240" w:lineRule="auto"/>
    </w:pPr>
    <w:rPr>
      <w:color w:val="6E37AA" w:themeColor="accent4" w:themeShade="BF"/>
    </w:r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insideV w:val="single" w:sz="4" w:space="0" w:color="BFA0E0"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bottom w:val="single" w:sz="4" w:space="0" w:color="BFA0E0" w:themeColor="accent4" w:themeTint="99"/>
        </w:tcBorders>
      </w:tcPr>
    </w:tblStylePr>
    <w:tblStylePr w:type="nwCell">
      <w:tblPr/>
      <w:tcPr>
        <w:tcBorders>
          <w:bottom w:val="single" w:sz="4" w:space="0" w:color="BFA0E0" w:themeColor="accent4" w:themeTint="99"/>
        </w:tcBorders>
      </w:tcPr>
    </w:tblStylePr>
    <w:tblStylePr w:type="seCell">
      <w:tblPr/>
      <w:tcPr>
        <w:tcBorders>
          <w:top w:val="single" w:sz="4" w:space="0" w:color="BFA0E0" w:themeColor="accent4" w:themeTint="99"/>
        </w:tcBorders>
      </w:tcPr>
    </w:tblStylePr>
    <w:tblStylePr w:type="swCell">
      <w:tblPr/>
      <w:tcPr>
        <w:tcBorders>
          <w:top w:val="single" w:sz="4" w:space="0" w:color="BFA0E0" w:themeColor="accent4" w:themeTint="99"/>
        </w:tcBorders>
      </w:tcPr>
    </w:tblStylePr>
  </w:style>
  <w:style w:type="table" w:styleId="GridTable7ColourfulAccent5">
    <w:name w:val="Grid Table 7 Colorful Accent 5"/>
    <w:basedOn w:val="TableNormal"/>
    <w:uiPriority w:val="52"/>
    <w:rsid w:val="00B469D3"/>
    <w:pPr>
      <w:spacing w:after="0" w:line="240" w:lineRule="auto"/>
    </w:pPr>
    <w:rPr>
      <w:color w:val="008094" w:themeColor="accent5" w:themeShade="BF"/>
    </w:r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insideV w:val="single" w:sz="4" w:space="0" w:color="43E6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bottom w:val="single" w:sz="4" w:space="0" w:color="43E6FF" w:themeColor="accent5" w:themeTint="99"/>
        </w:tcBorders>
      </w:tcPr>
    </w:tblStylePr>
    <w:tblStylePr w:type="nwCell">
      <w:tblPr/>
      <w:tcPr>
        <w:tcBorders>
          <w:bottom w:val="single" w:sz="4" w:space="0" w:color="43E6FF" w:themeColor="accent5" w:themeTint="99"/>
        </w:tcBorders>
      </w:tcPr>
    </w:tblStylePr>
    <w:tblStylePr w:type="seCell">
      <w:tblPr/>
      <w:tcPr>
        <w:tcBorders>
          <w:top w:val="single" w:sz="4" w:space="0" w:color="43E6FF" w:themeColor="accent5" w:themeTint="99"/>
        </w:tcBorders>
      </w:tcPr>
    </w:tblStylePr>
    <w:tblStylePr w:type="swCell">
      <w:tblPr/>
      <w:tcPr>
        <w:tcBorders>
          <w:top w:val="single" w:sz="4" w:space="0" w:color="43E6FF" w:themeColor="accent5" w:themeTint="99"/>
        </w:tcBorders>
      </w:tcPr>
    </w:tblStylePr>
  </w:style>
  <w:style w:type="table" w:styleId="GridTable7ColourfulAccent6">
    <w:name w:val="Grid Table 7 Colorful Accent 6"/>
    <w:basedOn w:val="TableNormal"/>
    <w:uiPriority w:val="52"/>
    <w:rsid w:val="00B469D3"/>
    <w:pPr>
      <w:spacing w:after="0" w:line="240" w:lineRule="auto"/>
    </w:pPr>
    <w:rPr>
      <w:color w:val="C36B01" w:themeColor="accent6" w:themeShade="BF"/>
    </w:r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insideV w:val="single" w:sz="4" w:space="0" w:color="FDBB6B"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bottom w:val="single" w:sz="4" w:space="0" w:color="FDBB6B" w:themeColor="accent6" w:themeTint="99"/>
        </w:tcBorders>
      </w:tcPr>
    </w:tblStylePr>
    <w:tblStylePr w:type="nwCell">
      <w:tblPr/>
      <w:tcPr>
        <w:tcBorders>
          <w:bottom w:val="single" w:sz="4" w:space="0" w:color="FDBB6B" w:themeColor="accent6" w:themeTint="99"/>
        </w:tcBorders>
      </w:tcPr>
    </w:tblStylePr>
    <w:tblStylePr w:type="seCell">
      <w:tblPr/>
      <w:tcPr>
        <w:tcBorders>
          <w:top w:val="single" w:sz="4" w:space="0" w:color="FDBB6B" w:themeColor="accent6" w:themeTint="99"/>
        </w:tcBorders>
      </w:tcPr>
    </w:tblStylePr>
    <w:tblStylePr w:type="swCell">
      <w:tblPr/>
      <w:tcPr>
        <w:tcBorders>
          <w:top w:val="single" w:sz="4" w:space="0" w:color="FDBB6B" w:themeColor="accent6" w:themeTint="99"/>
        </w:tcBorders>
      </w:tcPr>
    </w:tblStylePr>
  </w:style>
  <w:style w:type="character" w:styleId="HTMLAcronym">
    <w:name w:val="HTML Acronym"/>
    <w:basedOn w:val="DefaultParagraphFont"/>
    <w:uiPriority w:val="99"/>
    <w:semiHidden/>
    <w:unhideWhenUsed/>
    <w:rsid w:val="00B469D3"/>
  </w:style>
  <w:style w:type="character" w:styleId="HTMLCite">
    <w:name w:val="HTML Cite"/>
    <w:basedOn w:val="DefaultParagraphFont"/>
    <w:uiPriority w:val="99"/>
    <w:semiHidden/>
    <w:unhideWhenUsed/>
    <w:rsid w:val="00B469D3"/>
    <w:rPr>
      <w:i/>
      <w:iCs/>
    </w:rPr>
  </w:style>
  <w:style w:type="character" w:styleId="HTMLCode">
    <w:name w:val="HTML Code"/>
    <w:basedOn w:val="DefaultParagraphFont"/>
    <w:uiPriority w:val="99"/>
    <w:semiHidden/>
    <w:unhideWhenUsed/>
    <w:rsid w:val="00B469D3"/>
    <w:rPr>
      <w:rFonts w:ascii="Consolas" w:hAnsi="Consolas"/>
      <w:sz w:val="20"/>
      <w:szCs w:val="20"/>
    </w:rPr>
  </w:style>
  <w:style w:type="character" w:styleId="HTMLDefinition">
    <w:name w:val="HTML Definition"/>
    <w:basedOn w:val="DefaultParagraphFont"/>
    <w:uiPriority w:val="99"/>
    <w:semiHidden/>
    <w:unhideWhenUsed/>
    <w:rsid w:val="00B469D3"/>
    <w:rPr>
      <w:i/>
      <w:iCs/>
    </w:rPr>
  </w:style>
  <w:style w:type="character" w:styleId="HTMLKeyboard">
    <w:name w:val="HTML Keyboard"/>
    <w:basedOn w:val="DefaultParagraphFont"/>
    <w:uiPriority w:val="99"/>
    <w:semiHidden/>
    <w:unhideWhenUsed/>
    <w:rsid w:val="00B469D3"/>
    <w:rPr>
      <w:rFonts w:ascii="Consolas" w:hAnsi="Consolas"/>
      <w:sz w:val="20"/>
      <w:szCs w:val="20"/>
    </w:rPr>
  </w:style>
  <w:style w:type="character" w:styleId="HTMLSample">
    <w:name w:val="HTML Sample"/>
    <w:basedOn w:val="DefaultParagraphFont"/>
    <w:uiPriority w:val="99"/>
    <w:semiHidden/>
    <w:unhideWhenUsed/>
    <w:rsid w:val="00B469D3"/>
    <w:rPr>
      <w:rFonts w:ascii="Consolas" w:hAnsi="Consolas"/>
      <w:sz w:val="24"/>
      <w:szCs w:val="24"/>
    </w:rPr>
  </w:style>
  <w:style w:type="character" w:styleId="HTMLTypewriter">
    <w:name w:val="HTML Typewriter"/>
    <w:basedOn w:val="DefaultParagraphFont"/>
    <w:uiPriority w:val="99"/>
    <w:semiHidden/>
    <w:unhideWhenUsed/>
    <w:rsid w:val="00B469D3"/>
    <w:rPr>
      <w:rFonts w:ascii="Consolas" w:hAnsi="Consolas"/>
      <w:sz w:val="20"/>
      <w:szCs w:val="20"/>
    </w:rPr>
  </w:style>
  <w:style w:type="character" w:styleId="HTMLVariable">
    <w:name w:val="HTML Variable"/>
    <w:basedOn w:val="DefaultParagraphFont"/>
    <w:uiPriority w:val="99"/>
    <w:semiHidden/>
    <w:unhideWhenUsed/>
    <w:rsid w:val="00B469D3"/>
    <w:rPr>
      <w:i/>
      <w:iCs/>
    </w:rPr>
  </w:style>
  <w:style w:type="character" w:styleId="IntenseEmphasis">
    <w:name w:val="Intense Emphasis"/>
    <w:basedOn w:val="DefaultParagraphFont"/>
    <w:uiPriority w:val="21"/>
    <w:semiHidden/>
    <w:rsid w:val="00B469D3"/>
    <w:rPr>
      <w:i/>
      <w:iCs/>
      <w:color w:val="2BB673" w:themeColor="accent1"/>
    </w:rPr>
  </w:style>
  <w:style w:type="paragraph" w:styleId="IntenseQuote">
    <w:name w:val="Intense Quote"/>
    <w:basedOn w:val="Normal"/>
    <w:next w:val="Normal"/>
    <w:link w:val="IntenseQuoteChar"/>
    <w:uiPriority w:val="30"/>
    <w:semiHidden/>
    <w:rsid w:val="00B469D3"/>
    <w:pPr>
      <w:pBdr>
        <w:top w:val="single" w:sz="4" w:space="10" w:color="2BB673" w:themeColor="accent1"/>
        <w:bottom w:val="single" w:sz="4" w:space="10" w:color="2BB673" w:themeColor="accent1"/>
      </w:pBdr>
      <w:spacing w:before="360" w:after="360"/>
      <w:ind w:left="864" w:right="864"/>
      <w:jc w:val="center"/>
    </w:pPr>
    <w:rPr>
      <w:i/>
      <w:iCs/>
      <w:color w:val="2BB673" w:themeColor="accent1"/>
    </w:rPr>
  </w:style>
  <w:style w:type="character" w:customStyle="1" w:styleId="IntenseQuoteChar">
    <w:name w:val="Intense Quote Char"/>
    <w:basedOn w:val="DefaultParagraphFont"/>
    <w:link w:val="IntenseQuote"/>
    <w:uiPriority w:val="30"/>
    <w:semiHidden/>
    <w:rsid w:val="00B469D3"/>
    <w:rPr>
      <w:rFonts w:ascii="Calibri" w:hAnsi="Calibri"/>
      <w:i/>
      <w:iCs/>
      <w:color w:val="2BB673" w:themeColor="accent1"/>
      <w:sz w:val="24"/>
    </w:rPr>
  </w:style>
  <w:style w:type="character" w:styleId="IntenseReference">
    <w:name w:val="Intense Reference"/>
    <w:basedOn w:val="DefaultParagraphFont"/>
    <w:uiPriority w:val="32"/>
    <w:semiHidden/>
    <w:rsid w:val="00B469D3"/>
    <w:rPr>
      <w:b/>
      <w:bCs/>
      <w:smallCaps/>
      <w:color w:val="2BB673" w:themeColor="accent1"/>
      <w:spacing w:val="5"/>
    </w:rPr>
  </w:style>
  <w:style w:type="table" w:styleId="LightGrid">
    <w:name w:val="Light Grid"/>
    <w:basedOn w:val="TableNormal"/>
    <w:uiPriority w:val="62"/>
    <w:semiHidden/>
    <w:unhideWhenUsed/>
    <w:rsid w:val="00B469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B469D3"/>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18" w:space="0" w:color="2BB673" w:themeColor="accent1"/>
          <w:right w:val="single" w:sz="8" w:space="0" w:color="2BB673" w:themeColor="accent1"/>
          <w:insideH w:val="nil"/>
          <w:insideV w:val="single" w:sz="8" w:space="0" w:color="2BB67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insideH w:val="nil"/>
          <w:insideV w:val="single" w:sz="8" w:space="0" w:color="2BB67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shd w:val="clear" w:color="auto" w:fill="C5F1DC" w:themeFill="accent1" w:themeFillTint="3F"/>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shd w:val="clear" w:color="auto" w:fill="C5F1DC" w:themeFill="accent1" w:themeFillTint="3F"/>
      </w:tcPr>
    </w:tblStylePr>
    <w:tblStylePr w:type="band2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insideV w:val="single" w:sz="8" w:space="0" w:color="2BB673" w:themeColor="accent1"/>
        </w:tcBorders>
      </w:tcPr>
    </w:tblStylePr>
  </w:style>
  <w:style w:type="table" w:styleId="LightGrid-Accent2">
    <w:name w:val="Light Grid Accent 2"/>
    <w:basedOn w:val="TableNormal"/>
    <w:uiPriority w:val="62"/>
    <w:semiHidden/>
    <w:unhideWhenUsed/>
    <w:rsid w:val="00B469D3"/>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18" w:space="0" w:color="93B41A" w:themeColor="accent2"/>
          <w:right w:val="single" w:sz="8" w:space="0" w:color="93B41A" w:themeColor="accent2"/>
          <w:insideH w:val="nil"/>
          <w:insideV w:val="single" w:sz="8" w:space="0" w:color="93B41A"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insideH w:val="nil"/>
          <w:insideV w:val="single" w:sz="8" w:space="0" w:color="93B41A"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shd w:val="clear" w:color="auto" w:fill="E9F5BD" w:themeFill="accent2" w:themeFillTint="3F"/>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shd w:val="clear" w:color="auto" w:fill="E9F5BD" w:themeFill="accent2" w:themeFillTint="3F"/>
      </w:tcPr>
    </w:tblStylePr>
    <w:tblStylePr w:type="band2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insideV w:val="single" w:sz="8" w:space="0" w:color="93B41A" w:themeColor="accent2"/>
        </w:tcBorders>
      </w:tcPr>
    </w:tblStylePr>
  </w:style>
  <w:style w:type="table" w:styleId="LightGrid-Accent3">
    <w:name w:val="Light Grid Accent 3"/>
    <w:basedOn w:val="TableNormal"/>
    <w:uiPriority w:val="62"/>
    <w:semiHidden/>
    <w:unhideWhenUsed/>
    <w:rsid w:val="00B469D3"/>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18" w:space="0" w:color="F06A3B" w:themeColor="accent3"/>
          <w:right w:val="single" w:sz="8" w:space="0" w:color="F06A3B" w:themeColor="accent3"/>
          <w:insideH w:val="nil"/>
          <w:insideV w:val="single" w:sz="8" w:space="0" w:color="F06A3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insideH w:val="nil"/>
          <w:insideV w:val="single" w:sz="8" w:space="0" w:color="F06A3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shd w:val="clear" w:color="auto" w:fill="FBD9CE" w:themeFill="accent3" w:themeFillTint="3F"/>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shd w:val="clear" w:color="auto" w:fill="FBD9CE" w:themeFill="accent3" w:themeFillTint="3F"/>
      </w:tcPr>
    </w:tblStylePr>
    <w:tblStylePr w:type="band2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insideV w:val="single" w:sz="8" w:space="0" w:color="F06A3B" w:themeColor="accent3"/>
        </w:tcBorders>
      </w:tcPr>
    </w:tblStylePr>
  </w:style>
  <w:style w:type="table" w:styleId="LightGrid-Accent4">
    <w:name w:val="Light Grid Accent 4"/>
    <w:basedOn w:val="TableNormal"/>
    <w:uiPriority w:val="62"/>
    <w:semiHidden/>
    <w:unhideWhenUsed/>
    <w:rsid w:val="00B469D3"/>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18" w:space="0" w:color="9561CC" w:themeColor="accent4"/>
          <w:right w:val="single" w:sz="8" w:space="0" w:color="9561CC" w:themeColor="accent4"/>
          <w:insideH w:val="nil"/>
          <w:insideV w:val="single" w:sz="8" w:space="0" w:color="9561C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insideH w:val="nil"/>
          <w:insideV w:val="single" w:sz="8" w:space="0" w:color="9561C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shd w:val="clear" w:color="auto" w:fill="E4D7F2" w:themeFill="accent4" w:themeFillTint="3F"/>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shd w:val="clear" w:color="auto" w:fill="E4D7F2" w:themeFill="accent4" w:themeFillTint="3F"/>
      </w:tcPr>
    </w:tblStylePr>
    <w:tblStylePr w:type="band2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insideV w:val="single" w:sz="8" w:space="0" w:color="9561CC" w:themeColor="accent4"/>
        </w:tcBorders>
      </w:tcPr>
    </w:tblStylePr>
  </w:style>
  <w:style w:type="table" w:styleId="LightGrid-Accent5">
    <w:name w:val="Light Grid Accent 5"/>
    <w:basedOn w:val="TableNormal"/>
    <w:uiPriority w:val="62"/>
    <w:semiHidden/>
    <w:unhideWhenUsed/>
    <w:rsid w:val="00B469D3"/>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18" w:space="0" w:color="00ADC6" w:themeColor="accent5"/>
          <w:right w:val="single" w:sz="8" w:space="0" w:color="00ADC6" w:themeColor="accent5"/>
          <w:insideH w:val="nil"/>
          <w:insideV w:val="single" w:sz="8" w:space="0" w:color="00AD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insideH w:val="nil"/>
          <w:insideV w:val="single" w:sz="8" w:space="0" w:color="00AD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shd w:val="clear" w:color="auto" w:fill="B1F4FF" w:themeFill="accent5" w:themeFillTint="3F"/>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shd w:val="clear" w:color="auto" w:fill="B1F4FF" w:themeFill="accent5" w:themeFillTint="3F"/>
      </w:tcPr>
    </w:tblStylePr>
    <w:tblStylePr w:type="band2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insideV w:val="single" w:sz="8" w:space="0" w:color="00ADC6" w:themeColor="accent5"/>
        </w:tcBorders>
      </w:tcPr>
    </w:tblStylePr>
  </w:style>
  <w:style w:type="table" w:styleId="LightGrid-Accent6">
    <w:name w:val="Light Grid Accent 6"/>
    <w:basedOn w:val="TableNormal"/>
    <w:uiPriority w:val="62"/>
    <w:semiHidden/>
    <w:unhideWhenUsed/>
    <w:rsid w:val="00B469D3"/>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18" w:space="0" w:color="FD8F0A" w:themeColor="accent6"/>
          <w:right w:val="single" w:sz="8" w:space="0" w:color="FD8F0A" w:themeColor="accent6"/>
          <w:insideH w:val="nil"/>
          <w:insideV w:val="single" w:sz="8" w:space="0" w:color="FD8F0A"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insideH w:val="nil"/>
          <w:insideV w:val="single" w:sz="8" w:space="0" w:color="FD8F0A"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shd w:val="clear" w:color="auto" w:fill="FEE3C2" w:themeFill="accent6" w:themeFillTint="3F"/>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shd w:val="clear" w:color="auto" w:fill="FEE3C2" w:themeFill="accent6" w:themeFillTint="3F"/>
      </w:tcPr>
    </w:tblStylePr>
    <w:tblStylePr w:type="band2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insideV w:val="single" w:sz="8" w:space="0" w:color="FD8F0A" w:themeColor="accent6"/>
        </w:tcBorders>
      </w:tcPr>
    </w:tblStylePr>
  </w:style>
  <w:style w:type="table" w:styleId="LightList">
    <w:name w:val="Light List"/>
    <w:basedOn w:val="TableNormal"/>
    <w:uiPriority w:val="61"/>
    <w:semiHidden/>
    <w:unhideWhenUsed/>
    <w:rsid w:val="00B469D3"/>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B469D3"/>
    <w:pPr>
      <w:spacing w:after="0" w:line="240" w:lineRule="auto"/>
    </w:p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pPr>
        <w:spacing w:before="0" w:after="0" w:line="240" w:lineRule="auto"/>
      </w:pPr>
      <w:rPr>
        <w:b/>
        <w:bCs/>
        <w:color w:val="FFFFFF" w:themeColor="background1"/>
      </w:rPr>
      <w:tblPr/>
      <w:tcPr>
        <w:shd w:val="clear" w:color="auto" w:fill="2BB673" w:themeFill="accent1"/>
      </w:tcPr>
    </w:tblStylePr>
    <w:tblStylePr w:type="lastRow">
      <w:pPr>
        <w:spacing w:before="0" w:after="0" w:line="240" w:lineRule="auto"/>
      </w:pPr>
      <w:rPr>
        <w:b/>
        <w:bCs/>
      </w:rPr>
      <w:tblPr/>
      <w:tcPr>
        <w:tcBorders>
          <w:top w:val="double" w:sz="6" w:space="0" w:color="2BB673" w:themeColor="accent1"/>
          <w:left w:val="single" w:sz="8" w:space="0" w:color="2BB673" w:themeColor="accent1"/>
          <w:bottom w:val="single" w:sz="8" w:space="0" w:color="2BB673" w:themeColor="accent1"/>
          <w:right w:val="single" w:sz="8" w:space="0" w:color="2BB673" w:themeColor="accent1"/>
        </w:tcBorders>
      </w:tcPr>
    </w:tblStylePr>
    <w:tblStylePr w:type="firstCol">
      <w:rPr>
        <w:b/>
        <w:bCs/>
      </w:rPr>
    </w:tblStylePr>
    <w:tblStylePr w:type="lastCol">
      <w:rPr>
        <w:b/>
        <w:bCs/>
      </w:rPr>
    </w:tblStylePr>
    <w:tblStylePr w:type="band1Vert">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tblStylePr w:type="band1Horz">
      <w:tblPr/>
      <w:tcPr>
        <w:tcBorders>
          <w:top w:val="single" w:sz="8" w:space="0" w:color="2BB673" w:themeColor="accent1"/>
          <w:left w:val="single" w:sz="8" w:space="0" w:color="2BB673" w:themeColor="accent1"/>
          <w:bottom w:val="single" w:sz="8" w:space="0" w:color="2BB673" w:themeColor="accent1"/>
          <w:right w:val="single" w:sz="8" w:space="0" w:color="2BB673" w:themeColor="accent1"/>
        </w:tcBorders>
      </w:tcPr>
    </w:tblStylePr>
  </w:style>
  <w:style w:type="table" w:styleId="LightList-Accent2">
    <w:name w:val="Light List Accent 2"/>
    <w:basedOn w:val="TableNormal"/>
    <w:uiPriority w:val="61"/>
    <w:semiHidden/>
    <w:unhideWhenUsed/>
    <w:rsid w:val="00B469D3"/>
    <w:pPr>
      <w:spacing w:after="0" w:line="240" w:lineRule="auto"/>
    </w:p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pPr>
        <w:spacing w:before="0" w:after="0" w:line="240" w:lineRule="auto"/>
      </w:pPr>
      <w:rPr>
        <w:b/>
        <w:bCs/>
        <w:color w:val="FFFFFF" w:themeColor="background1"/>
      </w:rPr>
      <w:tblPr/>
      <w:tcPr>
        <w:shd w:val="clear" w:color="auto" w:fill="93B41A" w:themeFill="accent2"/>
      </w:tcPr>
    </w:tblStylePr>
    <w:tblStylePr w:type="lastRow">
      <w:pPr>
        <w:spacing w:before="0" w:after="0" w:line="240" w:lineRule="auto"/>
      </w:pPr>
      <w:rPr>
        <w:b/>
        <w:bCs/>
      </w:rPr>
      <w:tblPr/>
      <w:tcPr>
        <w:tcBorders>
          <w:top w:val="double" w:sz="6" w:space="0" w:color="93B41A" w:themeColor="accent2"/>
          <w:left w:val="single" w:sz="8" w:space="0" w:color="93B41A" w:themeColor="accent2"/>
          <w:bottom w:val="single" w:sz="8" w:space="0" w:color="93B41A" w:themeColor="accent2"/>
          <w:right w:val="single" w:sz="8" w:space="0" w:color="93B41A" w:themeColor="accent2"/>
        </w:tcBorders>
      </w:tcPr>
    </w:tblStylePr>
    <w:tblStylePr w:type="firstCol">
      <w:rPr>
        <w:b/>
        <w:bCs/>
      </w:rPr>
    </w:tblStylePr>
    <w:tblStylePr w:type="lastCol">
      <w:rPr>
        <w:b/>
        <w:bCs/>
      </w:rPr>
    </w:tblStylePr>
    <w:tblStylePr w:type="band1Vert">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tblStylePr w:type="band1Horz">
      <w:tblPr/>
      <w:tcPr>
        <w:tcBorders>
          <w:top w:val="single" w:sz="8" w:space="0" w:color="93B41A" w:themeColor="accent2"/>
          <w:left w:val="single" w:sz="8" w:space="0" w:color="93B41A" w:themeColor="accent2"/>
          <w:bottom w:val="single" w:sz="8" w:space="0" w:color="93B41A" w:themeColor="accent2"/>
          <w:right w:val="single" w:sz="8" w:space="0" w:color="93B41A" w:themeColor="accent2"/>
        </w:tcBorders>
      </w:tcPr>
    </w:tblStylePr>
  </w:style>
  <w:style w:type="table" w:styleId="LightList-Accent3">
    <w:name w:val="Light List Accent 3"/>
    <w:basedOn w:val="TableNormal"/>
    <w:uiPriority w:val="61"/>
    <w:semiHidden/>
    <w:unhideWhenUsed/>
    <w:rsid w:val="00B469D3"/>
    <w:pPr>
      <w:spacing w:after="0" w:line="240" w:lineRule="auto"/>
    </w:p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pPr>
        <w:spacing w:before="0" w:after="0" w:line="240" w:lineRule="auto"/>
      </w:pPr>
      <w:rPr>
        <w:b/>
        <w:bCs/>
        <w:color w:val="FFFFFF" w:themeColor="background1"/>
      </w:rPr>
      <w:tblPr/>
      <w:tcPr>
        <w:shd w:val="clear" w:color="auto" w:fill="F06A3B" w:themeFill="accent3"/>
      </w:tcPr>
    </w:tblStylePr>
    <w:tblStylePr w:type="lastRow">
      <w:pPr>
        <w:spacing w:before="0" w:after="0" w:line="240" w:lineRule="auto"/>
      </w:pPr>
      <w:rPr>
        <w:b/>
        <w:bCs/>
      </w:rPr>
      <w:tblPr/>
      <w:tcPr>
        <w:tcBorders>
          <w:top w:val="double" w:sz="6" w:space="0" w:color="F06A3B" w:themeColor="accent3"/>
          <w:left w:val="single" w:sz="8" w:space="0" w:color="F06A3B" w:themeColor="accent3"/>
          <w:bottom w:val="single" w:sz="8" w:space="0" w:color="F06A3B" w:themeColor="accent3"/>
          <w:right w:val="single" w:sz="8" w:space="0" w:color="F06A3B" w:themeColor="accent3"/>
        </w:tcBorders>
      </w:tcPr>
    </w:tblStylePr>
    <w:tblStylePr w:type="firstCol">
      <w:rPr>
        <w:b/>
        <w:bCs/>
      </w:rPr>
    </w:tblStylePr>
    <w:tblStylePr w:type="lastCol">
      <w:rPr>
        <w:b/>
        <w:bCs/>
      </w:rPr>
    </w:tblStylePr>
    <w:tblStylePr w:type="band1Vert">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tblStylePr w:type="band1Horz">
      <w:tblPr/>
      <w:tcPr>
        <w:tcBorders>
          <w:top w:val="single" w:sz="8" w:space="0" w:color="F06A3B" w:themeColor="accent3"/>
          <w:left w:val="single" w:sz="8" w:space="0" w:color="F06A3B" w:themeColor="accent3"/>
          <w:bottom w:val="single" w:sz="8" w:space="0" w:color="F06A3B" w:themeColor="accent3"/>
          <w:right w:val="single" w:sz="8" w:space="0" w:color="F06A3B" w:themeColor="accent3"/>
        </w:tcBorders>
      </w:tcPr>
    </w:tblStylePr>
  </w:style>
  <w:style w:type="table" w:styleId="LightList-Accent4">
    <w:name w:val="Light List Accent 4"/>
    <w:basedOn w:val="TableNormal"/>
    <w:uiPriority w:val="61"/>
    <w:semiHidden/>
    <w:unhideWhenUsed/>
    <w:rsid w:val="00B469D3"/>
    <w:pPr>
      <w:spacing w:after="0" w:line="240" w:lineRule="auto"/>
    </w:p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pPr>
        <w:spacing w:before="0" w:after="0" w:line="240" w:lineRule="auto"/>
      </w:pPr>
      <w:rPr>
        <w:b/>
        <w:bCs/>
        <w:color w:val="FFFFFF" w:themeColor="background1"/>
      </w:rPr>
      <w:tblPr/>
      <w:tcPr>
        <w:shd w:val="clear" w:color="auto" w:fill="9561CC" w:themeFill="accent4"/>
      </w:tcPr>
    </w:tblStylePr>
    <w:tblStylePr w:type="lastRow">
      <w:pPr>
        <w:spacing w:before="0" w:after="0" w:line="240" w:lineRule="auto"/>
      </w:pPr>
      <w:rPr>
        <w:b/>
        <w:bCs/>
      </w:rPr>
      <w:tblPr/>
      <w:tcPr>
        <w:tcBorders>
          <w:top w:val="double" w:sz="6" w:space="0" w:color="9561CC" w:themeColor="accent4"/>
          <w:left w:val="single" w:sz="8" w:space="0" w:color="9561CC" w:themeColor="accent4"/>
          <w:bottom w:val="single" w:sz="8" w:space="0" w:color="9561CC" w:themeColor="accent4"/>
          <w:right w:val="single" w:sz="8" w:space="0" w:color="9561CC" w:themeColor="accent4"/>
        </w:tcBorders>
      </w:tcPr>
    </w:tblStylePr>
    <w:tblStylePr w:type="firstCol">
      <w:rPr>
        <w:b/>
        <w:bCs/>
      </w:rPr>
    </w:tblStylePr>
    <w:tblStylePr w:type="lastCol">
      <w:rPr>
        <w:b/>
        <w:bCs/>
      </w:rPr>
    </w:tblStylePr>
    <w:tblStylePr w:type="band1Vert">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tblStylePr w:type="band1Horz">
      <w:tblPr/>
      <w:tcPr>
        <w:tcBorders>
          <w:top w:val="single" w:sz="8" w:space="0" w:color="9561CC" w:themeColor="accent4"/>
          <w:left w:val="single" w:sz="8" w:space="0" w:color="9561CC" w:themeColor="accent4"/>
          <w:bottom w:val="single" w:sz="8" w:space="0" w:color="9561CC" w:themeColor="accent4"/>
          <w:right w:val="single" w:sz="8" w:space="0" w:color="9561CC" w:themeColor="accent4"/>
        </w:tcBorders>
      </w:tcPr>
    </w:tblStylePr>
  </w:style>
  <w:style w:type="table" w:styleId="LightList-Accent5">
    <w:name w:val="Light List Accent 5"/>
    <w:basedOn w:val="TableNormal"/>
    <w:uiPriority w:val="61"/>
    <w:semiHidden/>
    <w:unhideWhenUsed/>
    <w:rsid w:val="00B469D3"/>
    <w:pPr>
      <w:spacing w:after="0" w:line="240" w:lineRule="auto"/>
    </w:p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pPr>
        <w:spacing w:before="0" w:after="0" w:line="240" w:lineRule="auto"/>
      </w:pPr>
      <w:rPr>
        <w:b/>
        <w:bCs/>
        <w:color w:val="FFFFFF" w:themeColor="background1"/>
      </w:rPr>
      <w:tblPr/>
      <w:tcPr>
        <w:shd w:val="clear" w:color="auto" w:fill="00ADC6" w:themeFill="accent5"/>
      </w:tcPr>
    </w:tblStylePr>
    <w:tblStylePr w:type="lastRow">
      <w:pPr>
        <w:spacing w:before="0" w:after="0" w:line="240" w:lineRule="auto"/>
      </w:pPr>
      <w:rPr>
        <w:b/>
        <w:bCs/>
      </w:rPr>
      <w:tblPr/>
      <w:tcPr>
        <w:tcBorders>
          <w:top w:val="double" w:sz="6" w:space="0" w:color="00ADC6" w:themeColor="accent5"/>
          <w:left w:val="single" w:sz="8" w:space="0" w:color="00ADC6" w:themeColor="accent5"/>
          <w:bottom w:val="single" w:sz="8" w:space="0" w:color="00ADC6" w:themeColor="accent5"/>
          <w:right w:val="single" w:sz="8" w:space="0" w:color="00ADC6" w:themeColor="accent5"/>
        </w:tcBorders>
      </w:tcPr>
    </w:tblStylePr>
    <w:tblStylePr w:type="firstCol">
      <w:rPr>
        <w:b/>
        <w:bCs/>
      </w:rPr>
    </w:tblStylePr>
    <w:tblStylePr w:type="lastCol">
      <w:rPr>
        <w:b/>
        <w:bCs/>
      </w:rPr>
    </w:tblStylePr>
    <w:tblStylePr w:type="band1Vert">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tblStylePr w:type="band1Horz">
      <w:tblPr/>
      <w:tcPr>
        <w:tcBorders>
          <w:top w:val="single" w:sz="8" w:space="0" w:color="00ADC6" w:themeColor="accent5"/>
          <w:left w:val="single" w:sz="8" w:space="0" w:color="00ADC6" w:themeColor="accent5"/>
          <w:bottom w:val="single" w:sz="8" w:space="0" w:color="00ADC6" w:themeColor="accent5"/>
          <w:right w:val="single" w:sz="8" w:space="0" w:color="00ADC6" w:themeColor="accent5"/>
        </w:tcBorders>
      </w:tcPr>
    </w:tblStylePr>
  </w:style>
  <w:style w:type="table" w:styleId="LightList-Accent6">
    <w:name w:val="Light List Accent 6"/>
    <w:basedOn w:val="TableNormal"/>
    <w:uiPriority w:val="61"/>
    <w:semiHidden/>
    <w:unhideWhenUsed/>
    <w:rsid w:val="00B469D3"/>
    <w:pPr>
      <w:spacing w:after="0" w:line="240" w:lineRule="auto"/>
    </w:p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pPr>
        <w:spacing w:before="0" w:after="0" w:line="240" w:lineRule="auto"/>
      </w:pPr>
      <w:rPr>
        <w:b/>
        <w:bCs/>
        <w:color w:val="FFFFFF" w:themeColor="background1"/>
      </w:rPr>
      <w:tblPr/>
      <w:tcPr>
        <w:shd w:val="clear" w:color="auto" w:fill="FD8F0A" w:themeFill="accent6"/>
      </w:tcPr>
    </w:tblStylePr>
    <w:tblStylePr w:type="lastRow">
      <w:pPr>
        <w:spacing w:before="0" w:after="0" w:line="240" w:lineRule="auto"/>
      </w:pPr>
      <w:rPr>
        <w:b/>
        <w:bCs/>
      </w:rPr>
      <w:tblPr/>
      <w:tcPr>
        <w:tcBorders>
          <w:top w:val="double" w:sz="6" w:space="0" w:color="FD8F0A" w:themeColor="accent6"/>
          <w:left w:val="single" w:sz="8" w:space="0" w:color="FD8F0A" w:themeColor="accent6"/>
          <w:bottom w:val="single" w:sz="8" w:space="0" w:color="FD8F0A" w:themeColor="accent6"/>
          <w:right w:val="single" w:sz="8" w:space="0" w:color="FD8F0A" w:themeColor="accent6"/>
        </w:tcBorders>
      </w:tcPr>
    </w:tblStylePr>
    <w:tblStylePr w:type="firstCol">
      <w:rPr>
        <w:b/>
        <w:bCs/>
      </w:rPr>
    </w:tblStylePr>
    <w:tblStylePr w:type="lastCol">
      <w:rPr>
        <w:b/>
        <w:bCs/>
      </w:rPr>
    </w:tblStylePr>
    <w:tblStylePr w:type="band1Vert">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tblStylePr w:type="band1Horz">
      <w:tblPr/>
      <w:tcPr>
        <w:tcBorders>
          <w:top w:val="single" w:sz="8" w:space="0" w:color="FD8F0A" w:themeColor="accent6"/>
          <w:left w:val="single" w:sz="8" w:space="0" w:color="FD8F0A" w:themeColor="accent6"/>
          <w:bottom w:val="single" w:sz="8" w:space="0" w:color="FD8F0A" w:themeColor="accent6"/>
          <w:right w:val="single" w:sz="8" w:space="0" w:color="FD8F0A" w:themeColor="accent6"/>
        </w:tcBorders>
      </w:tcPr>
    </w:tblStylePr>
  </w:style>
  <w:style w:type="table" w:styleId="LightShading">
    <w:name w:val="Light Shading"/>
    <w:basedOn w:val="TableNormal"/>
    <w:uiPriority w:val="60"/>
    <w:semiHidden/>
    <w:unhideWhenUsed/>
    <w:rsid w:val="00B469D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B469D3"/>
    <w:pPr>
      <w:spacing w:after="0" w:line="240" w:lineRule="auto"/>
    </w:pPr>
    <w:rPr>
      <w:color w:val="208855" w:themeColor="accent1" w:themeShade="BF"/>
    </w:rPr>
    <w:tblPr>
      <w:tblStyleRowBandSize w:val="1"/>
      <w:tblStyleColBandSize w:val="1"/>
      <w:tblBorders>
        <w:top w:val="single" w:sz="8" w:space="0" w:color="2BB673" w:themeColor="accent1"/>
        <w:bottom w:val="single" w:sz="8" w:space="0" w:color="2BB673" w:themeColor="accent1"/>
      </w:tblBorders>
    </w:tblPr>
    <w:tblStylePr w:type="fir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lastRow">
      <w:pPr>
        <w:spacing w:before="0" w:after="0" w:line="240" w:lineRule="auto"/>
      </w:pPr>
      <w:rPr>
        <w:b/>
        <w:bCs/>
      </w:rPr>
      <w:tblPr/>
      <w:tcPr>
        <w:tcBorders>
          <w:top w:val="single" w:sz="8" w:space="0" w:color="2BB673" w:themeColor="accent1"/>
          <w:left w:val="nil"/>
          <w:bottom w:val="single" w:sz="8" w:space="0" w:color="2BB67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left w:val="nil"/>
          <w:right w:val="nil"/>
          <w:insideH w:val="nil"/>
          <w:insideV w:val="nil"/>
        </w:tcBorders>
        <w:shd w:val="clear" w:color="auto" w:fill="C5F1DC" w:themeFill="accent1" w:themeFillTint="3F"/>
      </w:tcPr>
    </w:tblStylePr>
  </w:style>
  <w:style w:type="table" w:styleId="LightShading-Accent2">
    <w:name w:val="Light Shading Accent 2"/>
    <w:basedOn w:val="TableNormal"/>
    <w:uiPriority w:val="60"/>
    <w:semiHidden/>
    <w:unhideWhenUsed/>
    <w:rsid w:val="00B469D3"/>
    <w:pPr>
      <w:spacing w:after="0" w:line="240" w:lineRule="auto"/>
    </w:pPr>
    <w:rPr>
      <w:color w:val="6D8613" w:themeColor="accent2" w:themeShade="BF"/>
    </w:rPr>
    <w:tblPr>
      <w:tblStyleRowBandSize w:val="1"/>
      <w:tblStyleColBandSize w:val="1"/>
      <w:tblBorders>
        <w:top w:val="single" w:sz="8" w:space="0" w:color="93B41A" w:themeColor="accent2"/>
        <w:bottom w:val="single" w:sz="8" w:space="0" w:color="93B41A" w:themeColor="accent2"/>
      </w:tblBorders>
    </w:tblPr>
    <w:tblStylePr w:type="fir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lastRow">
      <w:pPr>
        <w:spacing w:before="0" w:after="0" w:line="240" w:lineRule="auto"/>
      </w:pPr>
      <w:rPr>
        <w:b/>
        <w:bCs/>
      </w:rPr>
      <w:tblPr/>
      <w:tcPr>
        <w:tcBorders>
          <w:top w:val="single" w:sz="8" w:space="0" w:color="93B41A" w:themeColor="accent2"/>
          <w:left w:val="nil"/>
          <w:bottom w:val="single" w:sz="8" w:space="0" w:color="93B41A"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left w:val="nil"/>
          <w:right w:val="nil"/>
          <w:insideH w:val="nil"/>
          <w:insideV w:val="nil"/>
        </w:tcBorders>
        <w:shd w:val="clear" w:color="auto" w:fill="E9F5BD" w:themeFill="accent2" w:themeFillTint="3F"/>
      </w:tcPr>
    </w:tblStylePr>
  </w:style>
  <w:style w:type="table" w:styleId="LightShading-Accent3">
    <w:name w:val="Light Shading Accent 3"/>
    <w:basedOn w:val="TableNormal"/>
    <w:uiPriority w:val="60"/>
    <w:semiHidden/>
    <w:unhideWhenUsed/>
    <w:rsid w:val="00B469D3"/>
    <w:pPr>
      <w:spacing w:after="0" w:line="240" w:lineRule="auto"/>
    </w:pPr>
    <w:rPr>
      <w:color w:val="CF4110" w:themeColor="accent3" w:themeShade="BF"/>
    </w:rPr>
    <w:tblPr>
      <w:tblStyleRowBandSize w:val="1"/>
      <w:tblStyleColBandSize w:val="1"/>
      <w:tblBorders>
        <w:top w:val="single" w:sz="8" w:space="0" w:color="F06A3B" w:themeColor="accent3"/>
        <w:bottom w:val="single" w:sz="8" w:space="0" w:color="F06A3B" w:themeColor="accent3"/>
      </w:tblBorders>
    </w:tblPr>
    <w:tblStylePr w:type="fir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lastRow">
      <w:pPr>
        <w:spacing w:before="0" w:after="0" w:line="240" w:lineRule="auto"/>
      </w:pPr>
      <w:rPr>
        <w:b/>
        <w:bCs/>
      </w:rPr>
      <w:tblPr/>
      <w:tcPr>
        <w:tcBorders>
          <w:top w:val="single" w:sz="8" w:space="0" w:color="F06A3B" w:themeColor="accent3"/>
          <w:left w:val="nil"/>
          <w:bottom w:val="single" w:sz="8" w:space="0" w:color="F06A3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left w:val="nil"/>
          <w:right w:val="nil"/>
          <w:insideH w:val="nil"/>
          <w:insideV w:val="nil"/>
        </w:tcBorders>
        <w:shd w:val="clear" w:color="auto" w:fill="FBD9CE" w:themeFill="accent3" w:themeFillTint="3F"/>
      </w:tcPr>
    </w:tblStylePr>
  </w:style>
  <w:style w:type="table" w:styleId="LightShading-Accent4">
    <w:name w:val="Light Shading Accent 4"/>
    <w:basedOn w:val="TableNormal"/>
    <w:uiPriority w:val="60"/>
    <w:semiHidden/>
    <w:unhideWhenUsed/>
    <w:rsid w:val="00B469D3"/>
    <w:pPr>
      <w:spacing w:after="0" w:line="240" w:lineRule="auto"/>
    </w:pPr>
    <w:rPr>
      <w:color w:val="6E37AA" w:themeColor="accent4" w:themeShade="BF"/>
    </w:rPr>
    <w:tblPr>
      <w:tblStyleRowBandSize w:val="1"/>
      <w:tblStyleColBandSize w:val="1"/>
      <w:tblBorders>
        <w:top w:val="single" w:sz="8" w:space="0" w:color="9561CC" w:themeColor="accent4"/>
        <w:bottom w:val="single" w:sz="8" w:space="0" w:color="9561CC" w:themeColor="accent4"/>
      </w:tblBorders>
    </w:tblPr>
    <w:tblStylePr w:type="fir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lastRow">
      <w:pPr>
        <w:spacing w:before="0" w:after="0" w:line="240" w:lineRule="auto"/>
      </w:pPr>
      <w:rPr>
        <w:b/>
        <w:bCs/>
      </w:rPr>
      <w:tblPr/>
      <w:tcPr>
        <w:tcBorders>
          <w:top w:val="single" w:sz="8" w:space="0" w:color="9561CC" w:themeColor="accent4"/>
          <w:left w:val="nil"/>
          <w:bottom w:val="single" w:sz="8" w:space="0" w:color="9561C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left w:val="nil"/>
          <w:right w:val="nil"/>
          <w:insideH w:val="nil"/>
          <w:insideV w:val="nil"/>
        </w:tcBorders>
        <w:shd w:val="clear" w:color="auto" w:fill="E4D7F2" w:themeFill="accent4" w:themeFillTint="3F"/>
      </w:tcPr>
    </w:tblStylePr>
  </w:style>
  <w:style w:type="table" w:styleId="LightShading-Accent5">
    <w:name w:val="Light Shading Accent 5"/>
    <w:basedOn w:val="TableNormal"/>
    <w:uiPriority w:val="60"/>
    <w:semiHidden/>
    <w:unhideWhenUsed/>
    <w:rsid w:val="00B469D3"/>
    <w:pPr>
      <w:spacing w:after="0" w:line="240" w:lineRule="auto"/>
    </w:pPr>
    <w:rPr>
      <w:color w:val="008094" w:themeColor="accent5" w:themeShade="BF"/>
    </w:rPr>
    <w:tblPr>
      <w:tblStyleRowBandSize w:val="1"/>
      <w:tblStyleColBandSize w:val="1"/>
      <w:tblBorders>
        <w:top w:val="single" w:sz="8" w:space="0" w:color="00ADC6" w:themeColor="accent5"/>
        <w:bottom w:val="single" w:sz="8" w:space="0" w:color="00ADC6" w:themeColor="accent5"/>
      </w:tblBorders>
    </w:tblPr>
    <w:tblStylePr w:type="fir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lastRow">
      <w:pPr>
        <w:spacing w:before="0" w:after="0" w:line="240" w:lineRule="auto"/>
      </w:pPr>
      <w:rPr>
        <w:b/>
        <w:bCs/>
      </w:rPr>
      <w:tblPr/>
      <w:tcPr>
        <w:tcBorders>
          <w:top w:val="single" w:sz="8" w:space="0" w:color="00ADC6" w:themeColor="accent5"/>
          <w:left w:val="nil"/>
          <w:bottom w:val="single" w:sz="8" w:space="0" w:color="00AD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left w:val="nil"/>
          <w:right w:val="nil"/>
          <w:insideH w:val="nil"/>
          <w:insideV w:val="nil"/>
        </w:tcBorders>
        <w:shd w:val="clear" w:color="auto" w:fill="B1F4FF" w:themeFill="accent5" w:themeFillTint="3F"/>
      </w:tcPr>
    </w:tblStylePr>
  </w:style>
  <w:style w:type="table" w:styleId="LightShading-Accent6">
    <w:name w:val="Light Shading Accent 6"/>
    <w:basedOn w:val="TableNormal"/>
    <w:uiPriority w:val="60"/>
    <w:semiHidden/>
    <w:unhideWhenUsed/>
    <w:rsid w:val="00B469D3"/>
    <w:pPr>
      <w:spacing w:after="0" w:line="240" w:lineRule="auto"/>
    </w:pPr>
    <w:rPr>
      <w:color w:val="C36B01" w:themeColor="accent6" w:themeShade="BF"/>
    </w:rPr>
    <w:tblPr>
      <w:tblStyleRowBandSize w:val="1"/>
      <w:tblStyleColBandSize w:val="1"/>
      <w:tblBorders>
        <w:top w:val="single" w:sz="8" w:space="0" w:color="FD8F0A" w:themeColor="accent6"/>
        <w:bottom w:val="single" w:sz="8" w:space="0" w:color="FD8F0A" w:themeColor="accent6"/>
      </w:tblBorders>
    </w:tblPr>
    <w:tblStylePr w:type="fir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lastRow">
      <w:pPr>
        <w:spacing w:before="0" w:after="0" w:line="240" w:lineRule="auto"/>
      </w:pPr>
      <w:rPr>
        <w:b/>
        <w:bCs/>
      </w:rPr>
      <w:tblPr/>
      <w:tcPr>
        <w:tcBorders>
          <w:top w:val="single" w:sz="8" w:space="0" w:color="FD8F0A" w:themeColor="accent6"/>
          <w:left w:val="nil"/>
          <w:bottom w:val="single" w:sz="8" w:space="0" w:color="FD8F0A"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left w:val="nil"/>
          <w:right w:val="nil"/>
          <w:insideH w:val="nil"/>
          <w:insideV w:val="nil"/>
        </w:tcBorders>
        <w:shd w:val="clear" w:color="auto" w:fill="FEE3C2" w:themeFill="accent6" w:themeFillTint="3F"/>
      </w:tcPr>
    </w:tblStylePr>
  </w:style>
  <w:style w:type="character" w:styleId="LineNumber">
    <w:name w:val="line number"/>
    <w:basedOn w:val="DefaultParagraphFont"/>
    <w:uiPriority w:val="99"/>
    <w:semiHidden/>
    <w:unhideWhenUsed/>
    <w:rsid w:val="00B469D3"/>
  </w:style>
  <w:style w:type="paragraph" w:styleId="List">
    <w:name w:val="List"/>
    <w:basedOn w:val="Normal"/>
    <w:uiPriority w:val="99"/>
    <w:semiHidden/>
    <w:unhideWhenUsed/>
    <w:rsid w:val="00B469D3"/>
    <w:pPr>
      <w:ind w:left="283" w:hanging="283"/>
      <w:contextualSpacing/>
    </w:pPr>
  </w:style>
  <w:style w:type="paragraph" w:styleId="List2">
    <w:name w:val="List 2"/>
    <w:basedOn w:val="Normal"/>
    <w:uiPriority w:val="99"/>
    <w:semiHidden/>
    <w:unhideWhenUsed/>
    <w:rsid w:val="00B469D3"/>
    <w:pPr>
      <w:ind w:left="566" w:hanging="283"/>
      <w:contextualSpacing/>
    </w:pPr>
  </w:style>
  <w:style w:type="paragraph" w:styleId="List3">
    <w:name w:val="List 3"/>
    <w:basedOn w:val="Normal"/>
    <w:uiPriority w:val="99"/>
    <w:semiHidden/>
    <w:unhideWhenUsed/>
    <w:rsid w:val="00B469D3"/>
    <w:pPr>
      <w:ind w:left="849" w:hanging="283"/>
      <w:contextualSpacing/>
    </w:pPr>
  </w:style>
  <w:style w:type="paragraph" w:styleId="List4">
    <w:name w:val="List 4"/>
    <w:basedOn w:val="Normal"/>
    <w:uiPriority w:val="99"/>
    <w:semiHidden/>
    <w:unhideWhenUsed/>
    <w:rsid w:val="00B469D3"/>
    <w:pPr>
      <w:ind w:left="1132" w:hanging="283"/>
      <w:contextualSpacing/>
    </w:pPr>
  </w:style>
  <w:style w:type="paragraph" w:styleId="List5">
    <w:name w:val="List 5"/>
    <w:basedOn w:val="Normal"/>
    <w:uiPriority w:val="99"/>
    <w:semiHidden/>
    <w:unhideWhenUsed/>
    <w:rsid w:val="00B469D3"/>
    <w:pPr>
      <w:ind w:left="1415" w:hanging="283"/>
      <w:contextualSpacing/>
    </w:pPr>
  </w:style>
  <w:style w:type="paragraph" w:styleId="ListBullet">
    <w:name w:val="List Bullet"/>
    <w:basedOn w:val="Normal"/>
    <w:uiPriority w:val="3"/>
    <w:semiHidden/>
    <w:unhideWhenUsed/>
    <w:rsid w:val="00B469D3"/>
    <w:pPr>
      <w:numPr>
        <w:numId w:val="22"/>
      </w:numPr>
      <w:contextualSpacing/>
    </w:pPr>
  </w:style>
  <w:style w:type="paragraph" w:styleId="ListBullet2">
    <w:name w:val="List Bullet 2"/>
    <w:basedOn w:val="Normal"/>
    <w:uiPriority w:val="3"/>
    <w:semiHidden/>
    <w:unhideWhenUsed/>
    <w:rsid w:val="00B469D3"/>
    <w:pPr>
      <w:numPr>
        <w:numId w:val="23"/>
      </w:numPr>
      <w:contextualSpacing/>
    </w:pPr>
  </w:style>
  <w:style w:type="paragraph" w:styleId="ListBullet3">
    <w:name w:val="List Bullet 3"/>
    <w:basedOn w:val="Normal"/>
    <w:uiPriority w:val="3"/>
    <w:semiHidden/>
    <w:unhideWhenUsed/>
    <w:rsid w:val="00B469D3"/>
    <w:pPr>
      <w:numPr>
        <w:numId w:val="24"/>
      </w:numPr>
      <w:contextualSpacing/>
    </w:pPr>
  </w:style>
  <w:style w:type="paragraph" w:styleId="ListBullet4">
    <w:name w:val="List Bullet 4"/>
    <w:basedOn w:val="Normal"/>
    <w:uiPriority w:val="3"/>
    <w:semiHidden/>
    <w:unhideWhenUsed/>
    <w:rsid w:val="00B469D3"/>
    <w:pPr>
      <w:numPr>
        <w:numId w:val="25"/>
      </w:numPr>
      <w:contextualSpacing/>
    </w:pPr>
  </w:style>
  <w:style w:type="paragraph" w:styleId="ListBullet5">
    <w:name w:val="List Bullet 5"/>
    <w:basedOn w:val="Normal"/>
    <w:uiPriority w:val="99"/>
    <w:semiHidden/>
    <w:rsid w:val="00B469D3"/>
    <w:pPr>
      <w:numPr>
        <w:numId w:val="26"/>
      </w:numPr>
      <w:contextualSpacing/>
    </w:pPr>
  </w:style>
  <w:style w:type="paragraph" w:styleId="ListContinue">
    <w:name w:val="List Continue"/>
    <w:basedOn w:val="Normal"/>
    <w:uiPriority w:val="4"/>
    <w:semiHidden/>
    <w:unhideWhenUsed/>
    <w:rsid w:val="00B469D3"/>
    <w:pPr>
      <w:spacing w:after="120"/>
      <w:ind w:left="283"/>
      <w:contextualSpacing/>
    </w:pPr>
  </w:style>
  <w:style w:type="paragraph" w:styleId="ListContinue2">
    <w:name w:val="List Continue 2"/>
    <w:basedOn w:val="Normal"/>
    <w:uiPriority w:val="4"/>
    <w:semiHidden/>
    <w:unhideWhenUsed/>
    <w:rsid w:val="00B469D3"/>
    <w:pPr>
      <w:spacing w:after="120"/>
      <w:ind w:left="566"/>
      <w:contextualSpacing/>
    </w:pPr>
  </w:style>
  <w:style w:type="paragraph" w:styleId="ListContinue3">
    <w:name w:val="List Continue 3"/>
    <w:basedOn w:val="Normal"/>
    <w:uiPriority w:val="4"/>
    <w:semiHidden/>
    <w:unhideWhenUsed/>
    <w:rsid w:val="00B469D3"/>
    <w:pPr>
      <w:spacing w:after="120"/>
      <w:ind w:left="849"/>
      <w:contextualSpacing/>
    </w:pPr>
  </w:style>
  <w:style w:type="paragraph" w:styleId="ListContinue4">
    <w:name w:val="List Continue 4"/>
    <w:basedOn w:val="Normal"/>
    <w:uiPriority w:val="4"/>
    <w:semiHidden/>
    <w:unhideWhenUsed/>
    <w:rsid w:val="00B469D3"/>
    <w:pPr>
      <w:spacing w:after="120"/>
      <w:ind w:left="1132"/>
      <w:contextualSpacing/>
    </w:pPr>
  </w:style>
  <w:style w:type="paragraph" w:styleId="ListContinue5">
    <w:name w:val="List Continue 5"/>
    <w:basedOn w:val="Normal"/>
    <w:uiPriority w:val="99"/>
    <w:semiHidden/>
    <w:unhideWhenUsed/>
    <w:rsid w:val="00B469D3"/>
    <w:pPr>
      <w:spacing w:after="120"/>
      <w:ind w:left="1415"/>
      <w:contextualSpacing/>
    </w:pPr>
  </w:style>
  <w:style w:type="paragraph" w:styleId="ListNumber">
    <w:name w:val="List Number"/>
    <w:basedOn w:val="Normal"/>
    <w:uiPriority w:val="5"/>
    <w:semiHidden/>
    <w:unhideWhenUsed/>
    <w:rsid w:val="00B469D3"/>
    <w:pPr>
      <w:numPr>
        <w:numId w:val="27"/>
      </w:numPr>
      <w:contextualSpacing/>
    </w:pPr>
  </w:style>
  <w:style w:type="paragraph" w:styleId="ListNumber2">
    <w:name w:val="List Number 2"/>
    <w:basedOn w:val="Normal"/>
    <w:uiPriority w:val="5"/>
    <w:semiHidden/>
    <w:unhideWhenUsed/>
    <w:rsid w:val="00B469D3"/>
    <w:pPr>
      <w:numPr>
        <w:numId w:val="28"/>
      </w:numPr>
      <w:contextualSpacing/>
    </w:pPr>
  </w:style>
  <w:style w:type="paragraph" w:styleId="ListNumber3">
    <w:name w:val="List Number 3"/>
    <w:basedOn w:val="Normal"/>
    <w:uiPriority w:val="5"/>
    <w:semiHidden/>
    <w:unhideWhenUsed/>
    <w:rsid w:val="00B469D3"/>
    <w:pPr>
      <w:numPr>
        <w:numId w:val="29"/>
      </w:numPr>
      <w:contextualSpacing/>
    </w:pPr>
  </w:style>
  <w:style w:type="paragraph" w:styleId="ListNumber4">
    <w:name w:val="List Number 4"/>
    <w:basedOn w:val="Normal"/>
    <w:uiPriority w:val="97"/>
    <w:semiHidden/>
    <w:unhideWhenUsed/>
    <w:rsid w:val="00B469D3"/>
    <w:pPr>
      <w:numPr>
        <w:numId w:val="18"/>
      </w:numPr>
      <w:contextualSpacing/>
    </w:pPr>
  </w:style>
  <w:style w:type="paragraph" w:styleId="ListNumber5">
    <w:name w:val="List Number 5"/>
    <w:basedOn w:val="Normal"/>
    <w:uiPriority w:val="99"/>
    <w:semiHidden/>
    <w:rsid w:val="00B469D3"/>
    <w:pPr>
      <w:numPr>
        <w:numId w:val="30"/>
      </w:numPr>
      <w:contextualSpacing/>
    </w:pPr>
  </w:style>
  <w:style w:type="paragraph" w:styleId="ListParagraph">
    <w:name w:val="List Paragraph"/>
    <w:basedOn w:val="Normal"/>
    <w:uiPriority w:val="34"/>
    <w:qFormat/>
    <w:rsid w:val="00B469D3"/>
    <w:pPr>
      <w:ind w:left="720"/>
      <w:contextualSpacing/>
    </w:pPr>
  </w:style>
  <w:style w:type="table" w:styleId="ListTable1Light">
    <w:name w:val="List Table 1 Light"/>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74DEAB" w:themeColor="accent1" w:themeTint="99"/>
        </w:tcBorders>
      </w:tcPr>
    </w:tblStylePr>
    <w:tblStylePr w:type="lastRow">
      <w:rPr>
        <w:b/>
        <w:bCs/>
      </w:rPr>
      <w:tblPr/>
      <w:tcPr>
        <w:tcBorders>
          <w:top w:val="sing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1Light-Accent2">
    <w:name w:val="List Table 1 Light Accent 2"/>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CAE85F" w:themeColor="accent2" w:themeTint="99"/>
        </w:tcBorders>
      </w:tcPr>
    </w:tblStylePr>
    <w:tblStylePr w:type="lastRow">
      <w:rPr>
        <w:b/>
        <w:bCs/>
      </w:rPr>
      <w:tblPr/>
      <w:tcPr>
        <w:tcBorders>
          <w:top w:val="sing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1Light-Accent3">
    <w:name w:val="List Table 1 Light Accent 3"/>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F6A589" w:themeColor="accent3" w:themeTint="99"/>
        </w:tcBorders>
      </w:tcPr>
    </w:tblStylePr>
    <w:tblStylePr w:type="lastRow">
      <w:rPr>
        <w:b/>
        <w:bCs/>
      </w:rPr>
      <w:tblPr/>
      <w:tcPr>
        <w:tcBorders>
          <w:top w:val="sing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1Light-Accent4">
    <w:name w:val="List Table 1 Light Accent 4"/>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BFA0E0" w:themeColor="accent4" w:themeTint="99"/>
        </w:tcBorders>
      </w:tcPr>
    </w:tblStylePr>
    <w:tblStylePr w:type="lastRow">
      <w:rPr>
        <w:b/>
        <w:bCs/>
      </w:rPr>
      <w:tblPr/>
      <w:tcPr>
        <w:tcBorders>
          <w:top w:val="sing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1Light-Accent5">
    <w:name w:val="List Table 1 Light Accent 5"/>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43E6FF" w:themeColor="accent5" w:themeTint="99"/>
        </w:tcBorders>
      </w:tcPr>
    </w:tblStylePr>
    <w:tblStylePr w:type="lastRow">
      <w:rPr>
        <w:b/>
        <w:bCs/>
      </w:rPr>
      <w:tblPr/>
      <w:tcPr>
        <w:tcBorders>
          <w:top w:val="sing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1Light-Accent6">
    <w:name w:val="List Table 1 Light Accent 6"/>
    <w:basedOn w:val="TableNormal"/>
    <w:uiPriority w:val="46"/>
    <w:rsid w:val="00B469D3"/>
    <w:pPr>
      <w:spacing w:after="0" w:line="240" w:lineRule="auto"/>
    </w:pPr>
    <w:tblPr>
      <w:tblStyleRowBandSize w:val="1"/>
      <w:tblStyleColBandSize w:val="1"/>
    </w:tblPr>
    <w:tblStylePr w:type="firstRow">
      <w:rPr>
        <w:b/>
        <w:bCs/>
      </w:rPr>
      <w:tblPr/>
      <w:tcPr>
        <w:tcBorders>
          <w:bottom w:val="single" w:sz="4" w:space="0" w:color="FDBB6B" w:themeColor="accent6" w:themeTint="99"/>
        </w:tcBorders>
      </w:tcPr>
    </w:tblStylePr>
    <w:tblStylePr w:type="lastRow">
      <w:rPr>
        <w:b/>
        <w:bCs/>
      </w:rPr>
      <w:tblPr/>
      <w:tcPr>
        <w:tcBorders>
          <w:top w:val="sing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2">
    <w:name w:val="List Table 2"/>
    <w:basedOn w:val="TableNormal"/>
    <w:uiPriority w:val="47"/>
    <w:rsid w:val="00B469D3"/>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B469D3"/>
    <w:pPr>
      <w:spacing w:after="0" w:line="240" w:lineRule="auto"/>
    </w:pPr>
    <w:tblPr>
      <w:tblStyleRowBandSize w:val="1"/>
      <w:tblStyleColBandSize w:val="1"/>
      <w:tblBorders>
        <w:top w:val="single" w:sz="4" w:space="0" w:color="74DEAB" w:themeColor="accent1" w:themeTint="99"/>
        <w:bottom w:val="single" w:sz="4" w:space="0" w:color="74DEAB" w:themeColor="accent1" w:themeTint="99"/>
        <w:insideH w:val="single" w:sz="4" w:space="0" w:color="74DEA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2-Accent2">
    <w:name w:val="List Table 2 Accent 2"/>
    <w:basedOn w:val="TableNormal"/>
    <w:uiPriority w:val="47"/>
    <w:rsid w:val="00B469D3"/>
    <w:pPr>
      <w:spacing w:after="0" w:line="240" w:lineRule="auto"/>
    </w:pPr>
    <w:tblPr>
      <w:tblStyleRowBandSize w:val="1"/>
      <w:tblStyleColBandSize w:val="1"/>
      <w:tblBorders>
        <w:top w:val="single" w:sz="4" w:space="0" w:color="CAE85F" w:themeColor="accent2" w:themeTint="99"/>
        <w:bottom w:val="single" w:sz="4" w:space="0" w:color="CAE85F" w:themeColor="accent2" w:themeTint="99"/>
        <w:insideH w:val="single" w:sz="4" w:space="0" w:color="CAE85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2-Accent3">
    <w:name w:val="List Table 2 Accent 3"/>
    <w:basedOn w:val="TableNormal"/>
    <w:uiPriority w:val="47"/>
    <w:rsid w:val="00B469D3"/>
    <w:pPr>
      <w:spacing w:after="0" w:line="240" w:lineRule="auto"/>
    </w:pPr>
    <w:tblPr>
      <w:tblStyleRowBandSize w:val="1"/>
      <w:tblStyleColBandSize w:val="1"/>
      <w:tblBorders>
        <w:top w:val="single" w:sz="4" w:space="0" w:color="F6A589" w:themeColor="accent3" w:themeTint="99"/>
        <w:bottom w:val="single" w:sz="4" w:space="0" w:color="F6A589" w:themeColor="accent3" w:themeTint="99"/>
        <w:insideH w:val="single" w:sz="4" w:space="0" w:color="F6A58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2-Accent4">
    <w:name w:val="List Table 2 Accent 4"/>
    <w:basedOn w:val="TableNormal"/>
    <w:uiPriority w:val="47"/>
    <w:rsid w:val="00B469D3"/>
    <w:pPr>
      <w:spacing w:after="0" w:line="240" w:lineRule="auto"/>
    </w:pPr>
    <w:tblPr>
      <w:tblStyleRowBandSize w:val="1"/>
      <w:tblStyleColBandSize w:val="1"/>
      <w:tblBorders>
        <w:top w:val="single" w:sz="4" w:space="0" w:color="BFA0E0" w:themeColor="accent4" w:themeTint="99"/>
        <w:bottom w:val="single" w:sz="4" w:space="0" w:color="BFA0E0" w:themeColor="accent4" w:themeTint="99"/>
        <w:insideH w:val="single" w:sz="4" w:space="0" w:color="BFA0E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2-Accent5">
    <w:name w:val="List Table 2 Accent 5"/>
    <w:basedOn w:val="TableNormal"/>
    <w:uiPriority w:val="47"/>
    <w:rsid w:val="00B469D3"/>
    <w:pPr>
      <w:spacing w:after="0" w:line="240" w:lineRule="auto"/>
    </w:pPr>
    <w:tblPr>
      <w:tblStyleRowBandSize w:val="1"/>
      <w:tblStyleColBandSize w:val="1"/>
      <w:tblBorders>
        <w:top w:val="single" w:sz="4" w:space="0" w:color="43E6FF" w:themeColor="accent5" w:themeTint="99"/>
        <w:bottom w:val="single" w:sz="4" w:space="0" w:color="43E6FF" w:themeColor="accent5" w:themeTint="99"/>
        <w:insideH w:val="single" w:sz="4" w:space="0" w:color="43E6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2-Accent6">
    <w:name w:val="List Table 2 Accent 6"/>
    <w:basedOn w:val="TableNormal"/>
    <w:uiPriority w:val="47"/>
    <w:rsid w:val="00B469D3"/>
    <w:pPr>
      <w:spacing w:after="0" w:line="240" w:lineRule="auto"/>
    </w:pPr>
    <w:tblPr>
      <w:tblStyleRowBandSize w:val="1"/>
      <w:tblStyleColBandSize w:val="1"/>
      <w:tblBorders>
        <w:top w:val="single" w:sz="4" w:space="0" w:color="FDBB6B" w:themeColor="accent6" w:themeTint="99"/>
        <w:bottom w:val="single" w:sz="4" w:space="0" w:color="FDBB6B" w:themeColor="accent6" w:themeTint="99"/>
        <w:insideH w:val="single" w:sz="4" w:space="0" w:color="FDBB6B"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3">
    <w:name w:val="List Table 3"/>
    <w:basedOn w:val="TableNormal"/>
    <w:uiPriority w:val="48"/>
    <w:rsid w:val="00B469D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B469D3"/>
    <w:pPr>
      <w:spacing w:after="0" w:line="240" w:lineRule="auto"/>
    </w:pPr>
    <w:tblPr>
      <w:tblStyleRowBandSize w:val="1"/>
      <w:tblStyleColBandSize w:val="1"/>
      <w:tblBorders>
        <w:top w:val="single" w:sz="4" w:space="0" w:color="2BB673" w:themeColor="accent1"/>
        <w:left w:val="single" w:sz="4" w:space="0" w:color="2BB673" w:themeColor="accent1"/>
        <w:bottom w:val="single" w:sz="4" w:space="0" w:color="2BB673" w:themeColor="accent1"/>
        <w:right w:val="single" w:sz="4" w:space="0" w:color="2BB673" w:themeColor="accent1"/>
      </w:tblBorders>
    </w:tblPr>
    <w:tblStylePr w:type="firstRow">
      <w:rPr>
        <w:b/>
        <w:bCs/>
        <w:color w:val="FFFFFF" w:themeColor="background1"/>
      </w:rPr>
      <w:tblPr/>
      <w:tcPr>
        <w:shd w:val="clear" w:color="auto" w:fill="2BB673" w:themeFill="accent1"/>
      </w:tcPr>
    </w:tblStylePr>
    <w:tblStylePr w:type="lastRow">
      <w:rPr>
        <w:b/>
        <w:bCs/>
      </w:rPr>
      <w:tblPr/>
      <w:tcPr>
        <w:tcBorders>
          <w:top w:val="double" w:sz="4" w:space="0" w:color="2BB67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B673" w:themeColor="accent1"/>
          <w:right w:val="single" w:sz="4" w:space="0" w:color="2BB673" w:themeColor="accent1"/>
        </w:tcBorders>
      </w:tcPr>
    </w:tblStylePr>
    <w:tblStylePr w:type="band1Horz">
      <w:tblPr/>
      <w:tcPr>
        <w:tcBorders>
          <w:top w:val="single" w:sz="4" w:space="0" w:color="2BB673" w:themeColor="accent1"/>
          <w:bottom w:val="single" w:sz="4" w:space="0" w:color="2BB67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B673" w:themeColor="accent1"/>
          <w:left w:val="nil"/>
        </w:tcBorders>
      </w:tcPr>
    </w:tblStylePr>
    <w:tblStylePr w:type="swCell">
      <w:tblPr/>
      <w:tcPr>
        <w:tcBorders>
          <w:top w:val="double" w:sz="4" w:space="0" w:color="2BB673" w:themeColor="accent1"/>
          <w:right w:val="nil"/>
        </w:tcBorders>
      </w:tcPr>
    </w:tblStylePr>
  </w:style>
  <w:style w:type="table" w:styleId="ListTable3-Accent2">
    <w:name w:val="List Table 3 Accent 2"/>
    <w:basedOn w:val="TableNormal"/>
    <w:uiPriority w:val="48"/>
    <w:rsid w:val="00B469D3"/>
    <w:pPr>
      <w:spacing w:after="0" w:line="240" w:lineRule="auto"/>
    </w:pPr>
    <w:tblPr>
      <w:tblStyleRowBandSize w:val="1"/>
      <w:tblStyleColBandSize w:val="1"/>
      <w:tblBorders>
        <w:top w:val="single" w:sz="4" w:space="0" w:color="93B41A" w:themeColor="accent2"/>
        <w:left w:val="single" w:sz="4" w:space="0" w:color="93B41A" w:themeColor="accent2"/>
        <w:bottom w:val="single" w:sz="4" w:space="0" w:color="93B41A" w:themeColor="accent2"/>
        <w:right w:val="single" w:sz="4" w:space="0" w:color="93B41A" w:themeColor="accent2"/>
      </w:tblBorders>
    </w:tblPr>
    <w:tblStylePr w:type="firstRow">
      <w:rPr>
        <w:b/>
        <w:bCs/>
        <w:color w:val="FFFFFF" w:themeColor="background1"/>
      </w:rPr>
      <w:tblPr/>
      <w:tcPr>
        <w:shd w:val="clear" w:color="auto" w:fill="93B41A" w:themeFill="accent2"/>
      </w:tcPr>
    </w:tblStylePr>
    <w:tblStylePr w:type="lastRow">
      <w:rPr>
        <w:b/>
        <w:bCs/>
      </w:rPr>
      <w:tblPr/>
      <w:tcPr>
        <w:tcBorders>
          <w:top w:val="double" w:sz="4" w:space="0" w:color="93B41A"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3B41A" w:themeColor="accent2"/>
          <w:right w:val="single" w:sz="4" w:space="0" w:color="93B41A" w:themeColor="accent2"/>
        </w:tcBorders>
      </w:tcPr>
    </w:tblStylePr>
    <w:tblStylePr w:type="band1Horz">
      <w:tblPr/>
      <w:tcPr>
        <w:tcBorders>
          <w:top w:val="single" w:sz="4" w:space="0" w:color="93B41A" w:themeColor="accent2"/>
          <w:bottom w:val="single" w:sz="4" w:space="0" w:color="93B41A"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3B41A" w:themeColor="accent2"/>
          <w:left w:val="nil"/>
        </w:tcBorders>
      </w:tcPr>
    </w:tblStylePr>
    <w:tblStylePr w:type="swCell">
      <w:tblPr/>
      <w:tcPr>
        <w:tcBorders>
          <w:top w:val="double" w:sz="4" w:space="0" w:color="93B41A" w:themeColor="accent2"/>
          <w:right w:val="nil"/>
        </w:tcBorders>
      </w:tcPr>
    </w:tblStylePr>
  </w:style>
  <w:style w:type="table" w:styleId="ListTable3-Accent3">
    <w:name w:val="List Table 3 Accent 3"/>
    <w:basedOn w:val="TableNormal"/>
    <w:uiPriority w:val="48"/>
    <w:rsid w:val="00B469D3"/>
    <w:pPr>
      <w:spacing w:after="0" w:line="240" w:lineRule="auto"/>
    </w:pPr>
    <w:tblPr>
      <w:tblStyleRowBandSize w:val="1"/>
      <w:tblStyleColBandSize w:val="1"/>
      <w:tblBorders>
        <w:top w:val="single" w:sz="4" w:space="0" w:color="F06A3B" w:themeColor="accent3"/>
        <w:left w:val="single" w:sz="4" w:space="0" w:color="F06A3B" w:themeColor="accent3"/>
        <w:bottom w:val="single" w:sz="4" w:space="0" w:color="F06A3B" w:themeColor="accent3"/>
        <w:right w:val="single" w:sz="4" w:space="0" w:color="F06A3B" w:themeColor="accent3"/>
      </w:tblBorders>
    </w:tblPr>
    <w:tblStylePr w:type="firstRow">
      <w:rPr>
        <w:b/>
        <w:bCs/>
        <w:color w:val="FFFFFF" w:themeColor="background1"/>
      </w:rPr>
      <w:tblPr/>
      <w:tcPr>
        <w:shd w:val="clear" w:color="auto" w:fill="F06A3B" w:themeFill="accent3"/>
      </w:tcPr>
    </w:tblStylePr>
    <w:tblStylePr w:type="lastRow">
      <w:rPr>
        <w:b/>
        <w:bCs/>
      </w:rPr>
      <w:tblPr/>
      <w:tcPr>
        <w:tcBorders>
          <w:top w:val="double" w:sz="4" w:space="0" w:color="F06A3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6A3B" w:themeColor="accent3"/>
          <w:right w:val="single" w:sz="4" w:space="0" w:color="F06A3B" w:themeColor="accent3"/>
        </w:tcBorders>
      </w:tcPr>
    </w:tblStylePr>
    <w:tblStylePr w:type="band1Horz">
      <w:tblPr/>
      <w:tcPr>
        <w:tcBorders>
          <w:top w:val="single" w:sz="4" w:space="0" w:color="F06A3B" w:themeColor="accent3"/>
          <w:bottom w:val="single" w:sz="4" w:space="0" w:color="F06A3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6A3B" w:themeColor="accent3"/>
          <w:left w:val="nil"/>
        </w:tcBorders>
      </w:tcPr>
    </w:tblStylePr>
    <w:tblStylePr w:type="swCell">
      <w:tblPr/>
      <w:tcPr>
        <w:tcBorders>
          <w:top w:val="double" w:sz="4" w:space="0" w:color="F06A3B" w:themeColor="accent3"/>
          <w:right w:val="nil"/>
        </w:tcBorders>
      </w:tcPr>
    </w:tblStylePr>
  </w:style>
  <w:style w:type="table" w:styleId="ListTable3-Accent4">
    <w:name w:val="List Table 3 Accent 4"/>
    <w:basedOn w:val="TableNormal"/>
    <w:uiPriority w:val="48"/>
    <w:rsid w:val="00B469D3"/>
    <w:pPr>
      <w:spacing w:after="0" w:line="240" w:lineRule="auto"/>
    </w:pPr>
    <w:tblPr>
      <w:tblStyleRowBandSize w:val="1"/>
      <w:tblStyleColBandSize w:val="1"/>
      <w:tblBorders>
        <w:top w:val="single" w:sz="4" w:space="0" w:color="9561CC" w:themeColor="accent4"/>
        <w:left w:val="single" w:sz="4" w:space="0" w:color="9561CC" w:themeColor="accent4"/>
        <w:bottom w:val="single" w:sz="4" w:space="0" w:color="9561CC" w:themeColor="accent4"/>
        <w:right w:val="single" w:sz="4" w:space="0" w:color="9561CC" w:themeColor="accent4"/>
      </w:tblBorders>
    </w:tblPr>
    <w:tblStylePr w:type="firstRow">
      <w:rPr>
        <w:b/>
        <w:bCs/>
        <w:color w:val="FFFFFF" w:themeColor="background1"/>
      </w:rPr>
      <w:tblPr/>
      <w:tcPr>
        <w:shd w:val="clear" w:color="auto" w:fill="9561CC" w:themeFill="accent4"/>
      </w:tcPr>
    </w:tblStylePr>
    <w:tblStylePr w:type="lastRow">
      <w:rPr>
        <w:b/>
        <w:bCs/>
      </w:rPr>
      <w:tblPr/>
      <w:tcPr>
        <w:tcBorders>
          <w:top w:val="double" w:sz="4" w:space="0" w:color="9561C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61CC" w:themeColor="accent4"/>
          <w:right w:val="single" w:sz="4" w:space="0" w:color="9561CC" w:themeColor="accent4"/>
        </w:tcBorders>
      </w:tcPr>
    </w:tblStylePr>
    <w:tblStylePr w:type="band1Horz">
      <w:tblPr/>
      <w:tcPr>
        <w:tcBorders>
          <w:top w:val="single" w:sz="4" w:space="0" w:color="9561CC" w:themeColor="accent4"/>
          <w:bottom w:val="single" w:sz="4" w:space="0" w:color="9561C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61CC" w:themeColor="accent4"/>
          <w:left w:val="nil"/>
        </w:tcBorders>
      </w:tcPr>
    </w:tblStylePr>
    <w:tblStylePr w:type="swCell">
      <w:tblPr/>
      <w:tcPr>
        <w:tcBorders>
          <w:top w:val="double" w:sz="4" w:space="0" w:color="9561CC" w:themeColor="accent4"/>
          <w:right w:val="nil"/>
        </w:tcBorders>
      </w:tcPr>
    </w:tblStylePr>
  </w:style>
  <w:style w:type="table" w:styleId="ListTable3-Accent5">
    <w:name w:val="List Table 3 Accent 5"/>
    <w:basedOn w:val="TableNormal"/>
    <w:uiPriority w:val="48"/>
    <w:rsid w:val="00B469D3"/>
    <w:pPr>
      <w:spacing w:after="0" w:line="240" w:lineRule="auto"/>
    </w:pPr>
    <w:tblPr>
      <w:tblStyleRowBandSize w:val="1"/>
      <w:tblStyleColBandSize w:val="1"/>
      <w:tblBorders>
        <w:top w:val="single" w:sz="4" w:space="0" w:color="00ADC6" w:themeColor="accent5"/>
        <w:left w:val="single" w:sz="4" w:space="0" w:color="00ADC6" w:themeColor="accent5"/>
        <w:bottom w:val="single" w:sz="4" w:space="0" w:color="00ADC6" w:themeColor="accent5"/>
        <w:right w:val="single" w:sz="4" w:space="0" w:color="00ADC6" w:themeColor="accent5"/>
      </w:tblBorders>
    </w:tblPr>
    <w:tblStylePr w:type="firstRow">
      <w:rPr>
        <w:b/>
        <w:bCs/>
        <w:color w:val="FFFFFF" w:themeColor="background1"/>
      </w:rPr>
      <w:tblPr/>
      <w:tcPr>
        <w:shd w:val="clear" w:color="auto" w:fill="00ADC6" w:themeFill="accent5"/>
      </w:tcPr>
    </w:tblStylePr>
    <w:tblStylePr w:type="lastRow">
      <w:rPr>
        <w:b/>
        <w:bCs/>
      </w:rPr>
      <w:tblPr/>
      <w:tcPr>
        <w:tcBorders>
          <w:top w:val="double" w:sz="4" w:space="0" w:color="00AD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ADC6" w:themeColor="accent5"/>
          <w:right w:val="single" w:sz="4" w:space="0" w:color="00ADC6" w:themeColor="accent5"/>
        </w:tcBorders>
      </w:tcPr>
    </w:tblStylePr>
    <w:tblStylePr w:type="band1Horz">
      <w:tblPr/>
      <w:tcPr>
        <w:tcBorders>
          <w:top w:val="single" w:sz="4" w:space="0" w:color="00ADC6" w:themeColor="accent5"/>
          <w:bottom w:val="single" w:sz="4" w:space="0" w:color="00AD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ADC6" w:themeColor="accent5"/>
          <w:left w:val="nil"/>
        </w:tcBorders>
      </w:tcPr>
    </w:tblStylePr>
    <w:tblStylePr w:type="swCell">
      <w:tblPr/>
      <w:tcPr>
        <w:tcBorders>
          <w:top w:val="double" w:sz="4" w:space="0" w:color="00ADC6" w:themeColor="accent5"/>
          <w:right w:val="nil"/>
        </w:tcBorders>
      </w:tcPr>
    </w:tblStylePr>
  </w:style>
  <w:style w:type="table" w:styleId="ListTable3-Accent6">
    <w:name w:val="List Table 3 Accent 6"/>
    <w:basedOn w:val="TableNormal"/>
    <w:uiPriority w:val="48"/>
    <w:rsid w:val="00B469D3"/>
    <w:pPr>
      <w:spacing w:after="0" w:line="240" w:lineRule="auto"/>
    </w:pPr>
    <w:tblPr>
      <w:tblStyleRowBandSize w:val="1"/>
      <w:tblStyleColBandSize w:val="1"/>
      <w:tblBorders>
        <w:top w:val="single" w:sz="4" w:space="0" w:color="FD8F0A" w:themeColor="accent6"/>
        <w:left w:val="single" w:sz="4" w:space="0" w:color="FD8F0A" w:themeColor="accent6"/>
        <w:bottom w:val="single" w:sz="4" w:space="0" w:color="FD8F0A" w:themeColor="accent6"/>
        <w:right w:val="single" w:sz="4" w:space="0" w:color="FD8F0A" w:themeColor="accent6"/>
      </w:tblBorders>
    </w:tblPr>
    <w:tblStylePr w:type="firstRow">
      <w:rPr>
        <w:b/>
        <w:bCs/>
        <w:color w:val="FFFFFF" w:themeColor="background1"/>
      </w:rPr>
      <w:tblPr/>
      <w:tcPr>
        <w:shd w:val="clear" w:color="auto" w:fill="FD8F0A" w:themeFill="accent6"/>
      </w:tcPr>
    </w:tblStylePr>
    <w:tblStylePr w:type="lastRow">
      <w:rPr>
        <w:b/>
        <w:bCs/>
      </w:rPr>
      <w:tblPr/>
      <w:tcPr>
        <w:tcBorders>
          <w:top w:val="double" w:sz="4" w:space="0" w:color="FD8F0A"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D8F0A" w:themeColor="accent6"/>
          <w:right w:val="single" w:sz="4" w:space="0" w:color="FD8F0A" w:themeColor="accent6"/>
        </w:tcBorders>
      </w:tcPr>
    </w:tblStylePr>
    <w:tblStylePr w:type="band1Horz">
      <w:tblPr/>
      <w:tcPr>
        <w:tcBorders>
          <w:top w:val="single" w:sz="4" w:space="0" w:color="FD8F0A" w:themeColor="accent6"/>
          <w:bottom w:val="single" w:sz="4" w:space="0" w:color="FD8F0A"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D8F0A" w:themeColor="accent6"/>
          <w:left w:val="nil"/>
        </w:tcBorders>
      </w:tcPr>
    </w:tblStylePr>
    <w:tblStylePr w:type="swCell">
      <w:tblPr/>
      <w:tcPr>
        <w:tcBorders>
          <w:top w:val="double" w:sz="4" w:space="0" w:color="FD8F0A" w:themeColor="accent6"/>
          <w:right w:val="nil"/>
        </w:tcBorders>
      </w:tcPr>
    </w:tblStylePr>
  </w:style>
  <w:style w:type="table" w:styleId="ListTable4">
    <w:name w:val="List Table 4"/>
    <w:basedOn w:val="TableNormal"/>
    <w:uiPriority w:val="49"/>
    <w:rsid w:val="00B469D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B469D3"/>
    <w:pPr>
      <w:spacing w:after="0" w:line="240" w:lineRule="auto"/>
    </w:pPr>
    <w:tblPr>
      <w:tblStyleRowBandSize w:val="1"/>
      <w:tblStyleColBandSize w:val="1"/>
      <w:tblBorders>
        <w:top w:val="single" w:sz="4" w:space="0" w:color="74DEAB" w:themeColor="accent1" w:themeTint="99"/>
        <w:left w:val="single" w:sz="4" w:space="0" w:color="74DEAB" w:themeColor="accent1" w:themeTint="99"/>
        <w:bottom w:val="single" w:sz="4" w:space="0" w:color="74DEAB" w:themeColor="accent1" w:themeTint="99"/>
        <w:right w:val="single" w:sz="4" w:space="0" w:color="74DEAB" w:themeColor="accent1" w:themeTint="99"/>
        <w:insideH w:val="single" w:sz="4" w:space="0" w:color="74DEAB" w:themeColor="accent1" w:themeTint="99"/>
      </w:tblBorders>
    </w:tblPr>
    <w:tblStylePr w:type="firstRow">
      <w:rPr>
        <w:b/>
        <w:bCs/>
        <w:color w:val="FFFFFF" w:themeColor="background1"/>
      </w:rPr>
      <w:tblPr/>
      <w:tcPr>
        <w:tcBorders>
          <w:top w:val="single" w:sz="4" w:space="0" w:color="2BB673" w:themeColor="accent1"/>
          <w:left w:val="single" w:sz="4" w:space="0" w:color="2BB673" w:themeColor="accent1"/>
          <w:bottom w:val="single" w:sz="4" w:space="0" w:color="2BB673" w:themeColor="accent1"/>
          <w:right w:val="single" w:sz="4" w:space="0" w:color="2BB673" w:themeColor="accent1"/>
          <w:insideH w:val="nil"/>
        </w:tcBorders>
        <w:shd w:val="clear" w:color="auto" w:fill="2BB673" w:themeFill="accent1"/>
      </w:tcPr>
    </w:tblStylePr>
    <w:tblStylePr w:type="lastRow">
      <w:rPr>
        <w:b/>
        <w:bCs/>
      </w:rPr>
      <w:tblPr/>
      <w:tcPr>
        <w:tcBorders>
          <w:top w:val="double" w:sz="4" w:space="0" w:color="74DEAB" w:themeColor="accent1" w:themeTint="99"/>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4-Accent2">
    <w:name w:val="List Table 4 Accent 2"/>
    <w:basedOn w:val="TableNormal"/>
    <w:uiPriority w:val="49"/>
    <w:rsid w:val="00B469D3"/>
    <w:pPr>
      <w:spacing w:after="0" w:line="240" w:lineRule="auto"/>
    </w:pPr>
    <w:tblPr>
      <w:tblStyleRowBandSize w:val="1"/>
      <w:tblStyleColBandSize w:val="1"/>
      <w:tblBorders>
        <w:top w:val="single" w:sz="4" w:space="0" w:color="CAE85F" w:themeColor="accent2" w:themeTint="99"/>
        <w:left w:val="single" w:sz="4" w:space="0" w:color="CAE85F" w:themeColor="accent2" w:themeTint="99"/>
        <w:bottom w:val="single" w:sz="4" w:space="0" w:color="CAE85F" w:themeColor="accent2" w:themeTint="99"/>
        <w:right w:val="single" w:sz="4" w:space="0" w:color="CAE85F" w:themeColor="accent2" w:themeTint="99"/>
        <w:insideH w:val="single" w:sz="4" w:space="0" w:color="CAE85F" w:themeColor="accent2" w:themeTint="99"/>
      </w:tblBorders>
    </w:tblPr>
    <w:tblStylePr w:type="firstRow">
      <w:rPr>
        <w:b/>
        <w:bCs/>
        <w:color w:val="FFFFFF" w:themeColor="background1"/>
      </w:rPr>
      <w:tblPr/>
      <w:tcPr>
        <w:tcBorders>
          <w:top w:val="single" w:sz="4" w:space="0" w:color="93B41A" w:themeColor="accent2"/>
          <w:left w:val="single" w:sz="4" w:space="0" w:color="93B41A" w:themeColor="accent2"/>
          <w:bottom w:val="single" w:sz="4" w:space="0" w:color="93B41A" w:themeColor="accent2"/>
          <w:right w:val="single" w:sz="4" w:space="0" w:color="93B41A" w:themeColor="accent2"/>
          <w:insideH w:val="nil"/>
        </w:tcBorders>
        <w:shd w:val="clear" w:color="auto" w:fill="93B41A" w:themeFill="accent2"/>
      </w:tcPr>
    </w:tblStylePr>
    <w:tblStylePr w:type="lastRow">
      <w:rPr>
        <w:b/>
        <w:bCs/>
      </w:rPr>
      <w:tblPr/>
      <w:tcPr>
        <w:tcBorders>
          <w:top w:val="double" w:sz="4" w:space="0" w:color="CAE85F" w:themeColor="accent2" w:themeTint="99"/>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4-Accent3">
    <w:name w:val="List Table 4 Accent 3"/>
    <w:basedOn w:val="TableNormal"/>
    <w:uiPriority w:val="49"/>
    <w:rsid w:val="00B469D3"/>
    <w:pPr>
      <w:spacing w:after="0" w:line="240" w:lineRule="auto"/>
    </w:pPr>
    <w:tblPr>
      <w:tblStyleRowBandSize w:val="1"/>
      <w:tblStyleColBandSize w:val="1"/>
      <w:tblBorders>
        <w:top w:val="single" w:sz="4" w:space="0" w:color="F6A589" w:themeColor="accent3" w:themeTint="99"/>
        <w:left w:val="single" w:sz="4" w:space="0" w:color="F6A589" w:themeColor="accent3" w:themeTint="99"/>
        <w:bottom w:val="single" w:sz="4" w:space="0" w:color="F6A589" w:themeColor="accent3" w:themeTint="99"/>
        <w:right w:val="single" w:sz="4" w:space="0" w:color="F6A589" w:themeColor="accent3" w:themeTint="99"/>
        <w:insideH w:val="single" w:sz="4" w:space="0" w:color="F6A589" w:themeColor="accent3" w:themeTint="99"/>
      </w:tblBorders>
    </w:tblPr>
    <w:tblStylePr w:type="firstRow">
      <w:rPr>
        <w:b/>
        <w:bCs/>
        <w:color w:val="FFFFFF" w:themeColor="background1"/>
      </w:rPr>
      <w:tblPr/>
      <w:tcPr>
        <w:tcBorders>
          <w:top w:val="single" w:sz="4" w:space="0" w:color="F06A3B" w:themeColor="accent3"/>
          <w:left w:val="single" w:sz="4" w:space="0" w:color="F06A3B" w:themeColor="accent3"/>
          <w:bottom w:val="single" w:sz="4" w:space="0" w:color="F06A3B" w:themeColor="accent3"/>
          <w:right w:val="single" w:sz="4" w:space="0" w:color="F06A3B" w:themeColor="accent3"/>
          <w:insideH w:val="nil"/>
        </w:tcBorders>
        <w:shd w:val="clear" w:color="auto" w:fill="F06A3B" w:themeFill="accent3"/>
      </w:tcPr>
    </w:tblStylePr>
    <w:tblStylePr w:type="lastRow">
      <w:rPr>
        <w:b/>
        <w:bCs/>
      </w:rPr>
      <w:tblPr/>
      <w:tcPr>
        <w:tcBorders>
          <w:top w:val="double" w:sz="4" w:space="0" w:color="F6A589" w:themeColor="accent3" w:themeTint="99"/>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4-Accent4">
    <w:name w:val="List Table 4 Accent 4"/>
    <w:basedOn w:val="TableNormal"/>
    <w:uiPriority w:val="49"/>
    <w:rsid w:val="00B469D3"/>
    <w:pPr>
      <w:spacing w:after="0" w:line="240" w:lineRule="auto"/>
    </w:pPr>
    <w:tblPr>
      <w:tblStyleRowBandSize w:val="1"/>
      <w:tblStyleColBandSize w:val="1"/>
      <w:tblBorders>
        <w:top w:val="single" w:sz="4" w:space="0" w:color="BFA0E0" w:themeColor="accent4" w:themeTint="99"/>
        <w:left w:val="single" w:sz="4" w:space="0" w:color="BFA0E0" w:themeColor="accent4" w:themeTint="99"/>
        <w:bottom w:val="single" w:sz="4" w:space="0" w:color="BFA0E0" w:themeColor="accent4" w:themeTint="99"/>
        <w:right w:val="single" w:sz="4" w:space="0" w:color="BFA0E0" w:themeColor="accent4" w:themeTint="99"/>
        <w:insideH w:val="single" w:sz="4" w:space="0" w:color="BFA0E0" w:themeColor="accent4" w:themeTint="99"/>
      </w:tblBorders>
    </w:tblPr>
    <w:tblStylePr w:type="firstRow">
      <w:rPr>
        <w:b/>
        <w:bCs/>
        <w:color w:val="FFFFFF" w:themeColor="background1"/>
      </w:rPr>
      <w:tblPr/>
      <w:tcPr>
        <w:tcBorders>
          <w:top w:val="single" w:sz="4" w:space="0" w:color="9561CC" w:themeColor="accent4"/>
          <w:left w:val="single" w:sz="4" w:space="0" w:color="9561CC" w:themeColor="accent4"/>
          <w:bottom w:val="single" w:sz="4" w:space="0" w:color="9561CC" w:themeColor="accent4"/>
          <w:right w:val="single" w:sz="4" w:space="0" w:color="9561CC" w:themeColor="accent4"/>
          <w:insideH w:val="nil"/>
        </w:tcBorders>
        <w:shd w:val="clear" w:color="auto" w:fill="9561CC" w:themeFill="accent4"/>
      </w:tcPr>
    </w:tblStylePr>
    <w:tblStylePr w:type="lastRow">
      <w:rPr>
        <w:b/>
        <w:bCs/>
      </w:rPr>
      <w:tblPr/>
      <w:tcPr>
        <w:tcBorders>
          <w:top w:val="double" w:sz="4" w:space="0" w:color="BFA0E0" w:themeColor="accent4" w:themeTint="99"/>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4-Accent5">
    <w:name w:val="List Table 4 Accent 5"/>
    <w:basedOn w:val="TableNormal"/>
    <w:uiPriority w:val="49"/>
    <w:rsid w:val="00B469D3"/>
    <w:pPr>
      <w:spacing w:after="0" w:line="240" w:lineRule="auto"/>
    </w:pPr>
    <w:tblPr>
      <w:tblStyleRowBandSize w:val="1"/>
      <w:tblStyleColBandSize w:val="1"/>
      <w:tblBorders>
        <w:top w:val="single" w:sz="4" w:space="0" w:color="43E6FF" w:themeColor="accent5" w:themeTint="99"/>
        <w:left w:val="single" w:sz="4" w:space="0" w:color="43E6FF" w:themeColor="accent5" w:themeTint="99"/>
        <w:bottom w:val="single" w:sz="4" w:space="0" w:color="43E6FF" w:themeColor="accent5" w:themeTint="99"/>
        <w:right w:val="single" w:sz="4" w:space="0" w:color="43E6FF" w:themeColor="accent5" w:themeTint="99"/>
        <w:insideH w:val="single" w:sz="4" w:space="0" w:color="43E6FF" w:themeColor="accent5" w:themeTint="99"/>
      </w:tblBorders>
    </w:tblPr>
    <w:tblStylePr w:type="firstRow">
      <w:rPr>
        <w:b/>
        <w:bCs/>
        <w:color w:val="FFFFFF" w:themeColor="background1"/>
      </w:rPr>
      <w:tblPr/>
      <w:tcPr>
        <w:tcBorders>
          <w:top w:val="single" w:sz="4" w:space="0" w:color="00ADC6" w:themeColor="accent5"/>
          <w:left w:val="single" w:sz="4" w:space="0" w:color="00ADC6" w:themeColor="accent5"/>
          <w:bottom w:val="single" w:sz="4" w:space="0" w:color="00ADC6" w:themeColor="accent5"/>
          <w:right w:val="single" w:sz="4" w:space="0" w:color="00ADC6" w:themeColor="accent5"/>
          <w:insideH w:val="nil"/>
        </w:tcBorders>
        <w:shd w:val="clear" w:color="auto" w:fill="00ADC6" w:themeFill="accent5"/>
      </w:tcPr>
    </w:tblStylePr>
    <w:tblStylePr w:type="lastRow">
      <w:rPr>
        <w:b/>
        <w:bCs/>
      </w:rPr>
      <w:tblPr/>
      <w:tcPr>
        <w:tcBorders>
          <w:top w:val="double" w:sz="4" w:space="0" w:color="43E6FF" w:themeColor="accent5" w:themeTint="99"/>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4-Accent6">
    <w:name w:val="List Table 4 Accent 6"/>
    <w:basedOn w:val="TableNormal"/>
    <w:uiPriority w:val="49"/>
    <w:rsid w:val="00B469D3"/>
    <w:pPr>
      <w:spacing w:after="0" w:line="240" w:lineRule="auto"/>
    </w:pPr>
    <w:tblPr>
      <w:tblStyleRowBandSize w:val="1"/>
      <w:tblStyleColBandSize w:val="1"/>
      <w:tblBorders>
        <w:top w:val="single" w:sz="4" w:space="0" w:color="FDBB6B" w:themeColor="accent6" w:themeTint="99"/>
        <w:left w:val="single" w:sz="4" w:space="0" w:color="FDBB6B" w:themeColor="accent6" w:themeTint="99"/>
        <w:bottom w:val="single" w:sz="4" w:space="0" w:color="FDBB6B" w:themeColor="accent6" w:themeTint="99"/>
        <w:right w:val="single" w:sz="4" w:space="0" w:color="FDBB6B" w:themeColor="accent6" w:themeTint="99"/>
        <w:insideH w:val="single" w:sz="4" w:space="0" w:color="FDBB6B" w:themeColor="accent6" w:themeTint="99"/>
      </w:tblBorders>
    </w:tblPr>
    <w:tblStylePr w:type="firstRow">
      <w:rPr>
        <w:b/>
        <w:bCs/>
        <w:color w:val="FFFFFF" w:themeColor="background1"/>
      </w:rPr>
      <w:tblPr/>
      <w:tcPr>
        <w:tcBorders>
          <w:top w:val="single" w:sz="4" w:space="0" w:color="FD8F0A" w:themeColor="accent6"/>
          <w:left w:val="single" w:sz="4" w:space="0" w:color="FD8F0A" w:themeColor="accent6"/>
          <w:bottom w:val="single" w:sz="4" w:space="0" w:color="FD8F0A" w:themeColor="accent6"/>
          <w:right w:val="single" w:sz="4" w:space="0" w:color="FD8F0A" w:themeColor="accent6"/>
          <w:insideH w:val="nil"/>
        </w:tcBorders>
        <w:shd w:val="clear" w:color="auto" w:fill="FD8F0A" w:themeFill="accent6"/>
      </w:tcPr>
    </w:tblStylePr>
    <w:tblStylePr w:type="lastRow">
      <w:rPr>
        <w:b/>
        <w:bCs/>
      </w:rPr>
      <w:tblPr/>
      <w:tcPr>
        <w:tcBorders>
          <w:top w:val="double" w:sz="4" w:space="0" w:color="FDBB6B" w:themeColor="accent6" w:themeTint="99"/>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5Dark">
    <w:name w:val="List Table 5 Dark"/>
    <w:basedOn w:val="TableNormal"/>
    <w:uiPriority w:val="50"/>
    <w:rsid w:val="00B469D3"/>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B469D3"/>
    <w:pPr>
      <w:spacing w:after="0" w:line="240" w:lineRule="auto"/>
    </w:pPr>
    <w:rPr>
      <w:color w:val="FFFFFF" w:themeColor="background1"/>
    </w:rPr>
    <w:tblPr>
      <w:tblStyleRowBandSize w:val="1"/>
      <w:tblStyleColBandSize w:val="1"/>
      <w:tblBorders>
        <w:top w:val="single" w:sz="24" w:space="0" w:color="2BB673" w:themeColor="accent1"/>
        <w:left w:val="single" w:sz="24" w:space="0" w:color="2BB673" w:themeColor="accent1"/>
        <w:bottom w:val="single" w:sz="24" w:space="0" w:color="2BB673" w:themeColor="accent1"/>
        <w:right w:val="single" w:sz="24" w:space="0" w:color="2BB673" w:themeColor="accent1"/>
      </w:tblBorders>
    </w:tblPr>
    <w:tcPr>
      <w:shd w:val="clear" w:color="auto" w:fill="2BB67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B469D3"/>
    <w:pPr>
      <w:spacing w:after="0" w:line="240" w:lineRule="auto"/>
    </w:pPr>
    <w:rPr>
      <w:color w:val="FFFFFF" w:themeColor="background1"/>
    </w:rPr>
    <w:tblPr>
      <w:tblStyleRowBandSize w:val="1"/>
      <w:tblStyleColBandSize w:val="1"/>
      <w:tblBorders>
        <w:top w:val="single" w:sz="24" w:space="0" w:color="93B41A" w:themeColor="accent2"/>
        <w:left w:val="single" w:sz="24" w:space="0" w:color="93B41A" w:themeColor="accent2"/>
        <w:bottom w:val="single" w:sz="24" w:space="0" w:color="93B41A" w:themeColor="accent2"/>
        <w:right w:val="single" w:sz="24" w:space="0" w:color="93B41A" w:themeColor="accent2"/>
      </w:tblBorders>
    </w:tblPr>
    <w:tcPr>
      <w:shd w:val="clear" w:color="auto" w:fill="93B41A"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B469D3"/>
    <w:pPr>
      <w:spacing w:after="0" w:line="240" w:lineRule="auto"/>
    </w:pPr>
    <w:rPr>
      <w:color w:val="FFFFFF" w:themeColor="background1"/>
    </w:rPr>
    <w:tblPr>
      <w:tblStyleRowBandSize w:val="1"/>
      <w:tblStyleColBandSize w:val="1"/>
      <w:tblBorders>
        <w:top w:val="single" w:sz="24" w:space="0" w:color="F06A3B" w:themeColor="accent3"/>
        <w:left w:val="single" w:sz="24" w:space="0" w:color="F06A3B" w:themeColor="accent3"/>
        <w:bottom w:val="single" w:sz="24" w:space="0" w:color="F06A3B" w:themeColor="accent3"/>
        <w:right w:val="single" w:sz="24" w:space="0" w:color="F06A3B" w:themeColor="accent3"/>
      </w:tblBorders>
    </w:tblPr>
    <w:tcPr>
      <w:shd w:val="clear" w:color="auto" w:fill="F06A3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B469D3"/>
    <w:pPr>
      <w:spacing w:after="0" w:line="240" w:lineRule="auto"/>
    </w:pPr>
    <w:rPr>
      <w:color w:val="FFFFFF" w:themeColor="background1"/>
    </w:rPr>
    <w:tblPr>
      <w:tblStyleRowBandSize w:val="1"/>
      <w:tblStyleColBandSize w:val="1"/>
      <w:tblBorders>
        <w:top w:val="single" w:sz="24" w:space="0" w:color="9561CC" w:themeColor="accent4"/>
        <w:left w:val="single" w:sz="24" w:space="0" w:color="9561CC" w:themeColor="accent4"/>
        <w:bottom w:val="single" w:sz="24" w:space="0" w:color="9561CC" w:themeColor="accent4"/>
        <w:right w:val="single" w:sz="24" w:space="0" w:color="9561CC" w:themeColor="accent4"/>
      </w:tblBorders>
    </w:tblPr>
    <w:tcPr>
      <w:shd w:val="clear" w:color="auto" w:fill="9561C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B469D3"/>
    <w:pPr>
      <w:spacing w:after="0" w:line="240" w:lineRule="auto"/>
    </w:pPr>
    <w:rPr>
      <w:color w:val="FFFFFF" w:themeColor="background1"/>
    </w:rPr>
    <w:tblPr>
      <w:tblStyleRowBandSize w:val="1"/>
      <w:tblStyleColBandSize w:val="1"/>
      <w:tblBorders>
        <w:top w:val="single" w:sz="24" w:space="0" w:color="00ADC6" w:themeColor="accent5"/>
        <w:left w:val="single" w:sz="24" w:space="0" w:color="00ADC6" w:themeColor="accent5"/>
        <w:bottom w:val="single" w:sz="24" w:space="0" w:color="00ADC6" w:themeColor="accent5"/>
        <w:right w:val="single" w:sz="24" w:space="0" w:color="00ADC6" w:themeColor="accent5"/>
      </w:tblBorders>
    </w:tblPr>
    <w:tcPr>
      <w:shd w:val="clear" w:color="auto" w:fill="00AD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B469D3"/>
    <w:pPr>
      <w:spacing w:after="0" w:line="240" w:lineRule="auto"/>
    </w:pPr>
    <w:rPr>
      <w:color w:val="FFFFFF" w:themeColor="background1"/>
    </w:rPr>
    <w:tblPr>
      <w:tblStyleRowBandSize w:val="1"/>
      <w:tblStyleColBandSize w:val="1"/>
      <w:tblBorders>
        <w:top w:val="single" w:sz="24" w:space="0" w:color="FD8F0A" w:themeColor="accent6"/>
        <w:left w:val="single" w:sz="24" w:space="0" w:color="FD8F0A" w:themeColor="accent6"/>
        <w:bottom w:val="single" w:sz="24" w:space="0" w:color="FD8F0A" w:themeColor="accent6"/>
        <w:right w:val="single" w:sz="24" w:space="0" w:color="FD8F0A" w:themeColor="accent6"/>
      </w:tblBorders>
    </w:tblPr>
    <w:tcPr>
      <w:shd w:val="clear" w:color="auto" w:fill="FD8F0A"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urful">
    <w:name w:val="List Table 6 Colorful"/>
    <w:basedOn w:val="TableNormal"/>
    <w:uiPriority w:val="51"/>
    <w:rsid w:val="00B469D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urfulAccent1">
    <w:name w:val="List Table 6 Colorful Accent 1"/>
    <w:basedOn w:val="TableNormal"/>
    <w:uiPriority w:val="51"/>
    <w:rsid w:val="00B469D3"/>
    <w:pPr>
      <w:spacing w:after="0" w:line="240" w:lineRule="auto"/>
    </w:pPr>
    <w:rPr>
      <w:color w:val="208855" w:themeColor="accent1" w:themeShade="BF"/>
    </w:rPr>
    <w:tblPr>
      <w:tblStyleRowBandSize w:val="1"/>
      <w:tblStyleColBandSize w:val="1"/>
      <w:tblBorders>
        <w:top w:val="single" w:sz="4" w:space="0" w:color="2BB673" w:themeColor="accent1"/>
        <w:bottom w:val="single" w:sz="4" w:space="0" w:color="2BB673" w:themeColor="accent1"/>
      </w:tblBorders>
    </w:tblPr>
    <w:tblStylePr w:type="firstRow">
      <w:rPr>
        <w:b/>
        <w:bCs/>
      </w:rPr>
      <w:tblPr/>
      <w:tcPr>
        <w:tcBorders>
          <w:bottom w:val="single" w:sz="4" w:space="0" w:color="2BB673" w:themeColor="accent1"/>
        </w:tcBorders>
      </w:tcPr>
    </w:tblStylePr>
    <w:tblStylePr w:type="lastRow">
      <w:rPr>
        <w:b/>
        <w:bCs/>
      </w:rPr>
      <w:tblPr/>
      <w:tcPr>
        <w:tcBorders>
          <w:top w:val="double" w:sz="4" w:space="0" w:color="2BB673" w:themeColor="accent1"/>
        </w:tcBorders>
      </w:tcPr>
    </w:tblStylePr>
    <w:tblStylePr w:type="firstCol">
      <w:rPr>
        <w:b/>
        <w:bCs/>
      </w:rPr>
    </w:tblStylePr>
    <w:tblStylePr w:type="lastCol">
      <w:rPr>
        <w:b/>
        <w:bCs/>
      </w:rPr>
    </w:tblStylePr>
    <w:tblStylePr w:type="band1Vert">
      <w:tblPr/>
      <w:tcPr>
        <w:shd w:val="clear" w:color="auto" w:fill="D0F4E3" w:themeFill="accent1" w:themeFillTint="33"/>
      </w:tcPr>
    </w:tblStylePr>
    <w:tblStylePr w:type="band1Horz">
      <w:tblPr/>
      <w:tcPr>
        <w:shd w:val="clear" w:color="auto" w:fill="D0F4E3" w:themeFill="accent1" w:themeFillTint="33"/>
      </w:tcPr>
    </w:tblStylePr>
  </w:style>
  <w:style w:type="table" w:styleId="ListTable6ColourfulAccent2">
    <w:name w:val="List Table 6 Colorful Accent 2"/>
    <w:basedOn w:val="TableNormal"/>
    <w:uiPriority w:val="51"/>
    <w:rsid w:val="00B469D3"/>
    <w:pPr>
      <w:spacing w:after="0" w:line="240" w:lineRule="auto"/>
    </w:pPr>
    <w:rPr>
      <w:color w:val="6D8613" w:themeColor="accent2" w:themeShade="BF"/>
    </w:rPr>
    <w:tblPr>
      <w:tblStyleRowBandSize w:val="1"/>
      <w:tblStyleColBandSize w:val="1"/>
      <w:tblBorders>
        <w:top w:val="single" w:sz="4" w:space="0" w:color="93B41A" w:themeColor="accent2"/>
        <w:bottom w:val="single" w:sz="4" w:space="0" w:color="93B41A" w:themeColor="accent2"/>
      </w:tblBorders>
    </w:tblPr>
    <w:tblStylePr w:type="firstRow">
      <w:rPr>
        <w:b/>
        <w:bCs/>
      </w:rPr>
      <w:tblPr/>
      <w:tcPr>
        <w:tcBorders>
          <w:bottom w:val="single" w:sz="4" w:space="0" w:color="93B41A" w:themeColor="accent2"/>
        </w:tcBorders>
      </w:tcPr>
    </w:tblStylePr>
    <w:tblStylePr w:type="lastRow">
      <w:rPr>
        <w:b/>
        <w:bCs/>
      </w:rPr>
      <w:tblPr/>
      <w:tcPr>
        <w:tcBorders>
          <w:top w:val="double" w:sz="4" w:space="0" w:color="93B41A" w:themeColor="accent2"/>
        </w:tcBorders>
      </w:tcPr>
    </w:tblStylePr>
    <w:tblStylePr w:type="firstCol">
      <w:rPr>
        <w:b/>
        <w:bCs/>
      </w:rPr>
    </w:tblStylePr>
    <w:tblStylePr w:type="lastCol">
      <w:rPr>
        <w:b/>
        <w:bCs/>
      </w:rPr>
    </w:tblStylePr>
    <w:tblStylePr w:type="band1Vert">
      <w:tblPr/>
      <w:tcPr>
        <w:shd w:val="clear" w:color="auto" w:fill="EDF7C9" w:themeFill="accent2" w:themeFillTint="33"/>
      </w:tcPr>
    </w:tblStylePr>
    <w:tblStylePr w:type="band1Horz">
      <w:tblPr/>
      <w:tcPr>
        <w:shd w:val="clear" w:color="auto" w:fill="EDF7C9" w:themeFill="accent2" w:themeFillTint="33"/>
      </w:tcPr>
    </w:tblStylePr>
  </w:style>
  <w:style w:type="table" w:styleId="ListTable6ColourfulAccent3">
    <w:name w:val="List Table 6 Colorful Accent 3"/>
    <w:basedOn w:val="TableNormal"/>
    <w:uiPriority w:val="51"/>
    <w:rsid w:val="00B469D3"/>
    <w:pPr>
      <w:spacing w:after="0" w:line="240" w:lineRule="auto"/>
    </w:pPr>
    <w:rPr>
      <w:color w:val="CF4110" w:themeColor="accent3" w:themeShade="BF"/>
    </w:rPr>
    <w:tblPr>
      <w:tblStyleRowBandSize w:val="1"/>
      <w:tblStyleColBandSize w:val="1"/>
      <w:tblBorders>
        <w:top w:val="single" w:sz="4" w:space="0" w:color="F06A3B" w:themeColor="accent3"/>
        <w:bottom w:val="single" w:sz="4" w:space="0" w:color="F06A3B" w:themeColor="accent3"/>
      </w:tblBorders>
    </w:tblPr>
    <w:tblStylePr w:type="firstRow">
      <w:rPr>
        <w:b/>
        <w:bCs/>
      </w:rPr>
      <w:tblPr/>
      <w:tcPr>
        <w:tcBorders>
          <w:bottom w:val="single" w:sz="4" w:space="0" w:color="F06A3B" w:themeColor="accent3"/>
        </w:tcBorders>
      </w:tcPr>
    </w:tblStylePr>
    <w:tblStylePr w:type="lastRow">
      <w:rPr>
        <w:b/>
        <w:bCs/>
      </w:rPr>
      <w:tblPr/>
      <w:tcPr>
        <w:tcBorders>
          <w:top w:val="double" w:sz="4" w:space="0" w:color="F06A3B" w:themeColor="accent3"/>
        </w:tcBorders>
      </w:tcPr>
    </w:tblStylePr>
    <w:tblStylePr w:type="firstCol">
      <w:rPr>
        <w:b/>
        <w:bCs/>
      </w:rPr>
    </w:tblStylePr>
    <w:tblStylePr w:type="lastCol">
      <w:rPr>
        <w:b/>
        <w:bCs/>
      </w:rPr>
    </w:tblStylePr>
    <w:tblStylePr w:type="band1Vert">
      <w:tblPr/>
      <w:tcPr>
        <w:shd w:val="clear" w:color="auto" w:fill="FCE1D7" w:themeFill="accent3" w:themeFillTint="33"/>
      </w:tcPr>
    </w:tblStylePr>
    <w:tblStylePr w:type="band1Horz">
      <w:tblPr/>
      <w:tcPr>
        <w:shd w:val="clear" w:color="auto" w:fill="FCE1D7" w:themeFill="accent3" w:themeFillTint="33"/>
      </w:tcPr>
    </w:tblStylePr>
  </w:style>
  <w:style w:type="table" w:styleId="ListTable6ColourfulAccent4">
    <w:name w:val="List Table 6 Colorful Accent 4"/>
    <w:basedOn w:val="TableNormal"/>
    <w:uiPriority w:val="51"/>
    <w:rsid w:val="00B469D3"/>
    <w:pPr>
      <w:spacing w:after="0" w:line="240" w:lineRule="auto"/>
    </w:pPr>
    <w:rPr>
      <w:color w:val="6E37AA" w:themeColor="accent4" w:themeShade="BF"/>
    </w:rPr>
    <w:tblPr>
      <w:tblStyleRowBandSize w:val="1"/>
      <w:tblStyleColBandSize w:val="1"/>
      <w:tblBorders>
        <w:top w:val="single" w:sz="4" w:space="0" w:color="9561CC" w:themeColor="accent4"/>
        <w:bottom w:val="single" w:sz="4" w:space="0" w:color="9561CC" w:themeColor="accent4"/>
      </w:tblBorders>
    </w:tblPr>
    <w:tblStylePr w:type="firstRow">
      <w:rPr>
        <w:b/>
        <w:bCs/>
      </w:rPr>
      <w:tblPr/>
      <w:tcPr>
        <w:tcBorders>
          <w:bottom w:val="single" w:sz="4" w:space="0" w:color="9561CC" w:themeColor="accent4"/>
        </w:tcBorders>
      </w:tcPr>
    </w:tblStylePr>
    <w:tblStylePr w:type="lastRow">
      <w:rPr>
        <w:b/>
        <w:bCs/>
      </w:rPr>
      <w:tblPr/>
      <w:tcPr>
        <w:tcBorders>
          <w:top w:val="double" w:sz="4" w:space="0" w:color="9561CC" w:themeColor="accent4"/>
        </w:tcBorders>
      </w:tcPr>
    </w:tblStylePr>
    <w:tblStylePr w:type="firstCol">
      <w:rPr>
        <w:b/>
        <w:bCs/>
      </w:rPr>
    </w:tblStylePr>
    <w:tblStylePr w:type="lastCol">
      <w:rPr>
        <w:b/>
        <w:bCs/>
      </w:rPr>
    </w:tblStylePr>
    <w:tblStylePr w:type="band1Vert">
      <w:tblPr/>
      <w:tcPr>
        <w:shd w:val="clear" w:color="auto" w:fill="E9DFF4" w:themeFill="accent4" w:themeFillTint="33"/>
      </w:tcPr>
    </w:tblStylePr>
    <w:tblStylePr w:type="band1Horz">
      <w:tblPr/>
      <w:tcPr>
        <w:shd w:val="clear" w:color="auto" w:fill="E9DFF4" w:themeFill="accent4" w:themeFillTint="33"/>
      </w:tcPr>
    </w:tblStylePr>
  </w:style>
  <w:style w:type="table" w:styleId="ListTable6ColourfulAccent5">
    <w:name w:val="List Table 6 Colorful Accent 5"/>
    <w:basedOn w:val="TableNormal"/>
    <w:uiPriority w:val="51"/>
    <w:rsid w:val="00B469D3"/>
    <w:pPr>
      <w:spacing w:after="0" w:line="240" w:lineRule="auto"/>
    </w:pPr>
    <w:rPr>
      <w:color w:val="008094" w:themeColor="accent5" w:themeShade="BF"/>
    </w:rPr>
    <w:tblPr>
      <w:tblStyleRowBandSize w:val="1"/>
      <w:tblStyleColBandSize w:val="1"/>
      <w:tblBorders>
        <w:top w:val="single" w:sz="4" w:space="0" w:color="00ADC6" w:themeColor="accent5"/>
        <w:bottom w:val="single" w:sz="4" w:space="0" w:color="00ADC6" w:themeColor="accent5"/>
      </w:tblBorders>
    </w:tblPr>
    <w:tblStylePr w:type="firstRow">
      <w:rPr>
        <w:b/>
        <w:bCs/>
      </w:rPr>
      <w:tblPr/>
      <w:tcPr>
        <w:tcBorders>
          <w:bottom w:val="single" w:sz="4" w:space="0" w:color="00ADC6" w:themeColor="accent5"/>
        </w:tcBorders>
      </w:tcPr>
    </w:tblStylePr>
    <w:tblStylePr w:type="lastRow">
      <w:rPr>
        <w:b/>
        <w:bCs/>
      </w:rPr>
      <w:tblPr/>
      <w:tcPr>
        <w:tcBorders>
          <w:top w:val="double" w:sz="4" w:space="0" w:color="00ADC6" w:themeColor="accent5"/>
        </w:tcBorders>
      </w:tcPr>
    </w:tblStylePr>
    <w:tblStylePr w:type="firstCol">
      <w:rPr>
        <w:b/>
        <w:bCs/>
      </w:rPr>
    </w:tblStylePr>
    <w:tblStylePr w:type="lastCol">
      <w:rPr>
        <w:b/>
        <w:bCs/>
      </w:rPr>
    </w:tblStylePr>
    <w:tblStylePr w:type="band1Vert">
      <w:tblPr/>
      <w:tcPr>
        <w:shd w:val="clear" w:color="auto" w:fill="C0F6FF" w:themeFill="accent5" w:themeFillTint="33"/>
      </w:tcPr>
    </w:tblStylePr>
    <w:tblStylePr w:type="band1Horz">
      <w:tblPr/>
      <w:tcPr>
        <w:shd w:val="clear" w:color="auto" w:fill="C0F6FF" w:themeFill="accent5" w:themeFillTint="33"/>
      </w:tcPr>
    </w:tblStylePr>
  </w:style>
  <w:style w:type="table" w:styleId="ListTable6ColourfulAccent6">
    <w:name w:val="List Table 6 Colorful Accent 6"/>
    <w:basedOn w:val="TableNormal"/>
    <w:uiPriority w:val="51"/>
    <w:rsid w:val="00B469D3"/>
    <w:pPr>
      <w:spacing w:after="0" w:line="240" w:lineRule="auto"/>
    </w:pPr>
    <w:rPr>
      <w:color w:val="C36B01" w:themeColor="accent6" w:themeShade="BF"/>
    </w:rPr>
    <w:tblPr>
      <w:tblStyleRowBandSize w:val="1"/>
      <w:tblStyleColBandSize w:val="1"/>
      <w:tblBorders>
        <w:top w:val="single" w:sz="4" w:space="0" w:color="FD8F0A" w:themeColor="accent6"/>
        <w:bottom w:val="single" w:sz="4" w:space="0" w:color="FD8F0A" w:themeColor="accent6"/>
      </w:tblBorders>
    </w:tblPr>
    <w:tblStylePr w:type="firstRow">
      <w:rPr>
        <w:b/>
        <w:bCs/>
      </w:rPr>
      <w:tblPr/>
      <w:tcPr>
        <w:tcBorders>
          <w:bottom w:val="single" w:sz="4" w:space="0" w:color="FD8F0A" w:themeColor="accent6"/>
        </w:tcBorders>
      </w:tcPr>
    </w:tblStylePr>
    <w:tblStylePr w:type="lastRow">
      <w:rPr>
        <w:b/>
        <w:bCs/>
      </w:rPr>
      <w:tblPr/>
      <w:tcPr>
        <w:tcBorders>
          <w:top w:val="double" w:sz="4" w:space="0" w:color="FD8F0A" w:themeColor="accent6"/>
        </w:tcBorders>
      </w:tcPr>
    </w:tblStylePr>
    <w:tblStylePr w:type="firstCol">
      <w:rPr>
        <w:b/>
        <w:bCs/>
      </w:rPr>
    </w:tblStylePr>
    <w:tblStylePr w:type="lastCol">
      <w:rPr>
        <w:b/>
        <w:bCs/>
      </w:rPr>
    </w:tblStylePr>
    <w:tblStylePr w:type="band1Vert">
      <w:tblPr/>
      <w:tcPr>
        <w:shd w:val="clear" w:color="auto" w:fill="FEE8CD" w:themeFill="accent6" w:themeFillTint="33"/>
      </w:tcPr>
    </w:tblStylePr>
    <w:tblStylePr w:type="band1Horz">
      <w:tblPr/>
      <w:tcPr>
        <w:shd w:val="clear" w:color="auto" w:fill="FEE8CD" w:themeFill="accent6" w:themeFillTint="33"/>
      </w:tcPr>
    </w:tblStylePr>
  </w:style>
  <w:style w:type="table" w:styleId="ListTable7Colourful">
    <w:name w:val="List Table 7 Colorful"/>
    <w:basedOn w:val="TableNormal"/>
    <w:uiPriority w:val="52"/>
    <w:rsid w:val="00B469D3"/>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1">
    <w:name w:val="List Table 7 Colorful Accent 1"/>
    <w:basedOn w:val="TableNormal"/>
    <w:uiPriority w:val="52"/>
    <w:rsid w:val="00B469D3"/>
    <w:pPr>
      <w:spacing w:after="0" w:line="240" w:lineRule="auto"/>
    </w:pPr>
    <w:rPr>
      <w:color w:val="20885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B67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B67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B67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B673" w:themeColor="accent1"/>
        </w:tcBorders>
        <w:shd w:val="clear" w:color="auto" w:fill="FFFFFF" w:themeFill="background1"/>
      </w:tcPr>
    </w:tblStylePr>
    <w:tblStylePr w:type="band1Vert">
      <w:tblPr/>
      <w:tcPr>
        <w:shd w:val="clear" w:color="auto" w:fill="D0F4E3" w:themeFill="accent1" w:themeFillTint="33"/>
      </w:tcPr>
    </w:tblStylePr>
    <w:tblStylePr w:type="band1Horz">
      <w:tblPr/>
      <w:tcPr>
        <w:shd w:val="clear" w:color="auto" w:fill="D0F4E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2">
    <w:name w:val="List Table 7 Colorful Accent 2"/>
    <w:basedOn w:val="TableNormal"/>
    <w:uiPriority w:val="52"/>
    <w:rsid w:val="00B469D3"/>
    <w:pPr>
      <w:spacing w:after="0" w:line="240" w:lineRule="auto"/>
    </w:pPr>
    <w:rPr>
      <w:color w:val="6D8613"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3B41A"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3B41A"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3B41A"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3B41A" w:themeColor="accent2"/>
        </w:tcBorders>
        <w:shd w:val="clear" w:color="auto" w:fill="FFFFFF" w:themeFill="background1"/>
      </w:tcPr>
    </w:tblStylePr>
    <w:tblStylePr w:type="band1Vert">
      <w:tblPr/>
      <w:tcPr>
        <w:shd w:val="clear" w:color="auto" w:fill="EDF7C9" w:themeFill="accent2" w:themeFillTint="33"/>
      </w:tcPr>
    </w:tblStylePr>
    <w:tblStylePr w:type="band1Horz">
      <w:tblPr/>
      <w:tcPr>
        <w:shd w:val="clear" w:color="auto" w:fill="EDF7C9"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3">
    <w:name w:val="List Table 7 Colorful Accent 3"/>
    <w:basedOn w:val="TableNormal"/>
    <w:uiPriority w:val="52"/>
    <w:rsid w:val="00B469D3"/>
    <w:pPr>
      <w:spacing w:after="0" w:line="240" w:lineRule="auto"/>
    </w:pPr>
    <w:rPr>
      <w:color w:val="CF411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6A3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6A3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6A3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6A3B" w:themeColor="accent3"/>
        </w:tcBorders>
        <w:shd w:val="clear" w:color="auto" w:fill="FFFFFF" w:themeFill="background1"/>
      </w:tcPr>
    </w:tblStylePr>
    <w:tblStylePr w:type="band1Vert">
      <w:tblPr/>
      <w:tcPr>
        <w:shd w:val="clear" w:color="auto" w:fill="FCE1D7" w:themeFill="accent3" w:themeFillTint="33"/>
      </w:tcPr>
    </w:tblStylePr>
    <w:tblStylePr w:type="band1Horz">
      <w:tblPr/>
      <w:tcPr>
        <w:shd w:val="clear" w:color="auto" w:fill="FCE1D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4">
    <w:name w:val="List Table 7 Colorful Accent 4"/>
    <w:basedOn w:val="TableNormal"/>
    <w:uiPriority w:val="52"/>
    <w:rsid w:val="00B469D3"/>
    <w:pPr>
      <w:spacing w:after="0" w:line="240" w:lineRule="auto"/>
    </w:pPr>
    <w:rPr>
      <w:color w:val="6E37AA"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561C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561C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561C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561CC" w:themeColor="accent4"/>
        </w:tcBorders>
        <w:shd w:val="clear" w:color="auto" w:fill="FFFFFF" w:themeFill="background1"/>
      </w:tcPr>
    </w:tblStylePr>
    <w:tblStylePr w:type="band1Vert">
      <w:tblPr/>
      <w:tcPr>
        <w:shd w:val="clear" w:color="auto" w:fill="E9DFF4" w:themeFill="accent4" w:themeFillTint="33"/>
      </w:tcPr>
    </w:tblStylePr>
    <w:tblStylePr w:type="band1Horz">
      <w:tblPr/>
      <w:tcPr>
        <w:shd w:val="clear" w:color="auto" w:fill="E9DF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5">
    <w:name w:val="List Table 7 Colorful Accent 5"/>
    <w:basedOn w:val="TableNormal"/>
    <w:uiPriority w:val="52"/>
    <w:rsid w:val="00B469D3"/>
    <w:pPr>
      <w:spacing w:after="0" w:line="240" w:lineRule="auto"/>
    </w:pPr>
    <w:rPr>
      <w:color w:val="00809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AD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AD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AD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ADC6" w:themeColor="accent5"/>
        </w:tcBorders>
        <w:shd w:val="clear" w:color="auto" w:fill="FFFFFF" w:themeFill="background1"/>
      </w:tcPr>
    </w:tblStylePr>
    <w:tblStylePr w:type="band1Vert">
      <w:tblPr/>
      <w:tcPr>
        <w:shd w:val="clear" w:color="auto" w:fill="C0F6FF" w:themeFill="accent5" w:themeFillTint="33"/>
      </w:tcPr>
    </w:tblStylePr>
    <w:tblStylePr w:type="band1Horz">
      <w:tblPr/>
      <w:tcPr>
        <w:shd w:val="clear" w:color="auto" w:fill="C0F6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urfulAccent6">
    <w:name w:val="List Table 7 Colorful Accent 6"/>
    <w:basedOn w:val="TableNormal"/>
    <w:uiPriority w:val="52"/>
    <w:rsid w:val="00B469D3"/>
    <w:pPr>
      <w:spacing w:after="0" w:line="240" w:lineRule="auto"/>
    </w:pPr>
    <w:rPr>
      <w:color w:val="C36B0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D8F0A"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D8F0A"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D8F0A"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D8F0A" w:themeColor="accent6"/>
        </w:tcBorders>
        <w:shd w:val="clear" w:color="auto" w:fill="FFFFFF" w:themeFill="background1"/>
      </w:tcPr>
    </w:tblStylePr>
    <w:tblStylePr w:type="band1Vert">
      <w:tblPr/>
      <w:tcPr>
        <w:shd w:val="clear" w:color="auto" w:fill="FEE8CD" w:themeFill="accent6" w:themeFillTint="33"/>
      </w:tcPr>
    </w:tblStylePr>
    <w:tblStylePr w:type="band1Horz">
      <w:tblPr/>
      <w:tcPr>
        <w:shd w:val="clear" w:color="auto" w:fill="FEE8CD"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B469D3"/>
    <w:pPr>
      <w:tabs>
        <w:tab w:val="left" w:pos="480"/>
        <w:tab w:val="left" w:pos="960"/>
        <w:tab w:val="left" w:pos="1440"/>
        <w:tab w:val="left" w:pos="1920"/>
        <w:tab w:val="left" w:pos="2400"/>
        <w:tab w:val="left" w:pos="2880"/>
        <w:tab w:val="left" w:pos="3360"/>
        <w:tab w:val="left" w:pos="3840"/>
        <w:tab w:val="left" w:pos="4320"/>
      </w:tabs>
      <w:spacing w:after="0" w:line="300" w:lineRule="atLeast"/>
    </w:pPr>
    <w:rPr>
      <w:rFonts w:ascii="Consolas" w:hAnsi="Consolas"/>
      <w:color w:val="1E1E1E"/>
      <w:sz w:val="20"/>
      <w:szCs w:val="20"/>
    </w:rPr>
  </w:style>
  <w:style w:type="character" w:customStyle="1" w:styleId="MacroTextChar">
    <w:name w:val="Macro Text Char"/>
    <w:basedOn w:val="DefaultParagraphFont"/>
    <w:link w:val="MacroText"/>
    <w:uiPriority w:val="99"/>
    <w:semiHidden/>
    <w:rsid w:val="00B469D3"/>
    <w:rPr>
      <w:rFonts w:ascii="Consolas" w:hAnsi="Consolas"/>
      <w:color w:val="1E1E1E"/>
      <w:sz w:val="20"/>
      <w:szCs w:val="20"/>
    </w:rPr>
  </w:style>
  <w:style w:type="table" w:styleId="MediumGrid1">
    <w:name w:val="Medium Grid 1"/>
    <w:basedOn w:val="TableNormal"/>
    <w:uiPriority w:val="67"/>
    <w:semiHidden/>
    <w:unhideWhenUsed/>
    <w:rsid w:val="00B469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B469D3"/>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insideV w:val="single" w:sz="8" w:space="0" w:color="52D696" w:themeColor="accent1" w:themeTint="BF"/>
      </w:tblBorders>
    </w:tblPr>
    <w:tcPr>
      <w:shd w:val="clear" w:color="auto" w:fill="C5F1DC" w:themeFill="accent1" w:themeFillTint="3F"/>
    </w:tcPr>
    <w:tblStylePr w:type="firstRow">
      <w:rPr>
        <w:b/>
        <w:bCs/>
      </w:rPr>
    </w:tblStylePr>
    <w:tblStylePr w:type="lastRow">
      <w:rPr>
        <w:b/>
        <w:bCs/>
      </w:rPr>
      <w:tblPr/>
      <w:tcPr>
        <w:tcBorders>
          <w:top w:val="single" w:sz="18" w:space="0" w:color="52D696" w:themeColor="accent1" w:themeTint="BF"/>
        </w:tcBorders>
      </w:tcPr>
    </w:tblStylePr>
    <w:tblStylePr w:type="firstCol">
      <w:rPr>
        <w:b/>
        <w:bCs/>
      </w:rPr>
    </w:tblStylePr>
    <w:tblStylePr w:type="lastCol">
      <w:rPr>
        <w:b/>
        <w:bCs/>
      </w:rPr>
    </w:tblStylePr>
    <w:tblStylePr w:type="band1Vert">
      <w:tblPr/>
      <w:tcPr>
        <w:shd w:val="clear" w:color="auto" w:fill="8CE4B9" w:themeFill="accent1" w:themeFillTint="7F"/>
      </w:tcPr>
    </w:tblStylePr>
    <w:tblStylePr w:type="band1Horz">
      <w:tblPr/>
      <w:tcPr>
        <w:shd w:val="clear" w:color="auto" w:fill="8CE4B9" w:themeFill="accent1" w:themeFillTint="7F"/>
      </w:tcPr>
    </w:tblStylePr>
  </w:style>
  <w:style w:type="table" w:styleId="MediumGrid1-Accent2">
    <w:name w:val="Medium Grid 1 Accent 2"/>
    <w:basedOn w:val="TableNormal"/>
    <w:uiPriority w:val="67"/>
    <w:semiHidden/>
    <w:unhideWhenUsed/>
    <w:rsid w:val="00B469D3"/>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insideV w:val="single" w:sz="8" w:space="0" w:color="BDE237" w:themeColor="accent2" w:themeTint="BF"/>
      </w:tblBorders>
    </w:tblPr>
    <w:tcPr>
      <w:shd w:val="clear" w:color="auto" w:fill="E9F5BD" w:themeFill="accent2" w:themeFillTint="3F"/>
    </w:tcPr>
    <w:tblStylePr w:type="firstRow">
      <w:rPr>
        <w:b/>
        <w:bCs/>
      </w:rPr>
    </w:tblStylePr>
    <w:tblStylePr w:type="lastRow">
      <w:rPr>
        <w:b/>
        <w:bCs/>
      </w:rPr>
      <w:tblPr/>
      <w:tcPr>
        <w:tcBorders>
          <w:top w:val="single" w:sz="18" w:space="0" w:color="BDE237" w:themeColor="accent2" w:themeTint="BF"/>
        </w:tcBorders>
      </w:tcPr>
    </w:tblStylePr>
    <w:tblStylePr w:type="firstCol">
      <w:rPr>
        <w:b/>
        <w:bCs/>
      </w:rPr>
    </w:tblStylePr>
    <w:tblStylePr w:type="lastCol">
      <w:rPr>
        <w:b/>
        <w:bCs/>
      </w:rPr>
    </w:tblStylePr>
    <w:tblStylePr w:type="band1Vert">
      <w:tblPr/>
      <w:tcPr>
        <w:shd w:val="clear" w:color="auto" w:fill="D3EB7A" w:themeFill="accent2" w:themeFillTint="7F"/>
      </w:tcPr>
    </w:tblStylePr>
    <w:tblStylePr w:type="band1Horz">
      <w:tblPr/>
      <w:tcPr>
        <w:shd w:val="clear" w:color="auto" w:fill="D3EB7A" w:themeFill="accent2" w:themeFillTint="7F"/>
      </w:tcPr>
    </w:tblStylePr>
  </w:style>
  <w:style w:type="table" w:styleId="MediumGrid1-Accent3">
    <w:name w:val="Medium Grid 1 Accent 3"/>
    <w:basedOn w:val="TableNormal"/>
    <w:uiPriority w:val="67"/>
    <w:semiHidden/>
    <w:unhideWhenUsed/>
    <w:rsid w:val="00B469D3"/>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insideV w:val="single" w:sz="8" w:space="0" w:color="F38F6B" w:themeColor="accent3" w:themeTint="BF"/>
      </w:tblBorders>
    </w:tblPr>
    <w:tcPr>
      <w:shd w:val="clear" w:color="auto" w:fill="FBD9CE" w:themeFill="accent3" w:themeFillTint="3F"/>
    </w:tcPr>
    <w:tblStylePr w:type="firstRow">
      <w:rPr>
        <w:b/>
        <w:bCs/>
      </w:rPr>
    </w:tblStylePr>
    <w:tblStylePr w:type="lastRow">
      <w:rPr>
        <w:b/>
        <w:bCs/>
      </w:rPr>
      <w:tblPr/>
      <w:tcPr>
        <w:tcBorders>
          <w:top w:val="single" w:sz="18" w:space="0" w:color="F38F6B" w:themeColor="accent3" w:themeTint="BF"/>
        </w:tcBorders>
      </w:tcPr>
    </w:tblStylePr>
    <w:tblStylePr w:type="firstCol">
      <w:rPr>
        <w:b/>
        <w:bCs/>
      </w:rPr>
    </w:tblStylePr>
    <w:tblStylePr w:type="lastCol">
      <w:rPr>
        <w:b/>
        <w:bCs/>
      </w:rPr>
    </w:tblStylePr>
    <w:tblStylePr w:type="band1Vert">
      <w:tblPr/>
      <w:tcPr>
        <w:shd w:val="clear" w:color="auto" w:fill="F7B49D" w:themeFill="accent3" w:themeFillTint="7F"/>
      </w:tcPr>
    </w:tblStylePr>
    <w:tblStylePr w:type="band1Horz">
      <w:tblPr/>
      <w:tcPr>
        <w:shd w:val="clear" w:color="auto" w:fill="F7B49D" w:themeFill="accent3" w:themeFillTint="7F"/>
      </w:tcPr>
    </w:tblStylePr>
  </w:style>
  <w:style w:type="table" w:styleId="MediumGrid1-Accent4">
    <w:name w:val="Medium Grid 1 Accent 4"/>
    <w:basedOn w:val="TableNormal"/>
    <w:uiPriority w:val="67"/>
    <w:semiHidden/>
    <w:unhideWhenUsed/>
    <w:rsid w:val="00B469D3"/>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insideV w:val="single" w:sz="8" w:space="0" w:color="AF88D8" w:themeColor="accent4" w:themeTint="BF"/>
      </w:tblBorders>
    </w:tblPr>
    <w:tcPr>
      <w:shd w:val="clear" w:color="auto" w:fill="E4D7F2" w:themeFill="accent4" w:themeFillTint="3F"/>
    </w:tcPr>
    <w:tblStylePr w:type="firstRow">
      <w:rPr>
        <w:b/>
        <w:bCs/>
      </w:rPr>
    </w:tblStylePr>
    <w:tblStylePr w:type="lastRow">
      <w:rPr>
        <w:b/>
        <w:bCs/>
      </w:rPr>
      <w:tblPr/>
      <w:tcPr>
        <w:tcBorders>
          <w:top w:val="single" w:sz="18" w:space="0" w:color="AF88D8" w:themeColor="accent4" w:themeTint="BF"/>
        </w:tcBorders>
      </w:tcPr>
    </w:tblStylePr>
    <w:tblStylePr w:type="firstCol">
      <w:rPr>
        <w:b/>
        <w:bCs/>
      </w:rPr>
    </w:tblStylePr>
    <w:tblStylePr w:type="lastCol">
      <w:rPr>
        <w:b/>
        <w:bCs/>
      </w:rPr>
    </w:tblStylePr>
    <w:tblStylePr w:type="band1Vert">
      <w:tblPr/>
      <w:tcPr>
        <w:shd w:val="clear" w:color="auto" w:fill="C9B0E5" w:themeFill="accent4" w:themeFillTint="7F"/>
      </w:tcPr>
    </w:tblStylePr>
    <w:tblStylePr w:type="band1Horz">
      <w:tblPr/>
      <w:tcPr>
        <w:shd w:val="clear" w:color="auto" w:fill="C9B0E5" w:themeFill="accent4" w:themeFillTint="7F"/>
      </w:tcPr>
    </w:tblStylePr>
  </w:style>
  <w:style w:type="table" w:styleId="MediumGrid1-Accent5">
    <w:name w:val="Medium Grid 1 Accent 5"/>
    <w:basedOn w:val="TableNormal"/>
    <w:uiPriority w:val="67"/>
    <w:semiHidden/>
    <w:unhideWhenUsed/>
    <w:rsid w:val="00B469D3"/>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insideV w:val="single" w:sz="8" w:space="0" w:color="15E0FF" w:themeColor="accent5" w:themeTint="BF"/>
      </w:tblBorders>
    </w:tblPr>
    <w:tcPr>
      <w:shd w:val="clear" w:color="auto" w:fill="B1F4FF" w:themeFill="accent5" w:themeFillTint="3F"/>
    </w:tcPr>
    <w:tblStylePr w:type="firstRow">
      <w:rPr>
        <w:b/>
        <w:bCs/>
      </w:rPr>
    </w:tblStylePr>
    <w:tblStylePr w:type="lastRow">
      <w:rPr>
        <w:b/>
        <w:bCs/>
      </w:rPr>
      <w:tblPr/>
      <w:tcPr>
        <w:tcBorders>
          <w:top w:val="single" w:sz="18" w:space="0" w:color="15E0FF" w:themeColor="accent5" w:themeTint="BF"/>
        </w:tcBorders>
      </w:tcPr>
    </w:tblStylePr>
    <w:tblStylePr w:type="firstCol">
      <w:rPr>
        <w:b/>
        <w:bCs/>
      </w:rPr>
    </w:tblStylePr>
    <w:tblStylePr w:type="lastCol">
      <w:rPr>
        <w:b/>
        <w:bCs/>
      </w:rPr>
    </w:tblStylePr>
    <w:tblStylePr w:type="band1Vert">
      <w:tblPr/>
      <w:tcPr>
        <w:shd w:val="clear" w:color="auto" w:fill="63EAFF" w:themeFill="accent5" w:themeFillTint="7F"/>
      </w:tcPr>
    </w:tblStylePr>
    <w:tblStylePr w:type="band1Horz">
      <w:tblPr/>
      <w:tcPr>
        <w:shd w:val="clear" w:color="auto" w:fill="63EAFF" w:themeFill="accent5" w:themeFillTint="7F"/>
      </w:tcPr>
    </w:tblStylePr>
  </w:style>
  <w:style w:type="table" w:styleId="MediumGrid1-Accent6">
    <w:name w:val="Medium Grid 1 Accent 6"/>
    <w:basedOn w:val="TableNormal"/>
    <w:uiPriority w:val="67"/>
    <w:semiHidden/>
    <w:unhideWhenUsed/>
    <w:rsid w:val="00B469D3"/>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insideV w:val="single" w:sz="8" w:space="0" w:color="FDAA47" w:themeColor="accent6" w:themeTint="BF"/>
      </w:tblBorders>
    </w:tblPr>
    <w:tcPr>
      <w:shd w:val="clear" w:color="auto" w:fill="FEE3C2" w:themeFill="accent6" w:themeFillTint="3F"/>
    </w:tcPr>
    <w:tblStylePr w:type="firstRow">
      <w:rPr>
        <w:b/>
        <w:bCs/>
      </w:rPr>
    </w:tblStylePr>
    <w:tblStylePr w:type="lastRow">
      <w:rPr>
        <w:b/>
        <w:bCs/>
      </w:rPr>
      <w:tblPr/>
      <w:tcPr>
        <w:tcBorders>
          <w:top w:val="single" w:sz="18" w:space="0" w:color="FDAA47" w:themeColor="accent6" w:themeTint="BF"/>
        </w:tcBorders>
      </w:tcPr>
    </w:tblStylePr>
    <w:tblStylePr w:type="firstCol">
      <w:rPr>
        <w:b/>
        <w:bCs/>
      </w:rPr>
    </w:tblStylePr>
    <w:tblStylePr w:type="lastCol">
      <w:rPr>
        <w:b/>
        <w:bCs/>
      </w:rPr>
    </w:tblStylePr>
    <w:tblStylePr w:type="band1Vert">
      <w:tblPr/>
      <w:tcPr>
        <w:shd w:val="clear" w:color="auto" w:fill="FEC684" w:themeFill="accent6" w:themeFillTint="7F"/>
      </w:tcPr>
    </w:tblStylePr>
    <w:tblStylePr w:type="band1Horz">
      <w:tblPr/>
      <w:tcPr>
        <w:shd w:val="clear" w:color="auto" w:fill="FEC684" w:themeFill="accent6" w:themeFillTint="7F"/>
      </w:tcPr>
    </w:tblStylePr>
  </w:style>
  <w:style w:type="table" w:styleId="MediumGrid2">
    <w:name w:val="Medium Grid 2"/>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insideH w:val="single" w:sz="8" w:space="0" w:color="2BB673" w:themeColor="accent1"/>
        <w:insideV w:val="single" w:sz="8" w:space="0" w:color="2BB673" w:themeColor="accent1"/>
      </w:tblBorders>
    </w:tblPr>
    <w:tcPr>
      <w:shd w:val="clear" w:color="auto" w:fill="C5F1DC" w:themeFill="accent1" w:themeFillTint="3F"/>
    </w:tcPr>
    <w:tblStylePr w:type="firstRow">
      <w:rPr>
        <w:b/>
        <w:bCs/>
        <w:color w:val="000000" w:themeColor="text1"/>
      </w:rPr>
      <w:tblPr/>
      <w:tcPr>
        <w:shd w:val="clear" w:color="auto" w:fill="E8F9F1"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0F4E3" w:themeFill="accent1" w:themeFillTint="33"/>
      </w:tcPr>
    </w:tblStylePr>
    <w:tblStylePr w:type="band1Vert">
      <w:tblPr/>
      <w:tcPr>
        <w:shd w:val="clear" w:color="auto" w:fill="8CE4B9" w:themeFill="accent1" w:themeFillTint="7F"/>
      </w:tcPr>
    </w:tblStylePr>
    <w:tblStylePr w:type="band1Horz">
      <w:tblPr/>
      <w:tcPr>
        <w:tcBorders>
          <w:insideH w:val="single" w:sz="6" w:space="0" w:color="2BB673" w:themeColor="accent1"/>
          <w:insideV w:val="single" w:sz="6" w:space="0" w:color="2BB673" w:themeColor="accent1"/>
        </w:tcBorders>
        <w:shd w:val="clear" w:color="auto" w:fill="8CE4B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insideH w:val="single" w:sz="8" w:space="0" w:color="93B41A" w:themeColor="accent2"/>
        <w:insideV w:val="single" w:sz="8" w:space="0" w:color="93B41A" w:themeColor="accent2"/>
      </w:tblBorders>
    </w:tblPr>
    <w:tcPr>
      <w:shd w:val="clear" w:color="auto" w:fill="E9F5BD" w:themeFill="accent2" w:themeFillTint="3F"/>
    </w:tcPr>
    <w:tblStylePr w:type="firstRow">
      <w:rPr>
        <w:b/>
        <w:bCs/>
        <w:color w:val="000000" w:themeColor="text1"/>
      </w:rPr>
      <w:tblPr/>
      <w:tcPr>
        <w:shd w:val="clear" w:color="auto" w:fill="F6FBE4"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F7C9" w:themeFill="accent2" w:themeFillTint="33"/>
      </w:tcPr>
    </w:tblStylePr>
    <w:tblStylePr w:type="band1Vert">
      <w:tblPr/>
      <w:tcPr>
        <w:shd w:val="clear" w:color="auto" w:fill="D3EB7A" w:themeFill="accent2" w:themeFillTint="7F"/>
      </w:tcPr>
    </w:tblStylePr>
    <w:tblStylePr w:type="band1Horz">
      <w:tblPr/>
      <w:tcPr>
        <w:tcBorders>
          <w:insideH w:val="single" w:sz="6" w:space="0" w:color="93B41A" w:themeColor="accent2"/>
          <w:insideV w:val="single" w:sz="6" w:space="0" w:color="93B41A" w:themeColor="accent2"/>
        </w:tcBorders>
        <w:shd w:val="clear" w:color="auto" w:fill="D3EB7A"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insideH w:val="single" w:sz="8" w:space="0" w:color="F06A3B" w:themeColor="accent3"/>
        <w:insideV w:val="single" w:sz="8" w:space="0" w:color="F06A3B" w:themeColor="accent3"/>
      </w:tblBorders>
    </w:tblPr>
    <w:tcPr>
      <w:shd w:val="clear" w:color="auto" w:fill="FBD9CE" w:themeFill="accent3" w:themeFillTint="3F"/>
    </w:tcPr>
    <w:tblStylePr w:type="firstRow">
      <w:rPr>
        <w:b/>
        <w:bCs/>
        <w:color w:val="000000" w:themeColor="text1"/>
      </w:rPr>
      <w:tblPr/>
      <w:tcPr>
        <w:shd w:val="clear" w:color="auto" w:fill="FDF0EB"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E1D7" w:themeFill="accent3" w:themeFillTint="33"/>
      </w:tcPr>
    </w:tblStylePr>
    <w:tblStylePr w:type="band1Vert">
      <w:tblPr/>
      <w:tcPr>
        <w:shd w:val="clear" w:color="auto" w:fill="F7B49D" w:themeFill="accent3" w:themeFillTint="7F"/>
      </w:tcPr>
    </w:tblStylePr>
    <w:tblStylePr w:type="band1Horz">
      <w:tblPr/>
      <w:tcPr>
        <w:tcBorders>
          <w:insideH w:val="single" w:sz="6" w:space="0" w:color="F06A3B" w:themeColor="accent3"/>
          <w:insideV w:val="single" w:sz="6" w:space="0" w:color="F06A3B" w:themeColor="accent3"/>
        </w:tcBorders>
        <w:shd w:val="clear" w:color="auto" w:fill="F7B49D"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insideH w:val="single" w:sz="8" w:space="0" w:color="9561CC" w:themeColor="accent4"/>
        <w:insideV w:val="single" w:sz="8" w:space="0" w:color="9561CC" w:themeColor="accent4"/>
      </w:tblBorders>
    </w:tblPr>
    <w:tcPr>
      <w:shd w:val="clear" w:color="auto" w:fill="E4D7F2" w:themeFill="accent4" w:themeFillTint="3F"/>
    </w:tcPr>
    <w:tblStylePr w:type="firstRow">
      <w:rPr>
        <w:b/>
        <w:bCs/>
        <w:color w:val="000000" w:themeColor="text1"/>
      </w:rPr>
      <w:tblPr/>
      <w:tcPr>
        <w:shd w:val="clear" w:color="auto" w:fill="F4EFFA"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9DFF4" w:themeFill="accent4" w:themeFillTint="33"/>
      </w:tcPr>
    </w:tblStylePr>
    <w:tblStylePr w:type="band1Vert">
      <w:tblPr/>
      <w:tcPr>
        <w:shd w:val="clear" w:color="auto" w:fill="C9B0E5" w:themeFill="accent4" w:themeFillTint="7F"/>
      </w:tcPr>
    </w:tblStylePr>
    <w:tblStylePr w:type="band1Horz">
      <w:tblPr/>
      <w:tcPr>
        <w:tcBorders>
          <w:insideH w:val="single" w:sz="6" w:space="0" w:color="9561CC" w:themeColor="accent4"/>
          <w:insideV w:val="single" w:sz="6" w:space="0" w:color="9561CC" w:themeColor="accent4"/>
        </w:tcBorders>
        <w:shd w:val="clear" w:color="auto" w:fill="C9B0E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insideH w:val="single" w:sz="8" w:space="0" w:color="00ADC6" w:themeColor="accent5"/>
        <w:insideV w:val="single" w:sz="8" w:space="0" w:color="00ADC6" w:themeColor="accent5"/>
      </w:tblBorders>
    </w:tblPr>
    <w:tcPr>
      <w:shd w:val="clear" w:color="auto" w:fill="B1F4FF" w:themeFill="accent5" w:themeFillTint="3F"/>
    </w:tcPr>
    <w:tblStylePr w:type="firstRow">
      <w:rPr>
        <w:b/>
        <w:bCs/>
        <w:color w:val="000000" w:themeColor="text1"/>
      </w:rPr>
      <w:tblPr/>
      <w:tcPr>
        <w:shd w:val="clear" w:color="auto" w:fill="E0FB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0F6FF" w:themeFill="accent5" w:themeFillTint="33"/>
      </w:tcPr>
    </w:tblStylePr>
    <w:tblStylePr w:type="band1Vert">
      <w:tblPr/>
      <w:tcPr>
        <w:shd w:val="clear" w:color="auto" w:fill="63EAFF" w:themeFill="accent5" w:themeFillTint="7F"/>
      </w:tcPr>
    </w:tblStylePr>
    <w:tblStylePr w:type="band1Horz">
      <w:tblPr/>
      <w:tcPr>
        <w:tcBorders>
          <w:insideH w:val="single" w:sz="6" w:space="0" w:color="00ADC6" w:themeColor="accent5"/>
          <w:insideV w:val="single" w:sz="6" w:space="0" w:color="00ADC6" w:themeColor="accent5"/>
        </w:tcBorders>
        <w:shd w:val="clear" w:color="auto" w:fill="63EA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insideH w:val="single" w:sz="8" w:space="0" w:color="FD8F0A" w:themeColor="accent6"/>
        <w:insideV w:val="single" w:sz="8" w:space="0" w:color="FD8F0A" w:themeColor="accent6"/>
      </w:tblBorders>
    </w:tblPr>
    <w:tcPr>
      <w:shd w:val="clear" w:color="auto" w:fill="FEE3C2" w:themeFill="accent6" w:themeFillTint="3F"/>
    </w:tcPr>
    <w:tblStylePr w:type="firstRow">
      <w:rPr>
        <w:b/>
        <w:bCs/>
        <w:color w:val="000000" w:themeColor="text1"/>
      </w:rPr>
      <w:tblPr/>
      <w:tcPr>
        <w:shd w:val="clear" w:color="auto" w:fill="FEF3E6"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EE8CD" w:themeFill="accent6" w:themeFillTint="33"/>
      </w:tcPr>
    </w:tblStylePr>
    <w:tblStylePr w:type="band1Vert">
      <w:tblPr/>
      <w:tcPr>
        <w:shd w:val="clear" w:color="auto" w:fill="FEC684" w:themeFill="accent6" w:themeFillTint="7F"/>
      </w:tcPr>
    </w:tblStylePr>
    <w:tblStylePr w:type="band1Horz">
      <w:tblPr/>
      <w:tcPr>
        <w:tcBorders>
          <w:insideH w:val="single" w:sz="6" w:space="0" w:color="FD8F0A" w:themeColor="accent6"/>
          <w:insideV w:val="single" w:sz="6" w:space="0" w:color="FD8F0A" w:themeColor="accent6"/>
        </w:tcBorders>
        <w:shd w:val="clear" w:color="auto" w:fill="FEC684"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5F1D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B67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B67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B67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CE4B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CE4B9" w:themeFill="accent1" w:themeFillTint="7F"/>
      </w:tcPr>
    </w:tblStylePr>
  </w:style>
  <w:style w:type="table" w:styleId="MediumGrid3-Accent2">
    <w:name w:val="Medium Grid 3 Accent 2"/>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9F5BD"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3B41A"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3B41A"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3B41A"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3EB7A"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3EB7A" w:themeFill="accent2" w:themeFillTint="7F"/>
      </w:tcPr>
    </w:tblStylePr>
  </w:style>
  <w:style w:type="table" w:styleId="MediumGrid3-Accent3">
    <w:name w:val="Medium Grid 3 Accent 3"/>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D9CE"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6A3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6A3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6A3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7B49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7B49D" w:themeFill="accent3" w:themeFillTint="7F"/>
      </w:tcPr>
    </w:tblStylePr>
  </w:style>
  <w:style w:type="table" w:styleId="MediumGrid3-Accent4">
    <w:name w:val="Medium Grid 3 Accent 4"/>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4D7F2"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561C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561C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561C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9B0E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9B0E5" w:themeFill="accent4" w:themeFillTint="7F"/>
      </w:tcPr>
    </w:tblStylePr>
  </w:style>
  <w:style w:type="table" w:styleId="MediumGrid3-Accent5">
    <w:name w:val="Medium Grid 3 Accent 5"/>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1F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AD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AD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AD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3EA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3EAFF" w:themeFill="accent5" w:themeFillTint="7F"/>
      </w:tcPr>
    </w:tblStylePr>
  </w:style>
  <w:style w:type="table" w:styleId="MediumGrid3-Accent6">
    <w:name w:val="Medium Grid 3 Accent 6"/>
    <w:basedOn w:val="TableNormal"/>
    <w:uiPriority w:val="69"/>
    <w:semiHidden/>
    <w:unhideWhenUsed/>
    <w:rsid w:val="00B469D3"/>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EE3C2"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D8F0A"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D8F0A"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D8F0A"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EC684"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EC684" w:themeFill="accent6" w:themeFillTint="7F"/>
      </w:tcPr>
    </w:tblStylePr>
  </w:style>
  <w:style w:type="table" w:styleId="MediumList1">
    <w:name w:val="Medium List 1"/>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6262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2BB673" w:themeColor="accent1"/>
        <w:bottom w:val="single" w:sz="8" w:space="0" w:color="2BB673" w:themeColor="accent1"/>
      </w:tblBorders>
    </w:tblPr>
    <w:tblStylePr w:type="firstRow">
      <w:rPr>
        <w:rFonts w:asciiTheme="majorHAnsi" w:eastAsiaTheme="majorEastAsia" w:hAnsiTheme="majorHAnsi" w:cstheme="majorBidi"/>
      </w:rPr>
      <w:tblPr/>
      <w:tcPr>
        <w:tcBorders>
          <w:top w:val="nil"/>
          <w:bottom w:val="single" w:sz="8" w:space="0" w:color="2BB673" w:themeColor="accent1"/>
        </w:tcBorders>
      </w:tcPr>
    </w:tblStylePr>
    <w:tblStylePr w:type="lastRow">
      <w:rPr>
        <w:b/>
        <w:bCs/>
        <w:color w:val="262626" w:themeColor="text2"/>
      </w:rPr>
      <w:tblPr/>
      <w:tcPr>
        <w:tcBorders>
          <w:top w:val="single" w:sz="8" w:space="0" w:color="2BB673" w:themeColor="accent1"/>
          <w:bottom w:val="single" w:sz="8" w:space="0" w:color="2BB673" w:themeColor="accent1"/>
        </w:tcBorders>
      </w:tcPr>
    </w:tblStylePr>
    <w:tblStylePr w:type="firstCol">
      <w:rPr>
        <w:b/>
        <w:bCs/>
      </w:rPr>
    </w:tblStylePr>
    <w:tblStylePr w:type="lastCol">
      <w:rPr>
        <w:b/>
        <w:bCs/>
      </w:rPr>
      <w:tblPr/>
      <w:tcPr>
        <w:tcBorders>
          <w:top w:val="single" w:sz="8" w:space="0" w:color="2BB673" w:themeColor="accent1"/>
          <w:bottom w:val="single" w:sz="8" w:space="0" w:color="2BB673" w:themeColor="accent1"/>
        </w:tcBorders>
      </w:tcPr>
    </w:tblStylePr>
    <w:tblStylePr w:type="band1Vert">
      <w:tblPr/>
      <w:tcPr>
        <w:shd w:val="clear" w:color="auto" w:fill="C5F1DC" w:themeFill="accent1" w:themeFillTint="3F"/>
      </w:tcPr>
    </w:tblStylePr>
    <w:tblStylePr w:type="band1Horz">
      <w:tblPr/>
      <w:tcPr>
        <w:shd w:val="clear" w:color="auto" w:fill="C5F1DC" w:themeFill="accent1" w:themeFillTint="3F"/>
      </w:tcPr>
    </w:tblStylePr>
  </w:style>
  <w:style w:type="table" w:styleId="MediumList1-Accent2">
    <w:name w:val="Medium List 1 Accent 2"/>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93B41A" w:themeColor="accent2"/>
        <w:bottom w:val="single" w:sz="8" w:space="0" w:color="93B41A" w:themeColor="accent2"/>
      </w:tblBorders>
    </w:tblPr>
    <w:tblStylePr w:type="firstRow">
      <w:rPr>
        <w:rFonts w:asciiTheme="majorHAnsi" w:eastAsiaTheme="majorEastAsia" w:hAnsiTheme="majorHAnsi" w:cstheme="majorBidi"/>
      </w:rPr>
      <w:tblPr/>
      <w:tcPr>
        <w:tcBorders>
          <w:top w:val="nil"/>
          <w:bottom w:val="single" w:sz="8" w:space="0" w:color="93B41A" w:themeColor="accent2"/>
        </w:tcBorders>
      </w:tcPr>
    </w:tblStylePr>
    <w:tblStylePr w:type="lastRow">
      <w:rPr>
        <w:b/>
        <w:bCs/>
        <w:color w:val="262626" w:themeColor="text2"/>
      </w:rPr>
      <w:tblPr/>
      <w:tcPr>
        <w:tcBorders>
          <w:top w:val="single" w:sz="8" w:space="0" w:color="93B41A" w:themeColor="accent2"/>
          <w:bottom w:val="single" w:sz="8" w:space="0" w:color="93B41A" w:themeColor="accent2"/>
        </w:tcBorders>
      </w:tcPr>
    </w:tblStylePr>
    <w:tblStylePr w:type="firstCol">
      <w:rPr>
        <w:b/>
        <w:bCs/>
      </w:rPr>
    </w:tblStylePr>
    <w:tblStylePr w:type="lastCol">
      <w:rPr>
        <w:b/>
        <w:bCs/>
      </w:rPr>
      <w:tblPr/>
      <w:tcPr>
        <w:tcBorders>
          <w:top w:val="single" w:sz="8" w:space="0" w:color="93B41A" w:themeColor="accent2"/>
          <w:bottom w:val="single" w:sz="8" w:space="0" w:color="93B41A" w:themeColor="accent2"/>
        </w:tcBorders>
      </w:tcPr>
    </w:tblStylePr>
    <w:tblStylePr w:type="band1Vert">
      <w:tblPr/>
      <w:tcPr>
        <w:shd w:val="clear" w:color="auto" w:fill="E9F5BD" w:themeFill="accent2" w:themeFillTint="3F"/>
      </w:tcPr>
    </w:tblStylePr>
    <w:tblStylePr w:type="band1Horz">
      <w:tblPr/>
      <w:tcPr>
        <w:shd w:val="clear" w:color="auto" w:fill="E9F5BD" w:themeFill="accent2" w:themeFillTint="3F"/>
      </w:tcPr>
    </w:tblStylePr>
  </w:style>
  <w:style w:type="table" w:styleId="MediumList1-Accent3">
    <w:name w:val="Medium List 1 Accent 3"/>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F06A3B" w:themeColor="accent3"/>
        <w:bottom w:val="single" w:sz="8" w:space="0" w:color="F06A3B" w:themeColor="accent3"/>
      </w:tblBorders>
    </w:tblPr>
    <w:tblStylePr w:type="firstRow">
      <w:rPr>
        <w:rFonts w:asciiTheme="majorHAnsi" w:eastAsiaTheme="majorEastAsia" w:hAnsiTheme="majorHAnsi" w:cstheme="majorBidi"/>
      </w:rPr>
      <w:tblPr/>
      <w:tcPr>
        <w:tcBorders>
          <w:top w:val="nil"/>
          <w:bottom w:val="single" w:sz="8" w:space="0" w:color="F06A3B" w:themeColor="accent3"/>
        </w:tcBorders>
      </w:tcPr>
    </w:tblStylePr>
    <w:tblStylePr w:type="lastRow">
      <w:rPr>
        <w:b/>
        <w:bCs/>
        <w:color w:val="262626" w:themeColor="text2"/>
      </w:rPr>
      <w:tblPr/>
      <w:tcPr>
        <w:tcBorders>
          <w:top w:val="single" w:sz="8" w:space="0" w:color="F06A3B" w:themeColor="accent3"/>
          <w:bottom w:val="single" w:sz="8" w:space="0" w:color="F06A3B" w:themeColor="accent3"/>
        </w:tcBorders>
      </w:tcPr>
    </w:tblStylePr>
    <w:tblStylePr w:type="firstCol">
      <w:rPr>
        <w:b/>
        <w:bCs/>
      </w:rPr>
    </w:tblStylePr>
    <w:tblStylePr w:type="lastCol">
      <w:rPr>
        <w:b/>
        <w:bCs/>
      </w:rPr>
      <w:tblPr/>
      <w:tcPr>
        <w:tcBorders>
          <w:top w:val="single" w:sz="8" w:space="0" w:color="F06A3B" w:themeColor="accent3"/>
          <w:bottom w:val="single" w:sz="8" w:space="0" w:color="F06A3B" w:themeColor="accent3"/>
        </w:tcBorders>
      </w:tcPr>
    </w:tblStylePr>
    <w:tblStylePr w:type="band1Vert">
      <w:tblPr/>
      <w:tcPr>
        <w:shd w:val="clear" w:color="auto" w:fill="FBD9CE" w:themeFill="accent3" w:themeFillTint="3F"/>
      </w:tcPr>
    </w:tblStylePr>
    <w:tblStylePr w:type="band1Horz">
      <w:tblPr/>
      <w:tcPr>
        <w:shd w:val="clear" w:color="auto" w:fill="FBD9CE" w:themeFill="accent3" w:themeFillTint="3F"/>
      </w:tcPr>
    </w:tblStylePr>
  </w:style>
  <w:style w:type="table" w:styleId="MediumList1-Accent4">
    <w:name w:val="Medium List 1 Accent 4"/>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9561CC" w:themeColor="accent4"/>
        <w:bottom w:val="single" w:sz="8" w:space="0" w:color="9561CC" w:themeColor="accent4"/>
      </w:tblBorders>
    </w:tblPr>
    <w:tblStylePr w:type="firstRow">
      <w:rPr>
        <w:rFonts w:asciiTheme="majorHAnsi" w:eastAsiaTheme="majorEastAsia" w:hAnsiTheme="majorHAnsi" w:cstheme="majorBidi"/>
      </w:rPr>
      <w:tblPr/>
      <w:tcPr>
        <w:tcBorders>
          <w:top w:val="nil"/>
          <w:bottom w:val="single" w:sz="8" w:space="0" w:color="9561CC" w:themeColor="accent4"/>
        </w:tcBorders>
      </w:tcPr>
    </w:tblStylePr>
    <w:tblStylePr w:type="lastRow">
      <w:rPr>
        <w:b/>
        <w:bCs/>
        <w:color w:val="262626" w:themeColor="text2"/>
      </w:rPr>
      <w:tblPr/>
      <w:tcPr>
        <w:tcBorders>
          <w:top w:val="single" w:sz="8" w:space="0" w:color="9561CC" w:themeColor="accent4"/>
          <w:bottom w:val="single" w:sz="8" w:space="0" w:color="9561CC" w:themeColor="accent4"/>
        </w:tcBorders>
      </w:tcPr>
    </w:tblStylePr>
    <w:tblStylePr w:type="firstCol">
      <w:rPr>
        <w:b/>
        <w:bCs/>
      </w:rPr>
    </w:tblStylePr>
    <w:tblStylePr w:type="lastCol">
      <w:rPr>
        <w:b/>
        <w:bCs/>
      </w:rPr>
      <w:tblPr/>
      <w:tcPr>
        <w:tcBorders>
          <w:top w:val="single" w:sz="8" w:space="0" w:color="9561CC" w:themeColor="accent4"/>
          <w:bottom w:val="single" w:sz="8" w:space="0" w:color="9561CC" w:themeColor="accent4"/>
        </w:tcBorders>
      </w:tcPr>
    </w:tblStylePr>
    <w:tblStylePr w:type="band1Vert">
      <w:tblPr/>
      <w:tcPr>
        <w:shd w:val="clear" w:color="auto" w:fill="E4D7F2" w:themeFill="accent4" w:themeFillTint="3F"/>
      </w:tcPr>
    </w:tblStylePr>
    <w:tblStylePr w:type="band1Horz">
      <w:tblPr/>
      <w:tcPr>
        <w:shd w:val="clear" w:color="auto" w:fill="E4D7F2" w:themeFill="accent4" w:themeFillTint="3F"/>
      </w:tcPr>
    </w:tblStylePr>
  </w:style>
  <w:style w:type="table" w:styleId="MediumList1-Accent5">
    <w:name w:val="Medium List 1 Accent 5"/>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00ADC6" w:themeColor="accent5"/>
        <w:bottom w:val="single" w:sz="8" w:space="0" w:color="00ADC6" w:themeColor="accent5"/>
      </w:tblBorders>
    </w:tblPr>
    <w:tblStylePr w:type="firstRow">
      <w:rPr>
        <w:rFonts w:asciiTheme="majorHAnsi" w:eastAsiaTheme="majorEastAsia" w:hAnsiTheme="majorHAnsi" w:cstheme="majorBidi"/>
      </w:rPr>
      <w:tblPr/>
      <w:tcPr>
        <w:tcBorders>
          <w:top w:val="nil"/>
          <w:bottom w:val="single" w:sz="8" w:space="0" w:color="00ADC6" w:themeColor="accent5"/>
        </w:tcBorders>
      </w:tcPr>
    </w:tblStylePr>
    <w:tblStylePr w:type="lastRow">
      <w:rPr>
        <w:b/>
        <w:bCs/>
        <w:color w:val="262626" w:themeColor="text2"/>
      </w:rPr>
      <w:tblPr/>
      <w:tcPr>
        <w:tcBorders>
          <w:top w:val="single" w:sz="8" w:space="0" w:color="00ADC6" w:themeColor="accent5"/>
          <w:bottom w:val="single" w:sz="8" w:space="0" w:color="00ADC6" w:themeColor="accent5"/>
        </w:tcBorders>
      </w:tcPr>
    </w:tblStylePr>
    <w:tblStylePr w:type="firstCol">
      <w:rPr>
        <w:b/>
        <w:bCs/>
      </w:rPr>
    </w:tblStylePr>
    <w:tblStylePr w:type="lastCol">
      <w:rPr>
        <w:b/>
        <w:bCs/>
      </w:rPr>
      <w:tblPr/>
      <w:tcPr>
        <w:tcBorders>
          <w:top w:val="single" w:sz="8" w:space="0" w:color="00ADC6" w:themeColor="accent5"/>
          <w:bottom w:val="single" w:sz="8" w:space="0" w:color="00ADC6" w:themeColor="accent5"/>
        </w:tcBorders>
      </w:tcPr>
    </w:tblStylePr>
    <w:tblStylePr w:type="band1Vert">
      <w:tblPr/>
      <w:tcPr>
        <w:shd w:val="clear" w:color="auto" w:fill="B1F4FF" w:themeFill="accent5" w:themeFillTint="3F"/>
      </w:tcPr>
    </w:tblStylePr>
    <w:tblStylePr w:type="band1Horz">
      <w:tblPr/>
      <w:tcPr>
        <w:shd w:val="clear" w:color="auto" w:fill="B1F4FF" w:themeFill="accent5" w:themeFillTint="3F"/>
      </w:tcPr>
    </w:tblStylePr>
  </w:style>
  <w:style w:type="table" w:styleId="MediumList1-Accent6">
    <w:name w:val="Medium List 1 Accent 6"/>
    <w:basedOn w:val="TableNormal"/>
    <w:uiPriority w:val="65"/>
    <w:semiHidden/>
    <w:unhideWhenUsed/>
    <w:rsid w:val="00B469D3"/>
    <w:pPr>
      <w:spacing w:after="0" w:line="240" w:lineRule="auto"/>
    </w:pPr>
    <w:rPr>
      <w:color w:val="000000" w:themeColor="text1"/>
    </w:rPr>
    <w:tblPr>
      <w:tblStyleRowBandSize w:val="1"/>
      <w:tblStyleColBandSize w:val="1"/>
      <w:tblBorders>
        <w:top w:val="single" w:sz="8" w:space="0" w:color="FD8F0A" w:themeColor="accent6"/>
        <w:bottom w:val="single" w:sz="8" w:space="0" w:color="FD8F0A" w:themeColor="accent6"/>
      </w:tblBorders>
    </w:tblPr>
    <w:tblStylePr w:type="firstRow">
      <w:rPr>
        <w:rFonts w:asciiTheme="majorHAnsi" w:eastAsiaTheme="majorEastAsia" w:hAnsiTheme="majorHAnsi" w:cstheme="majorBidi"/>
      </w:rPr>
      <w:tblPr/>
      <w:tcPr>
        <w:tcBorders>
          <w:top w:val="nil"/>
          <w:bottom w:val="single" w:sz="8" w:space="0" w:color="FD8F0A" w:themeColor="accent6"/>
        </w:tcBorders>
      </w:tcPr>
    </w:tblStylePr>
    <w:tblStylePr w:type="lastRow">
      <w:rPr>
        <w:b/>
        <w:bCs/>
        <w:color w:val="262626" w:themeColor="text2"/>
      </w:rPr>
      <w:tblPr/>
      <w:tcPr>
        <w:tcBorders>
          <w:top w:val="single" w:sz="8" w:space="0" w:color="FD8F0A" w:themeColor="accent6"/>
          <w:bottom w:val="single" w:sz="8" w:space="0" w:color="FD8F0A" w:themeColor="accent6"/>
        </w:tcBorders>
      </w:tcPr>
    </w:tblStylePr>
    <w:tblStylePr w:type="firstCol">
      <w:rPr>
        <w:b/>
        <w:bCs/>
      </w:rPr>
    </w:tblStylePr>
    <w:tblStylePr w:type="lastCol">
      <w:rPr>
        <w:b/>
        <w:bCs/>
      </w:rPr>
      <w:tblPr/>
      <w:tcPr>
        <w:tcBorders>
          <w:top w:val="single" w:sz="8" w:space="0" w:color="FD8F0A" w:themeColor="accent6"/>
          <w:bottom w:val="single" w:sz="8" w:space="0" w:color="FD8F0A" w:themeColor="accent6"/>
        </w:tcBorders>
      </w:tcPr>
    </w:tblStylePr>
    <w:tblStylePr w:type="band1Vert">
      <w:tblPr/>
      <w:tcPr>
        <w:shd w:val="clear" w:color="auto" w:fill="FEE3C2" w:themeFill="accent6" w:themeFillTint="3F"/>
      </w:tcPr>
    </w:tblStylePr>
    <w:tblStylePr w:type="band1Horz">
      <w:tblPr/>
      <w:tcPr>
        <w:shd w:val="clear" w:color="auto" w:fill="FEE3C2" w:themeFill="accent6" w:themeFillTint="3F"/>
      </w:tcPr>
    </w:tblStylePr>
  </w:style>
  <w:style w:type="table" w:styleId="MediumList2">
    <w:name w:val="Medium List 2"/>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B673" w:themeColor="accent1"/>
        <w:left w:val="single" w:sz="8" w:space="0" w:color="2BB673" w:themeColor="accent1"/>
        <w:bottom w:val="single" w:sz="8" w:space="0" w:color="2BB673" w:themeColor="accent1"/>
        <w:right w:val="single" w:sz="8" w:space="0" w:color="2BB673" w:themeColor="accent1"/>
      </w:tblBorders>
    </w:tblPr>
    <w:tblStylePr w:type="firstRow">
      <w:rPr>
        <w:sz w:val="24"/>
        <w:szCs w:val="24"/>
      </w:rPr>
      <w:tblPr/>
      <w:tcPr>
        <w:tcBorders>
          <w:top w:val="nil"/>
          <w:left w:val="nil"/>
          <w:bottom w:val="single" w:sz="24" w:space="0" w:color="2BB67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B673" w:themeColor="accent1"/>
          <w:insideH w:val="nil"/>
          <w:insideV w:val="nil"/>
        </w:tcBorders>
        <w:shd w:val="clear" w:color="auto" w:fill="FFFFFF" w:themeFill="background1"/>
      </w:tcPr>
    </w:tblStylePr>
    <w:tblStylePr w:type="lastCol">
      <w:tblPr/>
      <w:tcPr>
        <w:tcBorders>
          <w:top w:val="nil"/>
          <w:left w:val="single" w:sz="8" w:space="0" w:color="2BB67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5F1DC" w:themeFill="accent1" w:themeFillTint="3F"/>
      </w:tcPr>
    </w:tblStylePr>
    <w:tblStylePr w:type="band1Horz">
      <w:tblPr/>
      <w:tcPr>
        <w:tcBorders>
          <w:top w:val="nil"/>
          <w:bottom w:val="nil"/>
          <w:insideH w:val="nil"/>
          <w:insideV w:val="nil"/>
        </w:tcBorders>
        <w:shd w:val="clear" w:color="auto" w:fill="C5F1D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3B41A" w:themeColor="accent2"/>
        <w:left w:val="single" w:sz="8" w:space="0" w:color="93B41A" w:themeColor="accent2"/>
        <w:bottom w:val="single" w:sz="8" w:space="0" w:color="93B41A" w:themeColor="accent2"/>
        <w:right w:val="single" w:sz="8" w:space="0" w:color="93B41A" w:themeColor="accent2"/>
      </w:tblBorders>
    </w:tblPr>
    <w:tblStylePr w:type="firstRow">
      <w:rPr>
        <w:sz w:val="24"/>
        <w:szCs w:val="24"/>
      </w:rPr>
      <w:tblPr/>
      <w:tcPr>
        <w:tcBorders>
          <w:top w:val="nil"/>
          <w:left w:val="nil"/>
          <w:bottom w:val="single" w:sz="24" w:space="0" w:color="93B41A"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3B41A" w:themeColor="accent2"/>
          <w:insideH w:val="nil"/>
          <w:insideV w:val="nil"/>
        </w:tcBorders>
        <w:shd w:val="clear" w:color="auto" w:fill="FFFFFF" w:themeFill="background1"/>
      </w:tcPr>
    </w:tblStylePr>
    <w:tblStylePr w:type="lastCol">
      <w:tblPr/>
      <w:tcPr>
        <w:tcBorders>
          <w:top w:val="nil"/>
          <w:left w:val="single" w:sz="8" w:space="0" w:color="93B41A"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F5BD" w:themeFill="accent2" w:themeFillTint="3F"/>
      </w:tcPr>
    </w:tblStylePr>
    <w:tblStylePr w:type="band1Horz">
      <w:tblPr/>
      <w:tcPr>
        <w:tcBorders>
          <w:top w:val="nil"/>
          <w:bottom w:val="nil"/>
          <w:insideH w:val="nil"/>
          <w:insideV w:val="nil"/>
        </w:tcBorders>
        <w:shd w:val="clear" w:color="auto" w:fill="E9F5BD"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06A3B" w:themeColor="accent3"/>
        <w:left w:val="single" w:sz="8" w:space="0" w:color="F06A3B" w:themeColor="accent3"/>
        <w:bottom w:val="single" w:sz="8" w:space="0" w:color="F06A3B" w:themeColor="accent3"/>
        <w:right w:val="single" w:sz="8" w:space="0" w:color="F06A3B" w:themeColor="accent3"/>
      </w:tblBorders>
    </w:tblPr>
    <w:tblStylePr w:type="firstRow">
      <w:rPr>
        <w:sz w:val="24"/>
        <w:szCs w:val="24"/>
      </w:rPr>
      <w:tblPr/>
      <w:tcPr>
        <w:tcBorders>
          <w:top w:val="nil"/>
          <w:left w:val="nil"/>
          <w:bottom w:val="single" w:sz="24" w:space="0" w:color="F06A3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6A3B" w:themeColor="accent3"/>
          <w:insideH w:val="nil"/>
          <w:insideV w:val="nil"/>
        </w:tcBorders>
        <w:shd w:val="clear" w:color="auto" w:fill="FFFFFF" w:themeFill="background1"/>
      </w:tcPr>
    </w:tblStylePr>
    <w:tblStylePr w:type="lastCol">
      <w:tblPr/>
      <w:tcPr>
        <w:tcBorders>
          <w:top w:val="nil"/>
          <w:left w:val="single" w:sz="8" w:space="0" w:color="F06A3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D9CE" w:themeFill="accent3" w:themeFillTint="3F"/>
      </w:tcPr>
    </w:tblStylePr>
    <w:tblStylePr w:type="band1Horz">
      <w:tblPr/>
      <w:tcPr>
        <w:tcBorders>
          <w:top w:val="nil"/>
          <w:bottom w:val="nil"/>
          <w:insideH w:val="nil"/>
          <w:insideV w:val="nil"/>
        </w:tcBorders>
        <w:shd w:val="clear" w:color="auto" w:fill="FBD9CE"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561CC" w:themeColor="accent4"/>
        <w:left w:val="single" w:sz="8" w:space="0" w:color="9561CC" w:themeColor="accent4"/>
        <w:bottom w:val="single" w:sz="8" w:space="0" w:color="9561CC" w:themeColor="accent4"/>
        <w:right w:val="single" w:sz="8" w:space="0" w:color="9561CC" w:themeColor="accent4"/>
      </w:tblBorders>
    </w:tblPr>
    <w:tblStylePr w:type="firstRow">
      <w:rPr>
        <w:sz w:val="24"/>
        <w:szCs w:val="24"/>
      </w:rPr>
      <w:tblPr/>
      <w:tcPr>
        <w:tcBorders>
          <w:top w:val="nil"/>
          <w:left w:val="nil"/>
          <w:bottom w:val="single" w:sz="24" w:space="0" w:color="9561C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561CC" w:themeColor="accent4"/>
          <w:insideH w:val="nil"/>
          <w:insideV w:val="nil"/>
        </w:tcBorders>
        <w:shd w:val="clear" w:color="auto" w:fill="FFFFFF" w:themeFill="background1"/>
      </w:tcPr>
    </w:tblStylePr>
    <w:tblStylePr w:type="lastCol">
      <w:tblPr/>
      <w:tcPr>
        <w:tcBorders>
          <w:top w:val="nil"/>
          <w:left w:val="single" w:sz="8" w:space="0" w:color="9561C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4D7F2" w:themeFill="accent4" w:themeFillTint="3F"/>
      </w:tcPr>
    </w:tblStylePr>
    <w:tblStylePr w:type="band1Horz">
      <w:tblPr/>
      <w:tcPr>
        <w:tcBorders>
          <w:top w:val="nil"/>
          <w:bottom w:val="nil"/>
          <w:insideH w:val="nil"/>
          <w:insideV w:val="nil"/>
        </w:tcBorders>
        <w:shd w:val="clear" w:color="auto" w:fill="E4D7F2"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ADC6" w:themeColor="accent5"/>
        <w:left w:val="single" w:sz="8" w:space="0" w:color="00ADC6" w:themeColor="accent5"/>
        <w:bottom w:val="single" w:sz="8" w:space="0" w:color="00ADC6" w:themeColor="accent5"/>
        <w:right w:val="single" w:sz="8" w:space="0" w:color="00ADC6" w:themeColor="accent5"/>
      </w:tblBorders>
    </w:tblPr>
    <w:tblStylePr w:type="firstRow">
      <w:rPr>
        <w:sz w:val="24"/>
        <w:szCs w:val="24"/>
      </w:rPr>
      <w:tblPr/>
      <w:tcPr>
        <w:tcBorders>
          <w:top w:val="nil"/>
          <w:left w:val="nil"/>
          <w:bottom w:val="single" w:sz="24" w:space="0" w:color="00ADC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DC6" w:themeColor="accent5"/>
          <w:insideH w:val="nil"/>
          <w:insideV w:val="nil"/>
        </w:tcBorders>
        <w:shd w:val="clear" w:color="auto" w:fill="FFFFFF" w:themeFill="background1"/>
      </w:tcPr>
    </w:tblStylePr>
    <w:tblStylePr w:type="lastCol">
      <w:tblPr/>
      <w:tcPr>
        <w:tcBorders>
          <w:top w:val="nil"/>
          <w:left w:val="single" w:sz="8" w:space="0" w:color="00AD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1F4FF" w:themeFill="accent5" w:themeFillTint="3F"/>
      </w:tcPr>
    </w:tblStylePr>
    <w:tblStylePr w:type="band1Horz">
      <w:tblPr/>
      <w:tcPr>
        <w:tcBorders>
          <w:top w:val="nil"/>
          <w:bottom w:val="nil"/>
          <w:insideH w:val="nil"/>
          <w:insideV w:val="nil"/>
        </w:tcBorders>
        <w:shd w:val="clear" w:color="auto" w:fill="B1F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B469D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D8F0A" w:themeColor="accent6"/>
        <w:left w:val="single" w:sz="8" w:space="0" w:color="FD8F0A" w:themeColor="accent6"/>
        <w:bottom w:val="single" w:sz="8" w:space="0" w:color="FD8F0A" w:themeColor="accent6"/>
        <w:right w:val="single" w:sz="8" w:space="0" w:color="FD8F0A" w:themeColor="accent6"/>
      </w:tblBorders>
    </w:tblPr>
    <w:tblStylePr w:type="firstRow">
      <w:rPr>
        <w:sz w:val="24"/>
        <w:szCs w:val="24"/>
      </w:rPr>
      <w:tblPr/>
      <w:tcPr>
        <w:tcBorders>
          <w:top w:val="nil"/>
          <w:left w:val="nil"/>
          <w:bottom w:val="single" w:sz="24" w:space="0" w:color="FD8F0A"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D8F0A" w:themeColor="accent6"/>
          <w:insideH w:val="nil"/>
          <w:insideV w:val="nil"/>
        </w:tcBorders>
        <w:shd w:val="clear" w:color="auto" w:fill="FFFFFF" w:themeFill="background1"/>
      </w:tcPr>
    </w:tblStylePr>
    <w:tblStylePr w:type="lastCol">
      <w:tblPr/>
      <w:tcPr>
        <w:tcBorders>
          <w:top w:val="nil"/>
          <w:left w:val="single" w:sz="8" w:space="0" w:color="FD8F0A"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EE3C2" w:themeFill="accent6" w:themeFillTint="3F"/>
      </w:tcPr>
    </w:tblStylePr>
    <w:tblStylePr w:type="band1Horz">
      <w:tblPr/>
      <w:tcPr>
        <w:tcBorders>
          <w:top w:val="nil"/>
          <w:bottom w:val="nil"/>
          <w:insideH w:val="nil"/>
          <w:insideV w:val="nil"/>
        </w:tcBorders>
        <w:shd w:val="clear" w:color="auto" w:fill="FEE3C2"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B469D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B469D3"/>
    <w:pPr>
      <w:spacing w:after="0" w:line="240" w:lineRule="auto"/>
    </w:pPr>
    <w:tblPr>
      <w:tblStyleRowBandSize w:val="1"/>
      <w:tblStyleColBandSize w:val="1"/>
      <w:tbl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single" w:sz="8" w:space="0" w:color="52D696" w:themeColor="accent1" w:themeTint="BF"/>
      </w:tblBorders>
    </w:tblPr>
    <w:tblStylePr w:type="firstRow">
      <w:pPr>
        <w:spacing w:before="0" w:after="0" w:line="240" w:lineRule="auto"/>
      </w:pPr>
      <w:rPr>
        <w:b/>
        <w:bCs/>
        <w:color w:val="FFFFFF" w:themeColor="background1"/>
      </w:rPr>
      <w:tblPr/>
      <w:tcPr>
        <w:tcBorders>
          <w:top w:val="single" w:sz="8"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shd w:val="clear" w:color="auto" w:fill="2BB673" w:themeFill="accent1"/>
      </w:tcPr>
    </w:tblStylePr>
    <w:tblStylePr w:type="lastRow">
      <w:pPr>
        <w:spacing w:before="0" w:after="0" w:line="240" w:lineRule="auto"/>
      </w:pPr>
      <w:rPr>
        <w:b/>
        <w:bCs/>
      </w:rPr>
      <w:tblPr/>
      <w:tcPr>
        <w:tcBorders>
          <w:top w:val="double" w:sz="6" w:space="0" w:color="52D696" w:themeColor="accent1" w:themeTint="BF"/>
          <w:left w:val="single" w:sz="8" w:space="0" w:color="52D696" w:themeColor="accent1" w:themeTint="BF"/>
          <w:bottom w:val="single" w:sz="8" w:space="0" w:color="52D696" w:themeColor="accent1" w:themeTint="BF"/>
          <w:right w:val="single" w:sz="8" w:space="0" w:color="52D69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5F1DC" w:themeFill="accent1" w:themeFillTint="3F"/>
      </w:tcPr>
    </w:tblStylePr>
    <w:tblStylePr w:type="band1Horz">
      <w:tblPr/>
      <w:tcPr>
        <w:tcBorders>
          <w:insideH w:val="nil"/>
          <w:insideV w:val="nil"/>
        </w:tcBorders>
        <w:shd w:val="clear" w:color="auto" w:fill="C5F1D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B469D3"/>
    <w:pPr>
      <w:spacing w:after="0" w:line="240" w:lineRule="auto"/>
    </w:pPr>
    <w:tblPr>
      <w:tblStyleRowBandSize w:val="1"/>
      <w:tblStyleColBandSize w:val="1"/>
      <w:tbl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single" w:sz="8" w:space="0" w:color="BDE237" w:themeColor="accent2" w:themeTint="BF"/>
      </w:tblBorders>
    </w:tblPr>
    <w:tblStylePr w:type="firstRow">
      <w:pPr>
        <w:spacing w:before="0" w:after="0" w:line="240" w:lineRule="auto"/>
      </w:pPr>
      <w:rPr>
        <w:b/>
        <w:bCs/>
        <w:color w:val="FFFFFF" w:themeColor="background1"/>
      </w:rPr>
      <w:tblPr/>
      <w:tcPr>
        <w:tcBorders>
          <w:top w:val="single" w:sz="8"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shd w:val="clear" w:color="auto" w:fill="93B41A" w:themeFill="accent2"/>
      </w:tcPr>
    </w:tblStylePr>
    <w:tblStylePr w:type="lastRow">
      <w:pPr>
        <w:spacing w:before="0" w:after="0" w:line="240" w:lineRule="auto"/>
      </w:pPr>
      <w:rPr>
        <w:b/>
        <w:bCs/>
      </w:rPr>
      <w:tblPr/>
      <w:tcPr>
        <w:tcBorders>
          <w:top w:val="double" w:sz="6" w:space="0" w:color="BDE237" w:themeColor="accent2" w:themeTint="BF"/>
          <w:left w:val="single" w:sz="8" w:space="0" w:color="BDE237" w:themeColor="accent2" w:themeTint="BF"/>
          <w:bottom w:val="single" w:sz="8" w:space="0" w:color="BDE237" w:themeColor="accent2" w:themeTint="BF"/>
          <w:right w:val="single" w:sz="8" w:space="0" w:color="BDE23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9F5BD" w:themeFill="accent2" w:themeFillTint="3F"/>
      </w:tcPr>
    </w:tblStylePr>
    <w:tblStylePr w:type="band1Horz">
      <w:tblPr/>
      <w:tcPr>
        <w:tcBorders>
          <w:insideH w:val="nil"/>
          <w:insideV w:val="nil"/>
        </w:tcBorders>
        <w:shd w:val="clear" w:color="auto" w:fill="E9F5BD"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B469D3"/>
    <w:pPr>
      <w:spacing w:after="0" w:line="240" w:lineRule="auto"/>
    </w:pPr>
    <w:tblPr>
      <w:tblStyleRowBandSize w:val="1"/>
      <w:tblStyleColBandSize w:val="1"/>
      <w:tbl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single" w:sz="8" w:space="0" w:color="F38F6B" w:themeColor="accent3" w:themeTint="BF"/>
      </w:tblBorders>
    </w:tblPr>
    <w:tblStylePr w:type="firstRow">
      <w:pPr>
        <w:spacing w:before="0" w:after="0" w:line="240" w:lineRule="auto"/>
      </w:pPr>
      <w:rPr>
        <w:b/>
        <w:bCs/>
        <w:color w:val="FFFFFF" w:themeColor="background1"/>
      </w:rPr>
      <w:tblPr/>
      <w:tcPr>
        <w:tcBorders>
          <w:top w:val="single" w:sz="8"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shd w:val="clear" w:color="auto" w:fill="F06A3B" w:themeFill="accent3"/>
      </w:tcPr>
    </w:tblStylePr>
    <w:tblStylePr w:type="lastRow">
      <w:pPr>
        <w:spacing w:before="0" w:after="0" w:line="240" w:lineRule="auto"/>
      </w:pPr>
      <w:rPr>
        <w:b/>
        <w:bCs/>
      </w:rPr>
      <w:tblPr/>
      <w:tcPr>
        <w:tcBorders>
          <w:top w:val="double" w:sz="6" w:space="0" w:color="F38F6B" w:themeColor="accent3" w:themeTint="BF"/>
          <w:left w:val="single" w:sz="8" w:space="0" w:color="F38F6B" w:themeColor="accent3" w:themeTint="BF"/>
          <w:bottom w:val="single" w:sz="8" w:space="0" w:color="F38F6B" w:themeColor="accent3" w:themeTint="BF"/>
          <w:right w:val="single" w:sz="8" w:space="0" w:color="F38F6B" w:themeColor="accent3" w:themeTint="BF"/>
          <w:insideH w:val="nil"/>
          <w:insideV w:val="nil"/>
        </w:tcBorders>
      </w:tcPr>
    </w:tblStylePr>
    <w:tblStylePr w:type="firstCol">
      <w:rPr>
        <w:b/>
        <w:bCs/>
      </w:rPr>
    </w:tblStylePr>
    <w:tblStylePr w:type="lastCol">
      <w:rPr>
        <w:b/>
        <w:bCs/>
      </w:rPr>
    </w:tblStylePr>
    <w:tblStylePr w:type="band1Vert">
      <w:tblPr/>
      <w:tcPr>
        <w:shd w:val="clear" w:color="auto" w:fill="FBD9CE" w:themeFill="accent3" w:themeFillTint="3F"/>
      </w:tcPr>
    </w:tblStylePr>
    <w:tblStylePr w:type="band1Horz">
      <w:tblPr/>
      <w:tcPr>
        <w:tcBorders>
          <w:insideH w:val="nil"/>
          <w:insideV w:val="nil"/>
        </w:tcBorders>
        <w:shd w:val="clear" w:color="auto" w:fill="FBD9CE"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B469D3"/>
    <w:pPr>
      <w:spacing w:after="0" w:line="240" w:lineRule="auto"/>
    </w:pPr>
    <w:tblPr>
      <w:tblStyleRowBandSize w:val="1"/>
      <w:tblStyleColBandSize w:val="1"/>
      <w:tbl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single" w:sz="8" w:space="0" w:color="AF88D8" w:themeColor="accent4" w:themeTint="BF"/>
      </w:tblBorders>
    </w:tblPr>
    <w:tblStylePr w:type="firstRow">
      <w:pPr>
        <w:spacing w:before="0" w:after="0" w:line="240" w:lineRule="auto"/>
      </w:pPr>
      <w:rPr>
        <w:b/>
        <w:bCs/>
        <w:color w:val="FFFFFF" w:themeColor="background1"/>
      </w:rPr>
      <w:tblPr/>
      <w:tcPr>
        <w:tcBorders>
          <w:top w:val="single" w:sz="8"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shd w:val="clear" w:color="auto" w:fill="9561CC" w:themeFill="accent4"/>
      </w:tcPr>
    </w:tblStylePr>
    <w:tblStylePr w:type="lastRow">
      <w:pPr>
        <w:spacing w:before="0" w:after="0" w:line="240" w:lineRule="auto"/>
      </w:pPr>
      <w:rPr>
        <w:b/>
        <w:bCs/>
      </w:rPr>
      <w:tblPr/>
      <w:tcPr>
        <w:tcBorders>
          <w:top w:val="double" w:sz="6" w:space="0" w:color="AF88D8" w:themeColor="accent4" w:themeTint="BF"/>
          <w:left w:val="single" w:sz="8" w:space="0" w:color="AF88D8" w:themeColor="accent4" w:themeTint="BF"/>
          <w:bottom w:val="single" w:sz="8" w:space="0" w:color="AF88D8" w:themeColor="accent4" w:themeTint="BF"/>
          <w:right w:val="single" w:sz="8" w:space="0" w:color="AF88D8" w:themeColor="accent4" w:themeTint="BF"/>
          <w:insideH w:val="nil"/>
          <w:insideV w:val="nil"/>
        </w:tcBorders>
      </w:tcPr>
    </w:tblStylePr>
    <w:tblStylePr w:type="firstCol">
      <w:rPr>
        <w:b/>
        <w:bCs/>
      </w:rPr>
    </w:tblStylePr>
    <w:tblStylePr w:type="lastCol">
      <w:rPr>
        <w:b/>
        <w:bCs/>
      </w:rPr>
    </w:tblStylePr>
    <w:tblStylePr w:type="band1Vert">
      <w:tblPr/>
      <w:tcPr>
        <w:shd w:val="clear" w:color="auto" w:fill="E4D7F2" w:themeFill="accent4" w:themeFillTint="3F"/>
      </w:tcPr>
    </w:tblStylePr>
    <w:tblStylePr w:type="band1Horz">
      <w:tblPr/>
      <w:tcPr>
        <w:tcBorders>
          <w:insideH w:val="nil"/>
          <w:insideV w:val="nil"/>
        </w:tcBorders>
        <w:shd w:val="clear" w:color="auto" w:fill="E4D7F2"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B469D3"/>
    <w:pPr>
      <w:spacing w:after="0" w:line="240" w:lineRule="auto"/>
    </w:pPr>
    <w:tblPr>
      <w:tblStyleRowBandSize w:val="1"/>
      <w:tblStyleColBandSize w:val="1"/>
      <w:tbl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single" w:sz="8" w:space="0" w:color="15E0FF" w:themeColor="accent5" w:themeTint="BF"/>
      </w:tblBorders>
    </w:tblPr>
    <w:tblStylePr w:type="firstRow">
      <w:pPr>
        <w:spacing w:before="0" w:after="0" w:line="240" w:lineRule="auto"/>
      </w:pPr>
      <w:rPr>
        <w:b/>
        <w:bCs/>
        <w:color w:val="FFFFFF" w:themeColor="background1"/>
      </w:rPr>
      <w:tblPr/>
      <w:tcPr>
        <w:tcBorders>
          <w:top w:val="single" w:sz="8"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shd w:val="clear" w:color="auto" w:fill="00ADC6" w:themeFill="accent5"/>
      </w:tcPr>
    </w:tblStylePr>
    <w:tblStylePr w:type="lastRow">
      <w:pPr>
        <w:spacing w:before="0" w:after="0" w:line="240" w:lineRule="auto"/>
      </w:pPr>
      <w:rPr>
        <w:b/>
        <w:bCs/>
      </w:rPr>
      <w:tblPr/>
      <w:tcPr>
        <w:tcBorders>
          <w:top w:val="double" w:sz="6" w:space="0" w:color="15E0FF" w:themeColor="accent5" w:themeTint="BF"/>
          <w:left w:val="single" w:sz="8" w:space="0" w:color="15E0FF" w:themeColor="accent5" w:themeTint="BF"/>
          <w:bottom w:val="single" w:sz="8" w:space="0" w:color="15E0FF" w:themeColor="accent5" w:themeTint="BF"/>
          <w:right w:val="single" w:sz="8" w:space="0" w:color="15E0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B1F4FF" w:themeFill="accent5" w:themeFillTint="3F"/>
      </w:tcPr>
    </w:tblStylePr>
    <w:tblStylePr w:type="band1Horz">
      <w:tblPr/>
      <w:tcPr>
        <w:tcBorders>
          <w:insideH w:val="nil"/>
          <w:insideV w:val="nil"/>
        </w:tcBorders>
        <w:shd w:val="clear" w:color="auto" w:fill="B1F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B469D3"/>
    <w:pPr>
      <w:spacing w:after="0" w:line="240" w:lineRule="auto"/>
    </w:pPr>
    <w:tblPr>
      <w:tblStyleRowBandSize w:val="1"/>
      <w:tblStyleColBandSize w:val="1"/>
      <w:tbl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single" w:sz="8" w:space="0" w:color="FDAA47" w:themeColor="accent6" w:themeTint="BF"/>
      </w:tblBorders>
    </w:tblPr>
    <w:tblStylePr w:type="firstRow">
      <w:pPr>
        <w:spacing w:before="0" w:after="0" w:line="240" w:lineRule="auto"/>
      </w:pPr>
      <w:rPr>
        <w:b/>
        <w:bCs/>
        <w:color w:val="FFFFFF" w:themeColor="background1"/>
      </w:rPr>
      <w:tblPr/>
      <w:tcPr>
        <w:tcBorders>
          <w:top w:val="single" w:sz="8"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shd w:val="clear" w:color="auto" w:fill="FD8F0A" w:themeFill="accent6"/>
      </w:tcPr>
    </w:tblStylePr>
    <w:tblStylePr w:type="lastRow">
      <w:pPr>
        <w:spacing w:before="0" w:after="0" w:line="240" w:lineRule="auto"/>
      </w:pPr>
      <w:rPr>
        <w:b/>
        <w:bCs/>
      </w:rPr>
      <w:tblPr/>
      <w:tcPr>
        <w:tcBorders>
          <w:top w:val="double" w:sz="6" w:space="0" w:color="FDAA47" w:themeColor="accent6" w:themeTint="BF"/>
          <w:left w:val="single" w:sz="8" w:space="0" w:color="FDAA47" w:themeColor="accent6" w:themeTint="BF"/>
          <w:bottom w:val="single" w:sz="8" w:space="0" w:color="FDAA47" w:themeColor="accent6" w:themeTint="BF"/>
          <w:right w:val="single" w:sz="8" w:space="0" w:color="FDAA47" w:themeColor="accent6" w:themeTint="BF"/>
          <w:insideH w:val="nil"/>
          <w:insideV w:val="nil"/>
        </w:tcBorders>
      </w:tcPr>
    </w:tblStylePr>
    <w:tblStylePr w:type="firstCol">
      <w:rPr>
        <w:b/>
        <w:bCs/>
      </w:rPr>
    </w:tblStylePr>
    <w:tblStylePr w:type="lastCol">
      <w:rPr>
        <w:b/>
        <w:bCs/>
      </w:rPr>
    </w:tblStylePr>
    <w:tblStylePr w:type="band1Vert">
      <w:tblPr/>
      <w:tcPr>
        <w:shd w:val="clear" w:color="auto" w:fill="FEE3C2" w:themeFill="accent6" w:themeFillTint="3F"/>
      </w:tcPr>
    </w:tblStylePr>
    <w:tblStylePr w:type="band1Horz">
      <w:tblPr/>
      <w:tcPr>
        <w:tcBorders>
          <w:insideH w:val="nil"/>
          <w:insideV w:val="nil"/>
        </w:tcBorders>
        <w:shd w:val="clear" w:color="auto" w:fill="FEE3C2"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B67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B673" w:themeFill="accent1"/>
      </w:tcPr>
    </w:tblStylePr>
    <w:tblStylePr w:type="lastCol">
      <w:rPr>
        <w:b/>
        <w:bCs/>
        <w:color w:val="FFFFFF" w:themeColor="background1"/>
      </w:rPr>
      <w:tblPr/>
      <w:tcPr>
        <w:tcBorders>
          <w:left w:val="nil"/>
          <w:right w:val="nil"/>
          <w:insideH w:val="nil"/>
          <w:insideV w:val="nil"/>
        </w:tcBorders>
        <w:shd w:val="clear" w:color="auto" w:fill="2BB67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3B41A"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3B41A" w:themeFill="accent2"/>
      </w:tcPr>
    </w:tblStylePr>
    <w:tblStylePr w:type="lastCol">
      <w:rPr>
        <w:b/>
        <w:bCs/>
        <w:color w:val="FFFFFF" w:themeColor="background1"/>
      </w:rPr>
      <w:tblPr/>
      <w:tcPr>
        <w:tcBorders>
          <w:left w:val="nil"/>
          <w:right w:val="nil"/>
          <w:insideH w:val="nil"/>
          <w:insideV w:val="nil"/>
        </w:tcBorders>
        <w:shd w:val="clear" w:color="auto" w:fill="93B41A"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6A3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06A3B" w:themeFill="accent3"/>
      </w:tcPr>
    </w:tblStylePr>
    <w:tblStylePr w:type="lastCol">
      <w:rPr>
        <w:b/>
        <w:bCs/>
        <w:color w:val="FFFFFF" w:themeColor="background1"/>
      </w:rPr>
      <w:tblPr/>
      <w:tcPr>
        <w:tcBorders>
          <w:left w:val="nil"/>
          <w:right w:val="nil"/>
          <w:insideH w:val="nil"/>
          <w:insideV w:val="nil"/>
        </w:tcBorders>
        <w:shd w:val="clear" w:color="auto" w:fill="F06A3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561C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561CC" w:themeFill="accent4"/>
      </w:tcPr>
    </w:tblStylePr>
    <w:tblStylePr w:type="lastCol">
      <w:rPr>
        <w:b/>
        <w:bCs/>
        <w:color w:val="FFFFFF" w:themeColor="background1"/>
      </w:rPr>
      <w:tblPr/>
      <w:tcPr>
        <w:tcBorders>
          <w:left w:val="nil"/>
          <w:right w:val="nil"/>
          <w:insideH w:val="nil"/>
          <w:insideV w:val="nil"/>
        </w:tcBorders>
        <w:shd w:val="clear" w:color="auto" w:fill="9561C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AD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ADC6" w:themeFill="accent5"/>
      </w:tcPr>
    </w:tblStylePr>
    <w:tblStylePr w:type="lastCol">
      <w:rPr>
        <w:b/>
        <w:bCs/>
        <w:color w:val="FFFFFF" w:themeColor="background1"/>
      </w:rPr>
      <w:tblPr/>
      <w:tcPr>
        <w:tcBorders>
          <w:left w:val="nil"/>
          <w:right w:val="nil"/>
          <w:insideH w:val="nil"/>
          <w:insideV w:val="nil"/>
        </w:tcBorders>
        <w:shd w:val="clear" w:color="auto" w:fill="00AD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B469D3"/>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D8F0A"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D8F0A" w:themeFill="accent6"/>
      </w:tcPr>
    </w:tblStylePr>
    <w:tblStylePr w:type="lastCol">
      <w:rPr>
        <w:b/>
        <w:bCs/>
        <w:color w:val="FFFFFF" w:themeColor="background1"/>
      </w:rPr>
      <w:tblPr/>
      <w:tcPr>
        <w:tcBorders>
          <w:left w:val="nil"/>
          <w:right w:val="nil"/>
          <w:insideH w:val="nil"/>
          <w:insideV w:val="nil"/>
        </w:tcBorders>
        <w:shd w:val="clear" w:color="auto" w:fill="FD8F0A"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B469D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B469D3"/>
    <w:rPr>
      <w:rFonts w:asciiTheme="majorHAnsi" w:eastAsiaTheme="majorEastAsia" w:hAnsiTheme="majorHAnsi" w:cstheme="majorBidi"/>
      <w:color w:val="1E1E1E"/>
      <w:sz w:val="24"/>
      <w:szCs w:val="24"/>
      <w:shd w:val="pct20" w:color="auto" w:fill="auto"/>
    </w:rPr>
  </w:style>
  <w:style w:type="paragraph" w:styleId="NoSpacing">
    <w:name w:val="No Spacing"/>
    <w:uiPriority w:val="1"/>
    <w:semiHidden/>
    <w:rsid w:val="00B469D3"/>
    <w:pPr>
      <w:spacing w:after="0" w:line="240" w:lineRule="auto"/>
    </w:pPr>
    <w:rPr>
      <w:rFonts w:ascii="Calibri" w:hAnsi="Calibri"/>
      <w:color w:val="1E1E1E"/>
      <w:sz w:val="24"/>
    </w:rPr>
  </w:style>
  <w:style w:type="paragraph" w:styleId="NormalIndent">
    <w:name w:val="Normal Indent"/>
    <w:basedOn w:val="Normal"/>
    <w:uiPriority w:val="99"/>
    <w:semiHidden/>
    <w:unhideWhenUsed/>
    <w:rsid w:val="00B469D3"/>
    <w:pPr>
      <w:ind w:left="720"/>
    </w:pPr>
  </w:style>
  <w:style w:type="paragraph" w:styleId="NoteHeading">
    <w:name w:val="Note Heading"/>
    <w:basedOn w:val="Normal"/>
    <w:next w:val="Normal"/>
    <w:link w:val="NoteHeadingChar"/>
    <w:uiPriority w:val="99"/>
    <w:semiHidden/>
    <w:unhideWhenUsed/>
    <w:rsid w:val="00B469D3"/>
    <w:pPr>
      <w:spacing w:after="0" w:line="240" w:lineRule="auto"/>
    </w:pPr>
  </w:style>
  <w:style w:type="character" w:customStyle="1" w:styleId="NoteHeadingChar">
    <w:name w:val="Note Heading Char"/>
    <w:basedOn w:val="DefaultParagraphFont"/>
    <w:link w:val="NoteHeading"/>
    <w:uiPriority w:val="99"/>
    <w:semiHidden/>
    <w:rsid w:val="00B469D3"/>
    <w:rPr>
      <w:rFonts w:ascii="Calibri" w:hAnsi="Calibri"/>
      <w:color w:val="1E1E1E"/>
      <w:sz w:val="24"/>
    </w:rPr>
  </w:style>
  <w:style w:type="character" w:styleId="PlaceholderText">
    <w:name w:val="Placeholder Text"/>
    <w:basedOn w:val="DefaultParagraphFont"/>
    <w:uiPriority w:val="99"/>
    <w:semiHidden/>
    <w:rsid w:val="00B469D3"/>
    <w:rPr>
      <w:color w:val="808080"/>
    </w:rPr>
  </w:style>
  <w:style w:type="table" w:styleId="PlainTable1">
    <w:name w:val="Plain Table 1"/>
    <w:basedOn w:val="TableNormal"/>
    <w:uiPriority w:val="41"/>
    <w:rsid w:val="00B469D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469D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B469D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B469D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B469D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B469D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469D3"/>
    <w:rPr>
      <w:rFonts w:ascii="Consolas" w:hAnsi="Consolas"/>
      <w:color w:val="1E1E1E"/>
      <w:sz w:val="21"/>
      <w:szCs w:val="21"/>
    </w:rPr>
  </w:style>
  <w:style w:type="paragraph" w:styleId="Quote">
    <w:name w:val="Quote"/>
    <w:basedOn w:val="Normal"/>
    <w:next w:val="Normal"/>
    <w:link w:val="QuoteChar"/>
    <w:uiPriority w:val="29"/>
    <w:qFormat/>
    <w:rsid w:val="00B469D3"/>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B469D3"/>
    <w:rPr>
      <w:rFonts w:ascii="Calibri" w:hAnsi="Calibri"/>
      <w:i/>
      <w:iCs/>
      <w:color w:val="404040" w:themeColor="text1" w:themeTint="BF"/>
      <w:sz w:val="24"/>
    </w:rPr>
  </w:style>
  <w:style w:type="paragraph" w:styleId="Salutation">
    <w:name w:val="Salutation"/>
    <w:basedOn w:val="Normal"/>
    <w:next w:val="Normal"/>
    <w:link w:val="SalutationChar"/>
    <w:uiPriority w:val="99"/>
    <w:semiHidden/>
    <w:unhideWhenUsed/>
    <w:rsid w:val="00B469D3"/>
  </w:style>
  <w:style w:type="character" w:customStyle="1" w:styleId="SalutationChar">
    <w:name w:val="Salutation Char"/>
    <w:basedOn w:val="DefaultParagraphFont"/>
    <w:link w:val="Salutation"/>
    <w:uiPriority w:val="99"/>
    <w:semiHidden/>
    <w:rsid w:val="00B469D3"/>
    <w:rPr>
      <w:rFonts w:ascii="Calibri" w:hAnsi="Calibri"/>
      <w:color w:val="1E1E1E"/>
      <w:sz w:val="24"/>
    </w:rPr>
  </w:style>
  <w:style w:type="paragraph" w:styleId="Signature">
    <w:name w:val="Signature"/>
    <w:basedOn w:val="Normal"/>
    <w:link w:val="SignatureChar"/>
    <w:uiPriority w:val="99"/>
    <w:semiHidden/>
    <w:unhideWhenUsed/>
    <w:rsid w:val="00B469D3"/>
    <w:pPr>
      <w:spacing w:after="0" w:line="240" w:lineRule="auto"/>
      <w:ind w:left="4252"/>
    </w:pPr>
  </w:style>
  <w:style w:type="character" w:customStyle="1" w:styleId="SignatureChar">
    <w:name w:val="Signature Char"/>
    <w:basedOn w:val="DefaultParagraphFont"/>
    <w:link w:val="Signature"/>
    <w:uiPriority w:val="99"/>
    <w:semiHidden/>
    <w:rsid w:val="00B469D3"/>
    <w:rPr>
      <w:rFonts w:ascii="Calibri" w:hAnsi="Calibri"/>
      <w:color w:val="1E1E1E"/>
      <w:sz w:val="24"/>
    </w:rPr>
  </w:style>
  <w:style w:type="character" w:styleId="Strong">
    <w:name w:val="Strong"/>
    <w:basedOn w:val="DefaultParagraphFont"/>
    <w:uiPriority w:val="22"/>
    <w:qFormat/>
    <w:rsid w:val="00B469D3"/>
    <w:rPr>
      <w:b/>
      <w:bCs/>
    </w:rPr>
  </w:style>
  <w:style w:type="paragraph" w:styleId="Subtitle">
    <w:name w:val="Subtitle"/>
    <w:basedOn w:val="Normal"/>
    <w:next w:val="Normal"/>
    <w:link w:val="SubtitleChar"/>
    <w:uiPriority w:val="11"/>
    <w:semiHidden/>
    <w:rsid w:val="00B469D3"/>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semiHidden/>
    <w:rsid w:val="00B469D3"/>
    <w:rPr>
      <w:rFonts w:eastAsiaTheme="minorEastAsia"/>
      <w:color w:val="5A5A5A" w:themeColor="text1" w:themeTint="A5"/>
      <w:spacing w:val="15"/>
    </w:rPr>
  </w:style>
  <w:style w:type="character" w:styleId="SubtleEmphasis">
    <w:name w:val="Subtle Emphasis"/>
    <w:basedOn w:val="DefaultParagraphFont"/>
    <w:uiPriority w:val="19"/>
    <w:semiHidden/>
    <w:rsid w:val="00B469D3"/>
    <w:rPr>
      <w:i/>
      <w:iCs/>
      <w:color w:val="404040" w:themeColor="text1" w:themeTint="BF"/>
    </w:rPr>
  </w:style>
  <w:style w:type="character" w:styleId="SubtleReference">
    <w:name w:val="Subtle Reference"/>
    <w:basedOn w:val="DefaultParagraphFont"/>
    <w:uiPriority w:val="31"/>
    <w:semiHidden/>
    <w:rsid w:val="00B469D3"/>
    <w:rPr>
      <w:smallCaps/>
      <w:color w:val="5A5A5A" w:themeColor="text1" w:themeTint="A5"/>
    </w:rPr>
  </w:style>
  <w:style w:type="table" w:styleId="Table3Deffects1">
    <w:name w:val="Table 3D effects 1"/>
    <w:basedOn w:val="TableNormal"/>
    <w:uiPriority w:val="99"/>
    <w:semiHidden/>
    <w:unhideWhenUsed/>
    <w:rsid w:val="00B469D3"/>
    <w:pPr>
      <w:spacing w:after="160" w:line="30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B469D3"/>
    <w:pPr>
      <w:spacing w:after="160" w:line="30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B469D3"/>
    <w:pPr>
      <w:spacing w:after="160" w:line="30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B469D3"/>
    <w:pPr>
      <w:spacing w:after="160" w:line="30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B469D3"/>
    <w:pPr>
      <w:spacing w:after="160" w:line="30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B469D3"/>
    <w:pPr>
      <w:spacing w:after="160" w:line="30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B469D3"/>
    <w:pPr>
      <w:spacing w:after="160" w:line="30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B469D3"/>
    <w:pPr>
      <w:spacing w:after="160" w:line="30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B469D3"/>
    <w:pPr>
      <w:spacing w:after="160" w:line="30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B469D3"/>
    <w:pPr>
      <w:spacing w:after="160" w:line="30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B469D3"/>
    <w:pPr>
      <w:spacing w:after="160" w:line="30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B469D3"/>
    <w:pPr>
      <w:spacing w:after="160" w:line="30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B469D3"/>
    <w:pPr>
      <w:spacing w:after="160" w:line="30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B469D3"/>
    <w:pPr>
      <w:spacing w:after="160" w:line="30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B469D3"/>
    <w:pPr>
      <w:spacing w:after="160" w:line="30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B469D3"/>
    <w:pPr>
      <w:spacing w:after="160" w:line="30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B469D3"/>
    <w:pPr>
      <w:spacing w:after="160" w:line="30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B469D3"/>
    <w:pPr>
      <w:spacing w:after="160" w:line="30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B469D3"/>
    <w:pPr>
      <w:spacing w:after="160" w:line="30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B469D3"/>
    <w:pPr>
      <w:spacing w:after="160" w:line="30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B469D3"/>
    <w:pPr>
      <w:spacing w:after="160" w:line="30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B469D3"/>
    <w:pPr>
      <w:spacing w:after="160" w:line="30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B469D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B469D3"/>
    <w:pPr>
      <w:spacing w:after="160" w:line="30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B469D3"/>
    <w:pPr>
      <w:spacing w:after="160" w:line="30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B469D3"/>
    <w:pPr>
      <w:spacing w:after="160" w:line="30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B469D3"/>
    <w:pPr>
      <w:spacing w:after="160" w:line="30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B469D3"/>
    <w:pPr>
      <w:spacing w:after="160" w:line="30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B469D3"/>
    <w:pPr>
      <w:spacing w:after="160" w:line="30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B469D3"/>
    <w:pPr>
      <w:spacing w:after="160" w:line="30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B469D3"/>
    <w:pPr>
      <w:spacing w:after="160" w:line="30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B469D3"/>
    <w:pPr>
      <w:spacing w:after="160" w:line="30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B469D3"/>
    <w:pPr>
      <w:spacing w:after="160" w:line="30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B469D3"/>
    <w:pPr>
      <w:spacing w:after="160" w:line="30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B469D3"/>
    <w:pPr>
      <w:spacing w:after="160" w:line="30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B469D3"/>
    <w:pPr>
      <w:spacing w:after="160" w:line="30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B469D3"/>
    <w:pPr>
      <w:spacing w:after="160" w:line="30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B469D3"/>
    <w:pPr>
      <w:spacing w:after="160" w:line="30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B469D3"/>
    <w:pPr>
      <w:spacing w:after="160" w:line="30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IPI-Recsactions-heading">
    <w:name w:val="OIPI - Recs &amp; actions - heading"/>
    <w:basedOn w:val="Heading4"/>
    <w:uiPriority w:val="98"/>
    <w:rsid w:val="00C34A27"/>
    <w:pPr>
      <w:spacing w:before="160"/>
      <w:outlineLvl w:val="9"/>
    </w:pPr>
    <w:rPr>
      <w:b w:val="0"/>
      <w:color w:val="2BB673" w:themeColor="accent1"/>
      <w:sz w:val="28"/>
      <w:szCs w:val="28"/>
    </w:rPr>
  </w:style>
  <w:style w:type="paragraph" w:customStyle="1" w:styleId="OIPI-Cover-title1">
    <w:name w:val="OIPI - Cover - title 1"/>
    <w:basedOn w:val="Normal"/>
    <w:uiPriority w:val="98"/>
    <w:rsid w:val="00DF69E8"/>
    <w:rPr>
      <w:color w:val="FFFFFF" w:themeColor="background1"/>
      <w:sz w:val="26"/>
      <w:szCs w:val="24"/>
    </w:rPr>
  </w:style>
  <w:style w:type="paragraph" w:customStyle="1" w:styleId="OIPI-Cover-title4">
    <w:name w:val="OIPI - Cover - title 4"/>
    <w:basedOn w:val="Normal"/>
    <w:uiPriority w:val="98"/>
    <w:rsid w:val="00DF69E8"/>
    <w:pPr>
      <w:spacing w:before="320" w:after="0" w:line="240" w:lineRule="auto"/>
    </w:pPr>
    <w:rPr>
      <w:color w:val="FFFFFF" w:themeColor="background1"/>
      <w:sz w:val="26"/>
      <w:szCs w:val="20"/>
    </w:rPr>
  </w:style>
  <w:style w:type="paragraph" w:customStyle="1" w:styleId="OIPI-header">
    <w:name w:val="OIPI - header"/>
    <w:basedOn w:val="Header"/>
    <w:uiPriority w:val="98"/>
    <w:rsid w:val="003E2DE5"/>
    <w:pPr>
      <w:pBdr>
        <w:bottom w:val="single" w:sz="4" w:space="8" w:color="797979" w:themeColor="background2" w:themeShade="80"/>
      </w:pBdr>
    </w:pPr>
    <w:rPr>
      <w:color w:val="797979" w:themeColor="background2" w:themeShade="80"/>
      <w:sz w:val="24"/>
      <w:szCs w:val="24"/>
    </w:rPr>
  </w:style>
  <w:style w:type="paragraph" w:customStyle="1" w:styleId="OIPI-footer">
    <w:name w:val="OIPI - footer"/>
    <w:basedOn w:val="Footer"/>
    <w:uiPriority w:val="98"/>
    <w:rsid w:val="003E2DE5"/>
    <w:pPr>
      <w:pBdr>
        <w:top w:val="single" w:sz="4" w:space="8" w:color="797979" w:themeColor="background2" w:themeShade="80"/>
      </w:pBdr>
    </w:pPr>
    <w:rPr>
      <w:color w:val="797979" w:themeColor="background2" w:themeShade="80"/>
      <w:sz w:val="24"/>
      <w:szCs w:val="24"/>
    </w:rPr>
  </w:style>
  <w:style w:type="paragraph" w:customStyle="1" w:styleId="OIPI-White-Textbox2">
    <w:name w:val="OIPI - White - Text box 2"/>
    <w:basedOn w:val="Normal"/>
    <w:uiPriority w:val="98"/>
    <w:rsid w:val="00CD3282"/>
    <w:pPr>
      <w:spacing w:after="0" w:line="240" w:lineRule="auto"/>
      <w:jc w:val="right"/>
    </w:pPr>
    <w:rPr>
      <w:color w:val="FFFFFF" w:themeColor="background1"/>
      <w:sz w:val="28"/>
    </w:rPr>
  </w:style>
  <w:style w:type="paragraph" w:customStyle="1" w:styleId="OIPI-White-Textbox1">
    <w:name w:val="OIPI - White - Text box 1"/>
    <w:basedOn w:val="Normal"/>
    <w:uiPriority w:val="98"/>
    <w:rsid w:val="00CD3282"/>
    <w:pPr>
      <w:spacing w:after="0" w:line="240" w:lineRule="auto"/>
      <w:jc w:val="right"/>
    </w:pPr>
    <w:rPr>
      <w:b/>
      <w:color w:val="FFFFFF" w:themeColor="background1"/>
      <w:sz w:val="40"/>
    </w:rPr>
  </w:style>
  <w:style w:type="character" w:customStyle="1" w:styleId="e24kjd">
    <w:name w:val="e24kjd"/>
    <w:basedOn w:val="DefaultParagraphFont"/>
    <w:rsid w:val="002C35C9"/>
  </w:style>
  <w:style w:type="paragraph" w:customStyle="1" w:styleId="text">
    <w:name w:val="text"/>
    <w:basedOn w:val="Normal"/>
    <w:rsid w:val="00EA16C2"/>
    <w:pPr>
      <w:spacing w:before="100" w:beforeAutospacing="1" w:after="100" w:afterAutospacing="1" w:line="240" w:lineRule="auto"/>
    </w:pPr>
    <w:rPr>
      <w:rFonts w:ascii="Times New Roman" w:eastAsia="Times New Roman" w:hAnsi="Times New Roman" w:cs="Times New Roman"/>
      <w:color w:val="auto"/>
      <w:szCs w:val="24"/>
      <w:lang w:eastAsia="en-NZ"/>
    </w:rPr>
  </w:style>
  <w:style w:type="paragraph" w:styleId="Revision">
    <w:name w:val="Revision"/>
    <w:hidden/>
    <w:uiPriority w:val="99"/>
    <w:semiHidden/>
    <w:rsid w:val="00EA16C2"/>
    <w:pPr>
      <w:spacing w:after="0" w:line="240" w:lineRule="auto"/>
    </w:pPr>
    <w:rPr>
      <w:rFonts w:ascii="Calibri" w:hAnsi="Calibri"/>
      <w:color w:val="1E1E1E"/>
      <w:sz w:val="24"/>
    </w:rPr>
  </w:style>
  <w:style w:type="paragraph" w:customStyle="1" w:styleId="OIPI-recsactions-heading0">
    <w:name w:val="OIPI - recs &amp; actions - heading"/>
    <w:basedOn w:val="Heading4"/>
    <w:uiPriority w:val="98"/>
    <w:rsid w:val="00191B45"/>
    <w:pPr>
      <w:spacing w:before="160"/>
      <w:outlineLvl w:val="9"/>
    </w:pPr>
    <w:rPr>
      <w:b w:val="0"/>
      <w:color w:val="2BB673" w:themeColor="accent1"/>
      <w:sz w:val="28"/>
      <w:szCs w:val="28"/>
    </w:rPr>
  </w:style>
  <w:style w:type="character" w:customStyle="1" w:styleId="Bullet1Char">
    <w:name w:val="Bullet 1 Char"/>
    <w:basedOn w:val="DefaultParagraphFont"/>
    <w:link w:val="Bullet1"/>
    <w:uiPriority w:val="2"/>
    <w:locked/>
    <w:rsid w:val="00D6542B"/>
    <w:rPr>
      <w:rFonts w:ascii="Calibri" w:hAnsi="Calibri"/>
      <w:color w:val="1E1E1E"/>
      <w:sz w:val="24"/>
    </w:rPr>
  </w:style>
  <w:style w:type="paragraph" w:customStyle="1" w:styleId="ref">
    <w:name w:val="ref"/>
    <w:basedOn w:val="BodyText"/>
    <w:rsid w:val="00123187"/>
  </w:style>
  <w:style w:type="paragraph" w:customStyle="1" w:styleId="TableTitle">
    <w:name w:val="Table Title"/>
    <w:basedOn w:val="BodyText"/>
    <w:rsid w:val="00D50D14"/>
  </w:style>
  <w:style w:type="paragraph" w:customStyle="1" w:styleId="df3vjf">
    <w:name w:val="df3vjf"/>
    <w:basedOn w:val="Normal"/>
    <w:rsid w:val="00740E05"/>
    <w:pPr>
      <w:spacing w:before="100" w:beforeAutospacing="1" w:after="100" w:afterAutospacing="1" w:line="240" w:lineRule="auto"/>
    </w:pPr>
    <w:rPr>
      <w:rFonts w:ascii="Times New Roman" w:eastAsia="Times New Roman" w:hAnsi="Times New Roman" w:cs="Times New Roman"/>
      <w:color w:val="auto"/>
      <w:szCs w:val="24"/>
      <w:lang w:eastAsia="en-NZ"/>
    </w:rPr>
  </w:style>
  <w:style w:type="character" w:customStyle="1" w:styleId="t286pc">
    <w:name w:val="t286pc"/>
    <w:basedOn w:val="DefaultParagraphFont"/>
    <w:rsid w:val="00740E05"/>
  </w:style>
  <w:style w:type="character" w:styleId="UnresolvedMention">
    <w:name w:val="Unresolved Mention"/>
    <w:basedOn w:val="DefaultParagraphFont"/>
    <w:uiPriority w:val="99"/>
    <w:semiHidden/>
    <w:unhideWhenUsed/>
    <w:rsid w:val="00052FE0"/>
    <w:rPr>
      <w:color w:val="605E5C"/>
      <w:shd w:val="clear" w:color="auto" w:fill="E1DFDD"/>
    </w:rPr>
  </w:style>
  <w:style w:type="paragraph" w:customStyle="1" w:styleId="Default">
    <w:name w:val="Default"/>
    <w:rsid w:val="0060527F"/>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cf01">
    <w:name w:val="cf01"/>
    <w:basedOn w:val="DefaultParagraphFont"/>
    <w:rsid w:val="00153F53"/>
    <w:rPr>
      <w:rFonts w:ascii="Segoe UI" w:hAnsi="Segoe UI" w:cs="Segoe UI" w:hint="default"/>
      <w:color w:val="1E1E1E"/>
      <w:sz w:val="18"/>
      <w:szCs w:val="18"/>
    </w:rPr>
  </w:style>
  <w:style w:type="character" w:customStyle="1" w:styleId="cf11">
    <w:name w:val="cf11"/>
    <w:basedOn w:val="DefaultParagraphFont"/>
    <w:rsid w:val="00153F53"/>
    <w:rPr>
      <w:rFonts w:ascii="Segoe UI" w:hAnsi="Segoe UI" w:cs="Segoe UI" w:hint="default"/>
      <w:sz w:val="18"/>
      <w:szCs w:val="18"/>
    </w:rPr>
  </w:style>
  <w:style w:type="character" w:customStyle="1" w:styleId="cf21">
    <w:name w:val="cf21"/>
    <w:basedOn w:val="DefaultParagraphFont"/>
    <w:rsid w:val="00153F53"/>
    <w:rPr>
      <w:rFonts w:ascii="Segoe UI" w:hAnsi="Segoe UI" w:cs="Segoe UI" w:hint="default"/>
      <w:b/>
      <w:bCs/>
      <w:color w:val="1E1E1E"/>
      <w:sz w:val="18"/>
      <w:szCs w:val="18"/>
      <w:u w:val="single"/>
    </w:rPr>
  </w:style>
  <w:style w:type="character" w:customStyle="1" w:styleId="cf31">
    <w:name w:val="cf31"/>
    <w:basedOn w:val="DefaultParagraphFont"/>
    <w:rsid w:val="00153F53"/>
    <w:rPr>
      <w:rFonts w:ascii="Segoe UI" w:hAnsi="Segoe UI" w:cs="Segoe UI" w:hint="default"/>
      <w:b/>
      <w:bCs/>
      <w:color w:val="1E1E1E"/>
      <w:sz w:val="18"/>
      <w:szCs w:val="18"/>
      <w:u w:val="singl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29690">
      <w:bodyDiv w:val="1"/>
      <w:marLeft w:val="0"/>
      <w:marRight w:val="0"/>
      <w:marTop w:val="0"/>
      <w:marBottom w:val="0"/>
      <w:divBdr>
        <w:top w:val="none" w:sz="0" w:space="0" w:color="auto"/>
        <w:left w:val="none" w:sz="0" w:space="0" w:color="auto"/>
        <w:bottom w:val="none" w:sz="0" w:space="0" w:color="auto"/>
        <w:right w:val="none" w:sz="0" w:space="0" w:color="auto"/>
      </w:divBdr>
      <w:divsChild>
        <w:div w:id="2076128160">
          <w:marLeft w:val="0"/>
          <w:marRight w:val="0"/>
          <w:marTop w:val="0"/>
          <w:marBottom w:val="0"/>
          <w:divBdr>
            <w:top w:val="none" w:sz="0" w:space="0" w:color="auto"/>
            <w:left w:val="none" w:sz="0" w:space="0" w:color="auto"/>
            <w:bottom w:val="none" w:sz="0" w:space="0" w:color="auto"/>
            <w:right w:val="none" w:sz="0" w:space="0" w:color="auto"/>
          </w:divBdr>
        </w:div>
      </w:divsChild>
    </w:div>
    <w:div w:id="105850902">
      <w:bodyDiv w:val="1"/>
      <w:marLeft w:val="0"/>
      <w:marRight w:val="0"/>
      <w:marTop w:val="0"/>
      <w:marBottom w:val="0"/>
      <w:divBdr>
        <w:top w:val="none" w:sz="0" w:space="0" w:color="auto"/>
        <w:left w:val="none" w:sz="0" w:space="0" w:color="auto"/>
        <w:bottom w:val="none" w:sz="0" w:space="0" w:color="auto"/>
        <w:right w:val="none" w:sz="0" w:space="0" w:color="auto"/>
      </w:divBdr>
    </w:div>
    <w:div w:id="175115460">
      <w:bodyDiv w:val="1"/>
      <w:marLeft w:val="0"/>
      <w:marRight w:val="0"/>
      <w:marTop w:val="0"/>
      <w:marBottom w:val="0"/>
      <w:divBdr>
        <w:top w:val="none" w:sz="0" w:space="0" w:color="auto"/>
        <w:left w:val="none" w:sz="0" w:space="0" w:color="auto"/>
        <w:bottom w:val="none" w:sz="0" w:space="0" w:color="auto"/>
        <w:right w:val="none" w:sz="0" w:space="0" w:color="auto"/>
      </w:divBdr>
    </w:div>
    <w:div w:id="175926929">
      <w:bodyDiv w:val="1"/>
      <w:marLeft w:val="0"/>
      <w:marRight w:val="0"/>
      <w:marTop w:val="0"/>
      <w:marBottom w:val="0"/>
      <w:divBdr>
        <w:top w:val="none" w:sz="0" w:space="0" w:color="auto"/>
        <w:left w:val="none" w:sz="0" w:space="0" w:color="auto"/>
        <w:bottom w:val="none" w:sz="0" w:space="0" w:color="auto"/>
        <w:right w:val="none" w:sz="0" w:space="0" w:color="auto"/>
      </w:divBdr>
    </w:div>
    <w:div w:id="203253145">
      <w:bodyDiv w:val="1"/>
      <w:marLeft w:val="0"/>
      <w:marRight w:val="0"/>
      <w:marTop w:val="0"/>
      <w:marBottom w:val="0"/>
      <w:divBdr>
        <w:top w:val="none" w:sz="0" w:space="0" w:color="auto"/>
        <w:left w:val="none" w:sz="0" w:space="0" w:color="auto"/>
        <w:bottom w:val="none" w:sz="0" w:space="0" w:color="auto"/>
        <w:right w:val="none" w:sz="0" w:space="0" w:color="auto"/>
      </w:divBdr>
    </w:div>
    <w:div w:id="288318988">
      <w:bodyDiv w:val="1"/>
      <w:marLeft w:val="0"/>
      <w:marRight w:val="0"/>
      <w:marTop w:val="0"/>
      <w:marBottom w:val="0"/>
      <w:divBdr>
        <w:top w:val="none" w:sz="0" w:space="0" w:color="auto"/>
        <w:left w:val="none" w:sz="0" w:space="0" w:color="auto"/>
        <w:bottom w:val="none" w:sz="0" w:space="0" w:color="auto"/>
        <w:right w:val="none" w:sz="0" w:space="0" w:color="auto"/>
      </w:divBdr>
    </w:div>
    <w:div w:id="320620511">
      <w:bodyDiv w:val="1"/>
      <w:marLeft w:val="0"/>
      <w:marRight w:val="0"/>
      <w:marTop w:val="0"/>
      <w:marBottom w:val="0"/>
      <w:divBdr>
        <w:top w:val="none" w:sz="0" w:space="0" w:color="auto"/>
        <w:left w:val="none" w:sz="0" w:space="0" w:color="auto"/>
        <w:bottom w:val="none" w:sz="0" w:space="0" w:color="auto"/>
        <w:right w:val="none" w:sz="0" w:space="0" w:color="auto"/>
      </w:divBdr>
    </w:div>
    <w:div w:id="321157500">
      <w:bodyDiv w:val="1"/>
      <w:marLeft w:val="0"/>
      <w:marRight w:val="0"/>
      <w:marTop w:val="0"/>
      <w:marBottom w:val="0"/>
      <w:divBdr>
        <w:top w:val="none" w:sz="0" w:space="0" w:color="auto"/>
        <w:left w:val="none" w:sz="0" w:space="0" w:color="auto"/>
        <w:bottom w:val="none" w:sz="0" w:space="0" w:color="auto"/>
        <w:right w:val="none" w:sz="0" w:space="0" w:color="auto"/>
      </w:divBdr>
    </w:div>
    <w:div w:id="364671304">
      <w:bodyDiv w:val="1"/>
      <w:marLeft w:val="0"/>
      <w:marRight w:val="0"/>
      <w:marTop w:val="0"/>
      <w:marBottom w:val="0"/>
      <w:divBdr>
        <w:top w:val="none" w:sz="0" w:space="0" w:color="auto"/>
        <w:left w:val="none" w:sz="0" w:space="0" w:color="auto"/>
        <w:bottom w:val="none" w:sz="0" w:space="0" w:color="auto"/>
        <w:right w:val="none" w:sz="0" w:space="0" w:color="auto"/>
      </w:divBdr>
      <w:divsChild>
        <w:div w:id="79374596">
          <w:marLeft w:val="0"/>
          <w:marRight w:val="0"/>
          <w:marTop w:val="180"/>
          <w:marBottom w:val="240"/>
          <w:divBdr>
            <w:top w:val="none" w:sz="0" w:space="0" w:color="auto"/>
            <w:left w:val="none" w:sz="0" w:space="0" w:color="auto"/>
            <w:bottom w:val="none" w:sz="0" w:space="0" w:color="auto"/>
            <w:right w:val="none" w:sz="0" w:space="0" w:color="auto"/>
          </w:divBdr>
        </w:div>
        <w:div w:id="377363255">
          <w:marLeft w:val="0"/>
          <w:marRight w:val="0"/>
          <w:marTop w:val="180"/>
          <w:marBottom w:val="240"/>
          <w:divBdr>
            <w:top w:val="none" w:sz="0" w:space="0" w:color="auto"/>
            <w:left w:val="none" w:sz="0" w:space="0" w:color="auto"/>
            <w:bottom w:val="none" w:sz="0" w:space="0" w:color="auto"/>
            <w:right w:val="none" w:sz="0" w:space="0" w:color="auto"/>
          </w:divBdr>
        </w:div>
      </w:divsChild>
    </w:div>
    <w:div w:id="405490729">
      <w:bodyDiv w:val="1"/>
      <w:marLeft w:val="0"/>
      <w:marRight w:val="0"/>
      <w:marTop w:val="0"/>
      <w:marBottom w:val="0"/>
      <w:divBdr>
        <w:top w:val="none" w:sz="0" w:space="0" w:color="auto"/>
        <w:left w:val="none" w:sz="0" w:space="0" w:color="auto"/>
        <w:bottom w:val="none" w:sz="0" w:space="0" w:color="auto"/>
        <w:right w:val="none" w:sz="0" w:space="0" w:color="auto"/>
      </w:divBdr>
    </w:div>
    <w:div w:id="484972703">
      <w:bodyDiv w:val="1"/>
      <w:marLeft w:val="0"/>
      <w:marRight w:val="0"/>
      <w:marTop w:val="0"/>
      <w:marBottom w:val="0"/>
      <w:divBdr>
        <w:top w:val="none" w:sz="0" w:space="0" w:color="auto"/>
        <w:left w:val="none" w:sz="0" w:space="0" w:color="auto"/>
        <w:bottom w:val="none" w:sz="0" w:space="0" w:color="auto"/>
        <w:right w:val="none" w:sz="0" w:space="0" w:color="auto"/>
      </w:divBdr>
      <w:divsChild>
        <w:div w:id="1396516087">
          <w:marLeft w:val="0"/>
          <w:marRight w:val="0"/>
          <w:marTop w:val="83"/>
          <w:marBottom w:val="0"/>
          <w:divBdr>
            <w:top w:val="none" w:sz="0" w:space="0" w:color="auto"/>
            <w:left w:val="none" w:sz="0" w:space="0" w:color="auto"/>
            <w:bottom w:val="none" w:sz="0" w:space="0" w:color="auto"/>
            <w:right w:val="none" w:sz="0" w:space="0" w:color="auto"/>
          </w:divBdr>
        </w:div>
        <w:div w:id="486823235">
          <w:marLeft w:val="0"/>
          <w:marRight w:val="0"/>
          <w:marTop w:val="83"/>
          <w:marBottom w:val="0"/>
          <w:divBdr>
            <w:top w:val="none" w:sz="0" w:space="0" w:color="auto"/>
            <w:left w:val="none" w:sz="0" w:space="0" w:color="auto"/>
            <w:bottom w:val="none" w:sz="0" w:space="0" w:color="auto"/>
            <w:right w:val="none" w:sz="0" w:space="0" w:color="auto"/>
          </w:divBdr>
        </w:div>
      </w:divsChild>
    </w:div>
    <w:div w:id="500000582">
      <w:bodyDiv w:val="1"/>
      <w:marLeft w:val="0"/>
      <w:marRight w:val="0"/>
      <w:marTop w:val="0"/>
      <w:marBottom w:val="0"/>
      <w:divBdr>
        <w:top w:val="none" w:sz="0" w:space="0" w:color="auto"/>
        <w:left w:val="none" w:sz="0" w:space="0" w:color="auto"/>
        <w:bottom w:val="none" w:sz="0" w:space="0" w:color="auto"/>
        <w:right w:val="none" w:sz="0" w:space="0" w:color="auto"/>
      </w:divBdr>
    </w:div>
    <w:div w:id="517162768">
      <w:bodyDiv w:val="1"/>
      <w:marLeft w:val="0"/>
      <w:marRight w:val="0"/>
      <w:marTop w:val="0"/>
      <w:marBottom w:val="0"/>
      <w:divBdr>
        <w:top w:val="none" w:sz="0" w:space="0" w:color="auto"/>
        <w:left w:val="none" w:sz="0" w:space="0" w:color="auto"/>
        <w:bottom w:val="none" w:sz="0" w:space="0" w:color="auto"/>
        <w:right w:val="none" w:sz="0" w:space="0" w:color="auto"/>
      </w:divBdr>
    </w:div>
    <w:div w:id="606932662">
      <w:bodyDiv w:val="1"/>
      <w:marLeft w:val="0"/>
      <w:marRight w:val="0"/>
      <w:marTop w:val="0"/>
      <w:marBottom w:val="0"/>
      <w:divBdr>
        <w:top w:val="none" w:sz="0" w:space="0" w:color="auto"/>
        <w:left w:val="none" w:sz="0" w:space="0" w:color="auto"/>
        <w:bottom w:val="none" w:sz="0" w:space="0" w:color="auto"/>
        <w:right w:val="none" w:sz="0" w:space="0" w:color="auto"/>
      </w:divBdr>
    </w:div>
    <w:div w:id="703288194">
      <w:bodyDiv w:val="1"/>
      <w:marLeft w:val="0"/>
      <w:marRight w:val="0"/>
      <w:marTop w:val="0"/>
      <w:marBottom w:val="0"/>
      <w:divBdr>
        <w:top w:val="none" w:sz="0" w:space="0" w:color="auto"/>
        <w:left w:val="none" w:sz="0" w:space="0" w:color="auto"/>
        <w:bottom w:val="none" w:sz="0" w:space="0" w:color="auto"/>
        <w:right w:val="none" w:sz="0" w:space="0" w:color="auto"/>
      </w:divBdr>
    </w:div>
    <w:div w:id="721296107">
      <w:bodyDiv w:val="1"/>
      <w:marLeft w:val="0"/>
      <w:marRight w:val="0"/>
      <w:marTop w:val="0"/>
      <w:marBottom w:val="0"/>
      <w:divBdr>
        <w:top w:val="none" w:sz="0" w:space="0" w:color="auto"/>
        <w:left w:val="none" w:sz="0" w:space="0" w:color="auto"/>
        <w:bottom w:val="none" w:sz="0" w:space="0" w:color="auto"/>
        <w:right w:val="none" w:sz="0" w:space="0" w:color="auto"/>
      </w:divBdr>
    </w:div>
    <w:div w:id="727192191">
      <w:bodyDiv w:val="1"/>
      <w:marLeft w:val="0"/>
      <w:marRight w:val="0"/>
      <w:marTop w:val="0"/>
      <w:marBottom w:val="0"/>
      <w:divBdr>
        <w:top w:val="none" w:sz="0" w:space="0" w:color="auto"/>
        <w:left w:val="none" w:sz="0" w:space="0" w:color="auto"/>
        <w:bottom w:val="none" w:sz="0" w:space="0" w:color="auto"/>
        <w:right w:val="none" w:sz="0" w:space="0" w:color="auto"/>
      </w:divBdr>
    </w:div>
    <w:div w:id="752236159">
      <w:bodyDiv w:val="1"/>
      <w:marLeft w:val="0"/>
      <w:marRight w:val="0"/>
      <w:marTop w:val="0"/>
      <w:marBottom w:val="0"/>
      <w:divBdr>
        <w:top w:val="none" w:sz="0" w:space="0" w:color="auto"/>
        <w:left w:val="none" w:sz="0" w:space="0" w:color="auto"/>
        <w:bottom w:val="none" w:sz="0" w:space="0" w:color="auto"/>
        <w:right w:val="none" w:sz="0" w:space="0" w:color="auto"/>
      </w:divBdr>
    </w:div>
    <w:div w:id="756755646">
      <w:bodyDiv w:val="1"/>
      <w:marLeft w:val="0"/>
      <w:marRight w:val="0"/>
      <w:marTop w:val="0"/>
      <w:marBottom w:val="0"/>
      <w:divBdr>
        <w:top w:val="none" w:sz="0" w:space="0" w:color="auto"/>
        <w:left w:val="none" w:sz="0" w:space="0" w:color="auto"/>
        <w:bottom w:val="none" w:sz="0" w:space="0" w:color="auto"/>
        <w:right w:val="none" w:sz="0" w:space="0" w:color="auto"/>
      </w:divBdr>
    </w:div>
    <w:div w:id="866528581">
      <w:bodyDiv w:val="1"/>
      <w:marLeft w:val="0"/>
      <w:marRight w:val="0"/>
      <w:marTop w:val="0"/>
      <w:marBottom w:val="0"/>
      <w:divBdr>
        <w:top w:val="none" w:sz="0" w:space="0" w:color="auto"/>
        <w:left w:val="none" w:sz="0" w:space="0" w:color="auto"/>
        <w:bottom w:val="none" w:sz="0" w:space="0" w:color="auto"/>
        <w:right w:val="none" w:sz="0" w:space="0" w:color="auto"/>
      </w:divBdr>
      <w:divsChild>
        <w:div w:id="1255669841">
          <w:marLeft w:val="0"/>
          <w:marRight w:val="0"/>
          <w:marTop w:val="0"/>
          <w:marBottom w:val="0"/>
          <w:divBdr>
            <w:top w:val="none" w:sz="0" w:space="0" w:color="auto"/>
            <w:left w:val="none" w:sz="0" w:space="0" w:color="auto"/>
            <w:bottom w:val="none" w:sz="0" w:space="0" w:color="auto"/>
            <w:right w:val="none" w:sz="0" w:space="0" w:color="auto"/>
          </w:divBdr>
          <w:divsChild>
            <w:div w:id="665480765">
              <w:marLeft w:val="0"/>
              <w:marRight w:val="0"/>
              <w:marTop w:val="0"/>
              <w:marBottom w:val="0"/>
              <w:divBdr>
                <w:top w:val="none" w:sz="0" w:space="0" w:color="auto"/>
                <w:left w:val="none" w:sz="0" w:space="0" w:color="auto"/>
                <w:bottom w:val="none" w:sz="0" w:space="0" w:color="auto"/>
                <w:right w:val="none" w:sz="0" w:space="0" w:color="auto"/>
              </w:divBdr>
            </w:div>
          </w:divsChild>
        </w:div>
        <w:div w:id="739863491">
          <w:marLeft w:val="0"/>
          <w:marRight w:val="0"/>
          <w:marTop w:val="0"/>
          <w:marBottom w:val="0"/>
          <w:divBdr>
            <w:top w:val="none" w:sz="0" w:space="0" w:color="auto"/>
            <w:left w:val="none" w:sz="0" w:space="0" w:color="auto"/>
            <w:bottom w:val="none" w:sz="0" w:space="0" w:color="auto"/>
            <w:right w:val="none" w:sz="0" w:space="0" w:color="auto"/>
          </w:divBdr>
        </w:div>
      </w:divsChild>
    </w:div>
    <w:div w:id="958296630">
      <w:bodyDiv w:val="1"/>
      <w:marLeft w:val="0"/>
      <w:marRight w:val="0"/>
      <w:marTop w:val="0"/>
      <w:marBottom w:val="0"/>
      <w:divBdr>
        <w:top w:val="none" w:sz="0" w:space="0" w:color="auto"/>
        <w:left w:val="none" w:sz="0" w:space="0" w:color="auto"/>
        <w:bottom w:val="none" w:sz="0" w:space="0" w:color="auto"/>
        <w:right w:val="none" w:sz="0" w:space="0" w:color="auto"/>
      </w:divBdr>
    </w:div>
    <w:div w:id="1098017595">
      <w:bodyDiv w:val="1"/>
      <w:marLeft w:val="0"/>
      <w:marRight w:val="0"/>
      <w:marTop w:val="0"/>
      <w:marBottom w:val="0"/>
      <w:divBdr>
        <w:top w:val="none" w:sz="0" w:space="0" w:color="auto"/>
        <w:left w:val="none" w:sz="0" w:space="0" w:color="auto"/>
        <w:bottom w:val="none" w:sz="0" w:space="0" w:color="auto"/>
        <w:right w:val="none" w:sz="0" w:space="0" w:color="auto"/>
      </w:divBdr>
    </w:div>
    <w:div w:id="1125461688">
      <w:bodyDiv w:val="1"/>
      <w:marLeft w:val="0"/>
      <w:marRight w:val="0"/>
      <w:marTop w:val="0"/>
      <w:marBottom w:val="0"/>
      <w:divBdr>
        <w:top w:val="none" w:sz="0" w:space="0" w:color="auto"/>
        <w:left w:val="none" w:sz="0" w:space="0" w:color="auto"/>
        <w:bottom w:val="none" w:sz="0" w:space="0" w:color="auto"/>
        <w:right w:val="none" w:sz="0" w:space="0" w:color="auto"/>
      </w:divBdr>
    </w:div>
    <w:div w:id="1135374038">
      <w:bodyDiv w:val="1"/>
      <w:marLeft w:val="0"/>
      <w:marRight w:val="0"/>
      <w:marTop w:val="0"/>
      <w:marBottom w:val="0"/>
      <w:divBdr>
        <w:top w:val="none" w:sz="0" w:space="0" w:color="auto"/>
        <w:left w:val="none" w:sz="0" w:space="0" w:color="auto"/>
        <w:bottom w:val="none" w:sz="0" w:space="0" w:color="auto"/>
        <w:right w:val="none" w:sz="0" w:space="0" w:color="auto"/>
      </w:divBdr>
    </w:div>
    <w:div w:id="1150904905">
      <w:bodyDiv w:val="1"/>
      <w:marLeft w:val="0"/>
      <w:marRight w:val="0"/>
      <w:marTop w:val="0"/>
      <w:marBottom w:val="0"/>
      <w:divBdr>
        <w:top w:val="none" w:sz="0" w:space="0" w:color="auto"/>
        <w:left w:val="none" w:sz="0" w:space="0" w:color="auto"/>
        <w:bottom w:val="none" w:sz="0" w:space="0" w:color="auto"/>
        <w:right w:val="none" w:sz="0" w:space="0" w:color="auto"/>
      </w:divBdr>
      <w:divsChild>
        <w:div w:id="117069058">
          <w:marLeft w:val="0"/>
          <w:marRight w:val="0"/>
          <w:marTop w:val="0"/>
          <w:marBottom w:val="0"/>
          <w:divBdr>
            <w:top w:val="none" w:sz="0" w:space="0" w:color="auto"/>
            <w:left w:val="none" w:sz="0" w:space="0" w:color="auto"/>
            <w:bottom w:val="none" w:sz="0" w:space="0" w:color="auto"/>
            <w:right w:val="none" w:sz="0" w:space="0" w:color="auto"/>
          </w:divBdr>
        </w:div>
      </w:divsChild>
    </w:div>
    <w:div w:id="1187135020">
      <w:bodyDiv w:val="1"/>
      <w:marLeft w:val="0"/>
      <w:marRight w:val="0"/>
      <w:marTop w:val="0"/>
      <w:marBottom w:val="0"/>
      <w:divBdr>
        <w:top w:val="none" w:sz="0" w:space="0" w:color="auto"/>
        <w:left w:val="none" w:sz="0" w:space="0" w:color="auto"/>
        <w:bottom w:val="none" w:sz="0" w:space="0" w:color="auto"/>
        <w:right w:val="none" w:sz="0" w:space="0" w:color="auto"/>
      </w:divBdr>
    </w:div>
    <w:div w:id="1202783565">
      <w:bodyDiv w:val="1"/>
      <w:marLeft w:val="0"/>
      <w:marRight w:val="0"/>
      <w:marTop w:val="0"/>
      <w:marBottom w:val="0"/>
      <w:divBdr>
        <w:top w:val="none" w:sz="0" w:space="0" w:color="auto"/>
        <w:left w:val="none" w:sz="0" w:space="0" w:color="auto"/>
        <w:bottom w:val="none" w:sz="0" w:space="0" w:color="auto"/>
        <w:right w:val="none" w:sz="0" w:space="0" w:color="auto"/>
      </w:divBdr>
    </w:div>
    <w:div w:id="1213883037">
      <w:bodyDiv w:val="1"/>
      <w:marLeft w:val="0"/>
      <w:marRight w:val="0"/>
      <w:marTop w:val="0"/>
      <w:marBottom w:val="0"/>
      <w:divBdr>
        <w:top w:val="none" w:sz="0" w:space="0" w:color="auto"/>
        <w:left w:val="none" w:sz="0" w:space="0" w:color="auto"/>
        <w:bottom w:val="none" w:sz="0" w:space="0" w:color="auto"/>
        <w:right w:val="none" w:sz="0" w:space="0" w:color="auto"/>
      </w:divBdr>
    </w:div>
    <w:div w:id="1305239506">
      <w:bodyDiv w:val="1"/>
      <w:marLeft w:val="0"/>
      <w:marRight w:val="0"/>
      <w:marTop w:val="0"/>
      <w:marBottom w:val="0"/>
      <w:divBdr>
        <w:top w:val="none" w:sz="0" w:space="0" w:color="auto"/>
        <w:left w:val="none" w:sz="0" w:space="0" w:color="auto"/>
        <w:bottom w:val="none" w:sz="0" w:space="0" w:color="auto"/>
        <w:right w:val="none" w:sz="0" w:space="0" w:color="auto"/>
      </w:divBdr>
    </w:div>
    <w:div w:id="1307778704">
      <w:bodyDiv w:val="1"/>
      <w:marLeft w:val="0"/>
      <w:marRight w:val="0"/>
      <w:marTop w:val="0"/>
      <w:marBottom w:val="0"/>
      <w:divBdr>
        <w:top w:val="none" w:sz="0" w:space="0" w:color="auto"/>
        <w:left w:val="none" w:sz="0" w:space="0" w:color="auto"/>
        <w:bottom w:val="none" w:sz="0" w:space="0" w:color="auto"/>
        <w:right w:val="none" w:sz="0" w:space="0" w:color="auto"/>
      </w:divBdr>
    </w:div>
    <w:div w:id="1400833195">
      <w:bodyDiv w:val="1"/>
      <w:marLeft w:val="0"/>
      <w:marRight w:val="0"/>
      <w:marTop w:val="0"/>
      <w:marBottom w:val="0"/>
      <w:divBdr>
        <w:top w:val="none" w:sz="0" w:space="0" w:color="auto"/>
        <w:left w:val="none" w:sz="0" w:space="0" w:color="auto"/>
        <w:bottom w:val="none" w:sz="0" w:space="0" w:color="auto"/>
        <w:right w:val="none" w:sz="0" w:space="0" w:color="auto"/>
      </w:divBdr>
    </w:div>
    <w:div w:id="1632051021">
      <w:bodyDiv w:val="1"/>
      <w:marLeft w:val="0"/>
      <w:marRight w:val="0"/>
      <w:marTop w:val="0"/>
      <w:marBottom w:val="0"/>
      <w:divBdr>
        <w:top w:val="none" w:sz="0" w:space="0" w:color="auto"/>
        <w:left w:val="none" w:sz="0" w:space="0" w:color="auto"/>
        <w:bottom w:val="none" w:sz="0" w:space="0" w:color="auto"/>
        <w:right w:val="none" w:sz="0" w:space="0" w:color="auto"/>
      </w:divBdr>
      <w:divsChild>
        <w:div w:id="522671189">
          <w:marLeft w:val="0"/>
          <w:marRight w:val="0"/>
          <w:marTop w:val="0"/>
          <w:marBottom w:val="0"/>
          <w:divBdr>
            <w:top w:val="none" w:sz="0" w:space="0" w:color="auto"/>
            <w:left w:val="none" w:sz="0" w:space="0" w:color="auto"/>
            <w:bottom w:val="none" w:sz="0" w:space="0" w:color="auto"/>
            <w:right w:val="none" w:sz="0" w:space="0" w:color="auto"/>
          </w:divBdr>
        </w:div>
      </w:divsChild>
    </w:div>
    <w:div w:id="1713337983">
      <w:bodyDiv w:val="1"/>
      <w:marLeft w:val="0"/>
      <w:marRight w:val="0"/>
      <w:marTop w:val="0"/>
      <w:marBottom w:val="0"/>
      <w:divBdr>
        <w:top w:val="none" w:sz="0" w:space="0" w:color="auto"/>
        <w:left w:val="none" w:sz="0" w:space="0" w:color="auto"/>
        <w:bottom w:val="none" w:sz="0" w:space="0" w:color="auto"/>
        <w:right w:val="none" w:sz="0" w:space="0" w:color="auto"/>
      </w:divBdr>
      <w:divsChild>
        <w:div w:id="1411998255">
          <w:marLeft w:val="0"/>
          <w:marRight w:val="0"/>
          <w:marTop w:val="0"/>
          <w:marBottom w:val="0"/>
          <w:divBdr>
            <w:top w:val="none" w:sz="0" w:space="0" w:color="auto"/>
            <w:left w:val="none" w:sz="0" w:space="0" w:color="auto"/>
            <w:bottom w:val="none" w:sz="0" w:space="0" w:color="auto"/>
            <w:right w:val="none" w:sz="0" w:space="0" w:color="auto"/>
          </w:divBdr>
        </w:div>
        <w:div w:id="963004545">
          <w:marLeft w:val="0"/>
          <w:marRight w:val="0"/>
          <w:marTop w:val="0"/>
          <w:marBottom w:val="0"/>
          <w:divBdr>
            <w:top w:val="none" w:sz="0" w:space="0" w:color="auto"/>
            <w:left w:val="none" w:sz="0" w:space="0" w:color="auto"/>
            <w:bottom w:val="none" w:sz="0" w:space="0" w:color="auto"/>
            <w:right w:val="none" w:sz="0" w:space="0" w:color="auto"/>
          </w:divBdr>
        </w:div>
      </w:divsChild>
    </w:div>
    <w:div w:id="1726181330">
      <w:bodyDiv w:val="1"/>
      <w:marLeft w:val="0"/>
      <w:marRight w:val="0"/>
      <w:marTop w:val="0"/>
      <w:marBottom w:val="0"/>
      <w:divBdr>
        <w:top w:val="none" w:sz="0" w:space="0" w:color="auto"/>
        <w:left w:val="none" w:sz="0" w:space="0" w:color="auto"/>
        <w:bottom w:val="none" w:sz="0" w:space="0" w:color="auto"/>
        <w:right w:val="none" w:sz="0" w:space="0" w:color="auto"/>
      </w:divBdr>
    </w:div>
    <w:div w:id="1738090800">
      <w:bodyDiv w:val="1"/>
      <w:marLeft w:val="0"/>
      <w:marRight w:val="0"/>
      <w:marTop w:val="0"/>
      <w:marBottom w:val="0"/>
      <w:divBdr>
        <w:top w:val="none" w:sz="0" w:space="0" w:color="auto"/>
        <w:left w:val="none" w:sz="0" w:space="0" w:color="auto"/>
        <w:bottom w:val="none" w:sz="0" w:space="0" w:color="auto"/>
        <w:right w:val="none" w:sz="0" w:space="0" w:color="auto"/>
      </w:divBdr>
      <w:divsChild>
        <w:div w:id="1687899858">
          <w:marLeft w:val="-3"/>
          <w:marRight w:val="-3"/>
          <w:marTop w:val="0"/>
          <w:marBottom w:val="0"/>
          <w:divBdr>
            <w:top w:val="none" w:sz="0" w:space="0" w:color="auto"/>
            <w:left w:val="none" w:sz="0" w:space="0" w:color="auto"/>
            <w:bottom w:val="none" w:sz="0" w:space="0" w:color="auto"/>
            <w:right w:val="none" w:sz="0" w:space="0" w:color="auto"/>
          </w:divBdr>
          <w:divsChild>
            <w:div w:id="1449737106">
              <w:marLeft w:val="0"/>
              <w:marRight w:val="0"/>
              <w:marTop w:val="360"/>
              <w:marBottom w:val="0"/>
              <w:divBdr>
                <w:top w:val="none" w:sz="0" w:space="0" w:color="auto"/>
                <w:left w:val="none" w:sz="0" w:space="0" w:color="auto"/>
                <w:bottom w:val="none" w:sz="0" w:space="0" w:color="auto"/>
                <w:right w:val="none" w:sz="0" w:space="0" w:color="auto"/>
              </w:divBdr>
              <w:divsChild>
                <w:div w:id="1366522614">
                  <w:marLeft w:val="0"/>
                  <w:marRight w:val="0"/>
                  <w:marTop w:val="0"/>
                  <w:marBottom w:val="0"/>
                  <w:divBdr>
                    <w:top w:val="none" w:sz="0" w:space="0" w:color="auto"/>
                    <w:left w:val="none" w:sz="0" w:space="0" w:color="auto"/>
                    <w:bottom w:val="none" w:sz="0" w:space="0" w:color="auto"/>
                    <w:right w:val="none" w:sz="0" w:space="0" w:color="auto"/>
                  </w:divBdr>
                  <w:divsChild>
                    <w:div w:id="329869071">
                      <w:marLeft w:val="0"/>
                      <w:marRight w:val="0"/>
                      <w:marTop w:val="0"/>
                      <w:marBottom w:val="0"/>
                      <w:divBdr>
                        <w:top w:val="none" w:sz="0" w:space="0" w:color="auto"/>
                        <w:left w:val="none" w:sz="0" w:space="0" w:color="auto"/>
                        <w:bottom w:val="none" w:sz="0" w:space="0" w:color="auto"/>
                        <w:right w:val="none" w:sz="0" w:space="0" w:color="auto"/>
                      </w:divBdr>
                      <w:divsChild>
                        <w:div w:id="321275979">
                          <w:marLeft w:val="0"/>
                          <w:marRight w:val="0"/>
                          <w:marTop w:val="0"/>
                          <w:marBottom w:val="0"/>
                          <w:divBdr>
                            <w:top w:val="none" w:sz="0" w:space="0" w:color="auto"/>
                            <w:left w:val="none" w:sz="0" w:space="0" w:color="auto"/>
                            <w:bottom w:val="none" w:sz="0" w:space="0" w:color="auto"/>
                            <w:right w:val="none" w:sz="0" w:space="0" w:color="auto"/>
                          </w:divBdr>
                          <w:divsChild>
                            <w:div w:id="1062675886">
                              <w:marLeft w:val="0"/>
                              <w:marRight w:val="0"/>
                              <w:marTop w:val="0"/>
                              <w:marBottom w:val="0"/>
                              <w:divBdr>
                                <w:top w:val="none" w:sz="0" w:space="0" w:color="auto"/>
                                <w:left w:val="none" w:sz="0" w:space="0" w:color="auto"/>
                                <w:bottom w:val="none" w:sz="0" w:space="0" w:color="auto"/>
                                <w:right w:val="none" w:sz="0" w:space="0" w:color="auto"/>
                              </w:divBdr>
                              <w:divsChild>
                                <w:div w:id="447940637">
                                  <w:marLeft w:val="0"/>
                                  <w:marRight w:val="0"/>
                                  <w:marTop w:val="0"/>
                                  <w:marBottom w:val="0"/>
                                  <w:divBdr>
                                    <w:top w:val="none" w:sz="0" w:space="0" w:color="auto"/>
                                    <w:left w:val="none" w:sz="0" w:space="0" w:color="auto"/>
                                    <w:bottom w:val="none" w:sz="0" w:space="0" w:color="auto"/>
                                    <w:right w:val="none" w:sz="0" w:space="0" w:color="auto"/>
                                  </w:divBdr>
                                  <w:divsChild>
                                    <w:div w:id="778179172">
                                      <w:marLeft w:val="0"/>
                                      <w:marRight w:val="0"/>
                                      <w:marTop w:val="0"/>
                                      <w:marBottom w:val="0"/>
                                      <w:divBdr>
                                        <w:top w:val="none" w:sz="0" w:space="0" w:color="auto"/>
                                        <w:left w:val="none" w:sz="0" w:space="0" w:color="auto"/>
                                        <w:bottom w:val="none" w:sz="0" w:space="0" w:color="auto"/>
                                        <w:right w:val="none" w:sz="0" w:space="0" w:color="auto"/>
                                      </w:divBdr>
                                      <w:divsChild>
                                        <w:div w:id="1822310536">
                                          <w:marLeft w:val="0"/>
                                          <w:marRight w:val="0"/>
                                          <w:marTop w:val="0"/>
                                          <w:marBottom w:val="0"/>
                                          <w:divBdr>
                                            <w:top w:val="none" w:sz="0" w:space="0" w:color="auto"/>
                                            <w:left w:val="none" w:sz="0" w:space="0" w:color="auto"/>
                                            <w:bottom w:val="none" w:sz="0" w:space="0" w:color="auto"/>
                                            <w:right w:val="none" w:sz="0" w:space="0" w:color="auto"/>
                                          </w:divBdr>
                                          <w:divsChild>
                                            <w:div w:id="547957702">
                                              <w:marLeft w:val="0"/>
                                              <w:marRight w:val="0"/>
                                              <w:marTop w:val="0"/>
                                              <w:marBottom w:val="0"/>
                                              <w:divBdr>
                                                <w:top w:val="none" w:sz="0" w:space="0" w:color="auto"/>
                                                <w:left w:val="none" w:sz="0" w:space="0" w:color="auto"/>
                                                <w:bottom w:val="none" w:sz="0" w:space="0" w:color="auto"/>
                                                <w:right w:val="none" w:sz="0" w:space="0" w:color="auto"/>
                                              </w:divBdr>
                                            </w:div>
                                            <w:div w:id="1551108261">
                                              <w:marLeft w:val="0"/>
                                              <w:marRight w:val="0"/>
                                              <w:marTop w:val="0"/>
                                              <w:marBottom w:val="0"/>
                                              <w:divBdr>
                                                <w:top w:val="none" w:sz="0" w:space="0" w:color="auto"/>
                                                <w:left w:val="none" w:sz="0" w:space="0" w:color="auto"/>
                                                <w:bottom w:val="none" w:sz="0" w:space="0" w:color="auto"/>
                                                <w:right w:val="none" w:sz="0" w:space="0" w:color="auto"/>
                                              </w:divBdr>
                                            </w:div>
                                            <w:div w:id="685181639">
                                              <w:marLeft w:val="0"/>
                                              <w:marRight w:val="0"/>
                                              <w:marTop w:val="0"/>
                                              <w:marBottom w:val="0"/>
                                              <w:divBdr>
                                                <w:top w:val="none" w:sz="0" w:space="0" w:color="auto"/>
                                                <w:left w:val="none" w:sz="0" w:space="0" w:color="auto"/>
                                                <w:bottom w:val="none" w:sz="0" w:space="0" w:color="auto"/>
                                                <w:right w:val="none" w:sz="0" w:space="0" w:color="auto"/>
                                              </w:divBdr>
                                              <w:divsChild>
                                                <w:div w:id="735083656">
                                                  <w:marLeft w:val="0"/>
                                                  <w:marRight w:val="0"/>
                                                  <w:marTop w:val="0"/>
                                                  <w:marBottom w:val="0"/>
                                                  <w:divBdr>
                                                    <w:top w:val="none" w:sz="0" w:space="0" w:color="auto"/>
                                                    <w:left w:val="none" w:sz="0" w:space="0" w:color="auto"/>
                                                    <w:bottom w:val="none" w:sz="0" w:space="0" w:color="auto"/>
                                                    <w:right w:val="none" w:sz="0" w:space="0" w:color="auto"/>
                                                  </w:divBdr>
                                                  <w:divsChild>
                                                    <w:div w:id="255554212">
                                                      <w:marLeft w:val="0"/>
                                                      <w:marRight w:val="0"/>
                                                      <w:marTop w:val="0"/>
                                                      <w:marBottom w:val="0"/>
                                                      <w:divBdr>
                                                        <w:top w:val="none" w:sz="0" w:space="0" w:color="auto"/>
                                                        <w:left w:val="none" w:sz="0" w:space="0" w:color="auto"/>
                                                        <w:bottom w:val="none" w:sz="0" w:space="0" w:color="auto"/>
                                                        <w:right w:val="none" w:sz="0" w:space="0" w:color="auto"/>
                                                      </w:divBdr>
                                                      <w:divsChild>
                                                        <w:div w:id="76037534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4273829">
      <w:bodyDiv w:val="1"/>
      <w:marLeft w:val="0"/>
      <w:marRight w:val="0"/>
      <w:marTop w:val="0"/>
      <w:marBottom w:val="0"/>
      <w:divBdr>
        <w:top w:val="none" w:sz="0" w:space="0" w:color="auto"/>
        <w:left w:val="none" w:sz="0" w:space="0" w:color="auto"/>
        <w:bottom w:val="none" w:sz="0" w:space="0" w:color="auto"/>
        <w:right w:val="none" w:sz="0" w:space="0" w:color="auto"/>
      </w:divBdr>
    </w:div>
    <w:div w:id="1876770090">
      <w:bodyDiv w:val="1"/>
      <w:marLeft w:val="0"/>
      <w:marRight w:val="0"/>
      <w:marTop w:val="0"/>
      <w:marBottom w:val="0"/>
      <w:divBdr>
        <w:top w:val="none" w:sz="0" w:space="0" w:color="auto"/>
        <w:left w:val="none" w:sz="0" w:space="0" w:color="auto"/>
        <w:bottom w:val="none" w:sz="0" w:space="0" w:color="auto"/>
        <w:right w:val="none" w:sz="0" w:space="0" w:color="auto"/>
      </w:divBdr>
    </w:div>
    <w:div w:id="1928273497">
      <w:bodyDiv w:val="1"/>
      <w:marLeft w:val="0"/>
      <w:marRight w:val="0"/>
      <w:marTop w:val="0"/>
      <w:marBottom w:val="0"/>
      <w:divBdr>
        <w:top w:val="none" w:sz="0" w:space="0" w:color="auto"/>
        <w:left w:val="none" w:sz="0" w:space="0" w:color="auto"/>
        <w:bottom w:val="none" w:sz="0" w:space="0" w:color="auto"/>
        <w:right w:val="none" w:sz="0" w:space="0" w:color="auto"/>
      </w:divBdr>
      <w:divsChild>
        <w:div w:id="828442818">
          <w:marLeft w:val="0"/>
          <w:marRight w:val="0"/>
          <w:marTop w:val="0"/>
          <w:marBottom w:val="0"/>
          <w:divBdr>
            <w:top w:val="none" w:sz="0" w:space="0" w:color="auto"/>
            <w:left w:val="none" w:sz="0" w:space="0" w:color="auto"/>
            <w:bottom w:val="none" w:sz="0" w:space="0" w:color="auto"/>
            <w:right w:val="none" w:sz="0" w:space="0" w:color="auto"/>
          </w:divBdr>
          <w:divsChild>
            <w:div w:id="390033160">
              <w:marLeft w:val="0"/>
              <w:marRight w:val="0"/>
              <w:marTop w:val="0"/>
              <w:marBottom w:val="0"/>
              <w:divBdr>
                <w:top w:val="none" w:sz="0" w:space="0" w:color="auto"/>
                <w:left w:val="none" w:sz="0" w:space="0" w:color="auto"/>
                <w:bottom w:val="none" w:sz="0" w:space="0" w:color="auto"/>
                <w:right w:val="none" w:sz="0" w:space="0" w:color="auto"/>
              </w:divBdr>
              <w:divsChild>
                <w:div w:id="1945796571">
                  <w:marLeft w:val="0"/>
                  <w:marRight w:val="0"/>
                  <w:marTop w:val="0"/>
                  <w:marBottom w:val="0"/>
                  <w:divBdr>
                    <w:top w:val="none" w:sz="0" w:space="0" w:color="auto"/>
                    <w:left w:val="none" w:sz="0" w:space="0" w:color="auto"/>
                    <w:bottom w:val="none" w:sz="0" w:space="0" w:color="auto"/>
                    <w:right w:val="none" w:sz="0" w:space="0" w:color="auto"/>
                  </w:divBdr>
                  <w:divsChild>
                    <w:div w:id="1139151609">
                      <w:marLeft w:val="0"/>
                      <w:marRight w:val="0"/>
                      <w:marTop w:val="0"/>
                      <w:marBottom w:val="0"/>
                      <w:divBdr>
                        <w:top w:val="none" w:sz="0" w:space="0" w:color="auto"/>
                        <w:left w:val="none" w:sz="0" w:space="0" w:color="auto"/>
                        <w:bottom w:val="none" w:sz="0" w:space="0" w:color="auto"/>
                        <w:right w:val="none" w:sz="0" w:space="0" w:color="auto"/>
                      </w:divBdr>
                      <w:divsChild>
                        <w:div w:id="1865947119">
                          <w:marLeft w:val="0"/>
                          <w:marRight w:val="0"/>
                          <w:marTop w:val="0"/>
                          <w:marBottom w:val="0"/>
                          <w:divBdr>
                            <w:top w:val="none" w:sz="0" w:space="0" w:color="auto"/>
                            <w:left w:val="none" w:sz="0" w:space="0" w:color="auto"/>
                            <w:bottom w:val="none" w:sz="0" w:space="0" w:color="auto"/>
                            <w:right w:val="none" w:sz="0" w:space="0" w:color="auto"/>
                          </w:divBdr>
                          <w:divsChild>
                            <w:div w:id="1418358738">
                              <w:marLeft w:val="0"/>
                              <w:marRight w:val="0"/>
                              <w:marTop w:val="0"/>
                              <w:marBottom w:val="0"/>
                              <w:divBdr>
                                <w:top w:val="none" w:sz="0" w:space="0" w:color="auto"/>
                                <w:left w:val="none" w:sz="0" w:space="0" w:color="auto"/>
                                <w:bottom w:val="none" w:sz="0" w:space="0" w:color="auto"/>
                                <w:right w:val="none" w:sz="0" w:space="0" w:color="auto"/>
                              </w:divBdr>
                              <w:divsChild>
                                <w:div w:id="1691178409">
                                  <w:marLeft w:val="0"/>
                                  <w:marRight w:val="0"/>
                                  <w:marTop w:val="0"/>
                                  <w:marBottom w:val="0"/>
                                  <w:divBdr>
                                    <w:top w:val="none" w:sz="0" w:space="0" w:color="auto"/>
                                    <w:left w:val="none" w:sz="0" w:space="0" w:color="auto"/>
                                    <w:bottom w:val="none" w:sz="0" w:space="0" w:color="auto"/>
                                    <w:right w:val="none" w:sz="0" w:space="0" w:color="auto"/>
                                  </w:divBdr>
                                  <w:divsChild>
                                    <w:div w:id="1012148496">
                                      <w:marLeft w:val="0"/>
                                      <w:marRight w:val="0"/>
                                      <w:marTop w:val="0"/>
                                      <w:marBottom w:val="0"/>
                                      <w:divBdr>
                                        <w:top w:val="none" w:sz="0" w:space="0" w:color="auto"/>
                                        <w:left w:val="none" w:sz="0" w:space="0" w:color="auto"/>
                                        <w:bottom w:val="none" w:sz="0" w:space="0" w:color="auto"/>
                                        <w:right w:val="none" w:sz="0" w:space="0" w:color="auto"/>
                                      </w:divBdr>
                                      <w:divsChild>
                                        <w:div w:id="1518303512">
                                          <w:marLeft w:val="0"/>
                                          <w:marRight w:val="600"/>
                                          <w:marTop w:val="0"/>
                                          <w:marBottom w:val="0"/>
                                          <w:divBdr>
                                            <w:top w:val="none" w:sz="0" w:space="0" w:color="auto"/>
                                            <w:left w:val="none" w:sz="0" w:space="0" w:color="auto"/>
                                            <w:bottom w:val="none" w:sz="0" w:space="0" w:color="auto"/>
                                            <w:right w:val="none" w:sz="0" w:space="0" w:color="auto"/>
                                          </w:divBdr>
                                          <w:divsChild>
                                            <w:div w:id="1517189037">
                                              <w:marLeft w:val="-3"/>
                                              <w:marRight w:val="-3"/>
                                              <w:marTop w:val="0"/>
                                              <w:marBottom w:val="0"/>
                                              <w:divBdr>
                                                <w:top w:val="none" w:sz="0" w:space="0" w:color="auto"/>
                                                <w:left w:val="none" w:sz="0" w:space="0" w:color="auto"/>
                                                <w:bottom w:val="none" w:sz="0" w:space="0" w:color="auto"/>
                                                <w:right w:val="none" w:sz="0" w:space="0" w:color="auto"/>
                                              </w:divBdr>
                                              <w:divsChild>
                                                <w:div w:id="2048725109">
                                                  <w:marLeft w:val="0"/>
                                                  <w:marRight w:val="0"/>
                                                  <w:marTop w:val="360"/>
                                                  <w:marBottom w:val="0"/>
                                                  <w:divBdr>
                                                    <w:top w:val="none" w:sz="0" w:space="0" w:color="auto"/>
                                                    <w:left w:val="none" w:sz="0" w:space="0" w:color="auto"/>
                                                    <w:bottom w:val="none" w:sz="0" w:space="0" w:color="auto"/>
                                                    <w:right w:val="none" w:sz="0" w:space="0" w:color="auto"/>
                                                  </w:divBdr>
                                                  <w:divsChild>
                                                    <w:div w:id="1203712417">
                                                      <w:marLeft w:val="0"/>
                                                      <w:marRight w:val="0"/>
                                                      <w:marTop w:val="0"/>
                                                      <w:marBottom w:val="0"/>
                                                      <w:divBdr>
                                                        <w:top w:val="none" w:sz="0" w:space="0" w:color="auto"/>
                                                        <w:left w:val="none" w:sz="0" w:space="0" w:color="auto"/>
                                                        <w:bottom w:val="none" w:sz="0" w:space="0" w:color="auto"/>
                                                        <w:right w:val="none" w:sz="0" w:space="0" w:color="auto"/>
                                                      </w:divBdr>
                                                      <w:divsChild>
                                                        <w:div w:id="1593390376">
                                                          <w:marLeft w:val="0"/>
                                                          <w:marRight w:val="0"/>
                                                          <w:marTop w:val="0"/>
                                                          <w:marBottom w:val="0"/>
                                                          <w:divBdr>
                                                            <w:top w:val="none" w:sz="0" w:space="0" w:color="auto"/>
                                                            <w:left w:val="none" w:sz="0" w:space="0" w:color="auto"/>
                                                            <w:bottom w:val="none" w:sz="0" w:space="0" w:color="auto"/>
                                                            <w:right w:val="none" w:sz="0" w:space="0" w:color="auto"/>
                                                          </w:divBdr>
                                                          <w:divsChild>
                                                            <w:div w:id="77872348">
                                                              <w:marLeft w:val="0"/>
                                                              <w:marRight w:val="0"/>
                                                              <w:marTop w:val="0"/>
                                                              <w:marBottom w:val="0"/>
                                                              <w:divBdr>
                                                                <w:top w:val="none" w:sz="0" w:space="0" w:color="auto"/>
                                                                <w:left w:val="none" w:sz="0" w:space="0" w:color="auto"/>
                                                                <w:bottom w:val="none" w:sz="0" w:space="0" w:color="auto"/>
                                                                <w:right w:val="none" w:sz="0" w:space="0" w:color="auto"/>
                                                              </w:divBdr>
                                                              <w:divsChild>
                                                                <w:div w:id="1072193229">
                                                                  <w:marLeft w:val="0"/>
                                                                  <w:marRight w:val="0"/>
                                                                  <w:marTop w:val="0"/>
                                                                  <w:marBottom w:val="0"/>
                                                                  <w:divBdr>
                                                                    <w:top w:val="none" w:sz="0" w:space="0" w:color="auto"/>
                                                                    <w:left w:val="none" w:sz="0" w:space="0" w:color="auto"/>
                                                                    <w:bottom w:val="none" w:sz="0" w:space="0" w:color="auto"/>
                                                                    <w:right w:val="none" w:sz="0" w:space="0" w:color="auto"/>
                                                                  </w:divBdr>
                                                                  <w:divsChild>
                                                                    <w:div w:id="566499361">
                                                                      <w:marLeft w:val="0"/>
                                                                      <w:marRight w:val="0"/>
                                                                      <w:marTop w:val="0"/>
                                                                      <w:marBottom w:val="0"/>
                                                                      <w:divBdr>
                                                                        <w:top w:val="none" w:sz="0" w:space="0" w:color="auto"/>
                                                                        <w:left w:val="none" w:sz="0" w:space="0" w:color="auto"/>
                                                                        <w:bottom w:val="none" w:sz="0" w:space="0" w:color="auto"/>
                                                                        <w:right w:val="none" w:sz="0" w:space="0" w:color="auto"/>
                                                                      </w:divBdr>
                                                                      <w:divsChild>
                                                                        <w:div w:id="2093424429">
                                                                          <w:marLeft w:val="0"/>
                                                                          <w:marRight w:val="0"/>
                                                                          <w:marTop w:val="0"/>
                                                                          <w:marBottom w:val="0"/>
                                                                          <w:divBdr>
                                                                            <w:top w:val="none" w:sz="0" w:space="0" w:color="auto"/>
                                                                            <w:left w:val="none" w:sz="0" w:space="0" w:color="auto"/>
                                                                            <w:bottom w:val="none" w:sz="0" w:space="0" w:color="auto"/>
                                                                            <w:right w:val="none" w:sz="0" w:space="0" w:color="auto"/>
                                                                          </w:divBdr>
                                                                          <w:divsChild>
                                                                            <w:div w:id="1174226862">
                                                                              <w:marLeft w:val="0"/>
                                                                              <w:marRight w:val="0"/>
                                                                              <w:marTop w:val="0"/>
                                                                              <w:marBottom w:val="0"/>
                                                                              <w:divBdr>
                                                                                <w:top w:val="none" w:sz="0" w:space="0" w:color="auto"/>
                                                                                <w:left w:val="none" w:sz="0" w:space="0" w:color="auto"/>
                                                                                <w:bottom w:val="none" w:sz="0" w:space="0" w:color="auto"/>
                                                                                <w:right w:val="none" w:sz="0" w:space="0" w:color="auto"/>
                                                                              </w:divBdr>
                                                                              <w:divsChild>
                                                                                <w:div w:id="51454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66308270">
      <w:bodyDiv w:val="1"/>
      <w:marLeft w:val="0"/>
      <w:marRight w:val="0"/>
      <w:marTop w:val="0"/>
      <w:marBottom w:val="0"/>
      <w:divBdr>
        <w:top w:val="none" w:sz="0" w:space="0" w:color="auto"/>
        <w:left w:val="none" w:sz="0" w:space="0" w:color="auto"/>
        <w:bottom w:val="none" w:sz="0" w:space="0" w:color="auto"/>
        <w:right w:val="none" w:sz="0" w:space="0" w:color="auto"/>
      </w:divBdr>
    </w:div>
    <w:div w:id="1997763892">
      <w:bodyDiv w:val="1"/>
      <w:marLeft w:val="0"/>
      <w:marRight w:val="0"/>
      <w:marTop w:val="0"/>
      <w:marBottom w:val="0"/>
      <w:divBdr>
        <w:top w:val="none" w:sz="0" w:space="0" w:color="auto"/>
        <w:left w:val="none" w:sz="0" w:space="0" w:color="auto"/>
        <w:bottom w:val="none" w:sz="0" w:space="0" w:color="auto"/>
        <w:right w:val="none" w:sz="0" w:space="0" w:color="auto"/>
      </w:divBdr>
    </w:div>
    <w:div w:id="2030372147">
      <w:bodyDiv w:val="1"/>
      <w:marLeft w:val="0"/>
      <w:marRight w:val="0"/>
      <w:marTop w:val="0"/>
      <w:marBottom w:val="0"/>
      <w:divBdr>
        <w:top w:val="none" w:sz="0" w:space="0" w:color="auto"/>
        <w:left w:val="none" w:sz="0" w:space="0" w:color="auto"/>
        <w:bottom w:val="none" w:sz="0" w:space="0" w:color="auto"/>
        <w:right w:val="none" w:sz="0" w:space="0" w:color="auto"/>
      </w:divBdr>
    </w:div>
    <w:div w:id="2040279287">
      <w:bodyDiv w:val="1"/>
      <w:marLeft w:val="0"/>
      <w:marRight w:val="0"/>
      <w:marTop w:val="0"/>
      <w:marBottom w:val="0"/>
      <w:divBdr>
        <w:top w:val="none" w:sz="0" w:space="0" w:color="auto"/>
        <w:left w:val="none" w:sz="0" w:space="0" w:color="auto"/>
        <w:bottom w:val="none" w:sz="0" w:space="0" w:color="auto"/>
        <w:right w:val="none" w:sz="0" w:space="0" w:color="auto"/>
      </w:divBdr>
      <w:divsChild>
        <w:div w:id="751312708">
          <w:marLeft w:val="0"/>
          <w:marRight w:val="0"/>
          <w:marTop w:val="0"/>
          <w:marBottom w:val="0"/>
          <w:divBdr>
            <w:top w:val="none" w:sz="0" w:space="0" w:color="auto"/>
            <w:left w:val="none" w:sz="0" w:space="0" w:color="auto"/>
            <w:bottom w:val="none" w:sz="0" w:space="0" w:color="auto"/>
            <w:right w:val="none" w:sz="0" w:space="0" w:color="auto"/>
          </w:divBdr>
          <w:divsChild>
            <w:div w:id="888539478">
              <w:marLeft w:val="0"/>
              <w:marRight w:val="0"/>
              <w:marTop w:val="0"/>
              <w:marBottom w:val="0"/>
              <w:divBdr>
                <w:top w:val="none" w:sz="0" w:space="0" w:color="auto"/>
                <w:left w:val="none" w:sz="0" w:space="0" w:color="auto"/>
                <w:bottom w:val="none" w:sz="0" w:space="0" w:color="auto"/>
                <w:right w:val="none" w:sz="0" w:space="0" w:color="auto"/>
              </w:divBdr>
              <w:divsChild>
                <w:div w:id="1483767378">
                  <w:marLeft w:val="0"/>
                  <w:marRight w:val="0"/>
                  <w:marTop w:val="0"/>
                  <w:marBottom w:val="0"/>
                  <w:divBdr>
                    <w:top w:val="none" w:sz="0" w:space="0" w:color="auto"/>
                    <w:left w:val="none" w:sz="0" w:space="0" w:color="auto"/>
                    <w:bottom w:val="none" w:sz="0" w:space="0" w:color="auto"/>
                    <w:right w:val="none" w:sz="0" w:space="0" w:color="auto"/>
                  </w:divBdr>
                  <w:divsChild>
                    <w:div w:id="1451431516">
                      <w:marLeft w:val="0"/>
                      <w:marRight w:val="0"/>
                      <w:marTop w:val="0"/>
                      <w:marBottom w:val="0"/>
                      <w:divBdr>
                        <w:top w:val="none" w:sz="0" w:space="0" w:color="auto"/>
                        <w:left w:val="none" w:sz="0" w:space="0" w:color="auto"/>
                        <w:bottom w:val="none" w:sz="0" w:space="0" w:color="auto"/>
                        <w:right w:val="none" w:sz="0" w:space="0" w:color="auto"/>
                      </w:divBdr>
                      <w:divsChild>
                        <w:div w:id="116034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environment.govt.nz/what-government-is-doing/cabinet-papers-and-regulatory-impact-statem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image" Target="media/image2.svg"/><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8" Type="http://schemas.openxmlformats.org/officeDocument/2006/relationships/hyperlink" Target="https://www.ombudsman.parliament.nz/resources/deficiencies-and-delays-decision-making-process-and-release-official-information" TargetMode="External"/><Relationship Id="rId13" Type="http://schemas.openxmlformats.org/officeDocument/2006/relationships/hyperlink" Target="https://www.ombudsman.parliament.nz/resources/public-interest-guide-public-interest-test" TargetMode="External"/><Relationship Id="rId18" Type="http://schemas.openxmlformats.org/officeDocument/2006/relationships/hyperlink" Target="https://environment.govt.nz/assets/publications/mfe-annual-report-2023-to-2024.pdf" TargetMode="External"/><Relationship Id="rId3" Type="http://schemas.openxmlformats.org/officeDocument/2006/relationships/hyperlink" Target="https://www.dpmc.govt.nz/our-business-units/cabinet-office/supporting-work-cabinet/cabinet-manual/3-ministers-crown-and-public-sector/ministers-and-public-service" TargetMode="External"/><Relationship Id="rId21" Type="http://schemas.openxmlformats.org/officeDocument/2006/relationships/hyperlink" Target="https://www.publicservice.govt.nz/assets/OIA-statistics-Jan-Jun-2025-FInal.xlsx" TargetMode="External"/><Relationship Id="rId7" Type="http://schemas.openxmlformats.org/officeDocument/2006/relationships/hyperlink" Target="https://img.scoop.co.nz/media/pdfs/1510/KelseyvTheMinisterofTrade.pdf" TargetMode="External"/><Relationship Id="rId12" Type="http://schemas.openxmlformats.org/officeDocument/2006/relationships/hyperlink" Target="https://www.ombudsman.parliament.nz/resources/publicly-available-information-guide-section-18d-oia-and-section-17d-lgoima" TargetMode="External"/><Relationship Id="rId17" Type="http://schemas.openxmlformats.org/officeDocument/2006/relationships/hyperlink" Target="https://www.legislation.govt.nz/act/public/1982/156/en/latest/" TargetMode="External"/><Relationship Id="rId2" Type="http://schemas.openxmlformats.org/officeDocument/2006/relationships/hyperlink" Target="https://www.legislation.govt.nz/act/public/1982/0156/latest/DLM65390.html" TargetMode="External"/><Relationship Id="rId16" Type="http://schemas.openxmlformats.org/officeDocument/2006/relationships/hyperlink" Target="https://environment.govt.nz/publications/strategic-intentions-he-takunetanga-rautaki-20252029/" TargetMode="External"/><Relationship Id="rId20" Type="http://schemas.openxmlformats.org/officeDocument/2006/relationships/hyperlink" Target="https://www.publicservice.govt.nz/assets/OIA-statistics-Jul-Dec-2024-final.xlsx" TargetMode="External"/><Relationship Id="rId1" Type="http://schemas.openxmlformats.org/officeDocument/2006/relationships/hyperlink" Target="https://www.ombudsman.parliament.nz/agency-assistance/resources-agencies/chief-ombudsmans-oia-self-assessment-tool" TargetMode="External"/><Relationship Id="rId6" Type="http://schemas.openxmlformats.org/officeDocument/2006/relationships/hyperlink" Target="https://www.ombudsman.parliament.nz/sites/default/files/2022-02/Dealing%20with%20OIA%20requests%20involving%20Ministers%20-%20A%20guide%20to%20transfer%2C%20consultation%2C%20and%20the%20notification%20of%20decisions%20on%20OIA%20requests.pdf" TargetMode="External"/><Relationship Id="rId11" Type="http://schemas.openxmlformats.org/officeDocument/2006/relationships/hyperlink" Target="https://www.ombudsman.parliament.nz/sites/default/files/2022-01/Unreasonable%20extension%20of%20time%20limit%20for%20internal%20consultations.pdf" TargetMode="External"/><Relationship Id="rId24" Type="http://schemas.openxmlformats.org/officeDocument/2006/relationships/hyperlink" Target="https://www.publicservice.govt.nz/guidance/official-information/official-information-forum" TargetMode="External"/><Relationship Id="rId5" Type="http://schemas.openxmlformats.org/officeDocument/2006/relationships/hyperlink" Target="https://www.ombudsman.parliament.nz/resources/model-protocol-dealing-oia-requests-involving-ministers" TargetMode="External"/><Relationship Id="rId15" Type="http://schemas.openxmlformats.org/officeDocument/2006/relationships/hyperlink" Target="https://environment.govt.nz/assets/publications/Corporate-publications/annual-report-mfe-2024-2025.pdf" TargetMode="External"/><Relationship Id="rId23" Type="http://schemas.openxmlformats.org/officeDocument/2006/relationships/hyperlink" Target="https://www.publicservice.govt.nz/assets/OIA-Statistics-1-January-to-30-June-2023.xlsx" TargetMode="External"/><Relationship Id="rId10" Type="http://schemas.openxmlformats.org/officeDocument/2006/relationships/hyperlink" Target="https://www.legislation.govt.nz/act/public/1982/0156/latest/DLM65394.html" TargetMode="External"/><Relationship Id="rId19" Type="http://schemas.openxmlformats.org/officeDocument/2006/relationships/hyperlink" Target="https://www.publicservice.govt.nz/assets/DirectoryFile/OIA-statistics-Jan-Jun-2024-FINAL.xlsx" TargetMode="External"/><Relationship Id="rId4" Type="http://schemas.openxmlformats.org/officeDocument/2006/relationships/hyperlink" Target="https://www.ombudsman.parliament.nz/resources/template-letter-25-consultation-third-parties" TargetMode="External"/><Relationship Id="rId9" Type="http://schemas.openxmlformats.org/officeDocument/2006/relationships/hyperlink" Target="https://www.legislation.govt.nz/act/public/1982/156/en/latest/" TargetMode="External"/><Relationship Id="rId14" Type="http://schemas.openxmlformats.org/officeDocument/2006/relationships/hyperlink" Target="https://environment.govt.nz/about-us/official-information-act-requests/" TargetMode="External"/><Relationship Id="rId22" Type="http://schemas.openxmlformats.org/officeDocument/2006/relationships/hyperlink" Target="https://www.publicservice.govt.nz/assets/OIA-statistics-Jul-Dec-2025.xls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intune\officetemplates\shared\OOTO%20General\OOTO_Blank.dotm" TargetMode="External"/></Relationships>
</file>

<file path=word/theme/theme1.xml><?xml version="1.0" encoding="utf-8"?>
<a:theme xmlns:a="http://schemas.openxmlformats.org/drawingml/2006/main" name="OOTO Theme">
  <a:themeElements>
    <a:clrScheme name="OOTO Colours">
      <a:dk1>
        <a:srgbClr val="000000"/>
      </a:dk1>
      <a:lt1>
        <a:srgbClr val="FFFFFF"/>
      </a:lt1>
      <a:dk2>
        <a:srgbClr val="262626"/>
      </a:dk2>
      <a:lt2>
        <a:srgbClr val="F2F2F2"/>
      </a:lt2>
      <a:accent1>
        <a:srgbClr val="2BB673"/>
      </a:accent1>
      <a:accent2>
        <a:srgbClr val="93B41A"/>
      </a:accent2>
      <a:accent3>
        <a:srgbClr val="F06A3B"/>
      </a:accent3>
      <a:accent4>
        <a:srgbClr val="9561CC"/>
      </a:accent4>
      <a:accent5>
        <a:srgbClr val="00ADC6"/>
      </a:accent5>
      <a:accent6>
        <a:srgbClr val="FD8F0A"/>
      </a:accent6>
      <a:hlink>
        <a:srgbClr val="0D6AB8"/>
      </a:hlink>
      <a:folHlink>
        <a:srgbClr val="3C98E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85366-7229-404B-8606-DF9714DD2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OOTO_Blank</Template>
  <TotalTime>1</TotalTime>
  <Pages>26</Pages>
  <Words>7136</Words>
  <Characters>39535</Characters>
  <Application>Microsoft Office Word</Application>
  <DocSecurity>0</DocSecurity>
  <Lines>693</Lines>
  <Paragraphs>293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 Adamson</dc:creator>
  <cp:keywords/>
  <cp:lastModifiedBy>Yogesh Ambalaghan</cp:lastModifiedBy>
  <cp:revision>2</cp:revision>
  <cp:lastPrinted>2026-06-28T20:45:00Z</cp:lastPrinted>
  <dcterms:created xsi:type="dcterms:W3CDTF">2026-09-03T02:02:00Z</dcterms:created>
  <dcterms:modified xsi:type="dcterms:W3CDTF">2026-09-03T02:02:00Z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2016-V2</vt:lpwstr>
  </property>
  <property fmtid="{D5CDD505-2E9C-101B-9397-08002B2CF9AE}" pid="3" name="MSIP_Label_6a67d216-400b-4799-8a06-22bb06804922_Enabled">
    <vt:lpwstr>true</vt:lpwstr>
  </property>
  <property fmtid="{D5CDD505-2E9C-101B-9397-08002B2CF9AE}" pid="4" name="MSIP_Label_6a67d216-400b-4799-8a06-22bb06804922_SetDate">
    <vt:lpwstr>2026-08-21T04:05:42Z</vt:lpwstr>
  </property>
  <property fmtid="{D5CDD505-2E9C-101B-9397-08002B2CF9AE}" pid="5" name="MSIP_Label_6a67d216-400b-4799-8a06-22bb06804922_Method">
    <vt:lpwstr>Standard</vt:lpwstr>
  </property>
  <property fmtid="{D5CDD505-2E9C-101B-9397-08002B2CF9AE}" pid="6" name="MSIP_Label_6a67d216-400b-4799-8a06-22bb06804922_Name">
    <vt:lpwstr>Unlabelled</vt:lpwstr>
  </property>
  <property fmtid="{D5CDD505-2E9C-101B-9397-08002B2CF9AE}" pid="7" name="MSIP_Label_6a67d216-400b-4799-8a06-22bb06804922_SiteId">
    <vt:lpwstr>d7313039-86b2-4d25-9be8-abe2799c2315</vt:lpwstr>
  </property>
  <property fmtid="{D5CDD505-2E9C-101B-9397-08002B2CF9AE}" pid="8" name="MSIP_Label_6a67d216-400b-4799-8a06-22bb06804922_ActionId">
    <vt:lpwstr>5be8c22f-d860-4c4b-b1f1-74d8b08b8b51</vt:lpwstr>
  </property>
  <property fmtid="{D5CDD505-2E9C-101B-9397-08002B2CF9AE}" pid="9" name="MSIP_Label_6a67d216-400b-4799-8a06-22bb06804922_ContentBits">
    <vt:lpwstr>0</vt:lpwstr>
  </property>
  <property fmtid="{D5CDD505-2E9C-101B-9397-08002B2CF9AE}" pid="10" name="MSIP_Label_6a67d216-400b-4799-8a06-22bb06804922_Tag">
    <vt:lpwstr>10, 3, 0, 1</vt:lpwstr>
  </property>
</Properties>
</file>