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6884A" w14:textId="77777777" w:rsidR="00FB0E28" w:rsidRDefault="004D6486">
      <w:pPr>
        <w:spacing w:after="200" w:line="276" w:lineRule="auto"/>
        <w:sectPr w:rsidR="00FB0E28" w:rsidSect="00C2020E">
          <w:footerReference w:type="default" r:id="rId8"/>
          <w:endnotePr>
            <w:numFmt w:val="decimal"/>
          </w:endnotePr>
          <w:type w:val="continuous"/>
          <w:pgSz w:w="11906" w:h="16838" w:code="9"/>
          <w:pgMar w:top="1701" w:right="1304" w:bottom="1701" w:left="1304" w:header="680" w:footer="680" w:gutter="0"/>
          <w:pgNumType w:fmt="lowerRoman" w:start="1"/>
          <w:cols w:space="708"/>
          <w:titlePg/>
          <w:docGrid w:linePitch="360"/>
        </w:sectPr>
      </w:pPr>
      <w:r>
        <w:rPr>
          <w:noProof/>
          <w:lang w:eastAsia="en-NZ"/>
        </w:rPr>
        <w:drawing>
          <wp:anchor distT="0" distB="0" distL="114300" distR="114300" simplePos="0" relativeHeight="251662336" behindDoc="0" locked="0" layoutInCell="1" allowOverlap="1" wp14:anchorId="49A5102A" wp14:editId="0AB15FDB">
            <wp:simplePos x="0" y="0"/>
            <wp:positionH relativeFrom="column">
              <wp:posOffset>635</wp:posOffset>
            </wp:positionH>
            <wp:positionV relativeFrom="paragraph">
              <wp:posOffset>-1482</wp:posOffset>
            </wp:positionV>
            <wp:extent cx="5902828" cy="8511497"/>
            <wp:effectExtent l="0" t="0" r="317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5902828" cy="8511497"/>
                    </a:xfrm>
                    <a:prstGeom prst="rect">
                      <a:avLst/>
                    </a:prstGeom>
                  </pic:spPr>
                </pic:pic>
              </a:graphicData>
            </a:graphic>
            <wp14:sizeRelV relativeFrom="margin">
              <wp14:pctHeight>0</wp14:pctHeight>
            </wp14:sizeRelV>
          </wp:anchor>
        </w:drawing>
      </w:r>
      <w:r>
        <w:rPr>
          <w:noProof/>
          <w:lang w:eastAsia="en-NZ"/>
        </w:rPr>
        <mc:AlternateContent>
          <mc:Choice Requires="wps">
            <w:drawing>
              <wp:anchor distT="0" distB="0" distL="114300" distR="114300" simplePos="0" relativeHeight="251663360" behindDoc="0" locked="0" layoutInCell="1" allowOverlap="1" wp14:anchorId="6928C387" wp14:editId="72E2B6E7">
                <wp:simplePos x="0" y="0"/>
                <wp:positionH relativeFrom="column">
                  <wp:posOffset>-2279</wp:posOffset>
                </wp:positionH>
                <wp:positionV relativeFrom="paragraph">
                  <wp:posOffset>5623866</wp:posOffset>
                </wp:positionV>
                <wp:extent cx="5903998" cy="2922647"/>
                <wp:effectExtent l="0" t="0" r="1905" b="0"/>
                <wp:wrapNone/>
                <wp:docPr id="6" name="Rectangle 6" descr="Title: Opinion of the Chief Ombudsman&#10;Ministry for Primary Industries&#10;June 2026"/>
                <wp:cNvGraphicFramePr/>
                <a:graphic xmlns:a="http://schemas.openxmlformats.org/drawingml/2006/main">
                  <a:graphicData uri="http://schemas.microsoft.com/office/word/2010/wordprocessingShape">
                    <wps:wsp>
                      <wps:cNvSpPr/>
                      <wps:spPr>
                        <a:xfrm>
                          <a:off x="0" y="0"/>
                          <a:ext cx="5903998" cy="2922647"/>
                        </a:xfrm>
                        <a:prstGeom prst="rect">
                          <a:avLst/>
                        </a:prstGeom>
                        <a:solidFill>
                          <a:srgbClr val="2BB67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1E4866" id="Rectangle 6" o:spid="_x0000_s1026" alt="Title: Opinion of the Chief Ombudsman&#10;Ministry for Primary Industries&#10;June 2026" style="position:absolute;margin-left:-.2pt;margin-top:442.8pt;width:464.9pt;height:230.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" fillcolor="#2bb673" stroked="f" strokeweight="2pt"/>
            </w:pict>
          </mc:Fallback>
        </mc:AlternateContent>
      </w:r>
      <w:r>
        <w:rPr>
          <w:noProof/>
          <w:lang w:eastAsia="en-NZ"/>
        </w:rPr>
        <mc:AlternateContent>
          <mc:Choice Requires="wps">
            <w:drawing>
              <wp:anchor distT="0" distB="0" distL="114300" distR="114300" simplePos="0" relativeHeight="251664384" behindDoc="0" locked="0" layoutInCell="1" allowOverlap="1" wp14:anchorId="06200366" wp14:editId="152F01B3">
                <wp:simplePos x="0" y="0"/>
                <wp:positionH relativeFrom="column">
                  <wp:posOffset>-2279</wp:posOffset>
                </wp:positionH>
                <wp:positionV relativeFrom="paragraph">
                  <wp:posOffset>5694228</wp:posOffset>
                </wp:positionV>
                <wp:extent cx="5903998" cy="2928924"/>
                <wp:effectExtent l="0" t="0" r="0" b="0"/>
                <wp:wrapNone/>
                <wp:docPr id="7" name="Text Box 7"/>
                <wp:cNvGraphicFramePr/>
                <a:graphic xmlns:a="http://schemas.openxmlformats.org/drawingml/2006/main">
                  <a:graphicData uri="http://schemas.microsoft.com/office/word/2010/wordprocessingShape">
                    <wps:wsp>
                      <wps:cNvSpPr txBox="1"/>
                      <wps:spPr>
                        <a:xfrm>
                          <a:off x="0" y="0"/>
                          <a:ext cx="5903998" cy="2928924"/>
                        </a:xfrm>
                        <a:prstGeom prst="rect">
                          <a:avLst/>
                        </a:prstGeom>
                        <a:noFill/>
                        <a:ln w="6350">
                          <a:noFill/>
                        </a:ln>
                      </wps:spPr>
                      <wps:txbx>
                        <w:txbxContent>
                          <w:p w14:paraId="50A3A0D6" w14:textId="06387861" w:rsidR="008C6ACE" w:rsidRPr="00704C60" w:rsidRDefault="009501AE" w:rsidP="00DF69E8">
                            <w:pPr>
                              <w:pStyle w:val="OIPI-Cover-title1"/>
                            </w:pPr>
                            <w:r>
                              <w:t>O</w:t>
                            </w:r>
                            <w:r w:rsidR="008C6ACE" w:rsidRPr="00704C60">
                              <w:t>pinion of the Chief Ombudsman</w:t>
                            </w:r>
                          </w:p>
                          <w:p w14:paraId="305E17A5" w14:textId="24D69771" w:rsidR="008C6ACE" w:rsidRPr="00D16793" w:rsidRDefault="008C6ACE" w:rsidP="00054F2D">
                            <w:pPr>
                              <w:pStyle w:val="OIPI-Cover-title2"/>
                              <w:spacing w:before="320" w:after="0"/>
                              <w:contextualSpacing w:val="0"/>
                            </w:pPr>
                            <w:r>
                              <w:t>Official Information</w:t>
                            </w:r>
                            <w:r w:rsidR="00A57A93">
                              <w:t xml:space="preserve"> </w:t>
                            </w:r>
                            <w:r>
                              <w:t xml:space="preserve">Act </w:t>
                            </w:r>
                            <w:r w:rsidRPr="00D16793">
                              <w:t>compliance and practice</w:t>
                            </w:r>
                            <w:r>
                              <w:t xml:space="preserve"> in</w:t>
                            </w:r>
                            <w:r w:rsidR="00EC10AF">
                              <w:t xml:space="preserve"> the</w:t>
                            </w:r>
                          </w:p>
                          <w:p w14:paraId="25AC3E43" w14:textId="0CB88894" w:rsidR="008C6ACE" w:rsidRDefault="00EC10AF" w:rsidP="00054F2D">
                            <w:pPr>
                              <w:pStyle w:val="OIPI-Cover-agencyname"/>
                              <w:spacing w:after="0"/>
                            </w:pPr>
                            <w:r>
                              <w:t xml:space="preserve">Ministry for Primary Industries </w:t>
                            </w:r>
                            <w:r w:rsidR="00316F7A">
                              <w:t xml:space="preserve">| </w:t>
                            </w:r>
                            <w:proofErr w:type="spellStart"/>
                            <w:r w:rsidR="00316F7A">
                              <w:t>Manat</w:t>
                            </w:r>
                            <w:r w:rsidR="00316F7A">
                              <w:rPr>
                                <w:rFonts w:cs="Calibri"/>
                              </w:rPr>
                              <w:t>ū</w:t>
                            </w:r>
                            <w:proofErr w:type="spellEnd"/>
                            <w:r w:rsidR="00316F7A">
                              <w:t xml:space="preserve"> Ahu Matua</w:t>
                            </w:r>
                          </w:p>
                          <w:p w14:paraId="5BDD4E28" w14:textId="737E98AE" w:rsidR="008C6ACE" w:rsidRPr="00054F2D" w:rsidRDefault="009501AE" w:rsidP="00DF69E8">
                            <w:pPr>
                              <w:pStyle w:val="OIPI-Cover-title4"/>
                            </w:pPr>
                            <w:r>
                              <w:t>June</w:t>
                            </w:r>
                            <w:r w:rsidR="008C6ACE">
                              <w:t xml:space="preserve"> 202</w:t>
                            </w:r>
                            <w:r w:rsidR="00A57A93">
                              <w:t>6</w:t>
                            </w:r>
                          </w:p>
                        </w:txbxContent>
                      </wps:txbx>
                      <wps:bodyPr rot="0" spcFirstLastPara="0" vertOverflow="overflow" horzOverflow="overflow" vert="horz" wrap="square" lIns="360000" tIns="252000" rIns="360000" bIns="252000" numCol="1" spcCol="0" rtlCol="0" fromWordArt="0" anchor="ctr" anchorCtr="0" forceAA="0" compatLnSpc="1">
                        <a:prstTxWarp prst="textNoShape">
                          <a:avLst/>
                        </a:prstTxWarp>
                        <a:noAutofit/>
                      </wps:bodyPr>
                    </wps:wsp>
                  </a:graphicData>
                </a:graphic>
              </wp:anchor>
            </w:drawing>
          </mc:Choice>
          <mc:Fallback>
            <w:pict>
              <v:shapetype w14:anchorId="06200366" id="_x0000_t202" coordsize="21600,21600" o:spt="202" path="m,l,21600r21600,l21600,xe">
                <v:stroke joinstyle="miter"/>
                <v:path gradientshapeok="t" o:connecttype="rect"/>
              </v:shapetype>
              <v:shape id="Text Box 7" o:spid="_x0000_s1026" type="#_x0000_t202" style="position:absolute;margin-left:-.2pt;margin-top:448.35pt;width:464.9pt;height:230.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" filled="f" stroked="f" strokeweight=".5pt">
                <v:textbox inset="10mm,7mm,10mm,7mm">
                  <w:txbxContent>
                    <w:p w14:paraId="50A3A0D6" w14:textId="06387861" w:rsidR="008C6ACE" w:rsidRPr="00704C60" w:rsidRDefault="009501AE" w:rsidP="00DF69E8">
                      <w:pPr>
                        <w:pStyle w:val="OIPI-Cover-title1"/>
                      </w:pPr>
                      <w:r>
                        <w:t>O</w:t>
                      </w:r>
                      <w:r w:rsidR="008C6ACE" w:rsidRPr="00704C60">
                        <w:t>pinion of the Chief Ombudsman</w:t>
                      </w:r>
                    </w:p>
                    <w:p w14:paraId="305E17A5" w14:textId="24D69771" w:rsidR="008C6ACE" w:rsidRPr="00D16793" w:rsidRDefault="008C6ACE" w:rsidP="00054F2D">
                      <w:pPr>
                        <w:pStyle w:val="OIPI-Cover-title2"/>
                        <w:spacing w:before="320" w:after="0"/>
                        <w:contextualSpacing w:val="0"/>
                      </w:pPr>
                      <w:r>
                        <w:t>Official Information</w:t>
                      </w:r>
                      <w:r w:rsidR="00A57A93">
                        <w:t xml:space="preserve"> </w:t>
                      </w:r>
                      <w:r>
                        <w:t xml:space="preserve">Act </w:t>
                      </w:r>
                      <w:r w:rsidRPr="00D16793">
                        <w:t>compliance and practice</w:t>
                      </w:r>
                      <w:r>
                        <w:t xml:space="preserve"> in</w:t>
                      </w:r>
                      <w:r w:rsidR="00EC10AF">
                        <w:t xml:space="preserve"> the</w:t>
                      </w:r>
                    </w:p>
                    <w:p w14:paraId="25AC3E43" w14:textId="0CB88894" w:rsidR="008C6ACE" w:rsidRDefault="00EC10AF" w:rsidP="00054F2D">
                      <w:pPr>
                        <w:pStyle w:val="OIPI-Cover-agencyname"/>
                        <w:spacing w:after="0"/>
                      </w:pPr>
                      <w:r>
                        <w:t xml:space="preserve">Ministry for Primary Industries </w:t>
                      </w:r>
                      <w:r w:rsidR="00316F7A">
                        <w:t xml:space="preserve">| </w:t>
                      </w:r>
                      <w:proofErr w:type="spellStart"/>
                      <w:r w:rsidR="00316F7A">
                        <w:t>Manat</w:t>
                      </w:r>
                      <w:r w:rsidR="00316F7A">
                        <w:rPr>
                          <w:rFonts w:cs="Calibri"/>
                        </w:rPr>
                        <w:t>ū</w:t>
                      </w:r>
                      <w:proofErr w:type="spellEnd"/>
                      <w:r w:rsidR="00316F7A">
                        <w:t xml:space="preserve"> Ahu Matua</w:t>
                      </w:r>
                    </w:p>
                    <w:p w14:paraId="5BDD4E28" w14:textId="737E98AE" w:rsidR="008C6ACE" w:rsidRPr="00054F2D" w:rsidRDefault="009501AE" w:rsidP="00DF69E8">
                      <w:pPr>
                        <w:pStyle w:val="OIPI-Cover-title4"/>
                      </w:pPr>
                      <w:r>
                        <w:t>June</w:t>
                      </w:r>
                      <w:r w:rsidR="008C6ACE">
                        <w:t xml:space="preserve"> 202</w:t>
                      </w:r>
                      <w:r w:rsidR="00A57A93">
                        <w:t>6</w:t>
                      </w:r>
                    </w:p>
                  </w:txbxContent>
                </v:textbox>
              </v:shape>
            </w:pict>
          </mc:Fallback>
        </mc:AlternateContent>
      </w:r>
      <w:r w:rsidR="00A5292B">
        <w:br w:type="page"/>
      </w:r>
    </w:p>
    <w:p w14:paraId="1B5AA399" w14:textId="2027FF91" w:rsidR="000B7D2C" w:rsidRDefault="00CF4A6E" w:rsidP="000B7D2C">
      <w:pPr>
        <w:pStyle w:val="TOCHeading"/>
        <w:rPr>
          <w:noProof/>
          <w:lang w:eastAsia="en-NZ"/>
        </w:rPr>
        <w:sectPr w:rsidR="000B7D2C" w:rsidSect="00FB0E28">
          <w:headerReference w:type="default" r:id="rId11"/>
          <w:headerReference w:type="first" r:id="rId12"/>
          <w:endnotePr>
            <w:numFmt w:val="decimal"/>
          </w:endnotePr>
          <w:pgSz w:w="11906" w:h="16838" w:code="9"/>
          <w:pgMar w:top="1701" w:right="1304" w:bottom="1701" w:left="1304" w:header="680" w:footer="680" w:gutter="0"/>
          <w:pgNumType w:fmt="lowerRoman" w:start="1"/>
          <w:cols w:space="708"/>
          <w:titlePg/>
          <w:docGrid w:linePitch="360"/>
        </w:sectPr>
      </w:pPr>
      <w:r>
        <w:rPr>
          <w:noProof/>
          <w:lang w:eastAsia="en-NZ"/>
        </w:rPr>
        <w:lastRenderedPageBreak/>
        <w:drawing>
          <wp:anchor distT="0" distB="0" distL="114300" distR="114300" simplePos="0" relativeHeight="251667456" behindDoc="1" locked="0" layoutInCell="1" allowOverlap="1" wp14:anchorId="7A625899" wp14:editId="7213DC35">
            <wp:simplePos x="0" y="0"/>
            <wp:positionH relativeFrom="column">
              <wp:posOffset>-17780</wp:posOffset>
            </wp:positionH>
            <wp:positionV relativeFrom="page">
              <wp:posOffset>8717915</wp:posOffset>
            </wp:positionV>
            <wp:extent cx="935990" cy="935990"/>
            <wp:effectExtent l="0" t="0" r="0" b="0"/>
            <wp:wrapTight wrapText="bothSides">
              <wp:wrapPolygon edited="0">
                <wp:start x="0" y="0"/>
                <wp:lineTo x="0" y="21102"/>
                <wp:lineTo x="21102" y="21102"/>
                <wp:lineTo x="21102" y="0"/>
                <wp:lineTo x="0" y="0"/>
              </wp:wrapPolygon>
            </wp:wrapTight>
            <wp:docPr id="127765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65588" name="Picture 127765588"/>
                    <pic:cNvPicPr/>
                  </pic:nvPicPr>
                  <pic:blipFill>
                    <a:blip r:embed="rId13">
                      <a:extLst>
                        <a:ext uri="{28A0092B-C50C-407E-A947-70E740481C1C}">
                          <a14:useLocalDpi xmlns:a14="http://schemas.microsoft.com/office/drawing/2010/main" val="0"/>
                        </a:ext>
                      </a:extLst>
                    </a:blip>
                    <a:stretch>
                      <a:fillRect/>
                    </a:stretch>
                  </pic:blipFill>
                  <pic:spPr>
                    <a:xfrm>
                      <a:off x="0" y="0"/>
                      <a:ext cx="935990" cy="935990"/>
                    </a:xfrm>
                    <a:prstGeom prst="rect">
                      <a:avLst/>
                    </a:prstGeom>
                  </pic:spPr>
                </pic:pic>
              </a:graphicData>
            </a:graphic>
            <wp14:sizeRelH relativeFrom="page">
              <wp14:pctWidth>0</wp14:pctWidth>
            </wp14:sizeRelH>
            <wp14:sizeRelV relativeFrom="page">
              <wp14:pctHeight>0</wp14:pctHeight>
            </wp14:sizeRelV>
          </wp:anchor>
        </w:drawing>
      </w:r>
      <w:r w:rsidR="00FD26D9">
        <w:rPr>
          <w:noProof/>
          <w:lang w:eastAsia="en-NZ"/>
        </w:rPr>
        <mc:AlternateContent>
          <mc:Choice Requires="wps">
            <w:drawing>
              <wp:anchor distT="0" distB="0" distL="114300" distR="114300" simplePos="0" relativeHeight="251666432" behindDoc="1" locked="0" layoutInCell="1" allowOverlap="1" wp14:anchorId="10C41E22" wp14:editId="39842AB4">
                <wp:simplePos x="0" y="0"/>
                <wp:positionH relativeFrom="column">
                  <wp:posOffset>991870</wp:posOffset>
                </wp:positionH>
                <wp:positionV relativeFrom="page">
                  <wp:posOffset>8636635</wp:posOffset>
                </wp:positionV>
                <wp:extent cx="4874260" cy="1135380"/>
                <wp:effectExtent l="0" t="0" r="2540" b="7620"/>
                <wp:wrapTight wrapText="bothSides">
                  <wp:wrapPolygon edited="0">
                    <wp:start x="0" y="0"/>
                    <wp:lineTo x="0" y="21383"/>
                    <wp:lineTo x="21527" y="21383"/>
                    <wp:lineTo x="21527" y="0"/>
                    <wp:lineTo x="0" y="0"/>
                  </wp:wrapPolygon>
                </wp:wrapTight>
                <wp:docPr id="571352189" name="Text Box 1"/>
                <wp:cNvGraphicFramePr/>
                <a:graphic xmlns:a="http://schemas.openxmlformats.org/drawingml/2006/main">
                  <a:graphicData uri="http://schemas.microsoft.com/office/word/2010/wordprocessingShape">
                    <wps:wsp>
                      <wps:cNvSpPr txBox="1"/>
                      <wps:spPr>
                        <a:xfrm>
                          <a:off x="0" y="0"/>
                          <a:ext cx="4874260" cy="1135380"/>
                        </a:xfrm>
                        <a:prstGeom prst="rect">
                          <a:avLst/>
                        </a:prstGeom>
                        <a:noFill/>
                        <a:ln w="6350">
                          <a:noFill/>
                        </a:ln>
                      </wps:spPr>
                      <wps:txbx>
                        <w:txbxContent>
                          <w:p w14:paraId="765CFCEB" w14:textId="77777777" w:rsidR="00D16C89" w:rsidRDefault="00D16C89" w:rsidP="00D16C89">
                            <w:pPr>
                              <w:spacing w:before="20" w:after="40" w:line="240" w:lineRule="auto"/>
                              <w:rPr>
                                <w:b/>
                                <w:color w:val="000000" w:themeColor="text1"/>
                                <w:sz w:val="20"/>
                                <w:szCs w:val="20"/>
                              </w:rPr>
                            </w:pPr>
                            <w:bookmarkStart w:id="0" w:name="_Hlk238810257"/>
                            <w:bookmarkStart w:id="1" w:name="_Hlk238810258"/>
                            <w:r w:rsidRPr="00D16C89">
                              <w:rPr>
                                <w:b/>
                                <w:color w:val="000000" w:themeColor="text1"/>
                                <w:sz w:val="20"/>
                                <w:szCs w:val="20"/>
                              </w:rPr>
                              <w:t>Official Information Act compliance and practice in the</w:t>
                            </w:r>
                            <w:r>
                              <w:rPr>
                                <w:b/>
                                <w:color w:val="000000" w:themeColor="text1"/>
                                <w:sz w:val="20"/>
                                <w:szCs w:val="20"/>
                              </w:rPr>
                              <w:t xml:space="preserve"> </w:t>
                            </w:r>
                            <w:r w:rsidRPr="00D16C89">
                              <w:rPr>
                                <w:b/>
                                <w:color w:val="000000" w:themeColor="text1"/>
                                <w:sz w:val="20"/>
                                <w:szCs w:val="20"/>
                              </w:rPr>
                              <w:t xml:space="preserve">Ministry for Primary Industries | </w:t>
                            </w:r>
                            <w:proofErr w:type="spellStart"/>
                            <w:r w:rsidRPr="00D16C89">
                              <w:rPr>
                                <w:b/>
                                <w:color w:val="000000" w:themeColor="text1"/>
                                <w:sz w:val="20"/>
                                <w:szCs w:val="20"/>
                              </w:rPr>
                              <w:t>Manatū</w:t>
                            </w:r>
                            <w:proofErr w:type="spellEnd"/>
                            <w:r w:rsidRPr="00D16C89">
                              <w:rPr>
                                <w:b/>
                                <w:color w:val="000000" w:themeColor="text1"/>
                                <w:sz w:val="20"/>
                                <w:szCs w:val="20"/>
                              </w:rPr>
                              <w:t xml:space="preserve"> Ahu Matua</w:t>
                            </w:r>
                          </w:p>
                          <w:p w14:paraId="7E67BBF0" w14:textId="15C9ED7C" w:rsidR="003E245E" w:rsidRPr="00117E0B" w:rsidRDefault="003E245E" w:rsidP="00D16C89">
                            <w:pPr>
                              <w:spacing w:before="20" w:after="40" w:line="240" w:lineRule="auto"/>
                              <w:rPr>
                                <w:rFonts w:cs="Calibri"/>
                                <w:color w:val="000000"/>
                                <w:sz w:val="20"/>
                                <w:szCs w:val="20"/>
                                <w:lang w:eastAsia="en-NZ"/>
                              </w:rPr>
                            </w:pPr>
                            <w:bookmarkStart w:id="2" w:name="_Hlk239061460"/>
                            <w:r w:rsidRPr="00117E0B">
                              <w:rPr>
                                <w:color w:val="000000" w:themeColor="text1"/>
                                <w:sz w:val="20"/>
                                <w:szCs w:val="20"/>
                              </w:rPr>
                              <w:t xml:space="preserve">ISBN: </w:t>
                            </w:r>
                            <w:r w:rsidR="00FD26D9" w:rsidRPr="00FD26D9">
                              <w:rPr>
                                <w:rFonts w:cs="Calibri"/>
                                <w:color w:val="000000"/>
                                <w:sz w:val="20"/>
                                <w:szCs w:val="20"/>
                                <w:lang w:eastAsia="en-NZ"/>
                              </w:rPr>
                              <w:t xml:space="preserve">978-1-0671271-8-3 </w:t>
                            </w:r>
                            <w:r w:rsidRPr="00117E0B">
                              <w:rPr>
                                <w:rFonts w:cs="Calibri"/>
                                <w:color w:val="000000"/>
                                <w:sz w:val="20"/>
                                <w:szCs w:val="20"/>
                                <w:lang w:eastAsia="en-NZ"/>
                              </w:rPr>
                              <w:t>(Digital)</w:t>
                            </w:r>
                          </w:p>
                          <w:bookmarkEnd w:id="2"/>
                          <w:p w14:paraId="6CA1ED78" w14:textId="77777777" w:rsidR="003E245E" w:rsidRDefault="003E245E" w:rsidP="003E245E">
                            <w:pPr>
                              <w:spacing w:before="20" w:after="40" w:line="240" w:lineRule="auto"/>
                              <w:rPr>
                                <w:rFonts w:cs="Calibri"/>
                                <w:color w:val="000000"/>
                                <w:sz w:val="20"/>
                                <w:szCs w:val="20"/>
                                <w:lang w:eastAsia="en-NZ"/>
                              </w:rPr>
                            </w:pPr>
                            <w:r w:rsidRPr="00117E0B">
                              <w:rPr>
                                <w:rFonts w:cs="Calibri"/>
                                <w:color w:val="000000"/>
                                <w:sz w:val="20"/>
                                <w:szCs w:val="20"/>
                                <w:lang w:eastAsia="en-NZ"/>
                              </w:rPr>
                              <w:t>Published August 2026</w:t>
                            </w:r>
                          </w:p>
                          <w:p w14:paraId="1B1FFFD2" w14:textId="77777777" w:rsidR="003E245E" w:rsidRDefault="003E245E" w:rsidP="003E245E">
                            <w:pPr>
                              <w:spacing w:before="20" w:after="40" w:line="240" w:lineRule="auto"/>
                              <w:rPr>
                                <w:rFonts w:cs="Calibri"/>
                                <w:color w:val="000000"/>
                                <w:sz w:val="20"/>
                                <w:szCs w:val="20"/>
                                <w:lang w:eastAsia="en-NZ"/>
                              </w:rPr>
                            </w:pPr>
                            <w:r w:rsidRPr="00C34ED4">
                              <w:rPr>
                                <w:rFonts w:cs="Calibri"/>
                                <w:color w:val="000000"/>
                                <w:sz w:val="20"/>
                                <w:szCs w:val="20"/>
                                <w:lang w:eastAsia="en-NZ"/>
                              </w:rPr>
                              <w:t>All text and images copyright © Office of the Ombudsman</w:t>
                            </w:r>
                          </w:p>
                          <w:p w14:paraId="35A5CC11" w14:textId="77777777" w:rsidR="003E245E" w:rsidRPr="00C34ED4" w:rsidRDefault="003E245E" w:rsidP="003E245E">
                            <w:pPr>
                              <w:spacing w:before="80" w:after="0" w:line="240" w:lineRule="auto"/>
                              <w:rPr>
                                <w:b/>
                                <w:bCs/>
                                <w:sz w:val="20"/>
                                <w:szCs w:val="20"/>
                              </w:rPr>
                            </w:pPr>
                            <w:r w:rsidRPr="00C34ED4">
                              <w:rPr>
                                <w:b/>
                                <w:bCs/>
                                <w:sz w:val="20"/>
                                <w:szCs w:val="20"/>
                              </w:rPr>
                              <w:t xml:space="preserve">Office of the </w:t>
                            </w:r>
                            <w:proofErr w:type="gramStart"/>
                            <w:r w:rsidRPr="00C34ED4">
                              <w:rPr>
                                <w:b/>
                                <w:bCs/>
                                <w:sz w:val="20"/>
                                <w:szCs w:val="20"/>
                              </w:rPr>
                              <w:t>Ombudsman  |</w:t>
                            </w:r>
                            <w:proofErr w:type="gramEnd"/>
                            <w:r w:rsidRPr="00C34ED4">
                              <w:rPr>
                                <w:b/>
                                <w:bCs/>
                                <w:sz w:val="20"/>
                                <w:szCs w:val="20"/>
                              </w:rPr>
                              <w:t xml:space="preserve">  Wellington, New Zealand  |  www.ombudsman.parliament.nz</w:t>
                            </w:r>
                          </w:p>
                          <w:bookmarkEnd w:id="0"/>
                          <w:bookmarkEnd w:id="1"/>
                          <w:p w14:paraId="34928B88" w14:textId="77777777" w:rsidR="003E245E" w:rsidRPr="00117E0B" w:rsidRDefault="003E245E" w:rsidP="003E245E">
                            <w:pPr>
                              <w:spacing w:before="20" w:after="40" w:line="240" w:lineRule="auto"/>
                              <w:rPr>
                                <w:color w:val="000000" w:themeColor="text1"/>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41E22" id="Text Box 1" o:spid="_x0000_s1027" type="#_x0000_t202" style="position:absolute;left:0;text-align:left;margin-left:78.1pt;margin-top:680.05pt;width:383.8pt;height:89.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" filled="f" stroked="f" strokeweight=".5pt">
                <v:textbox inset="0,0,0,0">
                  <w:txbxContent>
                    <w:p w14:paraId="765CFCEB" w14:textId="77777777" w:rsidR="00D16C89" w:rsidRDefault="00D16C89" w:rsidP="00D16C89">
                      <w:pPr>
                        <w:spacing w:before="20" w:after="40" w:line="240" w:lineRule="auto"/>
                        <w:rPr>
                          <w:b/>
                          <w:color w:val="000000" w:themeColor="text1"/>
                          <w:sz w:val="20"/>
                          <w:szCs w:val="20"/>
                        </w:rPr>
                      </w:pPr>
                      <w:bookmarkStart w:id="3" w:name="_Hlk238810257"/>
                      <w:bookmarkStart w:id="4" w:name="_Hlk238810258"/>
                      <w:r w:rsidRPr="00D16C89">
                        <w:rPr>
                          <w:b/>
                          <w:color w:val="000000" w:themeColor="text1"/>
                          <w:sz w:val="20"/>
                          <w:szCs w:val="20"/>
                        </w:rPr>
                        <w:t>Official Information Act compliance and practice in the</w:t>
                      </w:r>
                      <w:r>
                        <w:rPr>
                          <w:b/>
                          <w:color w:val="000000" w:themeColor="text1"/>
                          <w:sz w:val="20"/>
                          <w:szCs w:val="20"/>
                        </w:rPr>
                        <w:t xml:space="preserve"> </w:t>
                      </w:r>
                      <w:r w:rsidRPr="00D16C89">
                        <w:rPr>
                          <w:b/>
                          <w:color w:val="000000" w:themeColor="text1"/>
                          <w:sz w:val="20"/>
                          <w:szCs w:val="20"/>
                        </w:rPr>
                        <w:t xml:space="preserve">Ministry for Primary Industries | </w:t>
                      </w:r>
                      <w:proofErr w:type="spellStart"/>
                      <w:r w:rsidRPr="00D16C89">
                        <w:rPr>
                          <w:b/>
                          <w:color w:val="000000" w:themeColor="text1"/>
                          <w:sz w:val="20"/>
                          <w:szCs w:val="20"/>
                        </w:rPr>
                        <w:t>Manatū</w:t>
                      </w:r>
                      <w:proofErr w:type="spellEnd"/>
                      <w:r w:rsidRPr="00D16C89">
                        <w:rPr>
                          <w:b/>
                          <w:color w:val="000000" w:themeColor="text1"/>
                          <w:sz w:val="20"/>
                          <w:szCs w:val="20"/>
                        </w:rPr>
                        <w:t xml:space="preserve"> Ahu Matua</w:t>
                      </w:r>
                    </w:p>
                    <w:p w14:paraId="7E67BBF0" w14:textId="15C9ED7C" w:rsidR="003E245E" w:rsidRPr="00117E0B" w:rsidRDefault="003E245E" w:rsidP="00D16C89">
                      <w:pPr>
                        <w:spacing w:before="20" w:after="40" w:line="240" w:lineRule="auto"/>
                        <w:rPr>
                          <w:rFonts w:cs="Calibri"/>
                          <w:color w:val="000000"/>
                          <w:sz w:val="20"/>
                          <w:szCs w:val="20"/>
                          <w:lang w:eastAsia="en-NZ"/>
                        </w:rPr>
                      </w:pPr>
                      <w:bookmarkStart w:id="5" w:name="_Hlk239061460"/>
                      <w:r w:rsidRPr="00117E0B">
                        <w:rPr>
                          <w:color w:val="000000" w:themeColor="text1"/>
                          <w:sz w:val="20"/>
                          <w:szCs w:val="20"/>
                        </w:rPr>
                        <w:t xml:space="preserve">ISBN: </w:t>
                      </w:r>
                      <w:r w:rsidR="00FD26D9" w:rsidRPr="00FD26D9">
                        <w:rPr>
                          <w:rFonts w:cs="Calibri"/>
                          <w:color w:val="000000"/>
                          <w:sz w:val="20"/>
                          <w:szCs w:val="20"/>
                          <w:lang w:eastAsia="en-NZ"/>
                        </w:rPr>
                        <w:t xml:space="preserve">978-1-0671271-8-3 </w:t>
                      </w:r>
                      <w:r w:rsidRPr="00117E0B">
                        <w:rPr>
                          <w:rFonts w:cs="Calibri"/>
                          <w:color w:val="000000"/>
                          <w:sz w:val="20"/>
                          <w:szCs w:val="20"/>
                          <w:lang w:eastAsia="en-NZ"/>
                        </w:rPr>
                        <w:t>(Digital)</w:t>
                      </w:r>
                    </w:p>
                    <w:bookmarkEnd w:id="5"/>
                    <w:p w14:paraId="6CA1ED78" w14:textId="77777777" w:rsidR="003E245E" w:rsidRDefault="003E245E" w:rsidP="003E245E">
                      <w:pPr>
                        <w:spacing w:before="20" w:after="40" w:line="240" w:lineRule="auto"/>
                        <w:rPr>
                          <w:rFonts w:cs="Calibri"/>
                          <w:color w:val="000000"/>
                          <w:sz w:val="20"/>
                          <w:szCs w:val="20"/>
                          <w:lang w:eastAsia="en-NZ"/>
                        </w:rPr>
                      </w:pPr>
                      <w:r w:rsidRPr="00117E0B">
                        <w:rPr>
                          <w:rFonts w:cs="Calibri"/>
                          <w:color w:val="000000"/>
                          <w:sz w:val="20"/>
                          <w:szCs w:val="20"/>
                          <w:lang w:eastAsia="en-NZ"/>
                        </w:rPr>
                        <w:t>Published August 2026</w:t>
                      </w:r>
                    </w:p>
                    <w:p w14:paraId="1B1FFFD2" w14:textId="77777777" w:rsidR="003E245E" w:rsidRDefault="003E245E" w:rsidP="003E245E">
                      <w:pPr>
                        <w:spacing w:before="20" w:after="40" w:line="240" w:lineRule="auto"/>
                        <w:rPr>
                          <w:rFonts w:cs="Calibri"/>
                          <w:color w:val="000000"/>
                          <w:sz w:val="20"/>
                          <w:szCs w:val="20"/>
                          <w:lang w:eastAsia="en-NZ"/>
                        </w:rPr>
                      </w:pPr>
                      <w:r w:rsidRPr="00C34ED4">
                        <w:rPr>
                          <w:rFonts w:cs="Calibri"/>
                          <w:color w:val="000000"/>
                          <w:sz w:val="20"/>
                          <w:szCs w:val="20"/>
                          <w:lang w:eastAsia="en-NZ"/>
                        </w:rPr>
                        <w:t>All text and images copyright © Office of the Ombudsman</w:t>
                      </w:r>
                    </w:p>
                    <w:p w14:paraId="35A5CC11" w14:textId="77777777" w:rsidR="003E245E" w:rsidRPr="00C34ED4" w:rsidRDefault="003E245E" w:rsidP="003E245E">
                      <w:pPr>
                        <w:spacing w:before="80" w:after="0" w:line="240" w:lineRule="auto"/>
                        <w:rPr>
                          <w:b/>
                          <w:bCs/>
                          <w:sz w:val="20"/>
                          <w:szCs w:val="20"/>
                        </w:rPr>
                      </w:pPr>
                      <w:r w:rsidRPr="00C34ED4">
                        <w:rPr>
                          <w:b/>
                          <w:bCs/>
                          <w:sz w:val="20"/>
                          <w:szCs w:val="20"/>
                        </w:rPr>
                        <w:t xml:space="preserve">Office of the </w:t>
                      </w:r>
                      <w:proofErr w:type="gramStart"/>
                      <w:r w:rsidRPr="00C34ED4">
                        <w:rPr>
                          <w:b/>
                          <w:bCs/>
                          <w:sz w:val="20"/>
                          <w:szCs w:val="20"/>
                        </w:rPr>
                        <w:t>Ombudsman  |</w:t>
                      </w:r>
                      <w:proofErr w:type="gramEnd"/>
                      <w:r w:rsidRPr="00C34ED4">
                        <w:rPr>
                          <w:b/>
                          <w:bCs/>
                          <w:sz w:val="20"/>
                          <w:szCs w:val="20"/>
                        </w:rPr>
                        <w:t xml:space="preserve">  Wellington, New Zealand  |  www.ombudsman.parliament.nz</w:t>
                      </w:r>
                    </w:p>
                    <w:bookmarkEnd w:id="3"/>
                    <w:bookmarkEnd w:id="4"/>
                    <w:p w14:paraId="34928B88" w14:textId="77777777" w:rsidR="003E245E" w:rsidRPr="00117E0B" w:rsidRDefault="003E245E" w:rsidP="003E245E">
                      <w:pPr>
                        <w:spacing w:before="20" w:after="40" w:line="240" w:lineRule="auto"/>
                        <w:rPr>
                          <w:color w:val="000000" w:themeColor="text1"/>
                          <w:sz w:val="20"/>
                          <w:szCs w:val="20"/>
                        </w:rPr>
                      </w:pPr>
                    </w:p>
                  </w:txbxContent>
                </v:textbox>
                <w10:wrap type="tight" anchory="page"/>
              </v:shape>
            </w:pict>
          </mc:Fallback>
        </mc:AlternateContent>
      </w:r>
      <w:r w:rsidR="008C0099">
        <w:rPr>
          <w:noProof/>
          <w:lang w:eastAsia="en-NZ"/>
        </w:rPr>
        <w:t xml:space="preserve"> </w:t>
      </w:r>
      <w:bookmarkStart w:id="6" w:name="GoToContents"/>
      <w:bookmarkStart w:id="7" w:name="TOCSection"/>
    </w:p>
    <w:p w14:paraId="3DB20278" w14:textId="1E3D4844" w:rsidR="00AB26E0" w:rsidRDefault="00AB26E0" w:rsidP="000B7D2C">
      <w:pPr>
        <w:pStyle w:val="TOCHeading"/>
      </w:pPr>
      <w:r>
        <w:lastRenderedPageBreak/>
        <w:t>Contents</w:t>
      </w:r>
      <w:bookmarkEnd w:id="6"/>
    </w:p>
    <w:tbl>
      <w:tblPr>
        <w:tblStyle w:val="TableGridnoborders"/>
        <w:tblW w:w="9354" w:type="dxa"/>
        <w:tblInd w:w="0" w:type="dxa"/>
        <w:tblCellMar>
          <w:top w:w="0" w:type="dxa"/>
          <w:left w:w="0" w:type="dxa"/>
          <w:bottom w:w="0" w:type="dxa"/>
          <w:right w:w="0" w:type="dxa"/>
        </w:tblCellMar>
        <w:tblLook w:val="04A0" w:firstRow="1" w:lastRow="0" w:firstColumn="1" w:lastColumn="0" w:noHBand="0" w:noVBand="1"/>
        <w:tblCaption w:val="Contents page table"/>
      </w:tblPr>
      <w:tblGrid>
        <w:gridCol w:w="9354"/>
      </w:tblGrid>
      <w:tr w:rsidR="00AB26E0" w14:paraId="2F14851A" w14:textId="77777777" w:rsidTr="00506B8B">
        <w:tc>
          <w:tcPr>
            <w:tcW w:w="9354" w:type="dxa"/>
          </w:tcPr>
          <w:bookmarkStart w:id="8" w:name="TOCMain" w:colFirst="0" w:colLast="0"/>
          <w:p w14:paraId="455FB4C7" w14:textId="7337C372" w:rsidR="00375324" w:rsidRDefault="00AB26E0">
            <w:pPr>
              <w:pStyle w:val="TOC1"/>
              <w:rPr>
                <w:rFonts w:asciiTheme="minorHAnsi" w:eastAsiaTheme="minorEastAsia" w:hAnsiTheme="minorHAnsi"/>
                <w:b w:val="0"/>
                <w:noProof/>
                <w:color w:val="auto"/>
                <w:kern w:val="2"/>
                <w:sz w:val="24"/>
                <w:szCs w:val="24"/>
                <w:lang w:eastAsia="en-NZ"/>
                <w14:ligatures w14:val="standardContextual"/>
              </w:rPr>
            </w:pPr>
            <w:r>
              <w:fldChar w:fldCharType="begin"/>
            </w:r>
            <w:r>
              <w:instrText xml:space="preserve"> TOC \o "1-3" \h \z \t "Heading Appendix, 1" </w:instrText>
            </w:r>
            <w:r>
              <w:fldChar w:fldCharType="separate"/>
            </w:r>
            <w:hyperlink w:anchor="_Toc239154194" w:history="1">
              <w:r w:rsidR="00375324" w:rsidRPr="00E60B9B">
                <w:rPr>
                  <w:rStyle w:val="Hyperlink"/>
                  <w:noProof/>
                </w:rPr>
                <w:t>Introduction</w:t>
              </w:r>
              <w:r w:rsidR="00375324">
                <w:rPr>
                  <w:noProof/>
                  <w:webHidden/>
                </w:rPr>
                <w:tab/>
              </w:r>
              <w:r w:rsidR="00375324">
                <w:rPr>
                  <w:noProof/>
                  <w:webHidden/>
                </w:rPr>
                <w:fldChar w:fldCharType="begin"/>
              </w:r>
              <w:r w:rsidR="00375324">
                <w:rPr>
                  <w:noProof/>
                  <w:webHidden/>
                </w:rPr>
                <w:instrText xml:space="preserve"> PAGEREF _Toc239154194 \h </w:instrText>
              </w:r>
              <w:r w:rsidR="00375324">
                <w:rPr>
                  <w:noProof/>
                  <w:webHidden/>
                </w:rPr>
              </w:r>
              <w:r w:rsidR="00375324">
                <w:rPr>
                  <w:noProof/>
                  <w:webHidden/>
                </w:rPr>
                <w:fldChar w:fldCharType="separate"/>
              </w:r>
              <w:r w:rsidR="00375324">
                <w:rPr>
                  <w:noProof/>
                  <w:webHidden/>
                </w:rPr>
                <w:t>1</w:t>
              </w:r>
              <w:r w:rsidR="00375324">
                <w:rPr>
                  <w:noProof/>
                  <w:webHidden/>
                </w:rPr>
                <w:fldChar w:fldCharType="end"/>
              </w:r>
            </w:hyperlink>
          </w:p>
          <w:p w14:paraId="03A70A97" w14:textId="07BEDFE1" w:rsidR="00375324" w:rsidRDefault="00375324">
            <w:pPr>
              <w:pStyle w:val="TOC2"/>
              <w:rPr>
                <w:rFonts w:asciiTheme="minorHAnsi" w:eastAsiaTheme="minorEastAsia" w:hAnsiTheme="minorHAnsi"/>
                <w:noProof/>
                <w:color w:val="auto"/>
                <w:kern w:val="2"/>
                <w:szCs w:val="24"/>
                <w:lang w:eastAsia="en-NZ"/>
                <w14:ligatures w14:val="standardContextual"/>
              </w:rPr>
            </w:pPr>
            <w:hyperlink w:anchor="_Toc239154195" w:history="1">
              <w:r w:rsidRPr="00E60B9B">
                <w:rPr>
                  <w:rStyle w:val="Hyperlink"/>
                  <w:noProof/>
                </w:rPr>
                <w:t>Methodology</w:t>
              </w:r>
              <w:r>
                <w:rPr>
                  <w:noProof/>
                  <w:webHidden/>
                </w:rPr>
                <w:tab/>
              </w:r>
              <w:r>
                <w:rPr>
                  <w:noProof/>
                  <w:webHidden/>
                </w:rPr>
                <w:fldChar w:fldCharType="begin"/>
              </w:r>
              <w:r>
                <w:rPr>
                  <w:noProof/>
                  <w:webHidden/>
                </w:rPr>
                <w:instrText xml:space="preserve"> PAGEREF _Toc239154195 \h </w:instrText>
              </w:r>
              <w:r>
                <w:rPr>
                  <w:noProof/>
                  <w:webHidden/>
                </w:rPr>
              </w:r>
              <w:r>
                <w:rPr>
                  <w:noProof/>
                  <w:webHidden/>
                </w:rPr>
                <w:fldChar w:fldCharType="separate"/>
              </w:r>
              <w:r>
                <w:rPr>
                  <w:noProof/>
                  <w:webHidden/>
                </w:rPr>
                <w:t>1</w:t>
              </w:r>
              <w:r>
                <w:rPr>
                  <w:noProof/>
                  <w:webHidden/>
                </w:rPr>
                <w:fldChar w:fldCharType="end"/>
              </w:r>
            </w:hyperlink>
          </w:p>
          <w:p w14:paraId="3A4E0398" w14:textId="3D79BAFE" w:rsidR="00375324" w:rsidRDefault="00375324">
            <w:pPr>
              <w:pStyle w:val="TOC1"/>
              <w:rPr>
                <w:rFonts w:asciiTheme="minorHAnsi" w:eastAsiaTheme="minorEastAsia" w:hAnsiTheme="minorHAnsi"/>
                <w:b w:val="0"/>
                <w:noProof/>
                <w:color w:val="auto"/>
                <w:kern w:val="2"/>
                <w:sz w:val="24"/>
                <w:szCs w:val="24"/>
                <w:lang w:eastAsia="en-NZ"/>
                <w14:ligatures w14:val="standardContextual"/>
              </w:rPr>
            </w:pPr>
            <w:hyperlink w:anchor="_Toc239154196" w:history="1">
              <w:r w:rsidRPr="00E60B9B">
                <w:rPr>
                  <w:rStyle w:val="Hyperlink"/>
                  <w:noProof/>
                </w:rPr>
                <w:t>My opinion</w:t>
              </w:r>
              <w:r>
                <w:rPr>
                  <w:noProof/>
                  <w:webHidden/>
                </w:rPr>
                <w:tab/>
              </w:r>
              <w:r>
                <w:rPr>
                  <w:noProof/>
                  <w:webHidden/>
                </w:rPr>
                <w:fldChar w:fldCharType="begin"/>
              </w:r>
              <w:r>
                <w:rPr>
                  <w:noProof/>
                  <w:webHidden/>
                </w:rPr>
                <w:instrText xml:space="preserve"> PAGEREF _Toc239154196 \h </w:instrText>
              </w:r>
              <w:r>
                <w:rPr>
                  <w:noProof/>
                  <w:webHidden/>
                </w:rPr>
              </w:r>
              <w:r>
                <w:rPr>
                  <w:noProof/>
                  <w:webHidden/>
                </w:rPr>
                <w:fldChar w:fldCharType="separate"/>
              </w:r>
              <w:r>
                <w:rPr>
                  <w:noProof/>
                  <w:webHidden/>
                </w:rPr>
                <w:t>2</w:t>
              </w:r>
              <w:r>
                <w:rPr>
                  <w:noProof/>
                  <w:webHidden/>
                </w:rPr>
                <w:fldChar w:fldCharType="end"/>
              </w:r>
            </w:hyperlink>
          </w:p>
          <w:p w14:paraId="5DECB5A9" w14:textId="728AA937" w:rsidR="00375324" w:rsidRDefault="00375324">
            <w:pPr>
              <w:pStyle w:val="TOC1"/>
              <w:rPr>
                <w:rFonts w:asciiTheme="minorHAnsi" w:eastAsiaTheme="minorEastAsia" w:hAnsiTheme="minorHAnsi"/>
                <w:b w:val="0"/>
                <w:noProof/>
                <w:color w:val="auto"/>
                <w:kern w:val="2"/>
                <w:sz w:val="24"/>
                <w:szCs w:val="24"/>
                <w:lang w:eastAsia="en-NZ"/>
                <w14:ligatures w14:val="standardContextual"/>
              </w:rPr>
            </w:pPr>
            <w:hyperlink w:anchor="_Toc239154197" w:history="1">
              <w:r w:rsidRPr="00E60B9B">
                <w:rPr>
                  <w:rStyle w:val="Hyperlink"/>
                  <w:noProof/>
                </w:rPr>
                <w:t>Leadership and culture</w:t>
              </w:r>
              <w:r>
                <w:rPr>
                  <w:noProof/>
                  <w:webHidden/>
                </w:rPr>
                <w:tab/>
              </w:r>
              <w:r>
                <w:rPr>
                  <w:noProof/>
                  <w:webHidden/>
                </w:rPr>
                <w:fldChar w:fldCharType="begin"/>
              </w:r>
              <w:r>
                <w:rPr>
                  <w:noProof/>
                  <w:webHidden/>
                </w:rPr>
                <w:instrText xml:space="preserve"> PAGEREF _Toc239154197 \h </w:instrText>
              </w:r>
              <w:r>
                <w:rPr>
                  <w:noProof/>
                  <w:webHidden/>
                </w:rPr>
              </w:r>
              <w:r>
                <w:rPr>
                  <w:noProof/>
                  <w:webHidden/>
                </w:rPr>
                <w:fldChar w:fldCharType="separate"/>
              </w:r>
              <w:r>
                <w:rPr>
                  <w:noProof/>
                  <w:webHidden/>
                </w:rPr>
                <w:t>3</w:t>
              </w:r>
              <w:r>
                <w:rPr>
                  <w:noProof/>
                  <w:webHidden/>
                </w:rPr>
                <w:fldChar w:fldCharType="end"/>
              </w:r>
            </w:hyperlink>
          </w:p>
          <w:p w14:paraId="5D01ED42" w14:textId="7C5E596F" w:rsidR="00375324" w:rsidRDefault="00375324">
            <w:pPr>
              <w:pStyle w:val="TOC3"/>
              <w:rPr>
                <w:rFonts w:asciiTheme="minorHAnsi" w:eastAsiaTheme="minorEastAsia" w:hAnsiTheme="minorHAnsi"/>
                <w:noProof/>
                <w:color w:val="auto"/>
                <w:kern w:val="2"/>
                <w:szCs w:val="24"/>
                <w:lang w:eastAsia="en-NZ"/>
                <w14:ligatures w14:val="standardContextual"/>
              </w:rPr>
            </w:pPr>
            <w:hyperlink w:anchor="_Toc239154198" w:history="1">
              <w:r w:rsidRPr="00E60B9B">
                <w:rPr>
                  <w:rStyle w:val="Hyperlink"/>
                  <w:noProof/>
                </w:rPr>
                <w:t>Limited messaging about openness</w:t>
              </w:r>
              <w:r>
                <w:rPr>
                  <w:noProof/>
                  <w:webHidden/>
                </w:rPr>
                <w:tab/>
              </w:r>
              <w:r>
                <w:rPr>
                  <w:noProof/>
                  <w:webHidden/>
                </w:rPr>
                <w:fldChar w:fldCharType="begin"/>
              </w:r>
              <w:r>
                <w:rPr>
                  <w:noProof/>
                  <w:webHidden/>
                </w:rPr>
                <w:instrText xml:space="preserve"> PAGEREF _Toc239154198 \h </w:instrText>
              </w:r>
              <w:r>
                <w:rPr>
                  <w:noProof/>
                  <w:webHidden/>
                </w:rPr>
              </w:r>
              <w:r>
                <w:rPr>
                  <w:noProof/>
                  <w:webHidden/>
                </w:rPr>
                <w:fldChar w:fldCharType="separate"/>
              </w:r>
              <w:r>
                <w:rPr>
                  <w:noProof/>
                  <w:webHidden/>
                </w:rPr>
                <w:t>3</w:t>
              </w:r>
              <w:r>
                <w:rPr>
                  <w:noProof/>
                  <w:webHidden/>
                </w:rPr>
                <w:fldChar w:fldCharType="end"/>
              </w:r>
            </w:hyperlink>
          </w:p>
          <w:p w14:paraId="2DF7E727" w14:textId="102422EF" w:rsidR="00375324" w:rsidRDefault="00375324">
            <w:pPr>
              <w:pStyle w:val="TOC3"/>
              <w:rPr>
                <w:rFonts w:asciiTheme="minorHAnsi" w:eastAsiaTheme="minorEastAsia" w:hAnsiTheme="minorHAnsi"/>
                <w:noProof/>
                <w:color w:val="auto"/>
                <w:kern w:val="2"/>
                <w:szCs w:val="24"/>
                <w:lang w:eastAsia="en-NZ"/>
                <w14:ligatures w14:val="standardContextual"/>
              </w:rPr>
            </w:pPr>
            <w:hyperlink w:anchor="_Toc239154199" w:history="1">
              <w:r w:rsidRPr="00E60B9B">
                <w:rPr>
                  <w:rStyle w:val="Hyperlink"/>
                  <w:noProof/>
                </w:rPr>
                <w:t>Strengthening positive OIA messaging to staff</w:t>
              </w:r>
              <w:r>
                <w:rPr>
                  <w:noProof/>
                  <w:webHidden/>
                </w:rPr>
                <w:tab/>
              </w:r>
              <w:r>
                <w:rPr>
                  <w:noProof/>
                  <w:webHidden/>
                </w:rPr>
                <w:fldChar w:fldCharType="begin"/>
              </w:r>
              <w:r>
                <w:rPr>
                  <w:noProof/>
                  <w:webHidden/>
                </w:rPr>
                <w:instrText xml:space="preserve"> PAGEREF _Toc239154199 \h </w:instrText>
              </w:r>
              <w:r>
                <w:rPr>
                  <w:noProof/>
                  <w:webHidden/>
                </w:rPr>
              </w:r>
              <w:r>
                <w:rPr>
                  <w:noProof/>
                  <w:webHidden/>
                </w:rPr>
                <w:fldChar w:fldCharType="separate"/>
              </w:r>
              <w:r>
                <w:rPr>
                  <w:noProof/>
                  <w:webHidden/>
                </w:rPr>
                <w:t>6</w:t>
              </w:r>
              <w:r>
                <w:rPr>
                  <w:noProof/>
                  <w:webHidden/>
                </w:rPr>
                <w:fldChar w:fldCharType="end"/>
              </w:r>
            </w:hyperlink>
          </w:p>
          <w:p w14:paraId="1A6B8568" w14:textId="66DD20BD" w:rsidR="00375324" w:rsidRDefault="00375324">
            <w:pPr>
              <w:pStyle w:val="TOC3"/>
              <w:rPr>
                <w:rFonts w:asciiTheme="minorHAnsi" w:eastAsiaTheme="minorEastAsia" w:hAnsiTheme="minorHAnsi"/>
                <w:noProof/>
                <w:color w:val="auto"/>
                <w:kern w:val="2"/>
                <w:szCs w:val="24"/>
                <w:lang w:eastAsia="en-NZ"/>
                <w14:ligatures w14:val="standardContextual"/>
              </w:rPr>
            </w:pPr>
            <w:hyperlink w:anchor="_Toc239154200" w:history="1">
              <w:r w:rsidRPr="00E60B9B">
                <w:rPr>
                  <w:rStyle w:val="Hyperlink"/>
                  <w:noProof/>
                </w:rPr>
                <w:t>Providing tools to support a robust OIA process</w:t>
              </w:r>
              <w:r>
                <w:rPr>
                  <w:noProof/>
                  <w:webHidden/>
                </w:rPr>
                <w:tab/>
              </w:r>
              <w:r>
                <w:rPr>
                  <w:noProof/>
                  <w:webHidden/>
                </w:rPr>
                <w:fldChar w:fldCharType="begin"/>
              </w:r>
              <w:r>
                <w:rPr>
                  <w:noProof/>
                  <w:webHidden/>
                </w:rPr>
                <w:instrText xml:space="preserve"> PAGEREF _Toc239154200 \h </w:instrText>
              </w:r>
              <w:r>
                <w:rPr>
                  <w:noProof/>
                  <w:webHidden/>
                </w:rPr>
              </w:r>
              <w:r>
                <w:rPr>
                  <w:noProof/>
                  <w:webHidden/>
                </w:rPr>
                <w:fldChar w:fldCharType="separate"/>
              </w:r>
              <w:r>
                <w:rPr>
                  <w:noProof/>
                  <w:webHidden/>
                </w:rPr>
                <w:t>7</w:t>
              </w:r>
              <w:r>
                <w:rPr>
                  <w:noProof/>
                  <w:webHidden/>
                </w:rPr>
                <w:fldChar w:fldCharType="end"/>
              </w:r>
            </w:hyperlink>
          </w:p>
          <w:p w14:paraId="29E9B023" w14:textId="7B36EC85" w:rsidR="00375324" w:rsidRDefault="00375324">
            <w:pPr>
              <w:pStyle w:val="TOC2"/>
              <w:rPr>
                <w:rFonts w:asciiTheme="minorHAnsi" w:eastAsiaTheme="minorEastAsia" w:hAnsiTheme="minorHAnsi"/>
                <w:noProof/>
                <w:color w:val="auto"/>
                <w:kern w:val="2"/>
                <w:szCs w:val="24"/>
                <w:lang w:eastAsia="en-NZ"/>
                <w14:ligatures w14:val="standardContextual"/>
              </w:rPr>
            </w:pPr>
            <w:hyperlink w:anchor="_Toc239154201" w:history="1">
              <w:r w:rsidRPr="00E60B9B">
                <w:rPr>
                  <w:rStyle w:val="Hyperlink"/>
                  <w:noProof/>
                </w:rPr>
                <w:t>Messaging to the public</w:t>
              </w:r>
              <w:r>
                <w:rPr>
                  <w:noProof/>
                  <w:webHidden/>
                </w:rPr>
                <w:tab/>
              </w:r>
              <w:r>
                <w:rPr>
                  <w:noProof/>
                  <w:webHidden/>
                </w:rPr>
                <w:fldChar w:fldCharType="begin"/>
              </w:r>
              <w:r>
                <w:rPr>
                  <w:noProof/>
                  <w:webHidden/>
                </w:rPr>
                <w:instrText xml:space="preserve"> PAGEREF _Toc239154201 \h </w:instrText>
              </w:r>
              <w:r>
                <w:rPr>
                  <w:noProof/>
                  <w:webHidden/>
                </w:rPr>
              </w:r>
              <w:r>
                <w:rPr>
                  <w:noProof/>
                  <w:webHidden/>
                </w:rPr>
                <w:fldChar w:fldCharType="separate"/>
              </w:r>
              <w:r>
                <w:rPr>
                  <w:noProof/>
                  <w:webHidden/>
                </w:rPr>
                <w:t>9</w:t>
              </w:r>
              <w:r>
                <w:rPr>
                  <w:noProof/>
                  <w:webHidden/>
                </w:rPr>
                <w:fldChar w:fldCharType="end"/>
              </w:r>
            </w:hyperlink>
          </w:p>
          <w:p w14:paraId="051701E4" w14:textId="37B822C9" w:rsidR="00375324" w:rsidRDefault="00375324">
            <w:pPr>
              <w:pStyle w:val="TOC2"/>
              <w:rPr>
                <w:rFonts w:asciiTheme="minorHAnsi" w:eastAsiaTheme="minorEastAsia" w:hAnsiTheme="minorHAnsi"/>
                <w:noProof/>
                <w:color w:val="auto"/>
                <w:kern w:val="2"/>
                <w:szCs w:val="24"/>
                <w:lang w:eastAsia="en-NZ"/>
                <w14:ligatures w14:val="standardContextual"/>
              </w:rPr>
            </w:pPr>
            <w:hyperlink w:anchor="_Toc239154202" w:history="1">
              <w:r w:rsidRPr="00E60B9B">
                <w:rPr>
                  <w:rStyle w:val="Hyperlink"/>
                  <w:noProof/>
                </w:rPr>
                <w:t>Proactive release of information – practice and policy</w:t>
              </w:r>
              <w:r>
                <w:rPr>
                  <w:noProof/>
                  <w:webHidden/>
                </w:rPr>
                <w:tab/>
              </w:r>
              <w:r>
                <w:rPr>
                  <w:noProof/>
                  <w:webHidden/>
                </w:rPr>
                <w:fldChar w:fldCharType="begin"/>
              </w:r>
              <w:r>
                <w:rPr>
                  <w:noProof/>
                  <w:webHidden/>
                </w:rPr>
                <w:instrText xml:space="preserve"> PAGEREF _Toc239154202 \h </w:instrText>
              </w:r>
              <w:r>
                <w:rPr>
                  <w:noProof/>
                  <w:webHidden/>
                </w:rPr>
              </w:r>
              <w:r>
                <w:rPr>
                  <w:noProof/>
                  <w:webHidden/>
                </w:rPr>
                <w:fldChar w:fldCharType="separate"/>
              </w:r>
              <w:r>
                <w:rPr>
                  <w:noProof/>
                  <w:webHidden/>
                </w:rPr>
                <w:t>10</w:t>
              </w:r>
              <w:r>
                <w:rPr>
                  <w:noProof/>
                  <w:webHidden/>
                </w:rPr>
                <w:fldChar w:fldCharType="end"/>
              </w:r>
            </w:hyperlink>
          </w:p>
          <w:p w14:paraId="5EB02CC4" w14:textId="68A2BAF7" w:rsidR="00375324" w:rsidRDefault="00375324">
            <w:pPr>
              <w:pStyle w:val="TOC2"/>
              <w:rPr>
                <w:rFonts w:asciiTheme="minorHAnsi" w:eastAsiaTheme="minorEastAsia" w:hAnsiTheme="minorHAnsi"/>
                <w:noProof/>
                <w:color w:val="auto"/>
                <w:kern w:val="2"/>
                <w:szCs w:val="24"/>
                <w:lang w:eastAsia="en-NZ"/>
                <w14:ligatures w14:val="standardContextual"/>
              </w:rPr>
            </w:pPr>
            <w:hyperlink w:anchor="_Toc239154203" w:history="1">
              <w:r w:rsidRPr="00E60B9B">
                <w:rPr>
                  <w:rStyle w:val="Hyperlink"/>
                  <w:noProof/>
                </w:rPr>
                <w:t>Review and sign out processes</w:t>
              </w:r>
              <w:r>
                <w:rPr>
                  <w:noProof/>
                  <w:webHidden/>
                </w:rPr>
                <w:tab/>
              </w:r>
              <w:r>
                <w:rPr>
                  <w:noProof/>
                  <w:webHidden/>
                </w:rPr>
                <w:fldChar w:fldCharType="begin"/>
              </w:r>
              <w:r>
                <w:rPr>
                  <w:noProof/>
                  <w:webHidden/>
                </w:rPr>
                <w:instrText xml:space="preserve"> PAGEREF _Toc239154203 \h </w:instrText>
              </w:r>
              <w:r>
                <w:rPr>
                  <w:noProof/>
                  <w:webHidden/>
                </w:rPr>
              </w:r>
              <w:r>
                <w:rPr>
                  <w:noProof/>
                  <w:webHidden/>
                </w:rPr>
                <w:fldChar w:fldCharType="separate"/>
              </w:r>
              <w:r>
                <w:rPr>
                  <w:noProof/>
                  <w:webHidden/>
                </w:rPr>
                <w:t>12</w:t>
              </w:r>
              <w:r>
                <w:rPr>
                  <w:noProof/>
                  <w:webHidden/>
                </w:rPr>
                <w:fldChar w:fldCharType="end"/>
              </w:r>
            </w:hyperlink>
          </w:p>
          <w:p w14:paraId="27B24A19" w14:textId="74C7DE56" w:rsidR="00375324" w:rsidRDefault="00375324">
            <w:pPr>
              <w:pStyle w:val="TOC3"/>
              <w:rPr>
                <w:rFonts w:asciiTheme="minorHAnsi" w:eastAsiaTheme="minorEastAsia" w:hAnsiTheme="minorHAnsi"/>
                <w:noProof/>
                <w:color w:val="auto"/>
                <w:kern w:val="2"/>
                <w:szCs w:val="24"/>
                <w:lang w:eastAsia="en-NZ"/>
                <w14:ligatures w14:val="standardContextual"/>
              </w:rPr>
            </w:pPr>
            <w:hyperlink w:anchor="_Toc239154204" w:history="1">
              <w:r w:rsidRPr="00E60B9B">
                <w:rPr>
                  <w:rStyle w:val="Hyperlink"/>
                  <w:noProof/>
                </w:rPr>
                <w:t>A risk to timeliness compliance</w:t>
              </w:r>
              <w:r>
                <w:rPr>
                  <w:noProof/>
                  <w:webHidden/>
                </w:rPr>
                <w:tab/>
              </w:r>
              <w:r>
                <w:rPr>
                  <w:noProof/>
                  <w:webHidden/>
                </w:rPr>
                <w:fldChar w:fldCharType="begin"/>
              </w:r>
              <w:r>
                <w:rPr>
                  <w:noProof/>
                  <w:webHidden/>
                </w:rPr>
                <w:instrText xml:space="preserve"> PAGEREF _Toc239154204 \h </w:instrText>
              </w:r>
              <w:r>
                <w:rPr>
                  <w:noProof/>
                  <w:webHidden/>
                </w:rPr>
              </w:r>
              <w:r>
                <w:rPr>
                  <w:noProof/>
                  <w:webHidden/>
                </w:rPr>
                <w:fldChar w:fldCharType="separate"/>
              </w:r>
              <w:r>
                <w:rPr>
                  <w:noProof/>
                  <w:webHidden/>
                </w:rPr>
                <w:t>12</w:t>
              </w:r>
              <w:r>
                <w:rPr>
                  <w:noProof/>
                  <w:webHidden/>
                </w:rPr>
                <w:fldChar w:fldCharType="end"/>
              </w:r>
            </w:hyperlink>
          </w:p>
          <w:p w14:paraId="7DD17453" w14:textId="2C445529" w:rsidR="00375324" w:rsidRDefault="00375324">
            <w:pPr>
              <w:pStyle w:val="TOC3"/>
              <w:rPr>
                <w:rFonts w:asciiTheme="minorHAnsi" w:eastAsiaTheme="minorEastAsia" w:hAnsiTheme="minorHAnsi"/>
                <w:noProof/>
                <w:color w:val="auto"/>
                <w:kern w:val="2"/>
                <w:szCs w:val="24"/>
                <w:lang w:eastAsia="en-NZ"/>
                <w14:ligatures w14:val="standardContextual"/>
              </w:rPr>
            </w:pPr>
            <w:hyperlink w:anchor="_Toc239154205" w:history="1">
              <w:r w:rsidRPr="00E60B9B">
                <w:rPr>
                  <w:rStyle w:val="Hyperlink"/>
                  <w:noProof/>
                </w:rPr>
                <w:t>Adding contextual information</w:t>
              </w:r>
              <w:r>
                <w:rPr>
                  <w:noProof/>
                  <w:webHidden/>
                </w:rPr>
                <w:tab/>
              </w:r>
              <w:r>
                <w:rPr>
                  <w:noProof/>
                  <w:webHidden/>
                </w:rPr>
                <w:fldChar w:fldCharType="begin"/>
              </w:r>
              <w:r>
                <w:rPr>
                  <w:noProof/>
                  <w:webHidden/>
                </w:rPr>
                <w:instrText xml:space="preserve"> PAGEREF _Toc239154205 \h </w:instrText>
              </w:r>
              <w:r>
                <w:rPr>
                  <w:noProof/>
                  <w:webHidden/>
                </w:rPr>
              </w:r>
              <w:r>
                <w:rPr>
                  <w:noProof/>
                  <w:webHidden/>
                </w:rPr>
                <w:fldChar w:fldCharType="separate"/>
              </w:r>
              <w:r>
                <w:rPr>
                  <w:noProof/>
                  <w:webHidden/>
                </w:rPr>
                <w:t>13</w:t>
              </w:r>
              <w:r>
                <w:rPr>
                  <w:noProof/>
                  <w:webHidden/>
                </w:rPr>
                <w:fldChar w:fldCharType="end"/>
              </w:r>
            </w:hyperlink>
          </w:p>
          <w:p w14:paraId="67688CC9" w14:textId="60CF309E" w:rsidR="00375324" w:rsidRDefault="00375324">
            <w:pPr>
              <w:pStyle w:val="TOC3"/>
              <w:rPr>
                <w:rFonts w:asciiTheme="minorHAnsi" w:eastAsiaTheme="minorEastAsia" w:hAnsiTheme="minorHAnsi"/>
                <w:noProof/>
                <w:color w:val="auto"/>
                <w:kern w:val="2"/>
                <w:szCs w:val="24"/>
                <w:lang w:eastAsia="en-NZ"/>
                <w14:ligatures w14:val="standardContextual"/>
              </w:rPr>
            </w:pPr>
            <w:hyperlink w:anchor="_Toc239154206" w:history="1">
              <w:r w:rsidRPr="00E60B9B">
                <w:rPr>
                  <w:rStyle w:val="Hyperlink"/>
                  <w:noProof/>
                </w:rPr>
                <w:t>The role of Public Affairs in OIA review</w:t>
              </w:r>
              <w:r>
                <w:rPr>
                  <w:noProof/>
                  <w:webHidden/>
                </w:rPr>
                <w:tab/>
              </w:r>
              <w:r>
                <w:rPr>
                  <w:noProof/>
                  <w:webHidden/>
                </w:rPr>
                <w:fldChar w:fldCharType="begin"/>
              </w:r>
              <w:r>
                <w:rPr>
                  <w:noProof/>
                  <w:webHidden/>
                </w:rPr>
                <w:instrText xml:space="preserve"> PAGEREF _Toc239154206 \h </w:instrText>
              </w:r>
              <w:r>
                <w:rPr>
                  <w:noProof/>
                  <w:webHidden/>
                </w:rPr>
              </w:r>
              <w:r>
                <w:rPr>
                  <w:noProof/>
                  <w:webHidden/>
                </w:rPr>
                <w:fldChar w:fldCharType="separate"/>
              </w:r>
              <w:r>
                <w:rPr>
                  <w:noProof/>
                  <w:webHidden/>
                </w:rPr>
                <w:t>13</w:t>
              </w:r>
              <w:r>
                <w:rPr>
                  <w:noProof/>
                  <w:webHidden/>
                </w:rPr>
                <w:fldChar w:fldCharType="end"/>
              </w:r>
            </w:hyperlink>
          </w:p>
          <w:p w14:paraId="30EDE5F2" w14:textId="2C6D91BD" w:rsidR="00375324" w:rsidRDefault="00375324">
            <w:pPr>
              <w:pStyle w:val="TOC2"/>
              <w:rPr>
                <w:rFonts w:asciiTheme="minorHAnsi" w:eastAsiaTheme="minorEastAsia" w:hAnsiTheme="minorHAnsi"/>
                <w:noProof/>
                <w:color w:val="auto"/>
                <w:kern w:val="2"/>
                <w:szCs w:val="24"/>
                <w:lang w:eastAsia="en-NZ"/>
                <w14:ligatures w14:val="standardContextual"/>
              </w:rPr>
            </w:pPr>
            <w:hyperlink w:anchor="_Toc239154207" w:history="1">
              <w:r w:rsidRPr="00E60B9B">
                <w:rPr>
                  <w:rStyle w:val="Hyperlink"/>
                  <w:noProof/>
                </w:rPr>
                <w:t>Interactions with Ministers’ offices on departmental OIA requests</w:t>
              </w:r>
              <w:r>
                <w:rPr>
                  <w:noProof/>
                  <w:webHidden/>
                </w:rPr>
                <w:tab/>
              </w:r>
              <w:r>
                <w:rPr>
                  <w:noProof/>
                  <w:webHidden/>
                </w:rPr>
                <w:fldChar w:fldCharType="begin"/>
              </w:r>
              <w:r>
                <w:rPr>
                  <w:noProof/>
                  <w:webHidden/>
                </w:rPr>
                <w:instrText xml:space="preserve"> PAGEREF _Toc239154207 \h </w:instrText>
              </w:r>
              <w:r>
                <w:rPr>
                  <w:noProof/>
                  <w:webHidden/>
                </w:rPr>
              </w:r>
              <w:r>
                <w:rPr>
                  <w:noProof/>
                  <w:webHidden/>
                </w:rPr>
                <w:fldChar w:fldCharType="separate"/>
              </w:r>
              <w:r>
                <w:rPr>
                  <w:noProof/>
                  <w:webHidden/>
                </w:rPr>
                <w:t>14</w:t>
              </w:r>
              <w:r>
                <w:rPr>
                  <w:noProof/>
                  <w:webHidden/>
                </w:rPr>
                <w:fldChar w:fldCharType="end"/>
              </w:r>
            </w:hyperlink>
          </w:p>
          <w:p w14:paraId="319B301C" w14:textId="09328660" w:rsidR="00375324" w:rsidRDefault="00375324">
            <w:pPr>
              <w:pStyle w:val="TOC1"/>
              <w:rPr>
                <w:rFonts w:asciiTheme="minorHAnsi" w:eastAsiaTheme="minorEastAsia" w:hAnsiTheme="minorHAnsi"/>
                <w:b w:val="0"/>
                <w:noProof/>
                <w:color w:val="auto"/>
                <w:kern w:val="2"/>
                <w:sz w:val="24"/>
                <w:szCs w:val="24"/>
                <w:lang w:eastAsia="en-NZ"/>
                <w14:ligatures w14:val="standardContextual"/>
              </w:rPr>
            </w:pPr>
            <w:hyperlink w:anchor="_Toc239154208" w:history="1">
              <w:r w:rsidRPr="00E60B9B">
                <w:rPr>
                  <w:rStyle w:val="Hyperlink"/>
                  <w:noProof/>
                </w:rPr>
                <w:t>Performance monitoring and learning</w:t>
              </w:r>
              <w:r>
                <w:rPr>
                  <w:noProof/>
                  <w:webHidden/>
                </w:rPr>
                <w:tab/>
              </w:r>
              <w:r>
                <w:rPr>
                  <w:noProof/>
                  <w:webHidden/>
                </w:rPr>
                <w:fldChar w:fldCharType="begin"/>
              </w:r>
              <w:r>
                <w:rPr>
                  <w:noProof/>
                  <w:webHidden/>
                </w:rPr>
                <w:instrText xml:space="preserve"> PAGEREF _Toc239154208 \h </w:instrText>
              </w:r>
              <w:r>
                <w:rPr>
                  <w:noProof/>
                  <w:webHidden/>
                </w:rPr>
              </w:r>
              <w:r>
                <w:rPr>
                  <w:noProof/>
                  <w:webHidden/>
                </w:rPr>
                <w:fldChar w:fldCharType="separate"/>
              </w:r>
              <w:r>
                <w:rPr>
                  <w:noProof/>
                  <w:webHidden/>
                </w:rPr>
                <w:t>17</w:t>
              </w:r>
              <w:r>
                <w:rPr>
                  <w:noProof/>
                  <w:webHidden/>
                </w:rPr>
                <w:fldChar w:fldCharType="end"/>
              </w:r>
            </w:hyperlink>
          </w:p>
          <w:p w14:paraId="299168AE" w14:textId="7A63E71F" w:rsidR="00375324" w:rsidRDefault="00375324">
            <w:pPr>
              <w:pStyle w:val="TOC2"/>
              <w:rPr>
                <w:rFonts w:asciiTheme="minorHAnsi" w:eastAsiaTheme="minorEastAsia" w:hAnsiTheme="minorHAnsi"/>
                <w:noProof/>
                <w:color w:val="auto"/>
                <w:kern w:val="2"/>
                <w:szCs w:val="24"/>
                <w:lang w:eastAsia="en-NZ"/>
                <w14:ligatures w14:val="standardContextual"/>
              </w:rPr>
            </w:pPr>
            <w:hyperlink w:anchor="_Toc239154209" w:history="1">
              <w:r w:rsidRPr="00E60B9B">
                <w:rPr>
                  <w:rStyle w:val="Hyperlink"/>
                  <w:noProof/>
                </w:rPr>
                <w:t>OIA data collection and reporting to senior leaders</w:t>
              </w:r>
              <w:r>
                <w:rPr>
                  <w:noProof/>
                  <w:webHidden/>
                </w:rPr>
                <w:tab/>
              </w:r>
              <w:r>
                <w:rPr>
                  <w:noProof/>
                  <w:webHidden/>
                </w:rPr>
                <w:fldChar w:fldCharType="begin"/>
              </w:r>
              <w:r>
                <w:rPr>
                  <w:noProof/>
                  <w:webHidden/>
                </w:rPr>
                <w:instrText xml:space="preserve"> PAGEREF _Toc239154209 \h </w:instrText>
              </w:r>
              <w:r>
                <w:rPr>
                  <w:noProof/>
                  <w:webHidden/>
                </w:rPr>
              </w:r>
              <w:r>
                <w:rPr>
                  <w:noProof/>
                  <w:webHidden/>
                </w:rPr>
                <w:fldChar w:fldCharType="separate"/>
              </w:r>
              <w:r>
                <w:rPr>
                  <w:noProof/>
                  <w:webHidden/>
                </w:rPr>
                <w:t>17</w:t>
              </w:r>
              <w:r>
                <w:rPr>
                  <w:noProof/>
                  <w:webHidden/>
                </w:rPr>
                <w:fldChar w:fldCharType="end"/>
              </w:r>
            </w:hyperlink>
          </w:p>
          <w:p w14:paraId="4A69B221" w14:textId="43376903" w:rsidR="00375324" w:rsidRDefault="00375324">
            <w:pPr>
              <w:pStyle w:val="TOC2"/>
              <w:rPr>
                <w:rFonts w:asciiTheme="minorHAnsi" w:eastAsiaTheme="minorEastAsia" w:hAnsiTheme="minorHAnsi"/>
                <w:noProof/>
                <w:color w:val="auto"/>
                <w:kern w:val="2"/>
                <w:szCs w:val="24"/>
                <w:lang w:eastAsia="en-NZ"/>
                <w14:ligatures w14:val="standardContextual"/>
              </w:rPr>
            </w:pPr>
            <w:hyperlink w:anchor="_Toc239154210" w:history="1">
              <w:r w:rsidRPr="00E60B9B">
                <w:rPr>
                  <w:rStyle w:val="Hyperlink"/>
                  <w:noProof/>
                </w:rPr>
                <w:t>Quality assurance</w:t>
              </w:r>
              <w:r>
                <w:rPr>
                  <w:noProof/>
                  <w:webHidden/>
                </w:rPr>
                <w:tab/>
              </w:r>
              <w:r>
                <w:rPr>
                  <w:noProof/>
                  <w:webHidden/>
                </w:rPr>
                <w:fldChar w:fldCharType="begin"/>
              </w:r>
              <w:r>
                <w:rPr>
                  <w:noProof/>
                  <w:webHidden/>
                </w:rPr>
                <w:instrText xml:space="preserve"> PAGEREF _Toc239154210 \h </w:instrText>
              </w:r>
              <w:r>
                <w:rPr>
                  <w:noProof/>
                  <w:webHidden/>
                </w:rPr>
              </w:r>
              <w:r>
                <w:rPr>
                  <w:noProof/>
                  <w:webHidden/>
                </w:rPr>
                <w:fldChar w:fldCharType="separate"/>
              </w:r>
              <w:r>
                <w:rPr>
                  <w:noProof/>
                  <w:webHidden/>
                </w:rPr>
                <w:t>18</w:t>
              </w:r>
              <w:r>
                <w:rPr>
                  <w:noProof/>
                  <w:webHidden/>
                </w:rPr>
                <w:fldChar w:fldCharType="end"/>
              </w:r>
            </w:hyperlink>
          </w:p>
          <w:p w14:paraId="04BBAE25" w14:textId="53E36A70" w:rsidR="00AB26E0" w:rsidRDefault="00AB26E0" w:rsidP="00987A54">
            <w:pPr>
              <w:pStyle w:val="Whitespace"/>
            </w:pPr>
            <w:r>
              <w:fldChar w:fldCharType="end"/>
            </w:r>
          </w:p>
        </w:tc>
      </w:tr>
      <w:bookmarkEnd w:id="7"/>
      <w:bookmarkEnd w:id="8"/>
    </w:tbl>
    <w:p w14:paraId="360D33BE" w14:textId="77777777" w:rsidR="0023079A" w:rsidRDefault="0023079A">
      <w:pPr>
        <w:spacing w:after="200" w:line="276" w:lineRule="auto"/>
        <w:sectPr w:rsidR="0023079A" w:rsidSect="0023079A">
          <w:headerReference w:type="default" r:id="rId14"/>
          <w:footerReference w:type="default" r:id="rId15"/>
          <w:endnotePr>
            <w:numFmt w:val="decimal"/>
          </w:endnotePr>
          <w:pgSz w:w="11906" w:h="16838" w:code="9"/>
          <w:pgMar w:top="1701" w:right="1304" w:bottom="1701" w:left="1304" w:header="680" w:footer="680" w:gutter="0"/>
          <w:pgNumType w:start="1"/>
          <w:cols w:space="708"/>
          <w:titlePg/>
          <w:docGrid w:linePitch="360"/>
        </w:sectPr>
      </w:pPr>
    </w:p>
    <w:p w14:paraId="143CA721" w14:textId="77777777" w:rsidR="00B3008B" w:rsidRDefault="00B3008B" w:rsidP="00B3008B">
      <w:pPr>
        <w:pStyle w:val="Heading1"/>
      </w:pPr>
      <w:bookmarkStart w:id="9" w:name="_Toc228878884"/>
      <w:bookmarkStart w:id="10" w:name="_Toc239154194"/>
      <w:r>
        <w:lastRenderedPageBreak/>
        <w:t>Introduction</w:t>
      </w:r>
      <w:bookmarkEnd w:id="9"/>
      <w:bookmarkEnd w:id="10"/>
    </w:p>
    <w:p w14:paraId="75E455EE" w14:textId="686CA3C6" w:rsidR="00B3008B" w:rsidRDefault="00B3008B" w:rsidP="008E7712">
      <w:pPr>
        <w:pStyle w:val="BodyText"/>
      </w:pPr>
      <w:r>
        <w:t>In September 2025</w:t>
      </w:r>
      <w:r w:rsidR="00C47F8B">
        <w:t>, we</w:t>
      </w:r>
      <w:r w:rsidR="002C168D">
        <w:t xml:space="preserve"> began</w:t>
      </w:r>
      <w:r w:rsidR="00C47F8B">
        <w:t xml:space="preserve"> an investigation into the Ministry for Primary Industries (</w:t>
      </w:r>
      <w:proofErr w:type="spellStart"/>
      <w:r w:rsidR="00C47F8B">
        <w:t>MPI</w:t>
      </w:r>
      <w:proofErr w:type="spellEnd"/>
      <w:r w:rsidR="00C47F8B">
        <w:t>)</w:t>
      </w:r>
      <w:r>
        <w:t xml:space="preserve">, </w:t>
      </w:r>
      <w:bookmarkStart w:id="11" w:name="_Hlk228881142"/>
      <w:r>
        <w:t xml:space="preserve">as part of our regular </w:t>
      </w:r>
      <w:r w:rsidR="009111A3">
        <w:t>program of proactive investigations into official information compliance and practice.</w:t>
      </w:r>
      <w:r w:rsidR="00A209CE">
        <w:t xml:space="preserve"> </w:t>
      </w:r>
      <w:bookmarkEnd w:id="11"/>
      <w:proofErr w:type="spellStart"/>
      <w:r w:rsidR="00A209CE">
        <w:t>MPI</w:t>
      </w:r>
      <w:proofErr w:type="spellEnd"/>
      <w:r>
        <w:t xml:space="preserve"> is one of five agencies selected – we also examined the Civil Aviation Authority, </w:t>
      </w:r>
      <w:r w:rsidR="00A209CE">
        <w:t>Inland Revenue</w:t>
      </w:r>
      <w:r>
        <w:t>, Ministry for the Environment, and the Ministry for Regulation.</w:t>
      </w:r>
    </w:p>
    <w:p w14:paraId="53C18D76" w14:textId="5A3469D1" w:rsidR="00B3008B" w:rsidRDefault="00B3008B" w:rsidP="008E7712">
      <w:pPr>
        <w:pStyle w:val="BodyText"/>
      </w:pPr>
      <w:r>
        <w:t xml:space="preserve">This report sets out our observations on how </w:t>
      </w:r>
      <w:proofErr w:type="spellStart"/>
      <w:r w:rsidR="00A209CE">
        <w:t>MPI</w:t>
      </w:r>
      <w:proofErr w:type="spellEnd"/>
      <w:r>
        <w:t xml:space="preserve"> meets the requirements and purposes of the </w:t>
      </w:r>
      <w:proofErr w:type="spellStart"/>
      <w:r>
        <w:t>OIA</w:t>
      </w:r>
      <w:proofErr w:type="spellEnd"/>
      <w:r>
        <w:t xml:space="preserve"> against our indicators of good practice.</w:t>
      </w:r>
      <w:r>
        <w:rPr>
          <w:rStyle w:val="FootnoteReference"/>
        </w:rPr>
        <w:footnoteReference w:id="2"/>
      </w:r>
      <w:r>
        <w:t xml:space="preserve"> </w:t>
      </w:r>
      <w:bookmarkStart w:id="12" w:name="_Hlk228440373"/>
      <w:r>
        <w:t xml:space="preserve">Our investigation focussed on the dimensions of leadership and culture, and performing monitoring and learning, and the interaction between them. </w:t>
      </w:r>
      <w:bookmarkEnd w:id="12"/>
    </w:p>
    <w:p w14:paraId="435CC767" w14:textId="7A5187A7" w:rsidR="00B3008B" w:rsidRPr="00406C8A" w:rsidRDefault="00B3008B" w:rsidP="008E7712">
      <w:pPr>
        <w:pStyle w:val="BodyText"/>
      </w:pPr>
      <w:bookmarkStart w:id="13" w:name="_Hlk228440854"/>
      <w:r w:rsidRPr="00406C8A">
        <w:t xml:space="preserve">An agency’s culture around transparency, openness, and the strength of its </w:t>
      </w:r>
      <w:proofErr w:type="spellStart"/>
      <w:r w:rsidRPr="00406C8A">
        <w:t>OIA</w:t>
      </w:r>
      <w:proofErr w:type="spellEnd"/>
      <w:r w:rsidRPr="00406C8A">
        <w:t xml:space="preserve"> practices flows from the attitudes, messaging, and actions of its senior leaders, and particularly those of the C</w:t>
      </w:r>
      <w:r>
        <w:t xml:space="preserve">hief </w:t>
      </w:r>
      <w:r w:rsidRPr="00406C8A">
        <w:t>E</w:t>
      </w:r>
      <w:r>
        <w:t>xecutive</w:t>
      </w:r>
      <w:r w:rsidRPr="00406C8A">
        <w:t xml:space="preserve">. It is </w:t>
      </w:r>
      <w:r w:rsidR="00BF7419">
        <w:t>our</w:t>
      </w:r>
      <w:r w:rsidR="00BF7419" w:rsidRPr="00406C8A">
        <w:t xml:space="preserve"> </w:t>
      </w:r>
      <w:r w:rsidRPr="00406C8A">
        <w:t>expectation that leaders make clear, regular statements to staff and to the public in support of the principle and purposes of official information legislation, and of the importance of openness more generally.</w:t>
      </w:r>
    </w:p>
    <w:bookmarkEnd w:id="13"/>
    <w:p w14:paraId="595A8499" w14:textId="77777777" w:rsidR="00B3008B" w:rsidRDefault="00B3008B" w:rsidP="008E7712">
      <w:pPr>
        <w:pStyle w:val="BodyText"/>
      </w:pPr>
      <w:r>
        <w:t>Accurate performance reporting is also crucial to respond to demands and reprioritise when required. Through regular reporting, s</w:t>
      </w:r>
      <w:r w:rsidRPr="005B2200">
        <w:t xml:space="preserve">enior leaders </w:t>
      </w:r>
      <w:r>
        <w:t xml:space="preserve">can </w:t>
      </w:r>
      <w:r w:rsidRPr="005B2200">
        <w:t xml:space="preserve">oversee the agency’s practice and compliance with the </w:t>
      </w:r>
      <w:proofErr w:type="spellStart"/>
      <w:r>
        <w:t>OIA</w:t>
      </w:r>
      <w:proofErr w:type="spellEnd"/>
      <w:r w:rsidRPr="005B2200">
        <w:t>, the effectiveness of i</w:t>
      </w:r>
      <w:r>
        <w:t>t</w:t>
      </w:r>
      <w:r w:rsidRPr="005B2200">
        <w:t>s structures, resources, capacity and capability</w:t>
      </w:r>
      <w:r>
        <w:t>.</w:t>
      </w:r>
      <w:r w:rsidRPr="005B2200">
        <w:t xml:space="preserve"> </w:t>
      </w:r>
      <w:r>
        <w:t>Any i</w:t>
      </w:r>
      <w:r w:rsidRPr="005B2200">
        <w:t xml:space="preserve">ssues </w:t>
      </w:r>
      <w:r>
        <w:t xml:space="preserve">identified that risk the agency’s ability to comply with the </w:t>
      </w:r>
      <w:proofErr w:type="spellStart"/>
      <w:r>
        <w:t>OIA</w:t>
      </w:r>
      <w:proofErr w:type="spellEnd"/>
      <w:r>
        <w:t xml:space="preserve"> should be</w:t>
      </w:r>
      <w:r w:rsidRPr="005B2200">
        <w:t xml:space="preserve"> actively considered and addressed</w:t>
      </w:r>
      <w:r>
        <w:t xml:space="preserve"> and, in effect, create a feedback loop.</w:t>
      </w:r>
    </w:p>
    <w:p w14:paraId="650FD33B" w14:textId="4ADFF86D" w:rsidR="00301FB8" w:rsidRDefault="00301FB8" w:rsidP="008E7712">
      <w:pPr>
        <w:pStyle w:val="BodyText"/>
      </w:pPr>
      <w:r w:rsidRPr="00301FB8">
        <w:t xml:space="preserve">We would like to extend thanks to the Ministry for the positive and open way it engaged with this investigation. </w:t>
      </w:r>
      <w:proofErr w:type="gramStart"/>
      <w:r w:rsidRPr="00301FB8">
        <w:t>In particular, our</w:t>
      </w:r>
      <w:proofErr w:type="gramEnd"/>
      <w:r w:rsidRPr="00301FB8">
        <w:t xml:space="preserve"> thanks to those staff members who took the time to meet with the investigators; completed the staff survey and liaised with our office throughout the investigation. We greatly value their contribution to this investigation.</w:t>
      </w:r>
    </w:p>
    <w:p w14:paraId="009DB4AF" w14:textId="77777777" w:rsidR="00B3008B" w:rsidRDefault="00B3008B" w:rsidP="00B3008B">
      <w:pPr>
        <w:pStyle w:val="Heading2"/>
      </w:pPr>
      <w:bookmarkStart w:id="14" w:name="_Toc228878885"/>
      <w:bookmarkStart w:id="15" w:name="_Toc239154195"/>
      <w:r>
        <w:t>Methodology</w:t>
      </w:r>
      <w:bookmarkEnd w:id="14"/>
      <w:bookmarkEnd w:id="15"/>
    </w:p>
    <w:p w14:paraId="3D293B8C" w14:textId="77777777" w:rsidR="00B3008B" w:rsidRDefault="00B3008B" w:rsidP="00B3008B">
      <w:pPr>
        <w:pStyle w:val="BodyText"/>
      </w:pPr>
      <w:r>
        <w:t>As part of this investigation, we gathered evidence through:</w:t>
      </w:r>
    </w:p>
    <w:p w14:paraId="71DE3682" w14:textId="204BED2D" w:rsidR="00B3008B" w:rsidRDefault="00B3008B" w:rsidP="00B3008B">
      <w:pPr>
        <w:pStyle w:val="BodyText"/>
        <w:numPr>
          <w:ilvl w:val="0"/>
          <w:numId w:val="38"/>
        </w:numPr>
      </w:pPr>
      <w:r>
        <w:t>a</w:t>
      </w:r>
      <w:r w:rsidR="00434C2B">
        <w:t>n</w:t>
      </w:r>
      <w:r>
        <w:t xml:space="preserve"> </w:t>
      </w:r>
      <w:r w:rsidR="00434C2B">
        <w:t xml:space="preserve">online </w:t>
      </w:r>
      <w:r>
        <w:t xml:space="preserve">staff </w:t>
      </w:r>
      <w:proofErr w:type="gramStart"/>
      <w:r>
        <w:t>survey;</w:t>
      </w:r>
      <w:proofErr w:type="gramEnd"/>
      <w:r>
        <w:t xml:space="preserve"> </w:t>
      </w:r>
    </w:p>
    <w:p w14:paraId="74DE1DEC" w14:textId="2BDE4327" w:rsidR="00B3008B" w:rsidRDefault="00434C2B" w:rsidP="00B3008B">
      <w:pPr>
        <w:pStyle w:val="BodyText"/>
        <w:numPr>
          <w:ilvl w:val="0"/>
          <w:numId w:val="38"/>
        </w:numPr>
      </w:pPr>
      <w:r>
        <w:t xml:space="preserve">an </w:t>
      </w:r>
      <w:r w:rsidR="00B3008B">
        <w:t xml:space="preserve">agency </w:t>
      </w:r>
      <w:proofErr w:type="gramStart"/>
      <w:r w:rsidR="00B3008B">
        <w:t>questionnaire;</w:t>
      </w:r>
      <w:proofErr w:type="gramEnd"/>
    </w:p>
    <w:p w14:paraId="082EDAF4" w14:textId="4B63C509" w:rsidR="00B3008B" w:rsidRDefault="00B3008B" w:rsidP="00B3008B">
      <w:pPr>
        <w:pStyle w:val="BodyText"/>
        <w:numPr>
          <w:ilvl w:val="0"/>
          <w:numId w:val="38"/>
        </w:numPr>
      </w:pPr>
      <w:r>
        <w:t xml:space="preserve">interviews with staff involved in different aspects of the </w:t>
      </w:r>
      <w:proofErr w:type="spellStart"/>
      <w:r>
        <w:t>OIA</w:t>
      </w:r>
      <w:proofErr w:type="spellEnd"/>
      <w:r>
        <w:t xml:space="preserve"> </w:t>
      </w:r>
      <w:proofErr w:type="gramStart"/>
      <w:r>
        <w:t>process;</w:t>
      </w:r>
      <w:proofErr w:type="gramEnd"/>
    </w:p>
    <w:p w14:paraId="08926BA1" w14:textId="4D8AB6FF" w:rsidR="00B3008B" w:rsidRDefault="00B3008B" w:rsidP="00B3008B">
      <w:pPr>
        <w:pStyle w:val="BodyText"/>
        <w:numPr>
          <w:ilvl w:val="0"/>
          <w:numId w:val="38"/>
        </w:numPr>
      </w:pPr>
      <w:r>
        <w:t xml:space="preserve">a review of a sample of </w:t>
      </w:r>
      <w:proofErr w:type="spellStart"/>
      <w:r>
        <w:t>OIA</w:t>
      </w:r>
      <w:proofErr w:type="spellEnd"/>
      <w:r>
        <w:t xml:space="preserve"> files; and</w:t>
      </w:r>
    </w:p>
    <w:p w14:paraId="7437C0AC" w14:textId="4F6E4965" w:rsidR="00B3008B" w:rsidRDefault="008567AA" w:rsidP="00B3008B">
      <w:pPr>
        <w:pStyle w:val="BodyText"/>
        <w:numPr>
          <w:ilvl w:val="0"/>
          <w:numId w:val="38"/>
        </w:numPr>
      </w:pPr>
      <w:r w:rsidRPr="008567AA">
        <w:t xml:space="preserve">a questionnaire and interview with the </w:t>
      </w:r>
      <w:r w:rsidR="00B3008B" w:rsidRPr="008567AA">
        <w:t>Chief Executi</w:t>
      </w:r>
      <w:r w:rsidRPr="008567AA">
        <w:t>ve</w:t>
      </w:r>
      <w:r w:rsidR="00B3008B">
        <w:t>.</w:t>
      </w:r>
    </w:p>
    <w:p w14:paraId="19E787BD" w14:textId="77777777" w:rsidR="00B3008B" w:rsidRDefault="00B3008B" w:rsidP="00B3008B">
      <w:pPr>
        <w:pStyle w:val="BodyText"/>
      </w:pPr>
      <w:r>
        <w:t>These sources are referred to throughout the report.</w:t>
      </w:r>
    </w:p>
    <w:p w14:paraId="15A192E9" w14:textId="17924B95" w:rsidR="00A043BB" w:rsidRPr="00A043BB" w:rsidRDefault="00A043BB" w:rsidP="00A043BB">
      <w:pPr>
        <w:pStyle w:val="Heading1"/>
        <w:rPr>
          <w:color w:val="auto"/>
          <w:sz w:val="22"/>
        </w:rPr>
      </w:pPr>
      <w:bookmarkStart w:id="16" w:name="_Toc239154196"/>
      <w:r>
        <w:lastRenderedPageBreak/>
        <w:t>My opinion</w:t>
      </w:r>
      <w:bookmarkEnd w:id="16"/>
    </w:p>
    <w:p w14:paraId="1B0124A6" w14:textId="1A2A07F1" w:rsidR="00E6531E" w:rsidRDefault="00E6531E" w:rsidP="00E6531E">
      <w:pPr>
        <w:pStyle w:val="BodyText"/>
      </w:pPr>
      <w:r>
        <w:t xml:space="preserve">I have not identified any conduct by </w:t>
      </w:r>
      <w:proofErr w:type="spellStart"/>
      <w:r>
        <w:t>MPI</w:t>
      </w:r>
      <w:proofErr w:type="spellEnd"/>
      <w:r>
        <w:t xml:space="preserve"> that was wrong, unreasonable or contrary to law under the Ombudsmen Act 1975. As such I have not made any formal recommendations. We have identified some good practices, as well as some opportunities for </w:t>
      </w:r>
      <w:proofErr w:type="spellStart"/>
      <w:r>
        <w:t>MPI</w:t>
      </w:r>
      <w:proofErr w:type="spellEnd"/>
      <w:r>
        <w:t xml:space="preserve"> to improve its ability to discharge its </w:t>
      </w:r>
      <w:proofErr w:type="spellStart"/>
      <w:r>
        <w:t>OIA</w:t>
      </w:r>
      <w:proofErr w:type="spellEnd"/>
      <w:r>
        <w:t xml:space="preserve"> responsibilities more effectively.</w:t>
      </w:r>
      <w:r w:rsidRPr="00474ECF">
        <w:t xml:space="preserve"> </w:t>
      </w:r>
    </w:p>
    <w:p w14:paraId="6D2DFBB5" w14:textId="350E79B6" w:rsidR="00181857" w:rsidRDefault="006239C7" w:rsidP="00E6531E">
      <w:pPr>
        <w:pStyle w:val="BodyText"/>
      </w:pPr>
      <w:r>
        <w:t xml:space="preserve">The Ministry already has some good practices in place which may be built on to further strengthen its </w:t>
      </w:r>
      <w:proofErr w:type="spellStart"/>
      <w:r>
        <w:t>OIA</w:t>
      </w:r>
      <w:proofErr w:type="spellEnd"/>
      <w:r>
        <w:t xml:space="preserve"> </w:t>
      </w:r>
      <w:r w:rsidR="00181857">
        <w:t>performance</w:t>
      </w:r>
      <w:r>
        <w:t xml:space="preserve"> and I look forward to following its progress over the next year.</w:t>
      </w:r>
    </w:p>
    <w:p w14:paraId="2725EA24" w14:textId="2F88A1B2" w:rsidR="006239C7" w:rsidRDefault="00F213F7" w:rsidP="00E6531E">
      <w:pPr>
        <w:pStyle w:val="BodyText"/>
      </w:pPr>
      <w:r>
        <w:t xml:space="preserve">It is encouraging that the </w:t>
      </w:r>
      <w:r w:rsidR="008C5387">
        <w:t xml:space="preserve">Ministry has mechanisms in place to promote robust information management and to highlight public service principles, both of which are drivers of </w:t>
      </w:r>
      <w:proofErr w:type="spellStart"/>
      <w:r w:rsidR="008C5387">
        <w:t>OIA</w:t>
      </w:r>
      <w:proofErr w:type="spellEnd"/>
      <w:r w:rsidR="008C5387">
        <w:t xml:space="preserve"> compliance.</w:t>
      </w:r>
      <w:r w:rsidR="006239C7">
        <w:t xml:space="preserve"> In addition to this, t</w:t>
      </w:r>
      <w:r w:rsidR="008C5387">
        <w:t xml:space="preserve">he Ministry’s </w:t>
      </w:r>
      <w:proofErr w:type="spellStart"/>
      <w:r w:rsidR="008C5387">
        <w:t>OIA</w:t>
      </w:r>
      <w:proofErr w:type="spellEnd"/>
      <w:r w:rsidR="008C5387">
        <w:t xml:space="preserve"> team </w:t>
      </w:r>
      <w:r w:rsidR="006239C7">
        <w:t xml:space="preserve">is to be commended for introducing targeted </w:t>
      </w:r>
      <w:proofErr w:type="spellStart"/>
      <w:r w:rsidR="006239C7">
        <w:t>OIA</w:t>
      </w:r>
      <w:proofErr w:type="spellEnd"/>
      <w:r w:rsidR="006239C7">
        <w:t xml:space="preserve"> training for business units, and for using </w:t>
      </w:r>
      <w:proofErr w:type="spellStart"/>
      <w:r w:rsidR="006239C7">
        <w:t>OIA</w:t>
      </w:r>
      <w:proofErr w:type="spellEnd"/>
      <w:r w:rsidR="006239C7">
        <w:t xml:space="preserve"> performance data to identify practice improvements. </w:t>
      </w:r>
    </w:p>
    <w:p w14:paraId="08B97A2F" w14:textId="416F4938" w:rsidR="00EC3834" w:rsidRDefault="002F70E8" w:rsidP="002F70E8">
      <w:pPr>
        <w:pStyle w:val="BodyText"/>
      </w:pPr>
      <w:r>
        <w:t>The Ministry</w:t>
      </w:r>
      <w:r w:rsidRPr="006208BD">
        <w:t xml:space="preserve"> was provided the opportunity to comment on my provisional opinion, and I have taken its comments into consideration in forming my final opinion. </w:t>
      </w:r>
      <w:r>
        <w:t xml:space="preserve">I am encouraged that the Director General stated in his response </w:t>
      </w:r>
      <w:r w:rsidRPr="00EC3834">
        <w:rPr>
          <w:rStyle w:val="Quotationwithinthesentence"/>
        </w:rPr>
        <w:t>‘</w:t>
      </w:r>
      <w:proofErr w:type="spellStart"/>
      <w:r w:rsidRPr="00EC3834">
        <w:rPr>
          <w:rStyle w:val="Quotationwithinthesentence"/>
        </w:rPr>
        <w:t>MPI</w:t>
      </w:r>
      <w:proofErr w:type="spellEnd"/>
      <w:r w:rsidRPr="00EC3834">
        <w:rPr>
          <w:rStyle w:val="Quotationwithinthesentence"/>
        </w:rPr>
        <w:t xml:space="preserve"> is committed to implementing the action points provided in your provision</w:t>
      </w:r>
      <w:r w:rsidR="00A8618B">
        <w:rPr>
          <w:rStyle w:val="Quotationwithinthesentence"/>
        </w:rPr>
        <w:t>al</w:t>
      </w:r>
      <w:r w:rsidRPr="00EC3834">
        <w:rPr>
          <w:rStyle w:val="Quotationwithinthesentence"/>
        </w:rPr>
        <w:t xml:space="preserve"> opinion.’</w:t>
      </w:r>
      <w:r w:rsidR="00EC3834">
        <w:t xml:space="preserve"> </w:t>
      </w:r>
    </w:p>
    <w:p w14:paraId="1A22BB89" w14:textId="63C93149" w:rsidR="002F70E8" w:rsidRDefault="00EC3834" w:rsidP="002F70E8">
      <w:pPr>
        <w:pStyle w:val="BodyText"/>
      </w:pPr>
      <w:r>
        <w:t>I appreciate his collaborative approach and his commitment to continuous improvement.</w:t>
      </w:r>
    </w:p>
    <w:p w14:paraId="3765F3DD" w14:textId="05DF7612" w:rsidR="002B4C2A" w:rsidRDefault="002F70E8" w:rsidP="00DC4251">
      <w:pPr>
        <w:pStyle w:val="BodyText"/>
      </w:pPr>
      <w:r>
        <w:t>The Director General added more specific comments in relation to each action point in his response, and I will reference these throughout my report.</w:t>
      </w:r>
    </w:p>
    <w:p w14:paraId="584E1A52" w14:textId="20861C27" w:rsidR="002F70E8" w:rsidRDefault="00371119" w:rsidP="00DC4251">
      <w:pPr>
        <w:pStyle w:val="BodyText"/>
      </w:pPr>
      <w:r>
        <w:rPr>
          <w:noProof/>
        </w:rPr>
        <w:drawing>
          <wp:inline distT="0" distB="0" distL="0" distR="0" wp14:anchorId="53F2C834" wp14:editId="5A8EB760">
            <wp:extent cx="2218944" cy="845820"/>
            <wp:effectExtent l="0" t="0" r="0" b="0"/>
            <wp:docPr id="1655405942" name="Picture 1" descr="Signature of Chief Ombudsman John A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05942" name="Picture 1" descr="Signature of Chief Ombudsman John Alle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8944" cy="845820"/>
                    </a:xfrm>
                    <a:prstGeom prst="rect">
                      <a:avLst/>
                    </a:prstGeom>
                  </pic:spPr>
                </pic:pic>
              </a:graphicData>
            </a:graphic>
          </wp:inline>
        </w:drawing>
      </w:r>
    </w:p>
    <w:p w14:paraId="5CF27B04" w14:textId="77777777" w:rsidR="002F70E8" w:rsidRDefault="002F70E8" w:rsidP="00DC4251">
      <w:pPr>
        <w:pStyle w:val="BodyText"/>
      </w:pPr>
    </w:p>
    <w:p w14:paraId="4CFBA073" w14:textId="20C0E30C" w:rsidR="002B4C2A" w:rsidRDefault="002B4C2A" w:rsidP="002B4C2A">
      <w:pPr>
        <w:pStyle w:val="DL-closingname"/>
      </w:pPr>
      <w:r>
        <w:t>John Allen</w:t>
      </w:r>
    </w:p>
    <w:p w14:paraId="22D2F68A" w14:textId="4E3D9C88" w:rsidR="002B4C2A" w:rsidRDefault="002B4C2A" w:rsidP="002B4C2A">
      <w:pPr>
        <w:pStyle w:val="DL-closingname"/>
      </w:pPr>
      <w:r>
        <w:t xml:space="preserve">Chief Ombudsman </w:t>
      </w:r>
    </w:p>
    <w:p w14:paraId="6D5668E9" w14:textId="5B15D89A" w:rsidR="0023079A" w:rsidRDefault="0023079A" w:rsidP="0023079A">
      <w:pPr>
        <w:pStyle w:val="Heading1"/>
      </w:pPr>
      <w:bookmarkStart w:id="17" w:name="_Council_culture_and"/>
      <w:bookmarkEnd w:id="17"/>
      <w:r>
        <w:br w:type="page"/>
      </w:r>
    </w:p>
    <w:p w14:paraId="171655A1" w14:textId="104CCCB8" w:rsidR="008442AB" w:rsidRDefault="00081316" w:rsidP="0023079A">
      <w:pPr>
        <w:pStyle w:val="Heading1"/>
      </w:pPr>
      <w:bookmarkStart w:id="18" w:name="_Toc239154197"/>
      <w:r>
        <w:lastRenderedPageBreak/>
        <w:t>L</w:t>
      </w:r>
      <w:r w:rsidR="005958C8">
        <w:t>eadership</w:t>
      </w:r>
      <w:r>
        <w:t xml:space="preserve"> and culture</w:t>
      </w:r>
      <w:bookmarkEnd w:id="18"/>
    </w:p>
    <w:p w14:paraId="090B4F24" w14:textId="4ADFF7CB" w:rsidR="001E5DEA" w:rsidRDefault="00A84874" w:rsidP="0011779B">
      <w:pPr>
        <w:pStyle w:val="BodyText"/>
      </w:pPr>
      <w:bookmarkStart w:id="19" w:name="_Hlk230093497"/>
      <w:r w:rsidRPr="0083173A">
        <w:t xml:space="preserve">Effective leadership is central to </w:t>
      </w:r>
      <w:r>
        <w:t>building and maintaining</w:t>
      </w:r>
      <w:r w:rsidRPr="0083173A">
        <w:t xml:space="preserve"> a culture that supports the </w:t>
      </w:r>
      <w:r>
        <w:t xml:space="preserve">principle and </w:t>
      </w:r>
      <w:r w:rsidRPr="0083173A">
        <w:t xml:space="preserve">purposes of the </w:t>
      </w:r>
      <w:proofErr w:type="spellStart"/>
      <w:r w:rsidRPr="0083173A">
        <w:t>OIA</w:t>
      </w:r>
      <w:proofErr w:type="spellEnd"/>
      <w:r w:rsidRPr="0083173A">
        <w:t xml:space="preserve">. </w:t>
      </w:r>
      <w:r w:rsidR="00543A20" w:rsidRPr="00FE27B7">
        <w:t>Culture is shaped by what leaders prioritise, model, and reinforce</w:t>
      </w:r>
      <w:r w:rsidR="00543A20">
        <w:t xml:space="preserve"> through </w:t>
      </w:r>
      <w:r w:rsidR="00B71B47">
        <w:t xml:space="preserve">their </w:t>
      </w:r>
      <w:r w:rsidR="00543A20">
        <w:t xml:space="preserve">actions and messaging. </w:t>
      </w:r>
      <w:r w:rsidR="00784800">
        <w:t xml:space="preserve">We expect chief executives, senior leaders and managers </w:t>
      </w:r>
      <w:r w:rsidR="005A0A4B">
        <w:t xml:space="preserve">to </w:t>
      </w:r>
      <w:r w:rsidR="00784800">
        <w:t xml:space="preserve">demonstrate a commitment to the agency meeting its obligations under the Act and </w:t>
      </w:r>
      <w:r w:rsidR="00543A20">
        <w:t xml:space="preserve">to </w:t>
      </w:r>
      <w:r w:rsidR="00784800">
        <w:t>actively foster a culture of openness within the agency.</w:t>
      </w:r>
    </w:p>
    <w:p w14:paraId="6094C274" w14:textId="7E5EF270" w:rsidR="003346DB" w:rsidRDefault="007144ED" w:rsidP="003346DB">
      <w:pPr>
        <w:pStyle w:val="Heading3"/>
      </w:pPr>
      <w:bookmarkStart w:id="20" w:name="_Toc239154198"/>
      <w:bookmarkEnd w:id="19"/>
      <w:r>
        <w:t>Limited messaging about openness</w:t>
      </w:r>
      <w:bookmarkEnd w:id="20"/>
      <w:r>
        <w:t xml:space="preserve"> </w:t>
      </w:r>
    </w:p>
    <w:p w14:paraId="78FAB490" w14:textId="1DC873E4" w:rsidR="00543A20" w:rsidRDefault="00DF17AB" w:rsidP="0083173A">
      <w:pPr>
        <w:pStyle w:val="BodyText"/>
      </w:pPr>
      <w:r>
        <w:t>We saw</w:t>
      </w:r>
      <w:r w:rsidR="0083173A" w:rsidRPr="0083173A">
        <w:t xml:space="preserve"> limited evidence of active leadership </w:t>
      </w:r>
      <w:r w:rsidR="00B71B47">
        <w:t>at a senior level</w:t>
      </w:r>
      <w:r w:rsidR="0083173A" w:rsidRPr="0083173A">
        <w:t xml:space="preserve"> to promote a culture of openness and p</w:t>
      </w:r>
      <w:r w:rsidR="00DF214F">
        <w:t>ositive</w:t>
      </w:r>
      <w:r w:rsidR="0083173A" w:rsidRPr="0083173A">
        <w:t xml:space="preserve"> engagement with the </w:t>
      </w:r>
      <w:proofErr w:type="spellStart"/>
      <w:r w:rsidR="0083173A" w:rsidRPr="0083173A">
        <w:t>OIA</w:t>
      </w:r>
      <w:proofErr w:type="spellEnd"/>
      <w:r w:rsidR="0083173A" w:rsidRPr="0083173A">
        <w:t xml:space="preserve">. </w:t>
      </w:r>
      <w:r w:rsidR="00FD4775">
        <w:t>T</w:t>
      </w:r>
      <w:r w:rsidR="003668DA">
        <w:t xml:space="preserve">he impression gained from </w:t>
      </w:r>
      <w:r w:rsidR="00E14660">
        <w:t>our investigation</w:t>
      </w:r>
      <w:r w:rsidR="003346DB">
        <w:t xml:space="preserve">, including my </w:t>
      </w:r>
      <w:r w:rsidR="003668DA">
        <w:t>discussion with the Director General</w:t>
      </w:r>
      <w:r w:rsidR="003346DB">
        <w:t>,</w:t>
      </w:r>
      <w:r w:rsidR="003668DA">
        <w:t xml:space="preserve"> is that aversion to reputational risk </w:t>
      </w:r>
      <w:r w:rsidR="003553B8">
        <w:t xml:space="preserve">is emphasised, at times over </w:t>
      </w:r>
      <w:r w:rsidR="006754ED">
        <w:t xml:space="preserve">the importance of timely information disclosure under the </w:t>
      </w:r>
      <w:proofErr w:type="spellStart"/>
      <w:r w:rsidR="006754ED">
        <w:t>OIA</w:t>
      </w:r>
      <w:proofErr w:type="spellEnd"/>
      <w:r w:rsidR="006754ED">
        <w:t>.</w:t>
      </w:r>
      <w:r w:rsidR="003668DA">
        <w:t xml:space="preserve">  </w:t>
      </w:r>
    </w:p>
    <w:p w14:paraId="3AFDD580" w14:textId="771511F6" w:rsidR="00242818" w:rsidRDefault="00B71B47" w:rsidP="00FE27B7">
      <w:pPr>
        <w:pStyle w:val="BodyText"/>
      </w:pPr>
      <w:r>
        <w:t xml:space="preserve">In response to our agency questionnaire, </w:t>
      </w:r>
      <w:proofErr w:type="spellStart"/>
      <w:r w:rsidR="001E5DEA">
        <w:t>MPI</w:t>
      </w:r>
      <w:proofErr w:type="spellEnd"/>
      <w:r w:rsidR="001E5DEA">
        <w:t xml:space="preserve"> was unable to </w:t>
      </w:r>
      <w:r w:rsidR="00752480">
        <w:t xml:space="preserve">point to any recent messaging from the Chief Executive or senior leaders which promoted explicitly </w:t>
      </w:r>
      <w:r w:rsidR="0011779B">
        <w:t xml:space="preserve">to staff </w:t>
      </w:r>
      <w:r w:rsidR="00752480">
        <w:t xml:space="preserve">the </w:t>
      </w:r>
      <w:r w:rsidR="008B238A">
        <w:t xml:space="preserve">agency’s commitment to </w:t>
      </w:r>
      <w:proofErr w:type="spellStart"/>
      <w:r w:rsidR="00752480">
        <w:t>OIA</w:t>
      </w:r>
      <w:proofErr w:type="spellEnd"/>
      <w:r w:rsidR="00DA082F">
        <w:t xml:space="preserve"> compliance and transparency</w:t>
      </w:r>
      <w:r w:rsidR="00242818">
        <w:t xml:space="preserve"> – </w:t>
      </w:r>
      <w:r w:rsidR="00242818" w:rsidRPr="00242818">
        <w:rPr>
          <w:rStyle w:val="Quotationwithinthesentence"/>
        </w:rPr>
        <w:t>‘(w)</w:t>
      </w:r>
      <w:proofErr w:type="spellStart"/>
      <w:r w:rsidR="00242818" w:rsidRPr="00242818">
        <w:rPr>
          <w:rStyle w:val="Quotationwithinthesentence"/>
        </w:rPr>
        <w:t>e</w:t>
      </w:r>
      <w:proofErr w:type="spellEnd"/>
      <w:r w:rsidR="00242818" w:rsidRPr="00242818">
        <w:rPr>
          <w:rStyle w:val="Quotationwithinthesentence"/>
        </w:rPr>
        <w:t xml:space="preserve"> have not explicitly referred to the purpose of the </w:t>
      </w:r>
      <w:proofErr w:type="spellStart"/>
      <w:r w:rsidR="00242818" w:rsidRPr="00242818">
        <w:rPr>
          <w:rStyle w:val="Quotationwithinthesentence"/>
        </w:rPr>
        <w:t>OIA</w:t>
      </w:r>
      <w:proofErr w:type="spellEnd"/>
      <w:r w:rsidR="00242818" w:rsidRPr="00242818">
        <w:rPr>
          <w:rStyle w:val="Quotationwithinthesentence"/>
        </w:rPr>
        <w:t xml:space="preserve"> in recent staff communications, however we do regularly remind staff about their wider obligations as public servants through other metho</w:t>
      </w:r>
      <w:r w:rsidR="00A22B90">
        <w:rPr>
          <w:rStyle w:val="Quotationwithinthesentence"/>
        </w:rPr>
        <w:t>d</w:t>
      </w:r>
      <w:r w:rsidR="00242818" w:rsidRPr="00242818">
        <w:rPr>
          <w:rStyle w:val="Quotationwithinthesentence"/>
        </w:rPr>
        <w:t>s such as the annual declaration of conflicts of interest.’</w:t>
      </w:r>
      <w:r w:rsidR="007570A4" w:rsidRPr="007570A4">
        <w:rPr>
          <w:rStyle w:val="FootnoteReference"/>
        </w:rPr>
        <w:t xml:space="preserve"> </w:t>
      </w:r>
      <w:r w:rsidR="007570A4">
        <w:rPr>
          <w:rStyle w:val="FootnoteReference"/>
        </w:rPr>
        <w:footnoteReference w:id="3"/>
      </w:r>
      <w:r w:rsidR="00242818">
        <w:t xml:space="preserve"> </w:t>
      </w:r>
    </w:p>
    <w:p w14:paraId="1ED1BA2A" w14:textId="7E2C1503" w:rsidR="00046E65" w:rsidRPr="00046E65" w:rsidRDefault="00046E65" w:rsidP="00046E65">
      <w:pPr>
        <w:pStyle w:val="BodyText"/>
      </w:pPr>
      <w:r w:rsidRPr="00046E65">
        <w:t xml:space="preserve">During </w:t>
      </w:r>
      <w:r w:rsidR="00A62ACA">
        <w:t>our meeting</w:t>
      </w:r>
      <w:r w:rsidRPr="00046E65">
        <w:t>, the Director</w:t>
      </w:r>
      <w:r w:rsidR="00A00316">
        <w:t xml:space="preserve"> </w:t>
      </w:r>
      <w:r w:rsidRPr="00046E65">
        <w:t xml:space="preserve">General highlighted key messages he seeks to communicate to staff in relation to </w:t>
      </w:r>
      <w:proofErr w:type="spellStart"/>
      <w:r>
        <w:t>MPI</w:t>
      </w:r>
      <w:r w:rsidRPr="00046E65">
        <w:t>’s</w:t>
      </w:r>
      <w:proofErr w:type="spellEnd"/>
      <w:r w:rsidRPr="00046E65">
        <w:t xml:space="preserve"> </w:t>
      </w:r>
      <w:proofErr w:type="spellStart"/>
      <w:r w:rsidRPr="00046E65">
        <w:t>OIA</w:t>
      </w:r>
      <w:proofErr w:type="spellEnd"/>
      <w:r w:rsidRPr="00046E65">
        <w:t xml:space="preserve"> culture. He </w:t>
      </w:r>
      <w:r w:rsidR="007570A4">
        <w:t>said he considered it</w:t>
      </w:r>
      <w:r w:rsidR="006754ED">
        <w:t xml:space="preserve"> is</w:t>
      </w:r>
      <w:r w:rsidRPr="00046E65">
        <w:t xml:space="preserve"> important to impress upon staff th</w:t>
      </w:r>
      <w:r w:rsidR="0069451A">
        <w:t xml:space="preserve">at </w:t>
      </w:r>
      <w:r w:rsidR="00427E09">
        <w:t xml:space="preserve">all </w:t>
      </w:r>
      <w:r w:rsidR="00EC3834">
        <w:t xml:space="preserve">written materials generated by staff are discoverable under the </w:t>
      </w:r>
      <w:proofErr w:type="spellStart"/>
      <w:r w:rsidR="00EC3834">
        <w:t>OIA</w:t>
      </w:r>
      <w:proofErr w:type="spellEnd"/>
      <w:r w:rsidR="00EC3834">
        <w:t>, leading to the need to be ‘thoughtful’ about what they commit to record.</w:t>
      </w:r>
    </w:p>
    <w:p w14:paraId="6EDFACD4" w14:textId="7C2F1B8F" w:rsidR="00046E65" w:rsidRPr="00046E65" w:rsidRDefault="00046E65" w:rsidP="00046E65">
      <w:pPr>
        <w:pStyle w:val="BodyText"/>
      </w:pPr>
      <w:r w:rsidRPr="00046E65">
        <w:t xml:space="preserve">In context, </w:t>
      </w:r>
      <w:r w:rsidR="00610AEB">
        <w:t>we</w:t>
      </w:r>
      <w:r w:rsidRPr="00046E65">
        <w:t xml:space="preserve"> understand this</w:t>
      </w:r>
      <w:r w:rsidR="003560E5">
        <w:t xml:space="preserve"> </w:t>
      </w:r>
      <w:r w:rsidR="00333605">
        <w:t>messaging</w:t>
      </w:r>
      <w:r w:rsidRPr="00046E65">
        <w:t xml:space="preserve"> as intended to encourage staff to use appropriate and professional language in written communications. However, it raises concerns in two respects.</w:t>
      </w:r>
    </w:p>
    <w:p w14:paraId="15F63D79" w14:textId="5343753C" w:rsidR="00046E65" w:rsidRPr="00046E65" w:rsidRDefault="00046E65" w:rsidP="00046E65">
      <w:pPr>
        <w:pStyle w:val="BodyText"/>
      </w:pPr>
      <w:r w:rsidRPr="00046E65">
        <w:t>First, the framing of this message does not reflect the principle</w:t>
      </w:r>
      <w:r w:rsidR="001B5EE5">
        <w:t xml:space="preserve"> and purposes</w:t>
      </w:r>
      <w:r w:rsidRPr="00046E65">
        <w:t xml:space="preserve"> of the </w:t>
      </w:r>
      <w:proofErr w:type="spellStart"/>
      <w:r w:rsidRPr="00046E65">
        <w:t>O</w:t>
      </w:r>
      <w:r w:rsidR="001B5EE5">
        <w:t>IA</w:t>
      </w:r>
      <w:proofErr w:type="spellEnd"/>
      <w:r w:rsidRPr="00046E65">
        <w:t xml:space="preserve">, which is premised on the availability of official information and the importance of transparency and accountability. Messaging of this nature risks placing emphasis on </w:t>
      </w:r>
      <w:r w:rsidR="001B5EE5">
        <w:t>avoiding risk over encouraging transparency.</w:t>
      </w:r>
    </w:p>
    <w:p w14:paraId="22A1198F" w14:textId="36412660" w:rsidR="00046E65" w:rsidRPr="00046E65" w:rsidRDefault="00046E65" w:rsidP="00046E65">
      <w:pPr>
        <w:pStyle w:val="BodyText"/>
      </w:pPr>
      <w:r w:rsidRPr="00046E65">
        <w:t xml:space="preserve">Second, </w:t>
      </w:r>
      <w:r w:rsidR="00EC3834">
        <w:t>such messaging</w:t>
      </w:r>
      <w:r w:rsidRPr="00046E65">
        <w:t xml:space="preserve"> is open to misinterpretation. Without clear guidance</w:t>
      </w:r>
      <w:r w:rsidR="00783C90">
        <w:t xml:space="preserve"> and without a </w:t>
      </w:r>
      <w:r w:rsidR="006754ED">
        <w:t xml:space="preserve">robust </w:t>
      </w:r>
      <w:proofErr w:type="spellStart"/>
      <w:r w:rsidR="006754ED">
        <w:t>OIA</w:t>
      </w:r>
      <w:proofErr w:type="spellEnd"/>
      <w:r w:rsidR="006754ED">
        <w:t xml:space="preserve"> culture</w:t>
      </w:r>
      <w:r w:rsidR="004719F5">
        <w:t xml:space="preserve"> rooted in openness</w:t>
      </w:r>
      <w:r w:rsidRPr="00046E65">
        <w:t xml:space="preserve">, staff may understand this as an instruction to avoid recording information </w:t>
      </w:r>
      <w:r w:rsidR="00353C40" w:rsidRPr="00046E65">
        <w:t>to</w:t>
      </w:r>
      <w:r w:rsidRPr="00046E65">
        <w:t xml:space="preserve"> reduce the likelihood of disclosure</w:t>
      </w:r>
      <w:r w:rsidR="00057903">
        <w:t xml:space="preserve"> when requested under the </w:t>
      </w:r>
      <w:proofErr w:type="spellStart"/>
      <w:r w:rsidR="00057903">
        <w:t>OIA</w:t>
      </w:r>
      <w:proofErr w:type="spellEnd"/>
      <w:r w:rsidRPr="00046E65">
        <w:t xml:space="preserve">. </w:t>
      </w:r>
      <w:r w:rsidRPr="00783C90">
        <w:t xml:space="preserve">This </w:t>
      </w:r>
      <w:r w:rsidR="00057903" w:rsidRPr="00783C90">
        <w:t>potentially undermine</w:t>
      </w:r>
      <w:r w:rsidR="00783C90" w:rsidRPr="00783C90">
        <w:t>s</w:t>
      </w:r>
      <w:r w:rsidR="00057903" w:rsidRPr="00783C90">
        <w:t xml:space="preserve"> </w:t>
      </w:r>
      <w:r w:rsidR="005368C3" w:rsidRPr="00783C90">
        <w:t xml:space="preserve">both </w:t>
      </w:r>
      <w:r w:rsidR="00057903" w:rsidRPr="00783C90">
        <w:t xml:space="preserve">the agency’s ability to meet its statutory obligations under the </w:t>
      </w:r>
      <w:proofErr w:type="spellStart"/>
      <w:r w:rsidR="00057903" w:rsidRPr="00783C90">
        <w:t>OIA</w:t>
      </w:r>
      <w:proofErr w:type="spellEnd"/>
      <w:r w:rsidR="005368C3" w:rsidRPr="00783C90">
        <w:t>, and its obligation</w:t>
      </w:r>
      <w:r w:rsidR="00353C40" w:rsidRPr="00783C90">
        <w:t>s</w:t>
      </w:r>
      <w:r w:rsidR="005368C3" w:rsidRPr="00783C90">
        <w:t xml:space="preserve"> to </w:t>
      </w:r>
      <w:r w:rsidR="00353C40" w:rsidRPr="00783C90">
        <w:t xml:space="preserve">maintain full and accurate records </w:t>
      </w:r>
      <w:r w:rsidR="00057903" w:rsidRPr="00783C90">
        <w:t>under the P</w:t>
      </w:r>
      <w:r w:rsidR="004719F5">
        <w:t>ublic </w:t>
      </w:r>
      <w:r w:rsidR="00057903" w:rsidRPr="00783C90">
        <w:t>R</w:t>
      </w:r>
      <w:r w:rsidR="004719F5">
        <w:t>ecords </w:t>
      </w:r>
      <w:r w:rsidR="00057903" w:rsidRPr="00783C90">
        <w:t>A</w:t>
      </w:r>
      <w:r w:rsidR="004719F5">
        <w:t>ct 2005</w:t>
      </w:r>
      <w:r w:rsidR="00057903" w:rsidRPr="00783C90">
        <w:t>.</w:t>
      </w:r>
    </w:p>
    <w:p w14:paraId="195E4B2F" w14:textId="5DC8F450" w:rsidR="00046E65" w:rsidRDefault="00046E65" w:rsidP="00046E65">
      <w:pPr>
        <w:pStyle w:val="BodyText"/>
      </w:pPr>
      <w:r w:rsidRPr="004719F5">
        <w:lastRenderedPageBreak/>
        <w:t xml:space="preserve">It is important that messaging </w:t>
      </w:r>
      <w:r w:rsidR="00057903" w:rsidRPr="004719F5">
        <w:t xml:space="preserve">from senior leaders </w:t>
      </w:r>
      <w:r w:rsidRPr="004719F5">
        <w:t>reinforces the need for full</w:t>
      </w:r>
      <w:r w:rsidR="005368C3" w:rsidRPr="004719F5">
        <w:t xml:space="preserve"> and</w:t>
      </w:r>
      <w:r w:rsidRPr="004719F5">
        <w:t xml:space="preserve"> accurate</w:t>
      </w:r>
      <w:r w:rsidR="005368C3" w:rsidRPr="004719F5">
        <w:t xml:space="preserve"> </w:t>
      </w:r>
      <w:r w:rsidRPr="004719F5">
        <w:t xml:space="preserve">record-keeping, alongside an understanding that </w:t>
      </w:r>
      <w:r w:rsidR="00057903" w:rsidRPr="004719F5">
        <w:t>it i</w:t>
      </w:r>
      <w:r w:rsidR="005B316A" w:rsidRPr="004719F5">
        <w:t>s</w:t>
      </w:r>
      <w:r w:rsidR="00057903" w:rsidRPr="004719F5">
        <w:t xml:space="preserve"> never appropriate to fail to make clear and full records </w:t>
      </w:r>
      <w:proofErr w:type="gramStart"/>
      <w:r w:rsidR="00057903" w:rsidRPr="004719F5">
        <w:t>in order to</w:t>
      </w:r>
      <w:proofErr w:type="gramEnd"/>
      <w:r w:rsidR="00057903" w:rsidRPr="004719F5">
        <w:t xml:space="preserve"> </w:t>
      </w:r>
      <w:r w:rsidR="00B55524">
        <w:t>avoid disclosure</w:t>
      </w:r>
      <w:r w:rsidRPr="004719F5">
        <w:t xml:space="preserve">. </w:t>
      </w:r>
    </w:p>
    <w:p w14:paraId="6191C8A3" w14:textId="753B6049" w:rsidR="00065720" w:rsidRDefault="002E012A" w:rsidP="00FE27B7">
      <w:pPr>
        <w:pStyle w:val="BodyText"/>
      </w:pPr>
      <w:r w:rsidRPr="002E012A">
        <w:t xml:space="preserve">Although the Director General’s reported emphasis on </w:t>
      </w:r>
      <w:r w:rsidR="00AE1438">
        <w:t xml:space="preserve">being ‘thoughtful’ about what </w:t>
      </w:r>
      <w:r w:rsidR="004719F5">
        <w:t xml:space="preserve">staff </w:t>
      </w:r>
      <w:r w:rsidR="00AE1438">
        <w:t xml:space="preserve">commit to record </w:t>
      </w:r>
      <w:r w:rsidRPr="002E012A">
        <w:t xml:space="preserve">is concerning, given the risk of misinterpretation, staff perceptions do not indicate an anti-openness culture driven by senior leadership. Instead, </w:t>
      </w:r>
      <w:r>
        <w:t>m</w:t>
      </w:r>
      <w:r w:rsidR="003D7FBD">
        <w:t>ost</w:t>
      </w:r>
      <w:r w:rsidR="005C5D2E">
        <w:t xml:space="preserve"> </w:t>
      </w:r>
      <w:r>
        <w:t xml:space="preserve">staff </w:t>
      </w:r>
      <w:r w:rsidR="005C5D2E">
        <w:t xml:space="preserve">survey respondents consider the </w:t>
      </w:r>
      <w:r w:rsidR="00AE4452">
        <w:t>Director General</w:t>
      </w:r>
      <w:r w:rsidR="005C5D2E">
        <w:t xml:space="preserve"> is silent on the issue</w:t>
      </w:r>
      <w:r w:rsidR="003D7FBD">
        <w:t xml:space="preserve"> of information disclosure under the </w:t>
      </w:r>
      <w:proofErr w:type="spellStart"/>
      <w:r w:rsidR="003D7FBD">
        <w:t>OIA</w:t>
      </w:r>
      <w:proofErr w:type="spellEnd"/>
      <w:r w:rsidR="005C5D2E">
        <w:t>, or they ‘</w:t>
      </w:r>
      <w:r w:rsidR="005C5D2E" w:rsidRPr="003D7FBD">
        <w:rPr>
          <w:i/>
          <w:iCs/>
        </w:rPr>
        <w:t>don’t know’</w:t>
      </w:r>
      <w:r w:rsidR="001E0BC6">
        <w:t xml:space="preserve"> what his approach to the </w:t>
      </w:r>
      <w:proofErr w:type="spellStart"/>
      <w:r w:rsidR="001E0BC6">
        <w:t>OIA</w:t>
      </w:r>
      <w:proofErr w:type="spellEnd"/>
      <w:r w:rsidR="001E0BC6">
        <w:t xml:space="preserve"> is, at all</w:t>
      </w:r>
      <w:r w:rsidR="005C5D2E">
        <w:t>.</w:t>
      </w:r>
      <w:r w:rsidR="00065720">
        <w:t xml:space="preserve"> </w:t>
      </w:r>
      <w:r w:rsidR="000265D9">
        <w:t>O</w:t>
      </w:r>
      <w:r w:rsidR="00065720">
        <w:t xml:space="preserve">nly a little over a third of respondents consider the </w:t>
      </w:r>
      <w:r w:rsidR="00AE4452">
        <w:t>Director General</w:t>
      </w:r>
      <w:r w:rsidR="00065720">
        <w:t xml:space="preserve"> is ‘</w:t>
      </w:r>
      <w:r w:rsidR="00065720" w:rsidRPr="009B6F59">
        <w:rPr>
          <w:i/>
          <w:iCs/>
        </w:rPr>
        <w:t>strongly or moderately pro-disclosure’</w:t>
      </w:r>
      <w:r w:rsidR="00065720">
        <w:t xml:space="preserve"> under the </w:t>
      </w:r>
      <w:proofErr w:type="spellStart"/>
      <w:r w:rsidR="00065720">
        <w:t>OIA</w:t>
      </w:r>
      <w:proofErr w:type="spellEnd"/>
      <w:r w:rsidR="000265D9">
        <w:t xml:space="preserve"> (see below table)</w:t>
      </w:r>
      <w:r w:rsidR="00065720">
        <w:t xml:space="preserve">. </w:t>
      </w:r>
    </w:p>
    <w:p w14:paraId="1EBEBEBA" w14:textId="189BDE91" w:rsidR="002A5D1A" w:rsidRDefault="00065720" w:rsidP="00FE27B7">
      <w:pPr>
        <w:pStyle w:val="BodyText"/>
      </w:pPr>
      <w:r>
        <w:t>This is the lowest figure of the five agencies under investigation with the average across the other four agencies</w:t>
      </w:r>
      <w:r w:rsidR="00BA344F">
        <w:t>’ Chief Executives</w:t>
      </w:r>
      <w:r>
        <w:t xml:space="preserve"> being </w:t>
      </w:r>
      <w:r w:rsidR="00BA344F">
        <w:t>63 percent</w:t>
      </w:r>
      <w:r>
        <w:t xml:space="preserve">. </w:t>
      </w:r>
      <w:r w:rsidR="002A5D1A">
        <w:t>This demonstrates that there is work that can and should be done, beginning with the Director General, to develop a</w:t>
      </w:r>
      <w:r w:rsidR="009911F4">
        <w:t>n official information culture which is open to the release of information.</w:t>
      </w:r>
    </w:p>
    <w:p w14:paraId="17F5AA71" w14:textId="15EA14DE" w:rsidR="00AA1D7D" w:rsidRPr="00844BAC" w:rsidRDefault="00AA1D7D" w:rsidP="00AA1D7D">
      <w:pPr>
        <w:pStyle w:val="Tableoffiguresheading"/>
      </w:pPr>
      <w:r w:rsidRPr="00844BAC">
        <w:t xml:space="preserve">Staff impressions of the signals sent by levels of leadership about the disclosure of information under the </w:t>
      </w:r>
      <w:proofErr w:type="spellStart"/>
      <w:r w:rsidRPr="00844BAC">
        <w:t>OIA</w:t>
      </w:r>
      <w:proofErr w:type="spellEnd"/>
      <w:r>
        <w:t>.</w:t>
      </w:r>
      <w:r>
        <w:rPr>
          <w:rStyle w:val="FootnoteReference"/>
        </w:rPr>
        <w:footnoteReference w:id="4"/>
      </w:r>
    </w:p>
    <w:tbl>
      <w:tblPr>
        <w:tblStyle w:val="TableGrid"/>
        <w:tblW w:w="5000" w:type="pct"/>
        <w:tblLook w:val="04A0" w:firstRow="1" w:lastRow="0" w:firstColumn="1" w:lastColumn="0" w:noHBand="0" w:noVBand="1"/>
      </w:tblPr>
      <w:tblGrid>
        <w:gridCol w:w="2322"/>
        <w:gridCol w:w="2322"/>
        <w:gridCol w:w="2322"/>
        <w:gridCol w:w="2322"/>
      </w:tblGrid>
      <w:tr w:rsidR="00AA1D7D" w14:paraId="0C9F172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6985D42" w14:textId="77777777" w:rsidR="00AA1D7D" w:rsidRPr="00C82E75" w:rsidRDefault="00AA1D7D">
            <w:pPr>
              <w:pStyle w:val="BodyText"/>
              <w:rPr>
                <w:color w:val="FFFFFF" w:themeColor="background1"/>
              </w:rPr>
            </w:pPr>
          </w:p>
        </w:tc>
        <w:tc>
          <w:tcPr>
            <w:tcW w:w="1250" w:type="pct"/>
          </w:tcPr>
          <w:p w14:paraId="5E3E8D42" w14:textId="77777777" w:rsidR="00AA1D7D" w:rsidRPr="00C82E75" w:rsidRDefault="00AA1D7D">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sidRPr="00C82E75">
              <w:rPr>
                <w:color w:val="FFFFFF" w:themeColor="background1"/>
              </w:rPr>
              <w:t xml:space="preserve">Strongly or moderately pro </w:t>
            </w:r>
            <w:r>
              <w:rPr>
                <w:color w:val="FFFFFF" w:themeColor="background1"/>
              </w:rPr>
              <w:t>disclosure</w:t>
            </w:r>
            <w:r w:rsidRPr="00C82E75">
              <w:rPr>
                <w:color w:val="FFFFFF" w:themeColor="background1"/>
              </w:rPr>
              <w:t xml:space="preserve"> </w:t>
            </w:r>
            <w:r>
              <w:rPr>
                <w:color w:val="FFFFFF" w:themeColor="background1"/>
              </w:rPr>
              <w:t xml:space="preserve">under the </w:t>
            </w:r>
            <w:proofErr w:type="spellStart"/>
            <w:r>
              <w:rPr>
                <w:color w:val="FFFFFF" w:themeColor="background1"/>
              </w:rPr>
              <w:t>OIA</w:t>
            </w:r>
            <w:proofErr w:type="spellEnd"/>
          </w:p>
        </w:tc>
        <w:tc>
          <w:tcPr>
            <w:tcW w:w="1250" w:type="pct"/>
          </w:tcPr>
          <w:p w14:paraId="20BE067A" w14:textId="77777777" w:rsidR="00AA1D7D" w:rsidRPr="00C82E75" w:rsidRDefault="00AA1D7D">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Strongly or moderately anti disclosure under the </w:t>
            </w:r>
            <w:proofErr w:type="spellStart"/>
            <w:r>
              <w:rPr>
                <w:color w:val="FFFFFF" w:themeColor="background1"/>
              </w:rPr>
              <w:t>OIA</w:t>
            </w:r>
            <w:proofErr w:type="spellEnd"/>
          </w:p>
        </w:tc>
        <w:tc>
          <w:tcPr>
            <w:tcW w:w="1250" w:type="pct"/>
          </w:tcPr>
          <w:p w14:paraId="350B4692" w14:textId="77777777" w:rsidR="00AA1D7D" w:rsidRPr="00C82E75" w:rsidRDefault="00AA1D7D">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They are silent on the issue or ‘I don’t know’</w:t>
            </w:r>
          </w:p>
        </w:tc>
      </w:tr>
      <w:tr w:rsidR="00AA1D7D" w14:paraId="51FC18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E46D00F" w14:textId="77777777" w:rsidR="00AA1D7D" w:rsidRDefault="00AA1D7D">
            <w:pPr>
              <w:pStyle w:val="BodyText"/>
            </w:pPr>
            <w:r>
              <w:t>Chief Executive</w:t>
            </w:r>
          </w:p>
        </w:tc>
        <w:tc>
          <w:tcPr>
            <w:tcW w:w="1250" w:type="pct"/>
          </w:tcPr>
          <w:p w14:paraId="0DA8BA73" w14:textId="5ED3CECE" w:rsidR="00AA1D7D" w:rsidRDefault="00AA1D7D">
            <w:pPr>
              <w:pStyle w:val="BodyText"/>
              <w:cnfStyle w:val="000000100000" w:firstRow="0" w:lastRow="0" w:firstColumn="0" w:lastColumn="0" w:oddVBand="0" w:evenVBand="0" w:oddHBand="1" w:evenHBand="0" w:firstRowFirstColumn="0" w:firstRowLastColumn="0" w:lastRowFirstColumn="0" w:lastRowLastColumn="0"/>
            </w:pPr>
            <w:r>
              <w:t>35%</w:t>
            </w:r>
          </w:p>
        </w:tc>
        <w:tc>
          <w:tcPr>
            <w:tcW w:w="1250" w:type="pct"/>
          </w:tcPr>
          <w:p w14:paraId="1D058FF1" w14:textId="7F815493" w:rsidR="00AA1D7D" w:rsidRDefault="00AA1D7D">
            <w:pPr>
              <w:pStyle w:val="BodyText"/>
              <w:cnfStyle w:val="000000100000" w:firstRow="0" w:lastRow="0" w:firstColumn="0" w:lastColumn="0" w:oddVBand="0" w:evenVBand="0" w:oddHBand="1" w:evenHBand="0" w:firstRowFirstColumn="0" w:firstRowLastColumn="0" w:lastRowFirstColumn="0" w:lastRowLastColumn="0"/>
            </w:pPr>
            <w:r>
              <w:t>3%</w:t>
            </w:r>
          </w:p>
        </w:tc>
        <w:tc>
          <w:tcPr>
            <w:tcW w:w="1250" w:type="pct"/>
          </w:tcPr>
          <w:p w14:paraId="796FD2EF" w14:textId="6A576F01" w:rsidR="00AA1D7D" w:rsidRDefault="00AA1D7D">
            <w:pPr>
              <w:pStyle w:val="BodyText"/>
              <w:cnfStyle w:val="000000100000" w:firstRow="0" w:lastRow="0" w:firstColumn="0" w:lastColumn="0" w:oddVBand="0" w:evenVBand="0" w:oddHBand="1" w:evenHBand="0" w:firstRowFirstColumn="0" w:firstRowLastColumn="0" w:lastRowFirstColumn="0" w:lastRowLastColumn="0"/>
            </w:pPr>
            <w:r>
              <w:t>61%</w:t>
            </w:r>
          </w:p>
        </w:tc>
      </w:tr>
      <w:tr w:rsidR="00AA1D7D" w14:paraId="766AF2F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F43F1B0" w14:textId="77777777" w:rsidR="00AA1D7D" w:rsidRDefault="00AA1D7D">
            <w:pPr>
              <w:pStyle w:val="BodyText"/>
            </w:pPr>
            <w:r>
              <w:t>Tier 2 leaders</w:t>
            </w:r>
          </w:p>
        </w:tc>
        <w:tc>
          <w:tcPr>
            <w:tcW w:w="1250" w:type="pct"/>
          </w:tcPr>
          <w:p w14:paraId="7C9BBFF4" w14:textId="7EB1A12E" w:rsidR="00AA1D7D" w:rsidRDefault="00AA1D7D">
            <w:pPr>
              <w:pStyle w:val="BodyText"/>
              <w:cnfStyle w:val="000000010000" w:firstRow="0" w:lastRow="0" w:firstColumn="0" w:lastColumn="0" w:oddVBand="0" w:evenVBand="0" w:oddHBand="0" w:evenHBand="1" w:firstRowFirstColumn="0" w:firstRowLastColumn="0" w:lastRowFirstColumn="0" w:lastRowLastColumn="0"/>
            </w:pPr>
            <w:r>
              <w:t>46%</w:t>
            </w:r>
          </w:p>
        </w:tc>
        <w:tc>
          <w:tcPr>
            <w:tcW w:w="1250" w:type="pct"/>
          </w:tcPr>
          <w:p w14:paraId="7E1FFDBB" w14:textId="1F9676C7" w:rsidR="00AA1D7D" w:rsidRDefault="00AA1D7D">
            <w:pPr>
              <w:pStyle w:val="BodyText"/>
              <w:cnfStyle w:val="000000010000" w:firstRow="0" w:lastRow="0" w:firstColumn="0" w:lastColumn="0" w:oddVBand="0" w:evenVBand="0" w:oddHBand="0" w:evenHBand="1" w:firstRowFirstColumn="0" w:firstRowLastColumn="0" w:lastRowFirstColumn="0" w:lastRowLastColumn="0"/>
            </w:pPr>
            <w:r>
              <w:t>9%</w:t>
            </w:r>
          </w:p>
        </w:tc>
        <w:tc>
          <w:tcPr>
            <w:tcW w:w="1250" w:type="pct"/>
          </w:tcPr>
          <w:p w14:paraId="2C55E625" w14:textId="374A7AD7" w:rsidR="00AA1D7D" w:rsidRDefault="00AA1D7D">
            <w:pPr>
              <w:pStyle w:val="BodyText"/>
              <w:cnfStyle w:val="000000010000" w:firstRow="0" w:lastRow="0" w:firstColumn="0" w:lastColumn="0" w:oddVBand="0" w:evenVBand="0" w:oddHBand="0" w:evenHBand="1" w:firstRowFirstColumn="0" w:firstRowLastColumn="0" w:lastRowFirstColumn="0" w:lastRowLastColumn="0"/>
            </w:pPr>
            <w:r>
              <w:t>46%</w:t>
            </w:r>
          </w:p>
        </w:tc>
      </w:tr>
    </w:tbl>
    <w:p w14:paraId="7FF86358" w14:textId="77777777" w:rsidR="00AA1D7D" w:rsidRDefault="00AA1D7D" w:rsidP="00AA1D7D">
      <w:pPr>
        <w:pStyle w:val="Whitespace"/>
      </w:pPr>
    </w:p>
    <w:p w14:paraId="5B01A9ED" w14:textId="669B1AE3" w:rsidR="00543A20" w:rsidRDefault="00543A20" w:rsidP="00AD0078">
      <w:pPr>
        <w:pStyle w:val="BodyText"/>
      </w:pPr>
      <w:r>
        <w:t xml:space="preserve">Staff </w:t>
      </w:r>
      <w:r w:rsidR="004B6C94">
        <w:t xml:space="preserve">who responded to our survey </w:t>
      </w:r>
      <w:r>
        <w:t xml:space="preserve">had the opportunity to add </w:t>
      </w:r>
      <w:r w:rsidR="001E0BC6">
        <w:t>their own</w:t>
      </w:r>
      <w:r>
        <w:t xml:space="preserve"> comments about the </w:t>
      </w:r>
      <w:r w:rsidR="001E0BC6">
        <w:t>Ministr</w:t>
      </w:r>
      <w:r w:rsidR="00565296">
        <w:t>y’</w:t>
      </w:r>
      <w:r>
        <w:t>s</w:t>
      </w:r>
      <w:r w:rsidR="009F4039">
        <w:t xml:space="preserve"> approach to transparency</w:t>
      </w:r>
      <w:r w:rsidR="006826D8">
        <w:t>. There was a prevalent perception that the Ministry is averse to risk and that this can imp</w:t>
      </w:r>
      <w:r w:rsidR="009F4039">
        <w:t>act its approach to information disclosure</w:t>
      </w:r>
      <w:r w:rsidR="006826D8">
        <w:t>.</w:t>
      </w:r>
    </w:p>
    <w:p w14:paraId="061A6F2E" w14:textId="77777777" w:rsidR="00543A20" w:rsidRDefault="00543A20" w:rsidP="00543A20">
      <w:pPr>
        <w:pStyle w:val="Quotationseparateparagraph"/>
      </w:pPr>
      <w:r w:rsidRPr="002B70B5">
        <w:t>Extremely risk-averse to bad news. There is a culture to use high-level vague messaging to obscure the details to address questions from public.</w:t>
      </w:r>
    </w:p>
    <w:p w14:paraId="10570A5D" w14:textId="77777777" w:rsidR="00543A20" w:rsidRDefault="00543A20" w:rsidP="00543A20">
      <w:pPr>
        <w:pStyle w:val="Quotationseparateparagraph"/>
      </w:pPr>
      <w:r w:rsidRPr="009973CB">
        <w:t>The agency is very risk averse.</w:t>
      </w:r>
    </w:p>
    <w:p w14:paraId="76353D9D" w14:textId="5518FCCA" w:rsidR="00543A20" w:rsidRDefault="00543A20" w:rsidP="00543A20">
      <w:pPr>
        <w:pStyle w:val="Quotationseparateparagraph"/>
      </w:pPr>
      <w:r w:rsidRPr="009973CB">
        <w:t xml:space="preserve">Risk </w:t>
      </w:r>
      <w:r w:rsidR="00F5376A">
        <w:t>a</w:t>
      </w:r>
      <w:r w:rsidRPr="009973CB">
        <w:t>verse and reactive.</w:t>
      </w:r>
    </w:p>
    <w:p w14:paraId="7389BA33" w14:textId="77777777" w:rsidR="00543A20" w:rsidRDefault="00543A20" w:rsidP="00543A20">
      <w:pPr>
        <w:pStyle w:val="Quotationseparateparagraph"/>
      </w:pPr>
      <w:r w:rsidRPr="002B55E9">
        <w:t>There has not been much focus o</w:t>
      </w:r>
      <w:r>
        <w:t>n</w:t>
      </w:r>
      <w:r w:rsidRPr="002B55E9">
        <w:t xml:space="preserve"> </w:t>
      </w:r>
      <w:proofErr w:type="spellStart"/>
      <w:r w:rsidRPr="002B55E9">
        <w:t>OIA</w:t>
      </w:r>
      <w:proofErr w:type="spellEnd"/>
      <w:r w:rsidRPr="002B55E9">
        <w:t xml:space="preserve"> by </w:t>
      </w:r>
      <w:proofErr w:type="spellStart"/>
      <w:r w:rsidRPr="002B55E9">
        <w:t>MPI</w:t>
      </w:r>
      <w:proofErr w:type="spellEnd"/>
    </w:p>
    <w:p w14:paraId="05B934A3" w14:textId="77777777" w:rsidR="00543A20" w:rsidRDefault="00543A20" w:rsidP="00543A20">
      <w:pPr>
        <w:pStyle w:val="Quotationseparateparagraph"/>
      </w:pPr>
      <w:r w:rsidRPr="002B55E9">
        <w:t>Quite risk averse which dampens transparency and openness of communication</w:t>
      </w:r>
    </w:p>
    <w:p w14:paraId="2D24F94E" w14:textId="77777777" w:rsidR="00543A20" w:rsidRDefault="00543A20" w:rsidP="00543A20">
      <w:pPr>
        <w:pStyle w:val="Quotationseparateparagraph"/>
      </w:pPr>
      <w:r w:rsidRPr="009973CB">
        <w:lastRenderedPageBreak/>
        <w:t>Very risk averse, stick to the rules so will disclose when required, but won't go above and beyond.</w:t>
      </w:r>
    </w:p>
    <w:p w14:paraId="7E7CDFA0" w14:textId="736692CB" w:rsidR="00543A20" w:rsidRDefault="00543A20" w:rsidP="00543A20">
      <w:pPr>
        <w:pStyle w:val="Quotationseparateparagraph"/>
      </w:pPr>
      <w:r w:rsidRPr="00927EE2">
        <w:t xml:space="preserve">I would say that the agency is extremely focused on political management and that can lead to over-use of redaction criteria in </w:t>
      </w:r>
      <w:proofErr w:type="spellStart"/>
      <w:r w:rsidRPr="00927EE2">
        <w:t>OIAs</w:t>
      </w:r>
      <w:proofErr w:type="spellEnd"/>
      <w:r w:rsidRPr="00927EE2">
        <w:t>.</w:t>
      </w:r>
    </w:p>
    <w:p w14:paraId="5823FC4F" w14:textId="77777777" w:rsidR="00543A20" w:rsidRDefault="00543A20" w:rsidP="00543A20">
      <w:pPr>
        <w:pStyle w:val="Quotationseparateparagraph"/>
        <w:tabs>
          <w:tab w:val="center" w:pos="4649"/>
        </w:tabs>
      </w:pPr>
      <w:r>
        <w:t>The overall culture in all aspects is extremely 'risk averse' which means there is a lot of deliberation about disclosure of information.</w:t>
      </w:r>
      <w:r>
        <w:tab/>
      </w:r>
    </w:p>
    <w:p w14:paraId="779359FB" w14:textId="07FFBC68" w:rsidR="00543A20" w:rsidRDefault="00543A20" w:rsidP="00543A20">
      <w:pPr>
        <w:pStyle w:val="Quotationseparateparagraph"/>
      </w:pPr>
      <w:r w:rsidRPr="00206978">
        <w:t xml:space="preserve">I believe that overall </w:t>
      </w:r>
      <w:proofErr w:type="spellStart"/>
      <w:r w:rsidRPr="00206978">
        <w:t>MPI</w:t>
      </w:r>
      <w:proofErr w:type="spellEnd"/>
      <w:r w:rsidRPr="00206978">
        <w:t xml:space="preserve"> places a very large importance on protecting its reputation. This inherently leads to a culture where openness is not the primary concern, and instead 'reputational risk' to </w:t>
      </w:r>
      <w:proofErr w:type="spellStart"/>
      <w:r w:rsidRPr="00206978">
        <w:t>MPI</w:t>
      </w:r>
      <w:proofErr w:type="spellEnd"/>
      <w:r w:rsidRPr="00206978">
        <w:t xml:space="preserve"> itself and the industries it regulates is given more importance. I'm not sure if this comes from a specific part of leadership, and I believe it is more likely that it is institutionali</w:t>
      </w:r>
      <w:r w:rsidR="007619A8">
        <w:t>s</w:t>
      </w:r>
      <w:r w:rsidRPr="00206978">
        <w:t>ed in the culture of the agency.</w:t>
      </w:r>
    </w:p>
    <w:p w14:paraId="50F3976A" w14:textId="38B857A5" w:rsidR="00543A20" w:rsidRDefault="00543A20" w:rsidP="00AD0078">
      <w:pPr>
        <w:pStyle w:val="BodyText"/>
      </w:pPr>
      <w:r>
        <w:t xml:space="preserve">It is important to note that although </w:t>
      </w:r>
      <w:r w:rsidR="00BA2C85">
        <w:t>a perception of risk aversion was prevalent</w:t>
      </w:r>
      <w:r w:rsidR="00603A85">
        <w:t>,</w:t>
      </w:r>
      <w:r w:rsidR="00BA2C85">
        <w:t xml:space="preserve"> it was not universal</w:t>
      </w:r>
      <w:r w:rsidR="001E0BC6">
        <w:t>. S</w:t>
      </w:r>
      <w:r w:rsidR="00BA2C85">
        <w:t xml:space="preserve">ome staff said they considered that the agency </w:t>
      </w:r>
      <w:r w:rsidR="0042690F">
        <w:t xml:space="preserve">to be </w:t>
      </w:r>
      <w:r w:rsidR="00BA2C85">
        <w:t>transparent and open</w:t>
      </w:r>
      <w:r w:rsidR="001E0BC6">
        <w:t>:</w:t>
      </w:r>
    </w:p>
    <w:p w14:paraId="46CA6788" w14:textId="7C9E637C" w:rsidR="00543A20" w:rsidRPr="006B0337" w:rsidRDefault="006B0337" w:rsidP="006B0337">
      <w:pPr>
        <w:pStyle w:val="Quotationseparateparagraph"/>
      </w:pPr>
      <w:r w:rsidRPr="006B0337">
        <w:t xml:space="preserve">My observation is that </w:t>
      </w:r>
      <w:proofErr w:type="spellStart"/>
      <w:r w:rsidRPr="006B0337">
        <w:t>MPI</w:t>
      </w:r>
      <w:proofErr w:type="spellEnd"/>
      <w:r w:rsidRPr="006B0337">
        <w:t xml:space="preserve"> has a culture that emphasises supporting and collaborating with our stakeholders in the primary sector. This culture includes openness and a willingness to share information with our stakeholders.</w:t>
      </w:r>
    </w:p>
    <w:p w14:paraId="65973EBF" w14:textId="4D111E2B" w:rsidR="006B0337" w:rsidRDefault="006B0337" w:rsidP="006B0337">
      <w:pPr>
        <w:pStyle w:val="Quotationseparateparagraph"/>
        <w:tabs>
          <w:tab w:val="center" w:pos="4649"/>
        </w:tabs>
      </w:pPr>
      <w:r w:rsidRPr="00927EE2">
        <w:t xml:space="preserve">Transparency is part of </w:t>
      </w:r>
      <w:proofErr w:type="spellStart"/>
      <w:r w:rsidRPr="00927EE2">
        <w:t>MPI</w:t>
      </w:r>
      <w:proofErr w:type="spellEnd"/>
      <w:r w:rsidRPr="00927EE2">
        <w:t xml:space="preserve"> culture</w:t>
      </w:r>
      <w:r w:rsidR="002956AA">
        <w:t>.</w:t>
      </w:r>
    </w:p>
    <w:p w14:paraId="4D35B857" w14:textId="77777777" w:rsidR="002956AA" w:rsidRPr="00C65D20" w:rsidRDefault="002956AA" w:rsidP="002956AA">
      <w:pPr>
        <w:pStyle w:val="Quotationseparateparagraph"/>
      </w:pPr>
      <w:r w:rsidRPr="00C65D20">
        <w:t xml:space="preserve">What I've observed in my directorate is that we prefer to share information proactively than wait until it's requested under the </w:t>
      </w:r>
      <w:proofErr w:type="spellStart"/>
      <w:r w:rsidRPr="00C65D20">
        <w:t>OIA</w:t>
      </w:r>
      <w:proofErr w:type="spellEnd"/>
      <w:r w:rsidRPr="00C65D20">
        <w:t>.</w:t>
      </w:r>
    </w:p>
    <w:p w14:paraId="240E7DBD" w14:textId="77777777" w:rsidR="00F5376A" w:rsidRPr="00927EE2" w:rsidRDefault="00F5376A" w:rsidP="00F5376A">
      <w:pPr>
        <w:pStyle w:val="Quotationseparateparagraph"/>
      </w:pPr>
      <w:r w:rsidRPr="00927EE2">
        <w:t xml:space="preserve">My experience is that the agency takes careful consideration of public interest and withholding grounds when making </w:t>
      </w:r>
      <w:proofErr w:type="spellStart"/>
      <w:r w:rsidRPr="00927EE2">
        <w:t>OIA</w:t>
      </w:r>
      <w:proofErr w:type="spellEnd"/>
      <w:r w:rsidRPr="00927EE2">
        <w:t xml:space="preserve"> decisions.</w:t>
      </w:r>
    </w:p>
    <w:p w14:paraId="5C0EACA5" w14:textId="77777777" w:rsidR="002956AA" w:rsidRPr="00927EE2" w:rsidRDefault="002956AA" w:rsidP="002956AA">
      <w:pPr>
        <w:pStyle w:val="Quotationseparateparagraph"/>
      </w:pPr>
      <w:r w:rsidRPr="00927EE2">
        <w:t>All very open and transparent.</w:t>
      </w:r>
    </w:p>
    <w:p w14:paraId="0D303869" w14:textId="4718886D" w:rsidR="00CB385B" w:rsidRDefault="002956AA" w:rsidP="00AD0078">
      <w:pPr>
        <w:pStyle w:val="BodyText"/>
      </w:pPr>
      <w:r>
        <w:t>Th</w:t>
      </w:r>
      <w:r w:rsidR="00F44A77">
        <w:t xml:space="preserve">e divergence of views among staff </w:t>
      </w:r>
      <w:r w:rsidR="00ED3888">
        <w:t>demonstrates</w:t>
      </w:r>
      <w:r>
        <w:t xml:space="preserve"> what appears to be an </w:t>
      </w:r>
      <w:r w:rsidR="002F53CF">
        <w:t>inconsistent</w:t>
      </w:r>
      <w:r>
        <w:t xml:space="preserve"> </w:t>
      </w:r>
      <w:proofErr w:type="spellStart"/>
      <w:r w:rsidR="00B7218A">
        <w:t>OIA</w:t>
      </w:r>
      <w:proofErr w:type="spellEnd"/>
      <w:r w:rsidR="00B7218A">
        <w:t xml:space="preserve"> and transparency </w:t>
      </w:r>
      <w:r>
        <w:t>culture within and between different directorates.</w:t>
      </w:r>
      <w:r w:rsidR="00F44A77">
        <w:t xml:space="preserve"> Th</w:t>
      </w:r>
      <w:r w:rsidR="00F44A77" w:rsidRPr="00610AEB">
        <w:t xml:space="preserve">is </w:t>
      </w:r>
      <w:r w:rsidR="00AE4452" w:rsidRPr="00610AEB">
        <w:t xml:space="preserve">may </w:t>
      </w:r>
      <w:r w:rsidR="00F44A77" w:rsidRPr="00610AEB">
        <w:t xml:space="preserve">be expected when there is a lack of consistent messaging about </w:t>
      </w:r>
      <w:r w:rsidR="00B7218A" w:rsidRPr="00610AEB">
        <w:t xml:space="preserve">leadership’s intent and approach to </w:t>
      </w:r>
      <w:r w:rsidR="00F44A77" w:rsidRPr="00610AEB">
        <w:t xml:space="preserve">the </w:t>
      </w:r>
      <w:proofErr w:type="spellStart"/>
      <w:r w:rsidR="00F44A77" w:rsidRPr="00610AEB">
        <w:t>OIA</w:t>
      </w:r>
      <w:proofErr w:type="spellEnd"/>
      <w:r w:rsidR="00F44A77" w:rsidRPr="00610AEB">
        <w:t xml:space="preserve"> and transparency.</w:t>
      </w:r>
    </w:p>
    <w:p w14:paraId="51882887" w14:textId="086EA89B" w:rsidR="00715CF3" w:rsidRDefault="0034531D" w:rsidP="00AD0078">
      <w:pPr>
        <w:pStyle w:val="BodyText"/>
      </w:pPr>
      <w:r>
        <w:t xml:space="preserve">We note that the </w:t>
      </w:r>
      <w:r w:rsidR="00A9524B" w:rsidRPr="002F53CF">
        <w:t>disparate views about</w:t>
      </w:r>
      <w:r w:rsidR="00A9524B">
        <w:t xml:space="preserve"> the agency’s</w:t>
      </w:r>
      <w:r>
        <w:t xml:space="preserve"> approach to transparency may not </w:t>
      </w:r>
      <w:r w:rsidR="00542043" w:rsidRPr="00542043">
        <w:t xml:space="preserve">stem </w:t>
      </w:r>
      <w:r w:rsidR="00542043">
        <w:t>solely</w:t>
      </w:r>
      <w:r w:rsidR="00542043" w:rsidRPr="00542043">
        <w:t xml:space="preserve"> from inconsistent organisational messaging about openness</w:t>
      </w:r>
      <w:r w:rsidR="00542043">
        <w:t>, but also</w:t>
      </w:r>
      <w:r w:rsidR="00542043" w:rsidRPr="00542043">
        <w:t xml:space="preserve"> from the differ</w:t>
      </w:r>
      <w:r w:rsidR="00362FAD">
        <w:t>ent</w:t>
      </w:r>
      <w:r w:rsidR="00542043" w:rsidRPr="00542043">
        <w:t xml:space="preserve"> functions </w:t>
      </w:r>
      <w:r w:rsidR="00642600">
        <w:t>the Ministry’s multiple business</w:t>
      </w:r>
      <w:r w:rsidR="00542043" w:rsidRPr="00542043">
        <w:t xml:space="preserve"> units perform. </w:t>
      </w:r>
      <w:r w:rsidR="00542043">
        <w:t>Areas of the Ministry which</w:t>
      </w:r>
      <w:r w:rsidR="00542043" w:rsidRPr="00542043">
        <w:t xml:space="preserve"> undertak</w:t>
      </w:r>
      <w:r w:rsidR="00542043">
        <w:t>e</w:t>
      </w:r>
      <w:r w:rsidR="00AE4452">
        <w:t xml:space="preserve">, for example, </w:t>
      </w:r>
      <w:r w:rsidR="00542043" w:rsidRPr="00542043">
        <w:t>investigative functions</w:t>
      </w:r>
      <w:r w:rsidR="00542043">
        <w:softHyphen/>
      </w:r>
      <w:r w:rsidR="00AE4452">
        <w:t xml:space="preserve"> </w:t>
      </w:r>
      <w:r w:rsidR="00542043" w:rsidRPr="00542043">
        <w:t xml:space="preserve">will often </w:t>
      </w:r>
      <w:r w:rsidR="00542043">
        <w:t xml:space="preserve">hold </w:t>
      </w:r>
      <w:r w:rsidR="00542043" w:rsidRPr="00542043">
        <w:t xml:space="preserve">information that appropriately </w:t>
      </w:r>
      <w:r w:rsidR="001E3081">
        <w:t>requires</w:t>
      </w:r>
      <w:r w:rsidR="00542043" w:rsidRPr="00542043">
        <w:t xml:space="preserve"> protection</w:t>
      </w:r>
      <w:r w:rsidR="00642600">
        <w:t xml:space="preserve"> under the </w:t>
      </w:r>
      <w:proofErr w:type="spellStart"/>
      <w:r w:rsidR="00642600">
        <w:t>OIA</w:t>
      </w:r>
      <w:proofErr w:type="spellEnd"/>
      <w:r w:rsidR="00542043" w:rsidRPr="00542043">
        <w:t xml:space="preserve">, particularly during active investigations, and this </w:t>
      </w:r>
      <w:r w:rsidR="007619A8">
        <w:t>may</w:t>
      </w:r>
      <w:r w:rsidR="00542043" w:rsidRPr="00542043">
        <w:t xml:space="preserve"> understandably contribute to a more cautious disclosure culture. </w:t>
      </w:r>
    </w:p>
    <w:p w14:paraId="3F6DC13E" w14:textId="524D6D93" w:rsidR="00543A20" w:rsidRDefault="00715CF3" w:rsidP="00AD0078">
      <w:pPr>
        <w:pStyle w:val="BodyText"/>
      </w:pPr>
      <w:r>
        <w:t>P</w:t>
      </w:r>
      <w:r w:rsidR="00542043" w:rsidRPr="00542043">
        <w:t xml:space="preserve">recisely because those environments involve regular consideration </w:t>
      </w:r>
      <w:r w:rsidR="001A5928">
        <w:t>of this type of information</w:t>
      </w:r>
      <w:r w:rsidR="00542043" w:rsidRPr="00542043">
        <w:t xml:space="preserve">, it is critical that staff </w:t>
      </w:r>
      <w:r w:rsidR="00821333">
        <w:t xml:space="preserve">not only </w:t>
      </w:r>
      <w:r w:rsidR="00542043" w:rsidRPr="00542043">
        <w:t xml:space="preserve">have a strong working knowledge of </w:t>
      </w:r>
      <w:r w:rsidR="00821333">
        <w:t xml:space="preserve">the </w:t>
      </w:r>
      <w:proofErr w:type="spellStart"/>
      <w:r w:rsidR="00821333">
        <w:t>OIA</w:t>
      </w:r>
      <w:proofErr w:type="spellEnd"/>
      <w:r w:rsidR="00821333" w:rsidRPr="00542043">
        <w:t xml:space="preserve"> </w:t>
      </w:r>
      <w:r w:rsidR="00072F67">
        <w:t xml:space="preserve">(to be discussed further under </w:t>
      </w:r>
      <w:hyperlink w:anchor="_OIA_training" w:history="1">
        <w:proofErr w:type="spellStart"/>
        <w:r w:rsidR="000D62D1" w:rsidRPr="000D62D1">
          <w:rPr>
            <w:rStyle w:val="Hyperlink"/>
            <w:i/>
            <w:iCs/>
          </w:rPr>
          <w:t>OIA</w:t>
        </w:r>
        <w:proofErr w:type="spellEnd"/>
        <w:r w:rsidR="000D62D1" w:rsidRPr="000D62D1">
          <w:rPr>
            <w:rStyle w:val="Hyperlink"/>
            <w:i/>
            <w:iCs/>
          </w:rPr>
          <w:t xml:space="preserve"> </w:t>
        </w:r>
        <w:r w:rsidR="00072F67" w:rsidRPr="000D62D1">
          <w:rPr>
            <w:rStyle w:val="Hyperlink"/>
            <w:i/>
            <w:iCs/>
          </w:rPr>
          <w:t>Training</w:t>
        </w:r>
      </w:hyperlink>
      <w:r w:rsidR="00072F67">
        <w:t xml:space="preserve">) </w:t>
      </w:r>
      <w:r w:rsidR="00821333" w:rsidRPr="00542043">
        <w:t>but</w:t>
      </w:r>
      <w:r w:rsidR="00821333">
        <w:t xml:space="preserve"> are also supported by a strong organisational culture of transparency. Without that, there is a risk that understandable caution may outweigh the legislative presumption in favour of</w:t>
      </w:r>
      <w:r>
        <w:t xml:space="preserve"> information</w:t>
      </w:r>
      <w:r w:rsidR="00821333">
        <w:t xml:space="preserve"> </w:t>
      </w:r>
      <w:r w:rsidR="009812C0">
        <w:t>release.</w:t>
      </w:r>
      <w:r w:rsidR="00542043" w:rsidRPr="00542043">
        <w:t xml:space="preserve"> </w:t>
      </w:r>
    </w:p>
    <w:p w14:paraId="1399C1B9" w14:textId="1247FB8D" w:rsidR="00B56029" w:rsidRDefault="00B56029" w:rsidP="00AD0078">
      <w:pPr>
        <w:pStyle w:val="BodyText"/>
      </w:pPr>
      <w:r>
        <w:lastRenderedPageBreak/>
        <w:t xml:space="preserve">Ultimately, senior leaders are responsible for shaping organisational attitudes toward transparency and official information. The Director General and senior leaders should more clearly and consistently reinforce the importance of the </w:t>
      </w:r>
      <w:proofErr w:type="spellStart"/>
      <w:r>
        <w:t>OIA</w:t>
      </w:r>
      <w:proofErr w:type="spellEnd"/>
      <w:r>
        <w:t xml:space="preserve"> as a fundamental constitutional mechanism that supports democratic accountability, public participation, and trust in government, and as a core part of the role of public servants.</w:t>
      </w:r>
    </w:p>
    <w:p w14:paraId="374B2CD7" w14:textId="77777777" w:rsidR="00CA6033" w:rsidRDefault="00CA6033" w:rsidP="00AD0078">
      <w:pPr>
        <w:pStyle w:val="BodyText"/>
      </w:pPr>
      <w:r>
        <w:t>Senior leadership messaging is not confined to formal statements to staff; it is also conveyed through:</w:t>
      </w:r>
    </w:p>
    <w:p w14:paraId="6C85B063" w14:textId="558BBC2A" w:rsidR="00CA6033" w:rsidRDefault="00CA6033" w:rsidP="00CA6033">
      <w:pPr>
        <w:pStyle w:val="Bullet1"/>
      </w:pPr>
      <w:r>
        <w:t xml:space="preserve">the priority given to </w:t>
      </w:r>
      <w:proofErr w:type="spellStart"/>
      <w:r>
        <w:t>OIA</w:t>
      </w:r>
      <w:proofErr w:type="spellEnd"/>
      <w:r>
        <w:t xml:space="preserve"> reporting and </w:t>
      </w:r>
      <w:proofErr w:type="gramStart"/>
      <w:r>
        <w:t>oversight;</w:t>
      </w:r>
      <w:proofErr w:type="gramEnd"/>
      <w:r>
        <w:t xml:space="preserve"> </w:t>
      </w:r>
    </w:p>
    <w:p w14:paraId="49EA3EB0" w14:textId="6A3A7516" w:rsidR="00CA6033" w:rsidRDefault="00CA6033" w:rsidP="00CA6033">
      <w:pPr>
        <w:pStyle w:val="Bullet1"/>
      </w:pPr>
      <w:r>
        <w:t xml:space="preserve">the approach senior leaders take when exercising their own responsibilities during the </w:t>
      </w:r>
      <w:proofErr w:type="spellStart"/>
      <w:r>
        <w:t>OIA</w:t>
      </w:r>
      <w:proofErr w:type="spellEnd"/>
      <w:r>
        <w:t xml:space="preserve"> process (such as reviewing, record keeping, and decision-making on </w:t>
      </w:r>
      <w:proofErr w:type="spellStart"/>
      <w:r>
        <w:t>OIA</w:t>
      </w:r>
      <w:proofErr w:type="spellEnd"/>
      <w:r>
        <w:t xml:space="preserve"> responses); and</w:t>
      </w:r>
    </w:p>
    <w:p w14:paraId="765AD73B" w14:textId="3455A048" w:rsidR="00CA6033" w:rsidRDefault="00CA6033" w:rsidP="00CA6033">
      <w:pPr>
        <w:pStyle w:val="Bullet1"/>
      </w:pPr>
      <w:r>
        <w:t xml:space="preserve">the degree of organisational support given to the </w:t>
      </w:r>
      <w:proofErr w:type="spellStart"/>
      <w:r>
        <w:t>OIA</w:t>
      </w:r>
      <w:proofErr w:type="spellEnd"/>
      <w:r>
        <w:t xml:space="preserve"> function through policies, training, resourcing, and capability development.</w:t>
      </w:r>
    </w:p>
    <w:p w14:paraId="633EC425" w14:textId="0C9D2228" w:rsidR="00CA6033" w:rsidRDefault="00CA6033" w:rsidP="00CA6033">
      <w:pPr>
        <w:pStyle w:val="BodyText"/>
      </w:pPr>
      <w:r>
        <w:t xml:space="preserve">Collectively, these actions send powerful signals to staff about the value </w:t>
      </w:r>
      <w:r w:rsidR="00126954">
        <w:t>an agency places on openness and transparency.</w:t>
      </w:r>
      <w:r w:rsidR="00333605">
        <w:t xml:space="preserve"> We are encouraged, therefore, by the Director General’s response to </w:t>
      </w:r>
      <w:r w:rsidR="00614F0F">
        <w:t xml:space="preserve">my </w:t>
      </w:r>
      <w:r w:rsidR="00333605">
        <w:t xml:space="preserve">provisional opinion in which he affirmed that </w:t>
      </w:r>
      <w:r w:rsidR="00333605" w:rsidRPr="00333605">
        <w:rPr>
          <w:rStyle w:val="Quotationwithinthesentence"/>
        </w:rPr>
        <w:t>‘</w:t>
      </w:r>
      <w:proofErr w:type="spellStart"/>
      <w:r w:rsidR="00333605" w:rsidRPr="00333605">
        <w:rPr>
          <w:rStyle w:val="Quotationwithinthesentence"/>
        </w:rPr>
        <w:t>MPI</w:t>
      </w:r>
      <w:proofErr w:type="spellEnd"/>
      <w:r w:rsidR="00333605" w:rsidRPr="00333605">
        <w:rPr>
          <w:rStyle w:val="Quotationwithinthesentence"/>
        </w:rPr>
        <w:t xml:space="preserve"> will continue to strengthen expectations around transparency, to ensure the role of the </w:t>
      </w:r>
      <w:proofErr w:type="spellStart"/>
      <w:r w:rsidR="00333605" w:rsidRPr="00333605">
        <w:rPr>
          <w:rStyle w:val="Quotationwithinthesentence"/>
        </w:rPr>
        <w:t>OIA</w:t>
      </w:r>
      <w:proofErr w:type="spellEnd"/>
      <w:r w:rsidR="00333605" w:rsidRPr="00333605">
        <w:rPr>
          <w:rStyle w:val="Quotationwithinthesentence"/>
        </w:rPr>
        <w:t xml:space="preserve"> </w:t>
      </w:r>
      <w:r w:rsidR="006616C2">
        <w:rPr>
          <w:rStyle w:val="Quotationwithinthesentence"/>
        </w:rPr>
        <w:t xml:space="preserve">is </w:t>
      </w:r>
      <w:r w:rsidR="00333605" w:rsidRPr="00333605">
        <w:rPr>
          <w:rStyle w:val="Quotationwithinthesentence"/>
        </w:rPr>
        <w:t xml:space="preserve">clearly understood and embedded across the Ministry.’ </w:t>
      </w:r>
      <w:r w:rsidR="00333605">
        <w:t xml:space="preserve">He also noted that he intended to work with his leadership team on </w:t>
      </w:r>
      <w:r w:rsidR="00333605" w:rsidRPr="00333605">
        <w:rPr>
          <w:rStyle w:val="Quotationwithinthesentence"/>
        </w:rPr>
        <w:t xml:space="preserve">‘how the importance of the </w:t>
      </w:r>
      <w:proofErr w:type="spellStart"/>
      <w:r w:rsidR="00333605" w:rsidRPr="00333605">
        <w:rPr>
          <w:rStyle w:val="Quotationwithinthesentence"/>
        </w:rPr>
        <w:t>OIA</w:t>
      </w:r>
      <w:proofErr w:type="spellEnd"/>
      <w:r w:rsidR="00333605" w:rsidRPr="00333605">
        <w:rPr>
          <w:rStyle w:val="Quotationwithinthesentence"/>
        </w:rPr>
        <w:t xml:space="preserve"> can be reinforced across the organisation’ </w:t>
      </w:r>
      <w:r w:rsidR="00333605" w:rsidRPr="002A6DDF">
        <w:t xml:space="preserve">and that he intended to </w:t>
      </w:r>
      <w:r w:rsidR="00333605" w:rsidRPr="00333605">
        <w:rPr>
          <w:rStyle w:val="Quotationwithinthesentence"/>
        </w:rPr>
        <w:t>‘reinforce this through my regular engagement with staff, including my weekly updates’.</w:t>
      </w:r>
    </w:p>
    <w:tbl>
      <w:tblPr>
        <w:tblStyle w:val="TableGrid"/>
        <w:tblW w:w="935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665815" w14:paraId="2C9AAB35" w14:textId="77777777" w:rsidTr="00A3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2BB673" w:themeFill="accent1"/>
          </w:tcPr>
          <w:p w14:paraId="56FFC0F7" w14:textId="77777777" w:rsidR="00665815" w:rsidRDefault="00665815">
            <w:pPr>
              <w:pStyle w:val="Headingboxtexttop"/>
            </w:pPr>
            <w:r w:rsidRPr="00A34772">
              <w:rPr>
                <w:color w:val="auto"/>
              </w:rPr>
              <w:t>Action point</w:t>
            </w:r>
            <w:r w:rsidRPr="00AE51DF">
              <w:rPr>
                <w:color w:val="FFFFFF" w:themeColor="background1"/>
              </w:rPr>
              <w:t xml:space="preserve"> </w:t>
            </w:r>
          </w:p>
        </w:tc>
      </w:tr>
      <w:tr w:rsidR="00665815" w14:paraId="518C56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44A6E42C" w14:textId="3BD94A48" w:rsidR="00665815" w:rsidRDefault="00175571">
            <w:pPr>
              <w:pStyle w:val="BodyText"/>
            </w:pPr>
            <w:r>
              <w:t xml:space="preserve">The Director General and senior leaders should reinforce the importance of the </w:t>
            </w:r>
            <w:proofErr w:type="spellStart"/>
            <w:r>
              <w:t>OIA</w:t>
            </w:r>
            <w:proofErr w:type="spellEnd"/>
            <w:r>
              <w:t xml:space="preserve"> </w:t>
            </w:r>
            <w:r w:rsidR="002079B3">
              <w:t xml:space="preserve">through clear and consistent messaging, and through their actions and oversight </w:t>
            </w:r>
            <w:r w:rsidR="003C70C1">
              <w:t>of</w:t>
            </w:r>
            <w:r w:rsidR="002079B3">
              <w:t xml:space="preserve"> the </w:t>
            </w:r>
            <w:proofErr w:type="spellStart"/>
            <w:r w:rsidR="002079B3">
              <w:t>OIA</w:t>
            </w:r>
            <w:proofErr w:type="spellEnd"/>
            <w:r w:rsidR="002079B3">
              <w:t xml:space="preserve"> process.</w:t>
            </w:r>
          </w:p>
        </w:tc>
      </w:tr>
    </w:tbl>
    <w:p w14:paraId="0FE3645C" w14:textId="77777777" w:rsidR="00665815" w:rsidRDefault="00665815" w:rsidP="007619A8">
      <w:pPr>
        <w:pStyle w:val="Whitespace"/>
      </w:pPr>
    </w:p>
    <w:p w14:paraId="327C3E1C" w14:textId="01573882" w:rsidR="00F826FC" w:rsidRDefault="00715CF3" w:rsidP="00715CF3">
      <w:pPr>
        <w:pStyle w:val="Heading3"/>
      </w:pPr>
      <w:bookmarkStart w:id="21" w:name="_Toc239154199"/>
      <w:r>
        <w:t xml:space="preserve">Strengthening positive </w:t>
      </w:r>
      <w:proofErr w:type="spellStart"/>
      <w:r w:rsidR="00B7218A">
        <w:t>OIA</w:t>
      </w:r>
      <w:proofErr w:type="spellEnd"/>
      <w:r w:rsidR="00B7218A">
        <w:t xml:space="preserve"> </w:t>
      </w:r>
      <w:r>
        <w:t>messaging to staff</w:t>
      </w:r>
      <w:bookmarkEnd w:id="21"/>
    </w:p>
    <w:p w14:paraId="7497A5E8" w14:textId="6F13B602" w:rsidR="00B8639C" w:rsidRDefault="00B8639C" w:rsidP="00B8639C">
      <w:pPr>
        <w:pStyle w:val="BodyText"/>
      </w:pPr>
      <w:r>
        <w:t xml:space="preserve">While we identified limited agency-wide messaging and leadership emphasis on the </w:t>
      </w:r>
      <w:proofErr w:type="spellStart"/>
      <w:r>
        <w:t>OIA</w:t>
      </w:r>
      <w:proofErr w:type="spellEnd"/>
      <w:r>
        <w:t xml:space="preserve">, this should not be taken to suggest a lack of commitment to the </w:t>
      </w:r>
      <w:proofErr w:type="spellStart"/>
      <w:r>
        <w:t>OIA</w:t>
      </w:r>
      <w:proofErr w:type="spellEnd"/>
      <w:r w:rsidR="00A02572">
        <w:t xml:space="preserve"> and transparency</w:t>
      </w:r>
      <w:r>
        <w:t xml:space="preserve"> among staff more broadly. During interviews, we encountered staff who demonstrated a strong</w:t>
      </w:r>
      <w:r w:rsidR="00D47AB7">
        <w:t xml:space="preserve"> </w:t>
      </w:r>
      <w:r>
        <w:t>commitment to the principle</w:t>
      </w:r>
      <w:r w:rsidR="00A02572">
        <w:t xml:space="preserve"> and purposes</w:t>
      </w:r>
      <w:r>
        <w:t xml:space="preserve"> of the </w:t>
      </w:r>
      <w:proofErr w:type="spellStart"/>
      <w:r w:rsidR="00A02572">
        <w:t>OIA</w:t>
      </w:r>
      <w:proofErr w:type="spellEnd"/>
      <w:r>
        <w:t xml:space="preserve">. This was also reflected in </w:t>
      </w:r>
      <w:proofErr w:type="gramStart"/>
      <w:r w:rsidR="00E718E6">
        <w:t>a number</w:t>
      </w:r>
      <w:r w:rsidR="000701F9">
        <w:t xml:space="preserve"> of</w:t>
      </w:r>
      <w:proofErr w:type="gramEnd"/>
      <w:r w:rsidR="000701F9">
        <w:t xml:space="preserve"> the</w:t>
      </w:r>
      <w:r>
        <w:t xml:space="preserve"> </w:t>
      </w:r>
      <w:proofErr w:type="spellStart"/>
      <w:r>
        <w:t>OIA</w:t>
      </w:r>
      <w:proofErr w:type="spellEnd"/>
      <w:r>
        <w:t xml:space="preserve"> files</w:t>
      </w:r>
      <w:r w:rsidR="000701F9">
        <w:t xml:space="preserve"> we reviewed</w:t>
      </w:r>
      <w:r>
        <w:t>, where staff often took considerable care to identify and obtain all relevant information to support full and accurate responses.</w:t>
      </w:r>
    </w:p>
    <w:p w14:paraId="4513F520" w14:textId="421A0F2E" w:rsidR="00D529A0" w:rsidRDefault="00B8639C" w:rsidP="00B8639C">
      <w:pPr>
        <w:pStyle w:val="BodyText"/>
      </w:pPr>
      <w:r>
        <w:t xml:space="preserve">Stronger and more consistent leadership </w:t>
      </w:r>
      <w:r w:rsidR="00F52EC1">
        <w:t>messag</w:t>
      </w:r>
      <w:r>
        <w:t xml:space="preserve">ing about the importance of the </w:t>
      </w:r>
      <w:proofErr w:type="spellStart"/>
      <w:r>
        <w:t>OIA</w:t>
      </w:r>
      <w:proofErr w:type="spellEnd"/>
      <w:r>
        <w:t xml:space="preserve"> would not need to create a culture of openness from </w:t>
      </w:r>
      <w:r w:rsidR="000D62D1">
        <w:t>scratch but</w:t>
      </w:r>
      <w:r>
        <w:t xml:space="preserve"> could build on and reinforce </w:t>
      </w:r>
      <w:r w:rsidR="001B13B0">
        <w:t xml:space="preserve">some of </w:t>
      </w:r>
      <w:r>
        <w:t>the good practices already evident</w:t>
      </w:r>
      <w:r w:rsidR="001B13B0">
        <w:t xml:space="preserve"> and further bolster the understanding of the </w:t>
      </w:r>
      <w:proofErr w:type="spellStart"/>
      <w:r w:rsidR="001B13B0">
        <w:t>OIA</w:t>
      </w:r>
      <w:proofErr w:type="spellEnd"/>
      <w:r w:rsidR="001B13B0">
        <w:t xml:space="preserve"> as being a part of </w:t>
      </w:r>
      <w:r w:rsidR="007D72EE">
        <w:t xml:space="preserve">the </w:t>
      </w:r>
      <w:r w:rsidR="001B13B0">
        <w:t xml:space="preserve">core business </w:t>
      </w:r>
      <w:r w:rsidR="007D72EE">
        <w:t>of</w:t>
      </w:r>
      <w:r w:rsidR="001B13B0">
        <w:t xml:space="preserve"> pub</w:t>
      </w:r>
      <w:r w:rsidR="000701F9">
        <w:t>l</w:t>
      </w:r>
      <w:r w:rsidR="001B13B0">
        <w:t>i</w:t>
      </w:r>
      <w:r w:rsidR="000701F9">
        <w:t>c</w:t>
      </w:r>
      <w:r w:rsidR="001B13B0">
        <w:t xml:space="preserve"> service</w:t>
      </w:r>
      <w:r w:rsidR="007D72EE">
        <w:t>, and a tool for building public trust.</w:t>
      </w:r>
    </w:p>
    <w:p w14:paraId="0D1FA5CC" w14:textId="103A05E8" w:rsidR="00072693" w:rsidRPr="00072693" w:rsidRDefault="004176E8" w:rsidP="00072693">
      <w:pPr>
        <w:pStyle w:val="BodyText"/>
      </w:pPr>
      <w:r w:rsidRPr="004176E8">
        <w:t>The Ministry has mechanisms to promote certain practices and processes that it w</w:t>
      </w:r>
      <w:r w:rsidR="0072072D">
        <w:t>ishes</w:t>
      </w:r>
      <w:r w:rsidRPr="004176E8">
        <w:t xml:space="preserve"> to emphasise to staff. </w:t>
      </w:r>
      <w:r>
        <w:t xml:space="preserve">In its response to our agency questionnaire the Ministry highlighted two </w:t>
      </w:r>
      <w:r>
        <w:lastRenderedPageBreak/>
        <w:t xml:space="preserve">campaigns in particular – an annual training module on Information Management, and a training module for the Ministry’s refreshed Code of Conduct. </w:t>
      </w:r>
      <w:r w:rsidR="00072693" w:rsidRPr="00072693">
        <w:t>We were encouraged to see the agency using regular campaigns and communications to reinforce expectations around information management and staff conduct.</w:t>
      </w:r>
      <w:r w:rsidR="00DF4D9C">
        <w:t xml:space="preserve"> </w:t>
      </w:r>
      <w:r w:rsidR="00072693" w:rsidRPr="00072693">
        <w:t>These initiatives demonstrate an existing organisational commitment to promoting good administrative practice and supporting staff awareness of their responsibilities</w:t>
      </w:r>
      <w:r w:rsidR="008B3B09">
        <w:t xml:space="preserve"> as public servants</w:t>
      </w:r>
      <w:r w:rsidR="00072693" w:rsidRPr="00072693">
        <w:t xml:space="preserve">. We note that both campaigns touch on </w:t>
      </w:r>
      <w:proofErr w:type="spellStart"/>
      <w:r w:rsidR="00072693" w:rsidRPr="00072693">
        <w:t>OIA</w:t>
      </w:r>
      <w:proofErr w:type="spellEnd"/>
      <w:r w:rsidR="00072693" w:rsidRPr="00072693">
        <w:t xml:space="preserve">-related concepts at a high level, including the handling of official information and expectations of </w:t>
      </w:r>
      <w:r w:rsidR="008B3B09">
        <w:t xml:space="preserve">compliance with legislation relevant to the Ministry, which includes the </w:t>
      </w:r>
      <w:proofErr w:type="spellStart"/>
      <w:r w:rsidR="008B3B09">
        <w:t>OIA</w:t>
      </w:r>
      <w:proofErr w:type="spellEnd"/>
      <w:r w:rsidR="00072693" w:rsidRPr="00072693">
        <w:t>.</w:t>
      </w:r>
    </w:p>
    <w:p w14:paraId="12283551" w14:textId="389B0C64" w:rsidR="00072693" w:rsidRPr="00072693" w:rsidRDefault="0072072D" w:rsidP="00072693">
      <w:pPr>
        <w:pStyle w:val="BodyText"/>
      </w:pPr>
      <w:r>
        <w:t>We</w:t>
      </w:r>
      <w:r w:rsidR="00227CF0">
        <w:t xml:space="preserve"> note that </w:t>
      </w:r>
      <w:r w:rsidR="00072693" w:rsidRPr="00072693">
        <w:t xml:space="preserve">these existing campaigns </w:t>
      </w:r>
      <w:r w:rsidR="00227CF0">
        <w:t xml:space="preserve">could </w:t>
      </w:r>
      <w:r w:rsidR="00072693" w:rsidRPr="00072693">
        <w:t xml:space="preserve">provide a useful foundation on which the agency could </w:t>
      </w:r>
      <w:r w:rsidR="00227CF0">
        <w:t>develop</w:t>
      </w:r>
      <w:r w:rsidR="00072693" w:rsidRPr="00072693">
        <w:t xml:space="preserve"> </w:t>
      </w:r>
      <w:r w:rsidR="00227CF0">
        <w:t xml:space="preserve">a </w:t>
      </w:r>
      <w:r w:rsidR="00072693" w:rsidRPr="00072693">
        <w:t xml:space="preserve">focus on </w:t>
      </w:r>
      <w:r w:rsidR="008B3B09">
        <w:t xml:space="preserve">the obligations conferred by the </w:t>
      </w:r>
      <w:proofErr w:type="spellStart"/>
      <w:r w:rsidR="00227CF0">
        <w:t>OIA</w:t>
      </w:r>
      <w:proofErr w:type="spellEnd"/>
      <w:r w:rsidR="008B3B09">
        <w:t xml:space="preserve"> and its principle, purposes, and constitutional importance</w:t>
      </w:r>
      <w:r w:rsidR="00072693" w:rsidRPr="00072693">
        <w:t>.</w:t>
      </w:r>
    </w:p>
    <w:p w14:paraId="2B920C5D" w14:textId="719032BD" w:rsidR="00072693" w:rsidRDefault="00072693" w:rsidP="00072693">
      <w:pPr>
        <w:pStyle w:val="BodyText"/>
      </w:pPr>
      <w:r w:rsidRPr="00072693">
        <w:t xml:space="preserve">For example, the </w:t>
      </w:r>
      <w:r w:rsidR="00CF6628">
        <w:t>Ministry</w:t>
      </w:r>
      <w:r w:rsidRPr="00072693">
        <w:t xml:space="preserve"> could consider </w:t>
      </w:r>
      <w:r w:rsidR="00227CF0">
        <w:t xml:space="preserve">enhancing the </w:t>
      </w:r>
      <w:proofErr w:type="spellStart"/>
      <w:r w:rsidR="00227CF0">
        <w:t>OIA</w:t>
      </w:r>
      <w:proofErr w:type="spellEnd"/>
      <w:r w:rsidR="00227CF0">
        <w:t xml:space="preserve"> focus within these existing campaigns, leveraging the natural link</w:t>
      </w:r>
      <w:r w:rsidR="00CF6628">
        <w:t>s</w:t>
      </w:r>
      <w:r w:rsidR="00227CF0">
        <w:t xml:space="preserve"> between</w:t>
      </w:r>
      <w:r w:rsidR="00CF6628">
        <w:t xml:space="preserve"> the </w:t>
      </w:r>
      <w:proofErr w:type="spellStart"/>
      <w:r w:rsidR="00CF6628">
        <w:t>OIA</w:t>
      </w:r>
      <w:proofErr w:type="spellEnd"/>
      <w:r w:rsidR="00CF6628">
        <w:t>, and</w:t>
      </w:r>
      <w:r w:rsidR="00227CF0">
        <w:t xml:space="preserve"> </w:t>
      </w:r>
      <w:r w:rsidR="00CF6628">
        <w:t>both information management and public service code of conduct. Alternatively—or in addition—</w:t>
      </w:r>
      <w:r w:rsidR="00CF6628">
        <w:softHyphen/>
        <w:t xml:space="preserve">the Ministry could use these annual campaigns as a model for developing a similar, </w:t>
      </w:r>
      <w:proofErr w:type="spellStart"/>
      <w:r w:rsidR="00CF6628">
        <w:t>OIA</w:t>
      </w:r>
      <w:proofErr w:type="spellEnd"/>
      <w:r w:rsidR="00CF6628">
        <w:t>-focused</w:t>
      </w:r>
      <w:r w:rsidR="00227CF0">
        <w:t xml:space="preserve"> </w:t>
      </w:r>
      <w:r w:rsidRPr="00072693">
        <w:t xml:space="preserve">awareness initiative operating alongside them. </w:t>
      </w:r>
    </w:p>
    <w:p w14:paraId="072259F7" w14:textId="59BA8384" w:rsidR="006616C2" w:rsidRDefault="00C062B5" w:rsidP="00072693">
      <w:pPr>
        <w:pStyle w:val="BodyText"/>
      </w:pPr>
      <w:r>
        <w:t>We are</w:t>
      </w:r>
      <w:r w:rsidR="006616C2">
        <w:t xml:space="preserve"> pleased that the Ministry is already turning its mind to how this may be implemented, with the Director General noting, in response to </w:t>
      </w:r>
      <w:r w:rsidR="00A12D0A">
        <w:t>my</w:t>
      </w:r>
      <w:r w:rsidR="006616C2">
        <w:t xml:space="preserve"> provisional opinion: </w:t>
      </w:r>
    </w:p>
    <w:p w14:paraId="7DF697E8" w14:textId="16E06282" w:rsidR="006616C2" w:rsidRPr="003823CF" w:rsidRDefault="006616C2" w:rsidP="003823CF">
      <w:pPr>
        <w:pStyle w:val="Quotationseparateparagraph"/>
      </w:pPr>
      <w:r w:rsidRPr="003823CF">
        <w:t xml:space="preserve">I will ask the Learning and Development team at </w:t>
      </w:r>
      <w:proofErr w:type="spellStart"/>
      <w:r w:rsidRPr="003823CF">
        <w:t>MPI</w:t>
      </w:r>
      <w:proofErr w:type="spellEnd"/>
      <w:r w:rsidRPr="003823CF">
        <w:t xml:space="preserve"> to assess existing training programs and identify areas where </w:t>
      </w:r>
      <w:proofErr w:type="spellStart"/>
      <w:r w:rsidRPr="003823CF">
        <w:t>OIA</w:t>
      </w:r>
      <w:proofErr w:type="spellEnd"/>
      <w:r w:rsidRPr="003823CF">
        <w:t xml:space="preserve"> content could be in</w:t>
      </w:r>
      <w:r w:rsidR="0056624F" w:rsidRPr="003823CF">
        <w:t>c</w:t>
      </w:r>
      <w:r w:rsidRPr="003823CF">
        <w:t xml:space="preserve">luded or expanded. I will also ask the Learning and Development team to promote awareness of </w:t>
      </w:r>
      <w:proofErr w:type="spellStart"/>
      <w:r w:rsidRPr="003823CF">
        <w:t>Te</w:t>
      </w:r>
      <w:proofErr w:type="spellEnd"/>
      <w:r w:rsidRPr="003823CF">
        <w:t xml:space="preserve"> Puna </w:t>
      </w:r>
      <w:proofErr w:type="spellStart"/>
      <w:r w:rsidRPr="003823CF">
        <w:t>Mātauranga</w:t>
      </w:r>
      <w:proofErr w:type="spellEnd"/>
      <w:r w:rsidRPr="003823CF">
        <w:t xml:space="preserve"> amongst </w:t>
      </w:r>
      <w:proofErr w:type="spellStart"/>
      <w:r w:rsidRPr="003823CF">
        <w:t>MPI</w:t>
      </w:r>
      <w:proofErr w:type="spellEnd"/>
      <w:r w:rsidRPr="003823CF">
        <w:t xml:space="preserve"> staff and management.</w:t>
      </w:r>
    </w:p>
    <w:tbl>
      <w:tblPr>
        <w:tblStyle w:val="TableGrid"/>
        <w:tblW w:w="935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795492" w14:paraId="01FE0A34" w14:textId="77777777" w:rsidTr="00A3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2BB673" w:themeFill="accent1"/>
          </w:tcPr>
          <w:p w14:paraId="419B6853" w14:textId="77777777" w:rsidR="00795492" w:rsidRDefault="00795492" w:rsidP="00243E62">
            <w:pPr>
              <w:pStyle w:val="Headingboxtexttop"/>
            </w:pPr>
            <w:r w:rsidRPr="00A34772">
              <w:rPr>
                <w:color w:val="auto"/>
              </w:rPr>
              <w:t xml:space="preserve">Action point </w:t>
            </w:r>
          </w:p>
        </w:tc>
      </w:tr>
      <w:tr w:rsidR="00795492" w14:paraId="0F802EAE" w14:textId="77777777" w:rsidTr="00243E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09DA1C66" w14:textId="5556CF82" w:rsidR="00795492" w:rsidRDefault="00795492" w:rsidP="00243E62">
            <w:pPr>
              <w:pStyle w:val="BodyText"/>
            </w:pPr>
            <w:r>
              <w:t xml:space="preserve">Consider </w:t>
            </w:r>
            <w:r w:rsidR="0018282B">
              <w:t xml:space="preserve">enhancing </w:t>
            </w:r>
            <w:proofErr w:type="spellStart"/>
            <w:r w:rsidR="0018282B">
              <w:t>OIA</w:t>
            </w:r>
            <w:proofErr w:type="spellEnd"/>
            <w:r w:rsidR="0018282B">
              <w:t xml:space="preserve"> content in existing information management and code of conduct training and/or using th</w:t>
            </w:r>
            <w:r w:rsidR="002F1F91">
              <w:t>ese</w:t>
            </w:r>
            <w:r w:rsidR="0018282B">
              <w:t xml:space="preserve"> campaigns as a model for a similar, </w:t>
            </w:r>
            <w:proofErr w:type="spellStart"/>
            <w:r w:rsidR="0018282B">
              <w:t>OIA</w:t>
            </w:r>
            <w:proofErr w:type="spellEnd"/>
            <w:r w:rsidR="0018282B">
              <w:t>-focused campaign to operate alongside them.</w:t>
            </w:r>
          </w:p>
        </w:tc>
      </w:tr>
    </w:tbl>
    <w:p w14:paraId="76AC0F1F" w14:textId="77777777" w:rsidR="00795492" w:rsidRPr="00072693" w:rsidRDefault="00795492" w:rsidP="00A00316">
      <w:pPr>
        <w:pStyle w:val="Whitespace"/>
      </w:pPr>
    </w:p>
    <w:p w14:paraId="258238DF" w14:textId="0C07A48E" w:rsidR="003A752B" w:rsidRDefault="003A752B" w:rsidP="00B428DB">
      <w:pPr>
        <w:pStyle w:val="Heading3"/>
      </w:pPr>
      <w:bookmarkStart w:id="22" w:name="_Toc239154200"/>
      <w:bookmarkStart w:id="23" w:name="_Toc229060795"/>
      <w:r>
        <w:t xml:space="preserve">Providing tools to support a robust </w:t>
      </w:r>
      <w:proofErr w:type="spellStart"/>
      <w:r>
        <w:t>OIA</w:t>
      </w:r>
      <w:proofErr w:type="spellEnd"/>
      <w:r>
        <w:t xml:space="preserve"> process</w:t>
      </w:r>
      <w:bookmarkEnd w:id="22"/>
    </w:p>
    <w:p w14:paraId="5E2F8062" w14:textId="68B28B4A" w:rsidR="00F52EC1" w:rsidRPr="00F52EC1" w:rsidRDefault="00F52EC1" w:rsidP="00F52EC1">
      <w:pPr>
        <w:pStyle w:val="BodyText"/>
      </w:pPr>
      <w:r>
        <w:t xml:space="preserve">Messaging about the </w:t>
      </w:r>
      <w:proofErr w:type="spellStart"/>
      <w:r>
        <w:t>OIA</w:t>
      </w:r>
      <w:proofErr w:type="spellEnd"/>
      <w:r>
        <w:t xml:space="preserve"> is not always explicit – </w:t>
      </w:r>
      <w:bookmarkStart w:id="24" w:name="_Hlk230093599"/>
      <w:r>
        <w:t xml:space="preserve">the emphasis given by senior leaders to building and maintaining the resources, policies and training required to service a well-functioning </w:t>
      </w:r>
      <w:proofErr w:type="spellStart"/>
      <w:r>
        <w:t>OIA</w:t>
      </w:r>
      <w:proofErr w:type="spellEnd"/>
      <w:r>
        <w:t xml:space="preserve"> system</w:t>
      </w:r>
      <w:r w:rsidR="00357394">
        <w:t xml:space="preserve"> is a signal to staff about the importance they place on the </w:t>
      </w:r>
      <w:proofErr w:type="spellStart"/>
      <w:r w:rsidR="00357394">
        <w:t>OIA</w:t>
      </w:r>
      <w:proofErr w:type="spellEnd"/>
      <w:r>
        <w:t>.</w:t>
      </w:r>
    </w:p>
    <w:p w14:paraId="3DC32D99" w14:textId="415EF50D" w:rsidR="00B7218A" w:rsidRDefault="00311767" w:rsidP="00B7218A">
      <w:pPr>
        <w:pStyle w:val="Heading4"/>
      </w:pPr>
      <w:bookmarkStart w:id="25" w:name="_OIA_training"/>
      <w:bookmarkEnd w:id="24"/>
      <w:bookmarkEnd w:id="25"/>
      <w:proofErr w:type="spellStart"/>
      <w:r>
        <w:t>OIA</w:t>
      </w:r>
      <w:proofErr w:type="spellEnd"/>
      <w:r>
        <w:t xml:space="preserve"> t</w:t>
      </w:r>
      <w:r w:rsidR="00B7218A">
        <w:t>raining</w:t>
      </w:r>
      <w:bookmarkEnd w:id="23"/>
    </w:p>
    <w:p w14:paraId="48244965" w14:textId="4A298B46" w:rsidR="000E3084" w:rsidRDefault="000E3084" w:rsidP="000E3084">
      <w:pPr>
        <w:pStyle w:val="BodyText"/>
      </w:pPr>
      <w:r>
        <w:t>We expect that senior leaders model an internal culture where all staff are trained to the appropriate level for their job on official information policies and procedures and understand the</w:t>
      </w:r>
      <w:r w:rsidR="00357394">
        <w:t xml:space="preserve">ir obligations under the </w:t>
      </w:r>
      <w:proofErr w:type="spellStart"/>
      <w:r w:rsidR="00357394">
        <w:t>OIA</w:t>
      </w:r>
      <w:proofErr w:type="spellEnd"/>
      <w:r w:rsidR="00357394">
        <w:t>.</w:t>
      </w:r>
    </w:p>
    <w:p w14:paraId="3E57B305" w14:textId="2F61F839" w:rsidR="00D95216" w:rsidRPr="00D95216" w:rsidRDefault="00D95216" w:rsidP="00D95216">
      <w:pPr>
        <w:pStyle w:val="BodyText"/>
      </w:pPr>
      <w:r w:rsidRPr="00D95216">
        <w:t xml:space="preserve">SMEs should be adequately trained on the </w:t>
      </w:r>
      <w:proofErr w:type="spellStart"/>
      <w:r w:rsidRPr="00D95216">
        <w:t>OIA</w:t>
      </w:r>
      <w:proofErr w:type="spellEnd"/>
      <w:r w:rsidRPr="00D95216">
        <w:t xml:space="preserve"> in order that they can meaningfully participate in discussions about whether information should be released or withheld, and weighing the public interest in releasing information. Similarly, decision makers—meaning </w:t>
      </w:r>
      <w:proofErr w:type="spellStart"/>
      <w:r w:rsidRPr="00D95216">
        <w:t>OIA</w:t>
      </w:r>
      <w:proofErr w:type="spellEnd"/>
      <w:r w:rsidRPr="00D95216">
        <w:t xml:space="preserve"> signatories</w:t>
      </w:r>
      <w:r w:rsidRPr="00D95216">
        <w:softHyphen/>
        <w:t xml:space="preserve">— </w:t>
      </w:r>
      <w:r w:rsidRPr="00D95216">
        <w:lastRenderedPageBreak/>
        <w:t xml:space="preserve">must have a sound understanding of technical aspects of the </w:t>
      </w:r>
      <w:proofErr w:type="spellStart"/>
      <w:r w:rsidRPr="00D95216">
        <w:t>OIA</w:t>
      </w:r>
      <w:proofErr w:type="spellEnd"/>
      <w:r w:rsidR="00B041AF">
        <w:t xml:space="preserve"> so that they can make accurate and well-informed decisions </w:t>
      </w:r>
      <w:r w:rsidR="00E718E6">
        <w:t xml:space="preserve">aligned </w:t>
      </w:r>
      <w:r w:rsidR="00B041AF">
        <w:t xml:space="preserve">with the </w:t>
      </w:r>
      <w:proofErr w:type="spellStart"/>
      <w:r w:rsidR="00B041AF">
        <w:t>OIA</w:t>
      </w:r>
      <w:proofErr w:type="spellEnd"/>
      <w:r w:rsidRPr="00D95216">
        <w:t xml:space="preserve">. As public servants, all staff should have an awareness of the constitutional importance of the </w:t>
      </w:r>
      <w:proofErr w:type="spellStart"/>
      <w:r w:rsidRPr="00D95216">
        <w:t>OIA</w:t>
      </w:r>
      <w:proofErr w:type="spellEnd"/>
      <w:r w:rsidRPr="00D95216">
        <w:t xml:space="preserve"> and their role in that process. </w:t>
      </w:r>
    </w:p>
    <w:p w14:paraId="03B92299" w14:textId="107FC5F5" w:rsidR="00B7218A" w:rsidRDefault="000239B4" w:rsidP="00B7218A">
      <w:pPr>
        <w:pStyle w:val="BodyText"/>
      </w:pPr>
      <w:r>
        <w:t xml:space="preserve">A program of </w:t>
      </w:r>
      <w:proofErr w:type="spellStart"/>
      <w:r>
        <w:t>OIA</w:t>
      </w:r>
      <w:proofErr w:type="spellEnd"/>
      <w:r>
        <w:t xml:space="preserve"> t</w:t>
      </w:r>
      <w:r w:rsidR="00B7218A">
        <w:t xml:space="preserve">raining </w:t>
      </w:r>
      <w:r w:rsidR="003D18E5">
        <w:t xml:space="preserve">for </w:t>
      </w:r>
      <w:r w:rsidR="00B7218A">
        <w:t>staff should include:</w:t>
      </w:r>
    </w:p>
    <w:p w14:paraId="7070FD27" w14:textId="748A9B45" w:rsidR="00B7218A" w:rsidRDefault="00B7218A" w:rsidP="00B7218A">
      <w:pPr>
        <w:pStyle w:val="Bullet1"/>
      </w:pPr>
      <w:r>
        <w:t>training at induction (including training on information management and record</w:t>
      </w:r>
      <w:r w:rsidR="000239B4">
        <w:t xml:space="preserve"> </w:t>
      </w:r>
      <w:r>
        <w:t>keeping</w:t>
      </w:r>
      <w:proofErr w:type="gramStart"/>
      <w:r>
        <w:t>);</w:t>
      </w:r>
      <w:proofErr w:type="gramEnd"/>
    </w:p>
    <w:p w14:paraId="39ACBC80" w14:textId="77777777" w:rsidR="00B7218A" w:rsidRDefault="00B7218A" w:rsidP="00B7218A">
      <w:pPr>
        <w:pStyle w:val="Bullet1"/>
      </w:pPr>
      <w:r>
        <w:t xml:space="preserve">introductory basic awareness of key </w:t>
      </w:r>
      <w:proofErr w:type="spellStart"/>
      <w:r>
        <w:t>OIA</w:t>
      </w:r>
      <w:proofErr w:type="spellEnd"/>
      <w:r>
        <w:t xml:space="preserve"> and record keeping principles for all </w:t>
      </w:r>
      <w:proofErr w:type="gramStart"/>
      <w:r>
        <w:t>staff;</w:t>
      </w:r>
      <w:proofErr w:type="gramEnd"/>
    </w:p>
    <w:p w14:paraId="32C853BE" w14:textId="77777777" w:rsidR="00B7218A" w:rsidRDefault="00B7218A" w:rsidP="00B7218A">
      <w:pPr>
        <w:pStyle w:val="Bullet1"/>
      </w:pPr>
      <w:r>
        <w:t xml:space="preserve">advanced courses for </w:t>
      </w:r>
      <w:proofErr w:type="spellStart"/>
      <w:r>
        <w:t>OIA</w:t>
      </w:r>
      <w:proofErr w:type="spellEnd"/>
      <w:r>
        <w:t xml:space="preserve"> </w:t>
      </w:r>
      <w:proofErr w:type="gramStart"/>
      <w:r>
        <w:t>specialists;</w:t>
      </w:r>
      <w:proofErr w:type="gramEnd"/>
      <w:r>
        <w:t xml:space="preserve"> </w:t>
      </w:r>
    </w:p>
    <w:p w14:paraId="4A416050" w14:textId="77777777" w:rsidR="00B7218A" w:rsidRDefault="00B7218A" w:rsidP="00B7218A">
      <w:pPr>
        <w:pStyle w:val="Bullet1"/>
      </w:pPr>
      <w:r>
        <w:t>additional training for senior managers; and</w:t>
      </w:r>
    </w:p>
    <w:p w14:paraId="4918B10F" w14:textId="3F854B74" w:rsidR="00B7218A" w:rsidRDefault="000239B4" w:rsidP="00B7218A">
      <w:pPr>
        <w:pStyle w:val="Bullet1"/>
      </w:pPr>
      <w:r>
        <w:t xml:space="preserve">ongoing </w:t>
      </w:r>
      <w:r w:rsidR="00B7218A">
        <w:t>refresher courses.</w:t>
      </w:r>
    </w:p>
    <w:p w14:paraId="5555BEFF" w14:textId="6F44A714" w:rsidR="00B7218A" w:rsidRDefault="003579E3" w:rsidP="00AD0078">
      <w:pPr>
        <w:pStyle w:val="BodyText"/>
      </w:pPr>
      <w:r>
        <w:t>T</w:t>
      </w:r>
      <w:r w:rsidR="007E6D84">
        <w:t xml:space="preserve">he Ministry advised that it requires all new starters </w:t>
      </w:r>
      <w:r w:rsidR="003823CF">
        <w:t xml:space="preserve">in the </w:t>
      </w:r>
      <w:proofErr w:type="spellStart"/>
      <w:r w:rsidR="003823CF">
        <w:t>OIA</w:t>
      </w:r>
      <w:proofErr w:type="spellEnd"/>
      <w:r w:rsidR="003823CF">
        <w:t xml:space="preserve"> team </w:t>
      </w:r>
      <w:r w:rsidR="00357689">
        <w:t xml:space="preserve">to complete the </w:t>
      </w:r>
      <w:proofErr w:type="spellStart"/>
      <w:r w:rsidR="00357689">
        <w:t>Te</w:t>
      </w:r>
      <w:proofErr w:type="spellEnd"/>
      <w:r w:rsidR="00357689">
        <w:t xml:space="preserve"> Puna </w:t>
      </w:r>
      <w:proofErr w:type="spellStart"/>
      <w:r w:rsidR="00357689">
        <w:t>Matauranga</w:t>
      </w:r>
      <w:proofErr w:type="spellEnd"/>
      <w:r w:rsidR="00357689">
        <w:t xml:space="preserve"> training module produced by my Office. Other than this, </w:t>
      </w:r>
      <w:proofErr w:type="spellStart"/>
      <w:r w:rsidR="00357689">
        <w:t>OIA</w:t>
      </w:r>
      <w:proofErr w:type="spellEnd"/>
      <w:r w:rsidR="00357689">
        <w:t xml:space="preserve"> training opportunities appear limited. </w:t>
      </w:r>
      <w:r w:rsidR="009D33B4">
        <w:t xml:space="preserve">Nearly half of staff survey respondents – 49 percent – said either that they had never had </w:t>
      </w:r>
      <w:proofErr w:type="spellStart"/>
      <w:r w:rsidR="009D33B4">
        <w:t>OIA</w:t>
      </w:r>
      <w:proofErr w:type="spellEnd"/>
      <w:r w:rsidR="009D33B4">
        <w:t xml:space="preserve"> training since working at </w:t>
      </w:r>
      <w:proofErr w:type="spellStart"/>
      <w:r w:rsidR="009D33B4">
        <w:t>MPI</w:t>
      </w:r>
      <w:proofErr w:type="spellEnd"/>
      <w:r w:rsidR="009D33B4">
        <w:t xml:space="preserve"> or that they had not received any training since 2020 or earlier.</w:t>
      </w:r>
      <w:r w:rsidR="000E6FCB">
        <w:rPr>
          <w:rStyle w:val="FootnoteReference"/>
        </w:rPr>
        <w:footnoteReference w:id="5"/>
      </w:r>
      <w:r w:rsidR="00357689">
        <w:t xml:space="preserve"> </w:t>
      </w:r>
    </w:p>
    <w:p w14:paraId="3FA63138" w14:textId="359F2D52" w:rsidR="000E3084" w:rsidRDefault="000E3084" w:rsidP="000E3084">
      <w:pPr>
        <w:pStyle w:val="BodyText"/>
      </w:pPr>
      <w:r>
        <w:t xml:space="preserve">It was </w:t>
      </w:r>
      <w:r w:rsidR="004B2C47">
        <w:t>encouragi</w:t>
      </w:r>
      <w:r>
        <w:t>ng to see a</w:t>
      </w:r>
      <w:r w:rsidR="004B2C47">
        <w:t xml:space="preserve"> newly developed</w:t>
      </w:r>
      <w:r>
        <w:t xml:space="preserve"> initiative from the </w:t>
      </w:r>
      <w:proofErr w:type="spellStart"/>
      <w:r>
        <w:t>OIA</w:t>
      </w:r>
      <w:proofErr w:type="spellEnd"/>
      <w:r>
        <w:t xml:space="preserve"> team to upskill staff in </w:t>
      </w:r>
      <w:r w:rsidR="004B2C47">
        <w:t xml:space="preserve">other </w:t>
      </w:r>
      <w:r>
        <w:t xml:space="preserve">business units on their obligations under the </w:t>
      </w:r>
      <w:proofErr w:type="spellStart"/>
      <w:r>
        <w:t>OIA</w:t>
      </w:r>
      <w:proofErr w:type="spellEnd"/>
      <w:r>
        <w:t>.</w:t>
      </w:r>
      <w:r w:rsidR="004B2C47">
        <w:t xml:space="preserve"> These </w:t>
      </w:r>
      <w:r w:rsidR="00A00316">
        <w:t>are termed</w:t>
      </w:r>
      <w:r w:rsidR="004B2C47">
        <w:t xml:space="preserve"> ‘outreach sessions’</w:t>
      </w:r>
      <w:r w:rsidR="001E3081">
        <w:t xml:space="preserve"> and cover introductory information about the </w:t>
      </w:r>
      <w:r w:rsidR="009D7D34">
        <w:t xml:space="preserve">purposes of the </w:t>
      </w:r>
      <w:proofErr w:type="spellStart"/>
      <w:r w:rsidR="009D7D34">
        <w:t>OIA</w:t>
      </w:r>
      <w:proofErr w:type="spellEnd"/>
      <w:r w:rsidR="009D7D34">
        <w:t xml:space="preserve">, the definition of official information, and </w:t>
      </w:r>
      <w:proofErr w:type="spellStart"/>
      <w:r w:rsidR="009D7D34">
        <w:t>MPI’s</w:t>
      </w:r>
      <w:proofErr w:type="spellEnd"/>
      <w:r w:rsidR="009D7D34">
        <w:t xml:space="preserve"> </w:t>
      </w:r>
      <w:proofErr w:type="spellStart"/>
      <w:r w:rsidR="009D7D34">
        <w:t>OIA</w:t>
      </w:r>
      <w:proofErr w:type="spellEnd"/>
      <w:r w:rsidR="009D7D34">
        <w:t xml:space="preserve"> process. </w:t>
      </w:r>
      <w:r w:rsidR="004B2C47">
        <w:t xml:space="preserve">Staff we spoke to who had participated in these sessions gave positive feedback about them. </w:t>
      </w:r>
    </w:p>
    <w:p w14:paraId="1F852E38" w14:textId="6E089CA9" w:rsidR="004B2C47" w:rsidRDefault="004B2C47" w:rsidP="000E3084">
      <w:pPr>
        <w:pStyle w:val="BodyText"/>
      </w:pPr>
      <w:r>
        <w:t xml:space="preserve">Ultimately, responsibility for ensuring staff </w:t>
      </w:r>
      <w:proofErr w:type="gramStart"/>
      <w:r>
        <w:t>are</w:t>
      </w:r>
      <w:proofErr w:type="gramEnd"/>
      <w:r>
        <w:t xml:space="preserve"> appropriately trained in relation to the </w:t>
      </w:r>
      <w:proofErr w:type="spellStart"/>
      <w:r>
        <w:t>OIA</w:t>
      </w:r>
      <w:proofErr w:type="spellEnd"/>
      <w:r>
        <w:t xml:space="preserve"> sits with the leadership team. It would be good to see senior leaders developing the range of training opportunities for staff </w:t>
      </w:r>
      <w:r w:rsidR="005D67B1">
        <w:t xml:space="preserve">in line with our suggestions above. There would also be merit in agency leadership supporting the </w:t>
      </w:r>
      <w:proofErr w:type="spellStart"/>
      <w:r w:rsidR="005D67B1">
        <w:t>OIA</w:t>
      </w:r>
      <w:proofErr w:type="spellEnd"/>
      <w:r w:rsidR="005D67B1">
        <w:t xml:space="preserve"> team’s current training initiative by making participation compulsory within relevant directorates or business units. This would help to promote a more consistent baseline understanding of </w:t>
      </w:r>
      <w:proofErr w:type="spellStart"/>
      <w:r w:rsidR="005D67B1">
        <w:t>OIA</w:t>
      </w:r>
      <w:proofErr w:type="spellEnd"/>
      <w:r w:rsidR="005D67B1">
        <w:t xml:space="preserve"> obligations and contribute to embedding a stronger organisational culture of transparency and openness.</w:t>
      </w:r>
    </w:p>
    <w:p w14:paraId="07DEE162" w14:textId="3C58D500" w:rsidR="007723A5" w:rsidRDefault="003276CE" w:rsidP="000E3084">
      <w:pPr>
        <w:pStyle w:val="BodyText"/>
        <w:rPr>
          <w:rStyle w:val="Quotationwithinthesentence"/>
        </w:rPr>
      </w:pPr>
      <w:r>
        <w:t>We are</w:t>
      </w:r>
      <w:r w:rsidR="007723A5">
        <w:t xml:space="preserve"> pleased that the Director General has noted that he </w:t>
      </w:r>
      <w:r w:rsidR="007723A5" w:rsidRPr="007723A5">
        <w:rPr>
          <w:rStyle w:val="Quotationwithinthesentence"/>
        </w:rPr>
        <w:t xml:space="preserve">‘agree(s) with this action point for senior leadership to support and promote </w:t>
      </w:r>
      <w:proofErr w:type="spellStart"/>
      <w:r w:rsidR="007723A5" w:rsidRPr="007723A5">
        <w:rPr>
          <w:rStyle w:val="Quotationwithinthesentence"/>
        </w:rPr>
        <w:t>OIA</w:t>
      </w:r>
      <w:proofErr w:type="spellEnd"/>
      <w:r w:rsidR="007723A5" w:rsidRPr="007723A5">
        <w:rPr>
          <w:rStyle w:val="Quotationwithinthesentence"/>
        </w:rPr>
        <w:t xml:space="preserve"> training opportunities for their staff and will make this expectation clear, including encouraging engagement with the ‘outreach sessions’ with the </w:t>
      </w:r>
      <w:proofErr w:type="spellStart"/>
      <w:r w:rsidR="007723A5" w:rsidRPr="007723A5">
        <w:rPr>
          <w:rStyle w:val="Quotationwithinthesentence"/>
        </w:rPr>
        <w:t>OIA</w:t>
      </w:r>
      <w:proofErr w:type="spellEnd"/>
      <w:r w:rsidR="007723A5" w:rsidRPr="007723A5">
        <w:rPr>
          <w:rStyle w:val="Quotationwithinthesentence"/>
        </w:rPr>
        <w:t xml:space="preserve"> team.’</w:t>
      </w:r>
    </w:p>
    <w:p w14:paraId="79287904" w14:textId="36F0288F" w:rsidR="0088032C" w:rsidRPr="0088032C" w:rsidRDefault="0088032C" w:rsidP="0088032C">
      <w:pPr>
        <w:pStyle w:val="BodyText"/>
        <w:rPr>
          <w:rStyle w:val="Quotationwithinthesentence"/>
          <w:i w:val="0"/>
        </w:rPr>
      </w:pPr>
      <w:r w:rsidRPr="0088032C">
        <w:rPr>
          <w:rStyle w:val="Quotationwithinthesentence"/>
          <w:i w:val="0"/>
        </w:rPr>
        <w:t>The Director General also noted our suggestion to make these sessions mandatory and pointed out this w</w:t>
      </w:r>
      <w:r>
        <w:rPr>
          <w:rStyle w:val="Quotationwithinthesentence"/>
          <w:i w:val="0"/>
        </w:rPr>
        <w:t>ould be</w:t>
      </w:r>
      <w:r w:rsidRPr="0088032C">
        <w:rPr>
          <w:rStyle w:val="Quotationwithinthesentence"/>
          <w:i w:val="0"/>
        </w:rPr>
        <w:t xml:space="preserve"> reliant on the </w:t>
      </w:r>
      <w:proofErr w:type="spellStart"/>
      <w:r w:rsidRPr="0088032C">
        <w:rPr>
          <w:rStyle w:val="Quotationwithinthesentence"/>
          <w:i w:val="0"/>
        </w:rPr>
        <w:t>OIA</w:t>
      </w:r>
      <w:proofErr w:type="spellEnd"/>
      <w:r w:rsidRPr="0088032C">
        <w:rPr>
          <w:rStyle w:val="Quotationwithinthesentence"/>
          <w:i w:val="0"/>
        </w:rPr>
        <w:t xml:space="preserve"> team</w:t>
      </w:r>
      <w:r>
        <w:rPr>
          <w:rStyle w:val="Quotationwithinthesentence"/>
          <w:i w:val="0"/>
        </w:rPr>
        <w:t>’</w:t>
      </w:r>
      <w:r w:rsidRPr="0088032C">
        <w:rPr>
          <w:rStyle w:val="Quotationwithinthesentence"/>
          <w:i w:val="0"/>
        </w:rPr>
        <w:t xml:space="preserve">s capacity, which </w:t>
      </w:r>
      <w:r w:rsidR="003276CE">
        <w:rPr>
          <w:rStyle w:val="Quotationwithinthesentence"/>
          <w:i w:val="0"/>
        </w:rPr>
        <w:t>we</w:t>
      </w:r>
      <w:r w:rsidRPr="0088032C">
        <w:rPr>
          <w:rStyle w:val="Quotationwithinthesentence"/>
          <w:i w:val="0"/>
        </w:rPr>
        <w:t xml:space="preserve"> </w:t>
      </w:r>
      <w:r w:rsidR="0075322C">
        <w:rPr>
          <w:rStyle w:val="Quotationwithinthesentence"/>
          <w:i w:val="0"/>
        </w:rPr>
        <w:t xml:space="preserve">understand and </w:t>
      </w:r>
      <w:r w:rsidR="00F60F2D">
        <w:rPr>
          <w:rStyle w:val="Quotationwithinthesentence"/>
          <w:i w:val="0"/>
        </w:rPr>
        <w:t>accept</w:t>
      </w:r>
      <w:r w:rsidRPr="0088032C">
        <w:rPr>
          <w:rStyle w:val="Quotationwithinthesentence"/>
          <w:i w:val="0"/>
        </w:rPr>
        <w:t>.</w:t>
      </w:r>
    </w:p>
    <w:tbl>
      <w:tblPr>
        <w:tblStyle w:val="TableGrid"/>
        <w:tblW w:w="935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9D3EE0" w14:paraId="009338FD" w14:textId="77777777" w:rsidTr="00A3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2BB673" w:themeFill="accent1"/>
          </w:tcPr>
          <w:p w14:paraId="60358745" w14:textId="77777777" w:rsidR="009D3EE0" w:rsidRDefault="009D3EE0">
            <w:pPr>
              <w:pStyle w:val="Headingboxtexttop"/>
            </w:pPr>
            <w:r w:rsidRPr="00A34772">
              <w:rPr>
                <w:color w:val="auto"/>
              </w:rPr>
              <w:lastRenderedPageBreak/>
              <w:t xml:space="preserve">Action point </w:t>
            </w:r>
          </w:p>
        </w:tc>
      </w:tr>
      <w:tr w:rsidR="009D3EE0" w14:paraId="6D79349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2AFE0100" w14:textId="03FDAF26" w:rsidR="009D3EE0" w:rsidRDefault="005D67B1">
            <w:pPr>
              <w:pStyle w:val="BodyText"/>
            </w:pPr>
            <w:r>
              <w:t xml:space="preserve">Senior leaders should expand the range of </w:t>
            </w:r>
            <w:proofErr w:type="spellStart"/>
            <w:r>
              <w:t>OIA</w:t>
            </w:r>
            <w:proofErr w:type="spellEnd"/>
            <w:r>
              <w:t xml:space="preserve"> training opportunities for all staff, in line with our suggestions.</w:t>
            </w:r>
          </w:p>
        </w:tc>
      </w:tr>
      <w:tr w:rsidR="005D67B1" w14:paraId="4248415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278206B6" w14:textId="57142D08" w:rsidR="005D67B1" w:rsidRDefault="005D67B1">
            <w:pPr>
              <w:pStyle w:val="BodyText"/>
            </w:pPr>
            <w:r>
              <w:t xml:space="preserve">Senior leaders should consider making ‘outreach sessions’ with the </w:t>
            </w:r>
            <w:proofErr w:type="spellStart"/>
            <w:r>
              <w:t>OIA</w:t>
            </w:r>
            <w:proofErr w:type="spellEnd"/>
            <w:r>
              <w:t xml:space="preserve"> team mandatory for relevant business units.</w:t>
            </w:r>
          </w:p>
        </w:tc>
      </w:tr>
    </w:tbl>
    <w:p w14:paraId="117125DE" w14:textId="77777777" w:rsidR="00D52F0C" w:rsidRDefault="00D52F0C" w:rsidP="005D67B1">
      <w:pPr>
        <w:pStyle w:val="Whitespace"/>
      </w:pPr>
    </w:p>
    <w:p w14:paraId="3B08C6A0" w14:textId="77777777" w:rsidR="00B7218A" w:rsidRPr="007F02C1" w:rsidRDefault="00B7218A" w:rsidP="00B7218A">
      <w:pPr>
        <w:pStyle w:val="Heading4"/>
      </w:pPr>
      <w:proofErr w:type="spellStart"/>
      <w:r w:rsidRPr="007F02C1">
        <w:t>OIA</w:t>
      </w:r>
      <w:proofErr w:type="spellEnd"/>
      <w:r w:rsidRPr="007F02C1">
        <w:t xml:space="preserve"> policy</w:t>
      </w:r>
    </w:p>
    <w:p w14:paraId="5AB8C82F" w14:textId="3DB63410" w:rsidR="00B7218A" w:rsidRDefault="00F50384" w:rsidP="00B7218A">
      <w:pPr>
        <w:pStyle w:val="BodyText"/>
        <w:rPr>
          <w:lang w:val="en-GB"/>
        </w:rPr>
      </w:pPr>
      <w:proofErr w:type="spellStart"/>
      <w:r w:rsidRPr="00F50384">
        <w:t>MPI</w:t>
      </w:r>
      <w:proofErr w:type="spellEnd"/>
      <w:r>
        <w:rPr>
          <w:i/>
          <w:iCs/>
        </w:rPr>
        <w:t xml:space="preserve"> </w:t>
      </w:r>
      <w:r>
        <w:t>provided a copy of its</w:t>
      </w:r>
      <w:r>
        <w:rPr>
          <w:i/>
          <w:iCs/>
        </w:rPr>
        <w:t xml:space="preserve"> </w:t>
      </w:r>
      <w:proofErr w:type="spellStart"/>
      <w:r w:rsidR="00B7218A" w:rsidRPr="00541196">
        <w:rPr>
          <w:i/>
          <w:iCs/>
        </w:rPr>
        <w:t>OIA</w:t>
      </w:r>
      <w:proofErr w:type="spellEnd"/>
      <w:r w:rsidR="00B7218A" w:rsidRPr="00541196">
        <w:rPr>
          <w:i/>
          <w:iCs/>
        </w:rPr>
        <w:t xml:space="preserve"> policy</w:t>
      </w:r>
      <w:r w:rsidR="00B7218A">
        <w:t xml:space="preserve"> i</w:t>
      </w:r>
      <w:r>
        <w:t xml:space="preserve">n response to our agency questionnaire. </w:t>
      </w:r>
      <w:r w:rsidR="002456C5">
        <w:t xml:space="preserve">The designated </w:t>
      </w:r>
      <w:r w:rsidR="00B7218A">
        <w:t xml:space="preserve">policy owner </w:t>
      </w:r>
      <w:r w:rsidR="00165C9E">
        <w:t xml:space="preserve">is the </w:t>
      </w:r>
      <w:r w:rsidR="00B7218A">
        <w:rPr>
          <w:lang w:val="en-GB"/>
        </w:rPr>
        <w:t>Deputy D</w:t>
      </w:r>
      <w:r w:rsidR="00165C9E">
        <w:rPr>
          <w:lang w:val="en-GB"/>
        </w:rPr>
        <w:t xml:space="preserve">irector </w:t>
      </w:r>
      <w:r w:rsidR="00B7218A">
        <w:rPr>
          <w:lang w:val="en-GB"/>
        </w:rPr>
        <w:t>G</w:t>
      </w:r>
      <w:r w:rsidR="00165C9E">
        <w:rPr>
          <w:lang w:val="en-GB"/>
        </w:rPr>
        <w:t>eneral in the</w:t>
      </w:r>
      <w:r w:rsidR="00B7218A">
        <w:rPr>
          <w:lang w:val="en-GB"/>
        </w:rPr>
        <w:t xml:space="preserve"> Office of D</w:t>
      </w:r>
      <w:r w:rsidR="00165C9E">
        <w:rPr>
          <w:lang w:val="en-GB"/>
        </w:rPr>
        <w:t xml:space="preserve">irector </w:t>
      </w:r>
      <w:r w:rsidR="00B7218A">
        <w:rPr>
          <w:lang w:val="en-GB"/>
        </w:rPr>
        <w:t>G</w:t>
      </w:r>
      <w:r w:rsidR="00165C9E">
        <w:rPr>
          <w:lang w:val="en-GB"/>
        </w:rPr>
        <w:t>eneral</w:t>
      </w:r>
      <w:r w:rsidR="00996E19">
        <w:rPr>
          <w:lang w:val="en-GB"/>
        </w:rPr>
        <w:t>,</w:t>
      </w:r>
      <w:r w:rsidR="00165C9E">
        <w:rPr>
          <w:lang w:val="en-GB"/>
        </w:rPr>
        <w:t xml:space="preserve"> </w:t>
      </w:r>
      <w:r w:rsidR="00975CA7">
        <w:rPr>
          <w:lang w:val="en-GB"/>
        </w:rPr>
        <w:t>a role wh</w:t>
      </w:r>
      <w:r w:rsidR="002E00C6">
        <w:rPr>
          <w:lang w:val="en-GB"/>
        </w:rPr>
        <w:t xml:space="preserve">ich </w:t>
      </w:r>
      <w:r w:rsidR="000533DC">
        <w:rPr>
          <w:lang w:val="en-GB"/>
        </w:rPr>
        <w:t xml:space="preserve">we </w:t>
      </w:r>
      <w:r w:rsidR="002E00C6">
        <w:rPr>
          <w:lang w:val="en-GB"/>
        </w:rPr>
        <w:t xml:space="preserve">understand was disestablished in 2019. Based on the </w:t>
      </w:r>
      <w:r w:rsidR="00975CA7">
        <w:rPr>
          <w:lang w:val="en-GB"/>
        </w:rPr>
        <w:t>date on the policy it appears not to have</w:t>
      </w:r>
      <w:r w:rsidR="00B7218A">
        <w:rPr>
          <w:lang w:val="en-GB"/>
        </w:rPr>
        <w:t xml:space="preserve"> been updated since 2015. </w:t>
      </w:r>
    </w:p>
    <w:p w14:paraId="2C5E5294" w14:textId="7E760A9D" w:rsidR="00EF6986" w:rsidRDefault="005D6E32" w:rsidP="005D6E32">
      <w:pPr>
        <w:pStyle w:val="BodyText"/>
      </w:pPr>
      <w:r>
        <w:t>A</w:t>
      </w:r>
      <w:r w:rsidRPr="005D6E32">
        <w:t xml:space="preserve"> review and refresh of the </w:t>
      </w:r>
      <w:proofErr w:type="spellStart"/>
      <w:r>
        <w:t>OIA</w:t>
      </w:r>
      <w:proofErr w:type="spellEnd"/>
      <w:r>
        <w:t xml:space="preserve"> </w:t>
      </w:r>
      <w:r w:rsidRPr="005D6E32">
        <w:t>policy would be timely</w:t>
      </w:r>
      <w:r w:rsidR="00573904">
        <w:t>,</w:t>
      </w:r>
      <w:r w:rsidRPr="005D6E32">
        <w:t xml:space="preserve"> provid</w:t>
      </w:r>
      <w:r w:rsidR="00573904">
        <w:t>ing</w:t>
      </w:r>
      <w:r w:rsidRPr="005D6E32">
        <w:t xml:space="preserve"> an opportunity to </w:t>
      </w:r>
      <w:r w:rsidR="00052EBE">
        <w:t>update</w:t>
      </w:r>
      <w:r w:rsidRPr="005D6E32">
        <w:t xml:space="preserve"> guidance and expectations</w:t>
      </w:r>
      <w:r w:rsidR="00052EBE">
        <w:t xml:space="preserve"> around how the agency approaches </w:t>
      </w:r>
      <w:proofErr w:type="spellStart"/>
      <w:r w:rsidR="00052EBE">
        <w:t>OIA</w:t>
      </w:r>
      <w:proofErr w:type="spellEnd"/>
      <w:r w:rsidR="00052EBE">
        <w:t xml:space="preserve"> requests</w:t>
      </w:r>
      <w:r w:rsidR="00573904">
        <w:t xml:space="preserve">. Reviewing the policy also provides an opportunity </w:t>
      </w:r>
      <w:r w:rsidRPr="005D6E32">
        <w:t xml:space="preserve">to recalibrate the agency’s current emphasis, which appears in some areas to be weighted toward risk management. An updated policy could help ensure that the principles of open government, accountability, and the </w:t>
      </w:r>
      <w:proofErr w:type="spellStart"/>
      <w:r w:rsidRPr="005D6E32">
        <w:t>O</w:t>
      </w:r>
      <w:r>
        <w:t>IA</w:t>
      </w:r>
      <w:r w:rsidRPr="005D6E32">
        <w:t>’s</w:t>
      </w:r>
      <w:proofErr w:type="spellEnd"/>
      <w:r w:rsidRPr="005D6E32">
        <w:t xml:space="preserve"> pr</w:t>
      </w:r>
      <w:r>
        <w:t>inciple</w:t>
      </w:r>
      <w:r w:rsidRPr="005D6E32">
        <w:t xml:space="preserve"> of availability are given clearer </w:t>
      </w:r>
      <w:r>
        <w:t>emphasis</w:t>
      </w:r>
      <w:r w:rsidRPr="005D6E32">
        <w:t xml:space="preserve">. </w:t>
      </w:r>
    </w:p>
    <w:p w14:paraId="3F0BE919" w14:textId="1A40E450" w:rsidR="005D6E32" w:rsidRDefault="00FF7818" w:rsidP="005D6E32">
      <w:pPr>
        <w:pStyle w:val="BodyText"/>
      </w:pPr>
      <w:r w:rsidRPr="002C5736">
        <w:t xml:space="preserve">A review of </w:t>
      </w:r>
      <w:proofErr w:type="spellStart"/>
      <w:r w:rsidRPr="002C5736">
        <w:t>OIA</w:t>
      </w:r>
      <w:proofErr w:type="spellEnd"/>
      <w:r w:rsidRPr="002C5736">
        <w:t xml:space="preserve"> policy by senior leaders could serve as a</w:t>
      </w:r>
      <w:r w:rsidR="005D6E32" w:rsidRPr="002C5736">
        <w:t xml:space="preserve">n opportunity to reset and strengthen organisational messaging around transparency, openness, and public service principles, </w:t>
      </w:r>
      <w:r w:rsidR="002C5736">
        <w:t>p</w:t>
      </w:r>
      <w:r w:rsidR="00573904">
        <w:t xml:space="preserve">articularly if the updated policy is accompanied with </w:t>
      </w:r>
      <w:r w:rsidR="00FF2624">
        <w:t>a campaign of messaging to staff from senior leaders.</w:t>
      </w:r>
    </w:p>
    <w:p w14:paraId="7619F44E" w14:textId="28CAC6BB" w:rsidR="00DB5CDE" w:rsidRPr="005D6E32" w:rsidRDefault="00DB5CDE" w:rsidP="005D6E32">
      <w:pPr>
        <w:pStyle w:val="BodyText"/>
      </w:pPr>
      <w:r>
        <w:t xml:space="preserve">In his response to </w:t>
      </w:r>
      <w:r w:rsidR="00A12D0A">
        <w:t xml:space="preserve">my </w:t>
      </w:r>
      <w:r>
        <w:t>provisional opinion</w:t>
      </w:r>
      <w:r w:rsidR="0088032C">
        <w:t xml:space="preserve">, the Director General noted that he </w:t>
      </w:r>
      <w:r w:rsidR="00EE200E">
        <w:t xml:space="preserve">agreed that it was </w:t>
      </w:r>
      <w:r w:rsidR="00EE200E" w:rsidRPr="00EE200E">
        <w:rPr>
          <w:rStyle w:val="Quotationwithinthesentence"/>
        </w:rPr>
        <w:t xml:space="preserve">‘timely to review and update </w:t>
      </w:r>
      <w:proofErr w:type="spellStart"/>
      <w:r w:rsidR="00EE200E" w:rsidRPr="00EE200E">
        <w:rPr>
          <w:rStyle w:val="Quotationwithinthesentence"/>
        </w:rPr>
        <w:t>MPI’s</w:t>
      </w:r>
      <w:proofErr w:type="spellEnd"/>
      <w:r w:rsidR="00EE200E" w:rsidRPr="00EE200E">
        <w:rPr>
          <w:rStyle w:val="Quotationwithinthesentence"/>
        </w:rPr>
        <w:t xml:space="preserve"> </w:t>
      </w:r>
      <w:proofErr w:type="spellStart"/>
      <w:r w:rsidR="00EE200E" w:rsidRPr="00EE200E">
        <w:rPr>
          <w:rStyle w:val="Quotationwithinthesentence"/>
        </w:rPr>
        <w:t>OIA</w:t>
      </w:r>
      <w:proofErr w:type="spellEnd"/>
      <w:r w:rsidR="00EE200E" w:rsidRPr="00EE200E">
        <w:rPr>
          <w:rStyle w:val="Quotationwithinthesentence"/>
        </w:rPr>
        <w:t xml:space="preserve"> policy’</w:t>
      </w:r>
      <w:r w:rsidR="00EE200E">
        <w:t xml:space="preserve"> and that</w:t>
      </w:r>
      <w:r w:rsidR="003276CE">
        <w:t xml:space="preserve"> he</w:t>
      </w:r>
      <w:r w:rsidR="00EE200E">
        <w:t xml:space="preserve"> intended </w:t>
      </w:r>
      <w:r w:rsidR="00EE200E" w:rsidRPr="00EE200E">
        <w:rPr>
          <w:rStyle w:val="Quotationwithinthesentence"/>
        </w:rPr>
        <w:t>‘to link the refreshed policy with wider leadership messaging to staff’</w:t>
      </w:r>
      <w:r w:rsidR="00EE200E">
        <w:t>.</w:t>
      </w:r>
    </w:p>
    <w:tbl>
      <w:tblPr>
        <w:tblStyle w:val="TableGrid"/>
        <w:tblW w:w="935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B7218A" w14:paraId="0FBADDFB" w14:textId="77777777" w:rsidTr="00A3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2BB673" w:themeFill="accent1"/>
          </w:tcPr>
          <w:p w14:paraId="77A4FE40" w14:textId="77777777" w:rsidR="00B7218A" w:rsidRDefault="00B7218A">
            <w:pPr>
              <w:pStyle w:val="Headingboxtexttop"/>
            </w:pPr>
            <w:r w:rsidRPr="00A34772">
              <w:rPr>
                <w:color w:val="auto"/>
              </w:rPr>
              <w:t xml:space="preserve">Action point </w:t>
            </w:r>
          </w:p>
        </w:tc>
      </w:tr>
      <w:tr w:rsidR="00B7218A" w14:paraId="2689B5E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0EE29C0F" w14:textId="77777777" w:rsidR="00B7218A" w:rsidRPr="0052071E" w:rsidRDefault="00B7218A">
            <w:pPr>
              <w:pStyle w:val="BodyText"/>
              <w:rPr>
                <w:b/>
                <w:bCs/>
                <w:color w:val="FFFFFF" w:themeColor="background1"/>
              </w:rPr>
            </w:pPr>
            <w:r w:rsidRPr="0052071E">
              <w:t xml:space="preserve">Review </w:t>
            </w:r>
            <w:r>
              <w:t xml:space="preserve">and update </w:t>
            </w:r>
            <w:proofErr w:type="spellStart"/>
            <w:r>
              <w:t>OIA</w:t>
            </w:r>
            <w:proofErr w:type="spellEnd"/>
            <w:r>
              <w:t xml:space="preserve"> policy, ensuring ownership of the policy is linked to a current role.</w:t>
            </w:r>
          </w:p>
        </w:tc>
      </w:tr>
      <w:tr w:rsidR="005A17ED" w14:paraId="0817D22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7040FC31" w14:textId="2A066E4E" w:rsidR="005A17ED" w:rsidRPr="0052071E" w:rsidRDefault="005A17ED">
            <w:pPr>
              <w:pStyle w:val="BodyText"/>
            </w:pPr>
            <w:r>
              <w:t xml:space="preserve">Consider linking new </w:t>
            </w:r>
            <w:proofErr w:type="spellStart"/>
            <w:r>
              <w:t>OIA</w:t>
            </w:r>
            <w:proofErr w:type="spellEnd"/>
            <w:r>
              <w:t xml:space="preserve"> policy with a campaign of messaging to staff from senior leaders.</w:t>
            </w:r>
          </w:p>
        </w:tc>
      </w:tr>
    </w:tbl>
    <w:p w14:paraId="158E270F" w14:textId="77777777" w:rsidR="00784800" w:rsidRDefault="00784800" w:rsidP="007D2218">
      <w:pPr>
        <w:pStyle w:val="Whitespace"/>
      </w:pPr>
      <w:bookmarkStart w:id="26" w:name="_Toc63238268"/>
    </w:p>
    <w:p w14:paraId="7DFCF0A8" w14:textId="77777777" w:rsidR="005035FD" w:rsidRDefault="005035FD" w:rsidP="00D87F21">
      <w:pPr>
        <w:pStyle w:val="Heading2"/>
        <w:spacing w:before="240"/>
      </w:pPr>
      <w:bookmarkStart w:id="27" w:name="_Toc239154201"/>
      <w:r>
        <w:t>Messaging to the public</w:t>
      </w:r>
      <w:bookmarkEnd w:id="27"/>
    </w:p>
    <w:p w14:paraId="21C5ADAA" w14:textId="7707AD06" w:rsidR="0015652B" w:rsidRDefault="0015652B" w:rsidP="0015652B">
      <w:pPr>
        <w:pStyle w:val="BodyText"/>
      </w:pPr>
      <w:r>
        <w:t xml:space="preserve">Public-facing messaging about the Official Information Act can play an important role in promoting accessibility, transparency, and public understanding of the right to request official information. Clear and accessible information about how to make a request, what requesters can expect from the process, and the agency’s approach to openness can help build public </w:t>
      </w:r>
      <w:r w:rsidRPr="005661F5">
        <w:t xml:space="preserve">confidence </w:t>
      </w:r>
      <w:r w:rsidR="005661F5">
        <w:t>in government transparency.</w:t>
      </w:r>
    </w:p>
    <w:p w14:paraId="37A41512" w14:textId="02DCC4E2" w:rsidR="0015652B" w:rsidRDefault="0015652B" w:rsidP="0015652B">
      <w:pPr>
        <w:pStyle w:val="BodyText"/>
      </w:pPr>
      <w:r>
        <w:t xml:space="preserve">In response to our agency questionnaire, </w:t>
      </w:r>
      <w:proofErr w:type="spellStart"/>
      <w:r w:rsidR="000377B9">
        <w:t>MPI</w:t>
      </w:r>
      <w:proofErr w:type="spellEnd"/>
      <w:r>
        <w:t xml:space="preserve"> advised that it did not undertake specific public messaging about its commitment to the </w:t>
      </w:r>
      <w:proofErr w:type="spellStart"/>
      <w:r>
        <w:t>OIA</w:t>
      </w:r>
      <w:proofErr w:type="spellEnd"/>
      <w:r>
        <w:t xml:space="preserve">. However, we consider that an agency’s public-facing </w:t>
      </w:r>
      <w:proofErr w:type="spellStart"/>
      <w:r>
        <w:t>OIA</w:t>
      </w:r>
      <w:proofErr w:type="spellEnd"/>
      <w:r>
        <w:t xml:space="preserve"> webpage is itself an important form of messaging about the agency’s approach to </w:t>
      </w:r>
      <w:r>
        <w:lastRenderedPageBreak/>
        <w:t xml:space="preserve">official information and transparency. In this respect, we found the agency’s </w:t>
      </w:r>
      <w:proofErr w:type="spellStart"/>
      <w:r>
        <w:t>OIA</w:t>
      </w:r>
      <w:proofErr w:type="spellEnd"/>
      <w:r>
        <w:t xml:space="preserve"> webpage to be generally clear, accessible, and informative.</w:t>
      </w:r>
    </w:p>
    <w:p w14:paraId="2CC923DD" w14:textId="04082B50" w:rsidR="0015652B" w:rsidRDefault="0015652B" w:rsidP="0015652B">
      <w:pPr>
        <w:pStyle w:val="BodyText"/>
      </w:pPr>
      <w:r>
        <w:t xml:space="preserve">The webpage </w:t>
      </w:r>
      <w:r w:rsidR="00DC3B07">
        <w:t xml:space="preserve">gives </w:t>
      </w:r>
      <w:r>
        <w:t xml:space="preserve">plain-English </w:t>
      </w:r>
      <w:r w:rsidR="00DC3B07">
        <w:t xml:space="preserve">information </w:t>
      </w:r>
      <w:r>
        <w:t>on how members of the public can make an official information request</w:t>
      </w:r>
      <w:r w:rsidR="005661F5">
        <w:t>;</w:t>
      </w:r>
      <w:r w:rsidR="000377B9">
        <w:t xml:space="preserve"> </w:t>
      </w:r>
      <w:r>
        <w:t xml:space="preserve">some of the circumstances in which requests may be refused or information withheld under the </w:t>
      </w:r>
      <w:proofErr w:type="spellStart"/>
      <w:r w:rsidR="000377B9">
        <w:t>OI</w:t>
      </w:r>
      <w:r>
        <w:t>A</w:t>
      </w:r>
      <w:proofErr w:type="spellEnd"/>
      <w:r w:rsidR="005661F5">
        <w:t>;</w:t>
      </w:r>
      <w:r>
        <w:t xml:space="preserve"> and outlines the </w:t>
      </w:r>
      <w:r w:rsidR="00DC3B07">
        <w:t>Ministr</w:t>
      </w:r>
      <w:r>
        <w:t xml:space="preserve">y’s obligations when responding to requests. </w:t>
      </w:r>
    </w:p>
    <w:p w14:paraId="3B71A456" w14:textId="7BBFD35C" w:rsidR="0015652B" w:rsidRDefault="0015652B" w:rsidP="0015652B">
      <w:pPr>
        <w:pStyle w:val="BodyText"/>
      </w:pPr>
      <w:r>
        <w:t xml:space="preserve">An agency’s approach to proactively releasing information also </w:t>
      </w:r>
      <w:r w:rsidR="00D117AD">
        <w:t>offers a signal to</w:t>
      </w:r>
      <w:r>
        <w:t xml:space="preserve"> the public about its commitment to openness and transparency. </w:t>
      </w:r>
      <w:r w:rsidR="000377B9">
        <w:t xml:space="preserve">The Ministry </w:t>
      </w:r>
      <w:r>
        <w:t>proactively release</w:t>
      </w:r>
      <w:r w:rsidR="000377B9">
        <w:t>s a range of information about the work it does (discussed further under Proactive release of information).</w:t>
      </w:r>
      <w:r>
        <w:t xml:space="preserve"> However, materia</w:t>
      </w:r>
      <w:r w:rsidR="000377B9">
        <w:t>l was not always easy to</w:t>
      </w:r>
      <w:r>
        <w:t xml:space="preserve"> locate on the </w:t>
      </w:r>
      <w:r w:rsidR="000377B9">
        <w:t>Ministr</w:t>
      </w:r>
      <w:r>
        <w:t xml:space="preserve">y’s website. In particular, the pages dedicated to </w:t>
      </w:r>
      <w:r w:rsidR="000377B9">
        <w:t>‘</w:t>
      </w:r>
      <w:r>
        <w:t>Official Information Act releases</w:t>
      </w:r>
      <w:r w:rsidR="00A61DA3">
        <w:t>’</w:t>
      </w:r>
      <w:r>
        <w:t xml:space="preserve">, which sit as subordinate pages within </w:t>
      </w:r>
      <w:proofErr w:type="spellStart"/>
      <w:r>
        <w:t>OIA</w:t>
      </w:r>
      <w:proofErr w:type="spellEnd"/>
      <w:r>
        <w:t xml:space="preserve"> </w:t>
      </w:r>
      <w:r w:rsidR="00A61DA3">
        <w:t>section of the website</w:t>
      </w:r>
      <w:r>
        <w:t xml:space="preserve">, would appear to be a logical location for proactively released </w:t>
      </w:r>
      <w:proofErr w:type="spellStart"/>
      <w:r w:rsidR="000377B9">
        <w:t>OIA</w:t>
      </w:r>
      <w:proofErr w:type="spellEnd"/>
      <w:r w:rsidR="000377B9">
        <w:t xml:space="preserve"> </w:t>
      </w:r>
      <w:r>
        <w:t>material. However, many of these pages had not been updated since 202</w:t>
      </w:r>
      <w:r w:rsidR="003468B5">
        <w:t>1</w:t>
      </w:r>
      <w:r>
        <w:t>.</w:t>
      </w:r>
    </w:p>
    <w:p w14:paraId="11BA42EC" w14:textId="66FE872A" w:rsidR="0015652B" w:rsidRDefault="0015652B" w:rsidP="0015652B">
      <w:pPr>
        <w:pStyle w:val="BodyText"/>
      </w:pPr>
      <w:r>
        <w:t>Where proactively released information is difficult to locate</w:t>
      </w:r>
      <w:r w:rsidR="00A61DA3">
        <w:t xml:space="preserve"> </w:t>
      </w:r>
      <w:r>
        <w:t xml:space="preserve">or appears outdated, there is a risk that members of the public may gain an inaccurate impression about the extent of the agency’s proactive release activity or </w:t>
      </w:r>
      <w:r w:rsidR="004D296F">
        <w:t xml:space="preserve">its </w:t>
      </w:r>
      <w:r>
        <w:t>broader commitment to transparency. Ensuring proactively released information is easy to locate, regularly updated, and presented in a</w:t>
      </w:r>
      <w:r w:rsidR="0087538E">
        <w:t>n</w:t>
      </w:r>
      <w:r>
        <w:t xml:space="preserve"> accessible way can help reinforce public confidence in the agency’s opennes</w:t>
      </w:r>
      <w:r w:rsidR="0087538E">
        <w:t>s</w:t>
      </w:r>
      <w:r>
        <w:t>.</w:t>
      </w:r>
    </w:p>
    <w:p w14:paraId="7704F46A" w14:textId="2D70B867" w:rsidR="0015652B" w:rsidRDefault="0015652B" w:rsidP="0015652B">
      <w:pPr>
        <w:pStyle w:val="BodyText"/>
      </w:pPr>
      <w:r>
        <w:t xml:space="preserve">Overall, we consider the agency’s public-facing </w:t>
      </w:r>
      <w:proofErr w:type="spellStart"/>
      <w:r>
        <w:t>OIA</w:t>
      </w:r>
      <w:proofErr w:type="spellEnd"/>
      <w:r>
        <w:t xml:space="preserve"> </w:t>
      </w:r>
      <w:r w:rsidR="0097616D">
        <w:t xml:space="preserve">webpage </w:t>
      </w:r>
      <w:r>
        <w:t>provides a reasonable foundation for communicating with the public about official information. There is, however, an opportunity to further strengthen this messaging through a more visible</w:t>
      </w:r>
      <w:r w:rsidR="00A61DA3">
        <w:t xml:space="preserve"> </w:t>
      </w:r>
      <w:r>
        <w:t xml:space="preserve">and consistent approach to </w:t>
      </w:r>
      <w:r w:rsidR="0097616D">
        <w:t xml:space="preserve">the </w:t>
      </w:r>
      <w:r>
        <w:t xml:space="preserve">proactive release </w:t>
      </w:r>
      <w:r w:rsidR="0097616D">
        <w:t>of information</w:t>
      </w:r>
      <w:r w:rsidR="00C8188F">
        <w:t>, which we will discuss further in the next section.</w:t>
      </w:r>
    </w:p>
    <w:p w14:paraId="55E416F3" w14:textId="66BB65B7" w:rsidR="002A417B" w:rsidRDefault="002A417B" w:rsidP="002A417B">
      <w:pPr>
        <w:pStyle w:val="Heading2"/>
      </w:pPr>
      <w:bookmarkStart w:id="28" w:name="_Toc239154202"/>
      <w:r>
        <w:t>Proactive release of information</w:t>
      </w:r>
      <w:r w:rsidR="00A61DA3">
        <w:t xml:space="preserve"> </w:t>
      </w:r>
      <w:r w:rsidR="002848D5">
        <w:t xml:space="preserve">– </w:t>
      </w:r>
      <w:r w:rsidR="00A61DA3">
        <w:t>p</w:t>
      </w:r>
      <w:r w:rsidR="002848D5">
        <w:t>ractice and policy</w:t>
      </w:r>
      <w:bookmarkEnd w:id="28"/>
    </w:p>
    <w:p w14:paraId="2B043BC8" w14:textId="26443B70" w:rsidR="00AF1B45" w:rsidRDefault="00156409" w:rsidP="002A417B">
      <w:pPr>
        <w:pStyle w:val="BodyText"/>
      </w:pPr>
      <w:r>
        <w:t>There</w:t>
      </w:r>
      <w:r w:rsidR="00237BE7">
        <w:t xml:space="preserve"> should be clear leadership commitment to the proactive release of information. This </w:t>
      </w:r>
      <w:r w:rsidR="00A42C33">
        <w:t xml:space="preserve">may </w:t>
      </w:r>
      <w:r w:rsidR="00237BE7">
        <w:t>be demonstrated through the existence of policies and processes which facilitate the di</w:t>
      </w:r>
      <w:r>
        <w:t>s</w:t>
      </w:r>
      <w:r w:rsidR="00237BE7">
        <w:t>clo</w:t>
      </w:r>
      <w:r>
        <w:t>s</w:t>
      </w:r>
      <w:r w:rsidR="00237BE7">
        <w:t>ure of a variety of information, to include</w:t>
      </w:r>
      <w:r w:rsidR="00521D5B">
        <w:t xml:space="preserve"> (but not limited to)</w:t>
      </w:r>
      <w:r w:rsidR="00237BE7">
        <w:t>:</w:t>
      </w:r>
    </w:p>
    <w:p w14:paraId="7CE3FD10" w14:textId="338E118C" w:rsidR="002D7718" w:rsidRDefault="00521D5B" w:rsidP="002D7718">
      <w:pPr>
        <w:pStyle w:val="Bullet1"/>
      </w:pPr>
      <w:r>
        <w:t>t</w:t>
      </w:r>
      <w:r w:rsidR="002D7718">
        <w:t>he role and structure of the agency and the</w:t>
      </w:r>
      <w:r>
        <w:t xml:space="preserve"> information</w:t>
      </w:r>
      <w:r w:rsidR="002D7718">
        <w:t xml:space="preserve"> it </w:t>
      </w:r>
      <w:proofErr w:type="gramStart"/>
      <w:r w:rsidR="002D7718">
        <w:t>holds;</w:t>
      </w:r>
      <w:proofErr w:type="gramEnd"/>
    </w:p>
    <w:p w14:paraId="10060E0B" w14:textId="0FC9B3E7" w:rsidR="002D7718" w:rsidRDefault="00521D5B" w:rsidP="002D7718">
      <w:pPr>
        <w:pStyle w:val="Bullet1"/>
      </w:pPr>
      <w:r>
        <w:t>s</w:t>
      </w:r>
      <w:r w:rsidR="002D7718">
        <w:t>trategy, planning and performance</w:t>
      </w:r>
      <w:r>
        <w:t xml:space="preserve"> </w:t>
      </w:r>
      <w:proofErr w:type="gramStart"/>
      <w:r>
        <w:t>information;</w:t>
      </w:r>
      <w:proofErr w:type="gramEnd"/>
    </w:p>
    <w:p w14:paraId="4B99142B" w14:textId="27050ED2" w:rsidR="002D7718" w:rsidRDefault="00521D5B" w:rsidP="002D7718">
      <w:pPr>
        <w:pStyle w:val="Bullet1"/>
      </w:pPr>
      <w:r>
        <w:t xml:space="preserve">details </w:t>
      </w:r>
      <w:r w:rsidR="002D7718">
        <w:t xml:space="preserve">of current or planned work programmes, including background papers, options, Cabinet papers and consultation </w:t>
      </w:r>
      <w:proofErr w:type="gramStart"/>
      <w:r w:rsidR="002D7718">
        <w:t>documents;</w:t>
      </w:r>
      <w:proofErr w:type="gramEnd"/>
    </w:p>
    <w:p w14:paraId="5889EC22" w14:textId="23619718" w:rsidR="002D7718" w:rsidRDefault="00521D5B" w:rsidP="002D7718">
      <w:pPr>
        <w:pStyle w:val="Bullet1"/>
      </w:pPr>
      <w:r>
        <w:t>i</w:t>
      </w:r>
      <w:r w:rsidR="002D7718">
        <w:t>nternal rules and policies, including rules on deci</w:t>
      </w:r>
      <w:r>
        <w:t>si</w:t>
      </w:r>
      <w:r w:rsidR="002D7718">
        <w:t>on-making</w:t>
      </w:r>
      <w:r>
        <w:t xml:space="preserve"> (for example, the proactive release and official information policies</w:t>
      </w:r>
      <w:proofErr w:type="gramStart"/>
      <w:r>
        <w:t>);</w:t>
      </w:r>
      <w:proofErr w:type="gramEnd"/>
    </w:p>
    <w:p w14:paraId="335F9509" w14:textId="75A29C6E" w:rsidR="002D7718" w:rsidRDefault="00521D5B" w:rsidP="002D7718">
      <w:pPr>
        <w:pStyle w:val="Bullet1"/>
      </w:pPr>
      <w:r>
        <w:t xml:space="preserve">corporate information about expenditure, procurement activities, audit reports and </w:t>
      </w:r>
      <w:proofErr w:type="gramStart"/>
      <w:r>
        <w:t>performance;</w:t>
      </w:r>
      <w:proofErr w:type="gramEnd"/>
    </w:p>
    <w:p w14:paraId="7697B9A7" w14:textId="0897826C" w:rsidR="00521D5B" w:rsidRDefault="00521D5B" w:rsidP="002D7718">
      <w:pPr>
        <w:pStyle w:val="Bullet1"/>
      </w:pPr>
      <w:r>
        <w:t>monitoring data and information on matters the agency is responsible for; and</w:t>
      </w:r>
    </w:p>
    <w:p w14:paraId="385DACF4" w14:textId="00D7CB97" w:rsidR="00521D5B" w:rsidRDefault="00521D5B" w:rsidP="002D7718">
      <w:pPr>
        <w:pStyle w:val="Bullet1"/>
      </w:pPr>
      <w:proofErr w:type="spellStart"/>
      <w:r>
        <w:lastRenderedPageBreak/>
        <w:t>OIA</w:t>
      </w:r>
      <w:proofErr w:type="spellEnd"/>
      <w:r>
        <w:t xml:space="preserve"> responses</w:t>
      </w:r>
      <w:r w:rsidR="00520ED7">
        <w:t>.</w:t>
      </w:r>
    </w:p>
    <w:p w14:paraId="3F9BD9FC" w14:textId="101F779C" w:rsidR="00EE6901" w:rsidRDefault="006E2070" w:rsidP="00EE6901">
      <w:pPr>
        <w:pStyle w:val="BodyText"/>
      </w:pPr>
      <w:proofErr w:type="spellStart"/>
      <w:r>
        <w:t>MPI</w:t>
      </w:r>
      <w:proofErr w:type="spellEnd"/>
      <w:r w:rsidR="00EE6901">
        <w:t xml:space="preserve"> proactively releases a range of information, </w:t>
      </w:r>
      <w:r w:rsidR="00545C8C">
        <w:t>including, for example, Food Residues Survey Programme reports and quarterly fisheries observer health and safety incident data</w:t>
      </w:r>
      <w:r w:rsidR="00EE6901">
        <w:t>. This demonstrates an acknowledgement of the importance of making official information available to the public other than in response to individual requests and reflects the broader purposes of the Official Information Act to progressively increase the availability of official information and promote public participation and accountability.</w:t>
      </w:r>
    </w:p>
    <w:p w14:paraId="59066858" w14:textId="6B9D9106" w:rsidR="00EE6901" w:rsidRDefault="00EE6901" w:rsidP="00EE6901">
      <w:pPr>
        <w:pStyle w:val="BodyText"/>
      </w:pPr>
      <w:r>
        <w:t xml:space="preserve">However, we consider the agency’s proactive release practices would benefit from being underpinned by a </w:t>
      </w:r>
      <w:r w:rsidR="006E2070">
        <w:t>proactive release policy</w:t>
      </w:r>
      <w:r>
        <w:t>. In the absence of such guidance, decisions about what information should be proactively released, when release should occur, and what level of review or protection may be required risk being made inconsistently across different parts of the agency. This is particularly important in an agency with a diverse range of business units holding information of varying sensitivity, wh</w:t>
      </w:r>
      <w:r w:rsidR="00D42663">
        <w:t>ich may</w:t>
      </w:r>
      <w:r>
        <w:t xml:space="preserve"> legitimately require different levels of protection, consultation, or risk assessment. A clear policy framework can assist staff to approach proactive release </w:t>
      </w:r>
      <w:r w:rsidR="006E2070">
        <w:t>consistently</w:t>
      </w:r>
      <w:r>
        <w:t>, while also providing assurance that appropriate protections are being applied where necessary.</w:t>
      </w:r>
      <w:r w:rsidR="00D42663">
        <w:t xml:space="preserve"> </w:t>
      </w:r>
    </w:p>
    <w:p w14:paraId="00DC2AAE" w14:textId="23DC2B57" w:rsidR="00D42663" w:rsidRDefault="00D42663" w:rsidP="00EE6901">
      <w:pPr>
        <w:pStyle w:val="BodyText"/>
      </w:pPr>
      <w:r>
        <w:t>Having a proactive release policy with responsibility for its implementation assigned t</w:t>
      </w:r>
      <w:r w:rsidR="009B0AE2">
        <w:t>o</w:t>
      </w:r>
      <w:r>
        <w:t xml:space="preserve"> a specific senior leader may help to drive accountability and ensure proactive release practice is regular and consistent.</w:t>
      </w:r>
    </w:p>
    <w:p w14:paraId="65DDE2F7" w14:textId="6B48DD5F" w:rsidR="00EE6901" w:rsidRDefault="00EE6901" w:rsidP="00EE6901">
      <w:pPr>
        <w:pStyle w:val="BodyText"/>
      </w:pPr>
      <w:r>
        <w:t xml:space="preserve">A more mature proactive release framework would also help support </w:t>
      </w:r>
      <w:r w:rsidR="004E1D06">
        <w:t>a culture of</w:t>
      </w:r>
      <w:r>
        <w:t xml:space="preserve"> transparency and openness. In this respect, we were disappointed to </w:t>
      </w:r>
      <w:r w:rsidR="00D42663">
        <w:t>see</w:t>
      </w:r>
      <w:r>
        <w:t xml:space="preserve"> that the proactive publication of responses to </w:t>
      </w:r>
      <w:proofErr w:type="spellStart"/>
      <w:r>
        <w:t>O</w:t>
      </w:r>
      <w:r w:rsidR="00D42663">
        <w:t>IA</w:t>
      </w:r>
      <w:proofErr w:type="spellEnd"/>
      <w:r>
        <w:t xml:space="preserve"> requests does not form part of the agency’s routine practice. Publication of </w:t>
      </w:r>
      <w:proofErr w:type="spellStart"/>
      <w:r>
        <w:t>OIA</w:t>
      </w:r>
      <w:proofErr w:type="spellEnd"/>
      <w:r>
        <w:t xml:space="preserve"> responses is an increasingly common feature of </w:t>
      </w:r>
      <w:r w:rsidR="00CA15A9">
        <w:t>good</w:t>
      </w:r>
      <w:r>
        <w:t xml:space="preserve"> official information practice across the public sector.</w:t>
      </w:r>
      <w:r w:rsidR="003000CC">
        <w:t xml:space="preserve"> </w:t>
      </w:r>
      <w:r w:rsidR="00E83E3D">
        <w:t xml:space="preserve">According to the </w:t>
      </w:r>
      <w:proofErr w:type="spellStart"/>
      <w:r w:rsidR="00E83E3D">
        <w:t>OIA</w:t>
      </w:r>
      <w:proofErr w:type="spellEnd"/>
      <w:r w:rsidR="00E83E3D">
        <w:t xml:space="preserve"> statistics published biannually by PSC, </w:t>
      </w:r>
      <w:proofErr w:type="spellStart"/>
      <w:r w:rsidR="003000CC">
        <w:t>MPI</w:t>
      </w:r>
      <w:proofErr w:type="spellEnd"/>
      <w:r w:rsidR="003000CC">
        <w:t xml:space="preserve"> is one of </w:t>
      </w:r>
      <w:r w:rsidR="004E1D06">
        <w:t xml:space="preserve">only </w:t>
      </w:r>
      <w:r w:rsidR="003000CC">
        <w:t xml:space="preserve">five </w:t>
      </w:r>
      <w:r w:rsidR="00B428DB">
        <w:t xml:space="preserve">government </w:t>
      </w:r>
      <w:r w:rsidR="003000CC">
        <w:t xml:space="preserve">departments out of 34 that published no </w:t>
      </w:r>
      <w:proofErr w:type="spellStart"/>
      <w:r w:rsidR="003000CC">
        <w:t>OIA</w:t>
      </w:r>
      <w:proofErr w:type="spellEnd"/>
      <w:r w:rsidR="003000CC">
        <w:t xml:space="preserve"> responses in the most recent reporting period.</w:t>
      </w:r>
      <w:r w:rsidR="003000CC">
        <w:rPr>
          <w:rStyle w:val="FootnoteReference"/>
        </w:rPr>
        <w:footnoteReference w:id="6"/>
      </w:r>
    </w:p>
    <w:p w14:paraId="57AB4D2E" w14:textId="32F9C439" w:rsidR="00E83E3D" w:rsidRDefault="00563DE5" w:rsidP="00EE6901">
      <w:pPr>
        <w:pStyle w:val="BodyText"/>
      </w:pPr>
      <w:r>
        <w:t>T</w:t>
      </w:r>
      <w:r w:rsidR="00EE6901">
        <w:t xml:space="preserve">he absence of a practice of proactively releasing </w:t>
      </w:r>
      <w:proofErr w:type="spellStart"/>
      <w:r w:rsidR="00EE6901">
        <w:t>OIA</w:t>
      </w:r>
      <w:proofErr w:type="spellEnd"/>
      <w:r w:rsidR="00EE6901">
        <w:t xml:space="preserve"> responses </w:t>
      </w:r>
      <w:r>
        <w:t xml:space="preserve">may reflect </w:t>
      </w:r>
      <w:r w:rsidR="00D87B1D">
        <w:t xml:space="preserve">what some staff considered a culture of </w:t>
      </w:r>
      <w:r>
        <w:t>risk aversio</w:t>
      </w:r>
      <w:r w:rsidR="00EE6901">
        <w:t xml:space="preserve">n toward </w:t>
      </w:r>
      <w:r w:rsidR="00CB5102">
        <w:t>the release of</w:t>
      </w:r>
      <w:r w:rsidR="00EE6901">
        <w:t xml:space="preserve"> official information. This is particularly notable given the central role of the agency’s </w:t>
      </w:r>
      <w:proofErr w:type="spellStart"/>
      <w:r w:rsidR="00EE6901">
        <w:t>OIA</w:t>
      </w:r>
      <w:proofErr w:type="spellEnd"/>
      <w:r w:rsidR="00EE6901">
        <w:t xml:space="preserve"> function in promoting and enabling openness within the organisation. As the business unit most directly responsible for</w:t>
      </w:r>
      <w:r w:rsidR="002F5F3A">
        <w:t xml:space="preserve"> </w:t>
      </w:r>
      <w:r w:rsidR="00EE6901">
        <w:t xml:space="preserve">supporting good official information practice, </w:t>
      </w:r>
      <w:r w:rsidR="00D66D54">
        <w:t xml:space="preserve">it is appropriate that </w:t>
      </w:r>
      <w:r w:rsidR="00EE6901">
        <w:t xml:space="preserve">the </w:t>
      </w:r>
      <w:proofErr w:type="spellStart"/>
      <w:r w:rsidR="00EE6901">
        <w:t>OIA</w:t>
      </w:r>
      <w:proofErr w:type="spellEnd"/>
      <w:r w:rsidR="00EE6901">
        <w:t xml:space="preserve"> function </w:t>
      </w:r>
      <w:r w:rsidR="00D66D54">
        <w:t>should</w:t>
      </w:r>
      <w:r w:rsidR="00EE6901">
        <w:t xml:space="preserve"> model and champion a proactive approach to transparency.</w:t>
      </w:r>
      <w:r w:rsidR="002F5F3A">
        <w:t xml:space="preserve"> </w:t>
      </w:r>
    </w:p>
    <w:p w14:paraId="7E81A2C7" w14:textId="55B5865A" w:rsidR="00EE6901" w:rsidRDefault="002F5F3A" w:rsidP="00EE6901">
      <w:pPr>
        <w:pStyle w:val="BodyText"/>
      </w:pPr>
      <w:r>
        <w:t xml:space="preserve">Incorporating a practice of proactively releasing </w:t>
      </w:r>
      <w:proofErr w:type="spellStart"/>
      <w:r>
        <w:t>OIA</w:t>
      </w:r>
      <w:proofErr w:type="spellEnd"/>
      <w:r>
        <w:t xml:space="preserve"> responses into </w:t>
      </w:r>
      <w:r w:rsidR="00FC1227">
        <w:t>policy and</w:t>
      </w:r>
      <w:r>
        <w:t xml:space="preserve"> implementing this policy should be a priority for the Ministry.</w:t>
      </w:r>
      <w:r w:rsidR="00544B03">
        <w:t xml:space="preserve"> I also encourage the Min</w:t>
      </w:r>
      <w:r w:rsidR="00BB20EB">
        <w:t>i</w:t>
      </w:r>
      <w:r w:rsidR="00544B03">
        <w:t>stry to publish its proactive release policy once it is developed.</w:t>
      </w:r>
    </w:p>
    <w:p w14:paraId="6E58C612" w14:textId="0538462B" w:rsidR="00D20585" w:rsidRDefault="00D20585" w:rsidP="00EE6901">
      <w:pPr>
        <w:pStyle w:val="BodyText"/>
      </w:pPr>
      <w:r>
        <w:t xml:space="preserve">In response to </w:t>
      </w:r>
      <w:r w:rsidR="00A12D0A">
        <w:t xml:space="preserve">my </w:t>
      </w:r>
      <w:r>
        <w:t xml:space="preserve">provisional opinion the Director General noted he agreed that </w:t>
      </w:r>
      <w:r w:rsidRPr="00D20585">
        <w:rPr>
          <w:rStyle w:val="Quotationwithinthesentence"/>
        </w:rPr>
        <w:t xml:space="preserve">‘developing a proactive release policy is an important next step for </w:t>
      </w:r>
      <w:proofErr w:type="spellStart"/>
      <w:r w:rsidRPr="00D20585">
        <w:rPr>
          <w:rStyle w:val="Quotationwithinthesentence"/>
        </w:rPr>
        <w:t>MPI</w:t>
      </w:r>
      <w:proofErr w:type="spellEnd"/>
      <w:r w:rsidRPr="00D20585">
        <w:rPr>
          <w:rStyle w:val="Quotationwithinthesentence"/>
        </w:rPr>
        <w:t>, and we will prioritise this work.’</w:t>
      </w:r>
      <w:r>
        <w:t xml:space="preserve"> He </w:t>
      </w:r>
      <w:r>
        <w:lastRenderedPageBreak/>
        <w:t xml:space="preserve">also committed to proactively releasing </w:t>
      </w:r>
      <w:proofErr w:type="spellStart"/>
      <w:r>
        <w:t>OIA</w:t>
      </w:r>
      <w:proofErr w:type="spellEnd"/>
      <w:r>
        <w:t xml:space="preserve"> responses where appropriate and that this approach would also be reflected in the development of the Ministry’s proactive release policy. </w:t>
      </w:r>
    </w:p>
    <w:p w14:paraId="30A4CD75" w14:textId="2994FF17" w:rsidR="00D20585" w:rsidRDefault="00D20585" w:rsidP="00EE6901">
      <w:pPr>
        <w:pStyle w:val="BodyText"/>
      </w:pPr>
      <w:r>
        <w:t xml:space="preserve">The Director General also signalled that developing a proactive release policy which reflects the scale and diversity </w:t>
      </w:r>
      <w:r w:rsidR="00566E0E">
        <w:t xml:space="preserve">of </w:t>
      </w:r>
      <w:proofErr w:type="spellStart"/>
      <w:r w:rsidR="00566E0E">
        <w:t>MPI’s</w:t>
      </w:r>
      <w:proofErr w:type="spellEnd"/>
      <w:r w:rsidR="00566E0E">
        <w:t xml:space="preserve"> functions may take some time, which </w:t>
      </w:r>
      <w:r w:rsidR="003276CE">
        <w:t>we</w:t>
      </w:r>
      <w:r w:rsidR="00566E0E">
        <w:t xml:space="preserve"> appreciate. </w:t>
      </w:r>
      <w:r w:rsidR="003276CE">
        <w:t>We</w:t>
      </w:r>
      <w:r w:rsidR="00566E0E">
        <w:t xml:space="preserve"> look forward to following the Ministry’s progress over the coming year and</w:t>
      </w:r>
      <w:r w:rsidR="00140D11">
        <w:t xml:space="preserve"> </w:t>
      </w:r>
      <w:r w:rsidR="00FF769B">
        <w:t>our</w:t>
      </w:r>
      <w:r w:rsidR="00140D11">
        <w:t xml:space="preserve"> </w:t>
      </w:r>
      <w:r w:rsidR="00566E0E">
        <w:t>Office is available to provide guidance on developing</w:t>
      </w:r>
      <w:r w:rsidR="003276CE">
        <w:t xml:space="preserve"> </w:t>
      </w:r>
      <w:r w:rsidR="00566E0E">
        <w:t>policy.</w:t>
      </w:r>
    </w:p>
    <w:p w14:paraId="0F257705" w14:textId="4B6EAF6C" w:rsidR="009B0AE2" w:rsidRDefault="00D20585" w:rsidP="00EE6901">
      <w:pPr>
        <w:pStyle w:val="BodyText"/>
      </w:pPr>
      <w:r>
        <w:t>As a first step,</w:t>
      </w:r>
      <w:r w:rsidR="00520ED7">
        <w:t xml:space="preserve"> </w:t>
      </w:r>
      <w:r>
        <w:t>t</w:t>
      </w:r>
      <w:r w:rsidR="009B0AE2">
        <w:t xml:space="preserve">he Ministry may wish to </w:t>
      </w:r>
      <w:r w:rsidR="00314390">
        <w:t xml:space="preserve">refer to the guidance published on </w:t>
      </w:r>
      <w:r w:rsidR="003276CE">
        <w:t>the</w:t>
      </w:r>
      <w:r w:rsidR="00314390">
        <w:t xml:space="preserve"> Office’s website on good practice for the proactive release of information as it develops its proactive release policy.</w:t>
      </w:r>
      <w:r w:rsidR="00314390">
        <w:rPr>
          <w:rStyle w:val="FootnoteReference"/>
        </w:rPr>
        <w:footnoteReference w:id="7"/>
      </w:r>
      <w:r w:rsidR="00314390">
        <w:t xml:space="preserve"> </w:t>
      </w:r>
    </w:p>
    <w:tbl>
      <w:tblPr>
        <w:tblStyle w:val="TableGrid"/>
        <w:tblW w:w="935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665815" w14:paraId="25224312" w14:textId="77777777" w:rsidTr="00A3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2BB673" w:themeFill="accent1"/>
          </w:tcPr>
          <w:p w14:paraId="3684F11A" w14:textId="77777777" w:rsidR="00665815" w:rsidRDefault="00665815">
            <w:pPr>
              <w:pStyle w:val="Headingboxtexttop"/>
            </w:pPr>
            <w:r w:rsidRPr="00A34772">
              <w:rPr>
                <w:color w:val="auto"/>
              </w:rPr>
              <w:t xml:space="preserve">Action point </w:t>
            </w:r>
          </w:p>
        </w:tc>
      </w:tr>
      <w:tr w:rsidR="00665815" w14:paraId="2BB676A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2E73CE1A" w14:textId="1C4B54AE" w:rsidR="00665815" w:rsidRDefault="003000CC">
            <w:pPr>
              <w:pStyle w:val="BodyText"/>
            </w:pPr>
            <w:r>
              <w:t>Prioritise the development of a proactive release policy</w:t>
            </w:r>
            <w:r w:rsidR="00FE4C71">
              <w:t xml:space="preserve"> and publish this policy when it is finalised</w:t>
            </w:r>
            <w:r w:rsidR="009E6646">
              <w:t>.</w:t>
            </w:r>
          </w:p>
        </w:tc>
      </w:tr>
      <w:tr w:rsidR="00FE4C71" w14:paraId="65220DB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0340B9BC" w14:textId="2DE3EEC2" w:rsidR="00FE4C71" w:rsidRDefault="009E6646">
            <w:pPr>
              <w:pStyle w:val="BodyText"/>
            </w:pPr>
            <w:r>
              <w:t xml:space="preserve">Prioritise the development of a practice of proactively releasing </w:t>
            </w:r>
            <w:proofErr w:type="spellStart"/>
            <w:r>
              <w:t>OIA</w:t>
            </w:r>
            <w:proofErr w:type="spellEnd"/>
            <w:r>
              <w:t xml:space="preserve"> responses and ensure this is incorporated in the proactive release policy.</w:t>
            </w:r>
          </w:p>
        </w:tc>
      </w:tr>
    </w:tbl>
    <w:p w14:paraId="11F23817" w14:textId="77777777" w:rsidR="00665815" w:rsidRDefault="00665815" w:rsidP="00F43435">
      <w:pPr>
        <w:pStyle w:val="Whitespace"/>
      </w:pPr>
    </w:p>
    <w:p w14:paraId="2E4B8D2D" w14:textId="70F67EF4" w:rsidR="00F73B49" w:rsidRPr="00F73B49" w:rsidRDefault="001A6CD7" w:rsidP="00F73B49">
      <w:pPr>
        <w:pStyle w:val="Heading2"/>
      </w:pPr>
      <w:bookmarkStart w:id="29" w:name="_Review_and_sign"/>
      <w:bookmarkStart w:id="30" w:name="_Toc239154203"/>
      <w:bookmarkEnd w:id="29"/>
      <w:r>
        <w:t>Review and s</w:t>
      </w:r>
      <w:r w:rsidR="00F73B49">
        <w:t>ign out processes</w:t>
      </w:r>
      <w:bookmarkEnd w:id="30"/>
    </w:p>
    <w:p w14:paraId="671C40EB" w14:textId="358CCF6E" w:rsidR="009F5B0B" w:rsidRDefault="009F5B0B" w:rsidP="008568F1">
      <w:pPr>
        <w:pStyle w:val="BodyText"/>
      </w:pPr>
      <w:bookmarkStart w:id="31" w:name="_Hlk227679117"/>
      <w:bookmarkStart w:id="32" w:name="_Hlk228803304"/>
      <w:r>
        <w:t>A</w:t>
      </w:r>
      <w:r w:rsidR="0053025B">
        <w:t xml:space="preserve">n agency’s </w:t>
      </w:r>
      <w:proofErr w:type="spellStart"/>
      <w:r w:rsidR="0053025B">
        <w:t>OIA</w:t>
      </w:r>
      <w:proofErr w:type="spellEnd"/>
      <w:r w:rsidR="0053025B">
        <w:t xml:space="preserve"> </w:t>
      </w:r>
      <w:r>
        <w:t xml:space="preserve">review and sign out process </w:t>
      </w:r>
      <w:r w:rsidR="00576CC1">
        <w:t>should</w:t>
      </w:r>
      <w:r w:rsidR="0053025B">
        <w:t xml:space="preserve"> be</w:t>
      </w:r>
      <w:r>
        <w:t xml:space="preserve"> </w:t>
      </w:r>
      <w:r w:rsidR="001A6CD7">
        <w:t>robust but</w:t>
      </w:r>
      <w:r>
        <w:t xml:space="preserve"> not excessively layered. </w:t>
      </w:r>
      <w:r w:rsidR="00662DB5">
        <w:t>Senior leaders should ensure the process</w:t>
      </w:r>
      <w:r>
        <w:t xml:space="preserve"> </w:t>
      </w:r>
      <w:r w:rsidR="00C67E9E">
        <w:t>achieve</w:t>
      </w:r>
      <w:r w:rsidR="00662DB5">
        <w:t>s</w:t>
      </w:r>
      <w:r w:rsidR="00C67E9E">
        <w:t xml:space="preserve"> a </w:t>
      </w:r>
      <w:r>
        <w:t>balance</w:t>
      </w:r>
      <w:r w:rsidR="005D6993">
        <w:t xml:space="preserve"> </w:t>
      </w:r>
      <w:r w:rsidR="00C67E9E">
        <w:t xml:space="preserve">between </w:t>
      </w:r>
      <w:r w:rsidR="005D6993">
        <w:t>quality assessment and</w:t>
      </w:r>
      <w:r w:rsidR="0053025B">
        <w:t xml:space="preserve"> </w:t>
      </w:r>
      <w:r w:rsidR="00C67E9E">
        <w:t>ensuring that</w:t>
      </w:r>
      <w:r w:rsidR="0053025B">
        <w:t xml:space="preserve"> final </w:t>
      </w:r>
      <w:r w:rsidR="003125BD">
        <w:t>decision</w:t>
      </w:r>
      <w:r w:rsidR="00C67E9E">
        <w:t>s are</w:t>
      </w:r>
      <w:r w:rsidR="0053025B">
        <w:t xml:space="preserve"> </w:t>
      </w:r>
      <w:r w:rsidR="003125BD">
        <w:t>made</w:t>
      </w:r>
      <w:r w:rsidR="005D6993">
        <w:t xml:space="preserve"> by a suitably senior decision</w:t>
      </w:r>
      <w:r w:rsidR="00C67E9E">
        <w:t>-</w:t>
      </w:r>
      <w:r w:rsidR="005D6993">
        <w:t>maker, w</w:t>
      </w:r>
      <w:r w:rsidR="00C67E9E">
        <w:t>hile also</w:t>
      </w:r>
      <w:r w:rsidR="005D6993">
        <w:t xml:space="preserve"> a</w:t>
      </w:r>
      <w:r w:rsidR="00C67E9E">
        <w:t>dopting a</w:t>
      </w:r>
      <w:r w:rsidR="005D6993">
        <w:t xml:space="preserve"> pragmatic</w:t>
      </w:r>
      <w:r w:rsidR="0053025B">
        <w:t xml:space="preserve"> and streamlined</w:t>
      </w:r>
      <w:r w:rsidR="005D6993">
        <w:t xml:space="preserve"> approach to </w:t>
      </w:r>
      <w:r w:rsidR="0053025B">
        <w:t xml:space="preserve">avoid </w:t>
      </w:r>
      <w:r w:rsidR="005D6993">
        <w:t>undue delay</w:t>
      </w:r>
      <w:r w:rsidR="0053025B">
        <w:t>s in</w:t>
      </w:r>
      <w:r w:rsidR="005D6993">
        <w:t xml:space="preserve"> releas</w:t>
      </w:r>
      <w:r w:rsidR="0053025B">
        <w:t>ing</w:t>
      </w:r>
      <w:r w:rsidR="005D6993">
        <w:t xml:space="preserve"> information</w:t>
      </w:r>
      <w:r w:rsidR="0053025B">
        <w:t xml:space="preserve">. </w:t>
      </w:r>
    </w:p>
    <w:bookmarkEnd w:id="31"/>
    <w:p w14:paraId="556BEE81" w14:textId="6A58E8FC" w:rsidR="00B04DC5" w:rsidRDefault="00C67E9E" w:rsidP="008568F1">
      <w:pPr>
        <w:pStyle w:val="BodyText"/>
      </w:pPr>
      <w:r>
        <w:t xml:space="preserve">Review and sign-out process </w:t>
      </w:r>
      <w:r w:rsidR="008D7D0F">
        <w:t xml:space="preserve">can </w:t>
      </w:r>
      <w:r>
        <w:t xml:space="preserve">reflect an agency’s risk tolerance. </w:t>
      </w:r>
      <w:r w:rsidR="008D7D0F">
        <w:t xml:space="preserve">In our review of a sample of the Ministry’s </w:t>
      </w:r>
      <w:proofErr w:type="spellStart"/>
      <w:r w:rsidR="008D7D0F">
        <w:t>OIA</w:t>
      </w:r>
      <w:proofErr w:type="spellEnd"/>
      <w:r w:rsidR="008D7D0F">
        <w:t xml:space="preserve"> files, we saw some examples of the </w:t>
      </w:r>
      <w:proofErr w:type="spellStart"/>
      <w:r w:rsidR="008D7D0F">
        <w:t>OIA</w:t>
      </w:r>
      <w:proofErr w:type="spellEnd"/>
      <w:r w:rsidR="008D7D0F">
        <w:t xml:space="preserve"> review process being swift and pragmatic, but other</w:t>
      </w:r>
      <w:r w:rsidR="0045238A">
        <w:t>s</w:t>
      </w:r>
      <w:r w:rsidR="008D7D0F">
        <w:t xml:space="preserve"> wh</w:t>
      </w:r>
      <w:r w:rsidR="0045238A">
        <w:t xml:space="preserve">ere the </w:t>
      </w:r>
      <w:r w:rsidR="001746AE">
        <w:t xml:space="preserve">process </w:t>
      </w:r>
      <w:r w:rsidR="00FC1227">
        <w:t>included multiple layers,</w:t>
      </w:r>
      <w:r>
        <w:t xml:space="preserve"> which may impact on timeliness and transparency.</w:t>
      </w:r>
      <w:r w:rsidR="001746AE">
        <w:t xml:space="preserve"> </w:t>
      </w:r>
    </w:p>
    <w:p w14:paraId="54042F0E" w14:textId="42D798F5" w:rsidR="00555283" w:rsidRDefault="00555283" w:rsidP="00555283">
      <w:pPr>
        <w:pStyle w:val="Heading3"/>
      </w:pPr>
      <w:bookmarkStart w:id="33" w:name="_Toc239154204"/>
      <w:r>
        <w:t>A risk to timeliness compliance</w:t>
      </w:r>
      <w:bookmarkEnd w:id="33"/>
    </w:p>
    <w:p w14:paraId="7B1CF705" w14:textId="6598FEE3" w:rsidR="00E226D4" w:rsidRDefault="00E226D4" w:rsidP="008568F1">
      <w:pPr>
        <w:pStyle w:val="BodyText"/>
      </w:pPr>
      <w:r>
        <w:t xml:space="preserve">The Ministry has some good practices in place to help ensure timeliness compliance is in balance with its review processes. The </w:t>
      </w:r>
      <w:proofErr w:type="spellStart"/>
      <w:r>
        <w:t>OIA</w:t>
      </w:r>
      <w:proofErr w:type="spellEnd"/>
      <w:r>
        <w:t xml:space="preserve"> Team engages with roles it identifies as being required to review resp</w:t>
      </w:r>
      <w:r w:rsidR="00B04DC5">
        <w:t>o</w:t>
      </w:r>
      <w:r>
        <w:t xml:space="preserve">nses as early as possible in the </w:t>
      </w:r>
      <w:proofErr w:type="spellStart"/>
      <w:r>
        <w:t>OIA</w:t>
      </w:r>
      <w:proofErr w:type="spellEnd"/>
      <w:r>
        <w:t xml:space="preserve"> handling process</w:t>
      </w:r>
      <w:r w:rsidR="00445B89">
        <w:t>,</w:t>
      </w:r>
      <w:r>
        <w:t xml:space="preserve"> so they are forewarned, and we often saw reviewers being very responsive to requests to review draft </w:t>
      </w:r>
      <w:proofErr w:type="spellStart"/>
      <w:r>
        <w:t>OIA</w:t>
      </w:r>
      <w:proofErr w:type="spellEnd"/>
      <w:r>
        <w:t xml:space="preserve"> responses. </w:t>
      </w:r>
    </w:p>
    <w:p w14:paraId="54001D70" w14:textId="094BDAF9" w:rsidR="00B04DC5" w:rsidRDefault="00B04DC5" w:rsidP="00B04DC5">
      <w:pPr>
        <w:pStyle w:val="BodyText"/>
      </w:pPr>
      <w:r>
        <w:t xml:space="preserve">However, in one file we reviewed, the review process involved six layers of review, and staff we spoke to advised us </w:t>
      </w:r>
      <w:r w:rsidR="00FC1227">
        <w:t>the process could</w:t>
      </w:r>
      <w:r>
        <w:t xml:space="preserve"> sometimes involve seven or more review layers. In the example we saw, the number of roles involved in reviewing the response may have </w:t>
      </w:r>
      <w:r>
        <w:lastRenderedPageBreak/>
        <w:t>contributed to the response being delayed beyond the date it was due to the requester, which had already been extended by the Ministry.</w:t>
      </w:r>
    </w:p>
    <w:p w14:paraId="44C51F89" w14:textId="2920E5F7" w:rsidR="00F068BC" w:rsidRDefault="004E48DE" w:rsidP="00F068BC">
      <w:pPr>
        <w:pStyle w:val="Heading3"/>
      </w:pPr>
      <w:bookmarkStart w:id="34" w:name="_Toc239154205"/>
      <w:bookmarkStart w:id="35" w:name="_Hlk228975182"/>
      <w:r>
        <w:t>A</w:t>
      </w:r>
      <w:r w:rsidR="00555283">
        <w:t>dding contextual information</w:t>
      </w:r>
      <w:bookmarkEnd w:id="34"/>
    </w:p>
    <w:p w14:paraId="50C10EAD" w14:textId="5E73C911" w:rsidR="00012B4C" w:rsidRDefault="001A6CD7" w:rsidP="008568F1">
      <w:pPr>
        <w:pStyle w:val="BodyText"/>
      </w:pPr>
      <w:r>
        <w:t>Staff</w:t>
      </w:r>
      <w:r w:rsidR="00270660">
        <w:softHyphen/>
      </w:r>
      <w:r w:rsidR="00A46C77">
        <w:t xml:space="preserve">, </w:t>
      </w:r>
      <w:r w:rsidR="00270660">
        <w:t>including the Director General</w:t>
      </w:r>
      <w:r w:rsidR="00270660">
        <w:softHyphen/>
      </w:r>
      <w:r w:rsidR="00A46C77">
        <w:t xml:space="preserve">, </w:t>
      </w:r>
      <w:r w:rsidR="00D26018">
        <w:t>spoke about</w:t>
      </w:r>
      <w:r>
        <w:t xml:space="preserve"> the value of adding contextual information to </w:t>
      </w:r>
      <w:proofErr w:type="spellStart"/>
      <w:r>
        <w:t>OIA</w:t>
      </w:r>
      <w:proofErr w:type="spellEnd"/>
      <w:r>
        <w:t xml:space="preserve"> responses to assist requesters</w:t>
      </w:r>
      <w:r w:rsidR="00270660">
        <w:t>’</w:t>
      </w:r>
      <w:r>
        <w:t xml:space="preserve"> understanding</w:t>
      </w:r>
      <w:r w:rsidR="00715517">
        <w:t xml:space="preserve"> of the topic</w:t>
      </w:r>
      <w:r>
        <w:t xml:space="preserve">. </w:t>
      </w:r>
      <w:r w:rsidR="00715517">
        <w:t xml:space="preserve">Generally, </w:t>
      </w:r>
      <w:r w:rsidR="00071CE0">
        <w:t>we are</w:t>
      </w:r>
      <w:r w:rsidR="00715517">
        <w:t xml:space="preserve"> supportive of this approach</w:t>
      </w:r>
      <w:r w:rsidR="00AF6BB1">
        <w:t xml:space="preserve"> where it does not impede </w:t>
      </w:r>
      <w:r w:rsidR="00B6676B">
        <w:t xml:space="preserve">an agency’s statutory </w:t>
      </w:r>
      <w:r w:rsidR="00AF6BB1">
        <w:t>timeliness</w:t>
      </w:r>
      <w:r w:rsidR="00B6676B">
        <w:t xml:space="preserve"> obligations</w:t>
      </w:r>
      <w:r w:rsidR="00715517">
        <w:t>. However, the D</w:t>
      </w:r>
      <w:r w:rsidR="00AF6BB1">
        <w:t xml:space="preserve">irector </w:t>
      </w:r>
      <w:r w:rsidR="00715517">
        <w:t>G</w:t>
      </w:r>
      <w:r w:rsidR="00AF6BB1">
        <w:t>eneral</w:t>
      </w:r>
      <w:r w:rsidR="00715517">
        <w:t xml:space="preserve"> stated that </w:t>
      </w:r>
      <w:r w:rsidR="00012B4C">
        <w:t xml:space="preserve">when they are dealing with </w:t>
      </w:r>
      <w:proofErr w:type="spellStart"/>
      <w:r w:rsidR="00012B4C">
        <w:t>OIA</w:t>
      </w:r>
      <w:proofErr w:type="spellEnd"/>
      <w:r w:rsidR="00012B4C">
        <w:t xml:space="preserve"> requests which </w:t>
      </w:r>
      <w:r w:rsidR="008D7D0F">
        <w:t>hold a</w:t>
      </w:r>
      <w:r w:rsidR="00012B4C">
        <w:t xml:space="preserve"> perceived </w:t>
      </w:r>
      <w:r w:rsidR="008D7D0F">
        <w:t>risk</w:t>
      </w:r>
      <w:r w:rsidR="00012B4C">
        <w:t xml:space="preserve"> for the agency </w:t>
      </w:r>
      <w:r w:rsidR="002479B3" w:rsidRPr="008B3B09">
        <w:rPr>
          <w:rStyle w:val="Quotationwithinthesentence"/>
        </w:rPr>
        <w:t>‘</w:t>
      </w:r>
      <w:r w:rsidR="00012B4C" w:rsidRPr="008B3B09">
        <w:rPr>
          <w:rStyle w:val="Quotationwithinthesentence"/>
        </w:rPr>
        <w:t>(t)</w:t>
      </w:r>
      <w:r w:rsidR="002479B3" w:rsidRPr="008B3B09">
        <w:rPr>
          <w:rStyle w:val="Quotationwithinthesentence"/>
        </w:rPr>
        <w:t xml:space="preserve">hen we become extra careful and sometimes we take a bit longer to see if there are </w:t>
      </w:r>
      <w:proofErr w:type="gramStart"/>
      <w:r w:rsidR="002479B3" w:rsidRPr="008B3B09">
        <w:rPr>
          <w:rStyle w:val="Quotationwithinthesentence"/>
        </w:rPr>
        <w:t>ways</w:t>
      </w:r>
      <w:proofErr w:type="gramEnd"/>
      <w:r w:rsidR="002479B3" w:rsidRPr="008B3B09">
        <w:rPr>
          <w:rStyle w:val="Quotationwithinthesentence"/>
        </w:rPr>
        <w:t xml:space="preserve"> we can help that person understand what it is we’re trying to do.’</w:t>
      </w:r>
      <w:r w:rsidR="00715517">
        <w:t xml:space="preserve"> </w:t>
      </w:r>
    </w:p>
    <w:p w14:paraId="14CCD460" w14:textId="63FE20AF" w:rsidR="00A46C77" w:rsidRDefault="00376AFB" w:rsidP="008568F1">
      <w:pPr>
        <w:pStyle w:val="BodyText"/>
      </w:pPr>
      <w:r>
        <w:t xml:space="preserve">This is another example of the culture of risk aversion which </w:t>
      </w:r>
      <w:r w:rsidR="008D7D0F">
        <w:t>some staff spoke of in our agency questionnaire</w:t>
      </w:r>
      <w:r>
        <w:t xml:space="preserve">. The Director General’s approach of taking more time to respond to a request than necessary </w:t>
      </w:r>
      <w:proofErr w:type="gramStart"/>
      <w:r>
        <w:t>in order to</w:t>
      </w:r>
      <w:proofErr w:type="gramEnd"/>
      <w:r>
        <w:t xml:space="preserve"> </w:t>
      </w:r>
      <w:r w:rsidR="00BD1FB0">
        <w:t>guide requesters’ understanding</w:t>
      </w:r>
      <w:r>
        <w:t xml:space="preserve"> </w:t>
      </w:r>
      <w:r w:rsidR="008B3B09">
        <w:t>of the topic</w:t>
      </w:r>
      <w:r w:rsidR="0031595E">
        <w:t xml:space="preserve"> could be received as</w:t>
      </w:r>
      <w:r>
        <w:t xml:space="preserve"> a tacit message about his approach to the </w:t>
      </w:r>
      <w:proofErr w:type="spellStart"/>
      <w:r>
        <w:t>OIA</w:t>
      </w:r>
      <w:proofErr w:type="spellEnd"/>
      <w:r>
        <w:t xml:space="preserve"> that staff will absorb whether or not the Director General explici</w:t>
      </w:r>
      <w:r w:rsidR="00EF3423">
        <w:t xml:space="preserve">tly </w:t>
      </w:r>
      <w:r w:rsidR="00B73D88">
        <w:t>states this as the Ministry’s official po</w:t>
      </w:r>
      <w:r w:rsidR="00861050">
        <w:t>licy</w:t>
      </w:r>
      <w:r w:rsidR="00B73D88">
        <w:t xml:space="preserve">. </w:t>
      </w:r>
      <w:r w:rsidR="00A03202">
        <w:t xml:space="preserve">At essence, it endorses prioritising </w:t>
      </w:r>
      <w:r w:rsidR="00D67C27">
        <w:t xml:space="preserve">reputational </w:t>
      </w:r>
      <w:r w:rsidR="00A03202">
        <w:t xml:space="preserve">risk </w:t>
      </w:r>
      <w:r w:rsidR="00D67C27">
        <w:t>management</w:t>
      </w:r>
      <w:r w:rsidR="00A03202">
        <w:t xml:space="preserve"> over </w:t>
      </w:r>
      <w:proofErr w:type="spellStart"/>
      <w:r w:rsidR="00D67C27">
        <w:t>OIA</w:t>
      </w:r>
      <w:proofErr w:type="spellEnd"/>
      <w:r w:rsidR="00D67C27">
        <w:t xml:space="preserve"> </w:t>
      </w:r>
      <w:r w:rsidR="00A03202">
        <w:t>compliance.</w:t>
      </w:r>
    </w:p>
    <w:p w14:paraId="43DF73DB" w14:textId="059FD930" w:rsidR="00D26018" w:rsidRDefault="008B0FEC" w:rsidP="008568F1">
      <w:pPr>
        <w:pStyle w:val="BodyText"/>
      </w:pPr>
      <w:r>
        <w:t>While we generally support providing useful contextual information where it does not impede timeliness, i</w:t>
      </w:r>
      <w:r w:rsidR="00715517">
        <w:t xml:space="preserve">t is not a requirement of the </w:t>
      </w:r>
      <w:proofErr w:type="spellStart"/>
      <w:r w:rsidR="00715517">
        <w:t>OIA</w:t>
      </w:r>
      <w:proofErr w:type="spellEnd"/>
      <w:r w:rsidR="00715517">
        <w:t xml:space="preserve"> </w:t>
      </w:r>
      <w:r w:rsidR="00EA0B3E">
        <w:t>that agencies must</w:t>
      </w:r>
      <w:r w:rsidR="00715517">
        <w:t xml:space="preserve"> </w:t>
      </w:r>
      <w:r>
        <w:t>do so. No</w:t>
      </w:r>
      <w:r w:rsidR="00715517">
        <w:t xml:space="preserve">r is it </w:t>
      </w:r>
      <w:r>
        <w:t>required</w:t>
      </w:r>
      <w:r w:rsidR="00715517">
        <w:t xml:space="preserve"> that the requester </w:t>
      </w:r>
      <w:r>
        <w:t>understand</w:t>
      </w:r>
      <w:r w:rsidR="00715517">
        <w:t xml:space="preserve"> information in </w:t>
      </w:r>
      <w:r w:rsidR="0098428A">
        <w:t xml:space="preserve">a </w:t>
      </w:r>
      <w:r w:rsidR="00715517">
        <w:t>way th</w:t>
      </w:r>
      <w:r w:rsidR="00A46C77">
        <w:t>at aligns with the</w:t>
      </w:r>
      <w:r w:rsidR="00715517">
        <w:t xml:space="preserve"> agency</w:t>
      </w:r>
      <w:r w:rsidR="00A46C77">
        <w:t>’s interpretation</w:t>
      </w:r>
      <w:r w:rsidR="00715517">
        <w:t xml:space="preserve">. </w:t>
      </w:r>
      <w:r w:rsidR="00A46C77">
        <w:t>It is, h</w:t>
      </w:r>
      <w:r w:rsidR="00715517">
        <w:t xml:space="preserve">owever, a requirement of the </w:t>
      </w:r>
      <w:proofErr w:type="spellStart"/>
      <w:r w:rsidR="00715517">
        <w:t>OIA</w:t>
      </w:r>
      <w:proofErr w:type="spellEnd"/>
      <w:r w:rsidR="00715517">
        <w:t xml:space="preserve"> that </w:t>
      </w:r>
      <w:r w:rsidR="00A46C77">
        <w:t xml:space="preserve">decisions on requests are </w:t>
      </w:r>
      <w:r w:rsidR="006150CF">
        <w:t xml:space="preserve">made and </w:t>
      </w:r>
      <w:r w:rsidR="00A46C77">
        <w:t>communicated to requesters as soon as reasonably practicable’</w:t>
      </w:r>
      <w:r w:rsidR="00A46C77">
        <w:rPr>
          <w:rStyle w:val="FootnoteReference"/>
        </w:rPr>
        <w:footnoteReference w:id="8"/>
      </w:r>
      <w:r w:rsidR="00A46C77">
        <w:t xml:space="preserve"> and </w:t>
      </w:r>
      <w:r w:rsidR="00715517">
        <w:t xml:space="preserve">information is provided without </w:t>
      </w:r>
      <w:r w:rsidR="00F56FCA">
        <w:t>‘</w:t>
      </w:r>
      <w:r w:rsidR="00715517">
        <w:t>undue delay’.</w:t>
      </w:r>
      <w:r w:rsidR="00A46C77">
        <w:rPr>
          <w:rStyle w:val="FootnoteReference"/>
        </w:rPr>
        <w:footnoteReference w:id="9"/>
      </w:r>
      <w:r w:rsidR="00715517">
        <w:t xml:space="preserve"> </w:t>
      </w:r>
    </w:p>
    <w:p w14:paraId="58C17248" w14:textId="041B20D5" w:rsidR="0077763C" w:rsidRDefault="0098428A" w:rsidP="008568F1">
      <w:pPr>
        <w:pStyle w:val="BodyText"/>
      </w:pPr>
      <w:r>
        <w:t>We</w:t>
      </w:r>
      <w:r w:rsidR="00D26018">
        <w:t xml:space="preserve"> would be</w:t>
      </w:r>
      <w:r w:rsidR="00715517">
        <w:t xml:space="preserve"> concern</w:t>
      </w:r>
      <w:r w:rsidR="00D26018">
        <w:t>ed</w:t>
      </w:r>
      <w:r w:rsidR="00715517">
        <w:t xml:space="preserve"> if an agency delayed providing information to a requester, even if its intent were to be helpful. </w:t>
      </w:r>
      <w:r>
        <w:t xml:space="preserve">We remind </w:t>
      </w:r>
      <w:proofErr w:type="spellStart"/>
      <w:r w:rsidR="009832A3">
        <w:t>MPI</w:t>
      </w:r>
      <w:proofErr w:type="spellEnd"/>
      <w:r w:rsidR="009832A3">
        <w:t xml:space="preserve"> that q</w:t>
      </w:r>
      <w:r w:rsidR="007E17FB">
        <w:t>uality control is important, but timeliness is a legislative requirement</w:t>
      </w:r>
      <w:bookmarkEnd w:id="32"/>
      <w:r w:rsidR="00F068BC">
        <w:t xml:space="preserve"> and must be prioritised</w:t>
      </w:r>
      <w:r w:rsidR="00AF6BB1">
        <w:t xml:space="preserve">. It is </w:t>
      </w:r>
      <w:r w:rsidR="00D26018">
        <w:t xml:space="preserve">important that this expectation is clearly communicated </w:t>
      </w:r>
      <w:r w:rsidR="00475F6F">
        <w:t xml:space="preserve">and modelled </w:t>
      </w:r>
      <w:r w:rsidR="00D26018">
        <w:t>by</w:t>
      </w:r>
      <w:r w:rsidR="00AF6BB1">
        <w:t xml:space="preserve"> senior leaders </w:t>
      </w:r>
      <w:bookmarkEnd w:id="35"/>
      <w:r w:rsidR="00D26018">
        <w:t xml:space="preserve">and reflected in </w:t>
      </w:r>
      <w:proofErr w:type="spellStart"/>
      <w:r w:rsidR="00D26018">
        <w:t>MPI’s</w:t>
      </w:r>
      <w:proofErr w:type="spellEnd"/>
      <w:r w:rsidR="00D26018">
        <w:t xml:space="preserve"> </w:t>
      </w:r>
      <w:proofErr w:type="spellStart"/>
      <w:r w:rsidR="00D26018">
        <w:t>OIA</w:t>
      </w:r>
      <w:proofErr w:type="spellEnd"/>
      <w:r w:rsidR="00D26018">
        <w:t xml:space="preserve"> policy and practices.</w:t>
      </w:r>
    </w:p>
    <w:p w14:paraId="2E9FCC0A" w14:textId="77777777" w:rsidR="00861050" w:rsidRDefault="00861050" w:rsidP="00861050">
      <w:pPr>
        <w:pStyle w:val="Heading3"/>
      </w:pPr>
      <w:bookmarkStart w:id="36" w:name="_Toc239154206"/>
      <w:r>
        <w:t xml:space="preserve">The role of Public Affairs in </w:t>
      </w:r>
      <w:proofErr w:type="spellStart"/>
      <w:r>
        <w:t>OIA</w:t>
      </w:r>
      <w:proofErr w:type="spellEnd"/>
      <w:r>
        <w:t xml:space="preserve"> review</w:t>
      </w:r>
      <w:bookmarkEnd w:id="36"/>
    </w:p>
    <w:p w14:paraId="43637912" w14:textId="5CE2E236" w:rsidR="00861050" w:rsidRDefault="00861050" w:rsidP="00861050">
      <w:pPr>
        <w:pStyle w:val="BodyText"/>
      </w:pPr>
      <w:r>
        <w:t xml:space="preserve">I am concerned about the role of ‘Public Affairs’ in </w:t>
      </w:r>
      <w:proofErr w:type="spellStart"/>
      <w:r>
        <w:t>MPI’s</w:t>
      </w:r>
      <w:proofErr w:type="spellEnd"/>
      <w:r>
        <w:t xml:space="preserve"> </w:t>
      </w:r>
      <w:proofErr w:type="spellStart"/>
      <w:r>
        <w:t>OIA</w:t>
      </w:r>
      <w:proofErr w:type="spellEnd"/>
      <w:r>
        <w:t xml:space="preserve"> sign-out process. The Ministry’s </w:t>
      </w:r>
      <w:proofErr w:type="spellStart"/>
      <w:r>
        <w:t>OIA</w:t>
      </w:r>
      <w:proofErr w:type="spellEnd"/>
      <w:r>
        <w:t xml:space="preserve"> guidance requires that draft </w:t>
      </w:r>
      <w:proofErr w:type="spellStart"/>
      <w:r>
        <w:t>OIA</w:t>
      </w:r>
      <w:proofErr w:type="spellEnd"/>
      <w:r>
        <w:t xml:space="preserve"> responses are provided to ‘Public Affairs’ in hard copy where the response is considered sensitive and requires their review. However, ‘Public Affairs’ is the name of the directorate the </w:t>
      </w:r>
      <w:proofErr w:type="spellStart"/>
      <w:r>
        <w:t>OIA</w:t>
      </w:r>
      <w:proofErr w:type="spellEnd"/>
      <w:r>
        <w:t xml:space="preserve"> Team is placed in; it does not identify a specific role or decision-maker. In practice, this creates opacity around who is providing input.</w:t>
      </w:r>
    </w:p>
    <w:p w14:paraId="5A286E6C" w14:textId="6CFEF6E8" w:rsidR="00861050" w:rsidRDefault="00861050" w:rsidP="00861050">
      <w:pPr>
        <w:pStyle w:val="BodyText"/>
      </w:pPr>
      <w:r>
        <w:t>Based on discussions with staff, we understand that the review from ‘Public Affairs’ is typically conducted by a senior member of staff at Deputy Director General or Principal Advisor level</w:t>
      </w:r>
      <w:r w:rsidR="00A257E3">
        <w:t xml:space="preserve"> and, in its response to my provisional opinion, the Ministry clarified that a ‘Public Affairs’ review in the </w:t>
      </w:r>
      <w:proofErr w:type="spellStart"/>
      <w:r w:rsidR="00A257E3">
        <w:t>OIA</w:t>
      </w:r>
      <w:proofErr w:type="spellEnd"/>
      <w:r w:rsidR="00A257E3">
        <w:t xml:space="preserve"> context refers to </w:t>
      </w:r>
      <w:r w:rsidR="00A257E3" w:rsidRPr="006B7027">
        <w:rPr>
          <w:rStyle w:val="Quotationwithinthesentence"/>
        </w:rPr>
        <w:t xml:space="preserve">‘a forum of senior Public Affairs leaders’ comprising ‘the </w:t>
      </w:r>
      <w:r w:rsidR="00A257E3" w:rsidRPr="006B7027">
        <w:rPr>
          <w:rStyle w:val="Quotationwithinthesentence"/>
        </w:rPr>
        <w:lastRenderedPageBreak/>
        <w:t xml:space="preserve">Deputy Director General Public Affairs, alongside senior advisors and relevant Public Affairs directors, and may also include </w:t>
      </w:r>
      <w:r w:rsidR="00604B41" w:rsidRPr="006B7027">
        <w:rPr>
          <w:rStyle w:val="Quotationwithinthesentence"/>
        </w:rPr>
        <w:t>leadership from subject matter teams.’</w:t>
      </w:r>
      <w:r w:rsidR="00A257E3">
        <w:t xml:space="preserve"> </w:t>
      </w:r>
      <w:r>
        <w:t xml:space="preserve">However, this is not always clear in the documented process, and references to input or approval from ‘Public Affairs’ within </w:t>
      </w:r>
      <w:proofErr w:type="spellStart"/>
      <w:r>
        <w:t>OIA</w:t>
      </w:r>
      <w:proofErr w:type="spellEnd"/>
      <w:r>
        <w:t xml:space="preserve"> sample files often refers to a reviewer only by the acronym ‘PA’, not to an actual person</w:t>
      </w:r>
      <w:r w:rsidR="00604B41">
        <w:t>/people</w:t>
      </w:r>
      <w:r>
        <w:t xml:space="preserve"> or role</w:t>
      </w:r>
      <w:r w:rsidR="00604B41">
        <w:t>(s)</w:t>
      </w:r>
      <w:r>
        <w:t xml:space="preserve">. This could make it difficult to attribute responsibility for input on </w:t>
      </w:r>
      <w:proofErr w:type="spellStart"/>
      <w:r>
        <w:t>OIA</w:t>
      </w:r>
      <w:proofErr w:type="spellEnd"/>
      <w:r>
        <w:t xml:space="preserve"> responses.</w:t>
      </w:r>
    </w:p>
    <w:p w14:paraId="5C20F8A1" w14:textId="77777777" w:rsidR="00861050" w:rsidRDefault="00861050" w:rsidP="00861050">
      <w:pPr>
        <w:pStyle w:val="BodyText"/>
      </w:pPr>
      <w:bookmarkStart w:id="37" w:name="_Hlk228820693"/>
      <w:r>
        <w:t xml:space="preserve">The lack of transparency is compounded by the way feedback from Public Affairs is conveyed and recorded. Staff advised us that input from ‘Public Affairs’ is typically provided orally to an </w:t>
      </w:r>
      <w:proofErr w:type="spellStart"/>
      <w:r>
        <w:t>OIA</w:t>
      </w:r>
      <w:proofErr w:type="spellEnd"/>
      <w:r>
        <w:t xml:space="preserve"> advisor rather than being documented (for example, by email or tracked changes in the draft </w:t>
      </w:r>
      <w:proofErr w:type="spellStart"/>
      <w:r>
        <w:t>OIA</w:t>
      </w:r>
      <w:proofErr w:type="spellEnd"/>
      <w:r>
        <w:t xml:space="preserve"> response). The </w:t>
      </w:r>
      <w:proofErr w:type="spellStart"/>
      <w:r>
        <w:t>OIA</w:t>
      </w:r>
      <w:proofErr w:type="spellEnd"/>
      <w:r>
        <w:t xml:space="preserve"> advisor then incorporates suggested changes into the draft response. As a result, neither the identity of the individual within Public Affairs who proposed the changes, nor the nature of their input, is captured in any document versions or other reliable record. </w:t>
      </w:r>
      <w:bookmarkEnd w:id="37"/>
    </w:p>
    <w:p w14:paraId="77EF18B1" w14:textId="2D75D01E" w:rsidR="00861050" w:rsidRDefault="00861050" w:rsidP="00861050">
      <w:pPr>
        <w:pStyle w:val="BodyText"/>
      </w:pPr>
      <w:r>
        <w:t xml:space="preserve">The combined effect is reduced transparency around who has influenced the content of </w:t>
      </w:r>
      <w:proofErr w:type="spellStart"/>
      <w:r>
        <w:t>OIA</w:t>
      </w:r>
      <w:proofErr w:type="spellEnd"/>
      <w:r>
        <w:t xml:space="preserve"> responses and on what basis</w:t>
      </w:r>
      <w:r w:rsidR="0075727B">
        <w:t xml:space="preserve">. </w:t>
      </w:r>
      <w:r>
        <w:t>As noted above, maintaining a clear audit trail is a core aspect of good administrative practice</w:t>
      </w:r>
      <w:r w:rsidR="00D76726">
        <w:t xml:space="preserve"> and supports accountable decision making</w:t>
      </w:r>
      <w:r>
        <w:t>. Processes that obscure the identity of contributors,</w:t>
      </w:r>
      <w:r w:rsidR="00D76726">
        <w:t xml:space="preserve"> </w:t>
      </w:r>
      <w:r>
        <w:t>or fail to document their input,</w:t>
      </w:r>
      <w:r w:rsidR="00D76726">
        <w:t xml:space="preserve"> risk</w:t>
      </w:r>
      <w:r w:rsidR="00A12589">
        <w:t xml:space="preserve"> undermin</w:t>
      </w:r>
      <w:r w:rsidR="00D76726">
        <w:t>ing</w:t>
      </w:r>
      <w:r w:rsidR="00A12589">
        <w:t xml:space="preserve"> </w:t>
      </w:r>
      <w:r w:rsidR="00F63263">
        <w:t xml:space="preserve">a culture of </w:t>
      </w:r>
      <w:r w:rsidR="00A12589">
        <w:t>openness and transparency in an agency</w:t>
      </w:r>
      <w:r w:rsidR="00F85818">
        <w:t>.</w:t>
      </w:r>
      <w:r>
        <w:t xml:space="preserve"> </w:t>
      </w:r>
    </w:p>
    <w:p w14:paraId="16BC9160" w14:textId="45F0BA95" w:rsidR="003C0F0F" w:rsidRDefault="003C0F0F" w:rsidP="00861050">
      <w:pPr>
        <w:pStyle w:val="BodyText"/>
      </w:pPr>
      <w:r>
        <w:t>In response to my provisional opinion the Ministry affirmed that it ‘recognise(d) the importance of maintaining a clear and transparent record of how decisions are reached…’ It stated:</w:t>
      </w:r>
    </w:p>
    <w:p w14:paraId="4B188EE5" w14:textId="7862733A" w:rsidR="003C0F0F" w:rsidRDefault="003C0F0F" w:rsidP="003E2130">
      <w:pPr>
        <w:pStyle w:val="Quotationseparateparagraph"/>
      </w:pPr>
      <w:proofErr w:type="spellStart"/>
      <w:r w:rsidRPr="003E2130">
        <w:t>MPI</w:t>
      </w:r>
      <w:proofErr w:type="spellEnd"/>
      <w:r w:rsidRPr="003E2130">
        <w:t xml:space="preserve"> will maintain review and sign-out processes that are proportionate, and that the addition of contextual information does not affect our ability to meet statutory timeliness obligations. We will maintain a clear audit trail of substantive input into </w:t>
      </w:r>
      <w:proofErr w:type="spellStart"/>
      <w:r w:rsidRPr="003E2130">
        <w:t>OIA</w:t>
      </w:r>
      <w:proofErr w:type="spellEnd"/>
      <w:r w:rsidRPr="003E2130">
        <w:t xml:space="preserve"> re</w:t>
      </w:r>
      <w:r w:rsidR="00321746">
        <w:t>s</w:t>
      </w:r>
      <w:r w:rsidRPr="003E2130">
        <w:t>ponses, including input provided through the Public Affai</w:t>
      </w:r>
      <w:r w:rsidR="003E2130" w:rsidRPr="003E2130">
        <w:t>r</w:t>
      </w:r>
      <w:r w:rsidRPr="003E2130">
        <w:t>s review process</w:t>
      </w:r>
      <w:r w:rsidR="003E2130" w:rsidRPr="003E2130">
        <w:t>.</w:t>
      </w:r>
    </w:p>
    <w:p w14:paraId="3C555CD1" w14:textId="5A89442C" w:rsidR="00321746" w:rsidRPr="003E2130" w:rsidRDefault="00321746" w:rsidP="00321746">
      <w:pPr>
        <w:pStyle w:val="BodyText"/>
      </w:pPr>
      <w:r>
        <w:t xml:space="preserve">The Ministry also committed to reflecting these outcomes in its refreshed </w:t>
      </w:r>
      <w:proofErr w:type="spellStart"/>
      <w:r>
        <w:t>OIA</w:t>
      </w:r>
      <w:proofErr w:type="spellEnd"/>
      <w:r>
        <w:t xml:space="preserve"> policy.</w:t>
      </w:r>
    </w:p>
    <w:tbl>
      <w:tblPr>
        <w:tblStyle w:val="TableGrid"/>
        <w:tblW w:w="935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861050" w14:paraId="6F1F1D9B" w14:textId="77777777" w:rsidTr="00A3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2BB673" w:themeFill="accent1"/>
          </w:tcPr>
          <w:p w14:paraId="2A934732" w14:textId="77777777" w:rsidR="00861050" w:rsidRDefault="00861050" w:rsidP="009717AF">
            <w:pPr>
              <w:pStyle w:val="Headingboxtexttop"/>
            </w:pPr>
            <w:r w:rsidRPr="00A34772">
              <w:rPr>
                <w:color w:val="auto"/>
              </w:rPr>
              <w:t>Action point</w:t>
            </w:r>
          </w:p>
        </w:tc>
      </w:tr>
      <w:tr w:rsidR="00861050" w14:paraId="310FFDAF" w14:textId="77777777" w:rsidTr="00971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72E98382" w14:textId="77777777" w:rsidR="00861050" w:rsidRDefault="00861050" w:rsidP="009717AF">
            <w:pPr>
              <w:pStyle w:val="BodyText"/>
            </w:pPr>
            <w:r>
              <w:t xml:space="preserve">Review and update the </w:t>
            </w:r>
            <w:proofErr w:type="spellStart"/>
            <w:r>
              <w:t>OIA</w:t>
            </w:r>
            <w:proofErr w:type="spellEnd"/>
            <w:r>
              <w:t xml:space="preserve"> review </w:t>
            </w:r>
            <w:r w:rsidR="00A10482">
              <w:t xml:space="preserve">and sign-out </w:t>
            </w:r>
            <w:r>
              <w:t>process</w:t>
            </w:r>
            <w:r w:rsidR="00A10482">
              <w:t xml:space="preserve"> ensuring that:</w:t>
            </w:r>
          </w:p>
          <w:p w14:paraId="52C2A712" w14:textId="74F820B8" w:rsidR="00A10482" w:rsidRDefault="00975EBE" w:rsidP="00A10482">
            <w:pPr>
              <w:pStyle w:val="Boxsmallbullet1"/>
            </w:pPr>
            <w:r>
              <w:t>T</w:t>
            </w:r>
            <w:r w:rsidR="00A10482">
              <w:t xml:space="preserve">he number of steps required is proportionate and </w:t>
            </w:r>
            <w:r>
              <w:t xml:space="preserve">the addition of contextual information </w:t>
            </w:r>
            <w:r w:rsidR="00A10482">
              <w:t xml:space="preserve">does not impede </w:t>
            </w:r>
            <w:proofErr w:type="spellStart"/>
            <w:r w:rsidR="00A10482">
              <w:t>OIA</w:t>
            </w:r>
            <w:proofErr w:type="spellEnd"/>
            <w:r w:rsidR="00A10482">
              <w:t xml:space="preserve"> timeliness obligations</w:t>
            </w:r>
            <w:r w:rsidR="004E16E0">
              <w:t>.</w:t>
            </w:r>
          </w:p>
          <w:p w14:paraId="17BFB859" w14:textId="60C51682" w:rsidR="00A10482" w:rsidRPr="00A10482" w:rsidRDefault="004E16E0" w:rsidP="00A10482">
            <w:pPr>
              <w:pStyle w:val="Boxsmallbullet1"/>
            </w:pPr>
            <w:r>
              <w:t>A</w:t>
            </w:r>
            <w:r w:rsidR="00975EBE">
              <w:t xml:space="preserve"> clear audit trail is maintained of substantive input on draft </w:t>
            </w:r>
            <w:proofErr w:type="spellStart"/>
            <w:r w:rsidR="00975EBE">
              <w:t>OIA</w:t>
            </w:r>
            <w:proofErr w:type="spellEnd"/>
            <w:r w:rsidR="00975EBE">
              <w:t xml:space="preserve"> responses, including input from ‘Public Affairs’.</w:t>
            </w:r>
          </w:p>
        </w:tc>
      </w:tr>
    </w:tbl>
    <w:p w14:paraId="4D83E3C3" w14:textId="77777777" w:rsidR="00861050" w:rsidRDefault="00861050" w:rsidP="00861050">
      <w:pPr>
        <w:pStyle w:val="BodyText"/>
      </w:pPr>
    </w:p>
    <w:p w14:paraId="71B3FE77" w14:textId="251D3226" w:rsidR="00F6722A" w:rsidRDefault="00F6722A" w:rsidP="00F6722A">
      <w:pPr>
        <w:pStyle w:val="Heading2"/>
        <w:spacing w:before="240"/>
      </w:pPr>
      <w:bookmarkStart w:id="38" w:name="_Toc239154207"/>
      <w:r>
        <w:t xml:space="preserve">Interactions with Ministers’ offices on departmental </w:t>
      </w:r>
      <w:proofErr w:type="spellStart"/>
      <w:r>
        <w:t>OIA</w:t>
      </w:r>
      <w:proofErr w:type="spellEnd"/>
      <w:r>
        <w:t xml:space="preserve"> requests</w:t>
      </w:r>
      <w:bookmarkEnd w:id="38"/>
    </w:p>
    <w:p w14:paraId="213618F6" w14:textId="22A26008" w:rsidR="00F6722A" w:rsidRDefault="00F6722A" w:rsidP="00F6722A">
      <w:pPr>
        <w:pStyle w:val="BodyText"/>
      </w:pPr>
      <w:r>
        <w:t xml:space="preserve">It is the responsibility of senior leaders to ensure there is clear direction around the interaction between Ministers’ offices and the Ministry on </w:t>
      </w:r>
      <w:proofErr w:type="spellStart"/>
      <w:r>
        <w:t>OIA</w:t>
      </w:r>
      <w:proofErr w:type="spellEnd"/>
      <w:r>
        <w:t xml:space="preserve"> requests. In this investigation we focus on departmental </w:t>
      </w:r>
      <w:proofErr w:type="spellStart"/>
      <w:r>
        <w:t>OIA</w:t>
      </w:r>
      <w:proofErr w:type="spellEnd"/>
      <w:r>
        <w:t xml:space="preserve"> requests</w:t>
      </w:r>
      <w:r w:rsidR="00CF38F3">
        <w:t>—</w:t>
      </w:r>
      <w:r>
        <w:t xml:space="preserve">which may require interaction with Ministers offices either on a ‘no </w:t>
      </w:r>
      <w:proofErr w:type="gramStart"/>
      <w:r>
        <w:t>surprises’</w:t>
      </w:r>
      <w:proofErr w:type="gramEnd"/>
      <w:r>
        <w:t xml:space="preserve"> or a consultative basis</w:t>
      </w:r>
      <w:r w:rsidR="00CF38F3">
        <w:t>—</w:t>
      </w:r>
      <w:r>
        <w:t xml:space="preserve">not Ministerial </w:t>
      </w:r>
      <w:proofErr w:type="spellStart"/>
      <w:r>
        <w:t>OIA</w:t>
      </w:r>
      <w:proofErr w:type="spellEnd"/>
      <w:r>
        <w:t xml:space="preserve"> requests.</w:t>
      </w:r>
    </w:p>
    <w:p w14:paraId="0A905425" w14:textId="0E2BF8B0" w:rsidR="00F81EA8" w:rsidRPr="00F81EA8" w:rsidRDefault="00F81EA8" w:rsidP="00F81EA8">
      <w:pPr>
        <w:pStyle w:val="BodyText"/>
      </w:pPr>
      <w:r w:rsidRPr="00F81EA8">
        <w:lastRenderedPageBreak/>
        <w:t xml:space="preserve">Interactions between agencies and Ministers’ offices in relation to departmental </w:t>
      </w:r>
      <w:proofErr w:type="spellStart"/>
      <w:r w:rsidRPr="00F81EA8">
        <w:t>OIA</w:t>
      </w:r>
      <w:proofErr w:type="spellEnd"/>
      <w:r w:rsidRPr="00F81EA8">
        <w:t xml:space="preserve"> requests require careful management to ensure that agencies maintain decision-making independence</w:t>
      </w:r>
      <w:r w:rsidR="00CC0579">
        <w:t xml:space="preserve"> in accordance with </w:t>
      </w:r>
      <w:proofErr w:type="spellStart"/>
      <w:r w:rsidR="00CC0579">
        <w:t>OIA</w:t>
      </w:r>
      <w:proofErr w:type="spellEnd"/>
      <w:r w:rsidR="00CC0579">
        <w:t xml:space="preserve"> obligations</w:t>
      </w:r>
      <w:r w:rsidRPr="00F81EA8">
        <w:t>.</w:t>
      </w:r>
      <w:r w:rsidR="00CC0579">
        <w:rPr>
          <w:rStyle w:val="FootnoteReference"/>
        </w:rPr>
        <w:footnoteReference w:id="10"/>
      </w:r>
      <w:r w:rsidRPr="00F81EA8">
        <w:t xml:space="preserve"> </w:t>
      </w:r>
      <w:r w:rsidR="00576ECB">
        <w:t>I</w:t>
      </w:r>
      <w:r w:rsidRPr="00F81EA8">
        <w:t xml:space="preserve">t </w:t>
      </w:r>
      <w:r w:rsidR="00576ECB">
        <w:t>can be</w:t>
      </w:r>
      <w:r w:rsidRPr="00F81EA8">
        <w:t xml:space="preserve"> appropriate for Ministers’ offices to be informed about information releases that may generate public, parliamentary, or media interest. </w:t>
      </w:r>
      <w:r w:rsidR="00E5528F">
        <w:t xml:space="preserve">This reflects the </w:t>
      </w:r>
      <w:r w:rsidR="00BF3716">
        <w:t>‘</w:t>
      </w:r>
      <w:r w:rsidR="00E5528F">
        <w:t xml:space="preserve">no surprises’ </w:t>
      </w:r>
      <w:r w:rsidR="00691D38">
        <w:t>convention described in the Cabinet Manual,</w:t>
      </w:r>
      <w:r w:rsidR="00576ECB">
        <w:rPr>
          <w:rStyle w:val="FootnoteReference"/>
        </w:rPr>
        <w:footnoteReference w:id="11"/>
      </w:r>
      <w:r w:rsidR="00691D38">
        <w:t xml:space="preserve"> and on which basis an agency may provide draft </w:t>
      </w:r>
      <w:proofErr w:type="spellStart"/>
      <w:r w:rsidR="00691D38">
        <w:t>OIA</w:t>
      </w:r>
      <w:proofErr w:type="spellEnd"/>
      <w:r w:rsidR="00691D38">
        <w:t xml:space="preserve"> responses to Ministers’ office on a ‘for your information’ (fyi) basis. </w:t>
      </w:r>
      <w:r w:rsidRPr="00F81EA8">
        <w:t xml:space="preserve">However, </w:t>
      </w:r>
      <w:r w:rsidR="00BF3716">
        <w:t>‘</w:t>
      </w:r>
      <w:r w:rsidRPr="00F81EA8">
        <w:t>f</w:t>
      </w:r>
      <w:r w:rsidR="00691D38">
        <w:t>yi</w:t>
      </w:r>
      <w:r w:rsidR="00BF3716">
        <w:t>’</w:t>
      </w:r>
      <w:r w:rsidRPr="00F81EA8">
        <w:t xml:space="preserve"> processes should not operate in </w:t>
      </w:r>
      <w:r w:rsidR="00270090">
        <w:t>a way</w:t>
      </w:r>
      <w:r w:rsidRPr="00F81EA8">
        <w:t xml:space="preserve"> that delays responses or creates uncertainty about who is responsible for making decisions under the </w:t>
      </w:r>
      <w:proofErr w:type="spellStart"/>
      <w:r w:rsidR="00691D38">
        <w:t>OI</w:t>
      </w:r>
      <w:r w:rsidRPr="00F81EA8">
        <w:t>A</w:t>
      </w:r>
      <w:proofErr w:type="spellEnd"/>
      <w:r w:rsidRPr="00F81EA8">
        <w:t>.</w:t>
      </w:r>
    </w:p>
    <w:p w14:paraId="5DF8D413" w14:textId="03A48642" w:rsidR="00F81EA8" w:rsidRPr="00F81EA8" w:rsidRDefault="00F81EA8" w:rsidP="00F81EA8">
      <w:pPr>
        <w:pStyle w:val="BodyText"/>
      </w:pPr>
      <w:r w:rsidRPr="00F81EA8">
        <w:t xml:space="preserve">We were encouraged to see that </w:t>
      </w:r>
      <w:r w:rsidR="00BF3716">
        <w:t>the Ministry clearly</w:t>
      </w:r>
      <w:r w:rsidRPr="00F81EA8">
        <w:t xml:space="preserve"> distinguish between requests sent to Ministers’ offices on a</w:t>
      </w:r>
      <w:r w:rsidR="00BF3716">
        <w:t>n</w:t>
      </w:r>
      <w:r w:rsidRPr="00F81EA8">
        <w:t xml:space="preserve"> </w:t>
      </w:r>
      <w:r w:rsidR="00BF3716">
        <w:t>‘fyi’</w:t>
      </w:r>
      <w:r w:rsidRPr="00F81EA8">
        <w:t xml:space="preserve"> basis and those involving consultation. We </w:t>
      </w:r>
      <w:r w:rsidR="00270090">
        <w:t>saw</w:t>
      </w:r>
      <w:r w:rsidRPr="00F81EA8">
        <w:t xml:space="preserve"> examples where agency staff communicated clearly to Ministers’ offices that material was being provided for information only and that no response</w:t>
      </w:r>
      <w:r>
        <w:t xml:space="preserve"> from the office</w:t>
      </w:r>
      <w:r w:rsidRPr="00F81EA8">
        <w:t xml:space="preserve"> was </w:t>
      </w:r>
      <w:r>
        <w:t xml:space="preserve">expected or </w:t>
      </w:r>
      <w:r w:rsidRPr="00F81EA8">
        <w:t xml:space="preserve">required. This is good practice </w:t>
      </w:r>
      <w:r w:rsidR="00270090">
        <w:t>which helps</w:t>
      </w:r>
      <w:r w:rsidRPr="00F81EA8">
        <w:t xml:space="preserve"> to reinforce the </w:t>
      </w:r>
      <w:r>
        <w:t>Ministr</w:t>
      </w:r>
      <w:r w:rsidRPr="00F81EA8">
        <w:t xml:space="preserve">y’s responsibility for making independent decisions on departmental </w:t>
      </w:r>
      <w:proofErr w:type="spellStart"/>
      <w:r w:rsidRPr="00F81EA8">
        <w:t>OIA</w:t>
      </w:r>
      <w:proofErr w:type="spellEnd"/>
      <w:r w:rsidRPr="00F81EA8">
        <w:t xml:space="preserve"> requests.</w:t>
      </w:r>
    </w:p>
    <w:p w14:paraId="3F39FEE9" w14:textId="2A85AF5E" w:rsidR="004629E1" w:rsidRDefault="00F81EA8" w:rsidP="00F81EA8">
      <w:pPr>
        <w:pStyle w:val="BodyText"/>
        <w:rPr>
          <w:rStyle w:val="Quotationwithinthesentence"/>
        </w:rPr>
      </w:pPr>
      <w:r w:rsidRPr="00F81EA8">
        <w:t xml:space="preserve">However, we also heard from staff that, in practice, the agency seeks where possible to provide draft responses to Ministers’ offices up to five working days before the </w:t>
      </w:r>
      <w:r w:rsidR="00270090">
        <w:t xml:space="preserve">maximum allowable timeframe for communicating a decision under the </w:t>
      </w:r>
      <w:proofErr w:type="spellStart"/>
      <w:r w:rsidR="00270090">
        <w:t>OIA</w:t>
      </w:r>
      <w:proofErr w:type="spellEnd"/>
      <w:r w:rsidR="00270090">
        <w:t>.</w:t>
      </w:r>
      <w:r w:rsidR="00270090">
        <w:rPr>
          <w:rStyle w:val="FootnoteReference"/>
        </w:rPr>
        <w:footnoteReference w:id="12"/>
      </w:r>
      <w:r w:rsidRPr="00F81EA8">
        <w:t xml:space="preserve"> </w:t>
      </w:r>
      <w:r w:rsidR="004629E1">
        <w:t xml:space="preserve">In response to </w:t>
      </w:r>
      <w:r w:rsidR="00A12D0A">
        <w:t xml:space="preserve">my   </w:t>
      </w:r>
      <w:r w:rsidR="004629E1">
        <w:t>provisional opinion, the Ministry confirmed its ‘</w:t>
      </w:r>
      <w:r w:rsidR="004629E1" w:rsidRPr="00690933">
        <w:rPr>
          <w:rStyle w:val="Quotationwithinthesentence"/>
        </w:rPr>
        <w:t xml:space="preserve">standard practice is to allow up to five working </w:t>
      </w:r>
      <w:proofErr w:type="spellStart"/>
      <w:r w:rsidR="004629E1" w:rsidRPr="00690933">
        <w:rPr>
          <w:rStyle w:val="Quotationwithinthesentence"/>
        </w:rPr>
        <w:t>working</w:t>
      </w:r>
      <w:proofErr w:type="spellEnd"/>
      <w:r w:rsidR="004629E1" w:rsidRPr="00690933">
        <w:rPr>
          <w:rStyle w:val="Quotationwithinthesentence"/>
        </w:rPr>
        <w:t xml:space="preserve"> days for </w:t>
      </w:r>
      <w:proofErr w:type="spellStart"/>
      <w:r w:rsidR="004629E1" w:rsidRPr="00690933">
        <w:rPr>
          <w:rStyle w:val="Quotationwithinthesentence"/>
        </w:rPr>
        <w:t>Ministers’s</w:t>
      </w:r>
      <w:proofErr w:type="spellEnd"/>
      <w:r w:rsidR="004629E1" w:rsidRPr="00690933">
        <w:rPr>
          <w:rStyle w:val="Quotationwithinthesentence"/>
        </w:rPr>
        <w:t xml:space="preserve"> offices to consider material provided to them…’</w:t>
      </w:r>
      <w:r w:rsidR="004629E1">
        <w:rPr>
          <w:rStyle w:val="Quotationwithinthesentence"/>
        </w:rPr>
        <w:t xml:space="preserve"> </w:t>
      </w:r>
      <w:r w:rsidR="004629E1" w:rsidRPr="00690933">
        <w:t>but gave an assurance that this</w:t>
      </w:r>
      <w:r w:rsidR="004629E1">
        <w:rPr>
          <w:rStyle w:val="Quotationwithinthesentence"/>
        </w:rPr>
        <w:t xml:space="preserve"> ‘does not override </w:t>
      </w:r>
      <w:proofErr w:type="spellStart"/>
      <w:r w:rsidR="004629E1">
        <w:rPr>
          <w:rStyle w:val="Quotationwithinthesentence"/>
        </w:rPr>
        <w:t>MPI’s</w:t>
      </w:r>
      <w:proofErr w:type="spellEnd"/>
      <w:r w:rsidR="004629E1">
        <w:rPr>
          <w:rStyle w:val="Quotationwithinthesentence"/>
        </w:rPr>
        <w:t xml:space="preserve"> statutory obligations under the </w:t>
      </w:r>
      <w:proofErr w:type="spellStart"/>
      <w:r w:rsidR="004629E1">
        <w:rPr>
          <w:rStyle w:val="Quotationwithinthesentence"/>
        </w:rPr>
        <w:t>OIA</w:t>
      </w:r>
      <w:proofErr w:type="spellEnd"/>
      <w:r w:rsidR="004629E1">
        <w:rPr>
          <w:rStyle w:val="Quotationwithinthesentence"/>
        </w:rPr>
        <w:t>…This is reflected in our current on-time response rate of 97.6 percent.’</w:t>
      </w:r>
    </w:p>
    <w:p w14:paraId="2DADB5D4" w14:textId="4D028A88" w:rsidR="001476E9" w:rsidRDefault="0012628E" w:rsidP="00F81EA8">
      <w:pPr>
        <w:pStyle w:val="BodyText"/>
      </w:pPr>
      <w:r>
        <w:t xml:space="preserve">While </w:t>
      </w:r>
      <w:r w:rsidR="001476E9">
        <w:t xml:space="preserve">a </w:t>
      </w:r>
      <w:r w:rsidR="004629E1">
        <w:t>five working day</w:t>
      </w:r>
      <w:r>
        <w:t xml:space="preserve"> timeframe</w:t>
      </w:r>
      <w:r w:rsidR="00F81EA8" w:rsidRPr="00F81EA8">
        <w:t xml:space="preserve"> may be appropriate in some circumstances</w:t>
      </w:r>
      <w:r w:rsidR="009246A5">
        <w:t xml:space="preserve">—particularly where substantive consultation is required, as the Ministry noted in its response to </w:t>
      </w:r>
      <w:r w:rsidR="00A12D0A">
        <w:t>my</w:t>
      </w:r>
      <w:r w:rsidR="009246A5">
        <w:t xml:space="preserve"> provisional opinion</w:t>
      </w:r>
      <w:r w:rsidR="00993590">
        <w:t>—</w:t>
      </w:r>
      <w:r>
        <w:t xml:space="preserve">it should rarely require a full five days for a Minister to be informed on an ‘fyi’ basis. </w:t>
      </w:r>
    </w:p>
    <w:p w14:paraId="577B9587" w14:textId="7589731F" w:rsidR="004629E1" w:rsidRDefault="00E144CF" w:rsidP="00F81EA8">
      <w:pPr>
        <w:pStyle w:val="BodyText"/>
      </w:pPr>
      <w:r>
        <w:t xml:space="preserve">Senior leaders </w:t>
      </w:r>
      <w:r w:rsidR="0012628E">
        <w:t>should ensure th</w:t>
      </w:r>
      <w:r w:rsidR="00270090">
        <w:t xml:space="preserve">e </w:t>
      </w:r>
      <w:r w:rsidR="0012628E">
        <w:t xml:space="preserve">process </w:t>
      </w:r>
      <w:r w:rsidR="00270090">
        <w:t xml:space="preserve">of interacting with Ministers’ offices </w:t>
      </w:r>
      <w:r w:rsidR="0012628E">
        <w:t>is carefully</w:t>
      </w:r>
      <w:r w:rsidR="00F81EA8" w:rsidRPr="00F81EA8">
        <w:t xml:space="preserve"> managed to ensure </w:t>
      </w:r>
      <w:r w:rsidR="00270090">
        <w:t xml:space="preserve">it </w:t>
      </w:r>
      <w:r w:rsidR="00F81EA8" w:rsidRPr="00F81EA8">
        <w:t>do</w:t>
      </w:r>
      <w:r w:rsidR="00270090">
        <w:t>es</w:t>
      </w:r>
      <w:r w:rsidR="00F81EA8" w:rsidRPr="00F81EA8">
        <w:t xml:space="preserve"> not adversely affect the a</w:t>
      </w:r>
      <w:r w:rsidR="00270090">
        <w:t>genc</w:t>
      </w:r>
      <w:r w:rsidR="00F81EA8" w:rsidRPr="00F81EA8">
        <w:t xml:space="preserve">y’s ability to comply with its obligations under the </w:t>
      </w:r>
      <w:proofErr w:type="spellStart"/>
      <w:r w:rsidR="00F81EA8" w:rsidRPr="00F81EA8">
        <w:t>OIA</w:t>
      </w:r>
      <w:proofErr w:type="spellEnd"/>
      <w:r w:rsidR="00F81EA8" w:rsidRPr="00F81EA8">
        <w:t>, including the requirement to make and communicate decisions on requests as soon as reasonably practicable.</w:t>
      </w:r>
      <w:r w:rsidR="0012628E">
        <w:rPr>
          <w:rStyle w:val="FootnoteReference"/>
        </w:rPr>
        <w:footnoteReference w:id="13"/>
      </w:r>
      <w:r w:rsidR="004629E1">
        <w:t xml:space="preserve"> This is the primary timeliness obligation for agencies under the </w:t>
      </w:r>
      <w:proofErr w:type="spellStart"/>
      <w:r w:rsidR="004629E1">
        <w:t>OIA</w:t>
      </w:r>
      <w:proofErr w:type="spellEnd"/>
      <w:r w:rsidR="004629E1">
        <w:t xml:space="preserve"> and it is not </w:t>
      </w:r>
      <w:r w:rsidR="007964A1">
        <w:t xml:space="preserve">necessarily </w:t>
      </w:r>
      <w:r w:rsidR="004629E1">
        <w:t xml:space="preserve">reflected in the timeliness statistics reported to, and published by PSC, which is based on the number of </w:t>
      </w:r>
      <w:proofErr w:type="spellStart"/>
      <w:r w:rsidR="004629E1">
        <w:t>OIA</w:t>
      </w:r>
      <w:proofErr w:type="spellEnd"/>
      <w:r w:rsidR="004629E1">
        <w:t xml:space="preserve"> requests responded to within 20 working days, the maximum allowable timeframe</w:t>
      </w:r>
      <w:r w:rsidR="007964A1">
        <w:t xml:space="preserve"> under the </w:t>
      </w:r>
      <w:proofErr w:type="spellStart"/>
      <w:r w:rsidR="007964A1">
        <w:t>OIA</w:t>
      </w:r>
      <w:proofErr w:type="spellEnd"/>
      <w:r w:rsidR="00BC3792">
        <w:t>.</w:t>
      </w:r>
    </w:p>
    <w:p w14:paraId="61D0A1C6" w14:textId="6703534A" w:rsidR="004629E1" w:rsidRPr="004629E1" w:rsidRDefault="00F81EA8" w:rsidP="004629E1">
      <w:pPr>
        <w:pStyle w:val="BodyText"/>
      </w:pPr>
      <w:r w:rsidRPr="00F81EA8">
        <w:lastRenderedPageBreak/>
        <w:t xml:space="preserve">A lengthy </w:t>
      </w:r>
      <w:r w:rsidR="00270090">
        <w:t xml:space="preserve">‘fyi’ process </w:t>
      </w:r>
      <w:r w:rsidRPr="00F81EA8">
        <w:t>risks creating avoidable delay and may contribute to a perception that ministerial awareness is being prioritised over timely release to requesters.</w:t>
      </w:r>
    </w:p>
    <w:p w14:paraId="1FBF92E1" w14:textId="4FEC2109" w:rsidR="00FC5E70" w:rsidRDefault="00FC5E70" w:rsidP="00FC5E70">
      <w:pPr>
        <w:pStyle w:val="BodyText"/>
      </w:pPr>
      <w:r>
        <w:t xml:space="preserve">We encourage the Ministry to review its practices on interacting with Minister’s offices on departmental </w:t>
      </w:r>
      <w:proofErr w:type="spellStart"/>
      <w:r>
        <w:t>OIA</w:t>
      </w:r>
      <w:proofErr w:type="spellEnd"/>
      <w:r>
        <w:t xml:space="preserve"> requests, identifying opportunities where its obligation under the ‘no surprises’ principle can be satisfied by providing the response to the Ministers office at the same time, or slightly before it is sent to the requester rather than </w:t>
      </w:r>
      <w:proofErr w:type="gramStart"/>
      <w:r>
        <w:t>a number of</w:t>
      </w:r>
      <w:proofErr w:type="gramEnd"/>
      <w:r>
        <w:t xml:space="preserve"> days in advance.</w:t>
      </w:r>
      <w:r w:rsidR="00DB15D9">
        <w:t xml:space="preserve"> It may also streamline the process to identify opportunities where it is appropriate to provide Ministers’ offices the topic only, or a brief synopsis of the response rather than the proposed response in its entirety.</w:t>
      </w:r>
    </w:p>
    <w:p w14:paraId="3C6E2403" w14:textId="2E2F9F5F" w:rsidR="006866D0" w:rsidRPr="00F81EA8" w:rsidRDefault="006866D0" w:rsidP="00FC5E70">
      <w:pPr>
        <w:pStyle w:val="BodyText"/>
      </w:pPr>
      <w:r>
        <w:t xml:space="preserve">In response to </w:t>
      </w:r>
      <w:r w:rsidR="00A81E04">
        <w:t>my</w:t>
      </w:r>
      <w:r>
        <w:t xml:space="preserve"> provisional opinion the Ministry stated that it </w:t>
      </w:r>
      <w:r w:rsidRPr="006866D0">
        <w:rPr>
          <w:rStyle w:val="Quotationwithinthesentence"/>
        </w:rPr>
        <w:t xml:space="preserve">‘will consider its processes for interacting with Ministers’ office on departmental </w:t>
      </w:r>
      <w:proofErr w:type="spellStart"/>
      <w:r w:rsidRPr="006866D0">
        <w:rPr>
          <w:rStyle w:val="Quotationwithinthesentence"/>
        </w:rPr>
        <w:t>OIA</w:t>
      </w:r>
      <w:proofErr w:type="spellEnd"/>
      <w:r w:rsidRPr="006866D0">
        <w:rPr>
          <w:rStyle w:val="Quotationwithinthesentence"/>
        </w:rPr>
        <w:t xml:space="preserve"> requests, including under the ‘no surprises’</w:t>
      </w:r>
      <w:r>
        <w:rPr>
          <w:rStyle w:val="Quotationwithinthesentence"/>
        </w:rPr>
        <w:t xml:space="preserve"> </w:t>
      </w:r>
      <w:r w:rsidRPr="006866D0">
        <w:rPr>
          <w:rStyle w:val="Quotationwithinthesentence"/>
        </w:rPr>
        <w:t xml:space="preserve">convention, as part of the review of its </w:t>
      </w:r>
      <w:proofErr w:type="spellStart"/>
      <w:r w:rsidRPr="006866D0">
        <w:rPr>
          <w:rStyle w:val="Quotationwithinthesentence"/>
        </w:rPr>
        <w:t>OIA</w:t>
      </w:r>
      <w:proofErr w:type="spellEnd"/>
      <w:r w:rsidRPr="006866D0">
        <w:rPr>
          <w:rStyle w:val="Quotationwithinthesentence"/>
        </w:rPr>
        <w:t xml:space="preserve"> policy.’</w:t>
      </w:r>
    </w:p>
    <w:p w14:paraId="47542360" w14:textId="567210CE" w:rsidR="00F6722A" w:rsidRDefault="00F81EA8" w:rsidP="00F81EA8">
      <w:pPr>
        <w:pStyle w:val="BodyText"/>
      </w:pPr>
      <w:r w:rsidRPr="00F81EA8">
        <w:t xml:space="preserve">We also heard that discussions may sometimes occur orally between agency staff and Ministers’ offices regarding departmental </w:t>
      </w:r>
      <w:proofErr w:type="spellStart"/>
      <w:r w:rsidRPr="00F81EA8">
        <w:t>OIA</w:t>
      </w:r>
      <w:proofErr w:type="spellEnd"/>
      <w:r w:rsidRPr="00F81EA8">
        <w:t xml:space="preserve"> responses. There is nothing inherently inappropriate about such discussions. However, where substantive discussions occur about the proposed release of official information, it is important that appropriate records are created and maintained. Maintaining clear records of substantive interactions supports transparency</w:t>
      </w:r>
      <w:r w:rsidR="0048427F">
        <w:t xml:space="preserve"> and </w:t>
      </w:r>
      <w:r w:rsidRPr="00F81EA8">
        <w:t>accountability, and</w:t>
      </w:r>
      <w:r w:rsidR="0048427F">
        <w:t xml:space="preserve"> it</w:t>
      </w:r>
      <w:r w:rsidRPr="00F81EA8">
        <w:t xml:space="preserve"> </w:t>
      </w:r>
      <w:r w:rsidR="008F07F7">
        <w:t>will help</w:t>
      </w:r>
      <w:r w:rsidRPr="00F81EA8">
        <w:t xml:space="preserve"> to </w:t>
      </w:r>
      <w:r w:rsidR="008F07F7">
        <w:t xml:space="preserve">clearly demonstrate </w:t>
      </w:r>
      <w:r w:rsidRPr="00F81EA8">
        <w:t xml:space="preserve">that the agency has retained responsibility for decisions made under the </w:t>
      </w:r>
      <w:proofErr w:type="spellStart"/>
      <w:r w:rsidR="008F07F7">
        <w:t>OI</w:t>
      </w:r>
      <w:r w:rsidRPr="00F81EA8">
        <w:t>A</w:t>
      </w:r>
      <w:proofErr w:type="spellEnd"/>
      <w:r w:rsidRPr="00F81EA8">
        <w:t>.</w:t>
      </w:r>
    </w:p>
    <w:p w14:paraId="59A97401" w14:textId="545F58B1" w:rsidR="008D13E1" w:rsidRDefault="008D13E1" w:rsidP="00F81EA8">
      <w:pPr>
        <w:pStyle w:val="BodyText"/>
      </w:pPr>
      <w:r>
        <w:t>In response to</w:t>
      </w:r>
      <w:r w:rsidR="00A81E04">
        <w:t xml:space="preserve"> my </w:t>
      </w:r>
      <w:r>
        <w:t xml:space="preserve">provisional opinion the Ministry noted that it </w:t>
      </w:r>
      <w:r w:rsidRPr="008D13E1">
        <w:rPr>
          <w:rStyle w:val="Quotationwithinthesentence"/>
        </w:rPr>
        <w:t xml:space="preserve">‘expects that substantive discussions relating to </w:t>
      </w:r>
      <w:proofErr w:type="spellStart"/>
      <w:r w:rsidRPr="008D13E1">
        <w:rPr>
          <w:rStyle w:val="Quotationwithinthesentence"/>
        </w:rPr>
        <w:t>OIA</w:t>
      </w:r>
      <w:proofErr w:type="spellEnd"/>
      <w:r w:rsidRPr="008D13E1">
        <w:rPr>
          <w:rStyle w:val="Quotationwithinthesentence"/>
        </w:rPr>
        <w:t xml:space="preserve"> responses, including those with Ministers’ offices, are appropriately recorded, and will continue to promote consistent practice in this area.’</w:t>
      </w:r>
    </w:p>
    <w:p w14:paraId="72D63F83" w14:textId="12A2FCED" w:rsidR="003810B3" w:rsidRDefault="003810B3" w:rsidP="00F81EA8">
      <w:pPr>
        <w:pStyle w:val="BodyText"/>
        <w:rPr>
          <w:iCs/>
        </w:rPr>
      </w:pPr>
      <w:r w:rsidRPr="003810B3">
        <w:t xml:space="preserve">We consider there would be value in the Ministry developing a written protocol or guidance document governing interactions with Ministers’ offices in relation to departmental </w:t>
      </w:r>
      <w:proofErr w:type="spellStart"/>
      <w:r w:rsidRPr="003810B3">
        <w:t>OIA</w:t>
      </w:r>
      <w:proofErr w:type="spellEnd"/>
      <w:r w:rsidRPr="003810B3">
        <w:t xml:space="preserve"> requests. Clear guidance of this nature can help </w:t>
      </w:r>
      <w:r>
        <w:t xml:space="preserve">ensure ongoing good practice in respect of </w:t>
      </w:r>
      <w:r w:rsidRPr="003810B3">
        <w:t xml:space="preserve">the distinction between consultation and </w:t>
      </w:r>
      <w:r>
        <w:t>‘fyi’</w:t>
      </w:r>
      <w:r w:rsidRPr="003810B3">
        <w:t xml:space="preserve"> processes, </w:t>
      </w:r>
      <w:r w:rsidR="00F6635A">
        <w:t xml:space="preserve">ensure clarity around which staff members are responsible for interacting with Ministers’ offices on </w:t>
      </w:r>
      <w:proofErr w:type="spellStart"/>
      <w:r w:rsidR="00F6635A">
        <w:t>OIA</w:t>
      </w:r>
      <w:proofErr w:type="spellEnd"/>
      <w:r w:rsidR="00F6635A">
        <w:t xml:space="preserve"> responses, and detail an escalation process in the event of differences of opinion</w:t>
      </w:r>
      <w:r w:rsidRPr="003810B3">
        <w:t xml:space="preserve">. </w:t>
      </w:r>
      <w:r w:rsidR="00F6635A">
        <w:t>Guidance could be</w:t>
      </w:r>
      <w:r w:rsidR="00F6635A" w:rsidRPr="006F3CF3">
        <w:t xml:space="preserve"> based on </w:t>
      </w:r>
      <w:r w:rsidR="00F6635A">
        <w:t>the Ombudsman’s</w:t>
      </w:r>
      <w:r w:rsidR="00F6635A" w:rsidRPr="00FF424F">
        <w:rPr>
          <w:rStyle w:val="Quotationwithinthesentence"/>
        </w:rPr>
        <w:t xml:space="preserve"> Model protocol on dealing with </w:t>
      </w:r>
      <w:proofErr w:type="spellStart"/>
      <w:r w:rsidR="00F6635A" w:rsidRPr="00FF424F">
        <w:rPr>
          <w:rStyle w:val="Quotationwithinthesentence"/>
        </w:rPr>
        <w:t>OIA</w:t>
      </w:r>
      <w:proofErr w:type="spellEnd"/>
      <w:r w:rsidR="00F6635A" w:rsidRPr="00FF424F">
        <w:rPr>
          <w:rStyle w:val="Quotationwithinthesentence"/>
        </w:rPr>
        <w:t xml:space="preserve"> requests involving Ministers</w:t>
      </w:r>
      <w:r w:rsidR="00F6635A">
        <w:t>,</w:t>
      </w:r>
      <w:r w:rsidR="00F6635A">
        <w:rPr>
          <w:rStyle w:val="FootnoteReference"/>
        </w:rPr>
        <w:footnoteReference w:id="14"/>
      </w:r>
      <w:r w:rsidR="00F6635A" w:rsidRPr="006F3CF3">
        <w:t xml:space="preserve"> </w:t>
      </w:r>
      <w:r w:rsidR="00F6635A">
        <w:t xml:space="preserve">which is endorsed in the </w:t>
      </w:r>
      <w:r w:rsidR="00F6635A" w:rsidRPr="005E7073">
        <w:rPr>
          <w:iCs/>
        </w:rPr>
        <w:t>Cabinet Manual.</w:t>
      </w:r>
      <w:r w:rsidR="00F6635A" w:rsidRPr="005E7073">
        <w:rPr>
          <w:rStyle w:val="FootnoteReference"/>
          <w:iCs/>
        </w:rPr>
        <w:footnoteReference w:id="15"/>
      </w:r>
    </w:p>
    <w:p w14:paraId="1C115880" w14:textId="4AFF9ADC" w:rsidR="006866D0" w:rsidRPr="001476E9" w:rsidRDefault="001476E9" w:rsidP="00F81EA8">
      <w:pPr>
        <w:pStyle w:val="BodyText"/>
        <w:rPr>
          <w:rStyle w:val="Quotationwithinthesentence"/>
        </w:rPr>
      </w:pPr>
      <w:r>
        <w:t>The Ministry affirmed, in its response to</w:t>
      </w:r>
      <w:r w:rsidR="00A81E04">
        <w:t xml:space="preserve"> my </w:t>
      </w:r>
      <w:r>
        <w:t xml:space="preserve">provisional opinion, that </w:t>
      </w:r>
      <w:r w:rsidRPr="001476E9">
        <w:rPr>
          <w:rStyle w:val="Quotationwithinthesentence"/>
        </w:rPr>
        <w:t xml:space="preserve">‘guidance on Ministerial interactions on departmental </w:t>
      </w:r>
      <w:proofErr w:type="spellStart"/>
      <w:r w:rsidRPr="001476E9">
        <w:rPr>
          <w:rStyle w:val="Quotationwithinthesentence"/>
        </w:rPr>
        <w:t>OIA</w:t>
      </w:r>
      <w:proofErr w:type="spellEnd"/>
      <w:r w:rsidRPr="001476E9">
        <w:rPr>
          <w:rStyle w:val="Quotationwithinthesentence"/>
        </w:rPr>
        <w:t xml:space="preserve"> requests will be developed as </w:t>
      </w:r>
      <w:r w:rsidR="00C34402">
        <w:rPr>
          <w:rStyle w:val="Quotationwithinthesentence"/>
        </w:rPr>
        <w:t xml:space="preserve">part </w:t>
      </w:r>
      <w:r w:rsidRPr="001476E9">
        <w:rPr>
          <w:rStyle w:val="Quotationwithinthesentence"/>
        </w:rPr>
        <w:t xml:space="preserve">of the review of our </w:t>
      </w:r>
      <w:proofErr w:type="spellStart"/>
      <w:r w:rsidRPr="001476E9">
        <w:rPr>
          <w:rStyle w:val="Quotationwithinthesentence"/>
        </w:rPr>
        <w:t>OIA</w:t>
      </w:r>
      <w:proofErr w:type="spellEnd"/>
      <w:r w:rsidRPr="001476E9">
        <w:rPr>
          <w:rStyle w:val="Quotationwithinthesentence"/>
        </w:rPr>
        <w:t xml:space="preserve"> policy.’</w:t>
      </w:r>
    </w:p>
    <w:tbl>
      <w:tblPr>
        <w:tblStyle w:val="TableGrid"/>
        <w:tblW w:w="935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555283" w14:paraId="124BC46E" w14:textId="77777777" w:rsidTr="00A3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2BB673" w:themeFill="accent1"/>
          </w:tcPr>
          <w:p w14:paraId="71D1A249" w14:textId="77777777" w:rsidR="00555283" w:rsidRDefault="00555283" w:rsidP="00A90E99">
            <w:pPr>
              <w:pStyle w:val="Headingboxtexttop"/>
            </w:pPr>
            <w:r w:rsidRPr="00A34772">
              <w:rPr>
                <w:color w:val="auto"/>
              </w:rPr>
              <w:lastRenderedPageBreak/>
              <w:t xml:space="preserve">Action point </w:t>
            </w:r>
          </w:p>
        </w:tc>
      </w:tr>
      <w:tr w:rsidR="00555283" w14:paraId="55F06E2F" w14:textId="77777777" w:rsidTr="00A90E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7FBB77D0" w14:textId="2C8C0B43" w:rsidR="00555283" w:rsidRDefault="006658F3" w:rsidP="00A90E99">
            <w:pPr>
              <w:pStyle w:val="BodyText"/>
            </w:pPr>
            <w:r>
              <w:t xml:space="preserve">Review </w:t>
            </w:r>
            <w:r w:rsidR="00DB15D9">
              <w:t xml:space="preserve">and update the Ministry’s process of interacting with Minister’s offices on an ‘fyi’ basis for departmental </w:t>
            </w:r>
            <w:proofErr w:type="spellStart"/>
            <w:r w:rsidR="00DB15D9">
              <w:t>OIA</w:t>
            </w:r>
            <w:proofErr w:type="spellEnd"/>
            <w:r w:rsidR="00DB15D9">
              <w:t xml:space="preserve"> requests.</w:t>
            </w:r>
          </w:p>
        </w:tc>
      </w:tr>
      <w:tr w:rsidR="00B76443" w14:paraId="08BA75F9" w14:textId="77777777" w:rsidTr="00A90E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4CB2F6FF" w14:textId="0F57AE39" w:rsidR="00B76443" w:rsidRDefault="006658F3" w:rsidP="00A90E99">
            <w:pPr>
              <w:pStyle w:val="BodyText"/>
            </w:pPr>
            <w:r>
              <w:t xml:space="preserve">Ensure </w:t>
            </w:r>
            <w:r w:rsidR="00F71DDD">
              <w:t xml:space="preserve">full and accurate records are kept of substantive </w:t>
            </w:r>
            <w:r>
              <w:t xml:space="preserve">discussions </w:t>
            </w:r>
            <w:r w:rsidR="00F71DDD">
              <w:t xml:space="preserve">about </w:t>
            </w:r>
            <w:proofErr w:type="spellStart"/>
            <w:r w:rsidR="00F71DDD">
              <w:t>OIA</w:t>
            </w:r>
            <w:proofErr w:type="spellEnd"/>
            <w:r w:rsidR="00F71DDD">
              <w:t xml:space="preserve"> responses, including those between Ministers’ offices and the Ministry.</w:t>
            </w:r>
          </w:p>
        </w:tc>
      </w:tr>
      <w:tr w:rsidR="00F6635A" w14:paraId="0FD0D9FF" w14:textId="77777777" w:rsidTr="00A90E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6F0E39EB" w14:textId="7464E16A" w:rsidR="00F6635A" w:rsidRDefault="00F6635A" w:rsidP="00A90E99">
            <w:pPr>
              <w:pStyle w:val="BodyText"/>
            </w:pPr>
            <w:r>
              <w:t xml:space="preserve">Develop guidance or an agreement regarding ministerial interactions on departmental </w:t>
            </w:r>
            <w:proofErr w:type="spellStart"/>
            <w:r>
              <w:t>OIA</w:t>
            </w:r>
            <w:proofErr w:type="spellEnd"/>
            <w:r>
              <w:t xml:space="preserve"> requests and consider publishing the document.</w:t>
            </w:r>
          </w:p>
        </w:tc>
      </w:tr>
    </w:tbl>
    <w:p w14:paraId="789BD473" w14:textId="3CA483E9" w:rsidR="00A33315" w:rsidRPr="00011B0D" w:rsidRDefault="00A33315" w:rsidP="009447ED">
      <w:pPr>
        <w:pStyle w:val="Heading1"/>
        <w:spacing w:after="240"/>
      </w:pPr>
      <w:bookmarkStart w:id="39" w:name="_Toc239154208"/>
      <w:r w:rsidRPr="00011B0D">
        <w:t>Performance monitoring and learning</w:t>
      </w:r>
      <w:bookmarkEnd w:id="26"/>
      <w:bookmarkEnd w:id="39"/>
    </w:p>
    <w:p w14:paraId="56453769" w14:textId="4C972DBD" w:rsidR="009447ED" w:rsidRDefault="009447ED" w:rsidP="009447ED">
      <w:pPr>
        <w:pStyle w:val="Heading2"/>
        <w:spacing w:before="240"/>
      </w:pPr>
      <w:bookmarkStart w:id="40" w:name="_Toc239154209"/>
      <w:proofErr w:type="spellStart"/>
      <w:r>
        <w:t>OIA</w:t>
      </w:r>
      <w:proofErr w:type="spellEnd"/>
      <w:r>
        <w:t xml:space="preserve"> data collection and reporting to senior leaders</w:t>
      </w:r>
      <w:bookmarkEnd w:id="40"/>
    </w:p>
    <w:p w14:paraId="76501AD5" w14:textId="766DF4E3" w:rsidR="008859F9" w:rsidRDefault="00A43B3E" w:rsidP="00FA4300">
      <w:pPr>
        <w:pStyle w:val="BodyText"/>
      </w:pPr>
      <w:bookmarkStart w:id="41" w:name="_Hlk229681849"/>
      <w:r>
        <w:t xml:space="preserve">An agency’s commitment to the </w:t>
      </w:r>
      <w:proofErr w:type="spellStart"/>
      <w:r>
        <w:t>OIA</w:t>
      </w:r>
      <w:proofErr w:type="spellEnd"/>
      <w:r>
        <w:t xml:space="preserve"> is reflected in how it monitors its own performance and pursues continuous improvement. </w:t>
      </w:r>
      <w:r w:rsidR="009911F4">
        <w:t xml:space="preserve">We expect senior leaders to oversee their agency’s practice and compliance with the </w:t>
      </w:r>
      <w:proofErr w:type="spellStart"/>
      <w:r w:rsidR="009911F4">
        <w:t>OIA</w:t>
      </w:r>
      <w:proofErr w:type="spellEnd"/>
      <w:r w:rsidR="009911F4">
        <w:t>, the effectiveness of its structures, resources, capacity and capability through regular reporting.</w:t>
      </w:r>
    </w:p>
    <w:p w14:paraId="556BBDE6" w14:textId="5C891CC6" w:rsidR="007C22D2" w:rsidRPr="007C22D2" w:rsidRDefault="00780842" w:rsidP="007C22D2">
      <w:pPr>
        <w:pStyle w:val="BodyText"/>
      </w:pPr>
      <w:proofErr w:type="spellStart"/>
      <w:r>
        <w:t>OIA</w:t>
      </w:r>
      <w:proofErr w:type="spellEnd"/>
      <w:r>
        <w:t xml:space="preserve"> performance reporting to senior leaders </w:t>
      </w:r>
      <w:r w:rsidR="002D3FA6">
        <w:t xml:space="preserve">at </w:t>
      </w:r>
      <w:proofErr w:type="spellStart"/>
      <w:r w:rsidR="002D3FA6">
        <w:t>MPI</w:t>
      </w:r>
      <w:proofErr w:type="spellEnd"/>
      <w:r w:rsidR="002D3FA6">
        <w:t xml:space="preserve"> </w:t>
      </w:r>
      <w:r>
        <w:t xml:space="preserve">appears limited. </w:t>
      </w:r>
      <w:r w:rsidR="00D12694">
        <w:t xml:space="preserve">In response to our agency questionnaire, the Ministry </w:t>
      </w:r>
      <w:r w:rsidR="007C22D2">
        <w:t>advised that</w:t>
      </w:r>
      <w:r w:rsidR="005D4D14">
        <w:t xml:space="preserve"> its primary </w:t>
      </w:r>
      <w:proofErr w:type="spellStart"/>
      <w:r w:rsidR="002D3FA6">
        <w:t>OIA</w:t>
      </w:r>
      <w:proofErr w:type="spellEnd"/>
      <w:r w:rsidR="002D3FA6">
        <w:t xml:space="preserve"> </w:t>
      </w:r>
      <w:r w:rsidR="005D4D14">
        <w:t>reporting to senior l</w:t>
      </w:r>
      <w:r w:rsidR="002D3FA6">
        <w:t>e</w:t>
      </w:r>
      <w:r w:rsidR="005D4D14">
        <w:t xml:space="preserve">aders </w:t>
      </w:r>
      <w:r w:rsidR="005D4D14" w:rsidRPr="007C22D2">
        <w:t xml:space="preserve">relates to the six-monthly mandatory reporting provided to the Public Service Commission, which is focused largely on </w:t>
      </w:r>
      <w:r w:rsidR="005D4D14" w:rsidRPr="000874C9">
        <w:t>timeliness metrics</w:t>
      </w:r>
      <w:r w:rsidR="009F741A" w:rsidRPr="000874C9">
        <w:t xml:space="preserve">, and ultimately is </w:t>
      </w:r>
      <w:r w:rsidR="002315C4" w:rsidRPr="000874C9">
        <w:t>made public</w:t>
      </w:r>
      <w:r w:rsidR="005D4D14" w:rsidRPr="000874C9">
        <w:t>:</w:t>
      </w:r>
      <w:r w:rsidR="005D4D14">
        <w:t xml:space="preserve"> </w:t>
      </w:r>
      <w:r w:rsidR="007C22D2" w:rsidRPr="007C22D2">
        <w:rPr>
          <w:rStyle w:val="Quotationwithinthesentence"/>
        </w:rPr>
        <w:t xml:space="preserve">‘Our leadership team receive data every six months before it is provided to PSC which includes all departmental </w:t>
      </w:r>
      <w:proofErr w:type="spellStart"/>
      <w:r w:rsidR="007C22D2" w:rsidRPr="007C22D2">
        <w:rPr>
          <w:rStyle w:val="Quotationwithinthesentence"/>
        </w:rPr>
        <w:t>OIA</w:t>
      </w:r>
      <w:proofErr w:type="spellEnd"/>
      <w:r w:rsidR="007C22D2" w:rsidRPr="007C22D2">
        <w:rPr>
          <w:rStyle w:val="Quotationwithinthesentence"/>
        </w:rPr>
        <w:t xml:space="preserve">, Minister’s </w:t>
      </w:r>
      <w:proofErr w:type="spellStart"/>
      <w:r w:rsidR="007C22D2" w:rsidRPr="007C22D2">
        <w:rPr>
          <w:rStyle w:val="Quotationwithinthesentence"/>
        </w:rPr>
        <w:t>OIA</w:t>
      </w:r>
      <w:proofErr w:type="spellEnd"/>
      <w:r w:rsidR="007C22D2" w:rsidRPr="007C22D2">
        <w:rPr>
          <w:rStyle w:val="Quotationwithinthesentence"/>
        </w:rPr>
        <w:t xml:space="preserve">, media </w:t>
      </w:r>
      <w:proofErr w:type="spellStart"/>
      <w:r w:rsidR="007C22D2" w:rsidRPr="007C22D2">
        <w:rPr>
          <w:rStyle w:val="Quotationwithinthesentence"/>
        </w:rPr>
        <w:t>OIA</w:t>
      </w:r>
      <w:proofErr w:type="spellEnd"/>
      <w:r w:rsidR="007C22D2" w:rsidRPr="007C22D2">
        <w:rPr>
          <w:rStyle w:val="Quotationwithinthesentence"/>
        </w:rPr>
        <w:t xml:space="preserve"> requests and any proactive release of Cabinet papers.’</w:t>
      </w:r>
      <w:r w:rsidR="007C22D2" w:rsidRPr="007C22D2">
        <w:t xml:space="preserve"> While this demonstrates an awareness of the importance of accountability for statutory compliance</w:t>
      </w:r>
      <w:r w:rsidR="002D3FA6">
        <w:t xml:space="preserve"> with the </w:t>
      </w:r>
      <w:proofErr w:type="spellStart"/>
      <w:r w:rsidR="002D3FA6">
        <w:t>OIA</w:t>
      </w:r>
      <w:proofErr w:type="spellEnd"/>
      <w:r w:rsidR="007C22D2" w:rsidRPr="007C22D2">
        <w:t xml:space="preserve">, there appears to be less emphasis on using </w:t>
      </w:r>
      <w:proofErr w:type="spellStart"/>
      <w:r w:rsidR="007C22D2" w:rsidRPr="007C22D2">
        <w:t>OIA</w:t>
      </w:r>
      <w:proofErr w:type="spellEnd"/>
      <w:r w:rsidR="007C22D2" w:rsidRPr="007C22D2">
        <w:t xml:space="preserve"> performance information as an internal organisational learning and improvement tool.</w:t>
      </w:r>
    </w:p>
    <w:p w14:paraId="4B7AE570" w14:textId="34BF45A6" w:rsidR="007F7301" w:rsidRDefault="00BD703F" w:rsidP="007C22D2">
      <w:pPr>
        <w:pStyle w:val="BodyText"/>
        <w:rPr>
          <w:rStyle w:val="Quotationwithinthesentence"/>
        </w:rPr>
      </w:pPr>
      <w:r>
        <w:t>T</w:t>
      </w:r>
      <w:r w:rsidR="007C22D2" w:rsidRPr="007C22D2">
        <w:t xml:space="preserve">he agency provides more </w:t>
      </w:r>
      <w:r w:rsidR="00EC3145">
        <w:t>frequent</w:t>
      </w:r>
      <w:r w:rsidR="007C22D2" w:rsidRPr="007C22D2">
        <w:t xml:space="preserve"> reporting to senior leadership on performance against service targets for Ministerial servicing and Ministerial </w:t>
      </w:r>
      <w:proofErr w:type="spellStart"/>
      <w:r w:rsidR="007C22D2" w:rsidRPr="007C22D2">
        <w:t>OIA</w:t>
      </w:r>
      <w:proofErr w:type="spellEnd"/>
      <w:r w:rsidR="007C22D2" w:rsidRPr="007C22D2">
        <w:t xml:space="preserve"> requests</w:t>
      </w:r>
      <w:r w:rsidR="006564EE">
        <w:t xml:space="preserve">: </w:t>
      </w:r>
      <w:r w:rsidR="006564EE" w:rsidRPr="006564EE">
        <w:rPr>
          <w:rStyle w:val="Quotationwithinthesentence"/>
        </w:rPr>
        <w:t xml:space="preserve">‘Our leadership team also receive data quarterly for the Service Performance Measure Policy Advice and Ministerial Servicing Development and Implementation of Primary Industries Policy Advice Multi-Category Appropriation. This includes Ministerial </w:t>
      </w:r>
      <w:proofErr w:type="spellStart"/>
      <w:proofErr w:type="gramStart"/>
      <w:r w:rsidR="006564EE" w:rsidRPr="006564EE">
        <w:rPr>
          <w:rStyle w:val="Quotationwithinthesentence"/>
        </w:rPr>
        <w:t>OIAs</w:t>
      </w:r>
      <w:proofErr w:type="spellEnd"/>
      <w:proofErr w:type="gramEnd"/>
      <w:r w:rsidR="006564EE" w:rsidRPr="006564EE">
        <w:rPr>
          <w:rStyle w:val="Quotationwithinthesentence"/>
        </w:rPr>
        <w:t xml:space="preserve"> and this figure is also published in our Annual Report.’</w:t>
      </w:r>
      <w:r w:rsidR="007C22D2" w:rsidRPr="007C22D2">
        <w:rPr>
          <w:rStyle w:val="Quotationwithinthesentence"/>
        </w:rPr>
        <w:t xml:space="preserve"> </w:t>
      </w:r>
    </w:p>
    <w:p w14:paraId="21610316" w14:textId="078ACE42" w:rsidR="007C22D2" w:rsidRDefault="007C22D2" w:rsidP="007C22D2">
      <w:pPr>
        <w:pStyle w:val="BodyText"/>
      </w:pPr>
      <w:r w:rsidRPr="007C22D2">
        <w:t xml:space="preserve">This suggests that areas associated with </w:t>
      </w:r>
      <w:r w:rsidRPr="001551A9">
        <w:t>ministerial risk and responsiveness receive a greater degree of oversight and performance monitoring</w:t>
      </w:r>
      <w:r w:rsidRPr="007C22D2">
        <w:t xml:space="preserve"> than departmental </w:t>
      </w:r>
      <w:proofErr w:type="spellStart"/>
      <w:r w:rsidRPr="007C22D2">
        <w:t>OIA</w:t>
      </w:r>
      <w:proofErr w:type="spellEnd"/>
      <w:r w:rsidRPr="007C22D2">
        <w:t xml:space="preserve"> requests made by members of the public. Given the central democratic purpose of the </w:t>
      </w:r>
      <w:proofErr w:type="spellStart"/>
      <w:r w:rsidRPr="007C22D2">
        <w:t>OIA</w:t>
      </w:r>
      <w:proofErr w:type="spellEnd"/>
      <w:r w:rsidRPr="007C22D2">
        <w:t xml:space="preserve"> in promoting public participation, accountability, and transparency in government decision-making, there is an opportunity for the agency to place </w:t>
      </w:r>
      <w:r w:rsidR="000119D0">
        <w:t>greater</w:t>
      </w:r>
      <w:r w:rsidRPr="007C22D2">
        <w:t xml:space="preserve"> focus on how effectively it is serving the public through i</w:t>
      </w:r>
      <w:r w:rsidR="005A5952">
        <w:t>nternal reporting on its</w:t>
      </w:r>
      <w:r w:rsidRPr="007C22D2">
        <w:t xml:space="preserve"> departmental </w:t>
      </w:r>
      <w:proofErr w:type="spellStart"/>
      <w:r w:rsidRPr="007C22D2">
        <w:t>OIA</w:t>
      </w:r>
      <w:proofErr w:type="spellEnd"/>
      <w:r w:rsidRPr="007C22D2">
        <w:t xml:space="preserve"> processes.</w:t>
      </w:r>
    </w:p>
    <w:p w14:paraId="5D5B0CF5" w14:textId="7E75188E" w:rsidR="00B1107C" w:rsidRDefault="00B1107C" w:rsidP="00B1107C">
      <w:pPr>
        <w:pStyle w:val="BodyText"/>
      </w:pPr>
      <w:r>
        <w:lastRenderedPageBreak/>
        <w:t xml:space="preserve">It was encouraging to see the agency’s </w:t>
      </w:r>
      <w:proofErr w:type="spellStart"/>
      <w:r>
        <w:t>OIA</w:t>
      </w:r>
      <w:proofErr w:type="spellEnd"/>
      <w:r>
        <w:t xml:space="preserve"> team making use of </w:t>
      </w:r>
      <w:proofErr w:type="spellStart"/>
      <w:r>
        <w:t>OIA</w:t>
      </w:r>
      <w:proofErr w:type="spellEnd"/>
      <w:r>
        <w:t xml:space="preserve"> performance information to identify areas where </w:t>
      </w:r>
      <w:r w:rsidR="00D50C29">
        <w:t xml:space="preserve">improvements could be made to </w:t>
      </w:r>
      <w:proofErr w:type="spellStart"/>
      <w:r w:rsidR="00D50C29">
        <w:t>OIA</w:t>
      </w:r>
      <w:proofErr w:type="spellEnd"/>
      <w:r w:rsidR="00D50C29">
        <w:t xml:space="preserve"> handling by offering </w:t>
      </w:r>
      <w:r>
        <w:t>additional support, guidance, or training:</w:t>
      </w:r>
      <w:r w:rsidRPr="00D25074">
        <w:t xml:space="preserve"> </w:t>
      </w:r>
    </w:p>
    <w:p w14:paraId="090D0161" w14:textId="77777777" w:rsidR="00B1107C" w:rsidRDefault="00B1107C" w:rsidP="00B1107C">
      <w:pPr>
        <w:pStyle w:val="Quotationseparateparagraph"/>
      </w:pPr>
      <w:r w:rsidRPr="00D25074">
        <w:t xml:space="preserve">We use a mix of quantitative and qualitative signals to target support including daily reporting to spot emerging themes, and regular team discussions to identify where requests are clustering or where extra guidance would be helpful. A recent example was a spike in requests relating to the Fisheries Act Amendment Bill, where we brought relevant SMEs and </w:t>
      </w:r>
      <w:proofErr w:type="spellStart"/>
      <w:r w:rsidRPr="00D25074">
        <w:t>OIA</w:t>
      </w:r>
      <w:proofErr w:type="spellEnd"/>
      <w:r w:rsidRPr="00D25074">
        <w:t xml:space="preserve"> staff together to align scope, coordinate information gathering and approval steps, and consider options for proactive release to reduce repeat requests.</w:t>
      </w:r>
      <w:r>
        <w:t xml:space="preserve">  </w:t>
      </w:r>
    </w:p>
    <w:p w14:paraId="76CAE749" w14:textId="77777777" w:rsidR="00D50C29" w:rsidRDefault="00B1107C" w:rsidP="00B1107C">
      <w:pPr>
        <w:pStyle w:val="BodyText"/>
      </w:pPr>
      <w:r>
        <w:t>This is a good example of performance monitoring being used not just to assess compliance, but as a tool to drive continuous improvement.</w:t>
      </w:r>
      <w:r w:rsidR="00D50C29">
        <w:t xml:space="preserve"> </w:t>
      </w:r>
      <w:r>
        <w:t xml:space="preserve">There would be value in the senior leadership level taking the lead on </w:t>
      </w:r>
      <w:r w:rsidR="00D50C29">
        <w:t>using</w:t>
      </w:r>
      <w:r>
        <w:t xml:space="preserve"> </w:t>
      </w:r>
      <w:proofErr w:type="spellStart"/>
      <w:r>
        <w:t>OIA</w:t>
      </w:r>
      <w:proofErr w:type="spellEnd"/>
      <w:r>
        <w:t xml:space="preserve"> performance reporting</w:t>
      </w:r>
      <w:r w:rsidR="00D50C29">
        <w:t xml:space="preserve"> for this purpose</w:t>
      </w:r>
      <w:r>
        <w:t xml:space="preserve">. </w:t>
      </w:r>
    </w:p>
    <w:p w14:paraId="6618B27D" w14:textId="26CABE11" w:rsidR="007C22D2" w:rsidRDefault="007C22D2" w:rsidP="007C22D2">
      <w:pPr>
        <w:pStyle w:val="BodyText"/>
      </w:pPr>
      <w:r w:rsidRPr="00937565">
        <w:t xml:space="preserve">More </w:t>
      </w:r>
      <w:r w:rsidR="00531AAF" w:rsidRPr="00937565">
        <w:t>frequent</w:t>
      </w:r>
      <w:r w:rsidR="00A91D5D" w:rsidRPr="00937565">
        <w:t>,</w:t>
      </w:r>
      <w:r w:rsidRPr="00937565">
        <w:t xml:space="preserve"> </w:t>
      </w:r>
      <w:r w:rsidR="00D50C29" w:rsidRPr="00937565">
        <w:t>qualitativ</w:t>
      </w:r>
      <w:r w:rsidRPr="00937565">
        <w:t xml:space="preserve">e reporting to senior leaders on departmental </w:t>
      </w:r>
      <w:proofErr w:type="spellStart"/>
      <w:r w:rsidRPr="00937565">
        <w:t>OIA</w:t>
      </w:r>
      <w:proofErr w:type="spellEnd"/>
      <w:r w:rsidRPr="00937565">
        <w:t xml:space="preserve"> performance could support a stronger culture of continuous improvement and openness across the organisation. For example, reporting could extend beyond timeliness data to include trends in delays, use of withholding grounds, complaint outcomes, proactive release activity</w:t>
      </w:r>
      <w:r w:rsidR="00A91D5D" w:rsidRPr="00937565">
        <w:t xml:space="preserve"> and </w:t>
      </w:r>
      <w:r w:rsidRPr="00937565">
        <w:t>quality assurance findings</w:t>
      </w:r>
      <w:r w:rsidR="00A91D5D" w:rsidRPr="00937565">
        <w:t xml:space="preserve"> (discussed further under Quality Assurance)</w:t>
      </w:r>
      <w:r w:rsidRPr="00937565">
        <w:t xml:space="preserve">. This </w:t>
      </w:r>
      <w:r w:rsidR="00A91D5D" w:rsidRPr="00937565">
        <w:t>may</w:t>
      </w:r>
      <w:r w:rsidRPr="00937565">
        <w:t xml:space="preserve"> assist senior leaders to identify </w:t>
      </w:r>
      <w:r w:rsidR="00A91D5D" w:rsidRPr="00937565">
        <w:t>areas where support and/or training is required</w:t>
      </w:r>
      <w:r w:rsidRPr="00937565">
        <w:t xml:space="preserve">, monitor </w:t>
      </w:r>
      <w:proofErr w:type="spellStart"/>
      <w:r w:rsidR="00886AE9" w:rsidRPr="00937565">
        <w:t>OIA</w:t>
      </w:r>
      <w:proofErr w:type="spellEnd"/>
      <w:r w:rsidR="00886AE9" w:rsidRPr="00937565">
        <w:t xml:space="preserve"> handling capacity and capability</w:t>
      </w:r>
      <w:r w:rsidRPr="00937565">
        <w:t xml:space="preserve">, and reinforce the importance of the </w:t>
      </w:r>
      <w:proofErr w:type="spellStart"/>
      <w:r w:rsidRPr="00937565">
        <w:t>OIA</w:t>
      </w:r>
      <w:proofErr w:type="spellEnd"/>
      <w:r w:rsidRPr="00937565">
        <w:t xml:space="preserve"> as a core public service function rather than solely a compliance obligation.</w:t>
      </w:r>
    </w:p>
    <w:p w14:paraId="388F0A5E" w14:textId="1C40E296" w:rsidR="00F01F70" w:rsidRDefault="00F01F70" w:rsidP="007C22D2">
      <w:pPr>
        <w:pStyle w:val="BodyText"/>
      </w:pPr>
      <w:r>
        <w:t>In its re</w:t>
      </w:r>
      <w:r w:rsidR="00B3275F">
        <w:t>spon</w:t>
      </w:r>
      <w:r>
        <w:t xml:space="preserve">se to my provisional opinion the Ministry stated: </w:t>
      </w:r>
    </w:p>
    <w:p w14:paraId="579856B6" w14:textId="2C9A1DE2" w:rsidR="00B3275F" w:rsidRPr="005D1932" w:rsidRDefault="00B3275F" w:rsidP="005D1932">
      <w:pPr>
        <w:pStyle w:val="Quotationseparateparagraph"/>
      </w:pPr>
      <w:proofErr w:type="spellStart"/>
      <w:r w:rsidRPr="005D1932">
        <w:t>MPI</w:t>
      </w:r>
      <w:proofErr w:type="spellEnd"/>
      <w:r w:rsidRPr="005D1932">
        <w:t xml:space="preserve"> acknowledges the</w:t>
      </w:r>
      <w:r w:rsidR="005D1932" w:rsidRPr="005D1932">
        <w:t xml:space="preserve"> opportunity to strengthen how </w:t>
      </w:r>
      <w:proofErr w:type="spellStart"/>
      <w:r w:rsidR="005D1932" w:rsidRPr="005D1932">
        <w:t>OIA</w:t>
      </w:r>
      <w:proofErr w:type="spellEnd"/>
      <w:r w:rsidR="005D1932" w:rsidRPr="005D1932">
        <w:t xml:space="preserve"> performance information is reported to senior leaders, including the use of qualitative insights. We will consider how this can be incorporated into existing reporting practices in a way that supports continuous improvement and is proportionate to the resources available.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214"/>
      </w:tblGrid>
      <w:tr w:rsidR="003C335F" w14:paraId="5D281F7B" w14:textId="77777777" w:rsidTr="00A3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BB673" w:themeFill="accent1"/>
          </w:tcPr>
          <w:bookmarkEnd w:id="41"/>
          <w:p w14:paraId="0A4D93B4" w14:textId="77777777" w:rsidR="003C335F" w:rsidRDefault="003C335F">
            <w:pPr>
              <w:pStyle w:val="Headingboxtexttop"/>
            </w:pPr>
            <w:r w:rsidRPr="00A34772">
              <w:rPr>
                <w:color w:val="auto"/>
              </w:rPr>
              <w:t xml:space="preserve">Action point </w:t>
            </w:r>
          </w:p>
        </w:tc>
      </w:tr>
      <w:tr w:rsidR="003C335F" w14:paraId="7E3B293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674C8946" w14:textId="44DDEF75" w:rsidR="003C335F" w:rsidRDefault="00AC29B2">
            <w:pPr>
              <w:pStyle w:val="BodyText"/>
            </w:pPr>
            <w:proofErr w:type="spellStart"/>
            <w:r>
              <w:t>OIA</w:t>
            </w:r>
            <w:proofErr w:type="spellEnd"/>
            <w:r>
              <w:t xml:space="preserve"> reporting to senior leaders should be more frequent and should include qualitative data in accordance with our suggestions with a view to using this data to drive continuous improvement and identify areas where support, training and capacity is required.</w:t>
            </w:r>
          </w:p>
        </w:tc>
      </w:tr>
    </w:tbl>
    <w:p w14:paraId="4B0141FE" w14:textId="77777777" w:rsidR="003C335F" w:rsidRDefault="003C335F" w:rsidP="001901BB">
      <w:pPr>
        <w:pStyle w:val="Whitespace"/>
      </w:pPr>
    </w:p>
    <w:p w14:paraId="555D474B" w14:textId="001E21B3" w:rsidR="003C335F" w:rsidRDefault="003C335F" w:rsidP="00D8053A">
      <w:pPr>
        <w:pStyle w:val="Heading2"/>
      </w:pPr>
      <w:bookmarkStart w:id="42" w:name="_Toc239154210"/>
      <w:r>
        <w:t>Quality assurance</w:t>
      </w:r>
      <w:bookmarkEnd w:id="42"/>
      <w:r>
        <w:t xml:space="preserve"> </w:t>
      </w:r>
    </w:p>
    <w:p w14:paraId="1EC04FDE" w14:textId="0D40D5B3" w:rsidR="002E01DB" w:rsidRDefault="002E01DB" w:rsidP="002E01DB">
      <w:pPr>
        <w:pStyle w:val="BodyText"/>
      </w:pPr>
      <w:r w:rsidRPr="002E01DB">
        <w:t xml:space="preserve">An important part of performance monitoring is that it enables an agency to learn from previous practice to inform future practice. While </w:t>
      </w:r>
      <w:r>
        <w:t>the Ministry</w:t>
      </w:r>
      <w:r w:rsidRPr="002E01DB">
        <w:t xml:space="preserve"> has a </w:t>
      </w:r>
      <w:r>
        <w:t xml:space="preserve">robust </w:t>
      </w:r>
      <w:r w:rsidRPr="002E01DB">
        <w:t>review process in place</w:t>
      </w:r>
      <w:r>
        <w:t xml:space="preserve"> (discussed earlier in </w:t>
      </w:r>
      <w:hyperlink w:anchor="_Review_and_sign" w:history="1">
        <w:r w:rsidRPr="00143722">
          <w:rPr>
            <w:rStyle w:val="Hyperlink"/>
            <w:i/>
            <w:iCs/>
          </w:rPr>
          <w:t>Review and sign out processes</w:t>
        </w:r>
      </w:hyperlink>
      <w:r>
        <w:t>)</w:t>
      </w:r>
      <w:r w:rsidRPr="002E01DB">
        <w:t xml:space="preserve">, it does not have a quality assurance process. Quality assurance is conducted once the process of responding to an </w:t>
      </w:r>
      <w:proofErr w:type="spellStart"/>
      <w:r w:rsidRPr="002E01DB">
        <w:t>OIA</w:t>
      </w:r>
      <w:proofErr w:type="spellEnd"/>
      <w:r w:rsidRPr="002E01DB">
        <w:t xml:space="preserve"> request is complete, and it has a broader focus on the effectiveness of the </w:t>
      </w:r>
      <w:proofErr w:type="gramStart"/>
      <w:r w:rsidRPr="002E01DB">
        <w:t>process as a whole</w:t>
      </w:r>
      <w:proofErr w:type="gramEnd"/>
      <w:r w:rsidRPr="002E01DB">
        <w:t xml:space="preserve">. </w:t>
      </w:r>
    </w:p>
    <w:p w14:paraId="07ED9DDC" w14:textId="77777777" w:rsidR="002E01DB" w:rsidRDefault="002E01DB" w:rsidP="002E01DB">
      <w:pPr>
        <w:pStyle w:val="BodyText"/>
      </w:pPr>
      <w:r w:rsidRPr="002E01DB">
        <w:lastRenderedPageBreak/>
        <w:t xml:space="preserve">There is a wealth of qualitative data to be gained from incorporating quality assurance into the </w:t>
      </w:r>
      <w:proofErr w:type="spellStart"/>
      <w:r w:rsidRPr="002E01DB">
        <w:t>OIA</w:t>
      </w:r>
      <w:proofErr w:type="spellEnd"/>
      <w:r w:rsidRPr="002E01DB">
        <w:t xml:space="preserve"> process. When analysed effectively, this can be used to inform improvements in the </w:t>
      </w:r>
      <w:proofErr w:type="spellStart"/>
      <w:r w:rsidRPr="002E01DB">
        <w:t>OIA</w:t>
      </w:r>
      <w:proofErr w:type="spellEnd"/>
      <w:r w:rsidRPr="002E01DB">
        <w:t xml:space="preserve"> process, including:</w:t>
      </w:r>
    </w:p>
    <w:p w14:paraId="19CA4396" w14:textId="77777777" w:rsidR="002E01DB" w:rsidRDefault="002E01DB" w:rsidP="002E01DB">
      <w:pPr>
        <w:pStyle w:val="Bullet1"/>
      </w:pPr>
      <w:r w:rsidRPr="002E01DB">
        <w:t xml:space="preserve">ensuring consistency in the agency’s approach across similar </w:t>
      </w:r>
      <w:proofErr w:type="gramStart"/>
      <w:r w:rsidRPr="002E01DB">
        <w:t>requests;</w:t>
      </w:r>
      <w:proofErr w:type="gramEnd"/>
    </w:p>
    <w:p w14:paraId="6083975F" w14:textId="77777777" w:rsidR="002E01DB" w:rsidRDefault="002E01DB" w:rsidP="002E01DB">
      <w:pPr>
        <w:pStyle w:val="Bullet1"/>
      </w:pPr>
      <w:r w:rsidRPr="002E01DB">
        <w:t>determining the reason for</w:t>
      </w:r>
      <w:r>
        <w:t xml:space="preserve"> </w:t>
      </w:r>
      <w:r w:rsidRPr="002E01DB">
        <w:t>delays; and</w:t>
      </w:r>
      <w:r>
        <w:t xml:space="preserve"> </w:t>
      </w:r>
    </w:p>
    <w:p w14:paraId="731FB7EC" w14:textId="2CDAB73B" w:rsidR="002E01DB" w:rsidRPr="002E01DB" w:rsidRDefault="002E01DB" w:rsidP="002E01DB">
      <w:pPr>
        <w:pStyle w:val="Bullet1"/>
      </w:pPr>
      <w:r w:rsidRPr="002E01DB">
        <w:t>identifying training</w:t>
      </w:r>
      <w:r w:rsidR="00AE7BF6">
        <w:t xml:space="preserve"> and capability needs</w:t>
      </w:r>
      <w:r w:rsidRPr="002E01DB">
        <w:t>.</w:t>
      </w:r>
    </w:p>
    <w:p w14:paraId="22DFBBA4" w14:textId="588D2282" w:rsidR="002E01DB" w:rsidRDefault="002E01DB" w:rsidP="002E01DB">
      <w:pPr>
        <w:pStyle w:val="BodyText"/>
      </w:pPr>
      <w:r w:rsidRPr="002E01DB">
        <w:t xml:space="preserve">There </w:t>
      </w:r>
      <w:r>
        <w:t>may be benefit in the Ministry</w:t>
      </w:r>
      <w:r w:rsidRPr="002E01DB">
        <w:t xml:space="preserve"> developing a formal quality assurance system </w:t>
      </w:r>
      <w:r w:rsidR="00AE7BF6">
        <w:t xml:space="preserve">where a sample of closed </w:t>
      </w:r>
      <w:proofErr w:type="spellStart"/>
      <w:r w:rsidR="00AE7BF6">
        <w:t>OIA</w:t>
      </w:r>
      <w:proofErr w:type="spellEnd"/>
      <w:r w:rsidR="00AE7BF6">
        <w:t xml:space="preserve"> files are reviewed on a periodic basis </w:t>
      </w:r>
      <w:r w:rsidRPr="002E01DB">
        <w:t xml:space="preserve">to ensure consistency of decision-making and the identification of risks and vulnerabilities. </w:t>
      </w:r>
      <w:r w:rsidR="00AE7BF6">
        <w:t xml:space="preserve">It may also help identify examples of good practice that can be shared more widely, thereby supporting a culture that is supportive of information disclosure under the </w:t>
      </w:r>
      <w:proofErr w:type="spellStart"/>
      <w:r w:rsidR="00AE7BF6">
        <w:t>OIA</w:t>
      </w:r>
      <w:proofErr w:type="spellEnd"/>
      <w:r w:rsidR="00AE7BF6">
        <w:t>.</w:t>
      </w:r>
    </w:p>
    <w:p w14:paraId="348C658A" w14:textId="4A7D9165" w:rsidR="00DB60AC" w:rsidRDefault="00DB60AC" w:rsidP="002E01DB">
      <w:pPr>
        <w:pStyle w:val="BodyText"/>
        <w:rPr>
          <w:rStyle w:val="Quotationwithinthesentence"/>
        </w:rPr>
      </w:pPr>
      <w:r>
        <w:t xml:space="preserve">The Ministry noted in its response to </w:t>
      </w:r>
      <w:r w:rsidR="00A81E04">
        <w:t>my</w:t>
      </w:r>
      <w:r>
        <w:t xml:space="preserve"> provisional opinion that its Customer Resolutions team, which responds to </w:t>
      </w:r>
      <w:r w:rsidR="0006184D">
        <w:t xml:space="preserve">Ombudsman </w:t>
      </w:r>
      <w:r>
        <w:t>complaints about</w:t>
      </w:r>
      <w:r w:rsidR="0006184D">
        <w:t xml:space="preserve"> its</w:t>
      </w:r>
      <w:r>
        <w:t xml:space="preserve"> </w:t>
      </w:r>
      <w:proofErr w:type="spellStart"/>
      <w:r>
        <w:t>OIA</w:t>
      </w:r>
      <w:proofErr w:type="spellEnd"/>
      <w:r>
        <w:t xml:space="preserve"> responses</w:t>
      </w:r>
      <w:r w:rsidR="0006184D">
        <w:t>,</w:t>
      </w:r>
      <w:r>
        <w:t xml:space="preserve"> shares feedback from that process with the </w:t>
      </w:r>
      <w:proofErr w:type="spellStart"/>
      <w:r>
        <w:t>OIA</w:t>
      </w:r>
      <w:proofErr w:type="spellEnd"/>
      <w:r>
        <w:t xml:space="preserve"> team and senior leaders</w:t>
      </w:r>
      <w:r w:rsidR="0006184D">
        <w:t>. I</w:t>
      </w:r>
      <w:r>
        <w:t xml:space="preserve">t will </w:t>
      </w:r>
      <w:r w:rsidRPr="00851E6E">
        <w:rPr>
          <w:rStyle w:val="Quotationwithinthesentence"/>
        </w:rPr>
        <w:t xml:space="preserve">‘consider the development of a formal quality assurance framework to complement or replace our existing quality and improvement practices for </w:t>
      </w:r>
      <w:proofErr w:type="spellStart"/>
      <w:r w:rsidRPr="00851E6E">
        <w:rPr>
          <w:rStyle w:val="Quotationwithinthesentence"/>
        </w:rPr>
        <w:t>OIA</w:t>
      </w:r>
      <w:proofErr w:type="spellEnd"/>
      <w:r w:rsidRPr="00851E6E">
        <w:rPr>
          <w:rStyle w:val="Quotationwithinthesentence"/>
        </w:rPr>
        <w:t xml:space="preserve"> requests</w:t>
      </w:r>
      <w:r w:rsidR="00851E6E">
        <w:rPr>
          <w:rStyle w:val="Quotationwithinthesentence"/>
        </w:rPr>
        <w:t>.</w:t>
      </w:r>
      <w:r w:rsidRPr="00851E6E">
        <w:rPr>
          <w:rStyle w:val="Quotationwithinthesentence"/>
        </w:rPr>
        <w:t>’</w:t>
      </w:r>
    </w:p>
    <w:p w14:paraId="2D0293E6" w14:textId="6A478095" w:rsidR="00851E6E" w:rsidRPr="00851E6E" w:rsidRDefault="008C0E5D" w:rsidP="00851E6E">
      <w:pPr>
        <w:pStyle w:val="BodyText"/>
      </w:pPr>
      <w:r>
        <w:t>We</w:t>
      </w:r>
      <w:r w:rsidR="00851E6E">
        <w:t xml:space="preserve"> acknowledge the value of obtaining qualitative data through the complaints process, </w:t>
      </w:r>
      <w:r w:rsidR="00815FB9">
        <w:t>while</w:t>
      </w:r>
      <w:r w:rsidR="00851E6E">
        <w:t xml:space="preserve"> not</w:t>
      </w:r>
      <w:r w:rsidR="00815FB9">
        <w:t>ing</w:t>
      </w:r>
      <w:r w:rsidR="00851E6E">
        <w:t xml:space="preserve"> that relying on this pathway for feedback is purely reactive, whereas instituting a quality assurance framework</w:t>
      </w:r>
      <w:r w:rsidR="0006184D">
        <w:t xml:space="preserve"> as described above,</w:t>
      </w:r>
      <w:r w:rsidR="00851E6E">
        <w:t xml:space="preserve"> would allow the Ministry to focus proactively </w:t>
      </w:r>
      <w:r w:rsidR="00715B14">
        <w:t>on areas where it wishes to drive improvement</w:t>
      </w:r>
      <w:r w:rsidR="0006184D">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214"/>
      </w:tblGrid>
      <w:tr w:rsidR="001D1D5F" w14:paraId="13BB04FF" w14:textId="77777777" w:rsidTr="00A3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BB673" w:themeFill="accent1"/>
          </w:tcPr>
          <w:p w14:paraId="56C9B895" w14:textId="77777777" w:rsidR="001D1D5F" w:rsidRDefault="001D1D5F" w:rsidP="005A7627">
            <w:pPr>
              <w:pStyle w:val="Headingboxtexttop"/>
            </w:pPr>
            <w:r w:rsidRPr="00A34772">
              <w:rPr>
                <w:color w:val="auto"/>
              </w:rPr>
              <w:t xml:space="preserve">Action point </w:t>
            </w:r>
          </w:p>
        </w:tc>
      </w:tr>
      <w:tr w:rsidR="001D1D5F" w14:paraId="1988F404" w14:textId="77777777" w:rsidTr="005A76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08BB6E73" w14:textId="534135D0" w:rsidR="001D1D5F" w:rsidRDefault="001D1D5F" w:rsidP="005A7627">
            <w:pPr>
              <w:pStyle w:val="BodyText"/>
            </w:pPr>
            <w:r>
              <w:t xml:space="preserve">Consider conducting quality assurance of a sample of completed </w:t>
            </w:r>
            <w:proofErr w:type="spellStart"/>
            <w:r>
              <w:t>OIA</w:t>
            </w:r>
            <w:proofErr w:type="spellEnd"/>
            <w:r>
              <w:t xml:space="preserve"> requests and reporting outcomes to senior leaders.</w:t>
            </w:r>
          </w:p>
        </w:tc>
      </w:tr>
    </w:tbl>
    <w:p w14:paraId="46C38B74" w14:textId="2077F7E6" w:rsidR="00FD26D9" w:rsidRDefault="00FD26D9" w:rsidP="002E01DB">
      <w:pPr>
        <w:pStyle w:val="BodyText"/>
      </w:pPr>
      <w:r>
        <w:br w:type="page"/>
      </w:r>
    </w:p>
    <w:p w14:paraId="649D50F7" w14:textId="77777777" w:rsidR="00FD26D9" w:rsidRDefault="00FD26D9" w:rsidP="002E01DB">
      <w:pPr>
        <w:pStyle w:val="BodyText"/>
        <w:sectPr w:rsidR="00FD26D9" w:rsidSect="0023079A">
          <w:endnotePr>
            <w:numFmt w:val="decimal"/>
          </w:endnotePr>
          <w:pgSz w:w="11906" w:h="16838" w:code="9"/>
          <w:pgMar w:top="1701" w:right="1304" w:bottom="1701" w:left="1304" w:header="680" w:footer="680" w:gutter="0"/>
          <w:pgNumType w:start="1"/>
          <w:cols w:space="708"/>
          <w:docGrid w:linePitch="360"/>
        </w:sectPr>
      </w:pPr>
    </w:p>
    <w:p w14:paraId="37ADB26C" w14:textId="77777777" w:rsidR="006C0986" w:rsidRDefault="00FD26D9" w:rsidP="002E01DB">
      <w:pPr>
        <w:pStyle w:val="BodyText"/>
        <w:sectPr w:rsidR="006C0986" w:rsidSect="006C0986">
          <w:footerReference w:type="default" r:id="rId17"/>
          <w:endnotePr>
            <w:numFmt w:val="decimal"/>
          </w:endnotePr>
          <w:pgSz w:w="11906" w:h="16838" w:code="9"/>
          <w:pgMar w:top="1701" w:right="1304" w:bottom="1701" w:left="1304" w:header="680" w:footer="680" w:gutter="0"/>
          <w:pgNumType w:start="1"/>
          <w:cols w:space="708"/>
          <w:titlePg/>
          <w:docGrid w:linePitch="360"/>
        </w:sectPr>
      </w:pPr>
      <w:r>
        <w:lastRenderedPageBreak/>
        <w:br w:type="page"/>
      </w:r>
    </w:p>
    <w:p w14:paraId="356E0880" w14:textId="618BBDF7" w:rsidR="00FD26D9" w:rsidRDefault="006C0986" w:rsidP="002E01DB">
      <w:pPr>
        <w:pStyle w:val="BodyText"/>
      </w:pPr>
      <w:r>
        <w:rPr>
          <w:noProof/>
        </w:rPr>
        <w:lastRenderedPageBreak/>
        <w:drawing>
          <wp:inline distT="0" distB="0" distL="0" distR="0" wp14:anchorId="1B9D37F2" wp14:editId="26FFFA85">
            <wp:extent cx="1944000" cy="600840"/>
            <wp:effectExtent l="0" t="0" r="0" b="8890"/>
            <wp:docPr id="17240219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21931" name="Picture 172402193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4000" cy="600840"/>
                    </a:xfrm>
                    <a:prstGeom prst="rect">
                      <a:avLst/>
                    </a:prstGeom>
                  </pic:spPr>
                </pic:pic>
              </a:graphicData>
            </a:graphic>
          </wp:inline>
        </w:drawing>
      </w:r>
    </w:p>
    <w:p w14:paraId="22C11708" w14:textId="490398B4" w:rsidR="001D1D5F" w:rsidRDefault="006C0986" w:rsidP="002E01DB">
      <w:pPr>
        <w:pStyle w:val="BodyText"/>
      </w:pPr>
      <w:r>
        <w:rPr>
          <w:noProof/>
        </w:rPr>
        <mc:AlternateContent>
          <mc:Choice Requires="wps">
            <w:drawing>
              <wp:anchor distT="0" distB="0" distL="114300" distR="114300" simplePos="0" relativeHeight="251669504" behindDoc="1" locked="0" layoutInCell="1" allowOverlap="1" wp14:anchorId="34CF09F6" wp14:editId="1BBC5FF9">
                <wp:simplePos x="0" y="0"/>
                <wp:positionH relativeFrom="column">
                  <wp:posOffset>-24765</wp:posOffset>
                </wp:positionH>
                <wp:positionV relativeFrom="page">
                  <wp:posOffset>9304655</wp:posOffset>
                </wp:positionV>
                <wp:extent cx="2381885" cy="457200"/>
                <wp:effectExtent l="0" t="0" r="0" b="0"/>
                <wp:wrapTight wrapText="bothSides">
                  <wp:wrapPolygon edited="0">
                    <wp:start x="0" y="0"/>
                    <wp:lineTo x="0" y="20700"/>
                    <wp:lineTo x="21421" y="20700"/>
                    <wp:lineTo x="21421" y="0"/>
                    <wp:lineTo x="0" y="0"/>
                  </wp:wrapPolygon>
                </wp:wrapTight>
                <wp:docPr id="1089281422" name="Text Box 3"/>
                <wp:cNvGraphicFramePr/>
                <a:graphic xmlns:a="http://schemas.openxmlformats.org/drawingml/2006/main">
                  <a:graphicData uri="http://schemas.microsoft.com/office/word/2010/wordprocessingShape">
                    <wps:wsp>
                      <wps:cNvSpPr txBox="1"/>
                      <wps:spPr>
                        <a:xfrm>
                          <a:off x="0" y="0"/>
                          <a:ext cx="2381885" cy="457200"/>
                        </a:xfrm>
                        <a:prstGeom prst="rect">
                          <a:avLst/>
                        </a:prstGeom>
                        <a:noFill/>
                        <a:ln w="6350">
                          <a:noFill/>
                        </a:ln>
                      </wps:spPr>
                      <wps:txbx>
                        <w:txbxContent>
                          <w:p w14:paraId="7593016B" w14:textId="0A210CCB" w:rsidR="006C0986" w:rsidRPr="00077199" w:rsidRDefault="006C0986" w:rsidP="006C0986">
                            <w:pPr>
                              <w:spacing w:after="0" w:line="240" w:lineRule="auto"/>
                              <w:rPr>
                                <w:rFonts w:cs="Calibri"/>
                                <w:color w:val="000000" w:themeColor="text1"/>
                                <w:szCs w:val="24"/>
                                <w:lang w:eastAsia="en-NZ"/>
                              </w:rPr>
                            </w:pPr>
                            <w:r w:rsidRPr="006C0986">
                              <w:rPr>
                                <w:color w:val="000000" w:themeColor="text1"/>
                                <w:szCs w:val="24"/>
                              </w:rPr>
                              <w:t>ISBN: 978-1-0671271-8-3 (Digital)</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34CF09F6" id="Text Box 3" o:spid="_x0000_s1028" type="#_x0000_t202" style="position:absolute;margin-left:-1.95pt;margin-top:732.65pt;width:187.55pt;height:36pt;z-index:-251646976;visibility:visible;mso-wrap-style:square;mso-wrap-distance-left:9pt;mso-wrap-distance-top:0;mso-wrap-distance-right:9pt;mso-wrap-distance-bottom:0;mso-position-horizontal:absolute;mso-position-horizontal-relative:text;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" filled="f" stroked="f" strokeweight=".5pt">
                <v:textbox inset="0,0,0,0">
                  <w:txbxContent>
                    <w:p w14:paraId="7593016B" w14:textId="0A210CCB" w:rsidR="006C0986" w:rsidRPr="00077199" w:rsidRDefault="006C0986" w:rsidP="006C0986">
                      <w:pPr>
                        <w:spacing w:after="0" w:line="240" w:lineRule="auto"/>
                        <w:rPr>
                          <w:rFonts w:cs="Calibri"/>
                          <w:color w:val="000000" w:themeColor="text1"/>
                          <w:szCs w:val="24"/>
                          <w:lang w:eastAsia="en-NZ"/>
                        </w:rPr>
                      </w:pPr>
                      <w:r w:rsidRPr="006C0986">
                        <w:rPr>
                          <w:color w:val="000000" w:themeColor="text1"/>
                          <w:szCs w:val="24"/>
                        </w:rPr>
                        <w:t>ISBN: 978-1-0671271-8-3 (Digital)</w:t>
                      </w:r>
                    </w:p>
                  </w:txbxContent>
                </v:textbox>
                <w10:wrap type="tight" anchory="page"/>
              </v:shape>
            </w:pict>
          </mc:Fallback>
        </mc:AlternateContent>
      </w:r>
    </w:p>
    <w:sectPr w:rsidR="001D1D5F" w:rsidSect="0023079A">
      <w:footerReference w:type="default" r:id="rId19"/>
      <w:endnotePr>
        <w:numFmt w:val="decimal"/>
      </w:endnotePr>
      <w:pgSz w:w="11906" w:h="16838" w:code="9"/>
      <w:pgMar w:top="1701" w:right="1304" w:bottom="1701" w:left="1304" w:header="680"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71856" w14:textId="77777777" w:rsidR="00DA1000" w:rsidRPr="00D45126" w:rsidRDefault="00DA1000" w:rsidP="00554FCD">
      <w:pPr>
        <w:spacing w:after="0" w:line="240" w:lineRule="auto"/>
        <w:rPr>
          <w:color w:val="4D4D4D"/>
        </w:rPr>
      </w:pPr>
      <w:r w:rsidRPr="00D45126">
        <w:rPr>
          <w:color w:val="4D4D4D"/>
        </w:rPr>
        <w:separator/>
      </w:r>
    </w:p>
  </w:endnote>
  <w:endnote w:type="continuationSeparator" w:id="0">
    <w:p w14:paraId="4467F4BC" w14:textId="77777777" w:rsidR="00DA1000" w:rsidRPr="00D45126" w:rsidRDefault="00DA1000" w:rsidP="00554FCD">
      <w:pPr>
        <w:spacing w:after="0" w:line="240" w:lineRule="auto"/>
        <w:rPr>
          <w:color w:val="4D4D4D"/>
        </w:rPr>
      </w:pPr>
      <w:r w:rsidRPr="00D45126">
        <w:rPr>
          <w:color w:val="4D4D4D"/>
        </w:rPr>
        <w:continuationSeparator/>
      </w:r>
    </w:p>
  </w:endnote>
  <w:endnote w:type="continuationNotice" w:id="1">
    <w:p w14:paraId="133214C6" w14:textId="77777777" w:rsidR="00DA1000" w:rsidRDefault="00DA10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F7EEA" w14:textId="77777777" w:rsidR="008C6ACE" w:rsidRPr="0059155D" w:rsidRDefault="008C6ACE" w:rsidP="00A043BB">
    <w:pPr>
      <w:pStyle w:val="Footerline"/>
    </w:pPr>
  </w:p>
  <w:p w14:paraId="24F4B665" w14:textId="2A5C7A70" w:rsidR="008C6ACE" w:rsidRDefault="00712594" w:rsidP="00A043BB">
    <w:pPr>
      <w:pStyle w:val="Footer"/>
    </w:pPr>
    <w:r>
      <w:fldChar w:fldCharType="begin"/>
    </w:r>
    <w:r>
      <w:instrText xml:space="preserve"> DOCVARIABLE  dvShortText </w:instrText>
    </w:r>
    <w:r>
      <w:fldChar w:fldCharType="separate"/>
    </w:r>
    <w:r w:rsidR="00375324">
      <w:t xml:space="preserve"> </w:t>
    </w:r>
    <w:r>
      <w:fldChar w:fldCharType="end"/>
    </w:r>
    <w:r w:rsidR="008C6ACE">
      <w:t xml:space="preserve"> Page </w:t>
    </w:r>
    <w:r w:rsidR="008C6ACE" w:rsidRPr="00A32286">
      <w:rPr>
        <w:rStyle w:val="PageNumber"/>
      </w:rPr>
      <w:fldChar w:fldCharType="begin"/>
    </w:r>
    <w:r w:rsidR="008C6ACE" w:rsidRPr="00A32286">
      <w:rPr>
        <w:rStyle w:val="PageNumber"/>
      </w:rPr>
      <w:instrText xml:space="preserve"> PAGE   \* MERGEFORMAT </w:instrText>
    </w:r>
    <w:r w:rsidR="008C6ACE" w:rsidRPr="00A32286">
      <w:rPr>
        <w:rStyle w:val="PageNumber"/>
      </w:rPr>
      <w:fldChar w:fldCharType="separate"/>
    </w:r>
    <w:r>
      <w:rPr>
        <w:rStyle w:val="PageNumber"/>
        <w:noProof/>
      </w:rPr>
      <w:t>iii</w:t>
    </w:r>
    <w:r w:rsidR="008C6ACE" w:rsidRPr="00A3228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01A25" w14:textId="77777777" w:rsidR="0023079A" w:rsidRPr="0059155D" w:rsidRDefault="0023079A" w:rsidP="00A043BB">
    <w:pPr>
      <w:pStyle w:val="Footerline"/>
    </w:pPr>
  </w:p>
  <w:p w14:paraId="5B27A334" w14:textId="1CDDE28E" w:rsidR="0023079A" w:rsidRDefault="0023079A" w:rsidP="00A043BB">
    <w:pPr>
      <w:pStyle w:val="Footer"/>
    </w:pPr>
    <w:r>
      <w:fldChar w:fldCharType="begin"/>
    </w:r>
    <w:r>
      <w:instrText xml:space="preserve"> DOCVARIABLE  dvShortText </w:instrText>
    </w:r>
    <w:r>
      <w:fldChar w:fldCharType="separate"/>
    </w:r>
    <w:r w:rsidR="00375324">
      <w:t xml:space="preserve">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Pr>
        <w:rStyle w:val="PageNumber"/>
        <w:noProof/>
      </w:rPr>
      <w:t>iii</w:t>
    </w:r>
    <w:r w:rsidRPr="00A32286">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37370" w14:textId="77777777" w:rsidR="006C0986" w:rsidRPr="0059155D" w:rsidRDefault="006C0986" w:rsidP="00A043BB">
    <w:pPr>
      <w:pStyle w:val="Footerline"/>
    </w:pPr>
  </w:p>
  <w:p w14:paraId="0F908E3F" w14:textId="1B1888B6" w:rsidR="006C0986" w:rsidRDefault="006C0986" w:rsidP="00A043BB">
    <w:pPr>
      <w:pStyle w:val="Footer"/>
    </w:pPr>
    <w:r>
      <w:fldChar w:fldCharType="begin"/>
    </w:r>
    <w:r>
      <w:instrText xml:space="preserve"> DOCVARIABLE  dvShortText </w:instrText>
    </w:r>
    <w:r>
      <w:fldChar w:fldCharType="separate"/>
    </w:r>
    <w:r w:rsidR="00375324">
      <w:t xml:space="preserve">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Pr>
        <w:rStyle w:val="PageNumber"/>
        <w:noProof/>
      </w:rPr>
      <w:t>iii</w:t>
    </w:r>
    <w:r w:rsidRPr="00A32286">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740C" w14:textId="2AE8B30C" w:rsidR="006C0986" w:rsidRPr="006C0986" w:rsidRDefault="006C0986" w:rsidP="006C09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C2977" w14:textId="77777777" w:rsidR="00DA1000" w:rsidRPr="00D45126" w:rsidRDefault="00DA1000" w:rsidP="002B446B">
      <w:pPr>
        <w:spacing w:after="0" w:line="240" w:lineRule="auto"/>
        <w:rPr>
          <w:color w:val="4D4D4D"/>
        </w:rPr>
      </w:pPr>
      <w:r w:rsidRPr="00D45126">
        <w:rPr>
          <w:color w:val="4D4D4D"/>
        </w:rPr>
        <w:separator/>
      </w:r>
    </w:p>
  </w:footnote>
  <w:footnote w:type="continuationSeparator" w:id="0">
    <w:p w14:paraId="29E72625" w14:textId="77777777" w:rsidR="00DA1000" w:rsidRPr="00C14083" w:rsidRDefault="00DA1000" w:rsidP="00554FCD">
      <w:pPr>
        <w:spacing w:after="0" w:line="240" w:lineRule="auto"/>
        <w:rPr>
          <w:color w:val="4D4D4D"/>
        </w:rPr>
      </w:pPr>
      <w:r w:rsidRPr="00C14083">
        <w:rPr>
          <w:color w:val="4D4D4D"/>
        </w:rPr>
        <w:continuationSeparator/>
      </w:r>
    </w:p>
  </w:footnote>
  <w:footnote w:type="continuationNotice" w:id="1">
    <w:p w14:paraId="12384F60" w14:textId="77777777" w:rsidR="00DA1000" w:rsidRDefault="00DA1000">
      <w:pPr>
        <w:spacing w:after="0" w:line="240" w:lineRule="auto"/>
      </w:pPr>
    </w:p>
  </w:footnote>
  <w:footnote w:id="2">
    <w:p w14:paraId="1039E768" w14:textId="2E3E252B" w:rsidR="00B3008B" w:rsidRDefault="00B3008B" w:rsidP="00B3008B">
      <w:pPr>
        <w:pStyle w:val="FootnoteText"/>
      </w:pPr>
      <w:r>
        <w:rPr>
          <w:rStyle w:val="FootnoteReference"/>
        </w:rPr>
        <w:footnoteRef/>
      </w:r>
      <w:r>
        <w:t xml:space="preserve"> </w:t>
      </w:r>
      <w:r>
        <w:tab/>
      </w:r>
      <w:r w:rsidR="00C47F8B">
        <w:t xml:space="preserve">See link to </w:t>
      </w:r>
      <w:hyperlink r:id="rId1" w:history="1">
        <w:r w:rsidR="00C47F8B" w:rsidRPr="001A2281">
          <w:rPr>
            <w:rStyle w:val="Hyperlink"/>
            <w:i/>
            <w:iCs/>
          </w:rPr>
          <w:t>Chief Ombudsman's OIA and LGOIMA Self-Assessment tools</w:t>
        </w:r>
      </w:hyperlink>
    </w:p>
  </w:footnote>
  <w:footnote w:id="3">
    <w:p w14:paraId="2DB47953" w14:textId="5DD70122" w:rsidR="007570A4" w:rsidRDefault="007570A4" w:rsidP="007570A4">
      <w:pPr>
        <w:pStyle w:val="FootnoteText"/>
      </w:pPr>
      <w:r>
        <w:rPr>
          <w:rStyle w:val="FootnoteReference"/>
        </w:rPr>
        <w:footnoteRef/>
      </w:r>
      <w:r>
        <w:t xml:space="preserve"> Within 12 months prior to the date the questionnaire was provided to the agency.</w:t>
      </w:r>
    </w:p>
  </w:footnote>
  <w:footnote w:id="4">
    <w:p w14:paraId="502F36E1" w14:textId="4AC1E0C9" w:rsidR="00AA1D7D" w:rsidRDefault="00AA1D7D" w:rsidP="00365048">
      <w:pPr>
        <w:pStyle w:val="FootnoteText"/>
      </w:pPr>
      <w:r>
        <w:rPr>
          <w:rStyle w:val="FootnoteReference"/>
        </w:rPr>
        <w:footnoteRef/>
      </w:r>
      <w:r>
        <w:t xml:space="preserve"> </w:t>
      </w:r>
      <w:r>
        <w:tab/>
        <w:t>Figures</w:t>
      </w:r>
      <w:r w:rsidR="00A57D43">
        <w:t xml:space="preserve"> </w:t>
      </w:r>
      <w:r>
        <w:t>have been rounded to the nearest percentage, therefore may not total 100 percent</w:t>
      </w:r>
      <w:r w:rsidR="0058208F">
        <w:t>.</w:t>
      </w:r>
    </w:p>
    <w:p w14:paraId="535CCDD1" w14:textId="0AD95FD5" w:rsidR="00A57D43" w:rsidRDefault="00A57D43" w:rsidP="00365048">
      <w:pPr>
        <w:pStyle w:val="FootnoteText"/>
      </w:pPr>
      <w:r>
        <w:tab/>
        <w:t>438 staff completed our online staff survey. According to MPI’s 2024/25 annual report the Ministry had 3449 FTE staff as at 30 June 2025.</w:t>
      </w:r>
    </w:p>
  </w:footnote>
  <w:footnote w:id="5">
    <w:p w14:paraId="2B53D730" w14:textId="071E7529" w:rsidR="000E6FCB" w:rsidRDefault="000E6FCB">
      <w:pPr>
        <w:pStyle w:val="FootnoteText"/>
      </w:pPr>
      <w:r>
        <w:rPr>
          <w:rStyle w:val="FootnoteReference"/>
        </w:rPr>
        <w:footnoteRef/>
      </w:r>
      <w:r>
        <w:t xml:space="preserve"> </w:t>
      </w:r>
      <w:r>
        <w:tab/>
        <w:t>24 percent of respondents said they received training in 2025, the year the survey was conducted; the remaining 27 percent of respondents said they had received training between 2021 and 2024.</w:t>
      </w:r>
    </w:p>
  </w:footnote>
  <w:footnote w:id="6">
    <w:p w14:paraId="603DF930" w14:textId="3A045D67" w:rsidR="003000CC" w:rsidRDefault="003000CC" w:rsidP="003000CC">
      <w:pPr>
        <w:pStyle w:val="FootnoteText"/>
      </w:pPr>
      <w:r>
        <w:rPr>
          <w:rStyle w:val="FootnoteReference"/>
        </w:rPr>
        <w:footnoteRef/>
      </w:r>
      <w:r>
        <w:t xml:space="preserve"> </w:t>
      </w:r>
      <w:r w:rsidR="00B93D30">
        <w:tab/>
        <w:t xml:space="preserve">See link to </w:t>
      </w:r>
      <w:hyperlink r:id="rId2" w:history="1">
        <w:r w:rsidR="00B93D30" w:rsidRPr="00B93D30">
          <w:rPr>
            <w:rStyle w:val="Hyperlink"/>
          </w:rPr>
          <w:t>PSC OIA statistics data</w:t>
        </w:r>
      </w:hyperlink>
      <w:r w:rsidR="00B93D30">
        <w:t xml:space="preserve"> July – December 2025 </w:t>
      </w:r>
    </w:p>
  </w:footnote>
  <w:footnote w:id="7">
    <w:p w14:paraId="5A06EDAB" w14:textId="41F131EE" w:rsidR="00314390" w:rsidRDefault="00314390">
      <w:pPr>
        <w:pStyle w:val="FootnoteText"/>
      </w:pPr>
      <w:r>
        <w:rPr>
          <w:rStyle w:val="FootnoteReference"/>
        </w:rPr>
        <w:footnoteRef/>
      </w:r>
      <w:r>
        <w:t xml:space="preserve"> </w:t>
      </w:r>
      <w:r w:rsidR="00B93D30">
        <w:tab/>
      </w:r>
      <w:r>
        <w:t xml:space="preserve">Link to </w:t>
      </w:r>
      <w:r w:rsidR="00B93D30">
        <w:t xml:space="preserve">website of the Office of the Ombudsman </w:t>
      </w:r>
      <w:hyperlink r:id="rId3" w:history="1">
        <w:r w:rsidR="00B93D30" w:rsidRPr="00B93D30">
          <w:rPr>
            <w:rStyle w:val="Hyperlink"/>
          </w:rPr>
          <w:t>Proactive release: Good practices for proactive release of information</w:t>
        </w:r>
      </w:hyperlink>
      <w:r w:rsidR="00B93D30">
        <w:t xml:space="preserve">. </w:t>
      </w:r>
    </w:p>
  </w:footnote>
  <w:footnote w:id="8">
    <w:p w14:paraId="096C29A2" w14:textId="24DF58C6" w:rsidR="00A46C77" w:rsidRPr="00F56FCA" w:rsidRDefault="00A46C77">
      <w:pPr>
        <w:pStyle w:val="FootnoteText"/>
      </w:pPr>
      <w:r w:rsidRPr="00F56FCA">
        <w:rPr>
          <w:rStyle w:val="FootnoteReference"/>
        </w:rPr>
        <w:footnoteRef/>
      </w:r>
      <w:r w:rsidRPr="00F56FCA">
        <w:t xml:space="preserve"> </w:t>
      </w:r>
      <w:r w:rsidR="00F56FCA" w:rsidRPr="00F56FCA">
        <w:t xml:space="preserve">Link to </w:t>
      </w:r>
      <w:hyperlink r:id="rId4" w:anchor="DLM64785" w:history="1">
        <w:r w:rsidR="00F56FCA" w:rsidRPr="00F56FCA">
          <w:rPr>
            <w:rStyle w:val="Hyperlink"/>
          </w:rPr>
          <w:t>OIA</w:t>
        </w:r>
      </w:hyperlink>
      <w:r w:rsidR="00F56FCA">
        <w:t xml:space="preserve"> s 15(1)</w:t>
      </w:r>
    </w:p>
  </w:footnote>
  <w:footnote w:id="9">
    <w:p w14:paraId="5C1300C4" w14:textId="768ED930" w:rsidR="00A46C77" w:rsidRDefault="00A46C77">
      <w:pPr>
        <w:pStyle w:val="FootnoteText"/>
      </w:pPr>
      <w:r w:rsidRPr="00F56FCA">
        <w:rPr>
          <w:rStyle w:val="FootnoteReference"/>
        </w:rPr>
        <w:footnoteRef/>
      </w:r>
      <w:r w:rsidRPr="00F56FCA">
        <w:t xml:space="preserve"> </w:t>
      </w:r>
      <w:r w:rsidR="00F56FCA" w:rsidRPr="00F56FCA">
        <w:t xml:space="preserve">Link to </w:t>
      </w:r>
      <w:hyperlink r:id="rId5" w:anchor="DLM64785" w:history="1">
        <w:r w:rsidR="00F56FCA" w:rsidRPr="00F56FCA">
          <w:rPr>
            <w:rStyle w:val="Hyperlink"/>
          </w:rPr>
          <w:t>OIA</w:t>
        </w:r>
      </w:hyperlink>
      <w:r w:rsidR="00F56FCA">
        <w:t xml:space="preserve"> s 28(5)</w:t>
      </w:r>
    </w:p>
  </w:footnote>
  <w:footnote w:id="10">
    <w:p w14:paraId="47F03A19" w14:textId="47A01816" w:rsidR="00CC0579" w:rsidRDefault="00CC0579">
      <w:pPr>
        <w:pStyle w:val="FootnoteText"/>
      </w:pPr>
      <w:r>
        <w:rPr>
          <w:rStyle w:val="FootnoteReference"/>
        </w:rPr>
        <w:footnoteRef/>
      </w:r>
      <w:r>
        <w:t xml:space="preserve"> Link to </w:t>
      </w:r>
      <w:hyperlink r:id="rId6" w:anchor="DLM64785" w:history="1">
        <w:r w:rsidRPr="00DC2908">
          <w:rPr>
            <w:rStyle w:val="Hyperlink"/>
          </w:rPr>
          <w:t>OIA</w:t>
        </w:r>
      </w:hyperlink>
      <w:r w:rsidR="00DC2908">
        <w:t xml:space="preserve"> s </w:t>
      </w:r>
      <w:r w:rsidR="00A00955">
        <w:t>15(4)</w:t>
      </w:r>
    </w:p>
  </w:footnote>
  <w:footnote w:id="11">
    <w:p w14:paraId="00ADDB2A" w14:textId="517B457A" w:rsidR="00576ECB" w:rsidRDefault="00576ECB">
      <w:pPr>
        <w:pStyle w:val="FootnoteText"/>
      </w:pPr>
      <w:r>
        <w:rPr>
          <w:rStyle w:val="FootnoteReference"/>
        </w:rPr>
        <w:footnoteRef/>
      </w:r>
      <w:r>
        <w:t xml:space="preserve"> </w:t>
      </w:r>
      <w:r w:rsidR="00A30FD8">
        <w:t xml:space="preserve">See link to </w:t>
      </w:r>
      <w:hyperlink r:id="rId7" w:history="1">
        <w:r w:rsidR="00A30FD8" w:rsidRPr="007D34B4">
          <w:rPr>
            <w:rStyle w:val="Hyperlink"/>
          </w:rPr>
          <w:t>the Cabinet Manual</w:t>
        </w:r>
      </w:hyperlink>
      <w:r w:rsidR="00A30FD8">
        <w:t xml:space="preserve"> at </w:t>
      </w:r>
      <w:r w:rsidR="00DC2908">
        <w:t>3.26</w:t>
      </w:r>
    </w:p>
  </w:footnote>
  <w:footnote w:id="12">
    <w:p w14:paraId="76AF0CCF" w14:textId="41CBAD5F" w:rsidR="00270090" w:rsidRDefault="00270090">
      <w:pPr>
        <w:pStyle w:val="FootnoteText"/>
      </w:pPr>
      <w:r>
        <w:rPr>
          <w:rStyle w:val="FootnoteReference"/>
        </w:rPr>
        <w:footnoteRef/>
      </w:r>
      <w:r>
        <w:t xml:space="preserve"> </w:t>
      </w:r>
      <w:r w:rsidR="0083735C">
        <w:t>B</w:t>
      </w:r>
      <w:r>
        <w:t>eing 20 days after the day the request is received</w:t>
      </w:r>
      <w:r w:rsidR="0083735C">
        <w:t xml:space="preserve"> – see link to </w:t>
      </w:r>
      <w:hyperlink r:id="rId8" w:anchor="DLM64785" w:history="1">
        <w:r w:rsidR="0083735C" w:rsidRPr="0083735C">
          <w:rPr>
            <w:rStyle w:val="Hyperlink"/>
          </w:rPr>
          <w:t>OIA</w:t>
        </w:r>
      </w:hyperlink>
      <w:r w:rsidR="0083735C">
        <w:t xml:space="preserve"> s </w:t>
      </w:r>
      <w:r w:rsidR="002755DF">
        <w:t>15(1)</w:t>
      </w:r>
    </w:p>
  </w:footnote>
  <w:footnote w:id="13">
    <w:p w14:paraId="13903BB0" w14:textId="2A61AF9F" w:rsidR="0012628E" w:rsidRDefault="0012628E">
      <w:pPr>
        <w:pStyle w:val="FootnoteText"/>
      </w:pPr>
      <w:r>
        <w:rPr>
          <w:rStyle w:val="FootnoteReference"/>
        </w:rPr>
        <w:footnoteRef/>
      </w:r>
      <w:r>
        <w:t xml:space="preserve"> </w:t>
      </w:r>
      <w:r w:rsidR="00DC2908">
        <w:t>See link to</w:t>
      </w:r>
      <w:hyperlink r:id="rId9" w:anchor="DLM64785" w:history="1">
        <w:r w:rsidR="00DC2908" w:rsidRPr="00DC2908">
          <w:rPr>
            <w:rStyle w:val="Hyperlink"/>
          </w:rPr>
          <w:t xml:space="preserve"> OIA</w:t>
        </w:r>
      </w:hyperlink>
      <w:r w:rsidR="00DC2908">
        <w:t xml:space="preserve"> s 15(1)</w:t>
      </w:r>
    </w:p>
  </w:footnote>
  <w:footnote w:id="14">
    <w:p w14:paraId="11CDD363" w14:textId="77777777" w:rsidR="00F6635A" w:rsidRDefault="00F6635A" w:rsidP="00F6635A">
      <w:pPr>
        <w:pStyle w:val="FootnoteText"/>
      </w:pPr>
      <w:r>
        <w:rPr>
          <w:rStyle w:val="FootnoteReference"/>
        </w:rPr>
        <w:footnoteRef/>
      </w:r>
      <w:r>
        <w:t xml:space="preserve"> </w:t>
      </w:r>
      <w:r>
        <w:tab/>
        <w:t xml:space="preserve">See link to </w:t>
      </w:r>
      <w:hyperlink r:id="rId10" w:history="1">
        <w:r w:rsidRPr="00FF424F">
          <w:rPr>
            <w:rStyle w:val="Hyperlink"/>
            <w:i/>
          </w:rPr>
          <w:t>Model protocol on dealing with OIA requests involving Ministers</w:t>
        </w:r>
      </w:hyperlink>
    </w:p>
  </w:footnote>
  <w:footnote w:id="15">
    <w:p w14:paraId="203334CA" w14:textId="7CD6122C" w:rsidR="00F6635A" w:rsidRDefault="00F6635A" w:rsidP="00F6635A">
      <w:pPr>
        <w:pStyle w:val="FootnoteText"/>
      </w:pPr>
      <w:r>
        <w:rPr>
          <w:rStyle w:val="FootnoteReference"/>
        </w:rPr>
        <w:footnoteRef/>
      </w:r>
      <w:r>
        <w:t xml:space="preserve"> </w:t>
      </w:r>
      <w:r>
        <w:tab/>
        <w:t xml:space="preserve">See link to </w:t>
      </w:r>
      <w:hyperlink r:id="rId11" w:history="1">
        <w:r w:rsidRPr="007D34B4">
          <w:rPr>
            <w:rStyle w:val="Hyperlink"/>
            <w:i/>
          </w:rPr>
          <w:t>Cabinet Manual</w:t>
        </w:r>
      </w:hyperlink>
      <w:r w:rsidR="00CD0E23">
        <w:t xml:space="preserve"> at 8.53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CB62" w14:textId="77777777" w:rsidR="008C6ACE" w:rsidRDefault="008C6A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27E2" w14:textId="77777777" w:rsidR="008C6ACE" w:rsidRPr="00C2020E" w:rsidRDefault="008C6ACE" w:rsidP="00C202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D682" w14:textId="77777777" w:rsidR="008C6ACE" w:rsidRDefault="008C6A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429882"/>
    <w:lvl w:ilvl="0">
      <w:start w:val="1"/>
      <w:numFmt w:val="decimal"/>
      <w:pStyle w:val="ListNumber5"/>
      <w:lvlText w:val="%1."/>
      <w:lvlJc w:val="left"/>
      <w:pPr>
        <w:tabs>
          <w:tab w:val="num" w:pos="1634"/>
        </w:tabs>
        <w:ind w:left="1634" w:hanging="360"/>
      </w:pPr>
    </w:lvl>
  </w:abstractNum>
  <w:abstractNum w:abstractNumId="1" w15:restartNumberingAfterBreak="0">
    <w:nsid w:val="FFFFFF7D"/>
    <w:multiLevelType w:val="singleLevel"/>
    <w:tmpl w:val="7A4E87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56F9C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6AA380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86DE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926B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8ADA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EE2C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1CF7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226B4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1" w15:restartNumberingAfterBreak="0">
    <w:nsid w:val="067E4832"/>
    <w:multiLevelType w:val="multilevel"/>
    <w:tmpl w:val="B8CE4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6B55DC"/>
    <w:multiLevelType w:val="hybridMultilevel"/>
    <w:tmpl w:val="65CCB7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DB842CB"/>
    <w:multiLevelType w:val="multilevel"/>
    <w:tmpl w:val="3FFAA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6"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17"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8"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19"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20" w15:restartNumberingAfterBreak="0">
    <w:nsid w:val="37F040C1"/>
    <w:multiLevelType w:val="multilevel"/>
    <w:tmpl w:val="ECF61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2"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3" w15:restartNumberingAfterBreak="0">
    <w:nsid w:val="3B667413"/>
    <w:multiLevelType w:val="multilevel"/>
    <w:tmpl w:val="9446D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57561E"/>
    <w:multiLevelType w:val="multilevel"/>
    <w:tmpl w:val="92AA2182"/>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25" w15:restartNumberingAfterBreak="0">
    <w:nsid w:val="4AB71256"/>
    <w:multiLevelType w:val="multilevel"/>
    <w:tmpl w:val="3D0EB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C32322"/>
    <w:multiLevelType w:val="multilevel"/>
    <w:tmpl w:val="4FD03F6A"/>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27" w15:restartNumberingAfterBreak="0">
    <w:nsid w:val="61A1220C"/>
    <w:multiLevelType w:val="multilevel"/>
    <w:tmpl w:val="BDDC2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9"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31"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ECE1B24"/>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6A26424"/>
    <w:multiLevelType w:val="multilevel"/>
    <w:tmpl w:val="15A022C6"/>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34" w15:restartNumberingAfterBreak="0">
    <w:nsid w:val="786A5F67"/>
    <w:multiLevelType w:val="multilevel"/>
    <w:tmpl w:val="63DE9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36" w15:restartNumberingAfterBreak="0">
    <w:nsid w:val="7C2C7926"/>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D297346"/>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22809613">
    <w:abstractNumId w:val="33"/>
  </w:num>
  <w:num w:numId="2" w16cid:durableId="619267263">
    <w:abstractNumId w:val="19"/>
  </w:num>
  <w:num w:numId="3" w16cid:durableId="1902249349">
    <w:abstractNumId w:val="26"/>
  </w:num>
  <w:num w:numId="4" w16cid:durableId="1804038282">
    <w:abstractNumId w:val="28"/>
  </w:num>
  <w:num w:numId="5" w16cid:durableId="934627156">
    <w:abstractNumId w:val="10"/>
  </w:num>
  <w:num w:numId="6" w16cid:durableId="379521256">
    <w:abstractNumId w:val="21"/>
  </w:num>
  <w:num w:numId="7" w16cid:durableId="801845092">
    <w:abstractNumId w:val="16"/>
  </w:num>
  <w:num w:numId="8" w16cid:durableId="820847443">
    <w:abstractNumId w:val="29"/>
  </w:num>
  <w:num w:numId="9" w16cid:durableId="623582253">
    <w:abstractNumId w:val="24"/>
  </w:num>
  <w:num w:numId="10" w16cid:durableId="2043747433">
    <w:abstractNumId w:val="18"/>
  </w:num>
  <w:num w:numId="11" w16cid:durableId="390882240">
    <w:abstractNumId w:val="30"/>
  </w:num>
  <w:num w:numId="12" w16cid:durableId="1861699082">
    <w:abstractNumId w:val="31"/>
  </w:num>
  <w:num w:numId="13" w16cid:durableId="824666412">
    <w:abstractNumId w:val="22"/>
  </w:num>
  <w:num w:numId="14" w16cid:durableId="160584131">
    <w:abstractNumId w:val="35"/>
  </w:num>
  <w:num w:numId="15" w16cid:durableId="1945409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2765132">
    <w:abstractNumId w:val="15"/>
  </w:num>
  <w:num w:numId="17" w16cid:durableId="380634671">
    <w:abstractNumId w:val="17"/>
  </w:num>
  <w:num w:numId="18" w16cid:durableId="1489519229">
    <w:abstractNumId w:val="1"/>
  </w:num>
  <w:num w:numId="19" w16cid:durableId="1861157879">
    <w:abstractNumId w:val="32"/>
  </w:num>
  <w:num w:numId="20" w16cid:durableId="978536179">
    <w:abstractNumId w:val="36"/>
  </w:num>
  <w:num w:numId="21" w16cid:durableId="1928807735">
    <w:abstractNumId w:val="37"/>
  </w:num>
  <w:num w:numId="22" w16cid:durableId="1084455069">
    <w:abstractNumId w:val="9"/>
  </w:num>
  <w:num w:numId="23" w16cid:durableId="1852449706">
    <w:abstractNumId w:val="7"/>
  </w:num>
  <w:num w:numId="24" w16cid:durableId="141773829">
    <w:abstractNumId w:val="6"/>
  </w:num>
  <w:num w:numId="25" w16cid:durableId="1618413598">
    <w:abstractNumId w:val="5"/>
  </w:num>
  <w:num w:numId="26" w16cid:durableId="490176311">
    <w:abstractNumId w:val="4"/>
  </w:num>
  <w:num w:numId="27" w16cid:durableId="633757953">
    <w:abstractNumId w:val="8"/>
  </w:num>
  <w:num w:numId="28" w16cid:durableId="260455223">
    <w:abstractNumId w:val="3"/>
  </w:num>
  <w:num w:numId="29" w16cid:durableId="350684316">
    <w:abstractNumId w:val="2"/>
  </w:num>
  <w:num w:numId="30" w16cid:durableId="680819027">
    <w:abstractNumId w:val="0"/>
  </w:num>
  <w:num w:numId="31" w16cid:durableId="1467091330">
    <w:abstractNumId w:val="27"/>
  </w:num>
  <w:num w:numId="32" w16cid:durableId="196429337">
    <w:abstractNumId w:val="14"/>
  </w:num>
  <w:num w:numId="33" w16cid:durableId="2055422473">
    <w:abstractNumId w:val="20"/>
  </w:num>
  <w:num w:numId="34" w16cid:durableId="1245257260">
    <w:abstractNumId w:val="34"/>
  </w:num>
  <w:num w:numId="35" w16cid:durableId="901910476">
    <w:abstractNumId w:val="11"/>
  </w:num>
  <w:num w:numId="36" w16cid:durableId="1936011193">
    <w:abstractNumId w:val="23"/>
  </w:num>
  <w:num w:numId="37" w16cid:durableId="1981300258">
    <w:abstractNumId w:val="25"/>
  </w:num>
  <w:num w:numId="38" w16cid:durableId="1267663835">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drawingGridHorizontalSpacing w:val="120"/>
  <w:displayHorizontalDrawingGridEvery w:val="2"/>
  <w:characterSpacingControl w:val="doNotCompress"/>
  <w:hdrShapeDefaults>
    <o:shapedefaults v:ext="edit" spidmax="2050" fillcolor="none [3204]" strokecolor="none [3204]">
      <v:fill color="none [3204]"/>
      <v:stroke color="none [3204]" weight="3pt"/>
      <v:shadow type="perspective" color="none [1604]" opacity=".5" offset="1pt" offset2="-1pt"/>
    </o:shapedefaults>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tentsAppendix" w:val="0"/>
    <w:docVar w:name="ContentsCreated" w:val="1"/>
    <w:docVar w:name="ContentsFigure" w:val="0"/>
    <w:docVar w:name="ContentsMain" w:val="1"/>
    <w:docVar w:name="ContentsMainLevel" w:val="3"/>
    <w:docVar w:name="ContentsTable" w:val="0"/>
    <w:docVar w:name="dgnword-docGUID" w:val="{132F452D-B4B4-4264-AD46-E2C8A0607147}"/>
    <w:docVar w:name="dgnword-eventsink" w:val="545137752"/>
    <w:docVar w:name="dvBlankFooter1" w:val="True"/>
    <w:docVar w:name="dvBlankFooter2" w:val="False"/>
    <w:docVar w:name="dvBlankHeader1" w:val="True"/>
    <w:docVar w:name="dvBlankHeader2" w:val="True"/>
    <w:docVar w:name="dvLogoHeader1" w:val="False"/>
    <w:docVar w:name="dvShortFooter1" w:val="False"/>
    <w:docVar w:name="dvShortFooter2" w:val="True"/>
    <w:docVar w:name="dvShortText" w:val=" "/>
    <w:docVar w:name="dvShortTextFrm" w:val=" "/>
    <w:docVar w:name="dvTextHeader1" w:val="False"/>
    <w:docVar w:name="dvTextHeader2" w:val="False"/>
    <w:docVar w:name="FooterL1" w:val="InsertFooterBlankL"/>
    <w:docVar w:name="FooterL2" w:val="InsertSecondFooterShortTitleL"/>
    <w:docVar w:name="FooterP1" w:val="InsertFooterBlankP"/>
    <w:docVar w:name="FooterP2" w:val="InsertSecondFooterShortTitleP"/>
    <w:docVar w:name="HeaderL1" w:val="InsertHeaderBlankL"/>
    <w:docVar w:name="HeaderL2" w:val="InsertHeaderBlankL"/>
    <w:docVar w:name="HeaderP1" w:val="InsertHeaderBlankP"/>
    <w:docVar w:name="HeaderP2" w:val="InsertHeaderBlankP"/>
    <w:docVar w:name="IsfirstTb" w:val="False"/>
    <w:docVar w:name="IsInTable" w:val="False"/>
    <w:docVar w:name="OOTOTemplate" w:val="OOTO General\OOTO_Blank.dotm"/>
    <w:docVar w:name="ShowFooter" w:val="True"/>
    <w:docVar w:name="ShowLogo" w:val="False"/>
  </w:docVars>
  <w:rsids>
    <w:rsidRoot w:val="00A7740A"/>
    <w:rsid w:val="00000B49"/>
    <w:rsid w:val="00000FFE"/>
    <w:rsid w:val="00001A86"/>
    <w:rsid w:val="00001C12"/>
    <w:rsid w:val="00001C59"/>
    <w:rsid w:val="00001F57"/>
    <w:rsid w:val="000023A8"/>
    <w:rsid w:val="00002FA7"/>
    <w:rsid w:val="00003593"/>
    <w:rsid w:val="00003B34"/>
    <w:rsid w:val="00004051"/>
    <w:rsid w:val="00004417"/>
    <w:rsid w:val="00005519"/>
    <w:rsid w:val="00005F4D"/>
    <w:rsid w:val="00007127"/>
    <w:rsid w:val="00007371"/>
    <w:rsid w:val="000076D8"/>
    <w:rsid w:val="00007902"/>
    <w:rsid w:val="000103B0"/>
    <w:rsid w:val="00010EE7"/>
    <w:rsid w:val="000119D0"/>
    <w:rsid w:val="000124CC"/>
    <w:rsid w:val="00012895"/>
    <w:rsid w:val="0001299E"/>
    <w:rsid w:val="00012B4C"/>
    <w:rsid w:val="00012BFC"/>
    <w:rsid w:val="00012FF9"/>
    <w:rsid w:val="00013791"/>
    <w:rsid w:val="00013D24"/>
    <w:rsid w:val="00013E39"/>
    <w:rsid w:val="000143D2"/>
    <w:rsid w:val="00014941"/>
    <w:rsid w:val="0001499F"/>
    <w:rsid w:val="00014C07"/>
    <w:rsid w:val="00014FB3"/>
    <w:rsid w:val="00015707"/>
    <w:rsid w:val="00015AF3"/>
    <w:rsid w:val="00015E5F"/>
    <w:rsid w:val="00015F5B"/>
    <w:rsid w:val="00017802"/>
    <w:rsid w:val="0002039C"/>
    <w:rsid w:val="00021382"/>
    <w:rsid w:val="0002207A"/>
    <w:rsid w:val="000221C9"/>
    <w:rsid w:val="00022263"/>
    <w:rsid w:val="00022358"/>
    <w:rsid w:val="00022908"/>
    <w:rsid w:val="00022BBF"/>
    <w:rsid w:val="00023088"/>
    <w:rsid w:val="000239B4"/>
    <w:rsid w:val="000243C3"/>
    <w:rsid w:val="000249D1"/>
    <w:rsid w:val="000254EA"/>
    <w:rsid w:val="0002621E"/>
    <w:rsid w:val="0002625E"/>
    <w:rsid w:val="0002655B"/>
    <w:rsid w:val="000265D9"/>
    <w:rsid w:val="00026A3B"/>
    <w:rsid w:val="00026DAC"/>
    <w:rsid w:val="000322D9"/>
    <w:rsid w:val="00032A75"/>
    <w:rsid w:val="0003369F"/>
    <w:rsid w:val="00033833"/>
    <w:rsid w:val="00033B7F"/>
    <w:rsid w:val="00033E44"/>
    <w:rsid w:val="000344A7"/>
    <w:rsid w:val="000356C9"/>
    <w:rsid w:val="0003577B"/>
    <w:rsid w:val="00035E80"/>
    <w:rsid w:val="00036FDE"/>
    <w:rsid w:val="000377B9"/>
    <w:rsid w:val="000377EA"/>
    <w:rsid w:val="00037BD2"/>
    <w:rsid w:val="000405E7"/>
    <w:rsid w:val="0004082C"/>
    <w:rsid w:val="00041615"/>
    <w:rsid w:val="00041912"/>
    <w:rsid w:val="00041F7A"/>
    <w:rsid w:val="000425AB"/>
    <w:rsid w:val="0004315B"/>
    <w:rsid w:val="00043446"/>
    <w:rsid w:val="000434FE"/>
    <w:rsid w:val="00043764"/>
    <w:rsid w:val="0004385E"/>
    <w:rsid w:val="000438D9"/>
    <w:rsid w:val="0004394B"/>
    <w:rsid w:val="00044223"/>
    <w:rsid w:val="000442C9"/>
    <w:rsid w:val="00044519"/>
    <w:rsid w:val="000448BD"/>
    <w:rsid w:val="00045290"/>
    <w:rsid w:val="00045560"/>
    <w:rsid w:val="000469A3"/>
    <w:rsid w:val="00046B3E"/>
    <w:rsid w:val="00046D8F"/>
    <w:rsid w:val="00046E65"/>
    <w:rsid w:val="00047248"/>
    <w:rsid w:val="00047B04"/>
    <w:rsid w:val="00047E06"/>
    <w:rsid w:val="00050123"/>
    <w:rsid w:val="00050483"/>
    <w:rsid w:val="000507D4"/>
    <w:rsid w:val="0005202B"/>
    <w:rsid w:val="00052610"/>
    <w:rsid w:val="00052B66"/>
    <w:rsid w:val="00052E06"/>
    <w:rsid w:val="00052EBE"/>
    <w:rsid w:val="00053114"/>
    <w:rsid w:val="000533DC"/>
    <w:rsid w:val="000539AB"/>
    <w:rsid w:val="00053CE5"/>
    <w:rsid w:val="00054F2D"/>
    <w:rsid w:val="000550D3"/>
    <w:rsid w:val="0005522B"/>
    <w:rsid w:val="0005538F"/>
    <w:rsid w:val="000555AF"/>
    <w:rsid w:val="00055B71"/>
    <w:rsid w:val="00055D74"/>
    <w:rsid w:val="000561DF"/>
    <w:rsid w:val="000561FA"/>
    <w:rsid w:val="000563B4"/>
    <w:rsid w:val="0005666E"/>
    <w:rsid w:val="00056E27"/>
    <w:rsid w:val="0005750C"/>
    <w:rsid w:val="00057903"/>
    <w:rsid w:val="00057A11"/>
    <w:rsid w:val="00057C4D"/>
    <w:rsid w:val="00057CF2"/>
    <w:rsid w:val="00060080"/>
    <w:rsid w:val="0006009F"/>
    <w:rsid w:val="000600EC"/>
    <w:rsid w:val="000607B1"/>
    <w:rsid w:val="00060EE3"/>
    <w:rsid w:val="0006153E"/>
    <w:rsid w:val="0006184D"/>
    <w:rsid w:val="00061E63"/>
    <w:rsid w:val="000620B2"/>
    <w:rsid w:val="00062639"/>
    <w:rsid w:val="00062939"/>
    <w:rsid w:val="000629B8"/>
    <w:rsid w:val="00062BDB"/>
    <w:rsid w:val="00062EBE"/>
    <w:rsid w:val="000630D1"/>
    <w:rsid w:val="000636DE"/>
    <w:rsid w:val="00063A8B"/>
    <w:rsid w:val="00063D41"/>
    <w:rsid w:val="00065694"/>
    <w:rsid w:val="00065720"/>
    <w:rsid w:val="00065859"/>
    <w:rsid w:val="00066FA4"/>
    <w:rsid w:val="00067588"/>
    <w:rsid w:val="00067CE6"/>
    <w:rsid w:val="00067E8A"/>
    <w:rsid w:val="00067F40"/>
    <w:rsid w:val="000701F9"/>
    <w:rsid w:val="00071CE0"/>
    <w:rsid w:val="00072239"/>
    <w:rsid w:val="00072693"/>
    <w:rsid w:val="00072A3E"/>
    <w:rsid w:val="00072C3B"/>
    <w:rsid w:val="00072EA5"/>
    <w:rsid w:val="00072F67"/>
    <w:rsid w:val="00073660"/>
    <w:rsid w:val="0007378B"/>
    <w:rsid w:val="000745D1"/>
    <w:rsid w:val="00075081"/>
    <w:rsid w:val="00075175"/>
    <w:rsid w:val="00075954"/>
    <w:rsid w:val="00075D5F"/>
    <w:rsid w:val="000763CD"/>
    <w:rsid w:val="0007758E"/>
    <w:rsid w:val="00077B87"/>
    <w:rsid w:val="00077E09"/>
    <w:rsid w:val="00080931"/>
    <w:rsid w:val="00080A86"/>
    <w:rsid w:val="00080C31"/>
    <w:rsid w:val="00080D7D"/>
    <w:rsid w:val="00080EEE"/>
    <w:rsid w:val="00081316"/>
    <w:rsid w:val="00081831"/>
    <w:rsid w:val="000822D3"/>
    <w:rsid w:val="000825E3"/>
    <w:rsid w:val="00082B7F"/>
    <w:rsid w:val="00082FDC"/>
    <w:rsid w:val="000832BC"/>
    <w:rsid w:val="000833F9"/>
    <w:rsid w:val="0008347E"/>
    <w:rsid w:val="0008391F"/>
    <w:rsid w:val="00083F90"/>
    <w:rsid w:val="00084DC6"/>
    <w:rsid w:val="00084EC9"/>
    <w:rsid w:val="00085474"/>
    <w:rsid w:val="000856CC"/>
    <w:rsid w:val="00085945"/>
    <w:rsid w:val="0008644C"/>
    <w:rsid w:val="00087367"/>
    <w:rsid w:val="000874C9"/>
    <w:rsid w:val="00090481"/>
    <w:rsid w:val="000908C8"/>
    <w:rsid w:val="00090D3C"/>
    <w:rsid w:val="000912DD"/>
    <w:rsid w:val="000913A4"/>
    <w:rsid w:val="00091BBA"/>
    <w:rsid w:val="000929F9"/>
    <w:rsid w:val="00093AFC"/>
    <w:rsid w:val="00093E9B"/>
    <w:rsid w:val="000942D1"/>
    <w:rsid w:val="00094A23"/>
    <w:rsid w:val="00094B5D"/>
    <w:rsid w:val="000951F7"/>
    <w:rsid w:val="000964E1"/>
    <w:rsid w:val="00096632"/>
    <w:rsid w:val="00096872"/>
    <w:rsid w:val="0009767F"/>
    <w:rsid w:val="00097695"/>
    <w:rsid w:val="0009776A"/>
    <w:rsid w:val="000A0107"/>
    <w:rsid w:val="000A07B3"/>
    <w:rsid w:val="000A0A6D"/>
    <w:rsid w:val="000A1306"/>
    <w:rsid w:val="000A1516"/>
    <w:rsid w:val="000A1ABC"/>
    <w:rsid w:val="000A2720"/>
    <w:rsid w:val="000A2C31"/>
    <w:rsid w:val="000A3086"/>
    <w:rsid w:val="000A34CD"/>
    <w:rsid w:val="000A35A8"/>
    <w:rsid w:val="000A47CC"/>
    <w:rsid w:val="000A481F"/>
    <w:rsid w:val="000A540D"/>
    <w:rsid w:val="000A5411"/>
    <w:rsid w:val="000A547B"/>
    <w:rsid w:val="000A56A9"/>
    <w:rsid w:val="000A64F9"/>
    <w:rsid w:val="000A6E09"/>
    <w:rsid w:val="000A7386"/>
    <w:rsid w:val="000A7486"/>
    <w:rsid w:val="000A76F6"/>
    <w:rsid w:val="000B01D0"/>
    <w:rsid w:val="000B1204"/>
    <w:rsid w:val="000B288D"/>
    <w:rsid w:val="000B2A2F"/>
    <w:rsid w:val="000B2D09"/>
    <w:rsid w:val="000B2DA9"/>
    <w:rsid w:val="000B3001"/>
    <w:rsid w:val="000B327A"/>
    <w:rsid w:val="000B345B"/>
    <w:rsid w:val="000B43C3"/>
    <w:rsid w:val="000B4518"/>
    <w:rsid w:val="000B4D69"/>
    <w:rsid w:val="000B5ACC"/>
    <w:rsid w:val="000B5DBC"/>
    <w:rsid w:val="000B6308"/>
    <w:rsid w:val="000B6390"/>
    <w:rsid w:val="000B65DF"/>
    <w:rsid w:val="000B673D"/>
    <w:rsid w:val="000B7D2C"/>
    <w:rsid w:val="000C042D"/>
    <w:rsid w:val="000C100C"/>
    <w:rsid w:val="000C181D"/>
    <w:rsid w:val="000C20DA"/>
    <w:rsid w:val="000C335A"/>
    <w:rsid w:val="000C3640"/>
    <w:rsid w:val="000C39EE"/>
    <w:rsid w:val="000C3B09"/>
    <w:rsid w:val="000C3B55"/>
    <w:rsid w:val="000C3D50"/>
    <w:rsid w:val="000C487C"/>
    <w:rsid w:val="000C5479"/>
    <w:rsid w:val="000C5644"/>
    <w:rsid w:val="000C5D0C"/>
    <w:rsid w:val="000C686C"/>
    <w:rsid w:val="000C7077"/>
    <w:rsid w:val="000C77C9"/>
    <w:rsid w:val="000C794D"/>
    <w:rsid w:val="000C7A49"/>
    <w:rsid w:val="000D0149"/>
    <w:rsid w:val="000D0170"/>
    <w:rsid w:val="000D09D0"/>
    <w:rsid w:val="000D0B49"/>
    <w:rsid w:val="000D0EFB"/>
    <w:rsid w:val="000D1606"/>
    <w:rsid w:val="000D1B15"/>
    <w:rsid w:val="000D22B2"/>
    <w:rsid w:val="000D2BB6"/>
    <w:rsid w:val="000D3183"/>
    <w:rsid w:val="000D33D6"/>
    <w:rsid w:val="000D3571"/>
    <w:rsid w:val="000D3AA5"/>
    <w:rsid w:val="000D412F"/>
    <w:rsid w:val="000D4757"/>
    <w:rsid w:val="000D60C3"/>
    <w:rsid w:val="000D62D1"/>
    <w:rsid w:val="000D6971"/>
    <w:rsid w:val="000D6D69"/>
    <w:rsid w:val="000D6E94"/>
    <w:rsid w:val="000D6FA6"/>
    <w:rsid w:val="000D7175"/>
    <w:rsid w:val="000D7278"/>
    <w:rsid w:val="000E0494"/>
    <w:rsid w:val="000E0DD8"/>
    <w:rsid w:val="000E0F92"/>
    <w:rsid w:val="000E242A"/>
    <w:rsid w:val="000E24E1"/>
    <w:rsid w:val="000E2A98"/>
    <w:rsid w:val="000E2C2F"/>
    <w:rsid w:val="000E2DE5"/>
    <w:rsid w:val="000E3084"/>
    <w:rsid w:val="000E31D0"/>
    <w:rsid w:val="000E4842"/>
    <w:rsid w:val="000E49FC"/>
    <w:rsid w:val="000E6013"/>
    <w:rsid w:val="000E6DE2"/>
    <w:rsid w:val="000E6FCB"/>
    <w:rsid w:val="000E70BA"/>
    <w:rsid w:val="000E7897"/>
    <w:rsid w:val="000F04AA"/>
    <w:rsid w:val="000F0C6A"/>
    <w:rsid w:val="000F1434"/>
    <w:rsid w:val="000F1604"/>
    <w:rsid w:val="000F1841"/>
    <w:rsid w:val="000F1C88"/>
    <w:rsid w:val="000F1EA3"/>
    <w:rsid w:val="000F236D"/>
    <w:rsid w:val="000F2566"/>
    <w:rsid w:val="000F2F29"/>
    <w:rsid w:val="000F305F"/>
    <w:rsid w:val="000F32C4"/>
    <w:rsid w:val="000F4427"/>
    <w:rsid w:val="000F45AE"/>
    <w:rsid w:val="000F5476"/>
    <w:rsid w:val="000F582E"/>
    <w:rsid w:val="000F5CD9"/>
    <w:rsid w:val="000F60FF"/>
    <w:rsid w:val="000F6174"/>
    <w:rsid w:val="000F6832"/>
    <w:rsid w:val="001001D0"/>
    <w:rsid w:val="0010089F"/>
    <w:rsid w:val="001009F5"/>
    <w:rsid w:val="00101DB4"/>
    <w:rsid w:val="001026B4"/>
    <w:rsid w:val="001028AE"/>
    <w:rsid w:val="00102C03"/>
    <w:rsid w:val="00102DB4"/>
    <w:rsid w:val="00103087"/>
    <w:rsid w:val="00103F85"/>
    <w:rsid w:val="00104C56"/>
    <w:rsid w:val="00105CB6"/>
    <w:rsid w:val="00105EC3"/>
    <w:rsid w:val="001064E0"/>
    <w:rsid w:val="001068BD"/>
    <w:rsid w:val="00107858"/>
    <w:rsid w:val="00110322"/>
    <w:rsid w:val="001103C9"/>
    <w:rsid w:val="00110B5D"/>
    <w:rsid w:val="001110B4"/>
    <w:rsid w:val="00111726"/>
    <w:rsid w:val="001118AC"/>
    <w:rsid w:val="001119FE"/>
    <w:rsid w:val="00111D1B"/>
    <w:rsid w:val="00112371"/>
    <w:rsid w:val="001128C1"/>
    <w:rsid w:val="00112D68"/>
    <w:rsid w:val="00113E9A"/>
    <w:rsid w:val="00114B87"/>
    <w:rsid w:val="00114FED"/>
    <w:rsid w:val="00115068"/>
    <w:rsid w:val="0011522F"/>
    <w:rsid w:val="001156E9"/>
    <w:rsid w:val="001158CD"/>
    <w:rsid w:val="00115E92"/>
    <w:rsid w:val="00115FC4"/>
    <w:rsid w:val="001160C2"/>
    <w:rsid w:val="00116271"/>
    <w:rsid w:val="00116379"/>
    <w:rsid w:val="00116B19"/>
    <w:rsid w:val="00116E02"/>
    <w:rsid w:val="00116FE8"/>
    <w:rsid w:val="0011751D"/>
    <w:rsid w:val="0011779B"/>
    <w:rsid w:val="00117C9E"/>
    <w:rsid w:val="00120044"/>
    <w:rsid w:val="0012041B"/>
    <w:rsid w:val="0012042D"/>
    <w:rsid w:val="00120AE8"/>
    <w:rsid w:val="001211AF"/>
    <w:rsid w:val="00121A3F"/>
    <w:rsid w:val="00121FFD"/>
    <w:rsid w:val="00123187"/>
    <w:rsid w:val="00123510"/>
    <w:rsid w:val="001235FD"/>
    <w:rsid w:val="0012371A"/>
    <w:rsid w:val="0012402C"/>
    <w:rsid w:val="00124E46"/>
    <w:rsid w:val="00125193"/>
    <w:rsid w:val="00125279"/>
    <w:rsid w:val="001253FD"/>
    <w:rsid w:val="001255F4"/>
    <w:rsid w:val="0012628E"/>
    <w:rsid w:val="001267DC"/>
    <w:rsid w:val="00126954"/>
    <w:rsid w:val="001273E1"/>
    <w:rsid w:val="00127771"/>
    <w:rsid w:val="00127D1E"/>
    <w:rsid w:val="00127E58"/>
    <w:rsid w:val="00127EFD"/>
    <w:rsid w:val="00130BC4"/>
    <w:rsid w:val="00132ED8"/>
    <w:rsid w:val="001331DA"/>
    <w:rsid w:val="0013358F"/>
    <w:rsid w:val="00134187"/>
    <w:rsid w:val="00135C6F"/>
    <w:rsid w:val="00135E54"/>
    <w:rsid w:val="00135E8D"/>
    <w:rsid w:val="00136152"/>
    <w:rsid w:val="00136963"/>
    <w:rsid w:val="001370D2"/>
    <w:rsid w:val="001372F1"/>
    <w:rsid w:val="00137F0A"/>
    <w:rsid w:val="00140996"/>
    <w:rsid w:val="00140D11"/>
    <w:rsid w:val="00140D3F"/>
    <w:rsid w:val="00140DAC"/>
    <w:rsid w:val="00140EBD"/>
    <w:rsid w:val="00141D8C"/>
    <w:rsid w:val="00142186"/>
    <w:rsid w:val="00142D08"/>
    <w:rsid w:val="001434AC"/>
    <w:rsid w:val="00143722"/>
    <w:rsid w:val="00143A77"/>
    <w:rsid w:val="0014466A"/>
    <w:rsid w:val="00144E04"/>
    <w:rsid w:val="001452C2"/>
    <w:rsid w:val="00145E9B"/>
    <w:rsid w:val="001476E9"/>
    <w:rsid w:val="00147962"/>
    <w:rsid w:val="00147AD4"/>
    <w:rsid w:val="00150C04"/>
    <w:rsid w:val="00150D42"/>
    <w:rsid w:val="001515DD"/>
    <w:rsid w:val="00151941"/>
    <w:rsid w:val="00151AF4"/>
    <w:rsid w:val="00151F5B"/>
    <w:rsid w:val="00152816"/>
    <w:rsid w:val="00152A3A"/>
    <w:rsid w:val="00153328"/>
    <w:rsid w:val="0015396A"/>
    <w:rsid w:val="00153DCF"/>
    <w:rsid w:val="00153E4D"/>
    <w:rsid w:val="00154218"/>
    <w:rsid w:val="00154936"/>
    <w:rsid w:val="00154F34"/>
    <w:rsid w:val="001551A9"/>
    <w:rsid w:val="0015558D"/>
    <w:rsid w:val="00155848"/>
    <w:rsid w:val="00155AD6"/>
    <w:rsid w:val="00155FBB"/>
    <w:rsid w:val="0015601B"/>
    <w:rsid w:val="00156409"/>
    <w:rsid w:val="0015652B"/>
    <w:rsid w:val="00156744"/>
    <w:rsid w:val="001568EE"/>
    <w:rsid w:val="00156CF2"/>
    <w:rsid w:val="00156DE1"/>
    <w:rsid w:val="00156F3B"/>
    <w:rsid w:val="00160B6F"/>
    <w:rsid w:val="00161936"/>
    <w:rsid w:val="00161A41"/>
    <w:rsid w:val="00161CC2"/>
    <w:rsid w:val="00161E0C"/>
    <w:rsid w:val="00162811"/>
    <w:rsid w:val="00162921"/>
    <w:rsid w:val="0016296B"/>
    <w:rsid w:val="0016382B"/>
    <w:rsid w:val="00163A23"/>
    <w:rsid w:val="00164AA0"/>
    <w:rsid w:val="00164D8B"/>
    <w:rsid w:val="0016599E"/>
    <w:rsid w:val="00165C2E"/>
    <w:rsid w:val="00165C89"/>
    <w:rsid w:val="00165C9E"/>
    <w:rsid w:val="00166072"/>
    <w:rsid w:val="001661DE"/>
    <w:rsid w:val="0016678A"/>
    <w:rsid w:val="0016693D"/>
    <w:rsid w:val="00166972"/>
    <w:rsid w:val="0017001C"/>
    <w:rsid w:val="001701BD"/>
    <w:rsid w:val="001709F2"/>
    <w:rsid w:val="00170BC1"/>
    <w:rsid w:val="00170EF0"/>
    <w:rsid w:val="0017112C"/>
    <w:rsid w:val="0017178A"/>
    <w:rsid w:val="00171DE1"/>
    <w:rsid w:val="001722BC"/>
    <w:rsid w:val="0017250C"/>
    <w:rsid w:val="00172A4D"/>
    <w:rsid w:val="00173926"/>
    <w:rsid w:val="00173C47"/>
    <w:rsid w:val="00173E9F"/>
    <w:rsid w:val="00173ED2"/>
    <w:rsid w:val="0017444A"/>
    <w:rsid w:val="0017465B"/>
    <w:rsid w:val="001746AE"/>
    <w:rsid w:val="00175134"/>
    <w:rsid w:val="001751CA"/>
    <w:rsid w:val="00175571"/>
    <w:rsid w:val="00175621"/>
    <w:rsid w:val="00175E56"/>
    <w:rsid w:val="001773CD"/>
    <w:rsid w:val="00177E3D"/>
    <w:rsid w:val="00177EF0"/>
    <w:rsid w:val="00180954"/>
    <w:rsid w:val="00180B80"/>
    <w:rsid w:val="001813B7"/>
    <w:rsid w:val="001816F4"/>
    <w:rsid w:val="00181857"/>
    <w:rsid w:val="00181B5B"/>
    <w:rsid w:val="00182212"/>
    <w:rsid w:val="001822E3"/>
    <w:rsid w:val="0018282B"/>
    <w:rsid w:val="001833D5"/>
    <w:rsid w:val="0018418D"/>
    <w:rsid w:val="0018466F"/>
    <w:rsid w:val="00184AC8"/>
    <w:rsid w:val="00184D1D"/>
    <w:rsid w:val="001856C6"/>
    <w:rsid w:val="001857EF"/>
    <w:rsid w:val="00185EDB"/>
    <w:rsid w:val="00186608"/>
    <w:rsid w:val="00186A52"/>
    <w:rsid w:val="00186BA0"/>
    <w:rsid w:val="00186D5E"/>
    <w:rsid w:val="001870A0"/>
    <w:rsid w:val="001872A2"/>
    <w:rsid w:val="001874C5"/>
    <w:rsid w:val="0018795B"/>
    <w:rsid w:val="001901BB"/>
    <w:rsid w:val="0019042E"/>
    <w:rsid w:val="00190585"/>
    <w:rsid w:val="00190A34"/>
    <w:rsid w:val="00190AF8"/>
    <w:rsid w:val="00191B45"/>
    <w:rsid w:val="001933AA"/>
    <w:rsid w:val="001936FD"/>
    <w:rsid w:val="001938BA"/>
    <w:rsid w:val="001938EF"/>
    <w:rsid w:val="0019414B"/>
    <w:rsid w:val="00194280"/>
    <w:rsid w:val="00194539"/>
    <w:rsid w:val="00194AF8"/>
    <w:rsid w:val="00194C09"/>
    <w:rsid w:val="0019526D"/>
    <w:rsid w:val="001953C1"/>
    <w:rsid w:val="001957F9"/>
    <w:rsid w:val="0019583F"/>
    <w:rsid w:val="001962D2"/>
    <w:rsid w:val="00196510"/>
    <w:rsid w:val="0019693F"/>
    <w:rsid w:val="00197181"/>
    <w:rsid w:val="001971F7"/>
    <w:rsid w:val="001975F1"/>
    <w:rsid w:val="0019779B"/>
    <w:rsid w:val="001A0082"/>
    <w:rsid w:val="001A09E1"/>
    <w:rsid w:val="001A0BD8"/>
    <w:rsid w:val="001A1606"/>
    <w:rsid w:val="001A1FD3"/>
    <w:rsid w:val="001A2225"/>
    <w:rsid w:val="001A32B3"/>
    <w:rsid w:val="001A4670"/>
    <w:rsid w:val="001A495C"/>
    <w:rsid w:val="001A4AF9"/>
    <w:rsid w:val="001A4C19"/>
    <w:rsid w:val="001A4CF5"/>
    <w:rsid w:val="001A502E"/>
    <w:rsid w:val="001A527F"/>
    <w:rsid w:val="001A5928"/>
    <w:rsid w:val="001A5E2C"/>
    <w:rsid w:val="001A6A18"/>
    <w:rsid w:val="001A6CD7"/>
    <w:rsid w:val="001A7233"/>
    <w:rsid w:val="001A7260"/>
    <w:rsid w:val="001A73D1"/>
    <w:rsid w:val="001A75B8"/>
    <w:rsid w:val="001A7ABC"/>
    <w:rsid w:val="001A7C45"/>
    <w:rsid w:val="001B0B02"/>
    <w:rsid w:val="001B12E9"/>
    <w:rsid w:val="001B13B0"/>
    <w:rsid w:val="001B20DF"/>
    <w:rsid w:val="001B2A72"/>
    <w:rsid w:val="001B4C01"/>
    <w:rsid w:val="001B56F9"/>
    <w:rsid w:val="001B5961"/>
    <w:rsid w:val="001B5D1F"/>
    <w:rsid w:val="001B5D7B"/>
    <w:rsid w:val="001B5EE5"/>
    <w:rsid w:val="001B66AB"/>
    <w:rsid w:val="001B7609"/>
    <w:rsid w:val="001B78D0"/>
    <w:rsid w:val="001B7E10"/>
    <w:rsid w:val="001C0952"/>
    <w:rsid w:val="001C1D18"/>
    <w:rsid w:val="001C1D6F"/>
    <w:rsid w:val="001C2A4D"/>
    <w:rsid w:val="001C2FDC"/>
    <w:rsid w:val="001C3A5C"/>
    <w:rsid w:val="001C4771"/>
    <w:rsid w:val="001C54AE"/>
    <w:rsid w:val="001C6C77"/>
    <w:rsid w:val="001D0666"/>
    <w:rsid w:val="001D1279"/>
    <w:rsid w:val="001D12E1"/>
    <w:rsid w:val="001D1799"/>
    <w:rsid w:val="001D1D5F"/>
    <w:rsid w:val="001D2936"/>
    <w:rsid w:val="001D2A9E"/>
    <w:rsid w:val="001D2F79"/>
    <w:rsid w:val="001D34B2"/>
    <w:rsid w:val="001D4AF0"/>
    <w:rsid w:val="001D515B"/>
    <w:rsid w:val="001D5230"/>
    <w:rsid w:val="001D5334"/>
    <w:rsid w:val="001D5439"/>
    <w:rsid w:val="001D5C6B"/>
    <w:rsid w:val="001D64B9"/>
    <w:rsid w:val="001D66DA"/>
    <w:rsid w:val="001D74AF"/>
    <w:rsid w:val="001D799F"/>
    <w:rsid w:val="001D7BDB"/>
    <w:rsid w:val="001D7CC2"/>
    <w:rsid w:val="001D7F1B"/>
    <w:rsid w:val="001E00B8"/>
    <w:rsid w:val="001E067E"/>
    <w:rsid w:val="001E0756"/>
    <w:rsid w:val="001E0A71"/>
    <w:rsid w:val="001E0BC6"/>
    <w:rsid w:val="001E0BFC"/>
    <w:rsid w:val="001E10CD"/>
    <w:rsid w:val="001E154A"/>
    <w:rsid w:val="001E16D0"/>
    <w:rsid w:val="001E2181"/>
    <w:rsid w:val="001E26E5"/>
    <w:rsid w:val="001E2D1F"/>
    <w:rsid w:val="001E3081"/>
    <w:rsid w:val="001E31D2"/>
    <w:rsid w:val="001E393C"/>
    <w:rsid w:val="001E4287"/>
    <w:rsid w:val="001E47F0"/>
    <w:rsid w:val="001E5785"/>
    <w:rsid w:val="001E57FF"/>
    <w:rsid w:val="001E5AEA"/>
    <w:rsid w:val="001E5DEA"/>
    <w:rsid w:val="001E5FAF"/>
    <w:rsid w:val="001E75EF"/>
    <w:rsid w:val="001E7650"/>
    <w:rsid w:val="001E7819"/>
    <w:rsid w:val="001E7B7C"/>
    <w:rsid w:val="001F036E"/>
    <w:rsid w:val="001F10FE"/>
    <w:rsid w:val="001F1287"/>
    <w:rsid w:val="001F12FC"/>
    <w:rsid w:val="001F14C5"/>
    <w:rsid w:val="001F19B5"/>
    <w:rsid w:val="001F20AE"/>
    <w:rsid w:val="001F295C"/>
    <w:rsid w:val="001F2C65"/>
    <w:rsid w:val="001F2F94"/>
    <w:rsid w:val="001F3384"/>
    <w:rsid w:val="001F4CBC"/>
    <w:rsid w:val="001F58EB"/>
    <w:rsid w:val="001F5928"/>
    <w:rsid w:val="001F5FB8"/>
    <w:rsid w:val="001F6172"/>
    <w:rsid w:val="001F6A6E"/>
    <w:rsid w:val="001F6E84"/>
    <w:rsid w:val="00200017"/>
    <w:rsid w:val="002009EB"/>
    <w:rsid w:val="002013FD"/>
    <w:rsid w:val="00202261"/>
    <w:rsid w:val="002023CB"/>
    <w:rsid w:val="002028C8"/>
    <w:rsid w:val="00203EA4"/>
    <w:rsid w:val="00203F5A"/>
    <w:rsid w:val="002047F5"/>
    <w:rsid w:val="00204C10"/>
    <w:rsid w:val="00204CBB"/>
    <w:rsid w:val="00206056"/>
    <w:rsid w:val="002068E0"/>
    <w:rsid w:val="00206F17"/>
    <w:rsid w:val="00207380"/>
    <w:rsid w:val="00207400"/>
    <w:rsid w:val="002079B3"/>
    <w:rsid w:val="00207BB1"/>
    <w:rsid w:val="00207BD2"/>
    <w:rsid w:val="00207CA8"/>
    <w:rsid w:val="0021001D"/>
    <w:rsid w:val="002101A7"/>
    <w:rsid w:val="002101B6"/>
    <w:rsid w:val="0021064F"/>
    <w:rsid w:val="002119D9"/>
    <w:rsid w:val="00211AAA"/>
    <w:rsid w:val="00211ECB"/>
    <w:rsid w:val="00211F10"/>
    <w:rsid w:val="002129C2"/>
    <w:rsid w:val="00212DBD"/>
    <w:rsid w:val="00213539"/>
    <w:rsid w:val="00213AE7"/>
    <w:rsid w:val="00213F5A"/>
    <w:rsid w:val="00214994"/>
    <w:rsid w:val="00214AA5"/>
    <w:rsid w:val="00215479"/>
    <w:rsid w:val="00215CD1"/>
    <w:rsid w:val="00216143"/>
    <w:rsid w:val="0021639F"/>
    <w:rsid w:val="00217814"/>
    <w:rsid w:val="002178FA"/>
    <w:rsid w:val="00217F95"/>
    <w:rsid w:val="00220769"/>
    <w:rsid w:val="002208BB"/>
    <w:rsid w:val="002213BE"/>
    <w:rsid w:val="00221799"/>
    <w:rsid w:val="00221896"/>
    <w:rsid w:val="00222498"/>
    <w:rsid w:val="0022297E"/>
    <w:rsid w:val="00222E1D"/>
    <w:rsid w:val="00222EA0"/>
    <w:rsid w:val="00223087"/>
    <w:rsid w:val="00223512"/>
    <w:rsid w:val="002238D6"/>
    <w:rsid w:val="00225223"/>
    <w:rsid w:val="00225263"/>
    <w:rsid w:val="00225505"/>
    <w:rsid w:val="002255D4"/>
    <w:rsid w:val="00226825"/>
    <w:rsid w:val="00226DE7"/>
    <w:rsid w:val="0022719E"/>
    <w:rsid w:val="00227CC4"/>
    <w:rsid w:val="00227CF0"/>
    <w:rsid w:val="002300A9"/>
    <w:rsid w:val="00230167"/>
    <w:rsid w:val="0023071A"/>
    <w:rsid w:val="0023079A"/>
    <w:rsid w:val="00230A3B"/>
    <w:rsid w:val="00230FF4"/>
    <w:rsid w:val="0023126A"/>
    <w:rsid w:val="0023141F"/>
    <w:rsid w:val="002315C4"/>
    <w:rsid w:val="00231669"/>
    <w:rsid w:val="00232129"/>
    <w:rsid w:val="00232952"/>
    <w:rsid w:val="00232CAD"/>
    <w:rsid w:val="002332FC"/>
    <w:rsid w:val="0023342C"/>
    <w:rsid w:val="00233CA4"/>
    <w:rsid w:val="00233DD9"/>
    <w:rsid w:val="00233EDA"/>
    <w:rsid w:val="002346A8"/>
    <w:rsid w:val="00235145"/>
    <w:rsid w:val="0023517B"/>
    <w:rsid w:val="002355BF"/>
    <w:rsid w:val="00235BA0"/>
    <w:rsid w:val="00235DDF"/>
    <w:rsid w:val="00235F9B"/>
    <w:rsid w:val="00235FE7"/>
    <w:rsid w:val="002362BE"/>
    <w:rsid w:val="0023726C"/>
    <w:rsid w:val="002372E1"/>
    <w:rsid w:val="00237419"/>
    <w:rsid w:val="002375D3"/>
    <w:rsid w:val="00237AB9"/>
    <w:rsid w:val="00237BE7"/>
    <w:rsid w:val="00240153"/>
    <w:rsid w:val="0024053D"/>
    <w:rsid w:val="00240631"/>
    <w:rsid w:val="00240C6A"/>
    <w:rsid w:val="00240F08"/>
    <w:rsid w:val="00242818"/>
    <w:rsid w:val="00242B23"/>
    <w:rsid w:val="00242C97"/>
    <w:rsid w:val="00244D42"/>
    <w:rsid w:val="00245112"/>
    <w:rsid w:val="002456C5"/>
    <w:rsid w:val="00245ACC"/>
    <w:rsid w:val="0024602D"/>
    <w:rsid w:val="00246347"/>
    <w:rsid w:val="0024648C"/>
    <w:rsid w:val="002466D8"/>
    <w:rsid w:val="0024678E"/>
    <w:rsid w:val="00246C8D"/>
    <w:rsid w:val="00246D84"/>
    <w:rsid w:val="00247063"/>
    <w:rsid w:val="00247515"/>
    <w:rsid w:val="002479B3"/>
    <w:rsid w:val="00247DB5"/>
    <w:rsid w:val="0025080F"/>
    <w:rsid w:val="00250BFE"/>
    <w:rsid w:val="00251456"/>
    <w:rsid w:val="0025298D"/>
    <w:rsid w:val="00253466"/>
    <w:rsid w:val="00253BD5"/>
    <w:rsid w:val="002541A0"/>
    <w:rsid w:val="002542CE"/>
    <w:rsid w:val="002544F5"/>
    <w:rsid w:val="002549A4"/>
    <w:rsid w:val="00254D72"/>
    <w:rsid w:val="002552BB"/>
    <w:rsid w:val="002556C7"/>
    <w:rsid w:val="00256279"/>
    <w:rsid w:val="002568BF"/>
    <w:rsid w:val="00256A08"/>
    <w:rsid w:val="00256C2E"/>
    <w:rsid w:val="00256DEB"/>
    <w:rsid w:val="00256F48"/>
    <w:rsid w:val="00257208"/>
    <w:rsid w:val="0025749A"/>
    <w:rsid w:val="00257751"/>
    <w:rsid w:val="00257E38"/>
    <w:rsid w:val="00260BF4"/>
    <w:rsid w:val="002612E2"/>
    <w:rsid w:val="002613E2"/>
    <w:rsid w:val="00261587"/>
    <w:rsid w:val="00261BE1"/>
    <w:rsid w:val="00262E72"/>
    <w:rsid w:val="00263EE2"/>
    <w:rsid w:val="00263F50"/>
    <w:rsid w:val="00264B61"/>
    <w:rsid w:val="00264FBB"/>
    <w:rsid w:val="002652A3"/>
    <w:rsid w:val="002654F1"/>
    <w:rsid w:val="00266084"/>
    <w:rsid w:val="0026688F"/>
    <w:rsid w:val="00266ADF"/>
    <w:rsid w:val="00266B22"/>
    <w:rsid w:val="0026736A"/>
    <w:rsid w:val="002678CA"/>
    <w:rsid w:val="00267E22"/>
    <w:rsid w:val="00270090"/>
    <w:rsid w:val="00270660"/>
    <w:rsid w:val="002709CE"/>
    <w:rsid w:val="00270BA7"/>
    <w:rsid w:val="0027171F"/>
    <w:rsid w:val="00271D0C"/>
    <w:rsid w:val="00271D87"/>
    <w:rsid w:val="0027214C"/>
    <w:rsid w:val="00272541"/>
    <w:rsid w:val="002726FA"/>
    <w:rsid w:val="00272788"/>
    <w:rsid w:val="002755DF"/>
    <w:rsid w:val="00275DA7"/>
    <w:rsid w:val="00276105"/>
    <w:rsid w:val="00276B72"/>
    <w:rsid w:val="00276C77"/>
    <w:rsid w:val="00277085"/>
    <w:rsid w:val="00277247"/>
    <w:rsid w:val="00277354"/>
    <w:rsid w:val="00277625"/>
    <w:rsid w:val="0028018C"/>
    <w:rsid w:val="00280A38"/>
    <w:rsid w:val="002817F4"/>
    <w:rsid w:val="00281B5C"/>
    <w:rsid w:val="00282590"/>
    <w:rsid w:val="00282ADF"/>
    <w:rsid w:val="00283110"/>
    <w:rsid w:val="00283493"/>
    <w:rsid w:val="0028379E"/>
    <w:rsid w:val="00283A23"/>
    <w:rsid w:val="0028442E"/>
    <w:rsid w:val="002848D5"/>
    <w:rsid w:val="00284A06"/>
    <w:rsid w:val="00284CE4"/>
    <w:rsid w:val="00284EF8"/>
    <w:rsid w:val="00285EB1"/>
    <w:rsid w:val="002864FD"/>
    <w:rsid w:val="00286599"/>
    <w:rsid w:val="002907C9"/>
    <w:rsid w:val="002909D0"/>
    <w:rsid w:val="00291028"/>
    <w:rsid w:val="002912F7"/>
    <w:rsid w:val="0029147F"/>
    <w:rsid w:val="00291C38"/>
    <w:rsid w:val="0029209E"/>
    <w:rsid w:val="002921D8"/>
    <w:rsid w:val="00292A2B"/>
    <w:rsid w:val="00292AE1"/>
    <w:rsid w:val="00293587"/>
    <w:rsid w:val="00293649"/>
    <w:rsid w:val="0029470E"/>
    <w:rsid w:val="00294EB8"/>
    <w:rsid w:val="00295101"/>
    <w:rsid w:val="002954FF"/>
    <w:rsid w:val="002956AA"/>
    <w:rsid w:val="00295893"/>
    <w:rsid w:val="00295BC3"/>
    <w:rsid w:val="00295C79"/>
    <w:rsid w:val="00296876"/>
    <w:rsid w:val="0029713F"/>
    <w:rsid w:val="002974F2"/>
    <w:rsid w:val="002A0068"/>
    <w:rsid w:val="002A01A6"/>
    <w:rsid w:val="002A04F9"/>
    <w:rsid w:val="002A17D8"/>
    <w:rsid w:val="002A1C06"/>
    <w:rsid w:val="002A1C3F"/>
    <w:rsid w:val="002A1D84"/>
    <w:rsid w:val="002A1DC8"/>
    <w:rsid w:val="002A2822"/>
    <w:rsid w:val="002A2B5A"/>
    <w:rsid w:val="002A34F1"/>
    <w:rsid w:val="002A3B03"/>
    <w:rsid w:val="002A417B"/>
    <w:rsid w:val="002A451B"/>
    <w:rsid w:val="002A48A3"/>
    <w:rsid w:val="002A48E0"/>
    <w:rsid w:val="002A4ACD"/>
    <w:rsid w:val="002A5D1A"/>
    <w:rsid w:val="002A65B2"/>
    <w:rsid w:val="002A6649"/>
    <w:rsid w:val="002A6B29"/>
    <w:rsid w:val="002A6DDF"/>
    <w:rsid w:val="002A753C"/>
    <w:rsid w:val="002A778B"/>
    <w:rsid w:val="002A7DBF"/>
    <w:rsid w:val="002B0AFE"/>
    <w:rsid w:val="002B19E4"/>
    <w:rsid w:val="002B22D8"/>
    <w:rsid w:val="002B31D6"/>
    <w:rsid w:val="002B35D0"/>
    <w:rsid w:val="002B3BCE"/>
    <w:rsid w:val="002B4164"/>
    <w:rsid w:val="002B4324"/>
    <w:rsid w:val="002B446B"/>
    <w:rsid w:val="002B4602"/>
    <w:rsid w:val="002B4C2A"/>
    <w:rsid w:val="002B519C"/>
    <w:rsid w:val="002B5274"/>
    <w:rsid w:val="002B52AF"/>
    <w:rsid w:val="002B5E32"/>
    <w:rsid w:val="002B6241"/>
    <w:rsid w:val="002B6859"/>
    <w:rsid w:val="002B6C49"/>
    <w:rsid w:val="002B6CA9"/>
    <w:rsid w:val="002B6D16"/>
    <w:rsid w:val="002B7645"/>
    <w:rsid w:val="002C0A27"/>
    <w:rsid w:val="002C0D2F"/>
    <w:rsid w:val="002C168D"/>
    <w:rsid w:val="002C182F"/>
    <w:rsid w:val="002C187C"/>
    <w:rsid w:val="002C2C22"/>
    <w:rsid w:val="002C2CEE"/>
    <w:rsid w:val="002C355D"/>
    <w:rsid w:val="002C35C9"/>
    <w:rsid w:val="002C3925"/>
    <w:rsid w:val="002C3A7A"/>
    <w:rsid w:val="002C3BE6"/>
    <w:rsid w:val="002C4624"/>
    <w:rsid w:val="002C48EC"/>
    <w:rsid w:val="002C4BAD"/>
    <w:rsid w:val="002C5544"/>
    <w:rsid w:val="002C5703"/>
    <w:rsid w:val="002C5736"/>
    <w:rsid w:val="002C5AE5"/>
    <w:rsid w:val="002C6132"/>
    <w:rsid w:val="002C6380"/>
    <w:rsid w:val="002C6579"/>
    <w:rsid w:val="002C66AC"/>
    <w:rsid w:val="002C6AFE"/>
    <w:rsid w:val="002C6ECD"/>
    <w:rsid w:val="002C75C0"/>
    <w:rsid w:val="002C7E75"/>
    <w:rsid w:val="002C7EC6"/>
    <w:rsid w:val="002D09E7"/>
    <w:rsid w:val="002D0C0B"/>
    <w:rsid w:val="002D0CA7"/>
    <w:rsid w:val="002D1154"/>
    <w:rsid w:val="002D18C9"/>
    <w:rsid w:val="002D2D7B"/>
    <w:rsid w:val="002D3139"/>
    <w:rsid w:val="002D354A"/>
    <w:rsid w:val="002D3CC2"/>
    <w:rsid w:val="002D3E12"/>
    <w:rsid w:val="002D3E53"/>
    <w:rsid w:val="002D3F59"/>
    <w:rsid w:val="002D3FA6"/>
    <w:rsid w:val="002D4479"/>
    <w:rsid w:val="002D4F4F"/>
    <w:rsid w:val="002D56BA"/>
    <w:rsid w:val="002D5D0F"/>
    <w:rsid w:val="002D6805"/>
    <w:rsid w:val="002D6D77"/>
    <w:rsid w:val="002D6E92"/>
    <w:rsid w:val="002D7318"/>
    <w:rsid w:val="002D7718"/>
    <w:rsid w:val="002D7BD6"/>
    <w:rsid w:val="002E00C6"/>
    <w:rsid w:val="002E012A"/>
    <w:rsid w:val="002E01DB"/>
    <w:rsid w:val="002E08ED"/>
    <w:rsid w:val="002E0FFE"/>
    <w:rsid w:val="002E1231"/>
    <w:rsid w:val="002E135E"/>
    <w:rsid w:val="002E17CB"/>
    <w:rsid w:val="002E1D2E"/>
    <w:rsid w:val="002E287B"/>
    <w:rsid w:val="002E2E08"/>
    <w:rsid w:val="002E2E53"/>
    <w:rsid w:val="002E37EB"/>
    <w:rsid w:val="002E3EA8"/>
    <w:rsid w:val="002E4516"/>
    <w:rsid w:val="002E49B5"/>
    <w:rsid w:val="002E643B"/>
    <w:rsid w:val="002E6678"/>
    <w:rsid w:val="002E704C"/>
    <w:rsid w:val="002E7824"/>
    <w:rsid w:val="002F0275"/>
    <w:rsid w:val="002F075B"/>
    <w:rsid w:val="002F0F69"/>
    <w:rsid w:val="002F1298"/>
    <w:rsid w:val="002F1B40"/>
    <w:rsid w:val="002F1F91"/>
    <w:rsid w:val="002F2191"/>
    <w:rsid w:val="002F22CC"/>
    <w:rsid w:val="002F28AF"/>
    <w:rsid w:val="002F3475"/>
    <w:rsid w:val="002F42B0"/>
    <w:rsid w:val="002F522A"/>
    <w:rsid w:val="002F5231"/>
    <w:rsid w:val="002F53CF"/>
    <w:rsid w:val="002F57B2"/>
    <w:rsid w:val="002F586C"/>
    <w:rsid w:val="002F591F"/>
    <w:rsid w:val="002F5F3A"/>
    <w:rsid w:val="002F63D7"/>
    <w:rsid w:val="002F70E8"/>
    <w:rsid w:val="002F70F4"/>
    <w:rsid w:val="002F7379"/>
    <w:rsid w:val="002F7692"/>
    <w:rsid w:val="002F7A08"/>
    <w:rsid w:val="00300060"/>
    <w:rsid w:val="003000CC"/>
    <w:rsid w:val="00300168"/>
    <w:rsid w:val="003002CA"/>
    <w:rsid w:val="00300913"/>
    <w:rsid w:val="00301045"/>
    <w:rsid w:val="00301D5E"/>
    <w:rsid w:val="00301FB8"/>
    <w:rsid w:val="0030244B"/>
    <w:rsid w:val="0030529F"/>
    <w:rsid w:val="003055F3"/>
    <w:rsid w:val="00305701"/>
    <w:rsid w:val="00306278"/>
    <w:rsid w:val="00306E73"/>
    <w:rsid w:val="003070E6"/>
    <w:rsid w:val="00307185"/>
    <w:rsid w:val="003073B4"/>
    <w:rsid w:val="003074E8"/>
    <w:rsid w:val="0030771B"/>
    <w:rsid w:val="003108C7"/>
    <w:rsid w:val="00310BF1"/>
    <w:rsid w:val="00311186"/>
    <w:rsid w:val="0031173A"/>
    <w:rsid w:val="00311767"/>
    <w:rsid w:val="003118B1"/>
    <w:rsid w:val="003125BD"/>
    <w:rsid w:val="0031265B"/>
    <w:rsid w:val="00312E3E"/>
    <w:rsid w:val="003131F6"/>
    <w:rsid w:val="003141C5"/>
    <w:rsid w:val="00314390"/>
    <w:rsid w:val="0031456E"/>
    <w:rsid w:val="003149CE"/>
    <w:rsid w:val="00314FCA"/>
    <w:rsid w:val="0031595E"/>
    <w:rsid w:val="00315EA6"/>
    <w:rsid w:val="00315FA9"/>
    <w:rsid w:val="00316136"/>
    <w:rsid w:val="00316C22"/>
    <w:rsid w:val="00316DB2"/>
    <w:rsid w:val="00316F7A"/>
    <w:rsid w:val="00317432"/>
    <w:rsid w:val="00317478"/>
    <w:rsid w:val="003178D1"/>
    <w:rsid w:val="003179F3"/>
    <w:rsid w:val="00320519"/>
    <w:rsid w:val="003205E8"/>
    <w:rsid w:val="00320644"/>
    <w:rsid w:val="00320832"/>
    <w:rsid w:val="00320B3F"/>
    <w:rsid w:val="003214F9"/>
    <w:rsid w:val="00321746"/>
    <w:rsid w:val="003218B8"/>
    <w:rsid w:val="00321B9B"/>
    <w:rsid w:val="003222E4"/>
    <w:rsid w:val="00322D24"/>
    <w:rsid w:val="00323123"/>
    <w:rsid w:val="00323534"/>
    <w:rsid w:val="00323BA9"/>
    <w:rsid w:val="00323D67"/>
    <w:rsid w:val="003241F4"/>
    <w:rsid w:val="00324547"/>
    <w:rsid w:val="00324D5D"/>
    <w:rsid w:val="0032622E"/>
    <w:rsid w:val="003269D9"/>
    <w:rsid w:val="003276CE"/>
    <w:rsid w:val="00327CBE"/>
    <w:rsid w:val="00327EA8"/>
    <w:rsid w:val="00327F6F"/>
    <w:rsid w:val="003303A4"/>
    <w:rsid w:val="003305F8"/>
    <w:rsid w:val="00330AEA"/>
    <w:rsid w:val="00330C22"/>
    <w:rsid w:val="00330E42"/>
    <w:rsid w:val="00331A47"/>
    <w:rsid w:val="00331C40"/>
    <w:rsid w:val="00332170"/>
    <w:rsid w:val="00333605"/>
    <w:rsid w:val="0033362C"/>
    <w:rsid w:val="003339F5"/>
    <w:rsid w:val="00333A3E"/>
    <w:rsid w:val="00333A97"/>
    <w:rsid w:val="00333EBD"/>
    <w:rsid w:val="003340AF"/>
    <w:rsid w:val="00334220"/>
    <w:rsid w:val="003346DB"/>
    <w:rsid w:val="00334762"/>
    <w:rsid w:val="00334F2E"/>
    <w:rsid w:val="003350A5"/>
    <w:rsid w:val="003351B3"/>
    <w:rsid w:val="00335324"/>
    <w:rsid w:val="0033609A"/>
    <w:rsid w:val="003374ED"/>
    <w:rsid w:val="003379FA"/>
    <w:rsid w:val="003403D4"/>
    <w:rsid w:val="00340750"/>
    <w:rsid w:val="00340B76"/>
    <w:rsid w:val="0034131F"/>
    <w:rsid w:val="003419AA"/>
    <w:rsid w:val="00342FE3"/>
    <w:rsid w:val="0034381C"/>
    <w:rsid w:val="00344197"/>
    <w:rsid w:val="0034443B"/>
    <w:rsid w:val="003449F4"/>
    <w:rsid w:val="0034531B"/>
    <w:rsid w:val="0034531D"/>
    <w:rsid w:val="003459C5"/>
    <w:rsid w:val="003466DB"/>
    <w:rsid w:val="003468B5"/>
    <w:rsid w:val="00346A47"/>
    <w:rsid w:val="0034762B"/>
    <w:rsid w:val="0035081C"/>
    <w:rsid w:val="00350D7A"/>
    <w:rsid w:val="00350F36"/>
    <w:rsid w:val="003510F8"/>
    <w:rsid w:val="003516B6"/>
    <w:rsid w:val="003516DB"/>
    <w:rsid w:val="003519FA"/>
    <w:rsid w:val="00351BFD"/>
    <w:rsid w:val="003521DE"/>
    <w:rsid w:val="00352552"/>
    <w:rsid w:val="003531C6"/>
    <w:rsid w:val="0035349A"/>
    <w:rsid w:val="003539AD"/>
    <w:rsid w:val="00353C40"/>
    <w:rsid w:val="00353EE8"/>
    <w:rsid w:val="00354081"/>
    <w:rsid w:val="00354B93"/>
    <w:rsid w:val="003553B8"/>
    <w:rsid w:val="00355967"/>
    <w:rsid w:val="003560E5"/>
    <w:rsid w:val="003567EB"/>
    <w:rsid w:val="00356CB7"/>
    <w:rsid w:val="003572EE"/>
    <w:rsid w:val="00357394"/>
    <w:rsid w:val="00357416"/>
    <w:rsid w:val="003575AD"/>
    <w:rsid w:val="00357689"/>
    <w:rsid w:val="003579A9"/>
    <w:rsid w:val="003579E3"/>
    <w:rsid w:val="00357ED4"/>
    <w:rsid w:val="0036078D"/>
    <w:rsid w:val="00360C6C"/>
    <w:rsid w:val="00361953"/>
    <w:rsid w:val="0036233A"/>
    <w:rsid w:val="00362FAD"/>
    <w:rsid w:val="003635DD"/>
    <w:rsid w:val="00363724"/>
    <w:rsid w:val="0036410D"/>
    <w:rsid w:val="00364264"/>
    <w:rsid w:val="0036494A"/>
    <w:rsid w:val="00365048"/>
    <w:rsid w:val="003651E6"/>
    <w:rsid w:val="003652A4"/>
    <w:rsid w:val="003654BA"/>
    <w:rsid w:val="00365C8F"/>
    <w:rsid w:val="00366063"/>
    <w:rsid w:val="00366685"/>
    <w:rsid w:val="003668DA"/>
    <w:rsid w:val="0036697C"/>
    <w:rsid w:val="003674FB"/>
    <w:rsid w:val="00367C3D"/>
    <w:rsid w:val="00370EBD"/>
    <w:rsid w:val="00371119"/>
    <w:rsid w:val="003715E5"/>
    <w:rsid w:val="00371EBC"/>
    <w:rsid w:val="00372031"/>
    <w:rsid w:val="00372DFB"/>
    <w:rsid w:val="0037319A"/>
    <w:rsid w:val="00373A99"/>
    <w:rsid w:val="00373BC1"/>
    <w:rsid w:val="00373C3B"/>
    <w:rsid w:val="00373DCE"/>
    <w:rsid w:val="00373E9C"/>
    <w:rsid w:val="0037427B"/>
    <w:rsid w:val="00374ABF"/>
    <w:rsid w:val="00374D9A"/>
    <w:rsid w:val="00374D9C"/>
    <w:rsid w:val="00375324"/>
    <w:rsid w:val="00375736"/>
    <w:rsid w:val="00375F0B"/>
    <w:rsid w:val="00376AFB"/>
    <w:rsid w:val="0037715F"/>
    <w:rsid w:val="00377213"/>
    <w:rsid w:val="0037725C"/>
    <w:rsid w:val="00377455"/>
    <w:rsid w:val="00377839"/>
    <w:rsid w:val="003779E6"/>
    <w:rsid w:val="003802CE"/>
    <w:rsid w:val="00380376"/>
    <w:rsid w:val="00380BE3"/>
    <w:rsid w:val="003810B3"/>
    <w:rsid w:val="003815F7"/>
    <w:rsid w:val="00381718"/>
    <w:rsid w:val="003819BE"/>
    <w:rsid w:val="00381DF7"/>
    <w:rsid w:val="00381E99"/>
    <w:rsid w:val="003823CF"/>
    <w:rsid w:val="0038246B"/>
    <w:rsid w:val="00382697"/>
    <w:rsid w:val="00383460"/>
    <w:rsid w:val="0038415E"/>
    <w:rsid w:val="003848BA"/>
    <w:rsid w:val="00384D4B"/>
    <w:rsid w:val="00384D75"/>
    <w:rsid w:val="00385594"/>
    <w:rsid w:val="00385BCC"/>
    <w:rsid w:val="00386071"/>
    <w:rsid w:val="0038640E"/>
    <w:rsid w:val="003875FF"/>
    <w:rsid w:val="003878B1"/>
    <w:rsid w:val="00390DDF"/>
    <w:rsid w:val="00392F29"/>
    <w:rsid w:val="0039525D"/>
    <w:rsid w:val="003953A1"/>
    <w:rsid w:val="003956C2"/>
    <w:rsid w:val="003958D6"/>
    <w:rsid w:val="00395E9D"/>
    <w:rsid w:val="00396010"/>
    <w:rsid w:val="003960DD"/>
    <w:rsid w:val="00396770"/>
    <w:rsid w:val="00396C6C"/>
    <w:rsid w:val="003977A8"/>
    <w:rsid w:val="0039786E"/>
    <w:rsid w:val="0039787E"/>
    <w:rsid w:val="003A00D6"/>
    <w:rsid w:val="003A00FA"/>
    <w:rsid w:val="003A0A62"/>
    <w:rsid w:val="003A0BDA"/>
    <w:rsid w:val="003A10EE"/>
    <w:rsid w:val="003A135C"/>
    <w:rsid w:val="003A1465"/>
    <w:rsid w:val="003A26FF"/>
    <w:rsid w:val="003A2D79"/>
    <w:rsid w:val="003A2E0E"/>
    <w:rsid w:val="003A3ABC"/>
    <w:rsid w:val="003A3C7B"/>
    <w:rsid w:val="003A4403"/>
    <w:rsid w:val="003A478F"/>
    <w:rsid w:val="003A4E82"/>
    <w:rsid w:val="003A5615"/>
    <w:rsid w:val="003A61F6"/>
    <w:rsid w:val="003A69E4"/>
    <w:rsid w:val="003A6BC1"/>
    <w:rsid w:val="003A6C9C"/>
    <w:rsid w:val="003A6FAF"/>
    <w:rsid w:val="003A752B"/>
    <w:rsid w:val="003B02D6"/>
    <w:rsid w:val="003B04BE"/>
    <w:rsid w:val="003B08FD"/>
    <w:rsid w:val="003B28E0"/>
    <w:rsid w:val="003B29DA"/>
    <w:rsid w:val="003B2E76"/>
    <w:rsid w:val="003B31DB"/>
    <w:rsid w:val="003B3DDF"/>
    <w:rsid w:val="003B44BC"/>
    <w:rsid w:val="003B571A"/>
    <w:rsid w:val="003B5E8C"/>
    <w:rsid w:val="003B691D"/>
    <w:rsid w:val="003B6ADD"/>
    <w:rsid w:val="003B732E"/>
    <w:rsid w:val="003B785A"/>
    <w:rsid w:val="003B7D2D"/>
    <w:rsid w:val="003C0F0F"/>
    <w:rsid w:val="003C18B2"/>
    <w:rsid w:val="003C1928"/>
    <w:rsid w:val="003C2C29"/>
    <w:rsid w:val="003C30D3"/>
    <w:rsid w:val="003C335F"/>
    <w:rsid w:val="003C385F"/>
    <w:rsid w:val="003C3D85"/>
    <w:rsid w:val="003C40C3"/>
    <w:rsid w:val="003C5AA9"/>
    <w:rsid w:val="003C5ED4"/>
    <w:rsid w:val="003C6B10"/>
    <w:rsid w:val="003C6D2A"/>
    <w:rsid w:val="003C6EDC"/>
    <w:rsid w:val="003C70C1"/>
    <w:rsid w:val="003C75C8"/>
    <w:rsid w:val="003C7615"/>
    <w:rsid w:val="003C7889"/>
    <w:rsid w:val="003D139D"/>
    <w:rsid w:val="003D16B0"/>
    <w:rsid w:val="003D18E5"/>
    <w:rsid w:val="003D1B3B"/>
    <w:rsid w:val="003D1FB6"/>
    <w:rsid w:val="003D27EA"/>
    <w:rsid w:val="003D3021"/>
    <w:rsid w:val="003D33B7"/>
    <w:rsid w:val="003D34E1"/>
    <w:rsid w:val="003D365E"/>
    <w:rsid w:val="003D40FD"/>
    <w:rsid w:val="003D5899"/>
    <w:rsid w:val="003D5E54"/>
    <w:rsid w:val="003D5FDD"/>
    <w:rsid w:val="003D6474"/>
    <w:rsid w:val="003D6476"/>
    <w:rsid w:val="003D692A"/>
    <w:rsid w:val="003D725F"/>
    <w:rsid w:val="003D73B9"/>
    <w:rsid w:val="003D7603"/>
    <w:rsid w:val="003D7A73"/>
    <w:rsid w:val="003D7D16"/>
    <w:rsid w:val="003D7FBD"/>
    <w:rsid w:val="003E0A10"/>
    <w:rsid w:val="003E1003"/>
    <w:rsid w:val="003E18A9"/>
    <w:rsid w:val="003E1D1F"/>
    <w:rsid w:val="003E2130"/>
    <w:rsid w:val="003E245E"/>
    <w:rsid w:val="003E2DE5"/>
    <w:rsid w:val="003E391A"/>
    <w:rsid w:val="003E4400"/>
    <w:rsid w:val="003E51DA"/>
    <w:rsid w:val="003E573B"/>
    <w:rsid w:val="003E6107"/>
    <w:rsid w:val="003E71FC"/>
    <w:rsid w:val="003E73D7"/>
    <w:rsid w:val="003E7BBC"/>
    <w:rsid w:val="003F0032"/>
    <w:rsid w:val="003F029A"/>
    <w:rsid w:val="003F039F"/>
    <w:rsid w:val="003F1523"/>
    <w:rsid w:val="003F2475"/>
    <w:rsid w:val="003F30DB"/>
    <w:rsid w:val="003F311B"/>
    <w:rsid w:val="003F3611"/>
    <w:rsid w:val="003F396C"/>
    <w:rsid w:val="003F4414"/>
    <w:rsid w:val="003F4491"/>
    <w:rsid w:val="003F4FDA"/>
    <w:rsid w:val="003F55F9"/>
    <w:rsid w:val="003F5F52"/>
    <w:rsid w:val="003F68AA"/>
    <w:rsid w:val="003F6E0C"/>
    <w:rsid w:val="003F6F0A"/>
    <w:rsid w:val="003F6FE9"/>
    <w:rsid w:val="003F7476"/>
    <w:rsid w:val="004001C8"/>
    <w:rsid w:val="00400203"/>
    <w:rsid w:val="0040025B"/>
    <w:rsid w:val="00400518"/>
    <w:rsid w:val="0040093C"/>
    <w:rsid w:val="00400BBC"/>
    <w:rsid w:val="00401BF2"/>
    <w:rsid w:val="00401EFF"/>
    <w:rsid w:val="00401FE0"/>
    <w:rsid w:val="00402024"/>
    <w:rsid w:val="0040235D"/>
    <w:rsid w:val="00402848"/>
    <w:rsid w:val="00402BDA"/>
    <w:rsid w:val="00402DAB"/>
    <w:rsid w:val="00403427"/>
    <w:rsid w:val="004039E1"/>
    <w:rsid w:val="00404063"/>
    <w:rsid w:val="004045C4"/>
    <w:rsid w:val="00404C91"/>
    <w:rsid w:val="00405076"/>
    <w:rsid w:val="00405413"/>
    <w:rsid w:val="00405DB0"/>
    <w:rsid w:val="00405E1E"/>
    <w:rsid w:val="00406000"/>
    <w:rsid w:val="004060B3"/>
    <w:rsid w:val="0040612E"/>
    <w:rsid w:val="004061BA"/>
    <w:rsid w:val="00406F38"/>
    <w:rsid w:val="00407608"/>
    <w:rsid w:val="00407B90"/>
    <w:rsid w:val="00410181"/>
    <w:rsid w:val="00411123"/>
    <w:rsid w:val="004111EF"/>
    <w:rsid w:val="00411A3B"/>
    <w:rsid w:val="00411A78"/>
    <w:rsid w:val="004123B5"/>
    <w:rsid w:val="004126BA"/>
    <w:rsid w:val="00412B46"/>
    <w:rsid w:val="00413A2C"/>
    <w:rsid w:val="00413C8A"/>
    <w:rsid w:val="0041519A"/>
    <w:rsid w:val="00415EDF"/>
    <w:rsid w:val="004170DE"/>
    <w:rsid w:val="004176E8"/>
    <w:rsid w:val="00417ABF"/>
    <w:rsid w:val="00420439"/>
    <w:rsid w:val="00420DE7"/>
    <w:rsid w:val="004218FD"/>
    <w:rsid w:val="00421BF1"/>
    <w:rsid w:val="00422604"/>
    <w:rsid w:val="00422BEE"/>
    <w:rsid w:val="00423100"/>
    <w:rsid w:val="0042345D"/>
    <w:rsid w:val="00423BAC"/>
    <w:rsid w:val="00423DAE"/>
    <w:rsid w:val="00424666"/>
    <w:rsid w:val="00424AB4"/>
    <w:rsid w:val="00424AEF"/>
    <w:rsid w:val="0042525C"/>
    <w:rsid w:val="004254A6"/>
    <w:rsid w:val="00425DF0"/>
    <w:rsid w:val="00426863"/>
    <w:rsid w:val="0042690F"/>
    <w:rsid w:val="00426BEC"/>
    <w:rsid w:val="00427301"/>
    <w:rsid w:val="00427E09"/>
    <w:rsid w:val="004302DE"/>
    <w:rsid w:val="00430666"/>
    <w:rsid w:val="004307F3"/>
    <w:rsid w:val="004308CB"/>
    <w:rsid w:val="00430B14"/>
    <w:rsid w:val="00430CFD"/>
    <w:rsid w:val="00430D28"/>
    <w:rsid w:val="00431054"/>
    <w:rsid w:val="00431860"/>
    <w:rsid w:val="00431F33"/>
    <w:rsid w:val="00432044"/>
    <w:rsid w:val="004322CF"/>
    <w:rsid w:val="00432C60"/>
    <w:rsid w:val="00433038"/>
    <w:rsid w:val="00433295"/>
    <w:rsid w:val="004335E7"/>
    <w:rsid w:val="0043370F"/>
    <w:rsid w:val="00433F78"/>
    <w:rsid w:val="0043473C"/>
    <w:rsid w:val="00434C2B"/>
    <w:rsid w:val="00434E6F"/>
    <w:rsid w:val="0043551F"/>
    <w:rsid w:val="00435ED3"/>
    <w:rsid w:val="004362C6"/>
    <w:rsid w:val="004367CA"/>
    <w:rsid w:val="00436EF8"/>
    <w:rsid w:val="00437045"/>
    <w:rsid w:val="004371AE"/>
    <w:rsid w:val="0043781B"/>
    <w:rsid w:val="0043798C"/>
    <w:rsid w:val="00440D0C"/>
    <w:rsid w:val="00440F51"/>
    <w:rsid w:val="004417E3"/>
    <w:rsid w:val="004418F1"/>
    <w:rsid w:val="00442610"/>
    <w:rsid w:val="0044266F"/>
    <w:rsid w:val="00443097"/>
    <w:rsid w:val="00443209"/>
    <w:rsid w:val="004433E2"/>
    <w:rsid w:val="00443750"/>
    <w:rsid w:val="0044537A"/>
    <w:rsid w:val="0044579D"/>
    <w:rsid w:val="0044594D"/>
    <w:rsid w:val="00445B89"/>
    <w:rsid w:val="00446F61"/>
    <w:rsid w:val="00447380"/>
    <w:rsid w:val="0044769C"/>
    <w:rsid w:val="00450305"/>
    <w:rsid w:val="00450E81"/>
    <w:rsid w:val="0045229D"/>
    <w:rsid w:val="0045238A"/>
    <w:rsid w:val="0045264A"/>
    <w:rsid w:val="0045284A"/>
    <w:rsid w:val="00452A35"/>
    <w:rsid w:val="00453064"/>
    <w:rsid w:val="0045515F"/>
    <w:rsid w:val="004552AC"/>
    <w:rsid w:val="004557EE"/>
    <w:rsid w:val="00455A0B"/>
    <w:rsid w:val="00455E26"/>
    <w:rsid w:val="0045652B"/>
    <w:rsid w:val="00456A3C"/>
    <w:rsid w:val="00456CC5"/>
    <w:rsid w:val="00457690"/>
    <w:rsid w:val="00457AD9"/>
    <w:rsid w:val="00460F29"/>
    <w:rsid w:val="0046138B"/>
    <w:rsid w:val="004613F9"/>
    <w:rsid w:val="00461CA7"/>
    <w:rsid w:val="00462394"/>
    <w:rsid w:val="004629E1"/>
    <w:rsid w:val="00462EC9"/>
    <w:rsid w:val="004634D4"/>
    <w:rsid w:val="004636AD"/>
    <w:rsid w:val="004639E1"/>
    <w:rsid w:val="0046411D"/>
    <w:rsid w:val="00464718"/>
    <w:rsid w:val="00464D2E"/>
    <w:rsid w:val="0046502C"/>
    <w:rsid w:val="00465067"/>
    <w:rsid w:val="004654BE"/>
    <w:rsid w:val="00465960"/>
    <w:rsid w:val="004660A5"/>
    <w:rsid w:val="00466DA1"/>
    <w:rsid w:val="00467D21"/>
    <w:rsid w:val="00470023"/>
    <w:rsid w:val="0047005E"/>
    <w:rsid w:val="004719F5"/>
    <w:rsid w:val="00472D03"/>
    <w:rsid w:val="00474013"/>
    <w:rsid w:val="0047527A"/>
    <w:rsid w:val="00475F6F"/>
    <w:rsid w:val="0047613E"/>
    <w:rsid w:val="00477A0B"/>
    <w:rsid w:val="00480327"/>
    <w:rsid w:val="0048092E"/>
    <w:rsid w:val="00480D86"/>
    <w:rsid w:val="00481402"/>
    <w:rsid w:val="00481412"/>
    <w:rsid w:val="004816A8"/>
    <w:rsid w:val="004816FC"/>
    <w:rsid w:val="00482437"/>
    <w:rsid w:val="00482688"/>
    <w:rsid w:val="00482780"/>
    <w:rsid w:val="00482D23"/>
    <w:rsid w:val="004835B0"/>
    <w:rsid w:val="00484278"/>
    <w:rsid w:val="0048427F"/>
    <w:rsid w:val="00484BA4"/>
    <w:rsid w:val="00484D91"/>
    <w:rsid w:val="00484EC8"/>
    <w:rsid w:val="004850E6"/>
    <w:rsid w:val="004853C7"/>
    <w:rsid w:val="004861CD"/>
    <w:rsid w:val="004863D7"/>
    <w:rsid w:val="004871D2"/>
    <w:rsid w:val="004911D7"/>
    <w:rsid w:val="0049152C"/>
    <w:rsid w:val="00491E5B"/>
    <w:rsid w:val="00493032"/>
    <w:rsid w:val="004940D6"/>
    <w:rsid w:val="00494534"/>
    <w:rsid w:val="004948F1"/>
    <w:rsid w:val="00495BA2"/>
    <w:rsid w:val="004967A5"/>
    <w:rsid w:val="00496B2B"/>
    <w:rsid w:val="0049709D"/>
    <w:rsid w:val="004A022A"/>
    <w:rsid w:val="004A0C20"/>
    <w:rsid w:val="004A11DB"/>
    <w:rsid w:val="004A14EC"/>
    <w:rsid w:val="004A1BC3"/>
    <w:rsid w:val="004A1C41"/>
    <w:rsid w:val="004A1D3C"/>
    <w:rsid w:val="004A23AA"/>
    <w:rsid w:val="004A2675"/>
    <w:rsid w:val="004A2C79"/>
    <w:rsid w:val="004A34E6"/>
    <w:rsid w:val="004A40BD"/>
    <w:rsid w:val="004A4DD7"/>
    <w:rsid w:val="004A59C8"/>
    <w:rsid w:val="004A66E1"/>
    <w:rsid w:val="004A67CF"/>
    <w:rsid w:val="004A717A"/>
    <w:rsid w:val="004A7878"/>
    <w:rsid w:val="004B0108"/>
    <w:rsid w:val="004B0685"/>
    <w:rsid w:val="004B0734"/>
    <w:rsid w:val="004B099D"/>
    <w:rsid w:val="004B2216"/>
    <w:rsid w:val="004B2C47"/>
    <w:rsid w:val="004B3108"/>
    <w:rsid w:val="004B3160"/>
    <w:rsid w:val="004B322B"/>
    <w:rsid w:val="004B3EC7"/>
    <w:rsid w:val="004B4026"/>
    <w:rsid w:val="004B4445"/>
    <w:rsid w:val="004B4634"/>
    <w:rsid w:val="004B49F2"/>
    <w:rsid w:val="004B578D"/>
    <w:rsid w:val="004B608B"/>
    <w:rsid w:val="004B657F"/>
    <w:rsid w:val="004B66C9"/>
    <w:rsid w:val="004B6762"/>
    <w:rsid w:val="004B676D"/>
    <w:rsid w:val="004B6AD6"/>
    <w:rsid w:val="004B6C94"/>
    <w:rsid w:val="004B6E77"/>
    <w:rsid w:val="004B76E4"/>
    <w:rsid w:val="004B7746"/>
    <w:rsid w:val="004B7919"/>
    <w:rsid w:val="004C0251"/>
    <w:rsid w:val="004C14AC"/>
    <w:rsid w:val="004C2CB5"/>
    <w:rsid w:val="004C470D"/>
    <w:rsid w:val="004C4E1B"/>
    <w:rsid w:val="004C5090"/>
    <w:rsid w:val="004C5164"/>
    <w:rsid w:val="004C581D"/>
    <w:rsid w:val="004C5C66"/>
    <w:rsid w:val="004C5DA0"/>
    <w:rsid w:val="004C6581"/>
    <w:rsid w:val="004C6694"/>
    <w:rsid w:val="004C6C53"/>
    <w:rsid w:val="004C748E"/>
    <w:rsid w:val="004C7FD6"/>
    <w:rsid w:val="004D006C"/>
    <w:rsid w:val="004D1161"/>
    <w:rsid w:val="004D128B"/>
    <w:rsid w:val="004D1745"/>
    <w:rsid w:val="004D22A9"/>
    <w:rsid w:val="004D2355"/>
    <w:rsid w:val="004D2647"/>
    <w:rsid w:val="004D285E"/>
    <w:rsid w:val="004D296F"/>
    <w:rsid w:val="004D482A"/>
    <w:rsid w:val="004D54BD"/>
    <w:rsid w:val="004D567B"/>
    <w:rsid w:val="004D570C"/>
    <w:rsid w:val="004D5E37"/>
    <w:rsid w:val="004D5E3D"/>
    <w:rsid w:val="004D6486"/>
    <w:rsid w:val="004E0B21"/>
    <w:rsid w:val="004E0C36"/>
    <w:rsid w:val="004E1003"/>
    <w:rsid w:val="004E1189"/>
    <w:rsid w:val="004E16E0"/>
    <w:rsid w:val="004E1D06"/>
    <w:rsid w:val="004E231A"/>
    <w:rsid w:val="004E2391"/>
    <w:rsid w:val="004E2404"/>
    <w:rsid w:val="004E24C9"/>
    <w:rsid w:val="004E28CF"/>
    <w:rsid w:val="004E2AFD"/>
    <w:rsid w:val="004E3076"/>
    <w:rsid w:val="004E342C"/>
    <w:rsid w:val="004E41B8"/>
    <w:rsid w:val="004E466C"/>
    <w:rsid w:val="004E47EF"/>
    <w:rsid w:val="004E48DE"/>
    <w:rsid w:val="004E4A86"/>
    <w:rsid w:val="004E5243"/>
    <w:rsid w:val="004E5A2B"/>
    <w:rsid w:val="004E67C0"/>
    <w:rsid w:val="004E700E"/>
    <w:rsid w:val="004E7183"/>
    <w:rsid w:val="004E7E24"/>
    <w:rsid w:val="004F0AD2"/>
    <w:rsid w:val="004F0B79"/>
    <w:rsid w:val="004F386A"/>
    <w:rsid w:val="004F40C2"/>
    <w:rsid w:val="004F43F3"/>
    <w:rsid w:val="004F47E4"/>
    <w:rsid w:val="004F4E70"/>
    <w:rsid w:val="004F549A"/>
    <w:rsid w:val="004F570E"/>
    <w:rsid w:val="004F5793"/>
    <w:rsid w:val="004F5B37"/>
    <w:rsid w:val="004F5BC1"/>
    <w:rsid w:val="004F5DA6"/>
    <w:rsid w:val="004F6384"/>
    <w:rsid w:val="004F6C3C"/>
    <w:rsid w:val="004F6E4D"/>
    <w:rsid w:val="004F719C"/>
    <w:rsid w:val="004F74AC"/>
    <w:rsid w:val="004F79A2"/>
    <w:rsid w:val="004F79E9"/>
    <w:rsid w:val="005009BD"/>
    <w:rsid w:val="00501467"/>
    <w:rsid w:val="005014A3"/>
    <w:rsid w:val="0050208D"/>
    <w:rsid w:val="00502937"/>
    <w:rsid w:val="00502A25"/>
    <w:rsid w:val="00502CD0"/>
    <w:rsid w:val="005035FD"/>
    <w:rsid w:val="00503624"/>
    <w:rsid w:val="005039A9"/>
    <w:rsid w:val="00503E51"/>
    <w:rsid w:val="005047D7"/>
    <w:rsid w:val="005048BB"/>
    <w:rsid w:val="00504B6A"/>
    <w:rsid w:val="0050595B"/>
    <w:rsid w:val="005059D1"/>
    <w:rsid w:val="00506B8B"/>
    <w:rsid w:val="00506BA2"/>
    <w:rsid w:val="00507E4B"/>
    <w:rsid w:val="00510245"/>
    <w:rsid w:val="005102D8"/>
    <w:rsid w:val="005110CF"/>
    <w:rsid w:val="00511163"/>
    <w:rsid w:val="005124DD"/>
    <w:rsid w:val="005126FC"/>
    <w:rsid w:val="005127D9"/>
    <w:rsid w:val="005128D8"/>
    <w:rsid w:val="00512A39"/>
    <w:rsid w:val="00513297"/>
    <w:rsid w:val="00513AFE"/>
    <w:rsid w:val="00515146"/>
    <w:rsid w:val="00515234"/>
    <w:rsid w:val="00515585"/>
    <w:rsid w:val="00515B6A"/>
    <w:rsid w:val="0051607B"/>
    <w:rsid w:val="005161BA"/>
    <w:rsid w:val="00516C2D"/>
    <w:rsid w:val="00516FD6"/>
    <w:rsid w:val="0052071E"/>
    <w:rsid w:val="00520ED7"/>
    <w:rsid w:val="00520F12"/>
    <w:rsid w:val="00521D5B"/>
    <w:rsid w:val="00521F78"/>
    <w:rsid w:val="005222F2"/>
    <w:rsid w:val="00522453"/>
    <w:rsid w:val="00522A4F"/>
    <w:rsid w:val="00522F4C"/>
    <w:rsid w:val="005234CC"/>
    <w:rsid w:val="00524D23"/>
    <w:rsid w:val="0052518C"/>
    <w:rsid w:val="0052534E"/>
    <w:rsid w:val="00525793"/>
    <w:rsid w:val="00525C23"/>
    <w:rsid w:val="00525DE4"/>
    <w:rsid w:val="00525F04"/>
    <w:rsid w:val="005261A0"/>
    <w:rsid w:val="0052677F"/>
    <w:rsid w:val="00526C38"/>
    <w:rsid w:val="00527367"/>
    <w:rsid w:val="00527696"/>
    <w:rsid w:val="005276F3"/>
    <w:rsid w:val="00527A3A"/>
    <w:rsid w:val="00527C54"/>
    <w:rsid w:val="00527F01"/>
    <w:rsid w:val="0053005F"/>
    <w:rsid w:val="0053025B"/>
    <w:rsid w:val="00530DA3"/>
    <w:rsid w:val="00531AAF"/>
    <w:rsid w:val="00531B68"/>
    <w:rsid w:val="00532088"/>
    <w:rsid w:val="005330B3"/>
    <w:rsid w:val="005338FD"/>
    <w:rsid w:val="00533B31"/>
    <w:rsid w:val="00534170"/>
    <w:rsid w:val="005347D8"/>
    <w:rsid w:val="005351D6"/>
    <w:rsid w:val="0053633E"/>
    <w:rsid w:val="005365FB"/>
    <w:rsid w:val="00536674"/>
    <w:rsid w:val="005368C3"/>
    <w:rsid w:val="00536AE3"/>
    <w:rsid w:val="005374C9"/>
    <w:rsid w:val="005379AA"/>
    <w:rsid w:val="00537A04"/>
    <w:rsid w:val="00540007"/>
    <w:rsid w:val="0054051E"/>
    <w:rsid w:val="005409E7"/>
    <w:rsid w:val="00540E7E"/>
    <w:rsid w:val="005410BB"/>
    <w:rsid w:val="00541196"/>
    <w:rsid w:val="005411D7"/>
    <w:rsid w:val="005413EA"/>
    <w:rsid w:val="00541631"/>
    <w:rsid w:val="00541841"/>
    <w:rsid w:val="00542043"/>
    <w:rsid w:val="0054277D"/>
    <w:rsid w:val="005429D3"/>
    <w:rsid w:val="00542CB2"/>
    <w:rsid w:val="005430F9"/>
    <w:rsid w:val="00543A20"/>
    <w:rsid w:val="00544097"/>
    <w:rsid w:val="0054417A"/>
    <w:rsid w:val="005441F5"/>
    <w:rsid w:val="0054420E"/>
    <w:rsid w:val="00544885"/>
    <w:rsid w:val="005449CA"/>
    <w:rsid w:val="00544B03"/>
    <w:rsid w:val="005451A9"/>
    <w:rsid w:val="00545C8C"/>
    <w:rsid w:val="00545FB3"/>
    <w:rsid w:val="00547848"/>
    <w:rsid w:val="00547A11"/>
    <w:rsid w:val="00547D4E"/>
    <w:rsid w:val="00547E08"/>
    <w:rsid w:val="00550220"/>
    <w:rsid w:val="00550AE9"/>
    <w:rsid w:val="00551570"/>
    <w:rsid w:val="00551A0A"/>
    <w:rsid w:val="00551CA7"/>
    <w:rsid w:val="0055200E"/>
    <w:rsid w:val="005520BF"/>
    <w:rsid w:val="00553448"/>
    <w:rsid w:val="00553F80"/>
    <w:rsid w:val="00554CC9"/>
    <w:rsid w:val="00554FCD"/>
    <w:rsid w:val="00555283"/>
    <w:rsid w:val="005567B6"/>
    <w:rsid w:val="005568AC"/>
    <w:rsid w:val="00556963"/>
    <w:rsid w:val="00556BFE"/>
    <w:rsid w:val="00556D0A"/>
    <w:rsid w:val="005574BB"/>
    <w:rsid w:val="005610BD"/>
    <w:rsid w:val="0056154F"/>
    <w:rsid w:val="00562290"/>
    <w:rsid w:val="005628B1"/>
    <w:rsid w:val="00563369"/>
    <w:rsid w:val="00563824"/>
    <w:rsid w:val="00563DE5"/>
    <w:rsid w:val="0056475E"/>
    <w:rsid w:val="005650D6"/>
    <w:rsid w:val="00565296"/>
    <w:rsid w:val="005655AA"/>
    <w:rsid w:val="00565F50"/>
    <w:rsid w:val="005661BE"/>
    <w:rsid w:val="005661F5"/>
    <w:rsid w:val="0056624F"/>
    <w:rsid w:val="00566E0E"/>
    <w:rsid w:val="0056756C"/>
    <w:rsid w:val="00567702"/>
    <w:rsid w:val="0056776B"/>
    <w:rsid w:val="00567A15"/>
    <w:rsid w:val="00567B4F"/>
    <w:rsid w:val="00567D41"/>
    <w:rsid w:val="0057004D"/>
    <w:rsid w:val="00570836"/>
    <w:rsid w:val="00572542"/>
    <w:rsid w:val="00572AA9"/>
    <w:rsid w:val="00572B49"/>
    <w:rsid w:val="00572F56"/>
    <w:rsid w:val="00573904"/>
    <w:rsid w:val="0057481D"/>
    <w:rsid w:val="00574A50"/>
    <w:rsid w:val="00574CA6"/>
    <w:rsid w:val="005758E8"/>
    <w:rsid w:val="0057603B"/>
    <w:rsid w:val="0057620B"/>
    <w:rsid w:val="00576B1B"/>
    <w:rsid w:val="00576CC1"/>
    <w:rsid w:val="00576ECB"/>
    <w:rsid w:val="0057737C"/>
    <w:rsid w:val="005779A4"/>
    <w:rsid w:val="00577B05"/>
    <w:rsid w:val="00577BBB"/>
    <w:rsid w:val="005800F3"/>
    <w:rsid w:val="00580365"/>
    <w:rsid w:val="005803B7"/>
    <w:rsid w:val="00580506"/>
    <w:rsid w:val="005805CD"/>
    <w:rsid w:val="00581FFF"/>
    <w:rsid w:val="0058208F"/>
    <w:rsid w:val="005820EE"/>
    <w:rsid w:val="00582533"/>
    <w:rsid w:val="00583459"/>
    <w:rsid w:val="005835D0"/>
    <w:rsid w:val="00584529"/>
    <w:rsid w:val="00585321"/>
    <w:rsid w:val="0058538A"/>
    <w:rsid w:val="00585C42"/>
    <w:rsid w:val="0058612C"/>
    <w:rsid w:val="005862CB"/>
    <w:rsid w:val="00586D72"/>
    <w:rsid w:val="0058754D"/>
    <w:rsid w:val="00587B8D"/>
    <w:rsid w:val="0059004E"/>
    <w:rsid w:val="00590AA9"/>
    <w:rsid w:val="00591FB2"/>
    <w:rsid w:val="005920F6"/>
    <w:rsid w:val="005921C7"/>
    <w:rsid w:val="00592800"/>
    <w:rsid w:val="0059343B"/>
    <w:rsid w:val="00593C2C"/>
    <w:rsid w:val="00593E40"/>
    <w:rsid w:val="00594054"/>
    <w:rsid w:val="005941FF"/>
    <w:rsid w:val="00594CC9"/>
    <w:rsid w:val="00594F46"/>
    <w:rsid w:val="005958C8"/>
    <w:rsid w:val="00595B26"/>
    <w:rsid w:val="00595F2E"/>
    <w:rsid w:val="0059730C"/>
    <w:rsid w:val="005A0426"/>
    <w:rsid w:val="005A0481"/>
    <w:rsid w:val="005A0A4B"/>
    <w:rsid w:val="005A0A96"/>
    <w:rsid w:val="005A0F46"/>
    <w:rsid w:val="005A17ED"/>
    <w:rsid w:val="005A1C94"/>
    <w:rsid w:val="005A2344"/>
    <w:rsid w:val="005A299C"/>
    <w:rsid w:val="005A2BAA"/>
    <w:rsid w:val="005A2E1B"/>
    <w:rsid w:val="005A3528"/>
    <w:rsid w:val="005A3D28"/>
    <w:rsid w:val="005A4465"/>
    <w:rsid w:val="005A4D0A"/>
    <w:rsid w:val="005A5952"/>
    <w:rsid w:val="005A6101"/>
    <w:rsid w:val="005A6492"/>
    <w:rsid w:val="005A64B8"/>
    <w:rsid w:val="005A66A4"/>
    <w:rsid w:val="005A6F2C"/>
    <w:rsid w:val="005A7475"/>
    <w:rsid w:val="005B095B"/>
    <w:rsid w:val="005B0E93"/>
    <w:rsid w:val="005B1169"/>
    <w:rsid w:val="005B12D3"/>
    <w:rsid w:val="005B21F7"/>
    <w:rsid w:val="005B26EE"/>
    <w:rsid w:val="005B316A"/>
    <w:rsid w:val="005B3576"/>
    <w:rsid w:val="005B50C2"/>
    <w:rsid w:val="005B5487"/>
    <w:rsid w:val="005B6110"/>
    <w:rsid w:val="005B62CC"/>
    <w:rsid w:val="005B6554"/>
    <w:rsid w:val="005B695A"/>
    <w:rsid w:val="005B6EA9"/>
    <w:rsid w:val="005B6EB0"/>
    <w:rsid w:val="005B6ECA"/>
    <w:rsid w:val="005B6EE9"/>
    <w:rsid w:val="005B77A8"/>
    <w:rsid w:val="005C1455"/>
    <w:rsid w:val="005C148C"/>
    <w:rsid w:val="005C1756"/>
    <w:rsid w:val="005C1E3E"/>
    <w:rsid w:val="005C1EDF"/>
    <w:rsid w:val="005C41B6"/>
    <w:rsid w:val="005C42CA"/>
    <w:rsid w:val="005C4474"/>
    <w:rsid w:val="005C4835"/>
    <w:rsid w:val="005C4C0D"/>
    <w:rsid w:val="005C517E"/>
    <w:rsid w:val="005C54F5"/>
    <w:rsid w:val="005C576A"/>
    <w:rsid w:val="005C592C"/>
    <w:rsid w:val="005C5D2E"/>
    <w:rsid w:val="005C61E8"/>
    <w:rsid w:val="005C6C56"/>
    <w:rsid w:val="005C70FE"/>
    <w:rsid w:val="005C7516"/>
    <w:rsid w:val="005D01A0"/>
    <w:rsid w:val="005D0888"/>
    <w:rsid w:val="005D0C69"/>
    <w:rsid w:val="005D1463"/>
    <w:rsid w:val="005D16F4"/>
    <w:rsid w:val="005D1932"/>
    <w:rsid w:val="005D2713"/>
    <w:rsid w:val="005D3375"/>
    <w:rsid w:val="005D389F"/>
    <w:rsid w:val="005D3D18"/>
    <w:rsid w:val="005D3E8E"/>
    <w:rsid w:val="005D4D14"/>
    <w:rsid w:val="005D4EB1"/>
    <w:rsid w:val="005D5065"/>
    <w:rsid w:val="005D50F3"/>
    <w:rsid w:val="005D525E"/>
    <w:rsid w:val="005D567C"/>
    <w:rsid w:val="005D595B"/>
    <w:rsid w:val="005D5ACB"/>
    <w:rsid w:val="005D67B1"/>
    <w:rsid w:val="005D6993"/>
    <w:rsid w:val="005D6B80"/>
    <w:rsid w:val="005D6E32"/>
    <w:rsid w:val="005D726A"/>
    <w:rsid w:val="005D7C04"/>
    <w:rsid w:val="005E09CC"/>
    <w:rsid w:val="005E0A06"/>
    <w:rsid w:val="005E1181"/>
    <w:rsid w:val="005E1529"/>
    <w:rsid w:val="005E1E24"/>
    <w:rsid w:val="005E27C6"/>
    <w:rsid w:val="005E2932"/>
    <w:rsid w:val="005E2CA4"/>
    <w:rsid w:val="005E3400"/>
    <w:rsid w:val="005E34A3"/>
    <w:rsid w:val="005E3BDD"/>
    <w:rsid w:val="005E3E8F"/>
    <w:rsid w:val="005E449A"/>
    <w:rsid w:val="005E479F"/>
    <w:rsid w:val="005E50BD"/>
    <w:rsid w:val="005E627D"/>
    <w:rsid w:val="005E6559"/>
    <w:rsid w:val="005E6632"/>
    <w:rsid w:val="005E6C2C"/>
    <w:rsid w:val="005E6EE5"/>
    <w:rsid w:val="005E70F1"/>
    <w:rsid w:val="005E7137"/>
    <w:rsid w:val="005E76F3"/>
    <w:rsid w:val="005E7821"/>
    <w:rsid w:val="005E7FBF"/>
    <w:rsid w:val="005F0426"/>
    <w:rsid w:val="005F0DDD"/>
    <w:rsid w:val="005F0E19"/>
    <w:rsid w:val="005F151F"/>
    <w:rsid w:val="005F15C3"/>
    <w:rsid w:val="005F1FC8"/>
    <w:rsid w:val="005F2B7C"/>
    <w:rsid w:val="005F324B"/>
    <w:rsid w:val="005F33D8"/>
    <w:rsid w:val="005F37F1"/>
    <w:rsid w:val="005F3CF0"/>
    <w:rsid w:val="005F43B4"/>
    <w:rsid w:val="005F458F"/>
    <w:rsid w:val="005F552E"/>
    <w:rsid w:val="005F566A"/>
    <w:rsid w:val="005F56FA"/>
    <w:rsid w:val="005F62CA"/>
    <w:rsid w:val="005F6953"/>
    <w:rsid w:val="005F6CF4"/>
    <w:rsid w:val="005F70F0"/>
    <w:rsid w:val="005F775A"/>
    <w:rsid w:val="005F7A6C"/>
    <w:rsid w:val="00600296"/>
    <w:rsid w:val="0060127F"/>
    <w:rsid w:val="00601429"/>
    <w:rsid w:val="00601730"/>
    <w:rsid w:val="0060312E"/>
    <w:rsid w:val="00603A85"/>
    <w:rsid w:val="00603ADE"/>
    <w:rsid w:val="00603D8A"/>
    <w:rsid w:val="00604B41"/>
    <w:rsid w:val="00605093"/>
    <w:rsid w:val="006051E2"/>
    <w:rsid w:val="00605381"/>
    <w:rsid w:val="00605BF9"/>
    <w:rsid w:val="0060627C"/>
    <w:rsid w:val="006063D4"/>
    <w:rsid w:val="00606A87"/>
    <w:rsid w:val="00606BD2"/>
    <w:rsid w:val="006077BF"/>
    <w:rsid w:val="006077FB"/>
    <w:rsid w:val="00607839"/>
    <w:rsid w:val="006079B5"/>
    <w:rsid w:val="0061090E"/>
    <w:rsid w:val="00610AEB"/>
    <w:rsid w:val="00610FD3"/>
    <w:rsid w:val="00611540"/>
    <w:rsid w:val="00611722"/>
    <w:rsid w:val="00612205"/>
    <w:rsid w:val="0061224A"/>
    <w:rsid w:val="0061290A"/>
    <w:rsid w:val="00612EB1"/>
    <w:rsid w:val="0061335E"/>
    <w:rsid w:val="006136E0"/>
    <w:rsid w:val="00613B9C"/>
    <w:rsid w:val="00613DAE"/>
    <w:rsid w:val="00614191"/>
    <w:rsid w:val="00614513"/>
    <w:rsid w:val="006145E5"/>
    <w:rsid w:val="00614D4C"/>
    <w:rsid w:val="00614F0F"/>
    <w:rsid w:val="006150CF"/>
    <w:rsid w:val="006151C0"/>
    <w:rsid w:val="006153D1"/>
    <w:rsid w:val="00615E1C"/>
    <w:rsid w:val="00616336"/>
    <w:rsid w:val="00616CEE"/>
    <w:rsid w:val="006177CA"/>
    <w:rsid w:val="00617B5A"/>
    <w:rsid w:val="00617C79"/>
    <w:rsid w:val="00620DEB"/>
    <w:rsid w:val="0062140B"/>
    <w:rsid w:val="006214DC"/>
    <w:rsid w:val="00621521"/>
    <w:rsid w:val="00621779"/>
    <w:rsid w:val="00621B7D"/>
    <w:rsid w:val="006223D1"/>
    <w:rsid w:val="006224D5"/>
    <w:rsid w:val="00622C85"/>
    <w:rsid w:val="006239C7"/>
    <w:rsid w:val="00624540"/>
    <w:rsid w:val="0062474C"/>
    <w:rsid w:val="0062484D"/>
    <w:rsid w:val="0062499A"/>
    <w:rsid w:val="00624E7B"/>
    <w:rsid w:val="0062506B"/>
    <w:rsid w:val="00626449"/>
    <w:rsid w:val="00626EBD"/>
    <w:rsid w:val="006305F2"/>
    <w:rsid w:val="00630728"/>
    <w:rsid w:val="00630E54"/>
    <w:rsid w:val="00630F07"/>
    <w:rsid w:val="00631105"/>
    <w:rsid w:val="00631113"/>
    <w:rsid w:val="00631483"/>
    <w:rsid w:val="00631621"/>
    <w:rsid w:val="0063489D"/>
    <w:rsid w:val="00635198"/>
    <w:rsid w:val="00635B71"/>
    <w:rsid w:val="00635DD8"/>
    <w:rsid w:val="00636E7B"/>
    <w:rsid w:val="00637130"/>
    <w:rsid w:val="00637FC2"/>
    <w:rsid w:val="00640312"/>
    <w:rsid w:val="00640E6D"/>
    <w:rsid w:val="0064119F"/>
    <w:rsid w:val="00641A7A"/>
    <w:rsid w:val="00642600"/>
    <w:rsid w:val="00642945"/>
    <w:rsid w:val="00642F76"/>
    <w:rsid w:val="006435C9"/>
    <w:rsid w:val="006439FE"/>
    <w:rsid w:val="00644FCD"/>
    <w:rsid w:val="006456C8"/>
    <w:rsid w:val="00645966"/>
    <w:rsid w:val="00645EA7"/>
    <w:rsid w:val="00646193"/>
    <w:rsid w:val="00647C0B"/>
    <w:rsid w:val="0065058B"/>
    <w:rsid w:val="00651115"/>
    <w:rsid w:val="0065260F"/>
    <w:rsid w:val="0065283E"/>
    <w:rsid w:val="00653129"/>
    <w:rsid w:val="006535AB"/>
    <w:rsid w:val="00654197"/>
    <w:rsid w:val="00654CB6"/>
    <w:rsid w:val="00655AAF"/>
    <w:rsid w:val="00656322"/>
    <w:rsid w:val="006564EE"/>
    <w:rsid w:val="00656E73"/>
    <w:rsid w:val="006570C5"/>
    <w:rsid w:val="006570EF"/>
    <w:rsid w:val="00657406"/>
    <w:rsid w:val="00657439"/>
    <w:rsid w:val="0066076A"/>
    <w:rsid w:val="00660A6D"/>
    <w:rsid w:val="00660DAE"/>
    <w:rsid w:val="00660E66"/>
    <w:rsid w:val="006616C2"/>
    <w:rsid w:val="00661A3A"/>
    <w:rsid w:val="00661BB6"/>
    <w:rsid w:val="00661D5C"/>
    <w:rsid w:val="00661DCF"/>
    <w:rsid w:val="00661EE4"/>
    <w:rsid w:val="0066236F"/>
    <w:rsid w:val="0066266F"/>
    <w:rsid w:val="00662BFD"/>
    <w:rsid w:val="00662DB5"/>
    <w:rsid w:val="00662EE4"/>
    <w:rsid w:val="0066336B"/>
    <w:rsid w:val="00663B34"/>
    <w:rsid w:val="00663EF2"/>
    <w:rsid w:val="00663F21"/>
    <w:rsid w:val="006640F5"/>
    <w:rsid w:val="0066559E"/>
    <w:rsid w:val="00665815"/>
    <w:rsid w:val="006658F3"/>
    <w:rsid w:val="00666219"/>
    <w:rsid w:val="00666F41"/>
    <w:rsid w:val="006677A2"/>
    <w:rsid w:val="00667D8F"/>
    <w:rsid w:val="00667ECA"/>
    <w:rsid w:val="0067015F"/>
    <w:rsid w:val="0067054C"/>
    <w:rsid w:val="006708F4"/>
    <w:rsid w:val="00670ABE"/>
    <w:rsid w:val="00670D22"/>
    <w:rsid w:val="00670DDA"/>
    <w:rsid w:val="00670FD2"/>
    <w:rsid w:val="006711E3"/>
    <w:rsid w:val="0067163D"/>
    <w:rsid w:val="00672866"/>
    <w:rsid w:val="00673182"/>
    <w:rsid w:val="006737E1"/>
    <w:rsid w:val="00674399"/>
    <w:rsid w:val="00674B30"/>
    <w:rsid w:val="00674F5D"/>
    <w:rsid w:val="0067548D"/>
    <w:rsid w:val="006754ED"/>
    <w:rsid w:val="00675EE9"/>
    <w:rsid w:val="0067681D"/>
    <w:rsid w:val="006768EF"/>
    <w:rsid w:val="00676E19"/>
    <w:rsid w:val="006779B7"/>
    <w:rsid w:val="00680370"/>
    <w:rsid w:val="00680BE2"/>
    <w:rsid w:val="006811DB"/>
    <w:rsid w:val="00681565"/>
    <w:rsid w:val="006826D8"/>
    <w:rsid w:val="00682E82"/>
    <w:rsid w:val="00683CBE"/>
    <w:rsid w:val="00684052"/>
    <w:rsid w:val="006842F0"/>
    <w:rsid w:val="00685307"/>
    <w:rsid w:val="006853F2"/>
    <w:rsid w:val="006864E5"/>
    <w:rsid w:val="006866D0"/>
    <w:rsid w:val="00686A21"/>
    <w:rsid w:val="00686AF1"/>
    <w:rsid w:val="00686BAF"/>
    <w:rsid w:val="00686E90"/>
    <w:rsid w:val="00690933"/>
    <w:rsid w:val="00690E96"/>
    <w:rsid w:val="00691335"/>
    <w:rsid w:val="00691604"/>
    <w:rsid w:val="00691D38"/>
    <w:rsid w:val="006923BA"/>
    <w:rsid w:val="0069451A"/>
    <w:rsid w:val="006946C7"/>
    <w:rsid w:val="00694875"/>
    <w:rsid w:val="00694A7E"/>
    <w:rsid w:val="00694B28"/>
    <w:rsid w:val="00694FB4"/>
    <w:rsid w:val="006953A2"/>
    <w:rsid w:val="00695639"/>
    <w:rsid w:val="00695782"/>
    <w:rsid w:val="006957BE"/>
    <w:rsid w:val="006964BA"/>
    <w:rsid w:val="006978E8"/>
    <w:rsid w:val="00697FD6"/>
    <w:rsid w:val="006A0D55"/>
    <w:rsid w:val="006A12AA"/>
    <w:rsid w:val="006A1A46"/>
    <w:rsid w:val="006A1AAB"/>
    <w:rsid w:val="006A1F3A"/>
    <w:rsid w:val="006A2201"/>
    <w:rsid w:val="006A237B"/>
    <w:rsid w:val="006A3812"/>
    <w:rsid w:val="006A3B92"/>
    <w:rsid w:val="006A3F70"/>
    <w:rsid w:val="006A3FA6"/>
    <w:rsid w:val="006A3FBB"/>
    <w:rsid w:val="006A401F"/>
    <w:rsid w:val="006A4512"/>
    <w:rsid w:val="006A5407"/>
    <w:rsid w:val="006A551F"/>
    <w:rsid w:val="006A5CB2"/>
    <w:rsid w:val="006A5E82"/>
    <w:rsid w:val="006A6045"/>
    <w:rsid w:val="006A7B14"/>
    <w:rsid w:val="006B0337"/>
    <w:rsid w:val="006B0B1B"/>
    <w:rsid w:val="006B0F5A"/>
    <w:rsid w:val="006B1C28"/>
    <w:rsid w:val="006B2725"/>
    <w:rsid w:val="006B399F"/>
    <w:rsid w:val="006B4005"/>
    <w:rsid w:val="006B4272"/>
    <w:rsid w:val="006B4FCD"/>
    <w:rsid w:val="006B576A"/>
    <w:rsid w:val="006B5BE9"/>
    <w:rsid w:val="006B6231"/>
    <w:rsid w:val="006B652B"/>
    <w:rsid w:val="006B6718"/>
    <w:rsid w:val="006B6815"/>
    <w:rsid w:val="006B6E61"/>
    <w:rsid w:val="006B7027"/>
    <w:rsid w:val="006B78D7"/>
    <w:rsid w:val="006B7BA6"/>
    <w:rsid w:val="006C0986"/>
    <w:rsid w:val="006C0CF0"/>
    <w:rsid w:val="006C0E0E"/>
    <w:rsid w:val="006C2A8A"/>
    <w:rsid w:val="006C2E99"/>
    <w:rsid w:val="006C37CB"/>
    <w:rsid w:val="006C3E3A"/>
    <w:rsid w:val="006C42E4"/>
    <w:rsid w:val="006C4383"/>
    <w:rsid w:val="006C4590"/>
    <w:rsid w:val="006C53CB"/>
    <w:rsid w:val="006C5C5A"/>
    <w:rsid w:val="006C5CD8"/>
    <w:rsid w:val="006C5D96"/>
    <w:rsid w:val="006C5FAD"/>
    <w:rsid w:val="006C62C5"/>
    <w:rsid w:val="006C6D39"/>
    <w:rsid w:val="006C77BF"/>
    <w:rsid w:val="006C7ACA"/>
    <w:rsid w:val="006D1417"/>
    <w:rsid w:val="006D172E"/>
    <w:rsid w:val="006D17A0"/>
    <w:rsid w:val="006D2120"/>
    <w:rsid w:val="006D28B2"/>
    <w:rsid w:val="006D335F"/>
    <w:rsid w:val="006D33B5"/>
    <w:rsid w:val="006D3F71"/>
    <w:rsid w:val="006D4066"/>
    <w:rsid w:val="006D63B0"/>
    <w:rsid w:val="006D68DD"/>
    <w:rsid w:val="006D7243"/>
    <w:rsid w:val="006D7601"/>
    <w:rsid w:val="006D7857"/>
    <w:rsid w:val="006D7B77"/>
    <w:rsid w:val="006D7E00"/>
    <w:rsid w:val="006E05CB"/>
    <w:rsid w:val="006E0D38"/>
    <w:rsid w:val="006E0E53"/>
    <w:rsid w:val="006E1D4A"/>
    <w:rsid w:val="006E2070"/>
    <w:rsid w:val="006E2CEE"/>
    <w:rsid w:val="006E34CC"/>
    <w:rsid w:val="006E3A4F"/>
    <w:rsid w:val="006E49CB"/>
    <w:rsid w:val="006E4CE3"/>
    <w:rsid w:val="006E5BAA"/>
    <w:rsid w:val="006E5E11"/>
    <w:rsid w:val="006E5FEA"/>
    <w:rsid w:val="006E641F"/>
    <w:rsid w:val="006E6D94"/>
    <w:rsid w:val="006E6E7A"/>
    <w:rsid w:val="006E7912"/>
    <w:rsid w:val="006F015B"/>
    <w:rsid w:val="006F06DA"/>
    <w:rsid w:val="006F0742"/>
    <w:rsid w:val="006F0997"/>
    <w:rsid w:val="006F1976"/>
    <w:rsid w:val="006F1B85"/>
    <w:rsid w:val="006F20BB"/>
    <w:rsid w:val="006F331E"/>
    <w:rsid w:val="006F3746"/>
    <w:rsid w:val="006F3D75"/>
    <w:rsid w:val="006F3F19"/>
    <w:rsid w:val="006F4034"/>
    <w:rsid w:val="006F430E"/>
    <w:rsid w:val="006F4412"/>
    <w:rsid w:val="006F4C29"/>
    <w:rsid w:val="006F5397"/>
    <w:rsid w:val="006F53A6"/>
    <w:rsid w:val="006F57D8"/>
    <w:rsid w:val="006F62BB"/>
    <w:rsid w:val="006F6FB3"/>
    <w:rsid w:val="006F7177"/>
    <w:rsid w:val="006F7782"/>
    <w:rsid w:val="00700150"/>
    <w:rsid w:val="00700409"/>
    <w:rsid w:val="00701B62"/>
    <w:rsid w:val="00701B96"/>
    <w:rsid w:val="00701D65"/>
    <w:rsid w:val="00701D79"/>
    <w:rsid w:val="00702322"/>
    <w:rsid w:val="0070288A"/>
    <w:rsid w:val="00702CC4"/>
    <w:rsid w:val="00703444"/>
    <w:rsid w:val="007036FE"/>
    <w:rsid w:val="00703C65"/>
    <w:rsid w:val="00703CF9"/>
    <w:rsid w:val="00704294"/>
    <w:rsid w:val="007045C5"/>
    <w:rsid w:val="007046B7"/>
    <w:rsid w:val="00704768"/>
    <w:rsid w:val="00704AE5"/>
    <w:rsid w:val="00704C60"/>
    <w:rsid w:val="00704F8B"/>
    <w:rsid w:val="00705612"/>
    <w:rsid w:val="007059CE"/>
    <w:rsid w:val="00705EF2"/>
    <w:rsid w:val="00706813"/>
    <w:rsid w:val="007073E3"/>
    <w:rsid w:val="007079E9"/>
    <w:rsid w:val="00707B00"/>
    <w:rsid w:val="00710420"/>
    <w:rsid w:val="00710A5E"/>
    <w:rsid w:val="0071106B"/>
    <w:rsid w:val="007114B8"/>
    <w:rsid w:val="0071170B"/>
    <w:rsid w:val="007118E2"/>
    <w:rsid w:val="00711DCE"/>
    <w:rsid w:val="00712540"/>
    <w:rsid w:val="00712594"/>
    <w:rsid w:val="00712C05"/>
    <w:rsid w:val="00713008"/>
    <w:rsid w:val="00713C9F"/>
    <w:rsid w:val="00713F10"/>
    <w:rsid w:val="007144ED"/>
    <w:rsid w:val="00714520"/>
    <w:rsid w:val="007147B4"/>
    <w:rsid w:val="00714CC5"/>
    <w:rsid w:val="00715287"/>
    <w:rsid w:val="007153CE"/>
    <w:rsid w:val="00715517"/>
    <w:rsid w:val="00715B14"/>
    <w:rsid w:val="00715CF3"/>
    <w:rsid w:val="0071605A"/>
    <w:rsid w:val="00716866"/>
    <w:rsid w:val="007172B4"/>
    <w:rsid w:val="00717410"/>
    <w:rsid w:val="00717606"/>
    <w:rsid w:val="007177C5"/>
    <w:rsid w:val="00717A58"/>
    <w:rsid w:val="00717D2F"/>
    <w:rsid w:val="00720343"/>
    <w:rsid w:val="0072072D"/>
    <w:rsid w:val="0072133B"/>
    <w:rsid w:val="007218A6"/>
    <w:rsid w:val="00723533"/>
    <w:rsid w:val="00723743"/>
    <w:rsid w:val="007243AF"/>
    <w:rsid w:val="0072446C"/>
    <w:rsid w:val="007246DC"/>
    <w:rsid w:val="007247B2"/>
    <w:rsid w:val="00725169"/>
    <w:rsid w:val="00725268"/>
    <w:rsid w:val="00725881"/>
    <w:rsid w:val="00726A63"/>
    <w:rsid w:val="007277BC"/>
    <w:rsid w:val="00727E29"/>
    <w:rsid w:val="00731091"/>
    <w:rsid w:val="007310BC"/>
    <w:rsid w:val="00731422"/>
    <w:rsid w:val="0073197D"/>
    <w:rsid w:val="00731BF4"/>
    <w:rsid w:val="0073211B"/>
    <w:rsid w:val="00732738"/>
    <w:rsid w:val="007327F1"/>
    <w:rsid w:val="00732911"/>
    <w:rsid w:val="00732C37"/>
    <w:rsid w:val="00733100"/>
    <w:rsid w:val="00733DAC"/>
    <w:rsid w:val="007345CC"/>
    <w:rsid w:val="00734951"/>
    <w:rsid w:val="00734AFE"/>
    <w:rsid w:val="00734E22"/>
    <w:rsid w:val="00734E9C"/>
    <w:rsid w:val="00734FAB"/>
    <w:rsid w:val="00735082"/>
    <w:rsid w:val="007350F3"/>
    <w:rsid w:val="00735802"/>
    <w:rsid w:val="007359C0"/>
    <w:rsid w:val="00735D3F"/>
    <w:rsid w:val="00735F39"/>
    <w:rsid w:val="00736299"/>
    <w:rsid w:val="00736967"/>
    <w:rsid w:val="0073719E"/>
    <w:rsid w:val="0073772C"/>
    <w:rsid w:val="00737DCA"/>
    <w:rsid w:val="0074113B"/>
    <w:rsid w:val="0074146D"/>
    <w:rsid w:val="00741D48"/>
    <w:rsid w:val="00742504"/>
    <w:rsid w:val="00742E2F"/>
    <w:rsid w:val="007432D2"/>
    <w:rsid w:val="007435E4"/>
    <w:rsid w:val="0074383E"/>
    <w:rsid w:val="00743899"/>
    <w:rsid w:val="00743A63"/>
    <w:rsid w:val="00745293"/>
    <w:rsid w:val="00745414"/>
    <w:rsid w:val="00745ACC"/>
    <w:rsid w:val="00745D6F"/>
    <w:rsid w:val="00746467"/>
    <w:rsid w:val="00746F65"/>
    <w:rsid w:val="007477C2"/>
    <w:rsid w:val="00747A19"/>
    <w:rsid w:val="0075043B"/>
    <w:rsid w:val="0075049A"/>
    <w:rsid w:val="007506E0"/>
    <w:rsid w:val="00750AD4"/>
    <w:rsid w:val="00750F8E"/>
    <w:rsid w:val="00752122"/>
    <w:rsid w:val="007521D2"/>
    <w:rsid w:val="00752480"/>
    <w:rsid w:val="00752498"/>
    <w:rsid w:val="007526B4"/>
    <w:rsid w:val="0075322C"/>
    <w:rsid w:val="007536BB"/>
    <w:rsid w:val="007539DA"/>
    <w:rsid w:val="00753DEA"/>
    <w:rsid w:val="0075462F"/>
    <w:rsid w:val="007547DA"/>
    <w:rsid w:val="00754944"/>
    <w:rsid w:val="00754947"/>
    <w:rsid w:val="00754EF0"/>
    <w:rsid w:val="00755070"/>
    <w:rsid w:val="007554E1"/>
    <w:rsid w:val="00755713"/>
    <w:rsid w:val="0075589F"/>
    <w:rsid w:val="00756599"/>
    <w:rsid w:val="00756CFF"/>
    <w:rsid w:val="00757038"/>
    <w:rsid w:val="007570A4"/>
    <w:rsid w:val="0075727B"/>
    <w:rsid w:val="00757E4C"/>
    <w:rsid w:val="007619A8"/>
    <w:rsid w:val="00762495"/>
    <w:rsid w:val="0076256E"/>
    <w:rsid w:val="00762EBD"/>
    <w:rsid w:val="00763951"/>
    <w:rsid w:val="00763AA4"/>
    <w:rsid w:val="00763D25"/>
    <w:rsid w:val="00763D2B"/>
    <w:rsid w:val="00764857"/>
    <w:rsid w:val="007650F3"/>
    <w:rsid w:val="00765374"/>
    <w:rsid w:val="007653E9"/>
    <w:rsid w:val="0076556C"/>
    <w:rsid w:val="00765A6A"/>
    <w:rsid w:val="00765CD7"/>
    <w:rsid w:val="00766464"/>
    <w:rsid w:val="0076778E"/>
    <w:rsid w:val="007700B8"/>
    <w:rsid w:val="007706F7"/>
    <w:rsid w:val="00771AD1"/>
    <w:rsid w:val="00771ED3"/>
    <w:rsid w:val="007723A5"/>
    <w:rsid w:val="007724E0"/>
    <w:rsid w:val="007732A1"/>
    <w:rsid w:val="00773628"/>
    <w:rsid w:val="00773694"/>
    <w:rsid w:val="00773BC1"/>
    <w:rsid w:val="00773C32"/>
    <w:rsid w:val="00774105"/>
    <w:rsid w:val="00774707"/>
    <w:rsid w:val="00774C74"/>
    <w:rsid w:val="00774F34"/>
    <w:rsid w:val="00775186"/>
    <w:rsid w:val="0077594E"/>
    <w:rsid w:val="007765C6"/>
    <w:rsid w:val="0077693D"/>
    <w:rsid w:val="0077763C"/>
    <w:rsid w:val="00777922"/>
    <w:rsid w:val="00777DA4"/>
    <w:rsid w:val="00777FCD"/>
    <w:rsid w:val="00780201"/>
    <w:rsid w:val="0078036A"/>
    <w:rsid w:val="00780842"/>
    <w:rsid w:val="00781DBD"/>
    <w:rsid w:val="007826EE"/>
    <w:rsid w:val="0078275B"/>
    <w:rsid w:val="0078297D"/>
    <w:rsid w:val="00782996"/>
    <w:rsid w:val="007836BD"/>
    <w:rsid w:val="007836C1"/>
    <w:rsid w:val="00783C90"/>
    <w:rsid w:val="00783EC8"/>
    <w:rsid w:val="00784800"/>
    <w:rsid w:val="00784C71"/>
    <w:rsid w:val="00785F46"/>
    <w:rsid w:val="00786B9D"/>
    <w:rsid w:val="00786C30"/>
    <w:rsid w:val="00786F89"/>
    <w:rsid w:val="00787208"/>
    <w:rsid w:val="007872F5"/>
    <w:rsid w:val="00787323"/>
    <w:rsid w:val="00787C3F"/>
    <w:rsid w:val="007900D2"/>
    <w:rsid w:val="0079010C"/>
    <w:rsid w:val="00790674"/>
    <w:rsid w:val="00790B87"/>
    <w:rsid w:val="00790DD4"/>
    <w:rsid w:val="0079118A"/>
    <w:rsid w:val="0079187B"/>
    <w:rsid w:val="007926AC"/>
    <w:rsid w:val="007929EE"/>
    <w:rsid w:val="00792A81"/>
    <w:rsid w:val="007946B0"/>
    <w:rsid w:val="0079484D"/>
    <w:rsid w:val="00794BE5"/>
    <w:rsid w:val="00794C09"/>
    <w:rsid w:val="00795492"/>
    <w:rsid w:val="00795530"/>
    <w:rsid w:val="00795939"/>
    <w:rsid w:val="00795A18"/>
    <w:rsid w:val="00795BBA"/>
    <w:rsid w:val="00795ED2"/>
    <w:rsid w:val="007960FE"/>
    <w:rsid w:val="007964A1"/>
    <w:rsid w:val="007966CC"/>
    <w:rsid w:val="00797DC2"/>
    <w:rsid w:val="007A0CC4"/>
    <w:rsid w:val="007A1591"/>
    <w:rsid w:val="007A1AC3"/>
    <w:rsid w:val="007A1F7C"/>
    <w:rsid w:val="007A2CC9"/>
    <w:rsid w:val="007A3C11"/>
    <w:rsid w:val="007A3D04"/>
    <w:rsid w:val="007A444B"/>
    <w:rsid w:val="007A4615"/>
    <w:rsid w:val="007A4782"/>
    <w:rsid w:val="007A49C4"/>
    <w:rsid w:val="007A4A03"/>
    <w:rsid w:val="007A5064"/>
    <w:rsid w:val="007A53D1"/>
    <w:rsid w:val="007A5E61"/>
    <w:rsid w:val="007A5E71"/>
    <w:rsid w:val="007A6586"/>
    <w:rsid w:val="007A677C"/>
    <w:rsid w:val="007A6BF1"/>
    <w:rsid w:val="007A6C20"/>
    <w:rsid w:val="007A7368"/>
    <w:rsid w:val="007A74A0"/>
    <w:rsid w:val="007A75AA"/>
    <w:rsid w:val="007A7A2E"/>
    <w:rsid w:val="007B08D3"/>
    <w:rsid w:val="007B1184"/>
    <w:rsid w:val="007B2869"/>
    <w:rsid w:val="007B3041"/>
    <w:rsid w:val="007B30A3"/>
    <w:rsid w:val="007B3153"/>
    <w:rsid w:val="007B3C4C"/>
    <w:rsid w:val="007B3C86"/>
    <w:rsid w:val="007B49E3"/>
    <w:rsid w:val="007B4F3B"/>
    <w:rsid w:val="007B501F"/>
    <w:rsid w:val="007B5080"/>
    <w:rsid w:val="007B6014"/>
    <w:rsid w:val="007B6056"/>
    <w:rsid w:val="007B6C06"/>
    <w:rsid w:val="007B7095"/>
    <w:rsid w:val="007B732F"/>
    <w:rsid w:val="007B7AE1"/>
    <w:rsid w:val="007B7EF2"/>
    <w:rsid w:val="007C0426"/>
    <w:rsid w:val="007C0B8F"/>
    <w:rsid w:val="007C0C14"/>
    <w:rsid w:val="007C211F"/>
    <w:rsid w:val="007C22D2"/>
    <w:rsid w:val="007C2593"/>
    <w:rsid w:val="007C2769"/>
    <w:rsid w:val="007C2CF1"/>
    <w:rsid w:val="007C2D79"/>
    <w:rsid w:val="007C3254"/>
    <w:rsid w:val="007C3443"/>
    <w:rsid w:val="007C3842"/>
    <w:rsid w:val="007C3BDA"/>
    <w:rsid w:val="007C3F80"/>
    <w:rsid w:val="007C44B9"/>
    <w:rsid w:val="007C537D"/>
    <w:rsid w:val="007C53CF"/>
    <w:rsid w:val="007C55F3"/>
    <w:rsid w:val="007C610F"/>
    <w:rsid w:val="007C6341"/>
    <w:rsid w:val="007C6418"/>
    <w:rsid w:val="007C756A"/>
    <w:rsid w:val="007C796A"/>
    <w:rsid w:val="007C7AE5"/>
    <w:rsid w:val="007D0000"/>
    <w:rsid w:val="007D037D"/>
    <w:rsid w:val="007D150C"/>
    <w:rsid w:val="007D1550"/>
    <w:rsid w:val="007D18DF"/>
    <w:rsid w:val="007D1953"/>
    <w:rsid w:val="007D19F7"/>
    <w:rsid w:val="007D1A6D"/>
    <w:rsid w:val="007D1AAD"/>
    <w:rsid w:val="007D1BF6"/>
    <w:rsid w:val="007D1E30"/>
    <w:rsid w:val="007D20E3"/>
    <w:rsid w:val="007D2218"/>
    <w:rsid w:val="007D2C03"/>
    <w:rsid w:val="007D33C4"/>
    <w:rsid w:val="007D349D"/>
    <w:rsid w:val="007D37A2"/>
    <w:rsid w:val="007D3BD1"/>
    <w:rsid w:val="007D4881"/>
    <w:rsid w:val="007D515F"/>
    <w:rsid w:val="007D5306"/>
    <w:rsid w:val="007D5603"/>
    <w:rsid w:val="007D58B8"/>
    <w:rsid w:val="007D68FA"/>
    <w:rsid w:val="007D72EE"/>
    <w:rsid w:val="007E0286"/>
    <w:rsid w:val="007E08EC"/>
    <w:rsid w:val="007E17FB"/>
    <w:rsid w:val="007E227B"/>
    <w:rsid w:val="007E27BA"/>
    <w:rsid w:val="007E2A73"/>
    <w:rsid w:val="007E38E3"/>
    <w:rsid w:val="007E478F"/>
    <w:rsid w:val="007E4B2E"/>
    <w:rsid w:val="007E4CA8"/>
    <w:rsid w:val="007E4CEE"/>
    <w:rsid w:val="007E5248"/>
    <w:rsid w:val="007E5497"/>
    <w:rsid w:val="007E557D"/>
    <w:rsid w:val="007E5C8C"/>
    <w:rsid w:val="007E5D6A"/>
    <w:rsid w:val="007E5F4D"/>
    <w:rsid w:val="007E62C9"/>
    <w:rsid w:val="007E6902"/>
    <w:rsid w:val="007E6D84"/>
    <w:rsid w:val="007E70FB"/>
    <w:rsid w:val="007E75FC"/>
    <w:rsid w:val="007E7986"/>
    <w:rsid w:val="007F02C1"/>
    <w:rsid w:val="007F049D"/>
    <w:rsid w:val="007F0613"/>
    <w:rsid w:val="007F157D"/>
    <w:rsid w:val="007F16B9"/>
    <w:rsid w:val="007F2DCA"/>
    <w:rsid w:val="007F4163"/>
    <w:rsid w:val="007F486F"/>
    <w:rsid w:val="007F4C62"/>
    <w:rsid w:val="007F4E97"/>
    <w:rsid w:val="007F5170"/>
    <w:rsid w:val="007F54C7"/>
    <w:rsid w:val="007F5539"/>
    <w:rsid w:val="007F5A49"/>
    <w:rsid w:val="007F5ADB"/>
    <w:rsid w:val="007F66C2"/>
    <w:rsid w:val="007F6E95"/>
    <w:rsid w:val="007F7301"/>
    <w:rsid w:val="007F7A6A"/>
    <w:rsid w:val="007F7AFF"/>
    <w:rsid w:val="007F7E16"/>
    <w:rsid w:val="0080051F"/>
    <w:rsid w:val="008007D1"/>
    <w:rsid w:val="00800911"/>
    <w:rsid w:val="008009ED"/>
    <w:rsid w:val="00801F30"/>
    <w:rsid w:val="008028DE"/>
    <w:rsid w:val="0080322A"/>
    <w:rsid w:val="0080356A"/>
    <w:rsid w:val="00803697"/>
    <w:rsid w:val="008037B7"/>
    <w:rsid w:val="008039CD"/>
    <w:rsid w:val="0080417A"/>
    <w:rsid w:val="0080477F"/>
    <w:rsid w:val="00804987"/>
    <w:rsid w:val="00805759"/>
    <w:rsid w:val="00805BE6"/>
    <w:rsid w:val="008060A0"/>
    <w:rsid w:val="00806C52"/>
    <w:rsid w:val="00807F1D"/>
    <w:rsid w:val="00810760"/>
    <w:rsid w:val="008114FA"/>
    <w:rsid w:val="00811505"/>
    <w:rsid w:val="0081245B"/>
    <w:rsid w:val="00812AB5"/>
    <w:rsid w:val="00812C67"/>
    <w:rsid w:val="008131D4"/>
    <w:rsid w:val="00813B10"/>
    <w:rsid w:val="00813F2E"/>
    <w:rsid w:val="00815FB9"/>
    <w:rsid w:val="00816547"/>
    <w:rsid w:val="0081668B"/>
    <w:rsid w:val="008169AC"/>
    <w:rsid w:val="0081773A"/>
    <w:rsid w:val="00820026"/>
    <w:rsid w:val="00820674"/>
    <w:rsid w:val="00820BBA"/>
    <w:rsid w:val="00821333"/>
    <w:rsid w:val="008213EC"/>
    <w:rsid w:val="00821574"/>
    <w:rsid w:val="00822023"/>
    <w:rsid w:val="00822239"/>
    <w:rsid w:val="0082229E"/>
    <w:rsid w:val="0082258D"/>
    <w:rsid w:val="008242CC"/>
    <w:rsid w:val="00824A4B"/>
    <w:rsid w:val="00824A6E"/>
    <w:rsid w:val="0082520B"/>
    <w:rsid w:val="00825877"/>
    <w:rsid w:val="00825FCF"/>
    <w:rsid w:val="00826329"/>
    <w:rsid w:val="00827F33"/>
    <w:rsid w:val="00830211"/>
    <w:rsid w:val="00830372"/>
    <w:rsid w:val="00830680"/>
    <w:rsid w:val="008314BD"/>
    <w:rsid w:val="0083173A"/>
    <w:rsid w:val="0083179E"/>
    <w:rsid w:val="008321FC"/>
    <w:rsid w:val="00833211"/>
    <w:rsid w:val="00833370"/>
    <w:rsid w:val="008334D0"/>
    <w:rsid w:val="0083358F"/>
    <w:rsid w:val="0083403D"/>
    <w:rsid w:val="008345D0"/>
    <w:rsid w:val="008346E9"/>
    <w:rsid w:val="008352FC"/>
    <w:rsid w:val="00835AF3"/>
    <w:rsid w:val="008362EB"/>
    <w:rsid w:val="008365EB"/>
    <w:rsid w:val="008370AC"/>
    <w:rsid w:val="0083735C"/>
    <w:rsid w:val="00837743"/>
    <w:rsid w:val="00837EA6"/>
    <w:rsid w:val="008401CE"/>
    <w:rsid w:val="00840227"/>
    <w:rsid w:val="00840302"/>
    <w:rsid w:val="0084095D"/>
    <w:rsid w:val="00840986"/>
    <w:rsid w:val="00840C7C"/>
    <w:rsid w:val="0084147F"/>
    <w:rsid w:val="008429D3"/>
    <w:rsid w:val="00842AE9"/>
    <w:rsid w:val="00842BDB"/>
    <w:rsid w:val="00843D56"/>
    <w:rsid w:val="008442AB"/>
    <w:rsid w:val="00844A94"/>
    <w:rsid w:val="00844E84"/>
    <w:rsid w:val="00844F08"/>
    <w:rsid w:val="00845116"/>
    <w:rsid w:val="008451D5"/>
    <w:rsid w:val="00845B59"/>
    <w:rsid w:val="008461B9"/>
    <w:rsid w:val="00846455"/>
    <w:rsid w:val="00846D79"/>
    <w:rsid w:val="00847A3A"/>
    <w:rsid w:val="0085027E"/>
    <w:rsid w:val="00850741"/>
    <w:rsid w:val="00851055"/>
    <w:rsid w:val="008511D7"/>
    <w:rsid w:val="00851A0F"/>
    <w:rsid w:val="00851E6E"/>
    <w:rsid w:val="00852715"/>
    <w:rsid w:val="00852725"/>
    <w:rsid w:val="00853D38"/>
    <w:rsid w:val="0085448D"/>
    <w:rsid w:val="0085474D"/>
    <w:rsid w:val="00854A23"/>
    <w:rsid w:val="0085594E"/>
    <w:rsid w:val="008567AA"/>
    <w:rsid w:val="008568F1"/>
    <w:rsid w:val="0085724C"/>
    <w:rsid w:val="0085752C"/>
    <w:rsid w:val="0085765E"/>
    <w:rsid w:val="008576E9"/>
    <w:rsid w:val="00857BC5"/>
    <w:rsid w:val="00857E1C"/>
    <w:rsid w:val="00857E3F"/>
    <w:rsid w:val="00860858"/>
    <w:rsid w:val="00860B01"/>
    <w:rsid w:val="00860BF7"/>
    <w:rsid w:val="00861050"/>
    <w:rsid w:val="008635B6"/>
    <w:rsid w:val="00863755"/>
    <w:rsid w:val="008637D0"/>
    <w:rsid w:val="008640CB"/>
    <w:rsid w:val="008643E8"/>
    <w:rsid w:val="00864D35"/>
    <w:rsid w:val="00864E9C"/>
    <w:rsid w:val="00865358"/>
    <w:rsid w:val="008662F7"/>
    <w:rsid w:val="008673E9"/>
    <w:rsid w:val="008675DD"/>
    <w:rsid w:val="00867CF0"/>
    <w:rsid w:val="00870718"/>
    <w:rsid w:val="00870B92"/>
    <w:rsid w:val="0087171B"/>
    <w:rsid w:val="008717AD"/>
    <w:rsid w:val="00871B0F"/>
    <w:rsid w:val="00871E97"/>
    <w:rsid w:val="00872205"/>
    <w:rsid w:val="008722EB"/>
    <w:rsid w:val="0087235C"/>
    <w:rsid w:val="00872728"/>
    <w:rsid w:val="0087283E"/>
    <w:rsid w:val="008729F5"/>
    <w:rsid w:val="00872F2C"/>
    <w:rsid w:val="00872FE3"/>
    <w:rsid w:val="00873379"/>
    <w:rsid w:val="00873B33"/>
    <w:rsid w:val="00873EC0"/>
    <w:rsid w:val="00874116"/>
    <w:rsid w:val="00874925"/>
    <w:rsid w:val="00874AEC"/>
    <w:rsid w:val="00874E3C"/>
    <w:rsid w:val="00874F3D"/>
    <w:rsid w:val="0087538E"/>
    <w:rsid w:val="008755AC"/>
    <w:rsid w:val="00875F6D"/>
    <w:rsid w:val="008763E7"/>
    <w:rsid w:val="00877004"/>
    <w:rsid w:val="0087773B"/>
    <w:rsid w:val="00877E41"/>
    <w:rsid w:val="0088032C"/>
    <w:rsid w:val="008812ED"/>
    <w:rsid w:val="00881677"/>
    <w:rsid w:val="00881BC7"/>
    <w:rsid w:val="00881C9D"/>
    <w:rsid w:val="00881F2A"/>
    <w:rsid w:val="00882480"/>
    <w:rsid w:val="00883CD8"/>
    <w:rsid w:val="00884454"/>
    <w:rsid w:val="0088452E"/>
    <w:rsid w:val="00884716"/>
    <w:rsid w:val="008847B6"/>
    <w:rsid w:val="008847F2"/>
    <w:rsid w:val="00884AF3"/>
    <w:rsid w:val="00884E73"/>
    <w:rsid w:val="008851F1"/>
    <w:rsid w:val="008859F9"/>
    <w:rsid w:val="00885B3E"/>
    <w:rsid w:val="008865CF"/>
    <w:rsid w:val="00886AE9"/>
    <w:rsid w:val="00886E59"/>
    <w:rsid w:val="00887250"/>
    <w:rsid w:val="008874CD"/>
    <w:rsid w:val="0088771F"/>
    <w:rsid w:val="008879A1"/>
    <w:rsid w:val="00887D21"/>
    <w:rsid w:val="00887F88"/>
    <w:rsid w:val="00890187"/>
    <w:rsid w:val="00890287"/>
    <w:rsid w:val="008906B9"/>
    <w:rsid w:val="00891C7A"/>
    <w:rsid w:val="00891FB3"/>
    <w:rsid w:val="00892845"/>
    <w:rsid w:val="00893316"/>
    <w:rsid w:val="008944D5"/>
    <w:rsid w:val="008948D6"/>
    <w:rsid w:val="00894E4D"/>
    <w:rsid w:val="00895229"/>
    <w:rsid w:val="00895D63"/>
    <w:rsid w:val="00895EFF"/>
    <w:rsid w:val="0089627A"/>
    <w:rsid w:val="008973EF"/>
    <w:rsid w:val="008A0078"/>
    <w:rsid w:val="008A03C8"/>
    <w:rsid w:val="008A05B7"/>
    <w:rsid w:val="008A065E"/>
    <w:rsid w:val="008A10C8"/>
    <w:rsid w:val="008A17B6"/>
    <w:rsid w:val="008A1C39"/>
    <w:rsid w:val="008A1D65"/>
    <w:rsid w:val="008A271A"/>
    <w:rsid w:val="008A2731"/>
    <w:rsid w:val="008A2B0B"/>
    <w:rsid w:val="008A2B33"/>
    <w:rsid w:val="008A2C50"/>
    <w:rsid w:val="008A2F2D"/>
    <w:rsid w:val="008A331B"/>
    <w:rsid w:val="008A345C"/>
    <w:rsid w:val="008A37BD"/>
    <w:rsid w:val="008A383F"/>
    <w:rsid w:val="008A3AE2"/>
    <w:rsid w:val="008A3B83"/>
    <w:rsid w:val="008A3EC0"/>
    <w:rsid w:val="008A4734"/>
    <w:rsid w:val="008A4D46"/>
    <w:rsid w:val="008A5230"/>
    <w:rsid w:val="008A5A7C"/>
    <w:rsid w:val="008A5AC1"/>
    <w:rsid w:val="008A5D99"/>
    <w:rsid w:val="008A70B5"/>
    <w:rsid w:val="008A780E"/>
    <w:rsid w:val="008A7FD7"/>
    <w:rsid w:val="008B0A68"/>
    <w:rsid w:val="008B0C10"/>
    <w:rsid w:val="008B0D20"/>
    <w:rsid w:val="008B0FEC"/>
    <w:rsid w:val="008B12D2"/>
    <w:rsid w:val="008B143A"/>
    <w:rsid w:val="008B1687"/>
    <w:rsid w:val="008B238A"/>
    <w:rsid w:val="008B38D3"/>
    <w:rsid w:val="008B3B09"/>
    <w:rsid w:val="008B5540"/>
    <w:rsid w:val="008B58E5"/>
    <w:rsid w:val="008B58F0"/>
    <w:rsid w:val="008B599C"/>
    <w:rsid w:val="008B5FF5"/>
    <w:rsid w:val="008B638F"/>
    <w:rsid w:val="008B6510"/>
    <w:rsid w:val="008B658A"/>
    <w:rsid w:val="008B66FC"/>
    <w:rsid w:val="008B75CC"/>
    <w:rsid w:val="008B76D2"/>
    <w:rsid w:val="008B7AB0"/>
    <w:rsid w:val="008C0099"/>
    <w:rsid w:val="008C014F"/>
    <w:rsid w:val="008C023F"/>
    <w:rsid w:val="008C0293"/>
    <w:rsid w:val="008C03AF"/>
    <w:rsid w:val="008C0E5D"/>
    <w:rsid w:val="008C12DE"/>
    <w:rsid w:val="008C18A5"/>
    <w:rsid w:val="008C1D69"/>
    <w:rsid w:val="008C20AA"/>
    <w:rsid w:val="008C257F"/>
    <w:rsid w:val="008C29B9"/>
    <w:rsid w:val="008C312A"/>
    <w:rsid w:val="008C31E9"/>
    <w:rsid w:val="008C3437"/>
    <w:rsid w:val="008C39DB"/>
    <w:rsid w:val="008C3D99"/>
    <w:rsid w:val="008C3EA5"/>
    <w:rsid w:val="008C4700"/>
    <w:rsid w:val="008C48CF"/>
    <w:rsid w:val="008C4CD4"/>
    <w:rsid w:val="008C5126"/>
    <w:rsid w:val="008C5387"/>
    <w:rsid w:val="008C53C5"/>
    <w:rsid w:val="008C5BCD"/>
    <w:rsid w:val="008C61E6"/>
    <w:rsid w:val="008C6ACE"/>
    <w:rsid w:val="008C7199"/>
    <w:rsid w:val="008C74C3"/>
    <w:rsid w:val="008D03CC"/>
    <w:rsid w:val="008D099E"/>
    <w:rsid w:val="008D0CD4"/>
    <w:rsid w:val="008D0E01"/>
    <w:rsid w:val="008D1272"/>
    <w:rsid w:val="008D13E1"/>
    <w:rsid w:val="008D146C"/>
    <w:rsid w:val="008D1FDA"/>
    <w:rsid w:val="008D252C"/>
    <w:rsid w:val="008D27C7"/>
    <w:rsid w:val="008D2BB0"/>
    <w:rsid w:val="008D2E92"/>
    <w:rsid w:val="008D3004"/>
    <w:rsid w:val="008D32C3"/>
    <w:rsid w:val="008D3548"/>
    <w:rsid w:val="008D38A4"/>
    <w:rsid w:val="008D3DF3"/>
    <w:rsid w:val="008D3F36"/>
    <w:rsid w:val="008D4274"/>
    <w:rsid w:val="008D513E"/>
    <w:rsid w:val="008D51DC"/>
    <w:rsid w:val="008D5634"/>
    <w:rsid w:val="008D6054"/>
    <w:rsid w:val="008D62C6"/>
    <w:rsid w:val="008D698D"/>
    <w:rsid w:val="008D6A37"/>
    <w:rsid w:val="008D7D0F"/>
    <w:rsid w:val="008E04B4"/>
    <w:rsid w:val="008E0636"/>
    <w:rsid w:val="008E0C8E"/>
    <w:rsid w:val="008E113A"/>
    <w:rsid w:val="008E180B"/>
    <w:rsid w:val="008E206B"/>
    <w:rsid w:val="008E21D5"/>
    <w:rsid w:val="008E3117"/>
    <w:rsid w:val="008E3332"/>
    <w:rsid w:val="008E34E1"/>
    <w:rsid w:val="008E3D27"/>
    <w:rsid w:val="008E44C3"/>
    <w:rsid w:val="008E4D8D"/>
    <w:rsid w:val="008E6C86"/>
    <w:rsid w:val="008E6D79"/>
    <w:rsid w:val="008E7712"/>
    <w:rsid w:val="008E77E7"/>
    <w:rsid w:val="008F00AE"/>
    <w:rsid w:val="008F07F7"/>
    <w:rsid w:val="008F0B7C"/>
    <w:rsid w:val="008F0C7D"/>
    <w:rsid w:val="008F13B6"/>
    <w:rsid w:val="008F19FB"/>
    <w:rsid w:val="008F2563"/>
    <w:rsid w:val="008F2F1C"/>
    <w:rsid w:val="008F45F9"/>
    <w:rsid w:val="008F4C57"/>
    <w:rsid w:val="008F52C1"/>
    <w:rsid w:val="008F5E20"/>
    <w:rsid w:val="008F5FA4"/>
    <w:rsid w:val="008F614F"/>
    <w:rsid w:val="008F643B"/>
    <w:rsid w:val="008F7883"/>
    <w:rsid w:val="008F7E73"/>
    <w:rsid w:val="0090016D"/>
    <w:rsid w:val="009005D5"/>
    <w:rsid w:val="00900E85"/>
    <w:rsid w:val="009019A1"/>
    <w:rsid w:val="00901E73"/>
    <w:rsid w:val="009020CB"/>
    <w:rsid w:val="00902BB1"/>
    <w:rsid w:val="00902C8E"/>
    <w:rsid w:val="009037FF"/>
    <w:rsid w:val="00903FCC"/>
    <w:rsid w:val="009041B3"/>
    <w:rsid w:val="00904343"/>
    <w:rsid w:val="00904AC8"/>
    <w:rsid w:val="00904BF5"/>
    <w:rsid w:val="00905368"/>
    <w:rsid w:val="009059E2"/>
    <w:rsid w:val="00905F1B"/>
    <w:rsid w:val="00906006"/>
    <w:rsid w:val="0090714E"/>
    <w:rsid w:val="00907155"/>
    <w:rsid w:val="00907A48"/>
    <w:rsid w:val="0091085F"/>
    <w:rsid w:val="009108FB"/>
    <w:rsid w:val="00910C44"/>
    <w:rsid w:val="00910F87"/>
    <w:rsid w:val="009111A3"/>
    <w:rsid w:val="00911209"/>
    <w:rsid w:val="00911817"/>
    <w:rsid w:val="00911E26"/>
    <w:rsid w:val="009128FF"/>
    <w:rsid w:val="009135B5"/>
    <w:rsid w:val="00913BCE"/>
    <w:rsid w:val="009143C1"/>
    <w:rsid w:val="00914C6B"/>
    <w:rsid w:val="009165C7"/>
    <w:rsid w:val="00917195"/>
    <w:rsid w:val="009171F3"/>
    <w:rsid w:val="00917418"/>
    <w:rsid w:val="0091760C"/>
    <w:rsid w:val="0091785A"/>
    <w:rsid w:val="00917915"/>
    <w:rsid w:val="00917927"/>
    <w:rsid w:val="00920E92"/>
    <w:rsid w:val="009215B5"/>
    <w:rsid w:val="00921EB6"/>
    <w:rsid w:val="0092216E"/>
    <w:rsid w:val="009222EE"/>
    <w:rsid w:val="009224B2"/>
    <w:rsid w:val="00922C17"/>
    <w:rsid w:val="0092375D"/>
    <w:rsid w:val="009238D9"/>
    <w:rsid w:val="00923A7C"/>
    <w:rsid w:val="00923B77"/>
    <w:rsid w:val="00923ED7"/>
    <w:rsid w:val="00924549"/>
    <w:rsid w:val="009246A5"/>
    <w:rsid w:val="009248A5"/>
    <w:rsid w:val="00924CE6"/>
    <w:rsid w:val="00925358"/>
    <w:rsid w:val="00925BF6"/>
    <w:rsid w:val="0092687C"/>
    <w:rsid w:val="00926CE8"/>
    <w:rsid w:val="00926CF6"/>
    <w:rsid w:val="00927088"/>
    <w:rsid w:val="009272DB"/>
    <w:rsid w:val="0092736C"/>
    <w:rsid w:val="0092755E"/>
    <w:rsid w:val="00927DFC"/>
    <w:rsid w:val="0093025C"/>
    <w:rsid w:val="00930842"/>
    <w:rsid w:val="009319C4"/>
    <w:rsid w:val="009319DC"/>
    <w:rsid w:val="009320D2"/>
    <w:rsid w:val="009321FB"/>
    <w:rsid w:val="00932CEF"/>
    <w:rsid w:val="00932EAD"/>
    <w:rsid w:val="0093461F"/>
    <w:rsid w:val="009348CC"/>
    <w:rsid w:val="00934D7D"/>
    <w:rsid w:val="00935540"/>
    <w:rsid w:val="00935DBD"/>
    <w:rsid w:val="00935DD0"/>
    <w:rsid w:val="00936120"/>
    <w:rsid w:val="0093625B"/>
    <w:rsid w:val="009362C5"/>
    <w:rsid w:val="00936330"/>
    <w:rsid w:val="00936A99"/>
    <w:rsid w:val="00937565"/>
    <w:rsid w:val="00937AA4"/>
    <w:rsid w:val="00937EDA"/>
    <w:rsid w:val="00937FC6"/>
    <w:rsid w:val="009406E2"/>
    <w:rsid w:val="00940FE5"/>
    <w:rsid w:val="009410D3"/>
    <w:rsid w:val="009418EA"/>
    <w:rsid w:val="009447ED"/>
    <w:rsid w:val="00944B48"/>
    <w:rsid w:val="00945D8E"/>
    <w:rsid w:val="0094602E"/>
    <w:rsid w:val="009462AB"/>
    <w:rsid w:val="00946D37"/>
    <w:rsid w:val="00946FAD"/>
    <w:rsid w:val="00947025"/>
    <w:rsid w:val="0094738D"/>
    <w:rsid w:val="00947702"/>
    <w:rsid w:val="00947B4F"/>
    <w:rsid w:val="009501AE"/>
    <w:rsid w:val="00950583"/>
    <w:rsid w:val="009506AE"/>
    <w:rsid w:val="00951B3C"/>
    <w:rsid w:val="00951BEB"/>
    <w:rsid w:val="00952B20"/>
    <w:rsid w:val="00952ED4"/>
    <w:rsid w:val="00952FE5"/>
    <w:rsid w:val="009535E6"/>
    <w:rsid w:val="00953BF9"/>
    <w:rsid w:val="00954746"/>
    <w:rsid w:val="0095480A"/>
    <w:rsid w:val="00955BA9"/>
    <w:rsid w:val="00955E69"/>
    <w:rsid w:val="00956325"/>
    <w:rsid w:val="0095684F"/>
    <w:rsid w:val="00956A32"/>
    <w:rsid w:val="00956A3B"/>
    <w:rsid w:val="009575BA"/>
    <w:rsid w:val="00960183"/>
    <w:rsid w:val="00960501"/>
    <w:rsid w:val="009606FB"/>
    <w:rsid w:val="009606FD"/>
    <w:rsid w:val="0096086D"/>
    <w:rsid w:val="009609F6"/>
    <w:rsid w:val="00960FEA"/>
    <w:rsid w:val="00961A91"/>
    <w:rsid w:val="00961C06"/>
    <w:rsid w:val="00961E00"/>
    <w:rsid w:val="009627D1"/>
    <w:rsid w:val="00962CF1"/>
    <w:rsid w:val="0096344D"/>
    <w:rsid w:val="009635CD"/>
    <w:rsid w:val="00964783"/>
    <w:rsid w:val="009649F9"/>
    <w:rsid w:val="009650D5"/>
    <w:rsid w:val="00965239"/>
    <w:rsid w:val="0096558A"/>
    <w:rsid w:val="00965722"/>
    <w:rsid w:val="009657E5"/>
    <w:rsid w:val="00965824"/>
    <w:rsid w:val="00965932"/>
    <w:rsid w:val="00965E86"/>
    <w:rsid w:val="00966052"/>
    <w:rsid w:val="009662A0"/>
    <w:rsid w:val="0096768A"/>
    <w:rsid w:val="00967D9B"/>
    <w:rsid w:val="009704DE"/>
    <w:rsid w:val="009707C8"/>
    <w:rsid w:val="00970EDF"/>
    <w:rsid w:val="009718F0"/>
    <w:rsid w:val="00971EF0"/>
    <w:rsid w:val="009724A0"/>
    <w:rsid w:val="00972FAF"/>
    <w:rsid w:val="009735A1"/>
    <w:rsid w:val="00974727"/>
    <w:rsid w:val="00974BED"/>
    <w:rsid w:val="00974E65"/>
    <w:rsid w:val="0097570E"/>
    <w:rsid w:val="00975785"/>
    <w:rsid w:val="00975A73"/>
    <w:rsid w:val="00975CA7"/>
    <w:rsid w:val="00975EBE"/>
    <w:rsid w:val="0097616D"/>
    <w:rsid w:val="009767F8"/>
    <w:rsid w:val="009775F4"/>
    <w:rsid w:val="009779D9"/>
    <w:rsid w:val="00980971"/>
    <w:rsid w:val="009812C0"/>
    <w:rsid w:val="009820F6"/>
    <w:rsid w:val="0098217E"/>
    <w:rsid w:val="009832A3"/>
    <w:rsid w:val="0098372E"/>
    <w:rsid w:val="00983B8F"/>
    <w:rsid w:val="00983EC9"/>
    <w:rsid w:val="0098428A"/>
    <w:rsid w:val="0098477E"/>
    <w:rsid w:val="00984F29"/>
    <w:rsid w:val="00985123"/>
    <w:rsid w:val="00985688"/>
    <w:rsid w:val="00985871"/>
    <w:rsid w:val="009858F3"/>
    <w:rsid w:val="00985CA9"/>
    <w:rsid w:val="00986107"/>
    <w:rsid w:val="00986878"/>
    <w:rsid w:val="00986B6E"/>
    <w:rsid w:val="00987A54"/>
    <w:rsid w:val="00987C13"/>
    <w:rsid w:val="00987E16"/>
    <w:rsid w:val="009904D9"/>
    <w:rsid w:val="0099066A"/>
    <w:rsid w:val="00990783"/>
    <w:rsid w:val="009911F4"/>
    <w:rsid w:val="00991A2A"/>
    <w:rsid w:val="00991A44"/>
    <w:rsid w:val="00991FBB"/>
    <w:rsid w:val="00992E69"/>
    <w:rsid w:val="00993590"/>
    <w:rsid w:val="00993684"/>
    <w:rsid w:val="009954B2"/>
    <w:rsid w:val="00995ED4"/>
    <w:rsid w:val="0099604F"/>
    <w:rsid w:val="00996CE8"/>
    <w:rsid w:val="00996E19"/>
    <w:rsid w:val="009970CE"/>
    <w:rsid w:val="00997CF7"/>
    <w:rsid w:val="009A06BC"/>
    <w:rsid w:val="009A0AF3"/>
    <w:rsid w:val="009A0B59"/>
    <w:rsid w:val="009A19EE"/>
    <w:rsid w:val="009A222B"/>
    <w:rsid w:val="009A24BE"/>
    <w:rsid w:val="009A274A"/>
    <w:rsid w:val="009A2F80"/>
    <w:rsid w:val="009A3964"/>
    <w:rsid w:val="009A3E0B"/>
    <w:rsid w:val="009A3E0C"/>
    <w:rsid w:val="009A4676"/>
    <w:rsid w:val="009A5BDD"/>
    <w:rsid w:val="009A7EA6"/>
    <w:rsid w:val="009B032A"/>
    <w:rsid w:val="009B0A78"/>
    <w:rsid w:val="009B0AE2"/>
    <w:rsid w:val="009B0CF7"/>
    <w:rsid w:val="009B16C8"/>
    <w:rsid w:val="009B2235"/>
    <w:rsid w:val="009B26E4"/>
    <w:rsid w:val="009B3912"/>
    <w:rsid w:val="009B3BA2"/>
    <w:rsid w:val="009B49FB"/>
    <w:rsid w:val="009B4B1B"/>
    <w:rsid w:val="009B4B79"/>
    <w:rsid w:val="009B4C83"/>
    <w:rsid w:val="009B510B"/>
    <w:rsid w:val="009B5949"/>
    <w:rsid w:val="009B5A3E"/>
    <w:rsid w:val="009B618E"/>
    <w:rsid w:val="009B6382"/>
    <w:rsid w:val="009B64C5"/>
    <w:rsid w:val="009B6F59"/>
    <w:rsid w:val="009B70F3"/>
    <w:rsid w:val="009C008F"/>
    <w:rsid w:val="009C1083"/>
    <w:rsid w:val="009C1890"/>
    <w:rsid w:val="009C2903"/>
    <w:rsid w:val="009C2F7E"/>
    <w:rsid w:val="009C33FE"/>
    <w:rsid w:val="009C375B"/>
    <w:rsid w:val="009C40A0"/>
    <w:rsid w:val="009C42F1"/>
    <w:rsid w:val="009C43D5"/>
    <w:rsid w:val="009C4723"/>
    <w:rsid w:val="009C48AD"/>
    <w:rsid w:val="009C4907"/>
    <w:rsid w:val="009C55D1"/>
    <w:rsid w:val="009C5C84"/>
    <w:rsid w:val="009D018A"/>
    <w:rsid w:val="009D0AB1"/>
    <w:rsid w:val="009D0AD1"/>
    <w:rsid w:val="009D12D3"/>
    <w:rsid w:val="009D1552"/>
    <w:rsid w:val="009D2AB6"/>
    <w:rsid w:val="009D2ADB"/>
    <w:rsid w:val="009D33B4"/>
    <w:rsid w:val="009D35A1"/>
    <w:rsid w:val="009D3EE0"/>
    <w:rsid w:val="009D52B0"/>
    <w:rsid w:val="009D627A"/>
    <w:rsid w:val="009D69FB"/>
    <w:rsid w:val="009D75AE"/>
    <w:rsid w:val="009D7D34"/>
    <w:rsid w:val="009E00D6"/>
    <w:rsid w:val="009E02A1"/>
    <w:rsid w:val="009E0A75"/>
    <w:rsid w:val="009E0BEF"/>
    <w:rsid w:val="009E122A"/>
    <w:rsid w:val="009E1B13"/>
    <w:rsid w:val="009E1CA0"/>
    <w:rsid w:val="009E2E7C"/>
    <w:rsid w:val="009E3325"/>
    <w:rsid w:val="009E43F1"/>
    <w:rsid w:val="009E4562"/>
    <w:rsid w:val="009E46ED"/>
    <w:rsid w:val="009E473E"/>
    <w:rsid w:val="009E4A81"/>
    <w:rsid w:val="009E5A14"/>
    <w:rsid w:val="009E5B38"/>
    <w:rsid w:val="009E5C61"/>
    <w:rsid w:val="009E658C"/>
    <w:rsid w:val="009E6646"/>
    <w:rsid w:val="009E6C50"/>
    <w:rsid w:val="009E7176"/>
    <w:rsid w:val="009E7463"/>
    <w:rsid w:val="009E7B4B"/>
    <w:rsid w:val="009F0065"/>
    <w:rsid w:val="009F00A8"/>
    <w:rsid w:val="009F0266"/>
    <w:rsid w:val="009F087D"/>
    <w:rsid w:val="009F0EDB"/>
    <w:rsid w:val="009F107A"/>
    <w:rsid w:val="009F115C"/>
    <w:rsid w:val="009F2B9E"/>
    <w:rsid w:val="009F4039"/>
    <w:rsid w:val="009F4380"/>
    <w:rsid w:val="009F4A3D"/>
    <w:rsid w:val="009F5630"/>
    <w:rsid w:val="009F5B0B"/>
    <w:rsid w:val="009F68AD"/>
    <w:rsid w:val="009F6E74"/>
    <w:rsid w:val="009F741A"/>
    <w:rsid w:val="009F7722"/>
    <w:rsid w:val="00A000BB"/>
    <w:rsid w:val="00A00316"/>
    <w:rsid w:val="00A0056F"/>
    <w:rsid w:val="00A007F5"/>
    <w:rsid w:val="00A00955"/>
    <w:rsid w:val="00A0140E"/>
    <w:rsid w:val="00A022F6"/>
    <w:rsid w:val="00A02572"/>
    <w:rsid w:val="00A03202"/>
    <w:rsid w:val="00A043BB"/>
    <w:rsid w:val="00A05039"/>
    <w:rsid w:val="00A05BF4"/>
    <w:rsid w:val="00A0600D"/>
    <w:rsid w:val="00A06097"/>
    <w:rsid w:val="00A067F8"/>
    <w:rsid w:val="00A0686B"/>
    <w:rsid w:val="00A06963"/>
    <w:rsid w:val="00A0748C"/>
    <w:rsid w:val="00A1047E"/>
    <w:rsid w:val="00A10482"/>
    <w:rsid w:val="00A10821"/>
    <w:rsid w:val="00A109BE"/>
    <w:rsid w:val="00A113FC"/>
    <w:rsid w:val="00A12589"/>
    <w:rsid w:val="00A12906"/>
    <w:rsid w:val="00A12D0A"/>
    <w:rsid w:val="00A12EC1"/>
    <w:rsid w:val="00A12FE2"/>
    <w:rsid w:val="00A136CF"/>
    <w:rsid w:val="00A13DA1"/>
    <w:rsid w:val="00A13DEC"/>
    <w:rsid w:val="00A147A8"/>
    <w:rsid w:val="00A14D7C"/>
    <w:rsid w:val="00A14DEB"/>
    <w:rsid w:val="00A15C47"/>
    <w:rsid w:val="00A15F7F"/>
    <w:rsid w:val="00A168B9"/>
    <w:rsid w:val="00A16D9D"/>
    <w:rsid w:val="00A16EAE"/>
    <w:rsid w:val="00A16FA7"/>
    <w:rsid w:val="00A173BD"/>
    <w:rsid w:val="00A17539"/>
    <w:rsid w:val="00A200F6"/>
    <w:rsid w:val="00A206D8"/>
    <w:rsid w:val="00A209CE"/>
    <w:rsid w:val="00A21026"/>
    <w:rsid w:val="00A21661"/>
    <w:rsid w:val="00A22B90"/>
    <w:rsid w:val="00A22C6D"/>
    <w:rsid w:val="00A23242"/>
    <w:rsid w:val="00A2351D"/>
    <w:rsid w:val="00A23B50"/>
    <w:rsid w:val="00A2487E"/>
    <w:rsid w:val="00A24B58"/>
    <w:rsid w:val="00A24CEC"/>
    <w:rsid w:val="00A257E3"/>
    <w:rsid w:val="00A25B13"/>
    <w:rsid w:val="00A2665A"/>
    <w:rsid w:val="00A270BC"/>
    <w:rsid w:val="00A27D12"/>
    <w:rsid w:val="00A3057B"/>
    <w:rsid w:val="00A30994"/>
    <w:rsid w:val="00A30EE0"/>
    <w:rsid w:val="00A30FD8"/>
    <w:rsid w:val="00A32286"/>
    <w:rsid w:val="00A32301"/>
    <w:rsid w:val="00A33315"/>
    <w:rsid w:val="00A3375E"/>
    <w:rsid w:val="00A33851"/>
    <w:rsid w:val="00A3399C"/>
    <w:rsid w:val="00A33A61"/>
    <w:rsid w:val="00A34057"/>
    <w:rsid w:val="00A34706"/>
    <w:rsid w:val="00A34772"/>
    <w:rsid w:val="00A349DB"/>
    <w:rsid w:val="00A34DE9"/>
    <w:rsid w:val="00A34EC7"/>
    <w:rsid w:val="00A35AC3"/>
    <w:rsid w:val="00A36444"/>
    <w:rsid w:val="00A36718"/>
    <w:rsid w:val="00A36787"/>
    <w:rsid w:val="00A371C8"/>
    <w:rsid w:val="00A37B1F"/>
    <w:rsid w:val="00A40321"/>
    <w:rsid w:val="00A405CD"/>
    <w:rsid w:val="00A4087E"/>
    <w:rsid w:val="00A408C5"/>
    <w:rsid w:val="00A40CAB"/>
    <w:rsid w:val="00A40FF3"/>
    <w:rsid w:val="00A413E6"/>
    <w:rsid w:val="00A414A0"/>
    <w:rsid w:val="00A421E3"/>
    <w:rsid w:val="00A42942"/>
    <w:rsid w:val="00A42A0B"/>
    <w:rsid w:val="00A42BAD"/>
    <w:rsid w:val="00A42C17"/>
    <w:rsid w:val="00A42C33"/>
    <w:rsid w:val="00A42E49"/>
    <w:rsid w:val="00A4321D"/>
    <w:rsid w:val="00A43765"/>
    <w:rsid w:val="00A43B3E"/>
    <w:rsid w:val="00A442D7"/>
    <w:rsid w:val="00A442EF"/>
    <w:rsid w:val="00A44878"/>
    <w:rsid w:val="00A449F4"/>
    <w:rsid w:val="00A45941"/>
    <w:rsid w:val="00A46665"/>
    <w:rsid w:val="00A46929"/>
    <w:rsid w:val="00A46C77"/>
    <w:rsid w:val="00A47267"/>
    <w:rsid w:val="00A472D6"/>
    <w:rsid w:val="00A47932"/>
    <w:rsid w:val="00A47F79"/>
    <w:rsid w:val="00A5066D"/>
    <w:rsid w:val="00A52525"/>
    <w:rsid w:val="00A525F4"/>
    <w:rsid w:val="00A52608"/>
    <w:rsid w:val="00A5292B"/>
    <w:rsid w:val="00A534DB"/>
    <w:rsid w:val="00A539D8"/>
    <w:rsid w:val="00A53FCB"/>
    <w:rsid w:val="00A543E5"/>
    <w:rsid w:val="00A545CC"/>
    <w:rsid w:val="00A547C1"/>
    <w:rsid w:val="00A55210"/>
    <w:rsid w:val="00A57A93"/>
    <w:rsid w:val="00A57CA5"/>
    <w:rsid w:val="00A57D43"/>
    <w:rsid w:val="00A612F9"/>
    <w:rsid w:val="00A619E7"/>
    <w:rsid w:val="00A61DA3"/>
    <w:rsid w:val="00A62097"/>
    <w:rsid w:val="00A62ACA"/>
    <w:rsid w:val="00A62D80"/>
    <w:rsid w:val="00A630DC"/>
    <w:rsid w:val="00A63263"/>
    <w:rsid w:val="00A63638"/>
    <w:rsid w:val="00A63708"/>
    <w:rsid w:val="00A6506D"/>
    <w:rsid w:val="00A6537E"/>
    <w:rsid w:val="00A65429"/>
    <w:rsid w:val="00A6573C"/>
    <w:rsid w:val="00A65A3D"/>
    <w:rsid w:val="00A65AC5"/>
    <w:rsid w:val="00A65E15"/>
    <w:rsid w:val="00A66071"/>
    <w:rsid w:val="00A6707A"/>
    <w:rsid w:val="00A6717C"/>
    <w:rsid w:val="00A705AB"/>
    <w:rsid w:val="00A7093F"/>
    <w:rsid w:val="00A71A1A"/>
    <w:rsid w:val="00A720DD"/>
    <w:rsid w:val="00A7233D"/>
    <w:rsid w:val="00A7293B"/>
    <w:rsid w:val="00A737B0"/>
    <w:rsid w:val="00A738E8"/>
    <w:rsid w:val="00A73AB6"/>
    <w:rsid w:val="00A73C5A"/>
    <w:rsid w:val="00A7437C"/>
    <w:rsid w:val="00A7498B"/>
    <w:rsid w:val="00A74D76"/>
    <w:rsid w:val="00A74D82"/>
    <w:rsid w:val="00A7509D"/>
    <w:rsid w:val="00A75750"/>
    <w:rsid w:val="00A75A43"/>
    <w:rsid w:val="00A761CA"/>
    <w:rsid w:val="00A766F9"/>
    <w:rsid w:val="00A76B36"/>
    <w:rsid w:val="00A76D5C"/>
    <w:rsid w:val="00A7715E"/>
    <w:rsid w:val="00A7740A"/>
    <w:rsid w:val="00A77838"/>
    <w:rsid w:val="00A77B8F"/>
    <w:rsid w:val="00A77DF9"/>
    <w:rsid w:val="00A800F7"/>
    <w:rsid w:val="00A8037F"/>
    <w:rsid w:val="00A80669"/>
    <w:rsid w:val="00A80807"/>
    <w:rsid w:val="00A80C5E"/>
    <w:rsid w:val="00A816C7"/>
    <w:rsid w:val="00A816E6"/>
    <w:rsid w:val="00A81E04"/>
    <w:rsid w:val="00A82336"/>
    <w:rsid w:val="00A82CEC"/>
    <w:rsid w:val="00A8365A"/>
    <w:rsid w:val="00A83F11"/>
    <w:rsid w:val="00A841AA"/>
    <w:rsid w:val="00A84507"/>
    <w:rsid w:val="00A84874"/>
    <w:rsid w:val="00A8522C"/>
    <w:rsid w:val="00A856C2"/>
    <w:rsid w:val="00A85B2F"/>
    <w:rsid w:val="00A8618B"/>
    <w:rsid w:val="00A86240"/>
    <w:rsid w:val="00A864B5"/>
    <w:rsid w:val="00A86B55"/>
    <w:rsid w:val="00A87100"/>
    <w:rsid w:val="00A873EA"/>
    <w:rsid w:val="00A87449"/>
    <w:rsid w:val="00A875C9"/>
    <w:rsid w:val="00A87F54"/>
    <w:rsid w:val="00A90037"/>
    <w:rsid w:val="00A908AB"/>
    <w:rsid w:val="00A90FE0"/>
    <w:rsid w:val="00A91139"/>
    <w:rsid w:val="00A917EB"/>
    <w:rsid w:val="00A918C9"/>
    <w:rsid w:val="00A91D5D"/>
    <w:rsid w:val="00A92225"/>
    <w:rsid w:val="00A938AA"/>
    <w:rsid w:val="00A939CC"/>
    <w:rsid w:val="00A941F3"/>
    <w:rsid w:val="00A9435B"/>
    <w:rsid w:val="00A94B8F"/>
    <w:rsid w:val="00A9524B"/>
    <w:rsid w:val="00A95A67"/>
    <w:rsid w:val="00A96A56"/>
    <w:rsid w:val="00A97355"/>
    <w:rsid w:val="00A976CA"/>
    <w:rsid w:val="00A979E0"/>
    <w:rsid w:val="00A97AD2"/>
    <w:rsid w:val="00AA0756"/>
    <w:rsid w:val="00AA124A"/>
    <w:rsid w:val="00AA12A2"/>
    <w:rsid w:val="00AA1764"/>
    <w:rsid w:val="00AA1D24"/>
    <w:rsid w:val="00AA1D7D"/>
    <w:rsid w:val="00AA22F6"/>
    <w:rsid w:val="00AA32D4"/>
    <w:rsid w:val="00AA35C8"/>
    <w:rsid w:val="00AA3606"/>
    <w:rsid w:val="00AA4ACA"/>
    <w:rsid w:val="00AA599D"/>
    <w:rsid w:val="00AA5C64"/>
    <w:rsid w:val="00AA6363"/>
    <w:rsid w:val="00AA64F0"/>
    <w:rsid w:val="00AA6557"/>
    <w:rsid w:val="00AA67CC"/>
    <w:rsid w:val="00AA7176"/>
    <w:rsid w:val="00AA741A"/>
    <w:rsid w:val="00AA764C"/>
    <w:rsid w:val="00AA7E44"/>
    <w:rsid w:val="00AB139F"/>
    <w:rsid w:val="00AB1614"/>
    <w:rsid w:val="00AB1CB1"/>
    <w:rsid w:val="00AB26E0"/>
    <w:rsid w:val="00AB2B24"/>
    <w:rsid w:val="00AB2B82"/>
    <w:rsid w:val="00AB2CA0"/>
    <w:rsid w:val="00AB2DD4"/>
    <w:rsid w:val="00AB2FE6"/>
    <w:rsid w:val="00AB307A"/>
    <w:rsid w:val="00AB30F0"/>
    <w:rsid w:val="00AB4734"/>
    <w:rsid w:val="00AB4E78"/>
    <w:rsid w:val="00AB5002"/>
    <w:rsid w:val="00AB53FF"/>
    <w:rsid w:val="00AB562E"/>
    <w:rsid w:val="00AB5E64"/>
    <w:rsid w:val="00AB6894"/>
    <w:rsid w:val="00AB6CDD"/>
    <w:rsid w:val="00AC067E"/>
    <w:rsid w:val="00AC085D"/>
    <w:rsid w:val="00AC0A0D"/>
    <w:rsid w:val="00AC0A31"/>
    <w:rsid w:val="00AC0B19"/>
    <w:rsid w:val="00AC0B6A"/>
    <w:rsid w:val="00AC1E8F"/>
    <w:rsid w:val="00AC29B2"/>
    <w:rsid w:val="00AC2E3E"/>
    <w:rsid w:val="00AC34A2"/>
    <w:rsid w:val="00AC3668"/>
    <w:rsid w:val="00AC3737"/>
    <w:rsid w:val="00AC3883"/>
    <w:rsid w:val="00AC4758"/>
    <w:rsid w:val="00AC6215"/>
    <w:rsid w:val="00AC6985"/>
    <w:rsid w:val="00AC74A1"/>
    <w:rsid w:val="00AC7614"/>
    <w:rsid w:val="00AC7653"/>
    <w:rsid w:val="00AC7B2A"/>
    <w:rsid w:val="00AD0078"/>
    <w:rsid w:val="00AD007B"/>
    <w:rsid w:val="00AD0345"/>
    <w:rsid w:val="00AD07B6"/>
    <w:rsid w:val="00AD0918"/>
    <w:rsid w:val="00AD0D73"/>
    <w:rsid w:val="00AD192E"/>
    <w:rsid w:val="00AD230F"/>
    <w:rsid w:val="00AD24E2"/>
    <w:rsid w:val="00AD27AE"/>
    <w:rsid w:val="00AD2CF5"/>
    <w:rsid w:val="00AD3581"/>
    <w:rsid w:val="00AD4053"/>
    <w:rsid w:val="00AD4287"/>
    <w:rsid w:val="00AD42E2"/>
    <w:rsid w:val="00AD46F3"/>
    <w:rsid w:val="00AD4CFF"/>
    <w:rsid w:val="00AD5189"/>
    <w:rsid w:val="00AD550E"/>
    <w:rsid w:val="00AD5F78"/>
    <w:rsid w:val="00AD60E4"/>
    <w:rsid w:val="00AD62E7"/>
    <w:rsid w:val="00AD6A30"/>
    <w:rsid w:val="00AD6F4C"/>
    <w:rsid w:val="00AD7B96"/>
    <w:rsid w:val="00AD7BEA"/>
    <w:rsid w:val="00AE0418"/>
    <w:rsid w:val="00AE0B62"/>
    <w:rsid w:val="00AE0DD0"/>
    <w:rsid w:val="00AE1438"/>
    <w:rsid w:val="00AE1C94"/>
    <w:rsid w:val="00AE2556"/>
    <w:rsid w:val="00AE2C09"/>
    <w:rsid w:val="00AE3C36"/>
    <w:rsid w:val="00AE40BA"/>
    <w:rsid w:val="00AE43CF"/>
    <w:rsid w:val="00AE4452"/>
    <w:rsid w:val="00AE496C"/>
    <w:rsid w:val="00AE4D22"/>
    <w:rsid w:val="00AE4D82"/>
    <w:rsid w:val="00AE4F25"/>
    <w:rsid w:val="00AE59FB"/>
    <w:rsid w:val="00AE672E"/>
    <w:rsid w:val="00AE703B"/>
    <w:rsid w:val="00AE712F"/>
    <w:rsid w:val="00AE71A8"/>
    <w:rsid w:val="00AE7BF6"/>
    <w:rsid w:val="00AE7EA6"/>
    <w:rsid w:val="00AF0E64"/>
    <w:rsid w:val="00AF13EB"/>
    <w:rsid w:val="00AF14C9"/>
    <w:rsid w:val="00AF183A"/>
    <w:rsid w:val="00AF1B45"/>
    <w:rsid w:val="00AF28AF"/>
    <w:rsid w:val="00AF2900"/>
    <w:rsid w:val="00AF2FFC"/>
    <w:rsid w:val="00AF31D6"/>
    <w:rsid w:val="00AF5AF0"/>
    <w:rsid w:val="00AF6BB1"/>
    <w:rsid w:val="00AF735F"/>
    <w:rsid w:val="00AF755F"/>
    <w:rsid w:val="00AF7ABC"/>
    <w:rsid w:val="00AF7C2F"/>
    <w:rsid w:val="00AF7ECB"/>
    <w:rsid w:val="00B009BC"/>
    <w:rsid w:val="00B01A2B"/>
    <w:rsid w:val="00B01D69"/>
    <w:rsid w:val="00B02D2B"/>
    <w:rsid w:val="00B02EBF"/>
    <w:rsid w:val="00B02EC9"/>
    <w:rsid w:val="00B038BA"/>
    <w:rsid w:val="00B03F9D"/>
    <w:rsid w:val="00B041AF"/>
    <w:rsid w:val="00B04DC5"/>
    <w:rsid w:val="00B06476"/>
    <w:rsid w:val="00B067E7"/>
    <w:rsid w:val="00B07041"/>
    <w:rsid w:val="00B0753F"/>
    <w:rsid w:val="00B07D76"/>
    <w:rsid w:val="00B10965"/>
    <w:rsid w:val="00B1107C"/>
    <w:rsid w:val="00B11CAA"/>
    <w:rsid w:val="00B11D76"/>
    <w:rsid w:val="00B1288D"/>
    <w:rsid w:val="00B12A4A"/>
    <w:rsid w:val="00B12EE1"/>
    <w:rsid w:val="00B12F2E"/>
    <w:rsid w:val="00B13472"/>
    <w:rsid w:val="00B13558"/>
    <w:rsid w:val="00B14499"/>
    <w:rsid w:val="00B14591"/>
    <w:rsid w:val="00B1488A"/>
    <w:rsid w:val="00B15731"/>
    <w:rsid w:val="00B163F1"/>
    <w:rsid w:val="00B16C0A"/>
    <w:rsid w:val="00B170E0"/>
    <w:rsid w:val="00B170E6"/>
    <w:rsid w:val="00B175C0"/>
    <w:rsid w:val="00B206C1"/>
    <w:rsid w:val="00B206DE"/>
    <w:rsid w:val="00B21F76"/>
    <w:rsid w:val="00B23691"/>
    <w:rsid w:val="00B23A2A"/>
    <w:rsid w:val="00B244EA"/>
    <w:rsid w:val="00B24D1D"/>
    <w:rsid w:val="00B25242"/>
    <w:rsid w:val="00B25836"/>
    <w:rsid w:val="00B259DF"/>
    <w:rsid w:val="00B25B95"/>
    <w:rsid w:val="00B26260"/>
    <w:rsid w:val="00B26D2E"/>
    <w:rsid w:val="00B2707F"/>
    <w:rsid w:val="00B3008B"/>
    <w:rsid w:val="00B30136"/>
    <w:rsid w:val="00B3033C"/>
    <w:rsid w:val="00B306DC"/>
    <w:rsid w:val="00B30739"/>
    <w:rsid w:val="00B30AB6"/>
    <w:rsid w:val="00B30F53"/>
    <w:rsid w:val="00B32127"/>
    <w:rsid w:val="00B325DA"/>
    <w:rsid w:val="00B3275F"/>
    <w:rsid w:val="00B32FAF"/>
    <w:rsid w:val="00B33EFC"/>
    <w:rsid w:val="00B33F0E"/>
    <w:rsid w:val="00B3425D"/>
    <w:rsid w:val="00B344DF"/>
    <w:rsid w:val="00B34DDE"/>
    <w:rsid w:val="00B3501F"/>
    <w:rsid w:val="00B35B81"/>
    <w:rsid w:val="00B35C03"/>
    <w:rsid w:val="00B370A5"/>
    <w:rsid w:val="00B3793E"/>
    <w:rsid w:val="00B37A08"/>
    <w:rsid w:val="00B40B34"/>
    <w:rsid w:val="00B40E8C"/>
    <w:rsid w:val="00B412CE"/>
    <w:rsid w:val="00B41D70"/>
    <w:rsid w:val="00B428DB"/>
    <w:rsid w:val="00B42953"/>
    <w:rsid w:val="00B431F4"/>
    <w:rsid w:val="00B43FC3"/>
    <w:rsid w:val="00B4451E"/>
    <w:rsid w:val="00B4553C"/>
    <w:rsid w:val="00B456DC"/>
    <w:rsid w:val="00B46487"/>
    <w:rsid w:val="00B469D3"/>
    <w:rsid w:val="00B46EC4"/>
    <w:rsid w:val="00B47BA8"/>
    <w:rsid w:val="00B525F3"/>
    <w:rsid w:val="00B5290E"/>
    <w:rsid w:val="00B5319B"/>
    <w:rsid w:val="00B533B5"/>
    <w:rsid w:val="00B53D1C"/>
    <w:rsid w:val="00B5420F"/>
    <w:rsid w:val="00B55231"/>
    <w:rsid w:val="00B55524"/>
    <w:rsid w:val="00B559BF"/>
    <w:rsid w:val="00B56029"/>
    <w:rsid w:val="00B560E9"/>
    <w:rsid w:val="00B5720B"/>
    <w:rsid w:val="00B573D5"/>
    <w:rsid w:val="00B57902"/>
    <w:rsid w:val="00B57981"/>
    <w:rsid w:val="00B6097C"/>
    <w:rsid w:val="00B61426"/>
    <w:rsid w:val="00B6167D"/>
    <w:rsid w:val="00B616BA"/>
    <w:rsid w:val="00B6184E"/>
    <w:rsid w:val="00B619E5"/>
    <w:rsid w:val="00B61B57"/>
    <w:rsid w:val="00B61ED8"/>
    <w:rsid w:val="00B61FE9"/>
    <w:rsid w:val="00B6237F"/>
    <w:rsid w:val="00B629F1"/>
    <w:rsid w:val="00B630E6"/>
    <w:rsid w:val="00B63F36"/>
    <w:rsid w:val="00B641D2"/>
    <w:rsid w:val="00B65523"/>
    <w:rsid w:val="00B65C57"/>
    <w:rsid w:val="00B6657B"/>
    <w:rsid w:val="00B66681"/>
    <w:rsid w:val="00B6676B"/>
    <w:rsid w:val="00B66933"/>
    <w:rsid w:val="00B66DA1"/>
    <w:rsid w:val="00B670E0"/>
    <w:rsid w:val="00B7053B"/>
    <w:rsid w:val="00B70A9D"/>
    <w:rsid w:val="00B70F51"/>
    <w:rsid w:val="00B7158D"/>
    <w:rsid w:val="00B71B47"/>
    <w:rsid w:val="00B7218A"/>
    <w:rsid w:val="00B72347"/>
    <w:rsid w:val="00B732D1"/>
    <w:rsid w:val="00B73D88"/>
    <w:rsid w:val="00B7408A"/>
    <w:rsid w:val="00B741C5"/>
    <w:rsid w:val="00B74DC5"/>
    <w:rsid w:val="00B74F3A"/>
    <w:rsid w:val="00B75A4C"/>
    <w:rsid w:val="00B76443"/>
    <w:rsid w:val="00B768D6"/>
    <w:rsid w:val="00B8057C"/>
    <w:rsid w:val="00B80BD9"/>
    <w:rsid w:val="00B82539"/>
    <w:rsid w:val="00B83577"/>
    <w:rsid w:val="00B842E0"/>
    <w:rsid w:val="00B849C1"/>
    <w:rsid w:val="00B850BE"/>
    <w:rsid w:val="00B8639C"/>
    <w:rsid w:val="00B86870"/>
    <w:rsid w:val="00B86EBF"/>
    <w:rsid w:val="00B86FC3"/>
    <w:rsid w:val="00B870EF"/>
    <w:rsid w:val="00B87392"/>
    <w:rsid w:val="00B87876"/>
    <w:rsid w:val="00B87F30"/>
    <w:rsid w:val="00B90093"/>
    <w:rsid w:val="00B90845"/>
    <w:rsid w:val="00B922F7"/>
    <w:rsid w:val="00B925DE"/>
    <w:rsid w:val="00B9280C"/>
    <w:rsid w:val="00B9315D"/>
    <w:rsid w:val="00B93D30"/>
    <w:rsid w:val="00B93F73"/>
    <w:rsid w:val="00B943B4"/>
    <w:rsid w:val="00B945BA"/>
    <w:rsid w:val="00B949E4"/>
    <w:rsid w:val="00B94C48"/>
    <w:rsid w:val="00B94EC1"/>
    <w:rsid w:val="00B95096"/>
    <w:rsid w:val="00B95462"/>
    <w:rsid w:val="00B959DA"/>
    <w:rsid w:val="00B95A17"/>
    <w:rsid w:val="00B95AF6"/>
    <w:rsid w:val="00B96C06"/>
    <w:rsid w:val="00B96C72"/>
    <w:rsid w:val="00B96DC1"/>
    <w:rsid w:val="00B96F25"/>
    <w:rsid w:val="00B9742F"/>
    <w:rsid w:val="00B97814"/>
    <w:rsid w:val="00B978DC"/>
    <w:rsid w:val="00B97A37"/>
    <w:rsid w:val="00B97A62"/>
    <w:rsid w:val="00BA0122"/>
    <w:rsid w:val="00BA2BE3"/>
    <w:rsid w:val="00BA2C85"/>
    <w:rsid w:val="00BA3261"/>
    <w:rsid w:val="00BA344F"/>
    <w:rsid w:val="00BA38D0"/>
    <w:rsid w:val="00BA39BC"/>
    <w:rsid w:val="00BA3DDD"/>
    <w:rsid w:val="00BA4596"/>
    <w:rsid w:val="00BA4C89"/>
    <w:rsid w:val="00BA578E"/>
    <w:rsid w:val="00BA59AD"/>
    <w:rsid w:val="00BA5B9C"/>
    <w:rsid w:val="00BA652A"/>
    <w:rsid w:val="00BA6563"/>
    <w:rsid w:val="00BA755A"/>
    <w:rsid w:val="00BA7A45"/>
    <w:rsid w:val="00BA7E48"/>
    <w:rsid w:val="00BA7FE0"/>
    <w:rsid w:val="00BB1A2F"/>
    <w:rsid w:val="00BB1ADC"/>
    <w:rsid w:val="00BB1B06"/>
    <w:rsid w:val="00BB1E06"/>
    <w:rsid w:val="00BB20EB"/>
    <w:rsid w:val="00BB33CF"/>
    <w:rsid w:val="00BB3BDF"/>
    <w:rsid w:val="00BB3C32"/>
    <w:rsid w:val="00BB3EDA"/>
    <w:rsid w:val="00BB4078"/>
    <w:rsid w:val="00BB44D8"/>
    <w:rsid w:val="00BB4594"/>
    <w:rsid w:val="00BB4EAF"/>
    <w:rsid w:val="00BB5253"/>
    <w:rsid w:val="00BB598A"/>
    <w:rsid w:val="00BB5B57"/>
    <w:rsid w:val="00BB5C0B"/>
    <w:rsid w:val="00BB5C56"/>
    <w:rsid w:val="00BB6F8B"/>
    <w:rsid w:val="00BB73FB"/>
    <w:rsid w:val="00BB77C5"/>
    <w:rsid w:val="00BB7BC0"/>
    <w:rsid w:val="00BB7C00"/>
    <w:rsid w:val="00BB7C67"/>
    <w:rsid w:val="00BC000F"/>
    <w:rsid w:val="00BC09FC"/>
    <w:rsid w:val="00BC1291"/>
    <w:rsid w:val="00BC16BC"/>
    <w:rsid w:val="00BC17DE"/>
    <w:rsid w:val="00BC190A"/>
    <w:rsid w:val="00BC1AF0"/>
    <w:rsid w:val="00BC3792"/>
    <w:rsid w:val="00BC3D5D"/>
    <w:rsid w:val="00BC3FC2"/>
    <w:rsid w:val="00BC438B"/>
    <w:rsid w:val="00BC45DE"/>
    <w:rsid w:val="00BC4C4D"/>
    <w:rsid w:val="00BC4F28"/>
    <w:rsid w:val="00BC5514"/>
    <w:rsid w:val="00BC5CDF"/>
    <w:rsid w:val="00BC639B"/>
    <w:rsid w:val="00BC6B14"/>
    <w:rsid w:val="00BC6BA1"/>
    <w:rsid w:val="00BC7019"/>
    <w:rsid w:val="00BC7228"/>
    <w:rsid w:val="00BC7670"/>
    <w:rsid w:val="00BD0185"/>
    <w:rsid w:val="00BD018A"/>
    <w:rsid w:val="00BD03B6"/>
    <w:rsid w:val="00BD0F1F"/>
    <w:rsid w:val="00BD1205"/>
    <w:rsid w:val="00BD1419"/>
    <w:rsid w:val="00BD1461"/>
    <w:rsid w:val="00BD1682"/>
    <w:rsid w:val="00BD1CBB"/>
    <w:rsid w:val="00BD1E5C"/>
    <w:rsid w:val="00BD1FB0"/>
    <w:rsid w:val="00BD2074"/>
    <w:rsid w:val="00BD2131"/>
    <w:rsid w:val="00BD21F5"/>
    <w:rsid w:val="00BD23D9"/>
    <w:rsid w:val="00BD2B41"/>
    <w:rsid w:val="00BD40F2"/>
    <w:rsid w:val="00BD40F5"/>
    <w:rsid w:val="00BD4509"/>
    <w:rsid w:val="00BD46A9"/>
    <w:rsid w:val="00BD54FE"/>
    <w:rsid w:val="00BD5A11"/>
    <w:rsid w:val="00BD5DE6"/>
    <w:rsid w:val="00BD6D7E"/>
    <w:rsid w:val="00BD703F"/>
    <w:rsid w:val="00BD7B3E"/>
    <w:rsid w:val="00BE0E6A"/>
    <w:rsid w:val="00BE0F48"/>
    <w:rsid w:val="00BE18A3"/>
    <w:rsid w:val="00BE2765"/>
    <w:rsid w:val="00BE2ED0"/>
    <w:rsid w:val="00BE3020"/>
    <w:rsid w:val="00BE344F"/>
    <w:rsid w:val="00BE3688"/>
    <w:rsid w:val="00BE3C9E"/>
    <w:rsid w:val="00BE3FAF"/>
    <w:rsid w:val="00BE42F3"/>
    <w:rsid w:val="00BE4888"/>
    <w:rsid w:val="00BE4992"/>
    <w:rsid w:val="00BE4DD7"/>
    <w:rsid w:val="00BE4E05"/>
    <w:rsid w:val="00BE51BA"/>
    <w:rsid w:val="00BE5542"/>
    <w:rsid w:val="00BE5921"/>
    <w:rsid w:val="00BE5AD5"/>
    <w:rsid w:val="00BE6163"/>
    <w:rsid w:val="00BE67D3"/>
    <w:rsid w:val="00BE6ABC"/>
    <w:rsid w:val="00BE6EF4"/>
    <w:rsid w:val="00BE7BB4"/>
    <w:rsid w:val="00BE7E64"/>
    <w:rsid w:val="00BF0538"/>
    <w:rsid w:val="00BF0622"/>
    <w:rsid w:val="00BF086E"/>
    <w:rsid w:val="00BF0B21"/>
    <w:rsid w:val="00BF0E05"/>
    <w:rsid w:val="00BF0FA2"/>
    <w:rsid w:val="00BF11EB"/>
    <w:rsid w:val="00BF174E"/>
    <w:rsid w:val="00BF18BD"/>
    <w:rsid w:val="00BF1C71"/>
    <w:rsid w:val="00BF20AB"/>
    <w:rsid w:val="00BF2322"/>
    <w:rsid w:val="00BF310E"/>
    <w:rsid w:val="00BF3716"/>
    <w:rsid w:val="00BF3EB6"/>
    <w:rsid w:val="00BF4458"/>
    <w:rsid w:val="00BF4A9B"/>
    <w:rsid w:val="00BF5A3B"/>
    <w:rsid w:val="00BF6584"/>
    <w:rsid w:val="00BF6989"/>
    <w:rsid w:val="00BF6FB5"/>
    <w:rsid w:val="00BF7419"/>
    <w:rsid w:val="00BF768F"/>
    <w:rsid w:val="00C001E3"/>
    <w:rsid w:val="00C00857"/>
    <w:rsid w:val="00C0107D"/>
    <w:rsid w:val="00C01922"/>
    <w:rsid w:val="00C01B0C"/>
    <w:rsid w:val="00C01F61"/>
    <w:rsid w:val="00C0207F"/>
    <w:rsid w:val="00C031F9"/>
    <w:rsid w:val="00C03553"/>
    <w:rsid w:val="00C0399D"/>
    <w:rsid w:val="00C048C7"/>
    <w:rsid w:val="00C04BDE"/>
    <w:rsid w:val="00C062B5"/>
    <w:rsid w:val="00C063EB"/>
    <w:rsid w:val="00C06705"/>
    <w:rsid w:val="00C06F4E"/>
    <w:rsid w:val="00C07ACE"/>
    <w:rsid w:val="00C07EBC"/>
    <w:rsid w:val="00C07FD8"/>
    <w:rsid w:val="00C1003E"/>
    <w:rsid w:val="00C10DB8"/>
    <w:rsid w:val="00C11299"/>
    <w:rsid w:val="00C11535"/>
    <w:rsid w:val="00C11772"/>
    <w:rsid w:val="00C119CC"/>
    <w:rsid w:val="00C11F14"/>
    <w:rsid w:val="00C12349"/>
    <w:rsid w:val="00C12B95"/>
    <w:rsid w:val="00C13231"/>
    <w:rsid w:val="00C1359E"/>
    <w:rsid w:val="00C13A5B"/>
    <w:rsid w:val="00C14083"/>
    <w:rsid w:val="00C14639"/>
    <w:rsid w:val="00C14BB2"/>
    <w:rsid w:val="00C14D80"/>
    <w:rsid w:val="00C15B7C"/>
    <w:rsid w:val="00C15C61"/>
    <w:rsid w:val="00C15E93"/>
    <w:rsid w:val="00C15EBD"/>
    <w:rsid w:val="00C16131"/>
    <w:rsid w:val="00C16286"/>
    <w:rsid w:val="00C17717"/>
    <w:rsid w:val="00C17989"/>
    <w:rsid w:val="00C17BA3"/>
    <w:rsid w:val="00C2020E"/>
    <w:rsid w:val="00C206FD"/>
    <w:rsid w:val="00C20876"/>
    <w:rsid w:val="00C21036"/>
    <w:rsid w:val="00C211F1"/>
    <w:rsid w:val="00C21A64"/>
    <w:rsid w:val="00C22802"/>
    <w:rsid w:val="00C22984"/>
    <w:rsid w:val="00C22B27"/>
    <w:rsid w:val="00C230BB"/>
    <w:rsid w:val="00C241AD"/>
    <w:rsid w:val="00C24385"/>
    <w:rsid w:val="00C24B90"/>
    <w:rsid w:val="00C24D8C"/>
    <w:rsid w:val="00C261B9"/>
    <w:rsid w:val="00C2643D"/>
    <w:rsid w:val="00C264B9"/>
    <w:rsid w:val="00C2714B"/>
    <w:rsid w:val="00C27339"/>
    <w:rsid w:val="00C27421"/>
    <w:rsid w:val="00C27740"/>
    <w:rsid w:val="00C277A9"/>
    <w:rsid w:val="00C307B9"/>
    <w:rsid w:val="00C309BD"/>
    <w:rsid w:val="00C30E06"/>
    <w:rsid w:val="00C32C9C"/>
    <w:rsid w:val="00C33477"/>
    <w:rsid w:val="00C335B4"/>
    <w:rsid w:val="00C33861"/>
    <w:rsid w:val="00C33F5A"/>
    <w:rsid w:val="00C34402"/>
    <w:rsid w:val="00C34A27"/>
    <w:rsid w:val="00C35659"/>
    <w:rsid w:val="00C37234"/>
    <w:rsid w:val="00C377C3"/>
    <w:rsid w:val="00C37844"/>
    <w:rsid w:val="00C37BB6"/>
    <w:rsid w:val="00C37C46"/>
    <w:rsid w:val="00C40389"/>
    <w:rsid w:val="00C40ADB"/>
    <w:rsid w:val="00C40B51"/>
    <w:rsid w:val="00C4103C"/>
    <w:rsid w:val="00C41B18"/>
    <w:rsid w:val="00C41EBF"/>
    <w:rsid w:val="00C41F67"/>
    <w:rsid w:val="00C426DF"/>
    <w:rsid w:val="00C42B38"/>
    <w:rsid w:val="00C44181"/>
    <w:rsid w:val="00C441FE"/>
    <w:rsid w:val="00C44465"/>
    <w:rsid w:val="00C44B46"/>
    <w:rsid w:val="00C45111"/>
    <w:rsid w:val="00C455CC"/>
    <w:rsid w:val="00C45688"/>
    <w:rsid w:val="00C458C9"/>
    <w:rsid w:val="00C46979"/>
    <w:rsid w:val="00C4777A"/>
    <w:rsid w:val="00C47B66"/>
    <w:rsid w:val="00C47F8B"/>
    <w:rsid w:val="00C50877"/>
    <w:rsid w:val="00C508D6"/>
    <w:rsid w:val="00C51107"/>
    <w:rsid w:val="00C517CA"/>
    <w:rsid w:val="00C5191F"/>
    <w:rsid w:val="00C51948"/>
    <w:rsid w:val="00C51E3D"/>
    <w:rsid w:val="00C52354"/>
    <w:rsid w:val="00C53B7E"/>
    <w:rsid w:val="00C53D48"/>
    <w:rsid w:val="00C53FC2"/>
    <w:rsid w:val="00C55035"/>
    <w:rsid w:val="00C55501"/>
    <w:rsid w:val="00C55D68"/>
    <w:rsid w:val="00C562CC"/>
    <w:rsid w:val="00C56640"/>
    <w:rsid w:val="00C56952"/>
    <w:rsid w:val="00C56BC5"/>
    <w:rsid w:val="00C56D96"/>
    <w:rsid w:val="00C56DDC"/>
    <w:rsid w:val="00C6026A"/>
    <w:rsid w:val="00C612D8"/>
    <w:rsid w:val="00C616AE"/>
    <w:rsid w:val="00C61B7C"/>
    <w:rsid w:val="00C61DAB"/>
    <w:rsid w:val="00C61F07"/>
    <w:rsid w:val="00C62199"/>
    <w:rsid w:val="00C6303F"/>
    <w:rsid w:val="00C6366D"/>
    <w:rsid w:val="00C638BF"/>
    <w:rsid w:val="00C63902"/>
    <w:rsid w:val="00C63E9C"/>
    <w:rsid w:val="00C643C3"/>
    <w:rsid w:val="00C6450A"/>
    <w:rsid w:val="00C64A6F"/>
    <w:rsid w:val="00C64C92"/>
    <w:rsid w:val="00C65C6D"/>
    <w:rsid w:val="00C65D88"/>
    <w:rsid w:val="00C660A0"/>
    <w:rsid w:val="00C66252"/>
    <w:rsid w:val="00C66454"/>
    <w:rsid w:val="00C66620"/>
    <w:rsid w:val="00C67D48"/>
    <w:rsid w:val="00C67E9E"/>
    <w:rsid w:val="00C67F3B"/>
    <w:rsid w:val="00C703B7"/>
    <w:rsid w:val="00C7071E"/>
    <w:rsid w:val="00C707F6"/>
    <w:rsid w:val="00C7107B"/>
    <w:rsid w:val="00C71656"/>
    <w:rsid w:val="00C71F73"/>
    <w:rsid w:val="00C7281C"/>
    <w:rsid w:val="00C72B74"/>
    <w:rsid w:val="00C72DEC"/>
    <w:rsid w:val="00C73380"/>
    <w:rsid w:val="00C73D2B"/>
    <w:rsid w:val="00C73F20"/>
    <w:rsid w:val="00C743A3"/>
    <w:rsid w:val="00C743F7"/>
    <w:rsid w:val="00C74C8D"/>
    <w:rsid w:val="00C75974"/>
    <w:rsid w:val="00C764F8"/>
    <w:rsid w:val="00C76690"/>
    <w:rsid w:val="00C766E5"/>
    <w:rsid w:val="00C7678F"/>
    <w:rsid w:val="00C76D49"/>
    <w:rsid w:val="00C771A8"/>
    <w:rsid w:val="00C77648"/>
    <w:rsid w:val="00C77D76"/>
    <w:rsid w:val="00C80FE4"/>
    <w:rsid w:val="00C8118C"/>
    <w:rsid w:val="00C81544"/>
    <w:rsid w:val="00C8188F"/>
    <w:rsid w:val="00C82C13"/>
    <w:rsid w:val="00C82E75"/>
    <w:rsid w:val="00C836CD"/>
    <w:rsid w:val="00C83FB4"/>
    <w:rsid w:val="00C86882"/>
    <w:rsid w:val="00C86BDD"/>
    <w:rsid w:val="00C870F1"/>
    <w:rsid w:val="00C878BF"/>
    <w:rsid w:val="00C87945"/>
    <w:rsid w:val="00C9058E"/>
    <w:rsid w:val="00C93B05"/>
    <w:rsid w:val="00C94053"/>
    <w:rsid w:val="00C94DA0"/>
    <w:rsid w:val="00C954FF"/>
    <w:rsid w:val="00C959E5"/>
    <w:rsid w:val="00C9605B"/>
    <w:rsid w:val="00CA1533"/>
    <w:rsid w:val="00CA15A9"/>
    <w:rsid w:val="00CA1A45"/>
    <w:rsid w:val="00CA1C2B"/>
    <w:rsid w:val="00CA2125"/>
    <w:rsid w:val="00CA257A"/>
    <w:rsid w:val="00CA259E"/>
    <w:rsid w:val="00CA2B66"/>
    <w:rsid w:val="00CA3003"/>
    <w:rsid w:val="00CA4763"/>
    <w:rsid w:val="00CA4A3B"/>
    <w:rsid w:val="00CA5C98"/>
    <w:rsid w:val="00CA5F21"/>
    <w:rsid w:val="00CA6033"/>
    <w:rsid w:val="00CA6EA0"/>
    <w:rsid w:val="00CA70B3"/>
    <w:rsid w:val="00CA71F6"/>
    <w:rsid w:val="00CA74C0"/>
    <w:rsid w:val="00CB02B7"/>
    <w:rsid w:val="00CB0C44"/>
    <w:rsid w:val="00CB0F56"/>
    <w:rsid w:val="00CB11AE"/>
    <w:rsid w:val="00CB15CA"/>
    <w:rsid w:val="00CB1921"/>
    <w:rsid w:val="00CB20FE"/>
    <w:rsid w:val="00CB2468"/>
    <w:rsid w:val="00CB2A74"/>
    <w:rsid w:val="00CB385B"/>
    <w:rsid w:val="00CB3E57"/>
    <w:rsid w:val="00CB41F1"/>
    <w:rsid w:val="00CB468A"/>
    <w:rsid w:val="00CB5102"/>
    <w:rsid w:val="00CB561E"/>
    <w:rsid w:val="00CB5B41"/>
    <w:rsid w:val="00CB7469"/>
    <w:rsid w:val="00CB7539"/>
    <w:rsid w:val="00CC02DE"/>
    <w:rsid w:val="00CC0579"/>
    <w:rsid w:val="00CC13BC"/>
    <w:rsid w:val="00CC1581"/>
    <w:rsid w:val="00CC2369"/>
    <w:rsid w:val="00CC2578"/>
    <w:rsid w:val="00CC2765"/>
    <w:rsid w:val="00CC2819"/>
    <w:rsid w:val="00CC2CB3"/>
    <w:rsid w:val="00CC2FC0"/>
    <w:rsid w:val="00CC30FB"/>
    <w:rsid w:val="00CC3AAB"/>
    <w:rsid w:val="00CC3D6E"/>
    <w:rsid w:val="00CC4788"/>
    <w:rsid w:val="00CC4928"/>
    <w:rsid w:val="00CC5B5C"/>
    <w:rsid w:val="00CC70C8"/>
    <w:rsid w:val="00CC712E"/>
    <w:rsid w:val="00CC7783"/>
    <w:rsid w:val="00CC7B95"/>
    <w:rsid w:val="00CD0186"/>
    <w:rsid w:val="00CD0A84"/>
    <w:rsid w:val="00CD0C14"/>
    <w:rsid w:val="00CD0E23"/>
    <w:rsid w:val="00CD1CA6"/>
    <w:rsid w:val="00CD2344"/>
    <w:rsid w:val="00CD3282"/>
    <w:rsid w:val="00CD35DA"/>
    <w:rsid w:val="00CD3909"/>
    <w:rsid w:val="00CD3A76"/>
    <w:rsid w:val="00CD3D16"/>
    <w:rsid w:val="00CD3DB3"/>
    <w:rsid w:val="00CD4061"/>
    <w:rsid w:val="00CD412C"/>
    <w:rsid w:val="00CD45FF"/>
    <w:rsid w:val="00CD5675"/>
    <w:rsid w:val="00CD58D9"/>
    <w:rsid w:val="00CD5BC4"/>
    <w:rsid w:val="00CD5D9E"/>
    <w:rsid w:val="00CD6339"/>
    <w:rsid w:val="00CD6AFA"/>
    <w:rsid w:val="00CD6F4A"/>
    <w:rsid w:val="00CD7106"/>
    <w:rsid w:val="00CD7404"/>
    <w:rsid w:val="00CD76A4"/>
    <w:rsid w:val="00CD7F6E"/>
    <w:rsid w:val="00CE0A99"/>
    <w:rsid w:val="00CE0CEA"/>
    <w:rsid w:val="00CE0D5B"/>
    <w:rsid w:val="00CE16E9"/>
    <w:rsid w:val="00CE170D"/>
    <w:rsid w:val="00CE18D8"/>
    <w:rsid w:val="00CE2BA1"/>
    <w:rsid w:val="00CE3CC4"/>
    <w:rsid w:val="00CE41CD"/>
    <w:rsid w:val="00CE46B3"/>
    <w:rsid w:val="00CE4A63"/>
    <w:rsid w:val="00CE4CA2"/>
    <w:rsid w:val="00CE4CBB"/>
    <w:rsid w:val="00CE517C"/>
    <w:rsid w:val="00CE563C"/>
    <w:rsid w:val="00CE5BDF"/>
    <w:rsid w:val="00CE5F06"/>
    <w:rsid w:val="00CE63F0"/>
    <w:rsid w:val="00CE6E6F"/>
    <w:rsid w:val="00CE7005"/>
    <w:rsid w:val="00CE72A8"/>
    <w:rsid w:val="00CE7372"/>
    <w:rsid w:val="00CF05E6"/>
    <w:rsid w:val="00CF0BF2"/>
    <w:rsid w:val="00CF13FD"/>
    <w:rsid w:val="00CF1C6E"/>
    <w:rsid w:val="00CF35C9"/>
    <w:rsid w:val="00CF38F3"/>
    <w:rsid w:val="00CF4A6E"/>
    <w:rsid w:val="00CF4E15"/>
    <w:rsid w:val="00CF535F"/>
    <w:rsid w:val="00CF596F"/>
    <w:rsid w:val="00CF5CB3"/>
    <w:rsid w:val="00CF6628"/>
    <w:rsid w:val="00CF6D41"/>
    <w:rsid w:val="00CF7280"/>
    <w:rsid w:val="00CF7D1F"/>
    <w:rsid w:val="00CF7EDA"/>
    <w:rsid w:val="00D00878"/>
    <w:rsid w:val="00D02501"/>
    <w:rsid w:val="00D02540"/>
    <w:rsid w:val="00D02730"/>
    <w:rsid w:val="00D0373A"/>
    <w:rsid w:val="00D040E6"/>
    <w:rsid w:val="00D044F7"/>
    <w:rsid w:val="00D04616"/>
    <w:rsid w:val="00D048E4"/>
    <w:rsid w:val="00D05981"/>
    <w:rsid w:val="00D05C0E"/>
    <w:rsid w:val="00D05F24"/>
    <w:rsid w:val="00D065D3"/>
    <w:rsid w:val="00D068F1"/>
    <w:rsid w:val="00D069FC"/>
    <w:rsid w:val="00D101F6"/>
    <w:rsid w:val="00D11261"/>
    <w:rsid w:val="00D117AD"/>
    <w:rsid w:val="00D11A7D"/>
    <w:rsid w:val="00D11D1C"/>
    <w:rsid w:val="00D12430"/>
    <w:rsid w:val="00D1254B"/>
    <w:rsid w:val="00D12694"/>
    <w:rsid w:val="00D12D69"/>
    <w:rsid w:val="00D13103"/>
    <w:rsid w:val="00D13250"/>
    <w:rsid w:val="00D134C2"/>
    <w:rsid w:val="00D13672"/>
    <w:rsid w:val="00D13710"/>
    <w:rsid w:val="00D137AD"/>
    <w:rsid w:val="00D137EC"/>
    <w:rsid w:val="00D141B4"/>
    <w:rsid w:val="00D14846"/>
    <w:rsid w:val="00D15833"/>
    <w:rsid w:val="00D158AD"/>
    <w:rsid w:val="00D15CB6"/>
    <w:rsid w:val="00D162C9"/>
    <w:rsid w:val="00D1654B"/>
    <w:rsid w:val="00D165AF"/>
    <w:rsid w:val="00D16793"/>
    <w:rsid w:val="00D16C89"/>
    <w:rsid w:val="00D17225"/>
    <w:rsid w:val="00D1759F"/>
    <w:rsid w:val="00D17CC2"/>
    <w:rsid w:val="00D17CCD"/>
    <w:rsid w:val="00D20415"/>
    <w:rsid w:val="00D20585"/>
    <w:rsid w:val="00D21645"/>
    <w:rsid w:val="00D21E0C"/>
    <w:rsid w:val="00D2211B"/>
    <w:rsid w:val="00D2216C"/>
    <w:rsid w:val="00D22463"/>
    <w:rsid w:val="00D2281A"/>
    <w:rsid w:val="00D22A51"/>
    <w:rsid w:val="00D22E9E"/>
    <w:rsid w:val="00D23685"/>
    <w:rsid w:val="00D23C54"/>
    <w:rsid w:val="00D244DC"/>
    <w:rsid w:val="00D24A6B"/>
    <w:rsid w:val="00D25074"/>
    <w:rsid w:val="00D26018"/>
    <w:rsid w:val="00D2662F"/>
    <w:rsid w:val="00D266E5"/>
    <w:rsid w:val="00D268E7"/>
    <w:rsid w:val="00D27009"/>
    <w:rsid w:val="00D273A8"/>
    <w:rsid w:val="00D27C3D"/>
    <w:rsid w:val="00D3057C"/>
    <w:rsid w:val="00D316A6"/>
    <w:rsid w:val="00D31CAF"/>
    <w:rsid w:val="00D31D2A"/>
    <w:rsid w:val="00D3222E"/>
    <w:rsid w:val="00D32B5C"/>
    <w:rsid w:val="00D330F0"/>
    <w:rsid w:val="00D334E6"/>
    <w:rsid w:val="00D33932"/>
    <w:rsid w:val="00D33F65"/>
    <w:rsid w:val="00D349F7"/>
    <w:rsid w:val="00D3546C"/>
    <w:rsid w:val="00D35A38"/>
    <w:rsid w:val="00D35DD7"/>
    <w:rsid w:val="00D3629D"/>
    <w:rsid w:val="00D3630A"/>
    <w:rsid w:val="00D3641B"/>
    <w:rsid w:val="00D365A8"/>
    <w:rsid w:val="00D36CAD"/>
    <w:rsid w:val="00D36F66"/>
    <w:rsid w:val="00D37A2A"/>
    <w:rsid w:val="00D37BEB"/>
    <w:rsid w:val="00D4098B"/>
    <w:rsid w:val="00D40B43"/>
    <w:rsid w:val="00D40C3E"/>
    <w:rsid w:val="00D41228"/>
    <w:rsid w:val="00D413D6"/>
    <w:rsid w:val="00D41591"/>
    <w:rsid w:val="00D417C4"/>
    <w:rsid w:val="00D4191F"/>
    <w:rsid w:val="00D41CFB"/>
    <w:rsid w:val="00D42663"/>
    <w:rsid w:val="00D4272F"/>
    <w:rsid w:val="00D42C41"/>
    <w:rsid w:val="00D42FBA"/>
    <w:rsid w:val="00D437C7"/>
    <w:rsid w:val="00D43D44"/>
    <w:rsid w:val="00D43EB6"/>
    <w:rsid w:val="00D44591"/>
    <w:rsid w:val="00D44898"/>
    <w:rsid w:val="00D44CB1"/>
    <w:rsid w:val="00D44EE0"/>
    <w:rsid w:val="00D45126"/>
    <w:rsid w:val="00D4529B"/>
    <w:rsid w:val="00D45790"/>
    <w:rsid w:val="00D45C61"/>
    <w:rsid w:val="00D46566"/>
    <w:rsid w:val="00D46739"/>
    <w:rsid w:val="00D46A53"/>
    <w:rsid w:val="00D47361"/>
    <w:rsid w:val="00D47A7B"/>
    <w:rsid w:val="00D47AB7"/>
    <w:rsid w:val="00D47D95"/>
    <w:rsid w:val="00D50188"/>
    <w:rsid w:val="00D50342"/>
    <w:rsid w:val="00D50C29"/>
    <w:rsid w:val="00D50D14"/>
    <w:rsid w:val="00D51497"/>
    <w:rsid w:val="00D51A1F"/>
    <w:rsid w:val="00D51F44"/>
    <w:rsid w:val="00D523EE"/>
    <w:rsid w:val="00D529A0"/>
    <w:rsid w:val="00D52F0C"/>
    <w:rsid w:val="00D531CA"/>
    <w:rsid w:val="00D53408"/>
    <w:rsid w:val="00D535CE"/>
    <w:rsid w:val="00D548CE"/>
    <w:rsid w:val="00D54986"/>
    <w:rsid w:val="00D54B19"/>
    <w:rsid w:val="00D564B9"/>
    <w:rsid w:val="00D56946"/>
    <w:rsid w:val="00D56F0A"/>
    <w:rsid w:val="00D5748E"/>
    <w:rsid w:val="00D57518"/>
    <w:rsid w:val="00D577CE"/>
    <w:rsid w:val="00D57B34"/>
    <w:rsid w:val="00D6103D"/>
    <w:rsid w:val="00D611BE"/>
    <w:rsid w:val="00D62BB4"/>
    <w:rsid w:val="00D62BF6"/>
    <w:rsid w:val="00D62F9B"/>
    <w:rsid w:val="00D634BF"/>
    <w:rsid w:val="00D63602"/>
    <w:rsid w:val="00D63889"/>
    <w:rsid w:val="00D64018"/>
    <w:rsid w:val="00D64986"/>
    <w:rsid w:val="00D650EA"/>
    <w:rsid w:val="00D65125"/>
    <w:rsid w:val="00D6520C"/>
    <w:rsid w:val="00D652C1"/>
    <w:rsid w:val="00D65344"/>
    <w:rsid w:val="00D6538C"/>
    <w:rsid w:val="00D6542B"/>
    <w:rsid w:val="00D655C0"/>
    <w:rsid w:val="00D6582C"/>
    <w:rsid w:val="00D65F90"/>
    <w:rsid w:val="00D663CA"/>
    <w:rsid w:val="00D66726"/>
    <w:rsid w:val="00D66D54"/>
    <w:rsid w:val="00D66E30"/>
    <w:rsid w:val="00D67C27"/>
    <w:rsid w:val="00D70200"/>
    <w:rsid w:val="00D706A0"/>
    <w:rsid w:val="00D70EBE"/>
    <w:rsid w:val="00D7186B"/>
    <w:rsid w:val="00D71A9E"/>
    <w:rsid w:val="00D722BA"/>
    <w:rsid w:val="00D72CA3"/>
    <w:rsid w:val="00D7452C"/>
    <w:rsid w:val="00D74F54"/>
    <w:rsid w:val="00D755AE"/>
    <w:rsid w:val="00D76726"/>
    <w:rsid w:val="00D7674A"/>
    <w:rsid w:val="00D767C2"/>
    <w:rsid w:val="00D76939"/>
    <w:rsid w:val="00D76BB6"/>
    <w:rsid w:val="00D76E11"/>
    <w:rsid w:val="00D8053A"/>
    <w:rsid w:val="00D80703"/>
    <w:rsid w:val="00D8089E"/>
    <w:rsid w:val="00D80C23"/>
    <w:rsid w:val="00D80CC0"/>
    <w:rsid w:val="00D80FB9"/>
    <w:rsid w:val="00D81055"/>
    <w:rsid w:val="00D814D6"/>
    <w:rsid w:val="00D815A1"/>
    <w:rsid w:val="00D81D28"/>
    <w:rsid w:val="00D827F7"/>
    <w:rsid w:val="00D8282A"/>
    <w:rsid w:val="00D82845"/>
    <w:rsid w:val="00D82A56"/>
    <w:rsid w:val="00D82D6A"/>
    <w:rsid w:val="00D834A9"/>
    <w:rsid w:val="00D84014"/>
    <w:rsid w:val="00D84F09"/>
    <w:rsid w:val="00D85043"/>
    <w:rsid w:val="00D854FD"/>
    <w:rsid w:val="00D85C05"/>
    <w:rsid w:val="00D860A9"/>
    <w:rsid w:val="00D870F5"/>
    <w:rsid w:val="00D877CA"/>
    <w:rsid w:val="00D877DB"/>
    <w:rsid w:val="00D87A16"/>
    <w:rsid w:val="00D87B1D"/>
    <w:rsid w:val="00D87B8A"/>
    <w:rsid w:val="00D87F21"/>
    <w:rsid w:val="00D9049C"/>
    <w:rsid w:val="00D90BF3"/>
    <w:rsid w:val="00D91039"/>
    <w:rsid w:val="00D910F1"/>
    <w:rsid w:val="00D91F07"/>
    <w:rsid w:val="00D9225C"/>
    <w:rsid w:val="00D930ED"/>
    <w:rsid w:val="00D93719"/>
    <w:rsid w:val="00D93A2C"/>
    <w:rsid w:val="00D949CB"/>
    <w:rsid w:val="00D94AE1"/>
    <w:rsid w:val="00D95015"/>
    <w:rsid w:val="00D95206"/>
    <w:rsid w:val="00D95216"/>
    <w:rsid w:val="00D95934"/>
    <w:rsid w:val="00D95948"/>
    <w:rsid w:val="00D959D2"/>
    <w:rsid w:val="00D95C6A"/>
    <w:rsid w:val="00D96D16"/>
    <w:rsid w:val="00D97A1E"/>
    <w:rsid w:val="00DA0042"/>
    <w:rsid w:val="00DA0595"/>
    <w:rsid w:val="00DA06B8"/>
    <w:rsid w:val="00DA082F"/>
    <w:rsid w:val="00DA0AD0"/>
    <w:rsid w:val="00DA1000"/>
    <w:rsid w:val="00DA1B9D"/>
    <w:rsid w:val="00DA2BC0"/>
    <w:rsid w:val="00DA2FB0"/>
    <w:rsid w:val="00DA35F8"/>
    <w:rsid w:val="00DA363C"/>
    <w:rsid w:val="00DA3D2C"/>
    <w:rsid w:val="00DA4270"/>
    <w:rsid w:val="00DA456C"/>
    <w:rsid w:val="00DA46F0"/>
    <w:rsid w:val="00DA48E1"/>
    <w:rsid w:val="00DA5474"/>
    <w:rsid w:val="00DA57A5"/>
    <w:rsid w:val="00DA65E8"/>
    <w:rsid w:val="00DA6D5D"/>
    <w:rsid w:val="00DA6D9E"/>
    <w:rsid w:val="00DA6EB2"/>
    <w:rsid w:val="00DA7159"/>
    <w:rsid w:val="00DA734F"/>
    <w:rsid w:val="00DA7C37"/>
    <w:rsid w:val="00DA7FC2"/>
    <w:rsid w:val="00DB0E5D"/>
    <w:rsid w:val="00DB0E90"/>
    <w:rsid w:val="00DB1026"/>
    <w:rsid w:val="00DB124F"/>
    <w:rsid w:val="00DB144E"/>
    <w:rsid w:val="00DB15D9"/>
    <w:rsid w:val="00DB191E"/>
    <w:rsid w:val="00DB1C3C"/>
    <w:rsid w:val="00DB3865"/>
    <w:rsid w:val="00DB419B"/>
    <w:rsid w:val="00DB56C3"/>
    <w:rsid w:val="00DB5CBA"/>
    <w:rsid w:val="00DB5CDE"/>
    <w:rsid w:val="00DB60AC"/>
    <w:rsid w:val="00DB64A0"/>
    <w:rsid w:val="00DB67B7"/>
    <w:rsid w:val="00DB6BC0"/>
    <w:rsid w:val="00DB6E20"/>
    <w:rsid w:val="00DB6E68"/>
    <w:rsid w:val="00DB7088"/>
    <w:rsid w:val="00DB762F"/>
    <w:rsid w:val="00DB7764"/>
    <w:rsid w:val="00DB7F7E"/>
    <w:rsid w:val="00DC0509"/>
    <w:rsid w:val="00DC0666"/>
    <w:rsid w:val="00DC12D5"/>
    <w:rsid w:val="00DC2908"/>
    <w:rsid w:val="00DC29D1"/>
    <w:rsid w:val="00DC2EC2"/>
    <w:rsid w:val="00DC2FED"/>
    <w:rsid w:val="00DC3235"/>
    <w:rsid w:val="00DC3B07"/>
    <w:rsid w:val="00DC4251"/>
    <w:rsid w:val="00DC5101"/>
    <w:rsid w:val="00DC5B3E"/>
    <w:rsid w:val="00DC633C"/>
    <w:rsid w:val="00DC6991"/>
    <w:rsid w:val="00DC7E75"/>
    <w:rsid w:val="00DD011A"/>
    <w:rsid w:val="00DD062A"/>
    <w:rsid w:val="00DD0B3F"/>
    <w:rsid w:val="00DD12DC"/>
    <w:rsid w:val="00DD1386"/>
    <w:rsid w:val="00DD17A6"/>
    <w:rsid w:val="00DD1848"/>
    <w:rsid w:val="00DD25BC"/>
    <w:rsid w:val="00DD2B70"/>
    <w:rsid w:val="00DD30A3"/>
    <w:rsid w:val="00DD3B93"/>
    <w:rsid w:val="00DD3D11"/>
    <w:rsid w:val="00DD3E0C"/>
    <w:rsid w:val="00DD3E17"/>
    <w:rsid w:val="00DD4C9E"/>
    <w:rsid w:val="00DD653A"/>
    <w:rsid w:val="00DD69FA"/>
    <w:rsid w:val="00DD75E7"/>
    <w:rsid w:val="00DE02E4"/>
    <w:rsid w:val="00DE0373"/>
    <w:rsid w:val="00DE0B14"/>
    <w:rsid w:val="00DE1F5C"/>
    <w:rsid w:val="00DE28BA"/>
    <w:rsid w:val="00DE2FD9"/>
    <w:rsid w:val="00DE3E01"/>
    <w:rsid w:val="00DE5456"/>
    <w:rsid w:val="00DE57A8"/>
    <w:rsid w:val="00DE6CE9"/>
    <w:rsid w:val="00DE6E2C"/>
    <w:rsid w:val="00DE7866"/>
    <w:rsid w:val="00DE7D53"/>
    <w:rsid w:val="00DF138F"/>
    <w:rsid w:val="00DF17AB"/>
    <w:rsid w:val="00DF1C51"/>
    <w:rsid w:val="00DF214F"/>
    <w:rsid w:val="00DF25C4"/>
    <w:rsid w:val="00DF2A75"/>
    <w:rsid w:val="00DF2DC0"/>
    <w:rsid w:val="00DF3FE0"/>
    <w:rsid w:val="00DF40BB"/>
    <w:rsid w:val="00DF41E1"/>
    <w:rsid w:val="00DF430D"/>
    <w:rsid w:val="00DF449B"/>
    <w:rsid w:val="00DF470C"/>
    <w:rsid w:val="00DF4826"/>
    <w:rsid w:val="00DF4D9C"/>
    <w:rsid w:val="00DF4E22"/>
    <w:rsid w:val="00DF5B33"/>
    <w:rsid w:val="00DF629E"/>
    <w:rsid w:val="00DF6967"/>
    <w:rsid w:val="00DF69E8"/>
    <w:rsid w:val="00DF6AF4"/>
    <w:rsid w:val="00DF6E3A"/>
    <w:rsid w:val="00DF712B"/>
    <w:rsid w:val="00DF7EFD"/>
    <w:rsid w:val="00E00ADE"/>
    <w:rsid w:val="00E0220D"/>
    <w:rsid w:val="00E02B1F"/>
    <w:rsid w:val="00E02F5F"/>
    <w:rsid w:val="00E03A2C"/>
    <w:rsid w:val="00E03CA4"/>
    <w:rsid w:val="00E04163"/>
    <w:rsid w:val="00E05052"/>
    <w:rsid w:val="00E051D3"/>
    <w:rsid w:val="00E05512"/>
    <w:rsid w:val="00E05560"/>
    <w:rsid w:val="00E05B34"/>
    <w:rsid w:val="00E05D1A"/>
    <w:rsid w:val="00E05DD7"/>
    <w:rsid w:val="00E060C6"/>
    <w:rsid w:val="00E06417"/>
    <w:rsid w:val="00E0757E"/>
    <w:rsid w:val="00E0771B"/>
    <w:rsid w:val="00E07CEA"/>
    <w:rsid w:val="00E105BC"/>
    <w:rsid w:val="00E10A62"/>
    <w:rsid w:val="00E11A0E"/>
    <w:rsid w:val="00E11A93"/>
    <w:rsid w:val="00E11EE1"/>
    <w:rsid w:val="00E12364"/>
    <w:rsid w:val="00E129B2"/>
    <w:rsid w:val="00E13023"/>
    <w:rsid w:val="00E13B37"/>
    <w:rsid w:val="00E13E20"/>
    <w:rsid w:val="00E144CF"/>
    <w:rsid w:val="00E14660"/>
    <w:rsid w:val="00E14778"/>
    <w:rsid w:val="00E14D35"/>
    <w:rsid w:val="00E15B05"/>
    <w:rsid w:val="00E169C1"/>
    <w:rsid w:val="00E175EB"/>
    <w:rsid w:val="00E17AA3"/>
    <w:rsid w:val="00E202B7"/>
    <w:rsid w:val="00E2034E"/>
    <w:rsid w:val="00E2070F"/>
    <w:rsid w:val="00E226D4"/>
    <w:rsid w:val="00E22D4A"/>
    <w:rsid w:val="00E2375C"/>
    <w:rsid w:val="00E23BEA"/>
    <w:rsid w:val="00E249FF"/>
    <w:rsid w:val="00E24D5D"/>
    <w:rsid w:val="00E254C8"/>
    <w:rsid w:val="00E26B70"/>
    <w:rsid w:val="00E27636"/>
    <w:rsid w:val="00E27B6E"/>
    <w:rsid w:val="00E27E24"/>
    <w:rsid w:val="00E30785"/>
    <w:rsid w:val="00E307D6"/>
    <w:rsid w:val="00E30C86"/>
    <w:rsid w:val="00E30F41"/>
    <w:rsid w:val="00E315D5"/>
    <w:rsid w:val="00E3172E"/>
    <w:rsid w:val="00E31A26"/>
    <w:rsid w:val="00E31C70"/>
    <w:rsid w:val="00E31F7D"/>
    <w:rsid w:val="00E32BB1"/>
    <w:rsid w:val="00E33D07"/>
    <w:rsid w:val="00E34108"/>
    <w:rsid w:val="00E3489B"/>
    <w:rsid w:val="00E34CE3"/>
    <w:rsid w:val="00E358E7"/>
    <w:rsid w:val="00E35AB1"/>
    <w:rsid w:val="00E35C88"/>
    <w:rsid w:val="00E3711F"/>
    <w:rsid w:val="00E37609"/>
    <w:rsid w:val="00E3782B"/>
    <w:rsid w:val="00E378DE"/>
    <w:rsid w:val="00E40003"/>
    <w:rsid w:val="00E40594"/>
    <w:rsid w:val="00E407CE"/>
    <w:rsid w:val="00E40C98"/>
    <w:rsid w:val="00E40F14"/>
    <w:rsid w:val="00E4159E"/>
    <w:rsid w:val="00E415F1"/>
    <w:rsid w:val="00E4216F"/>
    <w:rsid w:val="00E423F9"/>
    <w:rsid w:val="00E43E2C"/>
    <w:rsid w:val="00E43EF2"/>
    <w:rsid w:val="00E4463D"/>
    <w:rsid w:val="00E44BC8"/>
    <w:rsid w:val="00E45CF2"/>
    <w:rsid w:val="00E46423"/>
    <w:rsid w:val="00E46E81"/>
    <w:rsid w:val="00E46F5C"/>
    <w:rsid w:val="00E472CF"/>
    <w:rsid w:val="00E47A97"/>
    <w:rsid w:val="00E505B1"/>
    <w:rsid w:val="00E50ED7"/>
    <w:rsid w:val="00E51225"/>
    <w:rsid w:val="00E513EA"/>
    <w:rsid w:val="00E51D83"/>
    <w:rsid w:val="00E52524"/>
    <w:rsid w:val="00E528C6"/>
    <w:rsid w:val="00E52A0C"/>
    <w:rsid w:val="00E52E63"/>
    <w:rsid w:val="00E52F5A"/>
    <w:rsid w:val="00E5378A"/>
    <w:rsid w:val="00E53A1A"/>
    <w:rsid w:val="00E53CA5"/>
    <w:rsid w:val="00E5491F"/>
    <w:rsid w:val="00E54D7F"/>
    <w:rsid w:val="00E54E3F"/>
    <w:rsid w:val="00E5528F"/>
    <w:rsid w:val="00E5640D"/>
    <w:rsid w:val="00E56421"/>
    <w:rsid w:val="00E56DAB"/>
    <w:rsid w:val="00E571FE"/>
    <w:rsid w:val="00E60352"/>
    <w:rsid w:val="00E603F7"/>
    <w:rsid w:val="00E6042D"/>
    <w:rsid w:val="00E60972"/>
    <w:rsid w:val="00E60AE2"/>
    <w:rsid w:val="00E612C4"/>
    <w:rsid w:val="00E61B36"/>
    <w:rsid w:val="00E61F2D"/>
    <w:rsid w:val="00E6214A"/>
    <w:rsid w:val="00E6249F"/>
    <w:rsid w:val="00E634EE"/>
    <w:rsid w:val="00E63D1D"/>
    <w:rsid w:val="00E649F0"/>
    <w:rsid w:val="00E6531E"/>
    <w:rsid w:val="00E666B8"/>
    <w:rsid w:val="00E66760"/>
    <w:rsid w:val="00E66987"/>
    <w:rsid w:val="00E66B55"/>
    <w:rsid w:val="00E66EFF"/>
    <w:rsid w:val="00E67238"/>
    <w:rsid w:val="00E70147"/>
    <w:rsid w:val="00E7080D"/>
    <w:rsid w:val="00E70C19"/>
    <w:rsid w:val="00E70C82"/>
    <w:rsid w:val="00E718E6"/>
    <w:rsid w:val="00E72267"/>
    <w:rsid w:val="00E725C0"/>
    <w:rsid w:val="00E734D3"/>
    <w:rsid w:val="00E736FB"/>
    <w:rsid w:val="00E73DE8"/>
    <w:rsid w:val="00E744AA"/>
    <w:rsid w:val="00E74F68"/>
    <w:rsid w:val="00E758AC"/>
    <w:rsid w:val="00E75976"/>
    <w:rsid w:val="00E7638B"/>
    <w:rsid w:val="00E76893"/>
    <w:rsid w:val="00E76D8E"/>
    <w:rsid w:val="00E76FD3"/>
    <w:rsid w:val="00E76FE3"/>
    <w:rsid w:val="00E77824"/>
    <w:rsid w:val="00E77878"/>
    <w:rsid w:val="00E77C38"/>
    <w:rsid w:val="00E77CDA"/>
    <w:rsid w:val="00E8094C"/>
    <w:rsid w:val="00E80A81"/>
    <w:rsid w:val="00E80D25"/>
    <w:rsid w:val="00E810B4"/>
    <w:rsid w:val="00E8165E"/>
    <w:rsid w:val="00E81AFD"/>
    <w:rsid w:val="00E8254B"/>
    <w:rsid w:val="00E829FD"/>
    <w:rsid w:val="00E83403"/>
    <w:rsid w:val="00E83574"/>
    <w:rsid w:val="00E83E3D"/>
    <w:rsid w:val="00E846D3"/>
    <w:rsid w:val="00E850BC"/>
    <w:rsid w:val="00E8533C"/>
    <w:rsid w:val="00E86DA2"/>
    <w:rsid w:val="00E86E48"/>
    <w:rsid w:val="00E8702E"/>
    <w:rsid w:val="00E8759B"/>
    <w:rsid w:val="00E87CD2"/>
    <w:rsid w:val="00E90EE4"/>
    <w:rsid w:val="00E916A2"/>
    <w:rsid w:val="00E91A68"/>
    <w:rsid w:val="00E91E05"/>
    <w:rsid w:val="00E92312"/>
    <w:rsid w:val="00E92928"/>
    <w:rsid w:val="00E929DB"/>
    <w:rsid w:val="00E92C46"/>
    <w:rsid w:val="00E93E94"/>
    <w:rsid w:val="00E941C1"/>
    <w:rsid w:val="00E94315"/>
    <w:rsid w:val="00E953A3"/>
    <w:rsid w:val="00E9593C"/>
    <w:rsid w:val="00E964B2"/>
    <w:rsid w:val="00E97190"/>
    <w:rsid w:val="00E973D7"/>
    <w:rsid w:val="00E97FD1"/>
    <w:rsid w:val="00EA0775"/>
    <w:rsid w:val="00EA0A01"/>
    <w:rsid w:val="00EA0B3E"/>
    <w:rsid w:val="00EA0FD7"/>
    <w:rsid w:val="00EA136A"/>
    <w:rsid w:val="00EA16C2"/>
    <w:rsid w:val="00EA1916"/>
    <w:rsid w:val="00EA1976"/>
    <w:rsid w:val="00EA2082"/>
    <w:rsid w:val="00EA24B5"/>
    <w:rsid w:val="00EA255A"/>
    <w:rsid w:val="00EA3585"/>
    <w:rsid w:val="00EA3BE0"/>
    <w:rsid w:val="00EA3CDD"/>
    <w:rsid w:val="00EA4673"/>
    <w:rsid w:val="00EA5AA7"/>
    <w:rsid w:val="00EA6695"/>
    <w:rsid w:val="00EA6720"/>
    <w:rsid w:val="00EA67E8"/>
    <w:rsid w:val="00EA6926"/>
    <w:rsid w:val="00EA6972"/>
    <w:rsid w:val="00EA6F8E"/>
    <w:rsid w:val="00EA72DE"/>
    <w:rsid w:val="00EA78A2"/>
    <w:rsid w:val="00EA7AF7"/>
    <w:rsid w:val="00EB0AEF"/>
    <w:rsid w:val="00EB11F1"/>
    <w:rsid w:val="00EB1420"/>
    <w:rsid w:val="00EB270F"/>
    <w:rsid w:val="00EB2770"/>
    <w:rsid w:val="00EB2DE3"/>
    <w:rsid w:val="00EB2EA9"/>
    <w:rsid w:val="00EB307B"/>
    <w:rsid w:val="00EB3842"/>
    <w:rsid w:val="00EB414A"/>
    <w:rsid w:val="00EB41FA"/>
    <w:rsid w:val="00EB4299"/>
    <w:rsid w:val="00EB514A"/>
    <w:rsid w:val="00EB5398"/>
    <w:rsid w:val="00EB5CB9"/>
    <w:rsid w:val="00EB6DA3"/>
    <w:rsid w:val="00EB71AA"/>
    <w:rsid w:val="00EB7B24"/>
    <w:rsid w:val="00EB7CD8"/>
    <w:rsid w:val="00EC0A10"/>
    <w:rsid w:val="00EC0B05"/>
    <w:rsid w:val="00EC1019"/>
    <w:rsid w:val="00EC1044"/>
    <w:rsid w:val="00EC10AF"/>
    <w:rsid w:val="00EC181B"/>
    <w:rsid w:val="00EC23A8"/>
    <w:rsid w:val="00EC25C7"/>
    <w:rsid w:val="00EC2BAC"/>
    <w:rsid w:val="00EC3145"/>
    <w:rsid w:val="00EC318C"/>
    <w:rsid w:val="00EC3385"/>
    <w:rsid w:val="00EC3834"/>
    <w:rsid w:val="00EC3CE4"/>
    <w:rsid w:val="00EC3F06"/>
    <w:rsid w:val="00EC400A"/>
    <w:rsid w:val="00EC4CCB"/>
    <w:rsid w:val="00EC4D25"/>
    <w:rsid w:val="00EC4D67"/>
    <w:rsid w:val="00EC5190"/>
    <w:rsid w:val="00EC5631"/>
    <w:rsid w:val="00EC582B"/>
    <w:rsid w:val="00EC63D6"/>
    <w:rsid w:val="00EC6DCD"/>
    <w:rsid w:val="00EC70DD"/>
    <w:rsid w:val="00EC77D8"/>
    <w:rsid w:val="00EC7B7F"/>
    <w:rsid w:val="00ED07C7"/>
    <w:rsid w:val="00ED1220"/>
    <w:rsid w:val="00ED1A94"/>
    <w:rsid w:val="00ED1C68"/>
    <w:rsid w:val="00ED1E4F"/>
    <w:rsid w:val="00ED259A"/>
    <w:rsid w:val="00ED2932"/>
    <w:rsid w:val="00ED33F1"/>
    <w:rsid w:val="00ED355C"/>
    <w:rsid w:val="00ED3888"/>
    <w:rsid w:val="00ED3B42"/>
    <w:rsid w:val="00ED3DBF"/>
    <w:rsid w:val="00ED51FC"/>
    <w:rsid w:val="00ED5517"/>
    <w:rsid w:val="00ED5979"/>
    <w:rsid w:val="00ED5C3C"/>
    <w:rsid w:val="00ED5D16"/>
    <w:rsid w:val="00ED5DB3"/>
    <w:rsid w:val="00ED5E38"/>
    <w:rsid w:val="00ED5F34"/>
    <w:rsid w:val="00ED700F"/>
    <w:rsid w:val="00ED75BF"/>
    <w:rsid w:val="00ED7760"/>
    <w:rsid w:val="00EE014F"/>
    <w:rsid w:val="00EE023A"/>
    <w:rsid w:val="00EE1694"/>
    <w:rsid w:val="00EE1C8A"/>
    <w:rsid w:val="00EE1E6A"/>
    <w:rsid w:val="00EE200E"/>
    <w:rsid w:val="00EE2280"/>
    <w:rsid w:val="00EE2D61"/>
    <w:rsid w:val="00EE2F0D"/>
    <w:rsid w:val="00EE31D1"/>
    <w:rsid w:val="00EE322B"/>
    <w:rsid w:val="00EE3715"/>
    <w:rsid w:val="00EE46AF"/>
    <w:rsid w:val="00EE483E"/>
    <w:rsid w:val="00EE538F"/>
    <w:rsid w:val="00EE616D"/>
    <w:rsid w:val="00EE6345"/>
    <w:rsid w:val="00EE6901"/>
    <w:rsid w:val="00EF0AF2"/>
    <w:rsid w:val="00EF125D"/>
    <w:rsid w:val="00EF13A7"/>
    <w:rsid w:val="00EF14B9"/>
    <w:rsid w:val="00EF1AE7"/>
    <w:rsid w:val="00EF1DF3"/>
    <w:rsid w:val="00EF2CEE"/>
    <w:rsid w:val="00EF3423"/>
    <w:rsid w:val="00EF351C"/>
    <w:rsid w:val="00EF37A8"/>
    <w:rsid w:val="00EF3A61"/>
    <w:rsid w:val="00EF3AE3"/>
    <w:rsid w:val="00EF40E1"/>
    <w:rsid w:val="00EF4786"/>
    <w:rsid w:val="00EF48E5"/>
    <w:rsid w:val="00EF4E61"/>
    <w:rsid w:val="00EF52DF"/>
    <w:rsid w:val="00EF6986"/>
    <w:rsid w:val="00EF7059"/>
    <w:rsid w:val="00EF7DF2"/>
    <w:rsid w:val="00F00A84"/>
    <w:rsid w:val="00F01F70"/>
    <w:rsid w:val="00F01FBF"/>
    <w:rsid w:val="00F023FD"/>
    <w:rsid w:val="00F028A7"/>
    <w:rsid w:val="00F02D2E"/>
    <w:rsid w:val="00F02DFB"/>
    <w:rsid w:val="00F02E47"/>
    <w:rsid w:val="00F030E0"/>
    <w:rsid w:val="00F03752"/>
    <w:rsid w:val="00F043FE"/>
    <w:rsid w:val="00F049A5"/>
    <w:rsid w:val="00F049D7"/>
    <w:rsid w:val="00F04B20"/>
    <w:rsid w:val="00F0552F"/>
    <w:rsid w:val="00F0579D"/>
    <w:rsid w:val="00F05801"/>
    <w:rsid w:val="00F05E0A"/>
    <w:rsid w:val="00F068BC"/>
    <w:rsid w:val="00F07006"/>
    <w:rsid w:val="00F070AE"/>
    <w:rsid w:val="00F0729C"/>
    <w:rsid w:val="00F073C9"/>
    <w:rsid w:val="00F073EB"/>
    <w:rsid w:val="00F0785F"/>
    <w:rsid w:val="00F07969"/>
    <w:rsid w:val="00F079F4"/>
    <w:rsid w:val="00F07C3F"/>
    <w:rsid w:val="00F07E82"/>
    <w:rsid w:val="00F10046"/>
    <w:rsid w:val="00F1020B"/>
    <w:rsid w:val="00F10587"/>
    <w:rsid w:val="00F1067B"/>
    <w:rsid w:val="00F10FCD"/>
    <w:rsid w:val="00F1104D"/>
    <w:rsid w:val="00F112A1"/>
    <w:rsid w:val="00F11557"/>
    <w:rsid w:val="00F115AD"/>
    <w:rsid w:val="00F116D9"/>
    <w:rsid w:val="00F1422D"/>
    <w:rsid w:val="00F14418"/>
    <w:rsid w:val="00F148AB"/>
    <w:rsid w:val="00F148B2"/>
    <w:rsid w:val="00F148D2"/>
    <w:rsid w:val="00F14FBC"/>
    <w:rsid w:val="00F1525D"/>
    <w:rsid w:val="00F15547"/>
    <w:rsid w:val="00F1588A"/>
    <w:rsid w:val="00F16AC4"/>
    <w:rsid w:val="00F16C09"/>
    <w:rsid w:val="00F17FE6"/>
    <w:rsid w:val="00F20620"/>
    <w:rsid w:val="00F2077C"/>
    <w:rsid w:val="00F20B18"/>
    <w:rsid w:val="00F21266"/>
    <w:rsid w:val="00F213B1"/>
    <w:rsid w:val="00F213F7"/>
    <w:rsid w:val="00F218A1"/>
    <w:rsid w:val="00F21E9B"/>
    <w:rsid w:val="00F228E6"/>
    <w:rsid w:val="00F22BB7"/>
    <w:rsid w:val="00F2393E"/>
    <w:rsid w:val="00F23959"/>
    <w:rsid w:val="00F23FD0"/>
    <w:rsid w:val="00F243C6"/>
    <w:rsid w:val="00F247BC"/>
    <w:rsid w:val="00F248D0"/>
    <w:rsid w:val="00F2524A"/>
    <w:rsid w:val="00F2571A"/>
    <w:rsid w:val="00F25D90"/>
    <w:rsid w:val="00F26D33"/>
    <w:rsid w:val="00F26D93"/>
    <w:rsid w:val="00F26F9B"/>
    <w:rsid w:val="00F272FB"/>
    <w:rsid w:val="00F301AB"/>
    <w:rsid w:val="00F30652"/>
    <w:rsid w:val="00F30A8A"/>
    <w:rsid w:val="00F30D05"/>
    <w:rsid w:val="00F31043"/>
    <w:rsid w:val="00F31AB7"/>
    <w:rsid w:val="00F31CCA"/>
    <w:rsid w:val="00F325E8"/>
    <w:rsid w:val="00F32654"/>
    <w:rsid w:val="00F32BD2"/>
    <w:rsid w:val="00F32C2B"/>
    <w:rsid w:val="00F32C2F"/>
    <w:rsid w:val="00F331B3"/>
    <w:rsid w:val="00F342C7"/>
    <w:rsid w:val="00F350FB"/>
    <w:rsid w:val="00F35839"/>
    <w:rsid w:val="00F35BE5"/>
    <w:rsid w:val="00F36446"/>
    <w:rsid w:val="00F37CF8"/>
    <w:rsid w:val="00F40411"/>
    <w:rsid w:val="00F40EC3"/>
    <w:rsid w:val="00F4106A"/>
    <w:rsid w:val="00F41767"/>
    <w:rsid w:val="00F41966"/>
    <w:rsid w:val="00F421F8"/>
    <w:rsid w:val="00F42622"/>
    <w:rsid w:val="00F43435"/>
    <w:rsid w:val="00F43454"/>
    <w:rsid w:val="00F43D7F"/>
    <w:rsid w:val="00F43E55"/>
    <w:rsid w:val="00F44184"/>
    <w:rsid w:val="00F44631"/>
    <w:rsid w:val="00F446E1"/>
    <w:rsid w:val="00F448E2"/>
    <w:rsid w:val="00F44A77"/>
    <w:rsid w:val="00F44A9C"/>
    <w:rsid w:val="00F44AB3"/>
    <w:rsid w:val="00F45898"/>
    <w:rsid w:val="00F458BE"/>
    <w:rsid w:val="00F45F9C"/>
    <w:rsid w:val="00F461E2"/>
    <w:rsid w:val="00F461F9"/>
    <w:rsid w:val="00F4637E"/>
    <w:rsid w:val="00F46B8A"/>
    <w:rsid w:val="00F46E6B"/>
    <w:rsid w:val="00F46F6E"/>
    <w:rsid w:val="00F46FC9"/>
    <w:rsid w:val="00F46FF8"/>
    <w:rsid w:val="00F50384"/>
    <w:rsid w:val="00F504BC"/>
    <w:rsid w:val="00F50A93"/>
    <w:rsid w:val="00F50FC3"/>
    <w:rsid w:val="00F515CE"/>
    <w:rsid w:val="00F51E02"/>
    <w:rsid w:val="00F52E13"/>
    <w:rsid w:val="00F52EC1"/>
    <w:rsid w:val="00F5376A"/>
    <w:rsid w:val="00F53F8E"/>
    <w:rsid w:val="00F549BC"/>
    <w:rsid w:val="00F54B4E"/>
    <w:rsid w:val="00F55965"/>
    <w:rsid w:val="00F56633"/>
    <w:rsid w:val="00F56AB4"/>
    <w:rsid w:val="00F56B9C"/>
    <w:rsid w:val="00F56FCA"/>
    <w:rsid w:val="00F5733F"/>
    <w:rsid w:val="00F5740C"/>
    <w:rsid w:val="00F575E8"/>
    <w:rsid w:val="00F57718"/>
    <w:rsid w:val="00F57DBF"/>
    <w:rsid w:val="00F6014C"/>
    <w:rsid w:val="00F607DC"/>
    <w:rsid w:val="00F60DED"/>
    <w:rsid w:val="00F60F2D"/>
    <w:rsid w:val="00F6201A"/>
    <w:rsid w:val="00F63263"/>
    <w:rsid w:val="00F63674"/>
    <w:rsid w:val="00F638AA"/>
    <w:rsid w:val="00F63C0A"/>
    <w:rsid w:val="00F63F3F"/>
    <w:rsid w:val="00F64188"/>
    <w:rsid w:val="00F649D8"/>
    <w:rsid w:val="00F64E78"/>
    <w:rsid w:val="00F659A0"/>
    <w:rsid w:val="00F6635A"/>
    <w:rsid w:val="00F66414"/>
    <w:rsid w:val="00F664C7"/>
    <w:rsid w:val="00F667CF"/>
    <w:rsid w:val="00F66863"/>
    <w:rsid w:val="00F6690C"/>
    <w:rsid w:val="00F669A8"/>
    <w:rsid w:val="00F67002"/>
    <w:rsid w:val="00F6722A"/>
    <w:rsid w:val="00F67589"/>
    <w:rsid w:val="00F700E1"/>
    <w:rsid w:val="00F7080A"/>
    <w:rsid w:val="00F71DDD"/>
    <w:rsid w:val="00F72200"/>
    <w:rsid w:val="00F72484"/>
    <w:rsid w:val="00F72E94"/>
    <w:rsid w:val="00F73195"/>
    <w:rsid w:val="00F73494"/>
    <w:rsid w:val="00F73636"/>
    <w:rsid w:val="00F73A72"/>
    <w:rsid w:val="00F73B49"/>
    <w:rsid w:val="00F73E6A"/>
    <w:rsid w:val="00F75121"/>
    <w:rsid w:val="00F75867"/>
    <w:rsid w:val="00F75E07"/>
    <w:rsid w:val="00F75E2B"/>
    <w:rsid w:val="00F76FF3"/>
    <w:rsid w:val="00F77137"/>
    <w:rsid w:val="00F77B56"/>
    <w:rsid w:val="00F77F0B"/>
    <w:rsid w:val="00F803D4"/>
    <w:rsid w:val="00F804B1"/>
    <w:rsid w:val="00F80A97"/>
    <w:rsid w:val="00F80E29"/>
    <w:rsid w:val="00F812C8"/>
    <w:rsid w:val="00F81935"/>
    <w:rsid w:val="00F81AA5"/>
    <w:rsid w:val="00F81C9E"/>
    <w:rsid w:val="00F81EA8"/>
    <w:rsid w:val="00F826FC"/>
    <w:rsid w:val="00F82967"/>
    <w:rsid w:val="00F82D3D"/>
    <w:rsid w:val="00F82E0D"/>
    <w:rsid w:val="00F832CF"/>
    <w:rsid w:val="00F834CD"/>
    <w:rsid w:val="00F84092"/>
    <w:rsid w:val="00F843A3"/>
    <w:rsid w:val="00F8440D"/>
    <w:rsid w:val="00F845C5"/>
    <w:rsid w:val="00F84CD1"/>
    <w:rsid w:val="00F84FD8"/>
    <w:rsid w:val="00F8547B"/>
    <w:rsid w:val="00F85818"/>
    <w:rsid w:val="00F85AA3"/>
    <w:rsid w:val="00F866EF"/>
    <w:rsid w:val="00F87116"/>
    <w:rsid w:val="00F872E8"/>
    <w:rsid w:val="00F8752D"/>
    <w:rsid w:val="00F87882"/>
    <w:rsid w:val="00F90537"/>
    <w:rsid w:val="00F90E72"/>
    <w:rsid w:val="00F9179E"/>
    <w:rsid w:val="00F91932"/>
    <w:rsid w:val="00F91CA5"/>
    <w:rsid w:val="00F91D47"/>
    <w:rsid w:val="00F91D7B"/>
    <w:rsid w:val="00F92028"/>
    <w:rsid w:val="00F92082"/>
    <w:rsid w:val="00F92385"/>
    <w:rsid w:val="00F927C4"/>
    <w:rsid w:val="00F92CCC"/>
    <w:rsid w:val="00F92D0D"/>
    <w:rsid w:val="00F939F3"/>
    <w:rsid w:val="00F944E9"/>
    <w:rsid w:val="00F94983"/>
    <w:rsid w:val="00F956B2"/>
    <w:rsid w:val="00F95743"/>
    <w:rsid w:val="00F95AF7"/>
    <w:rsid w:val="00F95C01"/>
    <w:rsid w:val="00F95E8E"/>
    <w:rsid w:val="00F95EB7"/>
    <w:rsid w:val="00F962FA"/>
    <w:rsid w:val="00F96901"/>
    <w:rsid w:val="00F97007"/>
    <w:rsid w:val="00F97120"/>
    <w:rsid w:val="00F97C43"/>
    <w:rsid w:val="00F97CC5"/>
    <w:rsid w:val="00F97E49"/>
    <w:rsid w:val="00FA003E"/>
    <w:rsid w:val="00FA07A2"/>
    <w:rsid w:val="00FA08CE"/>
    <w:rsid w:val="00FA0914"/>
    <w:rsid w:val="00FA119F"/>
    <w:rsid w:val="00FA15A9"/>
    <w:rsid w:val="00FA1BE0"/>
    <w:rsid w:val="00FA206A"/>
    <w:rsid w:val="00FA2636"/>
    <w:rsid w:val="00FA2D4E"/>
    <w:rsid w:val="00FA2E5F"/>
    <w:rsid w:val="00FA31AB"/>
    <w:rsid w:val="00FA33DD"/>
    <w:rsid w:val="00FA3560"/>
    <w:rsid w:val="00FA3979"/>
    <w:rsid w:val="00FA4300"/>
    <w:rsid w:val="00FA4AD5"/>
    <w:rsid w:val="00FA4B6D"/>
    <w:rsid w:val="00FA4CA7"/>
    <w:rsid w:val="00FA59D2"/>
    <w:rsid w:val="00FA61A0"/>
    <w:rsid w:val="00FA629D"/>
    <w:rsid w:val="00FA6447"/>
    <w:rsid w:val="00FA64AE"/>
    <w:rsid w:val="00FA6D23"/>
    <w:rsid w:val="00FA721E"/>
    <w:rsid w:val="00FA7240"/>
    <w:rsid w:val="00FA7303"/>
    <w:rsid w:val="00FA7908"/>
    <w:rsid w:val="00FB09CB"/>
    <w:rsid w:val="00FB0DBE"/>
    <w:rsid w:val="00FB0E28"/>
    <w:rsid w:val="00FB198F"/>
    <w:rsid w:val="00FB1CF5"/>
    <w:rsid w:val="00FB23CB"/>
    <w:rsid w:val="00FB2C17"/>
    <w:rsid w:val="00FB356C"/>
    <w:rsid w:val="00FB3BB7"/>
    <w:rsid w:val="00FB4BC8"/>
    <w:rsid w:val="00FB5F63"/>
    <w:rsid w:val="00FB61FD"/>
    <w:rsid w:val="00FB6956"/>
    <w:rsid w:val="00FB72A9"/>
    <w:rsid w:val="00FC0C9C"/>
    <w:rsid w:val="00FC0E3C"/>
    <w:rsid w:val="00FC0E9A"/>
    <w:rsid w:val="00FC1227"/>
    <w:rsid w:val="00FC17C3"/>
    <w:rsid w:val="00FC1D91"/>
    <w:rsid w:val="00FC1F4F"/>
    <w:rsid w:val="00FC2A80"/>
    <w:rsid w:val="00FC2D63"/>
    <w:rsid w:val="00FC310A"/>
    <w:rsid w:val="00FC44CA"/>
    <w:rsid w:val="00FC4583"/>
    <w:rsid w:val="00FC5500"/>
    <w:rsid w:val="00FC5AE1"/>
    <w:rsid w:val="00FC5D11"/>
    <w:rsid w:val="00FC5E70"/>
    <w:rsid w:val="00FC5F27"/>
    <w:rsid w:val="00FC61DB"/>
    <w:rsid w:val="00FC66B6"/>
    <w:rsid w:val="00FC67BC"/>
    <w:rsid w:val="00FC6D33"/>
    <w:rsid w:val="00FC6DB7"/>
    <w:rsid w:val="00FC7066"/>
    <w:rsid w:val="00FC782B"/>
    <w:rsid w:val="00FC7E58"/>
    <w:rsid w:val="00FD0A48"/>
    <w:rsid w:val="00FD0BB6"/>
    <w:rsid w:val="00FD0E94"/>
    <w:rsid w:val="00FD12EB"/>
    <w:rsid w:val="00FD152C"/>
    <w:rsid w:val="00FD1B65"/>
    <w:rsid w:val="00FD267A"/>
    <w:rsid w:val="00FD26D9"/>
    <w:rsid w:val="00FD279B"/>
    <w:rsid w:val="00FD28A2"/>
    <w:rsid w:val="00FD2970"/>
    <w:rsid w:val="00FD2D7B"/>
    <w:rsid w:val="00FD31B8"/>
    <w:rsid w:val="00FD370C"/>
    <w:rsid w:val="00FD3D99"/>
    <w:rsid w:val="00FD3EE3"/>
    <w:rsid w:val="00FD4775"/>
    <w:rsid w:val="00FD4CF5"/>
    <w:rsid w:val="00FD632C"/>
    <w:rsid w:val="00FD662A"/>
    <w:rsid w:val="00FD781B"/>
    <w:rsid w:val="00FD79E3"/>
    <w:rsid w:val="00FD7BF2"/>
    <w:rsid w:val="00FE0227"/>
    <w:rsid w:val="00FE1070"/>
    <w:rsid w:val="00FE24B2"/>
    <w:rsid w:val="00FE253F"/>
    <w:rsid w:val="00FE25CC"/>
    <w:rsid w:val="00FE27B7"/>
    <w:rsid w:val="00FE2EED"/>
    <w:rsid w:val="00FE2F1D"/>
    <w:rsid w:val="00FE2FAA"/>
    <w:rsid w:val="00FE30B3"/>
    <w:rsid w:val="00FE3617"/>
    <w:rsid w:val="00FE3A56"/>
    <w:rsid w:val="00FE3DC8"/>
    <w:rsid w:val="00FE47DA"/>
    <w:rsid w:val="00FE4C71"/>
    <w:rsid w:val="00FE5D9B"/>
    <w:rsid w:val="00FE6198"/>
    <w:rsid w:val="00FE677A"/>
    <w:rsid w:val="00FE6820"/>
    <w:rsid w:val="00FE76EB"/>
    <w:rsid w:val="00FE7DAF"/>
    <w:rsid w:val="00FF01E2"/>
    <w:rsid w:val="00FF0890"/>
    <w:rsid w:val="00FF0C92"/>
    <w:rsid w:val="00FF0E36"/>
    <w:rsid w:val="00FF0EB6"/>
    <w:rsid w:val="00FF117E"/>
    <w:rsid w:val="00FF1AA5"/>
    <w:rsid w:val="00FF227D"/>
    <w:rsid w:val="00FF24D6"/>
    <w:rsid w:val="00FF2624"/>
    <w:rsid w:val="00FF2632"/>
    <w:rsid w:val="00FF306C"/>
    <w:rsid w:val="00FF3474"/>
    <w:rsid w:val="00FF3D18"/>
    <w:rsid w:val="00FF4CE9"/>
    <w:rsid w:val="00FF5118"/>
    <w:rsid w:val="00FF5617"/>
    <w:rsid w:val="00FF5694"/>
    <w:rsid w:val="00FF584F"/>
    <w:rsid w:val="00FF616D"/>
    <w:rsid w:val="00FF6EC3"/>
    <w:rsid w:val="00FF769B"/>
    <w:rsid w:val="00FF7818"/>
    <w:rsid w:val="00FF7BF9"/>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204]">
      <v:fill color="none [3204]"/>
      <v:stroke color="none [3204]" weight="3pt"/>
      <v:shadow type="perspective" color="none [1604]" opacity=".5" offset="1pt" offset2="-1pt"/>
    </o:shapedefaults>
    <o:shapelayout v:ext="edit">
      <o:idmap v:ext="edit" data="2"/>
    </o:shapelayout>
  </w:shapeDefaults>
  <w:decimalSymbol w:val="."/>
  <w:listSeparator w:val=","/>
  <w14:docId w14:val="32A7B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iPriority="98"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footnote reference" w:uiPriority="7"/>
    <w:lsdException w:name="annotation reference" w:semiHidden="1" w:unhideWhenUsed="1"/>
    <w:lsdException w:name="line number" w:semiHidden="1" w:unhideWhenUsed="1"/>
    <w:lsdException w:name="page number" w:semiHidden="1" w:uiPriority="0" w:unhideWhenUsed="1"/>
    <w:lsdException w:name="endnote reference" w:semiHidden="1" w:uiPriority="7"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iPriority="3" w:unhideWhenUsed="1"/>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lsdException w:name="List Number 2" w:semiHidden="1" w:uiPriority="5" w:unhideWhenUsed="1"/>
    <w:lsdException w:name="List Number 3" w:semiHidden="1" w:uiPriority="5" w:unhideWhenUsed="1"/>
    <w:lsdException w:name="List Number 4" w:semiHidden="1" w:uiPriority="97"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iPriority="4" w:unhideWhenUsed="1"/>
    <w:lsdException w:name="List Continue 2" w:semiHidden="1" w:uiPriority="4" w:unhideWhenUsed="1"/>
    <w:lsdException w:name="List Continue 3" w:semiHidden="1" w:uiPriority="4" w:unhideWhenUsed="1"/>
    <w:lsdException w:name="List Continue 4" w:semiHidden="1" w:uiPriority="4"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 w:unhideWhenUsed="1"/>
    <w:lsdException w:name="Strong" w:semiHidden="1"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8"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E169C1"/>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9"/>
    <w:qFormat/>
    <w:rsid w:val="00E666B8"/>
    <w:pPr>
      <w:keepNext/>
      <w:keepLines/>
      <w:numPr>
        <w:numId w:val="9"/>
      </w:numPr>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9"/>
    <w:qFormat/>
    <w:rsid w:val="00E666B8"/>
    <w:pPr>
      <w:keepNext/>
      <w:keepLines/>
      <w:numPr>
        <w:ilvl w:val="1"/>
        <w:numId w:val="9"/>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9"/>
    <w:qFormat/>
    <w:rsid w:val="00E666B8"/>
    <w:pPr>
      <w:keepNext/>
      <w:keepLines/>
      <w:numPr>
        <w:ilvl w:val="2"/>
        <w:numId w:val="9"/>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9"/>
    <w:qFormat/>
    <w:rsid w:val="00E666B8"/>
    <w:pPr>
      <w:keepNext/>
      <w:keepLines/>
      <w:numPr>
        <w:ilvl w:val="3"/>
        <w:numId w:val="9"/>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9"/>
    <w:qFormat/>
    <w:rsid w:val="00E666B8"/>
    <w:pPr>
      <w:keepNext/>
      <w:keepLines/>
      <w:numPr>
        <w:ilvl w:val="4"/>
        <w:numId w:val="9"/>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E666B8"/>
    <w:pPr>
      <w:keepNext/>
      <w:keepLines/>
      <w:numPr>
        <w:ilvl w:val="5"/>
        <w:numId w:val="9"/>
      </w:numPr>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E666B8"/>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E666B8"/>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E666B8"/>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7"/>
    <w:rsid w:val="00E666B8"/>
    <w:rPr>
      <w:vertAlign w:val="superscript"/>
    </w:rPr>
  </w:style>
  <w:style w:type="paragraph" w:styleId="BalloonText">
    <w:name w:val="Balloon Text"/>
    <w:basedOn w:val="Normal"/>
    <w:link w:val="BalloonTextChar"/>
    <w:uiPriority w:val="98"/>
    <w:semiHidden/>
    <w:rsid w:val="00E66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8"/>
    <w:semiHidden/>
    <w:rsid w:val="00E666B8"/>
    <w:rPr>
      <w:rFonts w:ascii="Tahoma" w:hAnsi="Tahoma" w:cs="Tahoma"/>
      <w:color w:val="1E1E1E"/>
      <w:sz w:val="16"/>
      <w:szCs w:val="16"/>
    </w:rPr>
  </w:style>
  <w:style w:type="character" w:customStyle="1" w:styleId="Heading1Char">
    <w:name w:val="Heading 1 Char"/>
    <w:basedOn w:val="DefaultParagraphFont"/>
    <w:link w:val="Heading1"/>
    <w:uiPriority w:val="1"/>
    <w:rsid w:val="00E666B8"/>
    <w:rPr>
      <w:rFonts w:ascii="Calibri" w:eastAsiaTheme="majorEastAsia" w:hAnsi="Calibri" w:cstheme="majorBidi"/>
      <w:bCs/>
      <w:color w:val="2BB673"/>
      <w:sz w:val="38"/>
      <w:szCs w:val="28"/>
    </w:rPr>
  </w:style>
  <w:style w:type="character" w:customStyle="1" w:styleId="Heading2Char">
    <w:name w:val="Heading 2 Char"/>
    <w:basedOn w:val="DefaultParagraphFont"/>
    <w:link w:val="Heading2"/>
    <w:uiPriority w:val="9"/>
    <w:rsid w:val="00E666B8"/>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E666B8"/>
    <w:rPr>
      <w:rFonts w:ascii="Calibri" w:eastAsiaTheme="majorEastAsia" w:hAnsi="Calibri" w:cstheme="majorBidi"/>
      <w:bCs/>
      <w:color w:val="1E1E1E"/>
      <w:sz w:val="29"/>
    </w:rPr>
  </w:style>
  <w:style w:type="paragraph" w:styleId="Title">
    <w:name w:val="Title"/>
    <w:basedOn w:val="Normalcolour"/>
    <w:next w:val="BodyText"/>
    <w:link w:val="TitleChar"/>
    <w:uiPriority w:val="1"/>
    <w:rsid w:val="00E666B8"/>
    <w:pPr>
      <w:spacing w:after="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E666B8"/>
    <w:rPr>
      <w:rFonts w:ascii="Calibri" w:eastAsiaTheme="majorEastAsia" w:hAnsi="Calibri" w:cstheme="majorBidi"/>
      <w:color w:val="2BB673"/>
      <w:spacing w:val="5"/>
      <w:kern w:val="28"/>
      <w:sz w:val="48"/>
      <w:szCs w:val="52"/>
    </w:rPr>
  </w:style>
  <w:style w:type="character" w:customStyle="1" w:styleId="Heading4Char">
    <w:name w:val="Heading 4 Char"/>
    <w:basedOn w:val="DefaultParagraphFont"/>
    <w:link w:val="Heading4"/>
    <w:uiPriority w:val="1"/>
    <w:rsid w:val="00E666B8"/>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rsid w:val="00E666B8"/>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E666B8"/>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E666B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E666B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666B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BodyText"/>
    <w:uiPriority w:val="2"/>
    <w:semiHidden/>
    <w:rsid w:val="00E666B8"/>
    <w:pPr>
      <w:keepNext/>
      <w:spacing w:before="200" w:after="140"/>
    </w:pPr>
    <w:rPr>
      <w:b/>
      <w:bCs/>
      <w:szCs w:val="18"/>
    </w:rPr>
  </w:style>
  <w:style w:type="paragraph" w:styleId="Bibliography">
    <w:name w:val="Bibliography"/>
    <w:basedOn w:val="Normal"/>
    <w:next w:val="Normal"/>
    <w:uiPriority w:val="7"/>
    <w:rsid w:val="00E666B8"/>
  </w:style>
  <w:style w:type="paragraph" w:styleId="TOC1">
    <w:name w:val="toc 1"/>
    <w:basedOn w:val="Normalcolour"/>
    <w:next w:val="Normal"/>
    <w:uiPriority w:val="39"/>
    <w:rsid w:val="00E666B8"/>
    <w:pPr>
      <w:tabs>
        <w:tab w:val="right" w:leader="underscore" w:pos="9299"/>
      </w:tabs>
      <w:spacing w:before="200" w:after="0"/>
      <w:ind w:right="425"/>
    </w:pPr>
    <w:rPr>
      <w:b/>
      <w:sz w:val="26"/>
    </w:rPr>
  </w:style>
  <w:style w:type="paragraph" w:styleId="TOC2">
    <w:name w:val="toc 2"/>
    <w:basedOn w:val="Normal"/>
    <w:next w:val="Normal"/>
    <w:uiPriority w:val="39"/>
    <w:rsid w:val="00E666B8"/>
    <w:pPr>
      <w:tabs>
        <w:tab w:val="right" w:leader="underscore" w:pos="9299"/>
      </w:tabs>
      <w:spacing w:after="0"/>
      <w:ind w:right="425"/>
    </w:pPr>
  </w:style>
  <w:style w:type="paragraph" w:styleId="TOC3">
    <w:name w:val="toc 3"/>
    <w:basedOn w:val="Normal"/>
    <w:next w:val="Normal"/>
    <w:uiPriority w:val="39"/>
    <w:rsid w:val="00E666B8"/>
    <w:pPr>
      <w:tabs>
        <w:tab w:val="right" w:leader="underscore" w:pos="9299"/>
      </w:tabs>
      <w:spacing w:after="0"/>
      <w:ind w:left="284" w:right="425"/>
    </w:pPr>
  </w:style>
  <w:style w:type="paragraph" w:styleId="TOC4">
    <w:name w:val="toc 4"/>
    <w:basedOn w:val="Normal"/>
    <w:next w:val="Normal"/>
    <w:uiPriority w:val="39"/>
    <w:rsid w:val="00E666B8"/>
    <w:pPr>
      <w:tabs>
        <w:tab w:val="right" w:leader="underscore" w:pos="9299"/>
      </w:tabs>
      <w:spacing w:after="0"/>
      <w:ind w:left="567" w:right="425"/>
    </w:pPr>
  </w:style>
  <w:style w:type="paragraph" w:styleId="TOC5">
    <w:name w:val="toc 5"/>
    <w:basedOn w:val="Normal"/>
    <w:next w:val="Normal"/>
    <w:uiPriority w:val="39"/>
    <w:semiHidden/>
    <w:rsid w:val="00E666B8"/>
    <w:pPr>
      <w:tabs>
        <w:tab w:val="right" w:leader="dot" w:pos="9299"/>
      </w:tabs>
      <w:spacing w:after="0" w:line="260" w:lineRule="atLeast"/>
      <w:ind w:left="851" w:right="425"/>
    </w:pPr>
  </w:style>
  <w:style w:type="paragraph" w:styleId="TOC6">
    <w:name w:val="toc 6"/>
    <w:basedOn w:val="Normal"/>
    <w:next w:val="Normal"/>
    <w:autoRedefine/>
    <w:uiPriority w:val="39"/>
    <w:semiHidden/>
    <w:rsid w:val="00E666B8"/>
    <w:pPr>
      <w:spacing w:after="100"/>
      <w:ind w:left="1100"/>
    </w:pPr>
  </w:style>
  <w:style w:type="paragraph" w:styleId="TOC7">
    <w:name w:val="toc 7"/>
    <w:basedOn w:val="Normal"/>
    <w:next w:val="Normal"/>
    <w:autoRedefine/>
    <w:uiPriority w:val="39"/>
    <w:semiHidden/>
    <w:rsid w:val="00E666B8"/>
    <w:pPr>
      <w:spacing w:after="100"/>
      <w:ind w:left="1320"/>
    </w:pPr>
  </w:style>
  <w:style w:type="paragraph" w:styleId="TOC8">
    <w:name w:val="toc 8"/>
    <w:basedOn w:val="Normal"/>
    <w:next w:val="Normal"/>
    <w:autoRedefine/>
    <w:uiPriority w:val="39"/>
    <w:semiHidden/>
    <w:rsid w:val="00E666B8"/>
    <w:pPr>
      <w:spacing w:after="100"/>
      <w:ind w:left="1540"/>
    </w:pPr>
  </w:style>
  <w:style w:type="paragraph" w:styleId="TOC9">
    <w:name w:val="toc 9"/>
    <w:basedOn w:val="Normal"/>
    <w:next w:val="Normal"/>
    <w:autoRedefine/>
    <w:uiPriority w:val="39"/>
    <w:semiHidden/>
    <w:rsid w:val="00E666B8"/>
    <w:pPr>
      <w:spacing w:after="100"/>
      <w:ind w:left="1760"/>
    </w:pPr>
  </w:style>
  <w:style w:type="paragraph" w:styleId="TOCHeading">
    <w:name w:val="TOC Heading"/>
    <w:basedOn w:val="Heading1"/>
    <w:next w:val="BodyText"/>
    <w:uiPriority w:val="1"/>
    <w:rsid w:val="00E666B8"/>
    <w:pPr>
      <w:outlineLvl w:val="9"/>
    </w:pPr>
  </w:style>
  <w:style w:type="paragraph" w:styleId="BodyText">
    <w:name w:val="Body Text"/>
    <w:basedOn w:val="Normal"/>
    <w:link w:val="BodyTextChar"/>
    <w:uiPriority w:val="2"/>
    <w:qFormat/>
    <w:rsid w:val="00E666B8"/>
  </w:style>
  <w:style w:type="character" w:customStyle="1" w:styleId="BodyTextChar">
    <w:name w:val="Body Text Char"/>
    <w:basedOn w:val="DefaultParagraphFont"/>
    <w:link w:val="BodyText"/>
    <w:uiPriority w:val="2"/>
    <w:rsid w:val="00E666B8"/>
    <w:rPr>
      <w:rFonts w:ascii="Calibri" w:hAnsi="Calibri"/>
      <w:color w:val="1E1E1E"/>
      <w:sz w:val="24"/>
    </w:rPr>
  </w:style>
  <w:style w:type="paragraph" w:styleId="CommentText">
    <w:name w:val="annotation text"/>
    <w:basedOn w:val="Normal"/>
    <w:link w:val="CommentTextChar"/>
    <w:uiPriority w:val="98"/>
    <w:rsid w:val="00E666B8"/>
    <w:pPr>
      <w:spacing w:line="240" w:lineRule="auto"/>
    </w:pPr>
    <w:rPr>
      <w:sz w:val="22"/>
      <w:szCs w:val="20"/>
    </w:rPr>
  </w:style>
  <w:style w:type="character" w:customStyle="1" w:styleId="CommentTextChar">
    <w:name w:val="Comment Text Char"/>
    <w:basedOn w:val="DefaultParagraphFont"/>
    <w:link w:val="CommentText"/>
    <w:uiPriority w:val="98"/>
    <w:rsid w:val="00E666B8"/>
    <w:rPr>
      <w:rFonts w:ascii="Calibri" w:hAnsi="Calibri"/>
      <w:color w:val="1E1E1E"/>
      <w:szCs w:val="20"/>
    </w:rPr>
  </w:style>
  <w:style w:type="paragraph" w:styleId="CommentSubject">
    <w:name w:val="annotation subject"/>
    <w:basedOn w:val="CommentText"/>
    <w:next w:val="CommentText"/>
    <w:link w:val="CommentSubjectChar"/>
    <w:uiPriority w:val="98"/>
    <w:semiHidden/>
    <w:rsid w:val="00E666B8"/>
    <w:rPr>
      <w:b/>
      <w:bCs/>
    </w:rPr>
  </w:style>
  <w:style w:type="character" w:customStyle="1" w:styleId="CommentSubjectChar">
    <w:name w:val="Comment Subject Char"/>
    <w:basedOn w:val="CommentTextChar"/>
    <w:link w:val="CommentSubject"/>
    <w:uiPriority w:val="98"/>
    <w:semiHidden/>
    <w:rsid w:val="00E666B8"/>
    <w:rPr>
      <w:rFonts w:ascii="Calibri" w:hAnsi="Calibri"/>
      <w:b/>
      <w:bCs/>
      <w:color w:val="1E1E1E"/>
      <w:szCs w:val="20"/>
    </w:rPr>
  </w:style>
  <w:style w:type="paragraph" w:styleId="Date">
    <w:name w:val="Date"/>
    <w:basedOn w:val="Normal"/>
    <w:next w:val="Normal"/>
    <w:link w:val="DateChar"/>
    <w:uiPriority w:val="99"/>
    <w:semiHidden/>
    <w:rsid w:val="00E666B8"/>
  </w:style>
  <w:style w:type="character" w:customStyle="1" w:styleId="DateChar">
    <w:name w:val="Date Char"/>
    <w:basedOn w:val="DefaultParagraphFont"/>
    <w:link w:val="Date"/>
    <w:uiPriority w:val="99"/>
    <w:semiHidden/>
    <w:rsid w:val="00E666B8"/>
    <w:rPr>
      <w:rFonts w:ascii="Calibri" w:hAnsi="Calibri"/>
      <w:color w:val="1E1E1E"/>
      <w:sz w:val="24"/>
    </w:rPr>
  </w:style>
  <w:style w:type="paragraph" w:styleId="EmailSignature">
    <w:name w:val="E-mail Signature"/>
    <w:basedOn w:val="Normal"/>
    <w:link w:val="EmailSignatureChar"/>
    <w:uiPriority w:val="99"/>
    <w:semiHidden/>
    <w:rsid w:val="00E666B8"/>
    <w:pPr>
      <w:spacing w:after="0" w:line="240" w:lineRule="auto"/>
    </w:pPr>
  </w:style>
  <w:style w:type="character" w:customStyle="1" w:styleId="EmailSignatureChar">
    <w:name w:val="Email Signature Char"/>
    <w:basedOn w:val="DefaultParagraphFont"/>
    <w:link w:val="EmailSignature"/>
    <w:uiPriority w:val="99"/>
    <w:semiHidden/>
    <w:rsid w:val="00E666B8"/>
    <w:rPr>
      <w:rFonts w:ascii="Calibri" w:hAnsi="Calibri"/>
      <w:color w:val="1E1E1E"/>
      <w:sz w:val="24"/>
    </w:rPr>
  </w:style>
  <w:style w:type="paragraph" w:styleId="EndnoteText">
    <w:name w:val="endnote text"/>
    <w:basedOn w:val="Normal"/>
    <w:link w:val="EndnoteTextChar"/>
    <w:uiPriority w:val="7"/>
    <w:rsid w:val="00E666B8"/>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E666B8"/>
    <w:rPr>
      <w:rFonts w:ascii="Calibri" w:hAnsi="Calibri"/>
      <w:color w:val="4D4D4D"/>
      <w:sz w:val="20"/>
      <w:szCs w:val="20"/>
    </w:rPr>
  </w:style>
  <w:style w:type="paragraph" w:styleId="EnvelopeAddress">
    <w:name w:val="envelope address"/>
    <w:basedOn w:val="Normal"/>
    <w:uiPriority w:val="99"/>
    <w:semiHidden/>
    <w:rsid w:val="00E666B8"/>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666B8"/>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E666B8"/>
    <w:pPr>
      <w:spacing w:after="0" w:line="240" w:lineRule="auto"/>
      <w:jc w:val="right"/>
    </w:pPr>
    <w:rPr>
      <w:color w:val="696969"/>
      <w:sz w:val="20"/>
    </w:rPr>
  </w:style>
  <w:style w:type="character" w:customStyle="1" w:styleId="FooterChar">
    <w:name w:val="Footer Char"/>
    <w:basedOn w:val="DefaultParagraphFont"/>
    <w:link w:val="Footer"/>
    <w:uiPriority w:val="10"/>
    <w:rsid w:val="00E666B8"/>
    <w:rPr>
      <w:rFonts w:ascii="Calibri" w:hAnsi="Calibri"/>
      <w:color w:val="696969"/>
      <w:sz w:val="20"/>
    </w:rPr>
  </w:style>
  <w:style w:type="paragraph" w:styleId="FootnoteText">
    <w:name w:val="footnote text"/>
    <w:basedOn w:val="Normal"/>
    <w:link w:val="FootnoteTextChar"/>
    <w:uiPriority w:val="7"/>
    <w:rsid w:val="00E666B8"/>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uiPriority w:val="7"/>
    <w:rsid w:val="00E666B8"/>
    <w:rPr>
      <w:rFonts w:ascii="Calibri" w:hAnsi="Calibri"/>
      <w:color w:val="4D4D4D"/>
      <w:sz w:val="20"/>
      <w:szCs w:val="20"/>
    </w:rPr>
  </w:style>
  <w:style w:type="paragraph" w:styleId="Header">
    <w:name w:val="header"/>
    <w:basedOn w:val="Normal"/>
    <w:link w:val="HeaderChar"/>
    <w:rsid w:val="00E666B8"/>
    <w:pPr>
      <w:tabs>
        <w:tab w:val="right" w:pos="9299"/>
      </w:tabs>
      <w:spacing w:after="0" w:line="240" w:lineRule="auto"/>
    </w:pPr>
    <w:rPr>
      <w:color w:val="696969"/>
      <w:sz w:val="20"/>
    </w:rPr>
  </w:style>
  <w:style w:type="character" w:customStyle="1" w:styleId="HeaderChar">
    <w:name w:val="Header Char"/>
    <w:basedOn w:val="DefaultParagraphFont"/>
    <w:link w:val="Header"/>
    <w:rsid w:val="00E666B8"/>
    <w:rPr>
      <w:rFonts w:ascii="Calibri" w:hAnsi="Calibri"/>
      <w:color w:val="696969"/>
      <w:sz w:val="20"/>
    </w:rPr>
  </w:style>
  <w:style w:type="paragraph" w:styleId="HTMLAddress">
    <w:name w:val="HTML Address"/>
    <w:basedOn w:val="Normal"/>
    <w:link w:val="HTMLAddressChar"/>
    <w:uiPriority w:val="99"/>
    <w:semiHidden/>
    <w:rsid w:val="00E666B8"/>
    <w:pPr>
      <w:spacing w:after="0" w:line="240" w:lineRule="auto"/>
    </w:pPr>
    <w:rPr>
      <w:i/>
      <w:iCs/>
    </w:rPr>
  </w:style>
  <w:style w:type="character" w:customStyle="1" w:styleId="HTMLAddressChar">
    <w:name w:val="HTML Address Char"/>
    <w:basedOn w:val="DefaultParagraphFont"/>
    <w:link w:val="HTMLAddress"/>
    <w:uiPriority w:val="99"/>
    <w:semiHidden/>
    <w:rsid w:val="00E666B8"/>
    <w:rPr>
      <w:rFonts w:ascii="Calibri" w:hAnsi="Calibri"/>
      <w:i/>
      <w:iCs/>
      <w:color w:val="1E1E1E"/>
      <w:sz w:val="24"/>
    </w:rPr>
  </w:style>
  <w:style w:type="paragraph" w:styleId="HTMLPreformatted">
    <w:name w:val="HTML Preformatted"/>
    <w:basedOn w:val="Normal"/>
    <w:link w:val="HTMLPreformattedChar"/>
    <w:uiPriority w:val="99"/>
    <w:semiHidden/>
    <w:unhideWhenUsed/>
    <w:rsid w:val="00E666B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666B8"/>
    <w:rPr>
      <w:rFonts w:ascii="Consolas" w:hAnsi="Consolas"/>
      <w:color w:val="1E1E1E"/>
      <w:sz w:val="20"/>
      <w:szCs w:val="20"/>
    </w:rPr>
  </w:style>
  <w:style w:type="paragraph" w:styleId="Index1">
    <w:name w:val="index 1"/>
    <w:basedOn w:val="Normal"/>
    <w:uiPriority w:val="99"/>
    <w:rsid w:val="00E666B8"/>
    <w:pPr>
      <w:spacing w:after="0"/>
      <w:ind w:left="220" w:hanging="220"/>
    </w:pPr>
    <w:rPr>
      <w:szCs w:val="18"/>
    </w:rPr>
  </w:style>
  <w:style w:type="paragraph" w:styleId="Index2">
    <w:name w:val="index 2"/>
    <w:basedOn w:val="Normal"/>
    <w:uiPriority w:val="99"/>
    <w:rsid w:val="00E666B8"/>
    <w:pPr>
      <w:spacing w:after="0"/>
      <w:ind w:left="440" w:hanging="220"/>
    </w:pPr>
    <w:rPr>
      <w:szCs w:val="18"/>
    </w:rPr>
  </w:style>
  <w:style w:type="paragraph" w:styleId="Index3">
    <w:name w:val="index 3"/>
    <w:basedOn w:val="Normal"/>
    <w:uiPriority w:val="99"/>
    <w:rsid w:val="00E666B8"/>
    <w:pPr>
      <w:spacing w:after="0"/>
      <w:ind w:left="660" w:hanging="220"/>
    </w:pPr>
    <w:rPr>
      <w:szCs w:val="18"/>
    </w:rPr>
  </w:style>
  <w:style w:type="paragraph" w:styleId="Index4">
    <w:name w:val="index 4"/>
    <w:basedOn w:val="Normal"/>
    <w:uiPriority w:val="99"/>
    <w:rsid w:val="00E666B8"/>
    <w:pPr>
      <w:spacing w:after="0"/>
      <w:ind w:left="880" w:hanging="220"/>
    </w:pPr>
    <w:rPr>
      <w:szCs w:val="18"/>
    </w:rPr>
  </w:style>
  <w:style w:type="paragraph" w:styleId="Index5">
    <w:name w:val="index 5"/>
    <w:basedOn w:val="Normal"/>
    <w:uiPriority w:val="99"/>
    <w:rsid w:val="00E666B8"/>
    <w:pPr>
      <w:spacing w:after="0"/>
      <w:ind w:left="1100" w:hanging="220"/>
    </w:pPr>
    <w:rPr>
      <w:szCs w:val="18"/>
    </w:rPr>
  </w:style>
  <w:style w:type="paragraph" w:styleId="Index6">
    <w:name w:val="index 6"/>
    <w:basedOn w:val="Normal"/>
    <w:uiPriority w:val="99"/>
    <w:rsid w:val="00E666B8"/>
    <w:pPr>
      <w:spacing w:after="0"/>
      <w:ind w:left="1320" w:hanging="220"/>
    </w:pPr>
    <w:rPr>
      <w:szCs w:val="18"/>
    </w:rPr>
  </w:style>
  <w:style w:type="paragraph" w:styleId="Index7">
    <w:name w:val="index 7"/>
    <w:basedOn w:val="Normal"/>
    <w:uiPriority w:val="99"/>
    <w:rsid w:val="00E666B8"/>
    <w:pPr>
      <w:spacing w:after="0"/>
      <w:ind w:left="1540" w:hanging="220"/>
    </w:pPr>
    <w:rPr>
      <w:szCs w:val="18"/>
    </w:rPr>
  </w:style>
  <w:style w:type="paragraph" w:styleId="Index8">
    <w:name w:val="index 8"/>
    <w:basedOn w:val="Normal"/>
    <w:uiPriority w:val="99"/>
    <w:rsid w:val="00E666B8"/>
    <w:pPr>
      <w:spacing w:after="0"/>
      <w:ind w:left="1760" w:hanging="220"/>
    </w:pPr>
    <w:rPr>
      <w:szCs w:val="18"/>
    </w:rPr>
  </w:style>
  <w:style w:type="paragraph" w:styleId="Index9">
    <w:name w:val="index 9"/>
    <w:basedOn w:val="Normal"/>
    <w:uiPriority w:val="99"/>
    <w:rsid w:val="00E666B8"/>
    <w:pPr>
      <w:spacing w:after="0"/>
      <w:ind w:left="1980" w:hanging="220"/>
    </w:pPr>
    <w:rPr>
      <w:szCs w:val="18"/>
    </w:rPr>
  </w:style>
  <w:style w:type="paragraph" w:styleId="IndexHeading">
    <w:name w:val="index heading"/>
    <w:basedOn w:val="Normalcolour"/>
    <w:next w:val="Index1"/>
    <w:uiPriority w:val="1"/>
    <w:rsid w:val="00E666B8"/>
    <w:pPr>
      <w:pBdr>
        <w:bottom w:val="single" w:sz="8" w:space="1" w:color="2BB673"/>
      </w:pBdr>
      <w:spacing w:before="200" w:after="60"/>
    </w:pPr>
    <w:rPr>
      <w:rFonts w:eastAsiaTheme="majorEastAsia" w:cstheme="majorBidi"/>
      <w:b/>
      <w:bCs/>
      <w:sz w:val="26"/>
    </w:rPr>
  </w:style>
  <w:style w:type="paragraph" w:styleId="NormalWeb">
    <w:name w:val="Normal (Web)"/>
    <w:basedOn w:val="Normal"/>
    <w:uiPriority w:val="99"/>
    <w:semiHidden/>
    <w:rsid w:val="00E666B8"/>
    <w:rPr>
      <w:rFonts w:ascii="Times New Roman" w:hAnsi="Times New Roman" w:cs="Times New Roman"/>
      <w:szCs w:val="24"/>
    </w:rPr>
  </w:style>
  <w:style w:type="paragraph" w:styleId="TableofAuthorities">
    <w:name w:val="table of authorities"/>
    <w:basedOn w:val="Normal"/>
    <w:next w:val="Normal"/>
    <w:uiPriority w:val="9"/>
    <w:rsid w:val="00E666B8"/>
    <w:pPr>
      <w:spacing w:after="0"/>
      <w:ind w:left="220" w:hanging="220"/>
    </w:pPr>
  </w:style>
  <w:style w:type="paragraph" w:styleId="TableofFigures">
    <w:name w:val="table of figures"/>
    <w:basedOn w:val="Normal"/>
    <w:next w:val="BodyText"/>
    <w:uiPriority w:val="99"/>
    <w:rsid w:val="00E666B8"/>
    <w:pPr>
      <w:tabs>
        <w:tab w:val="right" w:leader="underscore" w:pos="9299"/>
      </w:tabs>
      <w:spacing w:after="0"/>
      <w:ind w:right="425"/>
    </w:pPr>
  </w:style>
  <w:style w:type="paragraph" w:styleId="TOAHeading">
    <w:name w:val="toa heading"/>
    <w:basedOn w:val="Normal"/>
    <w:next w:val="Normal"/>
    <w:uiPriority w:val="9"/>
    <w:rsid w:val="00E666B8"/>
    <w:pPr>
      <w:spacing w:before="120"/>
    </w:pPr>
    <w:rPr>
      <w:rFonts w:eastAsiaTheme="majorEastAsia" w:cstheme="majorBidi"/>
      <w:b/>
      <w:bCs/>
      <w:szCs w:val="24"/>
    </w:rPr>
  </w:style>
  <w:style w:type="paragraph" w:customStyle="1" w:styleId="Normalcolour">
    <w:name w:val="Normal colour"/>
    <w:basedOn w:val="Normal"/>
    <w:uiPriority w:val="98"/>
    <w:rsid w:val="00E666B8"/>
    <w:rPr>
      <w:color w:val="2BB673"/>
    </w:rPr>
  </w:style>
  <w:style w:type="character" w:styleId="PageNumber">
    <w:name w:val="page number"/>
    <w:basedOn w:val="DefaultParagraphFont"/>
    <w:rsid w:val="00E666B8"/>
    <w:rPr>
      <w:b/>
      <w:color w:val="1E1E1E"/>
      <w:sz w:val="20"/>
    </w:rPr>
  </w:style>
  <w:style w:type="paragraph" w:customStyle="1" w:styleId="Heading1line">
    <w:name w:val="Heading 1 line"/>
    <w:basedOn w:val="Normal"/>
    <w:next w:val="BodyText"/>
    <w:uiPriority w:val="1"/>
    <w:rsid w:val="00E666B8"/>
    <w:pPr>
      <w:pBdr>
        <w:bottom w:val="single" w:sz="4" w:space="1" w:color="696969"/>
      </w:pBdr>
      <w:spacing w:before="200" w:line="240" w:lineRule="auto"/>
    </w:pPr>
    <w:rPr>
      <w:color w:val="696969"/>
    </w:rPr>
  </w:style>
  <w:style w:type="table" w:styleId="TableGrid">
    <w:name w:val="Table Grid"/>
    <w:basedOn w:val="TableNormal"/>
    <w:uiPriority w:val="59"/>
    <w:rsid w:val="00E666B8"/>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E666B8"/>
    <w:pPr>
      <w:keepNext/>
      <w:spacing w:before="60" w:after="60" w:line="240" w:lineRule="auto"/>
    </w:pPr>
    <w:rPr>
      <w:color w:val="FFFFFF" w:themeColor="background1"/>
    </w:rPr>
  </w:style>
  <w:style w:type="character" w:styleId="Hyperlink">
    <w:name w:val="Hyperlink"/>
    <w:basedOn w:val="DefaultParagraphFont"/>
    <w:uiPriority w:val="99"/>
    <w:rsid w:val="00E666B8"/>
    <w:rPr>
      <w:color w:val="0D6AB8"/>
      <w:u w:val="single"/>
    </w:rPr>
  </w:style>
  <w:style w:type="character" w:styleId="Emphasis">
    <w:name w:val="Emphasis"/>
    <w:uiPriority w:val="20"/>
    <w:qFormat/>
    <w:rsid w:val="00E666B8"/>
    <w:rPr>
      <w:rFonts w:ascii="Calibri" w:hAnsi="Calibri"/>
      <w:b/>
      <w:bCs/>
      <w:iCs/>
      <w:spacing w:val="0"/>
      <w:lang w:val="en-NZ"/>
    </w:rPr>
  </w:style>
  <w:style w:type="character" w:styleId="EndnoteReference">
    <w:name w:val="endnote reference"/>
    <w:basedOn w:val="DefaultParagraphFont"/>
    <w:uiPriority w:val="7"/>
    <w:rsid w:val="00E666B8"/>
    <w:rPr>
      <w:vertAlign w:val="superscript"/>
    </w:rPr>
  </w:style>
  <w:style w:type="paragraph" w:customStyle="1" w:styleId="Boxsmalltext">
    <w:name w:val="Box small text"/>
    <w:basedOn w:val="Normalcolour"/>
    <w:uiPriority w:val="2"/>
    <w:qFormat/>
    <w:rsid w:val="00E666B8"/>
    <w:rPr>
      <w:color w:val="1E1E1E"/>
    </w:rPr>
  </w:style>
  <w:style w:type="paragraph" w:customStyle="1" w:styleId="Boxlargetext">
    <w:name w:val="Box large text"/>
    <w:basedOn w:val="Normalcolour"/>
    <w:uiPriority w:val="2"/>
    <w:qFormat/>
    <w:rsid w:val="00E666B8"/>
    <w:pPr>
      <w:spacing w:line="320" w:lineRule="atLeast"/>
    </w:pPr>
    <w:rPr>
      <w:sz w:val="26"/>
    </w:rPr>
  </w:style>
  <w:style w:type="paragraph" w:customStyle="1" w:styleId="Quotationparagraphbefore">
    <w:name w:val="Quotation (paragraph before)"/>
    <w:basedOn w:val="Normal"/>
    <w:next w:val="Quotationseparateparagraph"/>
    <w:uiPriority w:val="6"/>
    <w:rsid w:val="00E666B8"/>
    <w:pPr>
      <w:spacing w:after="120"/>
    </w:pPr>
  </w:style>
  <w:style w:type="paragraph" w:customStyle="1" w:styleId="Quotationseparateparagraph">
    <w:name w:val="Quotation (separate paragraph)"/>
    <w:basedOn w:val="Normal"/>
    <w:uiPriority w:val="6"/>
    <w:rsid w:val="00E666B8"/>
    <w:pPr>
      <w:ind w:left="567" w:right="567"/>
    </w:pPr>
    <w:rPr>
      <w:i/>
      <w:color w:val="4D4D4D"/>
    </w:rPr>
  </w:style>
  <w:style w:type="character" w:customStyle="1" w:styleId="Quotationwithinthesentence">
    <w:name w:val="Quotation (within the sentence)"/>
    <w:basedOn w:val="DefaultParagraphFont"/>
    <w:uiPriority w:val="6"/>
    <w:rsid w:val="00E666B8"/>
    <w:rPr>
      <w:i/>
    </w:rPr>
  </w:style>
  <w:style w:type="paragraph" w:customStyle="1" w:styleId="Tablebodytext">
    <w:name w:val="Table body text"/>
    <w:basedOn w:val="BodyText"/>
    <w:uiPriority w:val="2"/>
    <w:rsid w:val="00E666B8"/>
    <w:pPr>
      <w:spacing w:before="120" w:after="120"/>
    </w:pPr>
    <w:rPr>
      <w:sz w:val="22"/>
    </w:rPr>
  </w:style>
  <w:style w:type="paragraph" w:customStyle="1" w:styleId="Tablebodytextnospaceafter">
    <w:name w:val="Table body text (no space after)"/>
    <w:basedOn w:val="BodyText"/>
    <w:uiPriority w:val="2"/>
    <w:rsid w:val="00E666B8"/>
    <w:pPr>
      <w:spacing w:after="0"/>
    </w:pPr>
    <w:rPr>
      <w:sz w:val="22"/>
    </w:rPr>
  </w:style>
  <w:style w:type="table" w:customStyle="1" w:styleId="TableBox">
    <w:name w:val="Table Box"/>
    <w:basedOn w:val="TableNormal"/>
    <w:uiPriority w:val="99"/>
    <w:rsid w:val="00E666B8"/>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table" w:customStyle="1" w:styleId="TableGridnoborders">
    <w:name w:val="Table Grid (no borders)"/>
    <w:basedOn w:val="TableNormal"/>
    <w:uiPriority w:val="99"/>
    <w:rsid w:val="00E666B8"/>
    <w:pPr>
      <w:spacing w:line="240" w:lineRule="atLeast"/>
    </w:pPr>
    <w:rPr>
      <w:rFonts w:ascii="Calibri" w:hAnsi="Calibri"/>
      <w:sz w:val="24"/>
    </w:rPr>
    <w:tblPr>
      <w:tblInd w:w="113" w:type="dxa"/>
      <w:tblCellMar>
        <w:top w:w="28" w:type="dxa"/>
        <w:bottom w:w="28" w:type="dxa"/>
      </w:tblCellMar>
    </w:tblPr>
    <w:tcPr>
      <w:shd w:val="clear" w:color="auto" w:fill="auto"/>
    </w:tcPr>
  </w:style>
  <w:style w:type="paragraph" w:customStyle="1" w:styleId="Whitespace">
    <w:name w:val="White space"/>
    <w:basedOn w:val="BodyText"/>
    <w:uiPriority w:val="2"/>
    <w:rsid w:val="00E666B8"/>
    <w:pPr>
      <w:spacing w:after="0" w:line="240" w:lineRule="auto"/>
    </w:pPr>
    <w:rPr>
      <w:sz w:val="16"/>
    </w:rPr>
  </w:style>
  <w:style w:type="paragraph" w:customStyle="1" w:styleId="Singlespacedparagraph">
    <w:name w:val="Single spaced paragraph"/>
    <w:basedOn w:val="BodyText"/>
    <w:uiPriority w:val="2"/>
    <w:rsid w:val="00E666B8"/>
    <w:pPr>
      <w:spacing w:after="0"/>
    </w:pPr>
  </w:style>
  <w:style w:type="paragraph" w:customStyle="1" w:styleId="Headingboxtextinbody">
    <w:name w:val="Heading box text (in body)"/>
    <w:basedOn w:val="Normalcolour"/>
    <w:uiPriority w:val="1"/>
    <w:rsid w:val="00E666B8"/>
    <w:pPr>
      <w:keepNext/>
      <w:spacing w:before="360" w:after="60" w:line="320" w:lineRule="atLeast"/>
    </w:pPr>
    <w:rPr>
      <w:b/>
      <w:sz w:val="26"/>
    </w:rPr>
  </w:style>
  <w:style w:type="paragraph" w:customStyle="1" w:styleId="Headingboxtexttop">
    <w:name w:val="Heading box text (top)"/>
    <w:basedOn w:val="Normalcolour"/>
    <w:uiPriority w:val="1"/>
    <w:rsid w:val="00E666B8"/>
    <w:pPr>
      <w:spacing w:after="60" w:line="320" w:lineRule="atLeast"/>
    </w:pPr>
    <w:rPr>
      <w:b/>
      <w:sz w:val="26"/>
    </w:rPr>
  </w:style>
  <w:style w:type="character" w:styleId="FollowedHyperlink">
    <w:name w:val="FollowedHyperlink"/>
    <w:basedOn w:val="DefaultParagraphFont"/>
    <w:uiPriority w:val="2"/>
    <w:rsid w:val="00E666B8"/>
    <w:rPr>
      <w:color w:val="3C98E7"/>
      <w:u w:val="single"/>
    </w:rPr>
  </w:style>
  <w:style w:type="paragraph" w:customStyle="1" w:styleId="Heading1-Sub">
    <w:name w:val="Heading 1 - Sub"/>
    <w:basedOn w:val="Normal"/>
    <w:uiPriority w:val="1"/>
    <w:rsid w:val="00E666B8"/>
    <w:pPr>
      <w:tabs>
        <w:tab w:val="left" w:pos="2268"/>
      </w:tabs>
      <w:spacing w:after="0"/>
      <w:ind w:left="2268" w:hanging="2268"/>
    </w:pPr>
    <w:rPr>
      <w:b/>
    </w:rPr>
  </w:style>
  <w:style w:type="character" w:customStyle="1" w:styleId="Heading1-Subnonboldtext">
    <w:name w:val="Heading 1 - Sub (non bold text)"/>
    <w:basedOn w:val="DefaultParagraphFont"/>
    <w:uiPriority w:val="1"/>
    <w:rsid w:val="00E666B8"/>
    <w:rPr>
      <w:b/>
    </w:rPr>
  </w:style>
  <w:style w:type="paragraph" w:customStyle="1" w:styleId="Heading2-Start">
    <w:name w:val="Heading 2 - Start"/>
    <w:basedOn w:val="Heading2"/>
    <w:next w:val="BodyText"/>
    <w:uiPriority w:val="1"/>
    <w:semiHidden/>
    <w:qFormat/>
    <w:rsid w:val="00E666B8"/>
    <w:pPr>
      <w:spacing w:before="200"/>
    </w:pPr>
  </w:style>
  <w:style w:type="paragraph" w:customStyle="1" w:styleId="HeadingAppendix">
    <w:name w:val="Heading Appendix"/>
    <w:basedOn w:val="Heading1"/>
    <w:next w:val="BodyText"/>
    <w:uiPriority w:val="1"/>
    <w:rsid w:val="00E666B8"/>
    <w:pPr>
      <w:pageBreakBefore/>
      <w:numPr>
        <w:numId w:val="8"/>
      </w:numPr>
      <w:spacing w:before="0"/>
    </w:pPr>
  </w:style>
  <w:style w:type="paragraph" w:customStyle="1" w:styleId="DL-addresslines">
    <w:name w:val="DL - address lines"/>
    <w:basedOn w:val="Singlespacedparagraph"/>
    <w:uiPriority w:val="12"/>
    <w:semiHidden/>
    <w:qFormat/>
    <w:rsid w:val="00E666B8"/>
  </w:style>
  <w:style w:type="paragraph" w:customStyle="1" w:styleId="DL-closing">
    <w:name w:val="DL - closing"/>
    <w:basedOn w:val="Singlespacedparagraph"/>
    <w:uiPriority w:val="12"/>
    <w:semiHidden/>
    <w:qFormat/>
    <w:rsid w:val="00E666B8"/>
    <w:pPr>
      <w:spacing w:before="600"/>
    </w:pPr>
  </w:style>
  <w:style w:type="paragraph" w:customStyle="1" w:styleId="DL-closingname">
    <w:name w:val="DL - closing name"/>
    <w:basedOn w:val="Singlespacedparagraph"/>
    <w:uiPriority w:val="12"/>
    <w:semiHidden/>
    <w:qFormat/>
    <w:rsid w:val="00E666B8"/>
  </w:style>
  <w:style w:type="paragraph" w:customStyle="1" w:styleId="DL-closingposition">
    <w:name w:val="DL - closing position"/>
    <w:basedOn w:val="Singlespacedparagraph"/>
    <w:uiPriority w:val="12"/>
    <w:semiHidden/>
    <w:qFormat/>
    <w:rsid w:val="00E666B8"/>
    <w:pPr>
      <w:spacing w:after="240"/>
    </w:pPr>
  </w:style>
  <w:style w:type="paragraph" w:customStyle="1" w:styleId="DL-date">
    <w:name w:val="DL - date"/>
    <w:basedOn w:val="Singlespacedparagraph"/>
    <w:next w:val="DL-addresslines"/>
    <w:uiPriority w:val="12"/>
    <w:semiHidden/>
    <w:qFormat/>
    <w:rsid w:val="00E666B8"/>
    <w:pPr>
      <w:spacing w:before="300" w:after="600"/>
    </w:pPr>
  </w:style>
  <w:style w:type="paragraph" w:customStyle="1" w:styleId="DL-enclosure">
    <w:name w:val="DL - enclosure"/>
    <w:basedOn w:val="Singlespacedparagraph"/>
    <w:uiPriority w:val="12"/>
    <w:semiHidden/>
    <w:qFormat/>
    <w:rsid w:val="00E666B8"/>
    <w:pPr>
      <w:tabs>
        <w:tab w:val="left" w:pos="709"/>
      </w:tabs>
    </w:pPr>
  </w:style>
  <w:style w:type="paragraph" w:customStyle="1" w:styleId="DL-freephonetextline">
    <w:name w:val="DL - freephone text line"/>
    <w:basedOn w:val="Singlespacedparagraph"/>
    <w:uiPriority w:val="12"/>
    <w:semiHidden/>
    <w:rsid w:val="00E666B8"/>
    <w:pPr>
      <w:spacing w:before="340" w:after="600"/>
      <w:jc w:val="right"/>
    </w:pPr>
    <w:rPr>
      <w:sz w:val="17"/>
    </w:rPr>
  </w:style>
  <w:style w:type="paragraph" w:customStyle="1" w:styleId="DL-ourref">
    <w:name w:val="DL - our ref"/>
    <w:basedOn w:val="Singlespacedparagraph"/>
    <w:next w:val="DL-date"/>
    <w:uiPriority w:val="12"/>
    <w:semiHidden/>
    <w:qFormat/>
    <w:rsid w:val="00E666B8"/>
    <w:pPr>
      <w:spacing w:after="300"/>
    </w:pPr>
  </w:style>
  <w:style w:type="paragraph" w:customStyle="1" w:styleId="DL-salutation">
    <w:name w:val="DL - salutation"/>
    <w:basedOn w:val="Singlespacedparagraph"/>
    <w:next w:val="Heading1"/>
    <w:uiPriority w:val="12"/>
    <w:semiHidden/>
    <w:qFormat/>
    <w:rsid w:val="00E666B8"/>
    <w:pPr>
      <w:spacing w:before="600"/>
    </w:pPr>
  </w:style>
  <w:style w:type="paragraph" w:customStyle="1" w:styleId="Footerline">
    <w:name w:val="Footer line"/>
    <w:basedOn w:val="Footer"/>
    <w:next w:val="Footer"/>
    <w:uiPriority w:val="10"/>
    <w:rsid w:val="00E666B8"/>
    <w:pPr>
      <w:pBdr>
        <w:top w:val="single" w:sz="4" w:space="5" w:color="696969"/>
      </w:pBdr>
      <w:ind w:left="23" w:right="23"/>
    </w:pPr>
    <w:rPr>
      <w:sz w:val="2"/>
    </w:rPr>
  </w:style>
  <w:style w:type="paragraph" w:customStyle="1" w:styleId="Headerline">
    <w:name w:val="Header line"/>
    <w:basedOn w:val="Header"/>
    <w:rsid w:val="00E666B8"/>
    <w:pPr>
      <w:pBdr>
        <w:bottom w:val="single" w:sz="4" w:space="5" w:color="696969"/>
      </w:pBdr>
      <w:ind w:left="23" w:right="23"/>
    </w:pPr>
    <w:rPr>
      <w:sz w:val="2"/>
    </w:rPr>
  </w:style>
  <w:style w:type="paragraph" w:customStyle="1" w:styleId="Tableoffiguresheading">
    <w:name w:val="Table of figures heading"/>
    <w:basedOn w:val="Heading4"/>
    <w:next w:val="TableofFigures"/>
    <w:uiPriority w:val="1"/>
    <w:rsid w:val="00E666B8"/>
    <w:pPr>
      <w:outlineLvl w:val="9"/>
    </w:pPr>
  </w:style>
  <w:style w:type="paragraph" w:customStyle="1" w:styleId="Heading1-Start">
    <w:name w:val="Heading 1 - Start"/>
    <w:basedOn w:val="Heading1"/>
    <w:next w:val="BodyText"/>
    <w:uiPriority w:val="1"/>
    <w:rsid w:val="00E666B8"/>
    <w:pPr>
      <w:spacing w:before="200"/>
    </w:pPr>
  </w:style>
  <w:style w:type="paragraph" w:customStyle="1" w:styleId="Guidelines">
    <w:name w:val="Guidelines"/>
    <w:basedOn w:val="Normal"/>
    <w:next w:val="BodyText"/>
    <w:uiPriority w:val="2"/>
    <w:rsid w:val="00E666B8"/>
    <w:rPr>
      <w:color w:val="00B050"/>
    </w:rPr>
  </w:style>
  <w:style w:type="paragraph" w:customStyle="1" w:styleId="QIndent1">
    <w:name w:val="QIndent 1"/>
    <w:basedOn w:val="Normal"/>
    <w:uiPriority w:val="6"/>
    <w:rsid w:val="00E666B8"/>
    <w:pPr>
      <w:ind w:left="1134" w:right="567"/>
    </w:pPr>
    <w:rPr>
      <w:i/>
      <w:color w:val="4D4D4D"/>
    </w:rPr>
  </w:style>
  <w:style w:type="paragraph" w:customStyle="1" w:styleId="QIndent2">
    <w:name w:val="QIndent 2"/>
    <w:basedOn w:val="Normal"/>
    <w:uiPriority w:val="6"/>
    <w:rsid w:val="00E666B8"/>
    <w:pPr>
      <w:ind w:left="1701" w:right="567"/>
    </w:pPr>
    <w:rPr>
      <w:i/>
      <w:color w:val="4D4D4D"/>
    </w:rPr>
  </w:style>
  <w:style w:type="paragraph" w:customStyle="1" w:styleId="QIndent3">
    <w:name w:val="QIndent 3"/>
    <w:basedOn w:val="Normal"/>
    <w:uiPriority w:val="6"/>
    <w:rsid w:val="00E666B8"/>
    <w:pPr>
      <w:ind w:left="2268" w:right="567"/>
    </w:pPr>
    <w:rPr>
      <w:i/>
      <w:color w:val="4D4D4D"/>
    </w:rPr>
  </w:style>
  <w:style w:type="paragraph" w:customStyle="1" w:styleId="QListalpha">
    <w:name w:val="QList alpha"/>
    <w:basedOn w:val="Normal"/>
    <w:uiPriority w:val="6"/>
    <w:rsid w:val="00E666B8"/>
    <w:pPr>
      <w:numPr>
        <w:numId w:val="12"/>
      </w:numPr>
      <w:ind w:right="567"/>
    </w:pPr>
    <w:rPr>
      <w:i/>
      <w:color w:val="4D4D4D"/>
    </w:rPr>
  </w:style>
  <w:style w:type="paragraph" w:customStyle="1" w:styleId="QListbullet">
    <w:name w:val="QList bullet"/>
    <w:basedOn w:val="Normal"/>
    <w:uiPriority w:val="6"/>
    <w:rsid w:val="00E666B8"/>
    <w:pPr>
      <w:numPr>
        <w:numId w:val="13"/>
      </w:numPr>
      <w:ind w:right="567"/>
    </w:pPr>
    <w:rPr>
      <w:i/>
      <w:color w:val="4D4D4D"/>
    </w:rPr>
  </w:style>
  <w:style w:type="paragraph" w:customStyle="1" w:styleId="QListnumber">
    <w:name w:val="QList number"/>
    <w:basedOn w:val="Normal"/>
    <w:uiPriority w:val="6"/>
    <w:rsid w:val="00E666B8"/>
    <w:pPr>
      <w:numPr>
        <w:numId w:val="14"/>
      </w:numPr>
      <w:ind w:right="567"/>
    </w:pPr>
    <w:rPr>
      <w:i/>
      <w:color w:val="4D4D4D"/>
    </w:rPr>
  </w:style>
  <w:style w:type="paragraph" w:customStyle="1" w:styleId="QListroman">
    <w:name w:val="QList roman"/>
    <w:basedOn w:val="Normal"/>
    <w:uiPriority w:val="6"/>
    <w:rsid w:val="00E666B8"/>
    <w:pPr>
      <w:numPr>
        <w:numId w:val="15"/>
      </w:numPr>
      <w:ind w:right="567"/>
    </w:pPr>
    <w:rPr>
      <w:rFonts w:eastAsia="Times New Roman" w:cs="Times New Roman"/>
      <w:i/>
      <w:color w:val="4D4D4D"/>
      <w:szCs w:val="20"/>
    </w:rPr>
  </w:style>
  <w:style w:type="paragraph" w:customStyle="1" w:styleId="Bullet1">
    <w:name w:val="Bullet 1"/>
    <w:basedOn w:val="Normal"/>
    <w:link w:val="Bullet1Char"/>
    <w:uiPriority w:val="2"/>
    <w:rsid w:val="00E666B8"/>
    <w:pPr>
      <w:numPr>
        <w:numId w:val="1"/>
      </w:numPr>
    </w:pPr>
  </w:style>
  <w:style w:type="paragraph" w:customStyle="1" w:styleId="Bullet2">
    <w:name w:val="Bullet 2"/>
    <w:basedOn w:val="Normal"/>
    <w:uiPriority w:val="2"/>
    <w:rsid w:val="00E666B8"/>
    <w:pPr>
      <w:numPr>
        <w:ilvl w:val="1"/>
        <w:numId w:val="1"/>
      </w:numPr>
    </w:pPr>
  </w:style>
  <w:style w:type="paragraph" w:customStyle="1" w:styleId="Bullet3">
    <w:name w:val="Bullet 3"/>
    <w:basedOn w:val="Normal"/>
    <w:uiPriority w:val="2"/>
    <w:rsid w:val="00E666B8"/>
    <w:pPr>
      <w:numPr>
        <w:ilvl w:val="2"/>
        <w:numId w:val="1"/>
      </w:numPr>
    </w:pPr>
  </w:style>
  <w:style w:type="paragraph" w:customStyle="1" w:styleId="Bullet4">
    <w:name w:val="Bullet 4"/>
    <w:basedOn w:val="Normal"/>
    <w:uiPriority w:val="2"/>
    <w:rsid w:val="00E666B8"/>
    <w:pPr>
      <w:numPr>
        <w:ilvl w:val="3"/>
        <w:numId w:val="1"/>
      </w:numPr>
    </w:pPr>
  </w:style>
  <w:style w:type="paragraph" w:customStyle="1" w:styleId="Checkbox1">
    <w:name w:val="Check box 1"/>
    <w:basedOn w:val="BodyText"/>
    <w:uiPriority w:val="3"/>
    <w:rsid w:val="00E666B8"/>
    <w:pPr>
      <w:numPr>
        <w:numId w:val="2"/>
      </w:numPr>
    </w:pPr>
  </w:style>
  <w:style w:type="paragraph" w:customStyle="1" w:styleId="Indent1">
    <w:name w:val="Indent 1"/>
    <w:basedOn w:val="Normal"/>
    <w:uiPriority w:val="4"/>
    <w:rsid w:val="00E666B8"/>
    <w:pPr>
      <w:ind w:left="567"/>
    </w:pPr>
  </w:style>
  <w:style w:type="paragraph" w:customStyle="1" w:styleId="Indent2">
    <w:name w:val="Indent 2"/>
    <w:basedOn w:val="Normal"/>
    <w:uiPriority w:val="4"/>
    <w:rsid w:val="00E666B8"/>
    <w:pPr>
      <w:ind w:left="1134"/>
    </w:pPr>
  </w:style>
  <w:style w:type="paragraph" w:customStyle="1" w:styleId="Indent3">
    <w:name w:val="Indent 3"/>
    <w:basedOn w:val="Normal"/>
    <w:uiPriority w:val="4"/>
    <w:rsid w:val="00E666B8"/>
    <w:pPr>
      <w:ind w:left="1701"/>
    </w:pPr>
  </w:style>
  <w:style w:type="paragraph" w:customStyle="1" w:styleId="Indent4">
    <w:name w:val="Indent 4"/>
    <w:basedOn w:val="Normal"/>
    <w:uiPriority w:val="4"/>
    <w:rsid w:val="00E666B8"/>
    <w:pPr>
      <w:ind w:left="2268"/>
    </w:pPr>
  </w:style>
  <w:style w:type="paragraph" w:customStyle="1" w:styleId="Number-1">
    <w:name w:val="Number - 1."/>
    <w:basedOn w:val="BodyText"/>
    <w:uiPriority w:val="5"/>
    <w:rsid w:val="00E666B8"/>
    <w:pPr>
      <w:tabs>
        <w:tab w:val="num" w:pos="851"/>
      </w:tabs>
      <w:ind w:left="851" w:hanging="851"/>
    </w:pPr>
  </w:style>
  <w:style w:type="paragraph" w:customStyle="1" w:styleId="Number-11">
    <w:name w:val="Number - 1.1"/>
    <w:basedOn w:val="Normal"/>
    <w:uiPriority w:val="5"/>
    <w:rsid w:val="00E666B8"/>
    <w:pPr>
      <w:tabs>
        <w:tab w:val="num" w:pos="851"/>
      </w:tabs>
      <w:ind w:left="851" w:hanging="851"/>
    </w:pPr>
  </w:style>
  <w:style w:type="paragraph" w:customStyle="1" w:styleId="Number-111">
    <w:name w:val="Number - 1.1.1"/>
    <w:basedOn w:val="Normal"/>
    <w:uiPriority w:val="5"/>
    <w:rsid w:val="00E666B8"/>
    <w:pPr>
      <w:tabs>
        <w:tab w:val="num" w:pos="851"/>
      </w:tabs>
      <w:ind w:left="851" w:hanging="851"/>
    </w:pPr>
  </w:style>
  <w:style w:type="paragraph" w:customStyle="1" w:styleId="Number-a">
    <w:name w:val="Number - a."/>
    <w:basedOn w:val="Normal"/>
    <w:uiPriority w:val="5"/>
    <w:rsid w:val="00E666B8"/>
    <w:pPr>
      <w:numPr>
        <w:numId w:val="11"/>
      </w:numPr>
    </w:pPr>
  </w:style>
  <w:style w:type="paragraph" w:customStyle="1" w:styleId="Number-i">
    <w:name w:val="Number - i."/>
    <w:basedOn w:val="Normal"/>
    <w:uiPriority w:val="5"/>
    <w:rsid w:val="00E666B8"/>
    <w:pPr>
      <w:numPr>
        <w:ilvl w:val="1"/>
        <w:numId w:val="11"/>
      </w:numPr>
    </w:pPr>
  </w:style>
  <w:style w:type="paragraph" w:customStyle="1" w:styleId="Number1">
    <w:name w:val="Number 1"/>
    <w:basedOn w:val="Normal"/>
    <w:uiPriority w:val="5"/>
    <w:rsid w:val="00E666B8"/>
    <w:pPr>
      <w:numPr>
        <w:numId w:val="3"/>
      </w:numPr>
    </w:pPr>
  </w:style>
  <w:style w:type="paragraph" w:customStyle="1" w:styleId="Number2">
    <w:name w:val="Number 2"/>
    <w:basedOn w:val="Normal"/>
    <w:uiPriority w:val="5"/>
    <w:rsid w:val="00E666B8"/>
    <w:pPr>
      <w:numPr>
        <w:ilvl w:val="1"/>
        <w:numId w:val="3"/>
      </w:numPr>
    </w:pPr>
  </w:style>
  <w:style w:type="paragraph" w:customStyle="1" w:styleId="Number3">
    <w:name w:val="Number 3"/>
    <w:basedOn w:val="Normal"/>
    <w:uiPriority w:val="5"/>
    <w:rsid w:val="00E666B8"/>
    <w:pPr>
      <w:numPr>
        <w:ilvl w:val="2"/>
        <w:numId w:val="3"/>
      </w:numPr>
    </w:pPr>
  </w:style>
  <w:style w:type="paragraph" w:customStyle="1" w:styleId="TableBullet1">
    <w:name w:val="Table Bullet 1"/>
    <w:basedOn w:val="Tablebodytext"/>
    <w:uiPriority w:val="2"/>
    <w:rsid w:val="00E666B8"/>
    <w:pPr>
      <w:numPr>
        <w:numId w:val="4"/>
      </w:numPr>
    </w:pPr>
  </w:style>
  <w:style w:type="paragraph" w:customStyle="1" w:styleId="TableBullet2">
    <w:name w:val="Table Bullet 2"/>
    <w:basedOn w:val="Tablebodytext"/>
    <w:uiPriority w:val="2"/>
    <w:rsid w:val="00E666B8"/>
    <w:pPr>
      <w:numPr>
        <w:ilvl w:val="1"/>
        <w:numId w:val="4"/>
      </w:numPr>
    </w:pPr>
  </w:style>
  <w:style w:type="paragraph" w:customStyle="1" w:styleId="TableBullet3">
    <w:name w:val="Table Bullet 3"/>
    <w:basedOn w:val="Tablebodytext"/>
    <w:uiPriority w:val="2"/>
    <w:rsid w:val="00E666B8"/>
    <w:pPr>
      <w:numPr>
        <w:ilvl w:val="2"/>
        <w:numId w:val="4"/>
      </w:numPr>
    </w:pPr>
  </w:style>
  <w:style w:type="paragraph" w:customStyle="1" w:styleId="Tablecheckbox1">
    <w:name w:val="Table check box 1"/>
    <w:basedOn w:val="Tablebodytext"/>
    <w:uiPriority w:val="2"/>
    <w:rsid w:val="00E666B8"/>
    <w:pPr>
      <w:numPr>
        <w:numId w:val="5"/>
      </w:numPr>
    </w:pPr>
  </w:style>
  <w:style w:type="paragraph" w:customStyle="1" w:styleId="Tableheading">
    <w:name w:val="Table heading"/>
    <w:basedOn w:val="Tablebodytext"/>
    <w:next w:val="Tablebodytext"/>
    <w:uiPriority w:val="2"/>
    <w:rsid w:val="00E666B8"/>
    <w:pPr>
      <w:keepNext/>
      <w:spacing w:after="60"/>
    </w:pPr>
    <w:rPr>
      <w:b/>
    </w:rPr>
  </w:style>
  <w:style w:type="paragraph" w:customStyle="1" w:styleId="TableIndent1">
    <w:name w:val="Table Indent 1"/>
    <w:basedOn w:val="Normal"/>
    <w:uiPriority w:val="2"/>
    <w:rsid w:val="00E666B8"/>
    <w:pPr>
      <w:spacing w:before="120" w:after="120"/>
      <w:ind w:left="357"/>
    </w:pPr>
    <w:rPr>
      <w:sz w:val="22"/>
    </w:rPr>
  </w:style>
  <w:style w:type="paragraph" w:customStyle="1" w:styleId="TableIndent2">
    <w:name w:val="Table Indent 2"/>
    <w:basedOn w:val="Normal"/>
    <w:uiPriority w:val="2"/>
    <w:rsid w:val="00E666B8"/>
    <w:pPr>
      <w:spacing w:before="120" w:after="120"/>
      <w:ind w:left="714"/>
    </w:pPr>
    <w:rPr>
      <w:sz w:val="22"/>
    </w:rPr>
  </w:style>
  <w:style w:type="paragraph" w:customStyle="1" w:styleId="TableIndent3">
    <w:name w:val="Table Indent 3"/>
    <w:basedOn w:val="Normal"/>
    <w:uiPriority w:val="2"/>
    <w:rsid w:val="00E666B8"/>
    <w:pPr>
      <w:spacing w:before="120" w:after="120"/>
      <w:ind w:left="1072"/>
    </w:pPr>
    <w:rPr>
      <w:sz w:val="22"/>
    </w:rPr>
  </w:style>
  <w:style w:type="paragraph" w:customStyle="1" w:styleId="TableNumber1">
    <w:name w:val="Table Number 1."/>
    <w:basedOn w:val="Tablebodytext"/>
    <w:uiPriority w:val="2"/>
    <w:rsid w:val="00E666B8"/>
    <w:pPr>
      <w:numPr>
        <w:numId w:val="6"/>
      </w:numPr>
    </w:pPr>
  </w:style>
  <w:style w:type="paragraph" w:customStyle="1" w:styleId="TableNumbera">
    <w:name w:val="Table Number a."/>
    <w:basedOn w:val="Tablebodytext"/>
    <w:uiPriority w:val="2"/>
    <w:rsid w:val="00E666B8"/>
    <w:pPr>
      <w:numPr>
        <w:ilvl w:val="1"/>
        <w:numId w:val="6"/>
      </w:numPr>
    </w:pPr>
  </w:style>
  <w:style w:type="paragraph" w:customStyle="1" w:styleId="TableNumberi">
    <w:name w:val="Table Number i."/>
    <w:basedOn w:val="Tablebodytext"/>
    <w:uiPriority w:val="2"/>
    <w:rsid w:val="00E666B8"/>
    <w:pPr>
      <w:numPr>
        <w:ilvl w:val="2"/>
        <w:numId w:val="6"/>
      </w:numPr>
    </w:pPr>
  </w:style>
  <w:style w:type="paragraph" w:customStyle="1" w:styleId="TableQuotationseparateparagraph">
    <w:name w:val="Table Quotation (separate paragraph)"/>
    <w:basedOn w:val="Quotationseparateparagraph"/>
    <w:uiPriority w:val="2"/>
    <w:rsid w:val="00E666B8"/>
    <w:pPr>
      <w:spacing w:after="120"/>
      <w:ind w:left="357" w:right="357"/>
    </w:pPr>
    <w:rPr>
      <w:sz w:val="22"/>
    </w:rPr>
  </w:style>
  <w:style w:type="paragraph" w:customStyle="1" w:styleId="Tablesinglespacedparagraph">
    <w:name w:val="Table single spaced paragraph"/>
    <w:basedOn w:val="BodyText"/>
    <w:uiPriority w:val="2"/>
    <w:rsid w:val="00E666B8"/>
    <w:pPr>
      <w:spacing w:before="40" w:after="40"/>
    </w:pPr>
    <w:rPr>
      <w:sz w:val="22"/>
    </w:rPr>
  </w:style>
  <w:style w:type="paragraph" w:customStyle="1" w:styleId="Tablesinglespacedparagraphlast">
    <w:name w:val="Table single spaced paragraph (last)"/>
    <w:basedOn w:val="Tablesinglespacedparagraph"/>
    <w:uiPriority w:val="2"/>
    <w:rsid w:val="00E666B8"/>
  </w:style>
  <w:style w:type="paragraph" w:customStyle="1" w:styleId="Tablecaption">
    <w:name w:val="Table caption"/>
    <w:basedOn w:val="Normal"/>
    <w:next w:val="BodyText"/>
    <w:uiPriority w:val="98"/>
    <w:rsid w:val="00E666B8"/>
    <w:pPr>
      <w:keepNext/>
      <w:spacing w:before="360" w:after="60" w:line="260" w:lineRule="atLeast"/>
    </w:pPr>
    <w:rPr>
      <w:b/>
      <w:sz w:val="26"/>
    </w:rPr>
  </w:style>
  <w:style w:type="paragraph" w:customStyle="1" w:styleId="FigureCaption">
    <w:name w:val="Figure Caption"/>
    <w:basedOn w:val="Normal"/>
    <w:next w:val="BodyText"/>
    <w:uiPriority w:val="2"/>
    <w:rsid w:val="00E666B8"/>
    <w:pPr>
      <w:spacing w:line="240" w:lineRule="auto"/>
    </w:pPr>
    <w:rPr>
      <w:i/>
    </w:rPr>
  </w:style>
  <w:style w:type="paragraph" w:customStyle="1" w:styleId="Footerlandscape">
    <w:name w:val="Footer landscape"/>
    <w:basedOn w:val="Footer"/>
    <w:uiPriority w:val="10"/>
    <w:rsid w:val="00E666B8"/>
  </w:style>
  <w:style w:type="paragraph" w:customStyle="1" w:styleId="Headerlandscape">
    <w:name w:val="Header landscape"/>
    <w:basedOn w:val="Header"/>
    <w:rsid w:val="00E666B8"/>
    <w:pPr>
      <w:tabs>
        <w:tab w:val="clear" w:pos="9299"/>
        <w:tab w:val="right" w:pos="14232"/>
      </w:tabs>
    </w:pPr>
  </w:style>
  <w:style w:type="character" w:customStyle="1" w:styleId="Italics">
    <w:name w:val="Italics"/>
    <w:basedOn w:val="DefaultParagraphFont"/>
    <w:uiPriority w:val="2"/>
    <w:rsid w:val="00E666B8"/>
    <w:rPr>
      <w:i/>
    </w:rPr>
  </w:style>
  <w:style w:type="character" w:customStyle="1" w:styleId="Bluetext">
    <w:name w:val="Blue text"/>
    <w:basedOn w:val="DefaultParagraphFont"/>
    <w:uiPriority w:val="2"/>
    <w:rsid w:val="00E666B8"/>
    <w:rPr>
      <w:color w:val="0070C0"/>
    </w:rPr>
  </w:style>
  <w:style w:type="paragraph" w:customStyle="1" w:styleId="Boxsmallbullet1">
    <w:name w:val="Box small bullet 1"/>
    <w:basedOn w:val="Boxsmalltext"/>
    <w:uiPriority w:val="2"/>
    <w:rsid w:val="00E666B8"/>
    <w:pPr>
      <w:numPr>
        <w:numId w:val="7"/>
      </w:numPr>
    </w:pPr>
  </w:style>
  <w:style w:type="paragraph" w:customStyle="1" w:styleId="Boxsmallbullet2">
    <w:name w:val="Box small bullet 2"/>
    <w:basedOn w:val="Boxsmalltext"/>
    <w:uiPriority w:val="2"/>
    <w:rsid w:val="00E666B8"/>
    <w:pPr>
      <w:numPr>
        <w:ilvl w:val="1"/>
        <w:numId w:val="7"/>
      </w:numPr>
    </w:pPr>
  </w:style>
  <w:style w:type="character" w:customStyle="1" w:styleId="HyperlinkSourceTextReference">
    <w:name w:val="Hyperlink (Source Text Reference)"/>
    <w:basedOn w:val="Hyperlink"/>
    <w:uiPriority w:val="2"/>
    <w:rsid w:val="00E666B8"/>
    <w:rPr>
      <w:color w:val="0D6AB8"/>
      <w:u w:val="single"/>
    </w:rPr>
  </w:style>
  <w:style w:type="paragraph" w:customStyle="1" w:styleId="Boxsmallnumber-1">
    <w:name w:val="Box small number - 1."/>
    <w:basedOn w:val="Boxsmalltext"/>
    <w:uiPriority w:val="2"/>
    <w:rsid w:val="00E666B8"/>
    <w:pPr>
      <w:numPr>
        <w:numId w:val="10"/>
      </w:numPr>
    </w:pPr>
  </w:style>
  <w:style w:type="paragraph" w:customStyle="1" w:styleId="Boxsmallnumber-a">
    <w:name w:val="Box small number - a."/>
    <w:basedOn w:val="Boxsmalltext"/>
    <w:uiPriority w:val="2"/>
    <w:rsid w:val="00E666B8"/>
    <w:pPr>
      <w:numPr>
        <w:ilvl w:val="1"/>
        <w:numId w:val="10"/>
      </w:numPr>
    </w:pPr>
  </w:style>
  <w:style w:type="paragraph" w:customStyle="1" w:styleId="Boxsmallnumber-i">
    <w:name w:val="Box small number - i."/>
    <w:basedOn w:val="Boxsmalltext"/>
    <w:uiPriority w:val="2"/>
    <w:rsid w:val="00E666B8"/>
    <w:pPr>
      <w:numPr>
        <w:ilvl w:val="2"/>
        <w:numId w:val="10"/>
      </w:numPr>
    </w:pPr>
  </w:style>
  <w:style w:type="paragraph" w:customStyle="1" w:styleId="FootnoteBullet">
    <w:name w:val="Footnote Bullet"/>
    <w:basedOn w:val="FootnoteText"/>
    <w:uiPriority w:val="7"/>
    <w:rsid w:val="00E666B8"/>
    <w:pPr>
      <w:numPr>
        <w:numId w:val="17"/>
      </w:numPr>
      <w:tabs>
        <w:tab w:val="clear" w:pos="284"/>
      </w:tabs>
    </w:pPr>
  </w:style>
  <w:style w:type="paragraph" w:customStyle="1" w:styleId="Introduction">
    <w:name w:val="Introduction"/>
    <w:basedOn w:val="BodyText"/>
    <w:uiPriority w:val="2"/>
    <w:rsid w:val="00E666B8"/>
    <w:rPr>
      <w:color w:val="4D4D4D"/>
      <w:sz w:val="28"/>
    </w:rPr>
  </w:style>
  <w:style w:type="paragraph" w:customStyle="1" w:styleId="Checkbox2">
    <w:name w:val="Check box 2"/>
    <w:basedOn w:val="Checkbox1"/>
    <w:uiPriority w:val="3"/>
    <w:rsid w:val="00E666B8"/>
    <w:pPr>
      <w:numPr>
        <w:ilvl w:val="1"/>
      </w:numPr>
    </w:pPr>
  </w:style>
  <w:style w:type="paragraph" w:customStyle="1" w:styleId="Checkbox3">
    <w:name w:val="Check box 3"/>
    <w:basedOn w:val="Checkbox1"/>
    <w:uiPriority w:val="3"/>
    <w:rsid w:val="00E666B8"/>
    <w:pPr>
      <w:numPr>
        <w:ilvl w:val="2"/>
      </w:numPr>
    </w:pPr>
  </w:style>
  <w:style w:type="paragraph" w:customStyle="1" w:styleId="Checkbox4">
    <w:name w:val="Check box 4"/>
    <w:basedOn w:val="Checkbox1"/>
    <w:uiPriority w:val="3"/>
    <w:rsid w:val="00E666B8"/>
    <w:pPr>
      <w:numPr>
        <w:ilvl w:val="3"/>
      </w:numPr>
    </w:pPr>
  </w:style>
  <w:style w:type="paragraph" w:customStyle="1" w:styleId="Tablecheckbox2">
    <w:name w:val="Table check box 2"/>
    <w:basedOn w:val="Tablecheckbox1"/>
    <w:uiPriority w:val="2"/>
    <w:rsid w:val="00E666B8"/>
    <w:pPr>
      <w:numPr>
        <w:ilvl w:val="1"/>
      </w:numPr>
    </w:pPr>
  </w:style>
  <w:style w:type="paragraph" w:customStyle="1" w:styleId="Tablecheckbox3">
    <w:name w:val="Table check box 3"/>
    <w:basedOn w:val="Tablecheckbox1"/>
    <w:uiPriority w:val="2"/>
    <w:rsid w:val="00E666B8"/>
    <w:pPr>
      <w:numPr>
        <w:ilvl w:val="2"/>
      </w:numPr>
    </w:pPr>
  </w:style>
  <w:style w:type="paragraph" w:customStyle="1" w:styleId="EndnoteBullet">
    <w:name w:val="Endnote Bullet"/>
    <w:uiPriority w:val="7"/>
    <w:rsid w:val="00E666B8"/>
    <w:pPr>
      <w:numPr>
        <w:numId w:val="16"/>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E666B8"/>
    <w:pPr>
      <w:ind w:left="2268" w:right="567"/>
    </w:pPr>
    <w:rPr>
      <w:i/>
      <w:color w:val="4D4D4D"/>
    </w:rPr>
  </w:style>
  <w:style w:type="paragraph" w:customStyle="1" w:styleId="CQLegindent2">
    <w:name w:val="CQLeg indent 2"/>
    <w:basedOn w:val="Normal"/>
    <w:uiPriority w:val="6"/>
    <w:rsid w:val="00E666B8"/>
    <w:pPr>
      <w:ind w:left="2977" w:right="567"/>
    </w:pPr>
    <w:rPr>
      <w:i/>
      <w:color w:val="4D4D4D"/>
    </w:rPr>
  </w:style>
  <w:style w:type="paragraph" w:customStyle="1" w:styleId="CQLegindent3">
    <w:name w:val="CQLeg indent 3"/>
    <w:basedOn w:val="Normal"/>
    <w:uiPriority w:val="6"/>
    <w:rsid w:val="00E666B8"/>
    <w:pPr>
      <w:ind w:left="3686" w:right="567"/>
    </w:pPr>
    <w:rPr>
      <w:i/>
      <w:color w:val="4D4D4D"/>
    </w:rPr>
  </w:style>
  <w:style w:type="paragraph" w:customStyle="1" w:styleId="CQLegstyle-1">
    <w:name w:val="CQLeg style - (1)"/>
    <w:basedOn w:val="Normal"/>
    <w:uiPriority w:val="6"/>
    <w:rsid w:val="00E666B8"/>
    <w:pPr>
      <w:tabs>
        <w:tab w:val="left" w:pos="2268"/>
      </w:tabs>
      <w:ind w:left="2269" w:right="567" w:hanging="851"/>
    </w:pPr>
    <w:rPr>
      <w:i/>
      <w:color w:val="4D4D4D"/>
    </w:rPr>
  </w:style>
  <w:style w:type="paragraph" w:customStyle="1" w:styleId="CQLegstyle-a">
    <w:name w:val="CQLeg style - (a)"/>
    <w:basedOn w:val="Normal"/>
    <w:uiPriority w:val="6"/>
    <w:rsid w:val="00E666B8"/>
    <w:pPr>
      <w:tabs>
        <w:tab w:val="left" w:pos="2977"/>
      </w:tabs>
      <w:ind w:left="2977" w:right="567" w:hanging="709"/>
    </w:pPr>
    <w:rPr>
      <w:i/>
      <w:color w:val="4D4D4D"/>
    </w:rPr>
  </w:style>
  <w:style w:type="paragraph" w:customStyle="1" w:styleId="CQLegstyle-i">
    <w:name w:val="CQLeg style - (i)"/>
    <w:basedOn w:val="Normal"/>
    <w:uiPriority w:val="6"/>
    <w:rsid w:val="00E666B8"/>
    <w:pPr>
      <w:tabs>
        <w:tab w:val="left" w:pos="3686"/>
      </w:tabs>
      <w:ind w:left="3686" w:right="567" w:hanging="709"/>
    </w:pPr>
    <w:rPr>
      <w:i/>
      <w:color w:val="4D4D4D"/>
    </w:rPr>
  </w:style>
  <w:style w:type="paragraph" w:customStyle="1" w:styleId="CQLegstyle-10">
    <w:name w:val="CQLeg style - 1"/>
    <w:basedOn w:val="Normal"/>
    <w:uiPriority w:val="6"/>
    <w:rsid w:val="00E666B8"/>
    <w:pPr>
      <w:keepNext/>
      <w:tabs>
        <w:tab w:val="left" w:pos="2268"/>
      </w:tabs>
      <w:ind w:left="2269" w:right="567" w:hanging="851"/>
    </w:pPr>
    <w:rPr>
      <w:b/>
      <w:i/>
      <w:color w:val="4D4D4D"/>
    </w:rPr>
  </w:style>
  <w:style w:type="paragraph" w:customStyle="1" w:styleId="BQLegindent1">
    <w:name w:val="BQLeg indent 1"/>
    <w:basedOn w:val="Normal"/>
    <w:uiPriority w:val="6"/>
    <w:rsid w:val="00E666B8"/>
    <w:pPr>
      <w:ind w:left="1418" w:right="567"/>
    </w:pPr>
    <w:rPr>
      <w:i/>
      <w:color w:val="4D4D4D"/>
    </w:rPr>
  </w:style>
  <w:style w:type="paragraph" w:customStyle="1" w:styleId="BQLegindent2">
    <w:name w:val="BQLeg indent 2"/>
    <w:basedOn w:val="Normal"/>
    <w:uiPriority w:val="6"/>
    <w:rsid w:val="00E666B8"/>
    <w:pPr>
      <w:ind w:left="2126" w:right="567"/>
    </w:pPr>
    <w:rPr>
      <w:i/>
      <w:color w:val="4D4D4D"/>
    </w:rPr>
  </w:style>
  <w:style w:type="paragraph" w:customStyle="1" w:styleId="BQLegindent3">
    <w:name w:val="BQLeg indent 3"/>
    <w:basedOn w:val="Normal"/>
    <w:uiPriority w:val="6"/>
    <w:rsid w:val="00E666B8"/>
    <w:pPr>
      <w:ind w:left="2835" w:right="567"/>
    </w:pPr>
    <w:rPr>
      <w:i/>
      <w:color w:val="4D4D4D"/>
    </w:rPr>
  </w:style>
  <w:style w:type="paragraph" w:customStyle="1" w:styleId="BQLegstyle-1">
    <w:name w:val="BQLeg style - (1)"/>
    <w:basedOn w:val="Normal"/>
    <w:uiPriority w:val="6"/>
    <w:rsid w:val="00E666B8"/>
    <w:pPr>
      <w:tabs>
        <w:tab w:val="left" w:pos="1418"/>
      </w:tabs>
      <w:ind w:left="1418" w:right="567" w:hanging="851"/>
    </w:pPr>
    <w:rPr>
      <w:i/>
      <w:color w:val="4D4D4D"/>
    </w:rPr>
  </w:style>
  <w:style w:type="paragraph" w:customStyle="1" w:styleId="BQLegstyle-a">
    <w:name w:val="BQLeg style - (a)"/>
    <w:basedOn w:val="Normal"/>
    <w:uiPriority w:val="6"/>
    <w:rsid w:val="00E666B8"/>
    <w:pPr>
      <w:tabs>
        <w:tab w:val="left" w:pos="2126"/>
      </w:tabs>
      <w:ind w:left="2127" w:right="567" w:hanging="709"/>
    </w:pPr>
    <w:rPr>
      <w:i/>
      <w:color w:val="4D4D4D"/>
    </w:rPr>
  </w:style>
  <w:style w:type="paragraph" w:customStyle="1" w:styleId="BQLegstyle-i">
    <w:name w:val="BQLeg style - (i)"/>
    <w:basedOn w:val="Normal"/>
    <w:uiPriority w:val="6"/>
    <w:rsid w:val="00E666B8"/>
    <w:pPr>
      <w:tabs>
        <w:tab w:val="left" w:pos="2835"/>
      </w:tabs>
      <w:ind w:left="2835" w:right="567" w:hanging="709"/>
    </w:pPr>
    <w:rPr>
      <w:i/>
      <w:color w:val="4D4D4D"/>
    </w:rPr>
  </w:style>
  <w:style w:type="paragraph" w:customStyle="1" w:styleId="BQLegstyle-10">
    <w:name w:val="BQLeg style - 1"/>
    <w:basedOn w:val="Normal"/>
    <w:uiPriority w:val="6"/>
    <w:rsid w:val="00E666B8"/>
    <w:pPr>
      <w:keepNext/>
      <w:tabs>
        <w:tab w:val="left" w:pos="1418"/>
      </w:tabs>
      <w:ind w:left="1418" w:right="567" w:hanging="851"/>
    </w:pPr>
    <w:rPr>
      <w:b/>
      <w:i/>
      <w:color w:val="4D4D4D"/>
    </w:rPr>
  </w:style>
  <w:style w:type="paragraph" w:customStyle="1" w:styleId="ALegindent1">
    <w:name w:val="ALeg indent 1"/>
    <w:basedOn w:val="Normal"/>
    <w:uiPriority w:val="6"/>
    <w:rsid w:val="00E666B8"/>
    <w:pPr>
      <w:ind w:left="851"/>
    </w:pPr>
  </w:style>
  <w:style w:type="paragraph" w:customStyle="1" w:styleId="ALegindent2">
    <w:name w:val="ALeg indent 2"/>
    <w:basedOn w:val="Normal"/>
    <w:uiPriority w:val="6"/>
    <w:rsid w:val="00E666B8"/>
    <w:pPr>
      <w:ind w:left="1559"/>
    </w:pPr>
  </w:style>
  <w:style w:type="paragraph" w:customStyle="1" w:styleId="ALegindent3">
    <w:name w:val="ALeg indent 3"/>
    <w:basedOn w:val="Normal"/>
    <w:uiPriority w:val="6"/>
    <w:rsid w:val="00E666B8"/>
    <w:pPr>
      <w:ind w:left="2268"/>
    </w:pPr>
  </w:style>
  <w:style w:type="paragraph" w:customStyle="1" w:styleId="ALegstyle-1">
    <w:name w:val="ALeg style - (1)"/>
    <w:basedOn w:val="Normal"/>
    <w:uiPriority w:val="6"/>
    <w:rsid w:val="00E666B8"/>
    <w:pPr>
      <w:tabs>
        <w:tab w:val="left" w:pos="851"/>
      </w:tabs>
      <w:ind w:left="851" w:hanging="851"/>
    </w:pPr>
  </w:style>
  <w:style w:type="paragraph" w:customStyle="1" w:styleId="ALegstyle-a">
    <w:name w:val="ALeg style - (a)"/>
    <w:basedOn w:val="Normal"/>
    <w:uiPriority w:val="6"/>
    <w:rsid w:val="00E666B8"/>
    <w:pPr>
      <w:tabs>
        <w:tab w:val="left" w:pos="1559"/>
      </w:tabs>
      <w:ind w:left="1560" w:hanging="709"/>
    </w:pPr>
  </w:style>
  <w:style w:type="paragraph" w:customStyle="1" w:styleId="ALegstyle-i">
    <w:name w:val="ALeg style - (i)"/>
    <w:basedOn w:val="Normal"/>
    <w:uiPriority w:val="6"/>
    <w:rsid w:val="00E666B8"/>
    <w:pPr>
      <w:tabs>
        <w:tab w:val="left" w:pos="2268"/>
      </w:tabs>
      <w:ind w:left="2268" w:hanging="709"/>
    </w:pPr>
  </w:style>
  <w:style w:type="paragraph" w:customStyle="1" w:styleId="ALegstyle-10">
    <w:name w:val="ALeg style - 1"/>
    <w:basedOn w:val="Normal"/>
    <w:uiPriority w:val="6"/>
    <w:rsid w:val="00E666B8"/>
    <w:pPr>
      <w:keepNext/>
      <w:tabs>
        <w:tab w:val="left" w:pos="851"/>
      </w:tabs>
      <w:ind w:left="851" w:hanging="851"/>
    </w:pPr>
    <w:rPr>
      <w:b/>
    </w:rPr>
  </w:style>
  <w:style w:type="paragraph" w:customStyle="1" w:styleId="SQLegindent1">
    <w:name w:val="SQLeg indent 1"/>
    <w:basedOn w:val="Normal"/>
    <w:uiPriority w:val="6"/>
    <w:rsid w:val="00E666B8"/>
    <w:pPr>
      <w:ind w:left="1985" w:right="567"/>
    </w:pPr>
    <w:rPr>
      <w:i/>
      <w:color w:val="4D4D4D"/>
    </w:rPr>
  </w:style>
  <w:style w:type="paragraph" w:customStyle="1" w:styleId="SQLegindent2">
    <w:name w:val="SQLeg indent 2"/>
    <w:basedOn w:val="Normal"/>
    <w:uiPriority w:val="6"/>
    <w:rsid w:val="00E666B8"/>
    <w:pPr>
      <w:ind w:left="2693" w:right="567"/>
    </w:pPr>
    <w:rPr>
      <w:i/>
      <w:color w:val="4D4D4D"/>
    </w:rPr>
  </w:style>
  <w:style w:type="paragraph" w:customStyle="1" w:styleId="SQLegindent3">
    <w:name w:val="SQLeg indent 3"/>
    <w:basedOn w:val="Normal"/>
    <w:uiPriority w:val="6"/>
    <w:rsid w:val="00E666B8"/>
    <w:pPr>
      <w:ind w:left="3402" w:right="567"/>
    </w:pPr>
    <w:rPr>
      <w:i/>
      <w:color w:val="4D4D4D"/>
    </w:rPr>
  </w:style>
  <w:style w:type="paragraph" w:customStyle="1" w:styleId="SQLegstyle-1">
    <w:name w:val="SQLeg style - (1)"/>
    <w:basedOn w:val="Normal"/>
    <w:uiPriority w:val="6"/>
    <w:rsid w:val="00E666B8"/>
    <w:pPr>
      <w:tabs>
        <w:tab w:val="left" w:pos="1985"/>
      </w:tabs>
      <w:ind w:left="1985" w:right="567" w:hanging="851"/>
    </w:pPr>
    <w:rPr>
      <w:i/>
      <w:color w:val="4D4D4D"/>
    </w:rPr>
  </w:style>
  <w:style w:type="paragraph" w:customStyle="1" w:styleId="SQLegstyle-a">
    <w:name w:val="SQLeg style - (a)"/>
    <w:basedOn w:val="Normal"/>
    <w:uiPriority w:val="6"/>
    <w:rsid w:val="00E666B8"/>
    <w:pPr>
      <w:tabs>
        <w:tab w:val="left" w:pos="2693"/>
      </w:tabs>
      <w:ind w:left="2694" w:right="567" w:hanging="709"/>
    </w:pPr>
    <w:rPr>
      <w:i/>
      <w:color w:val="4D4D4D"/>
    </w:rPr>
  </w:style>
  <w:style w:type="paragraph" w:customStyle="1" w:styleId="SQLegstyle-i">
    <w:name w:val="SQLeg style - (i)"/>
    <w:basedOn w:val="Normal"/>
    <w:uiPriority w:val="6"/>
    <w:rsid w:val="00E666B8"/>
    <w:pPr>
      <w:tabs>
        <w:tab w:val="left" w:pos="3402"/>
      </w:tabs>
      <w:ind w:left="3402" w:right="567" w:hanging="709"/>
    </w:pPr>
    <w:rPr>
      <w:i/>
      <w:color w:val="4D4D4D"/>
    </w:rPr>
  </w:style>
  <w:style w:type="paragraph" w:customStyle="1" w:styleId="SQLegstyle-10">
    <w:name w:val="SQLeg style - 1"/>
    <w:basedOn w:val="Normal"/>
    <w:uiPriority w:val="6"/>
    <w:rsid w:val="00E666B8"/>
    <w:pPr>
      <w:keepNext/>
      <w:tabs>
        <w:tab w:val="left" w:pos="1985"/>
      </w:tabs>
      <w:ind w:left="1985" w:right="567" w:hanging="851"/>
    </w:pPr>
    <w:rPr>
      <w:b/>
      <w:i/>
      <w:color w:val="4D4D4D"/>
    </w:rPr>
  </w:style>
  <w:style w:type="character" w:customStyle="1" w:styleId="EmphasisItalics">
    <w:name w:val="Emphasis Italics"/>
    <w:basedOn w:val="DefaultParagraphFont"/>
    <w:uiPriority w:val="2"/>
    <w:rsid w:val="00E666B8"/>
    <w:rPr>
      <w:b/>
      <w:i/>
    </w:rPr>
  </w:style>
  <w:style w:type="paragraph" w:customStyle="1" w:styleId="OIPI-Cover-title2">
    <w:name w:val="OIPI - Cover - title 2"/>
    <w:basedOn w:val="Normal"/>
    <w:uiPriority w:val="98"/>
    <w:rsid w:val="00D16793"/>
    <w:pPr>
      <w:spacing w:before="240" w:line="240" w:lineRule="auto"/>
      <w:contextualSpacing/>
    </w:pPr>
    <w:rPr>
      <w:b/>
      <w:color w:val="FFFFFF" w:themeColor="background1"/>
      <w:sz w:val="34"/>
    </w:rPr>
  </w:style>
  <w:style w:type="paragraph" w:customStyle="1" w:styleId="OIPI-Cover-agencyname">
    <w:name w:val="OIPI - Cover - agency name"/>
    <w:basedOn w:val="Normal"/>
    <w:uiPriority w:val="98"/>
    <w:rsid w:val="00D16793"/>
    <w:pPr>
      <w:spacing w:after="240" w:line="240" w:lineRule="auto"/>
      <w:contextualSpacing/>
    </w:pPr>
    <w:rPr>
      <w:b/>
      <w:color w:val="FFFFFF" w:themeColor="background1"/>
      <w:sz w:val="50"/>
      <w:szCs w:val="50"/>
    </w:rPr>
  </w:style>
  <w:style w:type="paragraph" w:customStyle="1" w:styleId="OIPIpullquote">
    <w:name w:val="OIPI pull quote"/>
    <w:basedOn w:val="Normal"/>
    <w:link w:val="OIPIpullquoteChar"/>
    <w:uiPriority w:val="98"/>
    <w:qFormat/>
    <w:rsid w:val="00AA67CC"/>
    <w:pPr>
      <w:pBdr>
        <w:top w:val="single" w:sz="4" w:space="12" w:color="2BB673" w:themeColor="accent1"/>
        <w:bottom w:val="single" w:sz="4" w:space="12" w:color="2BB673" w:themeColor="accent1"/>
      </w:pBdr>
      <w:spacing w:after="0" w:line="240" w:lineRule="auto"/>
      <w:jc w:val="right"/>
    </w:pPr>
    <w:rPr>
      <w:color w:val="2BB673" w:themeColor="accent1"/>
      <w:sz w:val="28"/>
      <w:szCs w:val="40"/>
    </w:rPr>
  </w:style>
  <w:style w:type="paragraph" w:customStyle="1" w:styleId="OIPI-White-Title">
    <w:name w:val="OIPI - White - Title"/>
    <w:basedOn w:val="Heading2"/>
    <w:link w:val="OIPI-White-TitleChar"/>
    <w:uiPriority w:val="98"/>
    <w:qFormat/>
    <w:rsid w:val="002F1298"/>
    <w:pPr>
      <w:spacing w:before="480"/>
    </w:pPr>
    <w:rPr>
      <w:noProof/>
      <w:color w:val="FFFFFF" w:themeColor="background1"/>
      <w:sz w:val="38"/>
      <w:szCs w:val="38"/>
      <w:lang w:eastAsia="en-NZ"/>
    </w:rPr>
  </w:style>
  <w:style w:type="character" w:customStyle="1" w:styleId="OIPIpullquoteChar">
    <w:name w:val="OIPI pull quote Char"/>
    <w:basedOn w:val="DefaultParagraphFont"/>
    <w:link w:val="OIPIpullquote"/>
    <w:uiPriority w:val="98"/>
    <w:rsid w:val="00AA67CC"/>
    <w:rPr>
      <w:rFonts w:ascii="Calibri" w:hAnsi="Calibri"/>
      <w:color w:val="2BB673" w:themeColor="accent1"/>
      <w:sz w:val="28"/>
      <w:szCs w:val="40"/>
    </w:rPr>
  </w:style>
  <w:style w:type="paragraph" w:customStyle="1" w:styleId="OIPI-White-Heading1">
    <w:name w:val="OIPI - White - Heading 1"/>
    <w:basedOn w:val="Heading4"/>
    <w:link w:val="OIPI-White-Heading1Char"/>
    <w:uiPriority w:val="98"/>
    <w:qFormat/>
    <w:rsid w:val="00574A50"/>
    <w:rPr>
      <w:color w:val="FFFFFF" w:themeColor="background1"/>
      <w:sz w:val="28"/>
    </w:rPr>
  </w:style>
  <w:style w:type="character" w:customStyle="1" w:styleId="OIPI-White-TitleChar">
    <w:name w:val="OIPI - White - Title Char"/>
    <w:basedOn w:val="Heading2Char"/>
    <w:link w:val="OIPI-White-Title"/>
    <w:uiPriority w:val="98"/>
    <w:rsid w:val="002F1298"/>
    <w:rPr>
      <w:rFonts w:ascii="Calibri" w:eastAsiaTheme="majorEastAsia" w:hAnsi="Calibri" w:cstheme="majorBidi"/>
      <w:b/>
      <w:bCs/>
      <w:noProof/>
      <w:color w:val="FFFFFF" w:themeColor="background1"/>
      <w:sz w:val="38"/>
      <w:szCs w:val="38"/>
      <w:lang w:eastAsia="en-NZ"/>
    </w:rPr>
  </w:style>
  <w:style w:type="paragraph" w:customStyle="1" w:styleId="OIPI-White-bodytext">
    <w:name w:val="OIPI - White - body text"/>
    <w:basedOn w:val="BodyText"/>
    <w:link w:val="OIPI-White-bodytextChar"/>
    <w:uiPriority w:val="98"/>
    <w:qFormat/>
    <w:rsid w:val="00574A50"/>
    <w:rPr>
      <w:b/>
      <w:color w:val="FFFFFF" w:themeColor="background1"/>
    </w:rPr>
  </w:style>
  <w:style w:type="character" w:customStyle="1" w:styleId="OIPI-White-Heading1Char">
    <w:name w:val="OIPI - White - Heading 1 Char"/>
    <w:basedOn w:val="Heading4Char"/>
    <w:link w:val="OIPI-White-Heading1"/>
    <w:uiPriority w:val="98"/>
    <w:rsid w:val="00574A50"/>
    <w:rPr>
      <w:rFonts w:ascii="Calibri" w:eastAsiaTheme="majorEastAsia" w:hAnsi="Calibri" w:cstheme="majorBidi"/>
      <w:b/>
      <w:bCs/>
      <w:iCs/>
      <w:color w:val="FFFFFF" w:themeColor="background1"/>
      <w:sz w:val="28"/>
    </w:rPr>
  </w:style>
  <w:style w:type="numbering" w:styleId="111111">
    <w:name w:val="Outline List 2"/>
    <w:basedOn w:val="NoList"/>
    <w:uiPriority w:val="99"/>
    <w:semiHidden/>
    <w:unhideWhenUsed/>
    <w:rsid w:val="00B469D3"/>
    <w:pPr>
      <w:numPr>
        <w:numId w:val="19"/>
      </w:numPr>
    </w:pPr>
  </w:style>
  <w:style w:type="character" w:customStyle="1" w:styleId="OIPI-White-bodytextChar">
    <w:name w:val="OIPI - White - body text Char"/>
    <w:basedOn w:val="BodyTextChar"/>
    <w:link w:val="OIPI-White-bodytext"/>
    <w:uiPriority w:val="98"/>
    <w:rsid w:val="00574A50"/>
    <w:rPr>
      <w:rFonts w:ascii="Calibri" w:hAnsi="Calibri"/>
      <w:b/>
      <w:color w:val="FFFFFF" w:themeColor="background1"/>
      <w:sz w:val="24"/>
    </w:rPr>
  </w:style>
  <w:style w:type="numbering" w:styleId="1ai">
    <w:name w:val="Outline List 1"/>
    <w:basedOn w:val="NoList"/>
    <w:uiPriority w:val="99"/>
    <w:semiHidden/>
    <w:unhideWhenUsed/>
    <w:rsid w:val="00B469D3"/>
    <w:pPr>
      <w:numPr>
        <w:numId w:val="20"/>
      </w:numPr>
    </w:pPr>
  </w:style>
  <w:style w:type="numbering" w:styleId="ArticleSection">
    <w:name w:val="Outline List 3"/>
    <w:basedOn w:val="NoList"/>
    <w:uiPriority w:val="99"/>
    <w:semiHidden/>
    <w:unhideWhenUsed/>
    <w:rsid w:val="00B469D3"/>
    <w:pPr>
      <w:numPr>
        <w:numId w:val="21"/>
      </w:numPr>
    </w:pPr>
  </w:style>
  <w:style w:type="paragraph" w:styleId="BlockText">
    <w:name w:val="Block Text"/>
    <w:basedOn w:val="Normal"/>
    <w:uiPriority w:val="99"/>
    <w:semiHidden/>
    <w:unhideWhenUsed/>
    <w:rsid w:val="00B469D3"/>
    <w:pPr>
      <w:pBdr>
        <w:top w:val="single" w:sz="2" w:space="10" w:color="2BB673" w:themeColor="accent1"/>
        <w:left w:val="single" w:sz="2" w:space="10" w:color="2BB673" w:themeColor="accent1"/>
        <w:bottom w:val="single" w:sz="2" w:space="10" w:color="2BB673" w:themeColor="accent1"/>
        <w:right w:val="single" w:sz="2" w:space="10" w:color="2BB673" w:themeColor="accent1"/>
      </w:pBdr>
      <w:ind w:left="1152" w:right="1152"/>
    </w:pPr>
    <w:rPr>
      <w:rFonts w:asciiTheme="minorHAnsi" w:eastAsiaTheme="minorEastAsia" w:hAnsiTheme="minorHAnsi"/>
      <w:i/>
      <w:iCs/>
      <w:color w:val="2BB673" w:themeColor="accent1"/>
    </w:rPr>
  </w:style>
  <w:style w:type="paragraph" w:styleId="BodyText2">
    <w:name w:val="Body Text 2"/>
    <w:basedOn w:val="Normal"/>
    <w:link w:val="BodyText2Char"/>
    <w:uiPriority w:val="99"/>
    <w:semiHidden/>
    <w:unhideWhenUsed/>
    <w:rsid w:val="00B469D3"/>
    <w:pPr>
      <w:spacing w:after="120" w:line="480" w:lineRule="auto"/>
    </w:pPr>
  </w:style>
  <w:style w:type="character" w:customStyle="1" w:styleId="BodyText2Char">
    <w:name w:val="Body Text 2 Char"/>
    <w:basedOn w:val="DefaultParagraphFont"/>
    <w:link w:val="BodyText2"/>
    <w:uiPriority w:val="99"/>
    <w:semiHidden/>
    <w:rsid w:val="00B469D3"/>
    <w:rPr>
      <w:rFonts w:ascii="Calibri" w:hAnsi="Calibri"/>
      <w:color w:val="1E1E1E"/>
      <w:sz w:val="24"/>
    </w:rPr>
  </w:style>
  <w:style w:type="paragraph" w:styleId="BodyText3">
    <w:name w:val="Body Text 3"/>
    <w:basedOn w:val="Normal"/>
    <w:link w:val="BodyText3Char"/>
    <w:uiPriority w:val="99"/>
    <w:semiHidden/>
    <w:unhideWhenUsed/>
    <w:rsid w:val="00B469D3"/>
    <w:pPr>
      <w:spacing w:after="120"/>
    </w:pPr>
    <w:rPr>
      <w:sz w:val="16"/>
      <w:szCs w:val="16"/>
    </w:rPr>
  </w:style>
  <w:style w:type="character" w:customStyle="1" w:styleId="BodyText3Char">
    <w:name w:val="Body Text 3 Char"/>
    <w:basedOn w:val="DefaultParagraphFont"/>
    <w:link w:val="BodyText3"/>
    <w:uiPriority w:val="99"/>
    <w:semiHidden/>
    <w:rsid w:val="00B469D3"/>
    <w:rPr>
      <w:rFonts w:ascii="Calibri" w:hAnsi="Calibri"/>
      <w:color w:val="1E1E1E"/>
      <w:sz w:val="16"/>
      <w:szCs w:val="16"/>
    </w:rPr>
  </w:style>
  <w:style w:type="paragraph" w:styleId="BodyTextFirstIndent">
    <w:name w:val="Body Text First Indent"/>
    <w:basedOn w:val="BodyText"/>
    <w:link w:val="BodyTextFirstIndentChar"/>
    <w:uiPriority w:val="99"/>
    <w:semiHidden/>
    <w:unhideWhenUsed/>
    <w:rsid w:val="00B469D3"/>
    <w:pPr>
      <w:ind w:firstLine="360"/>
    </w:pPr>
  </w:style>
  <w:style w:type="character" w:customStyle="1" w:styleId="BodyTextFirstIndentChar">
    <w:name w:val="Body Text First Indent Char"/>
    <w:basedOn w:val="BodyTextChar"/>
    <w:link w:val="BodyTextFirstIndent"/>
    <w:uiPriority w:val="99"/>
    <w:semiHidden/>
    <w:rsid w:val="00B469D3"/>
    <w:rPr>
      <w:rFonts w:ascii="Calibri" w:hAnsi="Calibri"/>
      <w:color w:val="1E1E1E"/>
      <w:sz w:val="24"/>
    </w:rPr>
  </w:style>
  <w:style w:type="paragraph" w:styleId="BodyTextIndent">
    <w:name w:val="Body Text Indent"/>
    <w:basedOn w:val="Normal"/>
    <w:link w:val="BodyTextIndentChar"/>
    <w:uiPriority w:val="99"/>
    <w:semiHidden/>
    <w:unhideWhenUsed/>
    <w:rsid w:val="00B469D3"/>
    <w:pPr>
      <w:spacing w:after="120"/>
      <w:ind w:left="283"/>
    </w:pPr>
  </w:style>
  <w:style w:type="character" w:customStyle="1" w:styleId="BodyTextIndentChar">
    <w:name w:val="Body Text Indent Char"/>
    <w:basedOn w:val="DefaultParagraphFont"/>
    <w:link w:val="BodyTextIndent"/>
    <w:uiPriority w:val="99"/>
    <w:semiHidden/>
    <w:rsid w:val="00B469D3"/>
    <w:rPr>
      <w:rFonts w:ascii="Calibri" w:hAnsi="Calibri"/>
      <w:color w:val="1E1E1E"/>
      <w:sz w:val="24"/>
    </w:rPr>
  </w:style>
  <w:style w:type="paragraph" w:styleId="BodyTextFirstIndent2">
    <w:name w:val="Body Text First Indent 2"/>
    <w:basedOn w:val="BodyTextIndent"/>
    <w:link w:val="BodyTextFirstIndent2Char"/>
    <w:uiPriority w:val="99"/>
    <w:semiHidden/>
    <w:unhideWhenUsed/>
    <w:rsid w:val="00B469D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B469D3"/>
    <w:rPr>
      <w:rFonts w:ascii="Calibri" w:hAnsi="Calibri"/>
      <w:color w:val="1E1E1E"/>
      <w:sz w:val="24"/>
    </w:rPr>
  </w:style>
  <w:style w:type="paragraph" w:styleId="BodyTextIndent2">
    <w:name w:val="Body Text Indent 2"/>
    <w:basedOn w:val="Normal"/>
    <w:link w:val="BodyTextIndent2Char"/>
    <w:uiPriority w:val="99"/>
    <w:semiHidden/>
    <w:unhideWhenUsed/>
    <w:rsid w:val="00B469D3"/>
    <w:pPr>
      <w:spacing w:after="120" w:line="480" w:lineRule="auto"/>
      <w:ind w:left="283"/>
    </w:pPr>
  </w:style>
  <w:style w:type="character" w:customStyle="1" w:styleId="BodyTextIndent2Char">
    <w:name w:val="Body Text Indent 2 Char"/>
    <w:basedOn w:val="DefaultParagraphFont"/>
    <w:link w:val="BodyTextIndent2"/>
    <w:uiPriority w:val="99"/>
    <w:semiHidden/>
    <w:rsid w:val="00B469D3"/>
    <w:rPr>
      <w:rFonts w:ascii="Calibri" w:hAnsi="Calibri"/>
      <w:color w:val="1E1E1E"/>
      <w:sz w:val="24"/>
    </w:rPr>
  </w:style>
  <w:style w:type="paragraph" w:styleId="BodyTextIndent3">
    <w:name w:val="Body Text Indent 3"/>
    <w:basedOn w:val="Normal"/>
    <w:link w:val="BodyTextIndent3Char"/>
    <w:uiPriority w:val="99"/>
    <w:semiHidden/>
    <w:unhideWhenUsed/>
    <w:rsid w:val="00B469D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469D3"/>
    <w:rPr>
      <w:rFonts w:ascii="Calibri" w:hAnsi="Calibri"/>
      <w:color w:val="1E1E1E"/>
      <w:sz w:val="16"/>
      <w:szCs w:val="16"/>
    </w:rPr>
  </w:style>
  <w:style w:type="character" w:styleId="BookTitle">
    <w:name w:val="Book Title"/>
    <w:basedOn w:val="DefaultParagraphFont"/>
    <w:uiPriority w:val="33"/>
    <w:semiHidden/>
    <w:rsid w:val="00B469D3"/>
    <w:rPr>
      <w:b/>
      <w:bCs/>
      <w:i/>
      <w:iCs/>
      <w:spacing w:val="5"/>
    </w:rPr>
  </w:style>
  <w:style w:type="paragraph" w:styleId="Closing">
    <w:name w:val="Closing"/>
    <w:basedOn w:val="Normal"/>
    <w:link w:val="ClosingChar"/>
    <w:uiPriority w:val="99"/>
    <w:semiHidden/>
    <w:unhideWhenUsed/>
    <w:rsid w:val="00B469D3"/>
    <w:pPr>
      <w:spacing w:after="0" w:line="240" w:lineRule="auto"/>
      <w:ind w:left="4252"/>
    </w:pPr>
  </w:style>
  <w:style w:type="character" w:customStyle="1" w:styleId="ClosingChar">
    <w:name w:val="Closing Char"/>
    <w:basedOn w:val="DefaultParagraphFont"/>
    <w:link w:val="Closing"/>
    <w:uiPriority w:val="99"/>
    <w:semiHidden/>
    <w:rsid w:val="00B469D3"/>
    <w:rPr>
      <w:rFonts w:ascii="Calibri" w:hAnsi="Calibri"/>
      <w:color w:val="1E1E1E"/>
      <w:sz w:val="24"/>
    </w:rPr>
  </w:style>
  <w:style w:type="table" w:styleId="ColourfulGrid">
    <w:name w:val="Colorful Grid"/>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F4E3" w:themeFill="accent1" w:themeFillTint="33"/>
    </w:tcPr>
    <w:tblStylePr w:type="firstRow">
      <w:rPr>
        <w:b/>
        <w:bCs/>
      </w:rPr>
      <w:tblPr/>
      <w:tcPr>
        <w:shd w:val="clear" w:color="auto" w:fill="A2E9C7" w:themeFill="accent1" w:themeFillTint="66"/>
      </w:tcPr>
    </w:tblStylePr>
    <w:tblStylePr w:type="lastRow">
      <w:rPr>
        <w:b/>
        <w:bCs/>
        <w:color w:val="000000" w:themeColor="text1"/>
      </w:rPr>
      <w:tblPr/>
      <w:tcPr>
        <w:shd w:val="clear" w:color="auto" w:fill="A2E9C7" w:themeFill="accent1" w:themeFillTint="66"/>
      </w:tcPr>
    </w:tblStylePr>
    <w:tblStylePr w:type="firstCol">
      <w:rPr>
        <w:color w:val="FFFFFF" w:themeColor="background1"/>
      </w:rPr>
      <w:tblPr/>
      <w:tcPr>
        <w:shd w:val="clear" w:color="auto" w:fill="208855" w:themeFill="accent1" w:themeFillShade="BF"/>
      </w:tcPr>
    </w:tblStylePr>
    <w:tblStylePr w:type="lastCol">
      <w:rPr>
        <w:color w:val="FFFFFF" w:themeColor="background1"/>
      </w:rPr>
      <w:tblPr/>
      <w:tcPr>
        <w:shd w:val="clear" w:color="auto" w:fill="208855" w:themeFill="accent1" w:themeFillShade="BF"/>
      </w:tc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ColourfulGridAccent2">
    <w:name w:val="Colorful Grid Accent 2"/>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F7C9" w:themeFill="accent2" w:themeFillTint="33"/>
    </w:tcPr>
    <w:tblStylePr w:type="firstRow">
      <w:rPr>
        <w:b/>
        <w:bCs/>
      </w:rPr>
      <w:tblPr/>
      <w:tcPr>
        <w:shd w:val="clear" w:color="auto" w:fill="DCEF94" w:themeFill="accent2" w:themeFillTint="66"/>
      </w:tcPr>
    </w:tblStylePr>
    <w:tblStylePr w:type="lastRow">
      <w:rPr>
        <w:b/>
        <w:bCs/>
        <w:color w:val="000000" w:themeColor="text1"/>
      </w:rPr>
      <w:tblPr/>
      <w:tcPr>
        <w:shd w:val="clear" w:color="auto" w:fill="DCEF94" w:themeFill="accent2" w:themeFillTint="66"/>
      </w:tcPr>
    </w:tblStylePr>
    <w:tblStylePr w:type="firstCol">
      <w:rPr>
        <w:color w:val="FFFFFF" w:themeColor="background1"/>
      </w:rPr>
      <w:tblPr/>
      <w:tcPr>
        <w:shd w:val="clear" w:color="auto" w:fill="6D8613" w:themeFill="accent2" w:themeFillShade="BF"/>
      </w:tcPr>
    </w:tblStylePr>
    <w:tblStylePr w:type="lastCol">
      <w:rPr>
        <w:color w:val="FFFFFF" w:themeColor="background1"/>
      </w:rPr>
      <w:tblPr/>
      <w:tcPr>
        <w:shd w:val="clear" w:color="auto" w:fill="6D8613" w:themeFill="accent2" w:themeFillShade="BF"/>
      </w:tc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ColourfulGridAccent3">
    <w:name w:val="Colorful Grid Accent 3"/>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1D7" w:themeFill="accent3" w:themeFillTint="33"/>
    </w:tcPr>
    <w:tblStylePr w:type="firstRow">
      <w:rPr>
        <w:b/>
        <w:bCs/>
      </w:rPr>
      <w:tblPr/>
      <w:tcPr>
        <w:shd w:val="clear" w:color="auto" w:fill="F9C3B0" w:themeFill="accent3" w:themeFillTint="66"/>
      </w:tcPr>
    </w:tblStylePr>
    <w:tblStylePr w:type="lastRow">
      <w:rPr>
        <w:b/>
        <w:bCs/>
        <w:color w:val="000000" w:themeColor="text1"/>
      </w:rPr>
      <w:tblPr/>
      <w:tcPr>
        <w:shd w:val="clear" w:color="auto" w:fill="F9C3B0" w:themeFill="accent3" w:themeFillTint="66"/>
      </w:tcPr>
    </w:tblStylePr>
    <w:tblStylePr w:type="firstCol">
      <w:rPr>
        <w:color w:val="FFFFFF" w:themeColor="background1"/>
      </w:rPr>
      <w:tblPr/>
      <w:tcPr>
        <w:shd w:val="clear" w:color="auto" w:fill="CF4110" w:themeFill="accent3" w:themeFillShade="BF"/>
      </w:tcPr>
    </w:tblStylePr>
    <w:tblStylePr w:type="lastCol">
      <w:rPr>
        <w:color w:val="FFFFFF" w:themeColor="background1"/>
      </w:rPr>
      <w:tblPr/>
      <w:tcPr>
        <w:shd w:val="clear" w:color="auto" w:fill="CF4110" w:themeFill="accent3" w:themeFillShade="BF"/>
      </w:tc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ColourfulGridAccent4">
    <w:name w:val="Colorful Grid Accent 4"/>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DFF4" w:themeFill="accent4" w:themeFillTint="33"/>
    </w:tcPr>
    <w:tblStylePr w:type="firstRow">
      <w:rPr>
        <w:b/>
        <w:bCs/>
      </w:rPr>
      <w:tblPr/>
      <w:tcPr>
        <w:shd w:val="clear" w:color="auto" w:fill="D4BFEA" w:themeFill="accent4" w:themeFillTint="66"/>
      </w:tcPr>
    </w:tblStylePr>
    <w:tblStylePr w:type="lastRow">
      <w:rPr>
        <w:b/>
        <w:bCs/>
        <w:color w:val="000000" w:themeColor="text1"/>
      </w:rPr>
      <w:tblPr/>
      <w:tcPr>
        <w:shd w:val="clear" w:color="auto" w:fill="D4BFEA" w:themeFill="accent4" w:themeFillTint="66"/>
      </w:tcPr>
    </w:tblStylePr>
    <w:tblStylePr w:type="firstCol">
      <w:rPr>
        <w:color w:val="FFFFFF" w:themeColor="background1"/>
      </w:rPr>
      <w:tblPr/>
      <w:tcPr>
        <w:shd w:val="clear" w:color="auto" w:fill="6E37AA" w:themeFill="accent4" w:themeFillShade="BF"/>
      </w:tcPr>
    </w:tblStylePr>
    <w:tblStylePr w:type="lastCol">
      <w:rPr>
        <w:color w:val="FFFFFF" w:themeColor="background1"/>
      </w:rPr>
      <w:tblPr/>
      <w:tcPr>
        <w:shd w:val="clear" w:color="auto" w:fill="6E37AA" w:themeFill="accent4" w:themeFillShade="BF"/>
      </w:tc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ColourfulGridAccent5">
    <w:name w:val="Colorful Grid Accent 5"/>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F6FF" w:themeFill="accent5" w:themeFillTint="33"/>
    </w:tcPr>
    <w:tblStylePr w:type="firstRow">
      <w:rPr>
        <w:b/>
        <w:bCs/>
      </w:rPr>
      <w:tblPr/>
      <w:tcPr>
        <w:shd w:val="clear" w:color="auto" w:fill="82EEFF" w:themeFill="accent5" w:themeFillTint="66"/>
      </w:tcPr>
    </w:tblStylePr>
    <w:tblStylePr w:type="lastRow">
      <w:rPr>
        <w:b/>
        <w:bCs/>
        <w:color w:val="000000" w:themeColor="text1"/>
      </w:rPr>
      <w:tblPr/>
      <w:tcPr>
        <w:shd w:val="clear" w:color="auto" w:fill="82EEFF" w:themeFill="accent5" w:themeFillTint="66"/>
      </w:tcPr>
    </w:tblStylePr>
    <w:tblStylePr w:type="firstCol">
      <w:rPr>
        <w:color w:val="FFFFFF" w:themeColor="background1"/>
      </w:rPr>
      <w:tblPr/>
      <w:tcPr>
        <w:shd w:val="clear" w:color="auto" w:fill="008094" w:themeFill="accent5" w:themeFillShade="BF"/>
      </w:tcPr>
    </w:tblStylePr>
    <w:tblStylePr w:type="lastCol">
      <w:rPr>
        <w:color w:val="FFFFFF" w:themeColor="background1"/>
      </w:rPr>
      <w:tblPr/>
      <w:tcPr>
        <w:shd w:val="clear" w:color="auto" w:fill="008094" w:themeFill="accent5" w:themeFillShade="BF"/>
      </w:tc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ColourfulGridAccent6">
    <w:name w:val="Colorful Grid Accent 6"/>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8CD" w:themeFill="accent6" w:themeFillTint="33"/>
    </w:tcPr>
    <w:tblStylePr w:type="firstRow">
      <w:rPr>
        <w:b/>
        <w:bCs/>
      </w:rPr>
      <w:tblPr/>
      <w:tcPr>
        <w:shd w:val="clear" w:color="auto" w:fill="FED19C" w:themeFill="accent6" w:themeFillTint="66"/>
      </w:tcPr>
    </w:tblStylePr>
    <w:tblStylePr w:type="lastRow">
      <w:rPr>
        <w:b/>
        <w:bCs/>
        <w:color w:val="000000" w:themeColor="text1"/>
      </w:rPr>
      <w:tblPr/>
      <w:tcPr>
        <w:shd w:val="clear" w:color="auto" w:fill="FED19C" w:themeFill="accent6" w:themeFillTint="66"/>
      </w:tcPr>
    </w:tblStylePr>
    <w:tblStylePr w:type="firstCol">
      <w:rPr>
        <w:color w:val="FFFFFF" w:themeColor="background1"/>
      </w:rPr>
      <w:tblPr/>
      <w:tcPr>
        <w:shd w:val="clear" w:color="auto" w:fill="C36B01" w:themeFill="accent6" w:themeFillShade="BF"/>
      </w:tcPr>
    </w:tblStylePr>
    <w:tblStylePr w:type="lastCol">
      <w:rPr>
        <w:color w:val="FFFFFF" w:themeColor="background1"/>
      </w:rPr>
      <w:tblPr/>
      <w:tcPr>
        <w:shd w:val="clear" w:color="auto" w:fill="C36B01" w:themeFill="accent6" w:themeFillShade="BF"/>
      </w:tc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ColourfulList">
    <w:name w:val="Colorful List"/>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E8F9F1" w:themeFill="accen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F1DC" w:themeFill="accent1" w:themeFillTint="3F"/>
      </w:tcPr>
    </w:tblStylePr>
    <w:tblStylePr w:type="band1Horz">
      <w:tblPr/>
      <w:tcPr>
        <w:shd w:val="clear" w:color="auto" w:fill="D0F4E3" w:themeFill="accent1" w:themeFillTint="33"/>
      </w:tcPr>
    </w:tblStylePr>
  </w:style>
  <w:style w:type="table" w:styleId="ColourfulListAccent2">
    <w:name w:val="Colorful List Accent 2"/>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F6FBE4" w:themeFill="accent2"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5BD" w:themeFill="accent2" w:themeFillTint="3F"/>
      </w:tcPr>
    </w:tblStylePr>
    <w:tblStylePr w:type="band1Horz">
      <w:tblPr/>
      <w:tcPr>
        <w:shd w:val="clear" w:color="auto" w:fill="EDF7C9" w:themeFill="accent2" w:themeFillTint="33"/>
      </w:tcPr>
    </w:tblStylePr>
  </w:style>
  <w:style w:type="table" w:styleId="ColourfulListAccent3">
    <w:name w:val="Colorful List Accent 3"/>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FDF0EB" w:themeFill="accent3" w:themeFillTint="19"/>
    </w:tcPr>
    <w:tblStylePr w:type="firstRow">
      <w:rPr>
        <w:b/>
        <w:bCs/>
        <w:color w:val="FFFFFF" w:themeColor="background1"/>
      </w:rPr>
      <w:tblPr/>
      <w:tcPr>
        <w:tcBorders>
          <w:bottom w:val="single" w:sz="12" w:space="0" w:color="FFFFFF" w:themeColor="background1"/>
        </w:tcBorders>
        <w:shd w:val="clear" w:color="auto" w:fill="763AB5" w:themeFill="accent4" w:themeFillShade="CC"/>
      </w:tcPr>
    </w:tblStylePr>
    <w:tblStylePr w:type="lastRow">
      <w:rPr>
        <w:b/>
        <w:bCs/>
        <w:color w:val="763AB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9CE" w:themeFill="accent3" w:themeFillTint="3F"/>
      </w:tcPr>
    </w:tblStylePr>
    <w:tblStylePr w:type="band1Horz">
      <w:tblPr/>
      <w:tcPr>
        <w:shd w:val="clear" w:color="auto" w:fill="FCE1D7" w:themeFill="accent3" w:themeFillTint="33"/>
      </w:tcPr>
    </w:tblStylePr>
  </w:style>
  <w:style w:type="table" w:styleId="ColourfulListAccent4">
    <w:name w:val="Colorful List Accent 4"/>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F4EFFA" w:themeFill="accent4" w:themeFillTint="19"/>
    </w:tcPr>
    <w:tblStylePr w:type="firstRow">
      <w:rPr>
        <w:b/>
        <w:bCs/>
        <w:color w:val="FFFFFF" w:themeColor="background1"/>
      </w:rPr>
      <w:tblPr/>
      <w:tcPr>
        <w:tcBorders>
          <w:bottom w:val="single" w:sz="12" w:space="0" w:color="FFFFFF" w:themeColor="background1"/>
        </w:tcBorders>
        <w:shd w:val="clear" w:color="auto" w:fill="DD4611" w:themeFill="accent3" w:themeFillShade="CC"/>
      </w:tcPr>
    </w:tblStylePr>
    <w:tblStylePr w:type="lastRow">
      <w:rPr>
        <w:b/>
        <w:bCs/>
        <w:color w:val="DD461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D7F2" w:themeFill="accent4" w:themeFillTint="3F"/>
      </w:tcPr>
    </w:tblStylePr>
    <w:tblStylePr w:type="band1Horz">
      <w:tblPr/>
      <w:tcPr>
        <w:shd w:val="clear" w:color="auto" w:fill="E9DFF4" w:themeFill="accent4" w:themeFillTint="33"/>
      </w:tcPr>
    </w:tblStylePr>
  </w:style>
  <w:style w:type="table" w:styleId="ColourfulListAccent5">
    <w:name w:val="Colorful List Accent 5"/>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E0FBFF" w:themeFill="accent5" w:themeFillTint="19"/>
    </w:tcPr>
    <w:tblStylePr w:type="firstRow">
      <w:rPr>
        <w:b/>
        <w:bCs/>
        <w:color w:val="FFFFFF" w:themeColor="background1"/>
      </w:rPr>
      <w:tblPr/>
      <w:tcPr>
        <w:tcBorders>
          <w:bottom w:val="single" w:sz="12" w:space="0" w:color="FFFFFF" w:themeColor="background1"/>
        </w:tcBorders>
        <w:shd w:val="clear" w:color="auto" w:fill="D07201" w:themeFill="accent6" w:themeFillShade="CC"/>
      </w:tcPr>
    </w:tblStylePr>
    <w:tblStylePr w:type="lastRow">
      <w:rPr>
        <w:b/>
        <w:bCs/>
        <w:color w:val="D0720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F4FF" w:themeFill="accent5" w:themeFillTint="3F"/>
      </w:tcPr>
    </w:tblStylePr>
    <w:tblStylePr w:type="band1Horz">
      <w:tblPr/>
      <w:tcPr>
        <w:shd w:val="clear" w:color="auto" w:fill="C0F6FF" w:themeFill="accent5" w:themeFillTint="33"/>
      </w:tcPr>
    </w:tblStylePr>
  </w:style>
  <w:style w:type="table" w:styleId="ColourfulListAccent6">
    <w:name w:val="Colorful List Accent 6"/>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FEF3E6" w:themeFill="accent6" w:themeFillTint="19"/>
    </w:tcPr>
    <w:tblStylePr w:type="firstRow">
      <w:rPr>
        <w:b/>
        <w:bCs/>
        <w:color w:val="FFFFFF" w:themeColor="background1"/>
      </w:rPr>
      <w:tblPr/>
      <w:tcPr>
        <w:tcBorders>
          <w:bottom w:val="single" w:sz="12" w:space="0" w:color="FFFFFF" w:themeColor="background1"/>
        </w:tcBorders>
        <w:shd w:val="clear" w:color="auto" w:fill="00899E" w:themeFill="accent5" w:themeFillShade="CC"/>
      </w:tcPr>
    </w:tblStylePr>
    <w:tblStylePr w:type="lastRow">
      <w:rPr>
        <w:b/>
        <w:bCs/>
        <w:color w:val="00899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3C2" w:themeFill="accent6" w:themeFillTint="3F"/>
      </w:tcPr>
    </w:tblStylePr>
    <w:tblStylePr w:type="band1Horz">
      <w:tblPr/>
      <w:tcPr>
        <w:shd w:val="clear" w:color="auto" w:fill="FEE8CD" w:themeFill="accent6" w:themeFillTint="33"/>
      </w:tcPr>
    </w:tblStylePr>
  </w:style>
  <w:style w:type="table" w:styleId="ColourfulShading">
    <w:name w:val="Colorful Shading"/>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93B41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93B41A" w:themeColor="accent2"/>
        <w:left w:val="single" w:sz="4" w:space="0" w:color="2BB673" w:themeColor="accent1"/>
        <w:bottom w:val="single" w:sz="4" w:space="0" w:color="2BB673" w:themeColor="accent1"/>
        <w:right w:val="single" w:sz="4" w:space="0" w:color="2BB673" w:themeColor="accent1"/>
        <w:insideH w:val="single" w:sz="4" w:space="0" w:color="FFFFFF" w:themeColor="background1"/>
        <w:insideV w:val="single" w:sz="4" w:space="0" w:color="FFFFFF" w:themeColor="background1"/>
      </w:tblBorders>
    </w:tblPr>
    <w:tcPr>
      <w:shd w:val="clear" w:color="auto" w:fill="E8F9F1" w:themeFill="accen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6D44" w:themeFill="accent1" w:themeFillShade="99"/>
      </w:tcPr>
    </w:tblStylePr>
    <w:tblStylePr w:type="firstCol">
      <w:rPr>
        <w:color w:val="FFFFFF" w:themeColor="background1"/>
      </w:rPr>
      <w:tblPr/>
      <w:tcPr>
        <w:tcBorders>
          <w:top w:val="nil"/>
          <w:left w:val="nil"/>
          <w:bottom w:val="nil"/>
          <w:right w:val="nil"/>
          <w:insideH w:val="single" w:sz="4" w:space="0" w:color="196D44" w:themeColor="accent1" w:themeShade="99"/>
          <w:insideV w:val="nil"/>
        </w:tcBorders>
        <w:shd w:val="clear" w:color="auto" w:fill="196D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96D44" w:themeFill="accent1" w:themeFillShade="99"/>
      </w:tcPr>
    </w:tblStylePr>
    <w:tblStylePr w:type="band1Vert">
      <w:tblPr/>
      <w:tcPr>
        <w:shd w:val="clear" w:color="auto" w:fill="A2E9C7" w:themeFill="accent1" w:themeFillTint="66"/>
      </w:tcPr>
    </w:tblStylePr>
    <w:tblStylePr w:type="band1Horz">
      <w:tblPr/>
      <w:tcPr>
        <w:shd w:val="clear" w:color="auto" w:fill="8CE4B9"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93B41A" w:themeColor="accent2"/>
        <w:left w:val="single" w:sz="4" w:space="0" w:color="93B41A" w:themeColor="accent2"/>
        <w:bottom w:val="single" w:sz="4" w:space="0" w:color="93B41A" w:themeColor="accent2"/>
        <w:right w:val="single" w:sz="4" w:space="0" w:color="93B41A" w:themeColor="accent2"/>
        <w:insideH w:val="single" w:sz="4" w:space="0" w:color="FFFFFF" w:themeColor="background1"/>
        <w:insideV w:val="single" w:sz="4" w:space="0" w:color="FFFFFF" w:themeColor="background1"/>
      </w:tblBorders>
    </w:tblPr>
    <w:tcPr>
      <w:shd w:val="clear" w:color="auto" w:fill="F6FBE4" w:themeFill="accent2"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6B0F" w:themeFill="accent2" w:themeFillShade="99"/>
      </w:tcPr>
    </w:tblStylePr>
    <w:tblStylePr w:type="firstCol">
      <w:rPr>
        <w:color w:val="FFFFFF" w:themeColor="background1"/>
      </w:rPr>
      <w:tblPr/>
      <w:tcPr>
        <w:tcBorders>
          <w:top w:val="nil"/>
          <w:left w:val="nil"/>
          <w:bottom w:val="nil"/>
          <w:right w:val="nil"/>
          <w:insideH w:val="single" w:sz="4" w:space="0" w:color="576B0F" w:themeColor="accent2" w:themeShade="99"/>
          <w:insideV w:val="nil"/>
        </w:tcBorders>
        <w:shd w:val="clear" w:color="auto" w:fill="576B0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76B0F" w:themeFill="accent2" w:themeFillShade="99"/>
      </w:tcPr>
    </w:tblStylePr>
    <w:tblStylePr w:type="band1Vert">
      <w:tblPr/>
      <w:tcPr>
        <w:shd w:val="clear" w:color="auto" w:fill="DCEF94" w:themeFill="accent2" w:themeFillTint="66"/>
      </w:tcPr>
    </w:tblStylePr>
    <w:tblStylePr w:type="band1Horz">
      <w:tblPr/>
      <w:tcPr>
        <w:shd w:val="clear" w:color="auto" w:fill="D3EB7A"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9561CC" w:themeColor="accent4"/>
        <w:left w:val="single" w:sz="4" w:space="0" w:color="F06A3B" w:themeColor="accent3"/>
        <w:bottom w:val="single" w:sz="4" w:space="0" w:color="F06A3B" w:themeColor="accent3"/>
        <w:right w:val="single" w:sz="4" w:space="0" w:color="F06A3B" w:themeColor="accent3"/>
        <w:insideH w:val="single" w:sz="4" w:space="0" w:color="FFFFFF" w:themeColor="background1"/>
        <w:insideV w:val="single" w:sz="4" w:space="0" w:color="FFFFFF" w:themeColor="background1"/>
      </w:tblBorders>
    </w:tblPr>
    <w:tcPr>
      <w:shd w:val="clear" w:color="auto" w:fill="FDF0EB" w:themeFill="accent3" w:themeFillTint="19"/>
    </w:tcPr>
    <w:tblStylePr w:type="firstRow">
      <w:rPr>
        <w:b/>
        <w:bCs/>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340C" w:themeFill="accent3" w:themeFillShade="99"/>
      </w:tcPr>
    </w:tblStylePr>
    <w:tblStylePr w:type="firstCol">
      <w:rPr>
        <w:color w:val="FFFFFF" w:themeColor="background1"/>
      </w:rPr>
      <w:tblPr/>
      <w:tcPr>
        <w:tcBorders>
          <w:top w:val="nil"/>
          <w:left w:val="nil"/>
          <w:bottom w:val="nil"/>
          <w:right w:val="nil"/>
          <w:insideH w:val="single" w:sz="4" w:space="0" w:color="A6340C" w:themeColor="accent3" w:themeShade="99"/>
          <w:insideV w:val="nil"/>
        </w:tcBorders>
        <w:shd w:val="clear" w:color="auto" w:fill="A6340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6340C" w:themeFill="accent3" w:themeFillShade="99"/>
      </w:tcPr>
    </w:tblStylePr>
    <w:tblStylePr w:type="band1Vert">
      <w:tblPr/>
      <w:tcPr>
        <w:shd w:val="clear" w:color="auto" w:fill="F9C3B0" w:themeFill="accent3" w:themeFillTint="66"/>
      </w:tcPr>
    </w:tblStylePr>
    <w:tblStylePr w:type="band1Horz">
      <w:tblPr/>
      <w:tcPr>
        <w:shd w:val="clear" w:color="auto" w:fill="F7B49D" w:themeFill="accent3" w:themeFillTint="7F"/>
      </w:tcPr>
    </w:tblStylePr>
  </w:style>
  <w:style w:type="table" w:styleId="ColourfulShadingAccent4">
    <w:name w:val="Colorful Shading Accent 4"/>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F06A3B" w:themeColor="accent3"/>
        <w:left w:val="single" w:sz="4" w:space="0" w:color="9561CC" w:themeColor="accent4"/>
        <w:bottom w:val="single" w:sz="4" w:space="0" w:color="9561CC" w:themeColor="accent4"/>
        <w:right w:val="single" w:sz="4" w:space="0" w:color="9561CC" w:themeColor="accent4"/>
        <w:insideH w:val="single" w:sz="4" w:space="0" w:color="FFFFFF" w:themeColor="background1"/>
        <w:insideV w:val="single" w:sz="4" w:space="0" w:color="FFFFFF" w:themeColor="background1"/>
      </w:tblBorders>
    </w:tblPr>
    <w:tcPr>
      <w:shd w:val="clear" w:color="auto" w:fill="F4EFFA" w:themeFill="accent4" w:themeFillTint="19"/>
    </w:tcPr>
    <w:tblStylePr w:type="firstRow">
      <w:rPr>
        <w:b/>
        <w:bCs/>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2C88" w:themeFill="accent4" w:themeFillShade="99"/>
      </w:tcPr>
    </w:tblStylePr>
    <w:tblStylePr w:type="firstCol">
      <w:rPr>
        <w:color w:val="FFFFFF" w:themeColor="background1"/>
      </w:rPr>
      <w:tblPr/>
      <w:tcPr>
        <w:tcBorders>
          <w:top w:val="nil"/>
          <w:left w:val="nil"/>
          <w:bottom w:val="nil"/>
          <w:right w:val="nil"/>
          <w:insideH w:val="single" w:sz="4" w:space="0" w:color="582C88" w:themeColor="accent4" w:themeShade="99"/>
          <w:insideV w:val="nil"/>
        </w:tcBorders>
        <w:shd w:val="clear" w:color="auto" w:fill="582C8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82C88" w:themeFill="accent4" w:themeFillShade="99"/>
      </w:tcPr>
    </w:tblStylePr>
    <w:tblStylePr w:type="band1Vert">
      <w:tblPr/>
      <w:tcPr>
        <w:shd w:val="clear" w:color="auto" w:fill="D4BFEA" w:themeFill="accent4" w:themeFillTint="66"/>
      </w:tcPr>
    </w:tblStylePr>
    <w:tblStylePr w:type="band1Horz">
      <w:tblPr/>
      <w:tcPr>
        <w:shd w:val="clear" w:color="auto" w:fill="C9B0E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FD8F0A" w:themeColor="accent6"/>
        <w:left w:val="single" w:sz="4" w:space="0" w:color="00ADC6" w:themeColor="accent5"/>
        <w:bottom w:val="single" w:sz="4" w:space="0" w:color="00ADC6" w:themeColor="accent5"/>
        <w:right w:val="single" w:sz="4" w:space="0" w:color="00ADC6" w:themeColor="accent5"/>
        <w:insideH w:val="single" w:sz="4" w:space="0" w:color="FFFFFF" w:themeColor="background1"/>
        <w:insideV w:val="single" w:sz="4" w:space="0" w:color="FFFFFF" w:themeColor="background1"/>
      </w:tblBorders>
    </w:tblPr>
    <w:tcPr>
      <w:shd w:val="clear" w:color="auto" w:fill="E0FBFF" w:themeFill="accent5" w:themeFillTint="19"/>
    </w:tcPr>
    <w:tblStylePr w:type="firstRow">
      <w:rPr>
        <w:b/>
        <w:bCs/>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6" w:themeFill="accent5" w:themeFillShade="99"/>
      </w:tcPr>
    </w:tblStylePr>
    <w:tblStylePr w:type="firstCol">
      <w:rPr>
        <w:color w:val="FFFFFF" w:themeColor="background1"/>
      </w:rPr>
      <w:tblPr/>
      <w:tcPr>
        <w:tcBorders>
          <w:top w:val="nil"/>
          <w:left w:val="nil"/>
          <w:bottom w:val="nil"/>
          <w:right w:val="nil"/>
          <w:insideH w:val="single" w:sz="4" w:space="0" w:color="006776" w:themeColor="accent5" w:themeShade="99"/>
          <w:insideV w:val="nil"/>
        </w:tcBorders>
        <w:shd w:val="clear" w:color="auto" w:fill="0067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776" w:themeFill="accent5" w:themeFillShade="99"/>
      </w:tcPr>
    </w:tblStylePr>
    <w:tblStylePr w:type="band1Vert">
      <w:tblPr/>
      <w:tcPr>
        <w:shd w:val="clear" w:color="auto" w:fill="82EEFF" w:themeFill="accent5" w:themeFillTint="66"/>
      </w:tcPr>
    </w:tblStylePr>
    <w:tblStylePr w:type="band1Horz">
      <w:tblPr/>
      <w:tcPr>
        <w:shd w:val="clear" w:color="auto" w:fill="63EAF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00ADC6" w:themeColor="accent5"/>
        <w:left w:val="single" w:sz="4" w:space="0" w:color="FD8F0A" w:themeColor="accent6"/>
        <w:bottom w:val="single" w:sz="4" w:space="0" w:color="FD8F0A" w:themeColor="accent6"/>
        <w:right w:val="single" w:sz="4" w:space="0" w:color="FD8F0A" w:themeColor="accent6"/>
        <w:insideH w:val="single" w:sz="4" w:space="0" w:color="FFFFFF" w:themeColor="background1"/>
        <w:insideV w:val="single" w:sz="4" w:space="0" w:color="FFFFFF" w:themeColor="background1"/>
      </w:tblBorders>
    </w:tblPr>
    <w:tcPr>
      <w:shd w:val="clear" w:color="auto" w:fill="FEF3E6" w:themeFill="accent6" w:themeFillTint="19"/>
    </w:tcPr>
    <w:tblStylePr w:type="firstRow">
      <w:rPr>
        <w:b/>
        <w:bCs/>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5501" w:themeFill="accent6" w:themeFillShade="99"/>
      </w:tcPr>
    </w:tblStylePr>
    <w:tblStylePr w:type="firstCol">
      <w:rPr>
        <w:color w:val="FFFFFF" w:themeColor="background1"/>
      </w:rPr>
      <w:tblPr/>
      <w:tcPr>
        <w:tcBorders>
          <w:top w:val="nil"/>
          <w:left w:val="nil"/>
          <w:bottom w:val="nil"/>
          <w:right w:val="nil"/>
          <w:insideH w:val="single" w:sz="4" w:space="0" w:color="9C5501" w:themeColor="accent6" w:themeShade="99"/>
          <w:insideV w:val="nil"/>
        </w:tcBorders>
        <w:shd w:val="clear" w:color="auto" w:fill="9C550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5501" w:themeFill="accent6" w:themeFillShade="99"/>
      </w:tcPr>
    </w:tblStylePr>
    <w:tblStylePr w:type="band1Vert">
      <w:tblPr/>
      <w:tcPr>
        <w:shd w:val="clear" w:color="auto" w:fill="FED19C" w:themeFill="accent6" w:themeFillTint="66"/>
      </w:tcPr>
    </w:tblStylePr>
    <w:tblStylePr w:type="band1Horz">
      <w:tblPr/>
      <w:tcPr>
        <w:shd w:val="clear" w:color="auto" w:fill="FEC684"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sid w:val="00B469D3"/>
    <w:rPr>
      <w:sz w:val="16"/>
      <w:szCs w:val="16"/>
    </w:rPr>
  </w:style>
  <w:style w:type="table" w:styleId="DarkList">
    <w:name w:val="Dark List"/>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2BB67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5A3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088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08855" w:themeFill="accent1" w:themeFillShade="BF"/>
      </w:tcPr>
    </w:tblStylePr>
    <w:tblStylePr w:type="band1Vert">
      <w:tblPr/>
      <w:tcPr>
        <w:tcBorders>
          <w:top w:val="nil"/>
          <w:left w:val="nil"/>
          <w:bottom w:val="nil"/>
          <w:right w:val="nil"/>
          <w:insideH w:val="nil"/>
          <w:insideV w:val="nil"/>
        </w:tcBorders>
        <w:shd w:val="clear" w:color="auto" w:fill="208855" w:themeFill="accent1" w:themeFillShade="BF"/>
      </w:tcPr>
    </w:tblStylePr>
    <w:tblStylePr w:type="band1Horz">
      <w:tblPr/>
      <w:tcPr>
        <w:tcBorders>
          <w:top w:val="nil"/>
          <w:left w:val="nil"/>
          <w:bottom w:val="nil"/>
          <w:right w:val="nil"/>
          <w:insideH w:val="nil"/>
          <w:insideV w:val="nil"/>
        </w:tcBorders>
        <w:shd w:val="clear" w:color="auto" w:fill="208855" w:themeFill="accent1" w:themeFillShade="BF"/>
      </w:tcPr>
    </w:tblStylePr>
  </w:style>
  <w:style w:type="table" w:styleId="DarkList-Accent2">
    <w:name w:val="Dark List Accent 2"/>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93B4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59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D86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D8613" w:themeFill="accent2" w:themeFillShade="BF"/>
      </w:tcPr>
    </w:tblStylePr>
    <w:tblStylePr w:type="band1Vert">
      <w:tblPr/>
      <w:tcPr>
        <w:tcBorders>
          <w:top w:val="nil"/>
          <w:left w:val="nil"/>
          <w:bottom w:val="nil"/>
          <w:right w:val="nil"/>
          <w:insideH w:val="nil"/>
          <w:insideV w:val="nil"/>
        </w:tcBorders>
        <w:shd w:val="clear" w:color="auto" w:fill="6D8613" w:themeFill="accent2" w:themeFillShade="BF"/>
      </w:tcPr>
    </w:tblStylePr>
    <w:tblStylePr w:type="band1Horz">
      <w:tblPr/>
      <w:tcPr>
        <w:tcBorders>
          <w:top w:val="nil"/>
          <w:left w:val="nil"/>
          <w:bottom w:val="nil"/>
          <w:right w:val="nil"/>
          <w:insideH w:val="nil"/>
          <w:insideV w:val="nil"/>
        </w:tcBorders>
        <w:shd w:val="clear" w:color="auto" w:fill="6D8613" w:themeFill="accent2" w:themeFillShade="BF"/>
      </w:tcPr>
    </w:tblStylePr>
  </w:style>
  <w:style w:type="table" w:styleId="DarkList-Accent3">
    <w:name w:val="Dark List Accent 3"/>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F06A3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2B0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F411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F4110" w:themeFill="accent3" w:themeFillShade="BF"/>
      </w:tcPr>
    </w:tblStylePr>
    <w:tblStylePr w:type="band1Vert">
      <w:tblPr/>
      <w:tcPr>
        <w:tcBorders>
          <w:top w:val="nil"/>
          <w:left w:val="nil"/>
          <w:bottom w:val="nil"/>
          <w:right w:val="nil"/>
          <w:insideH w:val="nil"/>
          <w:insideV w:val="nil"/>
        </w:tcBorders>
        <w:shd w:val="clear" w:color="auto" w:fill="CF4110" w:themeFill="accent3" w:themeFillShade="BF"/>
      </w:tcPr>
    </w:tblStylePr>
    <w:tblStylePr w:type="band1Horz">
      <w:tblPr/>
      <w:tcPr>
        <w:tcBorders>
          <w:top w:val="nil"/>
          <w:left w:val="nil"/>
          <w:bottom w:val="nil"/>
          <w:right w:val="nil"/>
          <w:insideH w:val="nil"/>
          <w:insideV w:val="nil"/>
        </w:tcBorders>
        <w:shd w:val="clear" w:color="auto" w:fill="CF4110" w:themeFill="accent3" w:themeFillShade="BF"/>
      </w:tcPr>
    </w:tblStylePr>
  </w:style>
  <w:style w:type="table" w:styleId="DarkList-Accent4">
    <w:name w:val="Dark List Accent 4"/>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9561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247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E37A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E37AA" w:themeFill="accent4" w:themeFillShade="BF"/>
      </w:tcPr>
    </w:tblStylePr>
    <w:tblStylePr w:type="band1Vert">
      <w:tblPr/>
      <w:tcPr>
        <w:tcBorders>
          <w:top w:val="nil"/>
          <w:left w:val="nil"/>
          <w:bottom w:val="nil"/>
          <w:right w:val="nil"/>
          <w:insideH w:val="nil"/>
          <w:insideV w:val="nil"/>
        </w:tcBorders>
        <w:shd w:val="clear" w:color="auto" w:fill="6E37AA" w:themeFill="accent4" w:themeFillShade="BF"/>
      </w:tcPr>
    </w:tblStylePr>
    <w:tblStylePr w:type="band1Horz">
      <w:tblPr/>
      <w:tcPr>
        <w:tcBorders>
          <w:top w:val="nil"/>
          <w:left w:val="nil"/>
          <w:bottom w:val="nil"/>
          <w:right w:val="nil"/>
          <w:insideH w:val="nil"/>
          <w:insideV w:val="nil"/>
        </w:tcBorders>
        <w:shd w:val="clear" w:color="auto" w:fill="6E37AA" w:themeFill="accent4" w:themeFillShade="BF"/>
      </w:tcPr>
    </w:tblStylePr>
  </w:style>
  <w:style w:type="table" w:styleId="DarkList-Accent5">
    <w:name w:val="Dark List Accent 5"/>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00AD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09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094" w:themeFill="accent5" w:themeFillShade="BF"/>
      </w:tcPr>
    </w:tblStylePr>
    <w:tblStylePr w:type="band1Vert">
      <w:tblPr/>
      <w:tcPr>
        <w:tcBorders>
          <w:top w:val="nil"/>
          <w:left w:val="nil"/>
          <w:bottom w:val="nil"/>
          <w:right w:val="nil"/>
          <w:insideH w:val="nil"/>
          <w:insideV w:val="nil"/>
        </w:tcBorders>
        <w:shd w:val="clear" w:color="auto" w:fill="008094" w:themeFill="accent5" w:themeFillShade="BF"/>
      </w:tcPr>
    </w:tblStylePr>
    <w:tblStylePr w:type="band1Horz">
      <w:tblPr/>
      <w:tcPr>
        <w:tcBorders>
          <w:top w:val="nil"/>
          <w:left w:val="nil"/>
          <w:bottom w:val="nil"/>
          <w:right w:val="nil"/>
          <w:insideH w:val="nil"/>
          <w:insideV w:val="nil"/>
        </w:tcBorders>
        <w:shd w:val="clear" w:color="auto" w:fill="008094" w:themeFill="accent5" w:themeFillShade="BF"/>
      </w:tcPr>
    </w:tblStylePr>
  </w:style>
  <w:style w:type="table" w:styleId="DarkList-Accent6">
    <w:name w:val="Dark List Accent 6"/>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FD8F0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470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36B0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36B01" w:themeFill="accent6" w:themeFillShade="BF"/>
      </w:tcPr>
    </w:tblStylePr>
    <w:tblStylePr w:type="band1Vert">
      <w:tblPr/>
      <w:tcPr>
        <w:tcBorders>
          <w:top w:val="nil"/>
          <w:left w:val="nil"/>
          <w:bottom w:val="nil"/>
          <w:right w:val="nil"/>
          <w:insideH w:val="nil"/>
          <w:insideV w:val="nil"/>
        </w:tcBorders>
        <w:shd w:val="clear" w:color="auto" w:fill="C36B01" w:themeFill="accent6" w:themeFillShade="BF"/>
      </w:tcPr>
    </w:tblStylePr>
    <w:tblStylePr w:type="band1Horz">
      <w:tblPr/>
      <w:tcPr>
        <w:tcBorders>
          <w:top w:val="nil"/>
          <w:left w:val="nil"/>
          <w:bottom w:val="nil"/>
          <w:right w:val="nil"/>
          <w:insideH w:val="nil"/>
          <w:insideV w:val="nil"/>
        </w:tcBorders>
        <w:shd w:val="clear" w:color="auto" w:fill="C36B01" w:themeFill="accent6" w:themeFillShade="BF"/>
      </w:tcPr>
    </w:tblStylePr>
  </w:style>
  <w:style w:type="paragraph" w:styleId="DocumentMap">
    <w:name w:val="Document Map"/>
    <w:basedOn w:val="Normal"/>
    <w:link w:val="DocumentMapChar"/>
    <w:uiPriority w:val="99"/>
    <w:semiHidden/>
    <w:unhideWhenUsed/>
    <w:rsid w:val="00B469D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469D3"/>
    <w:rPr>
      <w:rFonts w:ascii="Segoe UI" w:hAnsi="Segoe UI" w:cs="Segoe UI"/>
      <w:color w:val="1E1E1E"/>
      <w:sz w:val="16"/>
      <w:szCs w:val="16"/>
    </w:rPr>
  </w:style>
  <w:style w:type="table" w:styleId="GridTable1Light">
    <w:name w:val="Grid Table 1 Light"/>
    <w:basedOn w:val="TableNormal"/>
    <w:uiPriority w:val="46"/>
    <w:rsid w:val="00B469D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469D3"/>
    <w:pPr>
      <w:spacing w:after="0" w:line="240" w:lineRule="auto"/>
    </w:pPr>
    <w:tblPr>
      <w:tblStyleRowBandSize w:val="1"/>
      <w:tblStyleColBandSize w:val="1"/>
      <w:tblBorders>
        <w:top w:val="single" w:sz="4" w:space="0" w:color="A2E9C7" w:themeColor="accent1" w:themeTint="66"/>
        <w:left w:val="single" w:sz="4" w:space="0" w:color="A2E9C7" w:themeColor="accent1" w:themeTint="66"/>
        <w:bottom w:val="single" w:sz="4" w:space="0" w:color="A2E9C7" w:themeColor="accent1" w:themeTint="66"/>
        <w:right w:val="single" w:sz="4" w:space="0" w:color="A2E9C7" w:themeColor="accent1" w:themeTint="66"/>
        <w:insideH w:val="single" w:sz="4" w:space="0" w:color="A2E9C7" w:themeColor="accent1" w:themeTint="66"/>
        <w:insideV w:val="single" w:sz="4" w:space="0" w:color="A2E9C7" w:themeColor="accent1" w:themeTint="66"/>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2" w:space="0" w:color="74DEA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469D3"/>
    <w:pPr>
      <w:spacing w:after="0" w:line="240" w:lineRule="auto"/>
    </w:pPr>
    <w:tblPr>
      <w:tblStyleRowBandSize w:val="1"/>
      <w:tblStyleColBandSize w:val="1"/>
      <w:tblBorders>
        <w:top w:val="single" w:sz="4" w:space="0" w:color="DCEF94" w:themeColor="accent2" w:themeTint="66"/>
        <w:left w:val="single" w:sz="4" w:space="0" w:color="DCEF94" w:themeColor="accent2" w:themeTint="66"/>
        <w:bottom w:val="single" w:sz="4" w:space="0" w:color="DCEF94" w:themeColor="accent2" w:themeTint="66"/>
        <w:right w:val="single" w:sz="4" w:space="0" w:color="DCEF94" w:themeColor="accent2" w:themeTint="66"/>
        <w:insideH w:val="single" w:sz="4" w:space="0" w:color="DCEF94" w:themeColor="accent2" w:themeTint="66"/>
        <w:insideV w:val="single" w:sz="4" w:space="0" w:color="DCEF94" w:themeColor="accent2" w:themeTint="66"/>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2" w:space="0" w:color="CAE85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469D3"/>
    <w:pPr>
      <w:spacing w:after="0" w:line="240" w:lineRule="auto"/>
    </w:pPr>
    <w:tblPr>
      <w:tblStyleRowBandSize w:val="1"/>
      <w:tblStyleColBandSize w:val="1"/>
      <w:tblBorders>
        <w:top w:val="single" w:sz="4" w:space="0" w:color="F9C3B0" w:themeColor="accent3" w:themeTint="66"/>
        <w:left w:val="single" w:sz="4" w:space="0" w:color="F9C3B0" w:themeColor="accent3" w:themeTint="66"/>
        <w:bottom w:val="single" w:sz="4" w:space="0" w:color="F9C3B0" w:themeColor="accent3" w:themeTint="66"/>
        <w:right w:val="single" w:sz="4" w:space="0" w:color="F9C3B0" w:themeColor="accent3" w:themeTint="66"/>
        <w:insideH w:val="single" w:sz="4" w:space="0" w:color="F9C3B0" w:themeColor="accent3" w:themeTint="66"/>
        <w:insideV w:val="single" w:sz="4" w:space="0" w:color="F9C3B0" w:themeColor="accent3" w:themeTint="66"/>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2" w:space="0" w:color="F6A58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469D3"/>
    <w:pPr>
      <w:spacing w:after="0" w:line="240" w:lineRule="auto"/>
    </w:pPr>
    <w:tblPr>
      <w:tblStyleRowBandSize w:val="1"/>
      <w:tblStyleColBandSize w:val="1"/>
      <w:tblBorders>
        <w:top w:val="single" w:sz="4" w:space="0" w:color="D4BFEA" w:themeColor="accent4" w:themeTint="66"/>
        <w:left w:val="single" w:sz="4" w:space="0" w:color="D4BFEA" w:themeColor="accent4" w:themeTint="66"/>
        <w:bottom w:val="single" w:sz="4" w:space="0" w:color="D4BFEA" w:themeColor="accent4" w:themeTint="66"/>
        <w:right w:val="single" w:sz="4" w:space="0" w:color="D4BFEA" w:themeColor="accent4" w:themeTint="66"/>
        <w:insideH w:val="single" w:sz="4" w:space="0" w:color="D4BFEA" w:themeColor="accent4" w:themeTint="66"/>
        <w:insideV w:val="single" w:sz="4" w:space="0" w:color="D4BFEA" w:themeColor="accent4" w:themeTint="66"/>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2" w:space="0" w:color="BFA0E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469D3"/>
    <w:pPr>
      <w:spacing w:after="0" w:line="240" w:lineRule="auto"/>
    </w:pPr>
    <w:tblPr>
      <w:tblStyleRowBandSize w:val="1"/>
      <w:tblStyleColBandSize w:val="1"/>
      <w:tblBorders>
        <w:top w:val="single" w:sz="4" w:space="0" w:color="82EEFF" w:themeColor="accent5" w:themeTint="66"/>
        <w:left w:val="single" w:sz="4" w:space="0" w:color="82EEFF" w:themeColor="accent5" w:themeTint="66"/>
        <w:bottom w:val="single" w:sz="4" w:space="0" w:color="82EEFF" w:themeColor="accent5" w:themeTint="66"/>
        <w:right w:val="single" w:sz="4" w:space="0" w:color="82EEFF" w:themeColor="accent5" w:themeTint="66"/>
        <w:insideH w:val="single" w:sz="4" w:space="0" w:color="82EEFF" w:themeColor="accent5" w:themeTint="66"/>
        <w:insideV w:val="single" w:sz="4" w:space="0" w:color="82EEFF" w:themeColor="accent5" w:themeTint="66"/>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2" w:space="0" w:color="43E6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469D3"/>
    <w:pPr>
      <w:spacing w:after="0" w:line="240" w:lineRule="auto"/>
    </w:pPr>
    <w:tblPr>
      <w:tblStyleRowBandSize w:val="1"/>
      <w:tblStyleColBandSize w:val="1"/>
      <w:tblBorders>
        <w:top w:val="single" w:sz="4" w:space="0" w:color="FED19C" w:themeColor="accent6" w:themeTint="66"/>
        <w:left w:val="single" w:sz="4" w:space="0" w:color="FED19C" w:themeColor="accent6" w:themeTint="66"/>
        <w:bottom w:val="single" w:sz="4" w:space="0" w:color="FED19C" w:themeColor="accent6" w:themeTint="66"/>
        <w:right w:val="single" w:sz="4" w:space="0" w:color="FED19C" w:themeColor="accent6" w:themeTint="66"/>
        <w:insideH w:val="single" w:sz="4" w:space="0" w:color="FED19C" w:themeColor="accent6" w:themeTint="66"/>
        <w:insideV w:val="single" w:sz="4" w:space="0" w:color="FED19C" w:themeColor="accent6" w:themeTint="66"/>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2" w:space="0" w:color="FDBB6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469D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469D3"/>
    <w:pPr>
      <w:spacing w:after="0" w:line="240" w:lineRule="auto"/>
    </w:pPr>
    <w:tblPr>
      <w:tblStyleRowBandSize w:val="1"/>
      <w:tblStyleColBandSize w:val="1"/>
      <w:tblBorders>
        <w:top w:val="single" w:sz="2" w:space="0" w:color="74DEAB" w:themeColor="accent1" w:themeTint="99"/>
        <w:bottom w:val="single" w:sz="2" w:space="0" w:color="74DEAB" w:themeColor="accent1" w:themeTint="99"/>
        <w:insideH w:val="single" w:sz="2" w:space="0" w:color="74DEAB" w:themeColor="accent1" w:themeTint="99"/>
        <w:insideV w:val="single" w:sz="2" w:space="0" w:color="74DEAB" w:themeColor="accent1" w:themeTint="99"/>
      </w:tblBorders>
    </w:tblPr>
    <w:tblStylePr w:type="firstRow">
      <w:rPr>
        <w:b/>
        <w:bCs/>
      </w:rPr>
      <w:tblPr/>
      <w:tcPr>
        <w:tcBorders>
          <w:top w:val="nil"/>
          <w:bottom w:val="single" w:sz="12" w:space="0" w:color="74DEAB" w:themeColor="accent1" w:themeTint="99"/>
          <w:insideH w:val="nil"/>
          <w:insideV w:val="nil"/>
        </w:tcBorders>
        <w:shd w:val="clear" w:color="auto" w:fill="FFFFFF" w:themeFill="background1"/>
      </w:tcPr>
    </w:tblStylePr>
    <w:tblStylePr w:type="lastRow">
      <w:rPr>
        <w:b/>
        <w:bCs/>
      </w:rPr>
      <w:tblPr/>
      <w:tcPr>
        <w:tcBorders>
          <w:top w:val="double" w:sz="2" w:space="0" w:color="74DEA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2-Accent2">
    <w:name w:val="Grid Table 2 Accent 2"/>
    <w:basedOn w:val="TableNormal"/>
    <w:uiPriority w:val="47"/>
    <w:rsid w:val="00B469D3"/>
    <w:pPr>
      <w:spacing w:after="0" w:line="240" w:lineRule="auto"/>
    </w:pPr>
    <w:tblPr>
      <w:tblStyleRowBandSize w:val="1"/>
      <w:tblStyleColBandSize w:val="1"/>
      <w:tblBorders>
        <w:top w:val="single" w:sz="2" w:space="0" w:color="CAE85F" w:themeColor="accent2" w:themeTint="99"/>
        <w:bottom w:val="single" w:sz="2" w:space="0" w:color="CAE85F" w:themeColor="accent2" w:themeTint="99"/>
        <w:insideH w:val="single" w:sz="2" w:space="0" w:color="CAE85F" w:themeColor="accent2" w:themeTint="99"/>
        <w:insideV w:val="single" w:sz="2" w:space="0" w:color="CAE85F" w:themeColor="accent2" w:themeTint="99"/>
      </w:tblBorders>
    </w:tblPr>
    <w:tblStylePr w:type="firstRow">
      <w:rPr>
        <w:b/>
        <w:bCs/>
      </w:rPr>
      <w:tblPr/>
      <w:tcPr>
        <w:tcBorders>
          <w:top w:val="nil"/>
          <w:bottom w:val="single" w:sz="12" w:space="0" w:color="CAE85F" w:themeColor="accent2" w:themeTint="99"/>
          <w:insideH w:val="nil"/>
          <w:insideV w:val="nil"/>
        </w:tcBorders>
        <w:shd w:val="clear" w:color="auto" w:fill="FFFFFF" w:themeFill="background1"/>
      </w:tcPr>
    </w:tblStylePr>
    <w:tblStylePr w:type="lastRow">
      <w:rPr>
        <w:b/>
        <w:bCs/>
      </w:rPr>
      <w:tblPr/>
      <w:tcPr>
        <w:tcBorders>
          <w:top w:val="double" w:sz="2" w:space="0" w:color="CAE85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2-Accent3">
    <w:name w:val="Grid Table 2 Accent 3"/>
    <w:basedOn w:val="TableNormal"/>
    <w:uiPriority w:val="47"/>
    <w:rsid w:val="00B469D3"/>
    <w:pPr>
      <w:spacing w:after="0" w:line="240" w:lineRule="auto"/>
    </w:pPr>
    <w:tblPr>
      <w:tblStyleRowBandSize w:val="1"/>
      <w:tblStyleColBandSize w:val="1"/>
      <w:tblBorders>
        <w:top w:val="single" w:sz="2" w:space="0" w:color="F6A589" w:themeColor="accent3" w:themeTint="99"/>
        <w:bottom w:val="single" w:sz="2" w:space="0" w:color="F6A589" w:themeColor="accent3" w:themeTint="99"/>
        <w:insideH w:val="single" w:sz="2" w:space="0" w:color="F6A589" w:themeColor="accent3" w:themeTint="99"/>
        <w:insideV w:val="single" w:sz="2" w:space="0" w:color="F6A589" w:themeColor="accent3" w:themeTint="99"/>
      </w:tblBorders>
    </w:tblPr>
    <w:tblStylePr w:type="firstRow">
      <w:rPr>
        <w:b/>
        <w:bCs/>
      </w:rPr>
      <w:tblPr/>
      <w:tcPr>
        <w:tcBorders>
          <w:top w:val="nil"/>
          <w:bottom w:val="single" w:sz="12" w:space="0" w:color="F6A589" w:themeColor="accent3" w:themeTint="99"/>
          <w:insideH w:val="nil"/>
          <w:insideV w:val="nil"/>
        </w:tcBorders>
        <w:shd w:val="clear" w:color="auto" w:fill="FFFFFF" w:themeFill="background1"/>
      </w:tcPr>
    </w:tblStylePr>
    <w:tblStylePr w:type="lastRow">
      <w:rPr>
        <w:b/>
        <w:bCs/>
      </w:rPr>
      <w:tblPr/>
      <w:tcPr>
        <w:tcBorders>
          <w:top w:val="double" w:sz="2" w:space="0" w:color="F6A58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2-Accent4">
    <w:name w:val="Grid Table 2 Accent 4"/>
    <w:basedOn w:val="TableNormal"/>
    <w:uiPriority w:val="47"/>
    <w:rsid w:val="00B469D3"/>
    <w:pPr>
      <w:spacing w:after="0" w:line="240" w:lineRule="auto"/>
    </w:pPr>
    <w:tblPr>
      <w:tblStyleRowBandSize w:val="1"/>
      <w:tblStyleColBandSize w:val="1"/>
      <w:tblBorders>
        <w:top w:val="single" w:sz="2" w:space="0" w:color="BFA0E0" w:themeColor="accent4" w:themeTint="99"/>
        <w:bottom w:val="single" w:sz="2" w:space="0" w:color="BFA0E0" w:themeColor="accent4" w:themeTint="99"/>
        <w:insideH w:val="single" w:sz="2" w:space="0" w:color="BFA0E0" w:themeColor="accent4" w:themeTint="99"/>
        <w:insideV w:val="single" w:sz="2" w:space="0" w:color="BFA0E0" w:themeColor="accent4" w:themeTint="99"/>
      </w:tblBorders>
    </w:tblPr>
    <w:tblStylePr w:type="firstRow">
      <w:rPr>
        <w:b/>
        <w:bCs/>
      </w:rPr>
      <w:tblPr/>
      <w:tcPr>
        <w:tcBorders>
          <w:top w:val="nil"/>
          <w:bottom w:val="single" w:sz="12" w:space="0" w:color="BFA0E0" w:themeColor="accent4" w:themeTint="99"/>
          <w:insideH w:val="nil"/>
          <w:insideV w:val="nil"/>
        </w:tcBorders>
        <w:shd w:val="clear" w:color="auto" w:fill="FFFFFF" w:themeFill="background1"/>
      </w:tcPr>
    </w:tblStylePr>
    <w:tblStylePr w:type="lastRow">
      <w:rPr>
        <w:b/>
        <w:bCs/>
      </w:rPr>
      <w:tblPr/>
      <w:tcPr>
        <w:tcBorders>
          <w:top w:val="double" w:sz="2" w:space="0" w:color="BFA0E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2-Accent5">
    <w:name w:val="Grid Table 2 Accent 5"/>
    <w:basedOn w:val="TableNormal"/>
    <w:uiPriority w:val="47"/>
    <w:rsid w:val="00B469D3"/>
    <w:pPr>
      <w:spacing w:after="0" w:line="240" w:lineRule="auto"/>
    </w:pPr>
    <w:tblPr>
      <w:tblStyleRowBandSize w:val="1"/>
      <w:tblStyleColBandSize w:val="1"/>
      <w:tblBorders>
        <w:top w:val="single" w:sz="2" w:space="0" w:color="43E6FF" w:themeColor="accent5" w:themeTint="99"/>
        <w:bottom w:val="single" w:sz="2" w:space="0" w:color="43E6FF" w:themeColor="accent5" w:themeTint="99"/>
        <w:insideH w:val="single" w:sz="2" w:space="0" w:color="43E6FF" w:themeColor="accent5" w:themeTint="99"/>
        <w:insideV w:val="single" w:sz="2" w:space="0" w:color="43E6FF" w:themeColor="accent5" w:themeTint="99"/>
      </w:tblBorders>
    </w:tblPr>
    <w:tblStylePr w:type="firstRow">
      <w:rPr>
        <w:b/>
        <w:bCs/>
      </w:rPr>
      <w:tblPr/>
      <w:tcPr>
        <w:tcBorders>
          <w:top w:val="nil"/>
          <w:bottom w:val="single" w:sz="12" w:space="0" w:color="43E6FF" w:themeColor="accent5" w:themeTint="99"/>
          <w:insideH w:val="nil"/>
          <w:insideV w:val="nil"/>
        </w:tcBorders>
        <w:shd w:val="clear" w:color="auto" w:fill="FFFFFF" w:themeFill="background1"/>
      </w:tcPr>
    </w:tblStylePr>
    <w:tblStylePr w:type="lastRow">
      <w:rPr>
        <w:b/>
        <w:bCs/>
      </w:rPr>
      <w:tblPr/>
      <w:tcPr>
        <w:tcBorders>
          <w:top w:val="double" w:sz="2" w:space="0" w:color="43E6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2-Accent6">
    <w:name w:val="Grid Table 2 Accent 6"/>
    <w:basedOn w:val="TableNormal"/>
    <w:uiPriority w:val="47"/>
    <w:rsid w:val="00B469D3"/>
    <w:pPr>
      <w:spacing w:after="0" w:line="240" w:lineRule="auto"/>
    </w:pPr>
    <w:tblPr>
      <w:tblStyleRowBandSize w:val="1"/>
      <w:tblStyleColBandSize w:val="1"/>
      <w:tblBorders>
        <w:top w:val="single" w:sz="2" w:space="0" w:color="FDBB6B" w:themeColor="accent6" w:themeTint="99"/>
        <w:bottom w:val="single" w:sz="2" w:space="0" w:color="FDBB6B" w:themeColor="accent6" w:themeTint="99"/>
        <w:insideH w:val="single" w:sz="2" w:space="0" w:color="FDBB6B" w:themeColor="accent6" w:themeTint="99"/>
        <w:insideV w:val="single" w:sz="2" w:space="0" w:color="FDBB6B" w:themeColor="accent6" w:themeTint="99"/>
      </w:tblBorders>
    </w:tblPr>
    <w:tblStylePr w:type="firstRow">
      <w:rPr>
        <w:b/>
        <w:bCs/>
      </w:rPr>
      <w:tblPr/>
      <w:tcPr>
        <w:tcBorders>
          <w:top w:val="nil"/>
          <w:bottom w:val="single" w:sz="12" w:space="0" w:color="FDBB6B" w:themeColor="accent6" w:themeTint="99"/>
          <w:insideH w:val="nil"/>
          <w:insideV w:val="nil"/>
        </w:tcBorders>
        <w:shd w:val="clear" w:color="auto" w:fill="FFFFFF" w:themeFill="background1"/>
      </w:tcPr>
    </w:tblStylePr>
    <w:tblStylePr w:type="lastRow">
      <w:rPr>
        <w:b/>
        <w:bCs/>
      </w:rPr>
      <w:tblPr/>
      <w:tcPr>
        <w:tcBorders>
          <w:top w:val="double" w:sz="2" w:space="0" w:color="FDBB6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3">
    <w:name w:val="Grid Table 3"/>
    <w:basedOn w:val="TableNormal"/>
    <w:uiPriority w:val="48"/>
    <w:rsid w:val="00B469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469D3"/>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3-Accent2">
    <w:name w:val="Grid Table 3 Accent 2"/>
    <w:basedOn w:val="TableNormal"/>
    <w:uiPriority w:val="48"/>
    <w:rsid w:val="00B469D3"/>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3-Accent3">
    <w:name w:val="Grid Table 3 Accent 3"/>
    <w:basedOn w:val="TableNormal"/>
    <w:uiPriority w:val="48"/>
    <w:rsid w:val="00B469D3"/>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3-Accent4">
    <w:name w:val="Grid Table 3 Accent 4"/>
    <w:basedOn w:val="TableNormal"/>
    <w:uiPriority w:val="48"/>
    <w:rsid w:val="00B469D3"/>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3-Accent5">
    <w:name w:val="Grid Table 3 Accent 5"/>
    <w:basedOn w:val="TableNormal"/>
    <w:uiPriority w:val="48"/>
    <w:rsid w:val="00B469D3"/>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3-Accent6">
    <w:name w:val="Grid Table 3 Accent 6"/>
    <w:basedOn w:val="TableNormal"/>
    <w:uiPriority w:val="48"/>
    <w:rsid w:val="00B469D3"/>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table" w:styleId="GridTable4">
    <w:name w:val="Grid Table 4"/>
    <w:basedOn w:val="TableNormal"/>
    <w:uiPriority w:val="49"/>
    <w:rsid w:val="00B469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469D3"/>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insideV w:val="nil"/>
        </w:tcBorders>
        <w:shd w:val="clear" w:color="auto" w:fill="2BB673" w:themeFill="accent1"/>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4-Accent2">
    <w:name w:val="Grid Table 4 Accent 2"/>
    <w:basedOn w:val="TableNormal"/>
    <w:uiPriority w:val="49"/>
    <w:rsid w:val="00B469D3"/>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insideV w:val="nil"/>
        </w:tcBorders>
        <w:shd w:val="clear" w:color="auto" w:fill="93B41A" w:themeFill="accent2"/>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4-Accent3">
    <w:name w:val="Grid Table 4 Accent 3"/>
    <w:basedOn w:val="TableNormal"/>
    <w:uiPriority w:val="49"/>
    <w:rsid w:val="00B469D3"/>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insideV w:val="nil"/>
        </w:tcBorders>
        <w:shd w:val="clear" w:color="auto" w:fill="F06A3B" w:themeFill="accent3"/>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4-Accent4">
    <w:name w:val="Grid Table 4 Accent 4"/>
    <w:basedOn w:val="TableNormal"/>
    <w:uiPriority w:val="49"/>
    <w:rsid w:val="00B469D3"/>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insideV w:val="nil"/>
        </w:tcBorders>
        <w:shd w:val="clear" w:color="auto" w:fill="9561CC" w:themeFill="accent4"/>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4-Accent5">
    <w:name w:val="Grid Table 4 Accent 5"/>
    <w:basedOn w:val="TableNormal"/>
    <w:uiPriority w:val="49"/>
    <w:rsid w:val="00B469D3"/>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insideV w:val="nil"/>
        </w:tcBorders>
        <w:shd w:val="clear" w:color="auto" w:fill="00ADC6" w:themeFill="accent5"/>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4-Accent6">
    <w:name w:val="Grid Table 4 Accent 6"/>
    <w:basedOn w:val="TableNormal"/>
    <w:uiPriority w:val="49"/>
    <w:rsid w:val="00B469D3"/>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insideV w:val="nil"/>
        </w:tcBorders>
        <w:shd w:val="clear" w:color="auto" w:fill="FD8F0A" w:themeFill="accent6"/>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5Dark">
    <w:name w:val="Grid Table 5 Dark"/>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4E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B67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B67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B67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B673" w:themeFill="accent1"/>
      </w:tcPr>
    </w:tblStylePr>
    <w:tblStylePr w:type="band1Vert">
      <w:tblPr/>
      <w:tcPr>
        <w:shd w:val="clear" w:color="auto" w:fill="A2E9C7" w:themeFill="accent1" w:themeFillTint="66"/>
      </w:tcPr>
    </w:tblStylePr>
    <w:tblStylePr w:type="band1Horz">
      <w:tblPr/>
      <w:tcPr>
        <w:shd w:val="clear" w:color="auto" w:fill="A2E9C7" w:themeFill="accent1" w:themeFillTint="66"/>
      </w:tcPr>
    </w:tblStylePr>
  </w:style>
  <w:style w:type="table" w:styleId="GridTable5Dark-Accent2">
    <w:name w:val="Grid Table 5 Dark Accent 2"/>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7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B41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B41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B41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B41A" w:themeFill="accent2"/>
      </w:tcPr>
    </w:tblStylePr>
    <w:tblStylePr w:type="band1Vert">
      <w:tblPr/>
      <w:tcPr>
        <w:shd w:val="clear" w:color="auto" w:fill="DCEF94" w:themeFill="accent2" w:themeFillTint="66"/>
      </w:tcPr>
    </w:tblStylePr>
    <w:tblStylePr w:type="band1Horz">
      <w:tblPr/>
      <w:tcPr>
        <w:shd w:val="clear" w:color="auto" w:fill="DCEF94" w:themeFill="accent2" w:themeFillTint="66"/>
      </w:tcPr>
    </w:tblStylePr>
  </w:style>
  <w:style w:type="table" w:styleId="GridTable5Dark-Accent3">
    <w:name w:val="Grid Table 5 Dark Accent 3"/>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1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6A3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6A3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6A3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6A3B" w:themeFill="accent3"/>
      </w:tcPr>
    </w:tblStylePr>
    <w:tblStylePr w:type="band1Vert">
      <w:tblPr/>
      <w:tcPr>
        <w:shd w:val="clear" w:color="auto" w:fill="F9C3B0" w:themeFill="accent3" w:themeFillTint="66"/>
      </w:tcPr>
    </w:tblStylePr>
    <w:tblStylePr w:type="band1Horz">
      <w:tblPr/>
      <w:tcPr>
        <w:shd w:val="clear" w:color="auto" w:fill="F9C3B0" w:themeFill="accent3" w:themeFillTint="66"/>
      </w:tcPr>
    </w:tblStylePr>
  </w:style>
  <w:style w:type="table" w:styleId="GridTable5Dark-Accent4">
    <w:name w:val="Grid Table 5 Dark Accent 4"/>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DF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61C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61C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61C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61CC" w:themeFill="accent4"/>
      </w:tcPr>
    </w:tblStylePr>
    <w:tblStylePr w:type="band1Vert">
      <w:tblPr/>
      <w:tcPr>
        <w:shd w:val="clear" w:color="auto" w:fill="D4BFEA" w:themeFill="accent4" w:themeFillTint="66"/>
      </w:tcPr>
    </w:tblStylePr>
    <w:tblStylePr w:type="band1Horz">
      <w:tblPr/>
      <w:tcPr>
        <w:shd w:val="clear" w:color="auto" w:fill="D4BFEA" w:themeFill="accent4" w:themeFillTint="66"/>
      </w:tcPr>
    </w:tblStylePr>
  </w:style>
  <w:style w:type="table" w:styleId="GridTable5Dark-Accent5">
    <w:name w:val="Grid Table 5 Dark Accent 5"/>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6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C6" w:themeFill="accent5"/>
      </w:tcPr>
    </w:tblStylePr>
    <w:tblStylePr w:type="band1Vert">
      <w:tblPr/>
      <w:tcPr>
        <w:shd w:val="clear" w:color="auto" w:fill="82EEFF" w:themeFill="accent5" w:themeFillTint="66"/>
      </w:tcPr>
    </w:tblStylePr>
    <w:tblStylePr w:type="band1Horz">
      <w:tblPr/>
      <w:tcPr>
        <w:shd w:val="clear" w:color="auto" w:fill="82EEFF" w:themeFill="accent5" w:themeFillTint="66"/>
      </w:tcPr>
    </w:tblStylePr>
  </w:style>
  <w:style w:type="table" w:styleId="GridTable5Dark-Accent6">
    <w:name w:val="Grid Table 5 Dark Accent 6"/>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8C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8F0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8F0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8F0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8F0A" w:themeFill="accent6"/>
      </w:tcPr>
    </w:tblStylePr>
    <w:tblStylePr w:type="band1Vert">
      <w:tblPr/>
      <w:tcPr>
        <w:shd w:val="clear" w:color="auto" w:fill="FED19C" w:themeFill="accent6" w:themeFillTint="66"/>
      </w:tcPr>
    </w:tblStylePr>
    <w:tblStylePr w:type="band1Horz">
      <w:tblPr/>
      <w:tcPr>
        <w:shd w:val="clear" w:color="auto" w:fill="FED19C" w:themeFill="accent6" w:themeFillTint="66"/>
      </w:tcPr>
    </w:tblStylePr>
  </w:style>
  <w:style w:type="table" w:styleId="GridTable6Colourful">
    <w:name w:val="Grid Table 6 Colorful"/>
    <w:basedOn w:val="TableNormal"/>
    <w:uiPriority w:val="51"/>
    <w:rsid w:val="00B469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B469D3"/>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6ColourfulAccent2">
    <w:name w:val="Grid Table 6 Colorful Accent 2"/>
    <w:basedOn w:val="TableNormal"/>
    <w:uiPriority w:val="51"/>
    <w:rsid w:val="00B469D3"/>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6ColourfulAccent3">
    <w:name w:val="Grid Table 6 Colorful Accent 3"/>
    <w:basedOn w:val="TableNormal"/>
    <w:uiPriority w:val="51"/>
    <w:rsid w:val="00B469D3"/>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6ColourfulAccent4">
    <w:name w:val="Grid Table 6 Colorful Accent 4"/>
    <w:basedOn w:val="TableNormal"/>
    <w:uiPriority w:val="51"/>
    <w:rsid w:val="00B469D3"/>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6ColourfulAccent5">
    <w:name w:val="Grid Table 6 Colorful Accent 5"/>
    <w:basedOn w:val="TableNormal"/>
    <w:uiPriority w:val="51"/>
    <w:rsid w:val="00B469D3"/>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6ColourfulAccent6">
    <w:name w:val="Grid Table 6 Colorful Accent 6"/>
    <w:basedOn w:val="TableNormal"/>
    <w:uiPriority w:val="51"/>
    <w:rsid w:val="00B469D3"/>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7Colourful">
    <w:name w:val="Grid Table 7 Colorful"/>
    <w:basedOn w:val="TableNormal"/>
    <w:uiPriority w:val="52"/>
    <w:rsid w:val="00B469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B469D3"/>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7ColourfulAccent2">
    <w:name w:val="Grid Table 7 Colorful Accent 2"/>
    <w:basedOn w:val="TableNormal"/>
    <w:uiPriority w:val="52"/>
    <w:rsid w:val="00B469D3"/>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7ColourfulAccent3">
    <w:name w:val="Grid Table 7 Colorful Accent 3"/>
    <w:basedOn w:val="TableNormal"/>
    <w:uiPriority w:val="52"/>
    <w:rsid w:val="00B469D3"/>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7ColourfulAccent4">
    <w:name w:val="Grid Table 7 Colorful Accent 4"/>
    <w:basedOn w:val="TableNormal"/>
    <w:uiPriority w:val="52"/>
    <w:rsid w:val="00B469D3"/>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7ColourfulAccent5">
    <w:name w:val="Grid Table 7 Colorful Accent 5"/>
    <w:basedOn w:val="TableNormal"/>
    <w:uiPriority w:val="52"/>
    <w:rsid w:val="00B469D3"/>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7ColourfulAccent6">
    <w:name w:val="Grid Table 7 Colorful Accent 6"/>
    <w:basedOn w:val="TableNormal"/>
    <w:uiPriority w:val="52"/>
    <w:rsid w:val="00B469D3"/>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character" w:styleId="HTMLAcronym">
    <w:name w:val="HTML Acronym"/>
    <w:basedOn w:val="DefaultParagraphFont"/>
    <w:uiPriority w:val="99"/>
    <w:semiHidden/>
    <w:unhideWhenUsed/>
    <w:rsid w:val="00B469D3"/>
  </w:style>
  <w:style w:type="character" w:styleId="HTMLCite">
    <w:name w:val="HTML Cite"/>
    <w:basedOn w:val="DefaultParagraphFont"/>
    <w:uiPriority w:val="99"/>
    <w:semiHidden/>
    <w:unhideWhenUsed/>
    <w:rsid w:val="00B469D3"/>
    <w:rPr>
      <w:i/>
      <w:iCs/>
    </w:rPr>
  </w:style>
  <w:style w:type="character" w:styleId="HTMLCode">
    <w:name w:val="HTML Code"/>
    <w:basedOn w:val="DefaultParagraphFont"/>
    <w:uiPriority w:val="99"/>
    <w:semiHidden/>
    <w:unhideWhenUsed/>
    <w:rsid w:val="00B469D3"/>
    <w:rPr>
      <w:rFonts w:ascii="Consolas" w:hAnsi="Consolas"/>
      <w:sz w:val="20"/>
      <w:szCs w:val="20"/>
    </w:rPr>
  </w:style>
  <w:style w:type="character" w:styleId="HTMLDefinition">
    <w:name w:val="HTML Definition"/>
    <w:basedOn w:val="DefaultParagraphFont"/>
    <w:uiPriority w:val="99"/>
    <w:semiHidden/>
    <w:unhideWhenUsed/>
    <w:rsid w:val="00B469D3"/>
    <w:rPr>
      <w:i/>
      <w:iCs/>
    </w:rPr>
  </w:style>
  <w:style w:type="character" w:styleId="HTMLKeyboard">
    <w:name w:val="HTML Keyboard"/>
    <w:basedOn w:val="DefaultParagraphFont"/>
    <w:uiPriority w:val="99"/>
    <w:semiHidden/>
    <w:unhideWhenUsed/>
    <w:rsid w:val="00B469D3"/>
    <w:rPr>
      <w:rFonts w:ascii="Consolas" w:hAnsi="Consolas"/>
      <w:sz w:val="20"/>
      <w:szCs w:val="20"/>
    </w:rPr>
  </w:style>
  <w:style w:type="character" w:styleId="HTMLSample">
    <w:name w:val="HTML Sample"/>
    <w:basedOn w:val="DefaultParagraphFont"/>
    <w:uiPriority w:val="99"/>
    <w:semiHidden/>
    <w:unhideWhenUsed/>
    <w:rsid w:val="00B469D3"/>
    <w:rPr>
      <w:rFonts w:ascii="Consolas" w:hAnsi="Consolas"/>
      <w:sz w:val="24"/>
      <w:szCs w:val="24"/>
    </w:rPr>
  </w:style>
  <w:style w:type="character" w:styleId="HTMLTypewriter">
    <w:name w:val="HTML Typewriter"/>
    <w:basedOn w:val="DefaultParagraphFont"/>
    <w:uiPriority w:val="99"/>
    <w:semiHidden/>
    <w:unhideWhenUsed/>
    <w:rsid w:val="00B469D3"/>
    <w:rPr>
      <w:rFonts w:ascii="Consolas" w:hAnsi="Consolas"/>
      <w:sz w:val="20"/>
      <w:szCs w:val="20"/>
    </w:rPr>
  </w:style>
  <w:style w:type="character" w:styleId="HTMLVariable">
    <w:name w:val="HTML Variable"/>
    <w:basedOn w:val="DefaultParagraphFont"/>
    <w:uiPriority w:val="99"/>
    <w:semiHidden/>
    <w:unhideWhenUsed/>
    <w:rsid w:val="00B469D3"/>
    <w:rPr>
      <w:i/>
      <w:iCs/>
    </w:rPr>
  </w:style>
  <w:style w:type="character" w:styleId="IntenseEmphasis">
    <w:name w:val="Intense Emphasis"/>
    <w:basedOn w:val="DefaultParagraphFont"/>
    <w:uiPriority w:val="21"/>
    <w:semiHidden/>
    <w:rsid w:val="00B469D3"/>
    <w:rPr>
      <w:i/>
      <w:iCs/>
      <w:color w:val="2BB673" w:themeColor="accent1"/>
    </w:rPr>
  </w:style>
  <w:style w:type="paragraph" w:styleId="IntenseQuote">
    <w:name w:val="Intense Quote"/>
    <w:basedOn w:val="Normal"/>
    <w:next w:val="Normal"/>
    <w:link w:val="IntenseQuoteChar"/>
    <w:uiPriority w:val="30"/>
    <w:semiHidden/>
    <w:rsid w:val="00B469D3"/>
    <w:pPr>
      <w:pBdr>
        <w:top w:val="single" w:sz="4" w:space="10" w:color="2BB673" w:themeColor="accent1"/>
        <w:bottom w:val="single" w:sz="4" w:space="10" w:color="2BB673" w:themeColor="accent1"/>
      </w:pBdr>
      <w:spacing w:before="360" w:after="360"/>
      <w:ind w:left="864" w:right="864"/>
      <w:jc w:val="center"/>
    </w:pPr>
    <w:rPr>
      <w:i/>
      <w:iCs/>
      <w:color w:val="2BB673" w:themeColor="accent1"/>
    </w:rPr>
  </w:style>
  <w:style w:type="character" w:customStyle="1" w:styleId="IntenseQuoteChar">
    <w:name w:val="Intense Quote Char"/>
    <w:basedOn w:val="DefaultParagraphFont"/>
    <w:link w:val="IntenseQuote"/>
    <w:uiPriority w:val="30"/>
    <w:semiHidden/>
    <w:rsid w:val="00B469D3"/>
    <w:rPr>
      <w:rFonts w:ascii="Calibri" w:hAnsi="Calibri"/>
      <w:i/>
      <w:iCs/>
      <w:color w:val="2BB673" w:themeColor="accent1"/>
      <w:sz w:val="24"/>
    </w:rPr>
  </w:style>
  <w:style w:type="character" w:styleId="IntenseReference">
    <w:name w:val="Intense Reference"/>
    <w:basedOn w:val="DefaultParagraphFont"/>
    <w:uiPriority w:val="32"/>
    <w:semiHidden/>
    <w:rsid w:val="00B469D3"/>
    <w:rPr>
      <w:b/>
      <w:bCs/>
      <w:smallCaps/>
      <w:color w:val="2BB673" w:themeColor="accent1"/>
      <w:spacing w:val="5"/>
    </w:rPr>
  </w:style>
  <w:style w:type="table" w:styleId="LightGrid">
    <w:name w:val="Light Grid"/>
    <w:basedOn w:val="TableNormal"/>
    <w:uiPriority w:val="62"/>
    <w:semiHidden/>
    <w:unhideWhenUsed/>
    <w:rsid w:val="00B469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469D3"/>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18" w:space="0" w:color="2BB673" w:themeColor="accent1"/>
          <w:right w:val="single" w:sz="8" w:space="0" w:color="2BB673" w:themeColor="accent1"/>
          <w:insideH w:val="nil"/>
          <w:insideV w:val="single" w:sz="8" w:space="0" w:color="2BB67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insideH w:val="nil"/>
          <w:insideV w:val="single" w:sz="8" w:space="0" w:color="2BB67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shd w:val="clear" w:color="auto" w:fill="C5F1DC" w:themeFill="accent1" w:themeFillTint="3F"/>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shd w:val="clear" w:color="auto" w:fill="C5F1DC" w:themeFill="accent1" w:themeFillTint="3F"/>
      </w:tcPr>
    </w:tblStylePr>
    <w:tblStylePr w:type="band2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tcPr>
    </w:tblStylePr>
  </w:style>
  <w:style w:type="table" w:styleId="LightGrid-Accent2">
    <w:name w:val="Light Grid Accent 2"/>
    <w:basedOn w:val="TableNormal"/>
    <w:uiPriority w:val="62"/>
    <w:semiHidden/>
    <w:unhideWhenUsed/>
    <w:rsid w:val="00B469D3"/>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18" w:space="0" w:color="93B41A" w:themeColor="accent2"/>
          <w:right w:val="single" w:sz="8" w:space="0" w:color="93B41A" w:themeColor="accent2"/>
          <w:insideH w:val="nil"/>
          <w:insideV w:val="single" w:sz="8" w:space="0" w:color="93B41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insideH w:val="nil"/>
          <w:insideV w:val="single" w:sz="8" w:space="0" w:color="93B41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shd w:val="clear" w:color="auto" w:fill="E9F5BD" w:themeFill="accent2" w:themeFillTint="3F"/>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shd w:val="clear" w:color="auto" w:fill="E9F5BD" w:themeFill="accent2" w:themeFillTint="3F"/>
      </w:tcPr>
    </w:tblStylePr>
    <w:tblStylePr w:type="band2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tcPr>
    </w:tblStylePr>
  </w:style>
  <w:style w:type="table" w:styleId="LightGrid-Accent3">
    <w:name w:val="Light Grid Accent 3"/>
    <w:basedOn w:val="TableNormal"/>
    <w:uiPriority w:val="62"/>
    <w:semiHidden/>
    <w:unhideWhenUsed/>
    <w:rsid w:val="00B469D3"/>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18" w:space="0" w:color="F06A3B" w:themeColor="accent3"/>
          <w:right w:val="single" w:sz="8" w:space="0" w:color="F06A3B" w:themeColor="accent3"/>
          <w:insideH w:val="nil"/>
          <w:insideV w:val="single" w:sz="8" w:space="0" w:color="F06A3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insideH w:val="nil"/>
          <w:insideV w:val="single" w:sz="8" w:space="0" w:color="F06A3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shd w:val="clear" w:color="auto" w:fill="FBD9CE" w:themeFill="accent3" w:themeFillTint="3F"/>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shd w:val="clear" w:color="auto" w:fill="FBD9CE" w:themeFill="accent3" w:themeFillTint="3F"/>
      </w:tcPr>
    </w:tblStylePr>
    <w:tblStylePr w:type="band2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tcPr>
    </w:tblStylePr>
  </w:style>
  <w:style w:type="table" w:styleId="LightGrid-Accent4">
    <w:name w:val="Light Grid Accent 4"/>
    <w:basedOn w:val="TableNormal"/>
    <w:uiPriority w:val="62"/>
    <w:semiHidden/>
    <w:unhideWhenUsed/>
    <w:rsid w:val="00B469D3"/>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18" w:space="0" w:color="9561CC" w:themeColor="accent4"/>
          <w:right w:val="single" w:sz="8" w:space="0" w:color="9561CC" w:themeColor="accent4"/>
          <w:insideH w:val="nil"/>
          <w:insideV w:val="single" w:sz="8" w:space="0" w:color="9561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insideH w:val="nil"/>
          <w:insideV w:val="single" w:sz="8" w:space="0" w:color="9561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shd w:val="clear" w:color="auto" w:fill="E4D7F2" w:themeFill="accent4" w:themeFillTint="3F"/>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shd w:val="clear" w:color="auto" w:fill="E4D7F2" w:themeFill="accent4" w:themeFillTint="3F"/>
      </w:tcPr>
    </w:tblStylePr>
    <w:tblStylePr w:type="band2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tcPr>
    </w:tblStylePr>
  </w:style>
  <w:style w:type="table" w:styleId="LightGrid-Accent5">
    <w:name w:val="Light Grid Accent 5"/>
    <w:basedOn w:val="TableNormal"/>
    <w:uiPriority w:val="62"/>
    <w:semiHidden/>
    <w:unhideWhenUsed/>
    <w:rsid w:val="00B469D3"/>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18" w:space="0" w:color="00ADC6" w:themeColor="accent5"/>
          <w:right w:val="single" w:sz="8" w:space="0" w:color="00ADC6" w:themeColor="accent5"/>
          <w:insideH w:val="nil"/>
          <w:insideV w:val="single" w:sz="8" w:space="0" w:color="00AD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insideH w:val="nil"/>
          <w:insideV w:val="single" w:sz="8" w:space="0" w:color="00AD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shd w:val="clear" w:color="auto" w:fill="B1F4FF" w:themeFill="accent5" w:themeFillTint="3F"/>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shd w:val="clear" w:color="auto" w:fill="B1F4FF" w:themeFill="accent5" w:themeFillTint="3F"/>
      </w:tcPr>
    </w:tblStylePr>
    <w:tblStylePr w:type="band2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tcPr>
    </w:tblStylePr>
  </w:style>
  <w:style w:type="table" w:styleId="LightGrid-Accent6">
    <w:name w:val="Light Grid Accent 6"/>
    <w:basedOn w:val="TableNormal"/>
    <w:uiPriority w:val="62"/>
    <w:semiHidden/>
    <w:unhideWhenUsed/>
    <w:rsid w:val="00B469D3"/>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18" w:space="0" w:color="FD8F0A" w:themeColor="accent6"/>
          <w:right w:val="single" w:sz="8" w:space="0" w:color="FD8F0A" w:themeColor="accent6"/>
          <w:insideH w:val="nil"/>
          <w:insideV w:val="single" w:sz="8" w:space="0" w:color="FD8F0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insideH w:val="nil"/>
          <w:insideV w:val="single" w:sz="8" w:space="0" w:color="FD8F0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shd w:val="clear" w:color="auto" w:fill="FEE3C2" w:themeFill="accent6" w:themeFillTint="3F"/>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shd w:val="clear" w:color="auto" w:fill="FEE3C2" w:themeFill="accent6" w:themeFillTint="3F"/>
      </w:tcPr>
    </w:tblStylePr>
    <w:tblStylePr w:type="band2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tcPr>
    </w:tblStylePr>
  </w:style>
  <w:style w:type="table" w:styleId="LightList">
    <w:name w:val="Light List"/>
    <w:basedOn w:val="TableNormal"/>
    <w:uiPriority w:val="61"/>
    <w:semiHidden/>
    <w:unhideWhenUsed/>
    <w:rsid w:val="00B469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469D3"/>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pPr>
        <w:spacing w:before="0" w:after="0" w:line="240" w:lineRule="auto"/>
      </w:pPr>
      <w:rPr>
        <w:b/>
        <w:bCs/>
        <w:color w:val="FFFFFF" w:themeColor="background1"/>
      </w:rPr>
      <w:tblPr/>
      <w:tcPr>
        <w:shd w:val="clear" w:color="auto" w:fill="2BB673" w:themeFill="accent1"/>
      </w:tcPr>
    </w:tblStylePr>
    <w:tblStylePr w:type="lastRow">
      <w:pPr>
        <w:spacing w:before="0" w:after="0" w:line="240" w:lineRule="auto"/>
      </w:pPr>
      <w:rPr>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tcBorders>
      </w:tcPr>
    </w:tblStylePr>
    <w:tblStylePr w:type="firstCol">
      <w:rPr>
        <w:b/>
        <w:bCs/>
      </w:rPr>
    </w:tblStylePr>
    <w:tblStylePr w:type="lastCol">
      <w:rPr>
        <w:b/>
        <w:bCs/>
      </w:r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style>
  <w:style w:type="table" w:styleId="LightList-Accent2">
    <w:name w:val="Light List Accent 2"/>
    <w:basedOn w:val="TableNormal"/>
    <w:uiPriority w:val="61"/>
    <w:semiHidden/>
    <w:unhideWhenUsed/>
    <w:rsid w:val="00B469D3"/>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pPr>
        <w:spacing w:before="0" w:after="0" w:line="240" w:lineRule="auto"/>
      </w:pPr>
      <w:rPr>
        <w:b/>
        <w:bCs/>
        <w:color w:val="FFFFFF" w:themeColor="background1"/>
      </w:rPr>
      <w:tblPr/>
      <w:tcPr>
        <w:shd w:val="clear" w:color="auto" w:fill="93B41A" w:themeFill="accent2"/>
      </w:tcPr>
    </w:tblStylePr>
    <w:tblStylePr w:type="lastRow">
      <w:pPr>
        <w:spacing w:before="0" w:after="0" w:line="240" w:lineRule="auto"/>
      </w:pPr>
      <w:rPr>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tcBorders>
      </w:tcPr>
    </w:tblStylePr>
    <w:tblStylePr w:type="firstCol">
      <w:rPr>
        <w:b/>
        <w:bCs/>
      </w:rPr>
    </w:tblStylePr>
    <w:tblStylePr w:type="lastCol">
      <w:rPr>
        <w:b/>
        <w:bCs/>
      </w:r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style>
  <w:style w:type="table" w:styleId="LightList-Accent3">
    <w:name w:val="Light List Accent 3"/>
    <w:basedOn w:val="TableNormal"/>
    <w:uiPriority w:val="61"/>
    <w:semiHidden/>
    <w:unhideWhenUsed/>
    <w:rsid w:val="00B469D3"/>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pPr>
        <w:spacing w:before="0" w:after="0" w:line="240" w:lineRule="auto"/>
      </w:pPr>
      <w:rPr>
        <w:b/>
        <w:bCs/>
        <w:color w:val="FFFFFF" w:themeColor="background1"/>
      </w:rPr>
      <w:tblPr/>
      <w:tcPr>
        <w:shd w:val="clear" w:color="auto" w:fill="F06A3B" w:themeFill="accent3"/>
      </w:tcPr>
    </w:tblStylePr>
    <w:tblStylePr w:type="lastRow">
      <w:pPr>
        <w:spacing w:before="0" w:after="0" w:line="240" w:lineRule="auto"/>
      </w:pPr>
      <w:rPr>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tcBorders>
      </w:tcPr>
    </w:tblStylePr>
    <w:tblStylePr w:type="firstCol">
      <w:rPr>
        <w:b/>
        <w:bCs/>
      </w:rPr>
    </w:tblStylePr>
    <w:tblStylePr w:type="lastCol">
      <w:rPr>
        <w:b/>
        <w:bCs/>
      </w:r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style>
  <w:style w:type="table" w:styleId="LightList-Accent4">
    <w:name w:val="Light List Accent 4"/>
    <w:basedOn w:val="TableNormal"/>
    <w:uiPriority w:val="61"/>
    <w:semiHidden/>
    <w:unhideWhenUsed/>
    <w:rsid w:val="00B469D3"/>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pPr>
        <w:spacing w:before="0" w:after="0" w:line="240" w:lineRule="auto"/>
      </w:pPr>
      <w:rPr>
        <w:b/>
        <w:bCs/>
        <w:color w:val="FFFFFF" w:themeColor="background1"/>
      </w:rPr>
      <w:tblPr/>
      <w:tcPr>
        <w:shd w:val="clear" w:color="auto" w:fill="9561CC" w:themeFill="accent4"/>
      </w:tcPr>
    </w:tblStylePr>
    <w:tblStylePr w:type="lastRow">
      <w:pPr>
        <w:spacing w:before="0" w:after="0" w:line="240" w:lineRule="auto"/>
      </w:pPr>
      <w:rPr>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tcBorders>
      </w:tcPr>
    </w:tblStylePr>
    <w:tblStylePr w:type="firstCol">
      <w:rPr>
        <w:b/>
        <w:bCs/>
      </w:rPr>
    </w:tblStylePr>
    <w:tblStylePr w:type="lastCol">
      <w:rPr>
        <w:b/>
        <w:bCs/>
      </w:r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style>
  <w:style w:type="table" w:styleId="LightList-Accent5">
    <w:name w:val="Light List Accent 5"/>
    <w:basedOn w:val="TableNormal"/>
    <w:uiPriority w:val="61"/>
    <w:semiHidden/>
    <w:unhideWhenUsed/>
    <w:rsid w:val="00B469D3"/>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pPr>
        <w:spacing w:before="0" w:after="0" w:line="240" w:lineRule="auto"/>
      </w:pPr>
      <w:rPr>
        <w:b/>
        <w:bCs/>
        <w:color w:val="FFFFFF" w:themeColor="background1"/>
      </w:rPr>
      <w:tblPr/>
      <w:tcPr>
        <w:shd w:val="clear" w:color="auto" w:fill="00ADC6" w:themeFill="accent5"/>
      </w:tcPr>
    </w:tblStylePr>
    <w:tblStylePr w:type="lastRow">
      <w:pPr>
        <w:spacing w:before="0" w:after="0" w:line="240" w:lineRule="auto"/>
      </w:pPr>
      <w:rPr>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tcBorders>
      </w:tcPr>
    </w:tblStylePr>
    <w:tblStylePr w:type="firstCol">
      <w:rPr>
        <w:b/>
        <w:bCs/>
      </w:rPr>
    </w:tblStylePr>
    <w:tblStylePr w:type="lastCol">
      <w:rPr>
        <w:b/>
        <w:bCs/>
      </w:r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style>
  <w:style w:type="table" w:styleId="LightList-Accent6">
    <w:name w:val="Light List Accent 6"/>
    <w:basedOn w:val="TableNormal"/>
    <w:uiPriority w:val="61"/>
    <w:semiHidden/>
    <w:unhideWhenUsed/>
    <w:rsid w:val="00B469D3"/>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pPr>
        <w:spacing w:before="0" w:after="0" w:line="240" w:lineRule="auto"/>
      </w:pPr>
      <w:rPr>
        <w:b/>
        <w:bCs/>
        <w:color w:val="FFFFFF" w:themeColor="background1"/>
      </w:rPr>
      <w:tblPr/>
      <w:tcPr>
        <w:shd w:val="clear" w:color="auto" w:fill="FD8F0A" w:themeFill="accent6"/>
      </w:tcPr>
    </w:tblStylePr>
    <w:tblStylePr w:type="lastRow">
      <w:pPr>
        <w:spacing w:before="0" w:after="0" w:line="240" w:lineRule="auto"/>
      </w:pPr>
      <w:rPr>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tcBorders>
      </w:tcPr>
    </w:tblStylePr>
    <w:tblStylePr w:type="firstCol">
      <w:rPr>
        <w:b/>
        <w:bCs/>
      </w:rPr>
    </w:tblStylePr>
    <w:tblStylePr w:type="lastCol">
      <w:rPr>
        <w:b/>
        <w:bCs/>
      </w:r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style>
  <w:style w:type="table" w:styleId="LightShading">
    <w:name w:val="Light Shading"/>
    <w:basedOn w:val="TableNormal"/>
    <w:uiPriority w:val="60"/>
    <w:semiHidden/>
    <w:unhideWhenUsed/>
    <w:rsid w:val="00B469D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469D3"/>
    <w:pPr>
      <w:spacing w:after="0" w:line="240" w:lineRule="auto"/>
    </w:pPr>
    <w:rPr>
      <w:color w:val="208855" w:themeColor="accent1" w:themeShade="BF"/>
    </w:rPr>
    <w:tblPr>
      <w:tblStyleRowBandSize w:val="1"/>
      <w:tblStyleColBandSize w:val="1"/>
      <w:tblBorders>
        <w:top w:val="single" w:sz="8" w:space="0" w:color="2BB673" w:themeColor="accent1"/>
        <w:bottom w:val="single" w:sz="8" w:space="0" w:color="2BB673" w:themeColor="accent1"/>
      </w:tblBorders>
    </w:tblPr>
    <w:tblStylePr w:type="fir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la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left w:val="nil"/>
          <w:right w:val="nil"/>
          <w:insideH w:val="nil"/>
          <w:insideV w:val="nil"/>
        </w:tcBorders>
        <w:shd w:val="clear" w:color="auto" w:fill="C5F1DC" w:themeFill="accent1" w:themeFillTint="3F"/>
      </w:tcPr>
    </w:tblStylePr>
  </w:style>
  <w:style w:type="table" w:styleId="LightShading-Accent2">
    <w:name w:val="Light Shading Accent 2"/>
    <w:basedOn w:val="TableNormal"/>
    <w:uiPriority w:val="60"/>
    <w:semiHidden/>
    <w:unhideWhenUsed/>
    <w:rsid w:val="00B469D3"/>
    <w:pPr>
      <w:spacing w:after="0" w:line="240" w:lineRule="auto"/>
    </w:pPr>
    <w:rPr>
      <w:color w:val="6D8613" w:themeColor="accent2" w:themeShade="BF"/>
    </w:rPr>
    <w:tblPr>
      <w:tblStyleRowBandSize w:val="1"/>
      <w:tblStyleColBandSize w:val="1"/>
      <w:tblBorders>
        <w:top w:val="single" w:sz="8" w:space="0" w:color="93B41A" w:themeColor="accent2"/>
        <w:bottom w:val="single" w:sz="8" w:space="0" w:color="93B41A" w:themeColor="accent2"/>
      </w:tblBorders>
    </w:tblPr>
    <w:tblStylePr w:type="fir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la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left w:val="nil"/>
          <w:right w:val="nil"/>
          <w:insideH w:val="nil"/>
          <w:insideV w:val="nil"/>
        </w:tcBorders>
        <w:shd w:val="clear" w:color="auto" w:fill="E9F5BD" w:themeFill="accent2" w:themeFillTint="3F"/>
      </w:tcPr>
    </w:tblStylePr>
  </w:style>
  <w:style w:type="table" w:styleId="LightShading-Accent3">
    <w:name w:val="Light Shading Accent 3"/>
    <w:basedOn w:val="TableNormal"/>
    <w:uiPriority w:val="60"/>
    <w:semiHidden/>
    <w:unhideWhenUsed/>
    <w:rsid w:val="00B469D3"/>
    <w:pPr>
      <w:spacing w:after="0" w:line="240" w:lineRule="auto"/>
    </w:pPr>
    <w:rPr>
      <w:color w:val="CF4110" w:themeColor="accent3" w:themeShade="BF"/>
    </w:rPr>
    <w:tblPr>
      <w:tblStyleRowBandSize w:val="1"/>
      <w:tblStyleColBandSize w:val="1"/>
      <w:tblBorders>
        <w:top w:val="single" w:sz="8" w:space="0" w:color="F06A3B" w:themeColor="accent3"/>
        <w:bottom w:val="single" w:sz="8" w:space="0" w:color="F06A3B" w:themeColor="accent3"/>
      </w:tblBorders>
    </w:tblPr>
    <w:tblStylePr w:type="fir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la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left w:val="nil"/>
          <w:right w:val="nil"/>
          <w:insideH w:val="nil"/>
          <w:insideV w:val="nil"/>
        </w:tcBorders>
        <w:shd w:val="clear" w:color="auto" w:fill="FBD9CE" w:themeFill="accent3" w:themeFillTint="3F"/>
      </w:tcPr>
    </w:tblStylePr>
  </w:style>
  <w:style w:type="table" w:styleId="LightShading-Accent4">
    <w:name w:val="Light Shading Accent 4"/>
    <w:basedOn w:val="TableNormal"/>
    <w:uiPriority w:val="60"/>
    <w:semiHidden/>
    <w:unhideWhenUsed/>
    <w:rsid w:val="00B469D3"/>
    <w:pPr>
      <w:spacing w:after="0" w:line="240" w:lineRule="auto"/>
    </w:pPr>
    <w:rPr>
      <w:color w:val="6E37AA" w:themeColor="accent4" w:themeShade="BF"/>
    </w:rPr>
    <w:tblPr>
      <w:tblStyleRowBandSize w:val="1"/>
      <w:tblStyleColBandSize w:val="1"/>
      <w:tblBorders>
        <w:top w:val="single" w:sz="8" w:space="0" w:color="9561CC" w:themeColor="accent4"/>
        <w:bottom w:val="single" w:sz="8" w:space="0" w:color="9561CC" w:themeColor="accent4"/>
      </w:tblBorders>
    </w:tblPr>
    <w:tblStylePr w:type="fir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la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left w:val="nil"/>
          <w:right w:val="nil"/>
          <w:insideH w:val="nil"/>
          <w:insideV w:val="nil"/>
        </w:tcBorders>
        <w:shd w:val="clear" w:color="auto" w:fill="E4D7F2" w:themeFill="accent4" w:themeFillTint="3F"/>
      </w:tcPr>
    </w:tblStylePr>
  </w:style>
  <w:style w:type="table" w:styleId="LightShading-Accent5">
    <w:name w:val="Light Shading Accent 5"/>
    <w:basedOn w:val="TableNormal"/>
    <w:uiPriority w:val="60"/>
    <w:semiHidden/>
    <w:unhideWhenUsed/>
    <w:rsid w:val="00B469D3"/>
    <w:pPr>
      <w:spacing w:after="0" w:line="240" w:lineRule="auto"/>
    </w:pPr>
    <w:rPr>
      <w:color w:val="008094" w:themeColor="accent5" w:themeShade="BF"/>
    </w:rPr>
    <w:tblPr>
      <w:tblStyleRowBandSize w:val="1"/>
      <w:tblStyleColBandSize w:val="1"/>
      <w:tblBorders>
        <w:top w:val="single" w:sz="8" w:space="0" w:color="00ADC6" w:themeColor="accent5"/>
        <w:bottom w:val="single" w:sz="8" w:space="0" w:color="00ADC6" w:themeColor="accent5"/>
      </w:tblBorders>
    </w:tblPr>
    <w:tblStylePr w:type="fir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la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left w:val="nil"/>
          <w:right w:val="nil"/>
          <w:insideH w:val="nil"/>
          <w:insideV w:val="nil"/>
        </w:tcBorders>
        <w:shd w:val="clear" w:color="auto" w:fill="B1F4FF" w:themeFill="accent5" w:themeFillTint="3F"/>
      </w:tcPr>
    </w:tblStylePr>
  </w:style>
  <w:style w:type="table" w:styleId="LightShading-Accent6">
    <w:name w:val="Light Shading Accent 6"/>
    <w:basedOn w:val="TableNormal"/>
    <w:uiPriority w:val="60"/>
    <w:semiHidden/>
    <w:unhideWhenUsed/>
    <w:rsid w:val="00B469D3"/>
    <w:pPr>
      <w:spacing w:after="0" w:line="240" w:lineRule="auto"/>
    </w:pPr>
    <w:rPr>
      <w:color w:val="C36B01" w:themeColor="accent6" w:themeShade="BF"/>
    </w:rPr>
    <w:tblPr>
      <w:tblStyleRowBandSize w:val="1"/>
      <w:tblStyleColBandSize w:val="1"/>
      <w:tblBorders>
        <w:top w:val="single" w:sz="8" w:space="0" w:color="FD8F0A" w:themeColor="accent6"/>
        <w:bottom w:val="single" w:sz="8" w:space="0" w:color="FD8F0A" w:themeColor="accent6"/>
      </w:tblBorders>
    </w:tblPr>
    <w:tblStylePr w:type="fir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la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left w:val="nil"/>
          <w:right w:val="nil"/>
          <w:insideH w:val="nil"/>
          <w:insideV w:val="nil"/>
        </w:tcBorders>
        <w:shd w:val="clear" w:color="auto" w:fill="FEE3C2" w:themeFill="accent6" w:themeFillTint="3F"/>
      </w:tcPr>
    </w:tblStylePr>
  </w:style>
  <w:style w:type="character" w:styleId="LineNumber">
    <w:name w:val="line number"/>
    <w:basedOn w:val="DefaultParagraphFont"/>
    <w:uiPriority w:val="99"/>
    <w:semiHidden/>
    <w:unhideWhenUsed/>
    <w:rsid w:val="00B469D3"/>
  </w:style>
  <w:style w:type="paragraph" w:styleId="List">
    <w:name w:val="List"/>
    <w:basedOn w:val="Normal"/>
    <w:uiPriority w:val="99"/>
    <w:semiHidden/>
    <w:unhideWhenUsed/>
    <w:rsid w:val="00B469D3"/>
    <w:pPr>
      <w:ind w:left="283" w:hanging="283"/>
      <w:contextualSpacing/>
    </w:pPr>
  </w:style>
  <w:style w:type="paragraph" w:styleId="List2">
    <w:name w:val="List 2"/>
    <w:basedOn w:val="Normal"/>
    <w:uiPriority w:val="99"/>
    <w:semiHidden/>
    <w:unhideWhenUsed/>
    <w:rsid w:val="00B469D3"/>
    <w:pPr>
      <w:ind w:left="566" w:hanging="283"/>
      <w:contextualSpacing/>
    </w:pPr>
  </w:style>
  <w:style w:type="paragraph" w:styleId="List3">
    <w:name w:val="List 3"/>
    <w:basedOn w:val="Normal"/>
    <w:uiPriority w:val="99"/>
    <w:semiHidden/>
    <w:unhideWhenUsed/>
    <w:rsid w:val="00B469D3"/>
    <w:pPr>
      <w:ind w:left="849" w:hanging="283"/>
      <w:contextualSpacing/>
    </w:pPr>
  </w:style>
  <w:style w:type="paragraph" w:styleId="List4">
    <w:name w:val="List 4"/>
    <w:basedOn w:val="Normal"/>
    <w:uiPriority w:val="99"/>
    <w:semiHidden/>
    <w:unhideWhenUsed/>
    <w:rsid w:val="00B469D3"/>
    <w:pPr>
      <w:ind w:left="1132" w:hanging="283"/>
      <w:contextualSpacing/>
    </w:pPr>
  </w:style>
  <w:style w:type="paragraph" w:styleId="List5">
    <w:name w:val="List 5"/>
    <w:basedOn w:val="Normal"/>
    <w:uiPriority w:val="99"/>
    <w:semiHidden/>
    <w:unhideWhenUsed/>
    <w:rsid w:val="00B469D3"/>
    <w:pPr>
      <w:ind w:left="1415" w:hanging="283"/>
      <w:contextualSpacing/>
    </w:pPr>
  </w:style>
  <w:style w:type="paragraph" w:styleId="ListBullet">
    <w:name w:val="List Bullet"/>
    <w:basedOn w:val="Normal"/>
    <w:uiPriority w:val="3"/>
    <w:semiHidden/>
    <w:unhideWhenUsed/>
    <w:rsid w:val="00B469D3"/>
    <w:pPr>
      <w:numPr>
        <w:numId w:val="22"/>
      </w:numPr>
      <w:contextualSpacing/>
    </w:pPr>
  </w:style>
  <w:style w:type="paragraph" w:styleId="ListBullet2">
    <w:name w:val="List Bullet 2"/>
    <w:basedOn w:val="Normal"/>
    <w:uiPriority w:val="3"/>
    <w:semiHidden/>
    <w:unhideWhenUsed/>
    <w:rsid w:val="00B469D3"/>
    <w:pPr>
      <w:numPr>
        <w:numId w:val="23"/>
      </w:numPr>
      <w:contextualSpacing/>
    </w:pPr>
  </w:style>
  <w:style w:type="paragraph" w:styleId="ListBullet3">
    <w:name w:val="List Bullet 3"/>
    <w:basedOn w:val="Normal"/>
    <w:uiPriority w:val="3"/>
    <w:semiHidden/>
    <w:unhideWhenUsed/>
    <w:rsid w:val="00B469D3"/>
    <w:pPr>
      <w:numPr>
        <w:numId w:val="24"/>
      </w:numPr>
      <w:contextualSpacing/>
    </w:pPr>
  </w:style>
  <w:style w:type="paragraph" w:styleId="ListBullet4">
    <w:name w:val="List Bullet 4"/>
    <w:basedOn w:val="Normal"/>
    <w:uiPriority w:val="3"/>
    <w:semiHidden/>
    <w:unhideWhenUsed/>
    <w:rsid w:val="00B469D3"/>
    <w:pPr>
      <w:numPr>
        <w:numId w:val="25"/>
      </w:numPr>
      <w:contextualSpacing/>
    </w:pPr>
  </w:style>
  <w:style w:type="paragraph" w:styleId="ListBullet5">
    <w:name w:val="List Bullet 5"/>
    <w:basedOn w:val="Normal"/>
    <w:uiPriority w:val="99"/>
    <w:semiHidden/>
    <w:rsid w:val="00B469D3"/>
    <w:pPr>
      <w:numPr>
        <w:numId w:val="26"/>
      </w:numPr>
      <w:contextualSpacing/>
    </w:pPr>
  </w:style>
  <w:style w:type="paragraph" w:styleId="ListContinue">
    <w:name w:val="List Continue"/>
    <w:basedOn w:val="Normal"/>
    <w:uiPriority w:val="4"/>
    <w:semiHidden/>
    <w:unhideWhenUsed/>
    <w:rsid w:val="00B469D3"/>
    <w:pPr>
      <w:spacing w:after="120"/>
      <w:ind w:left="283"/>
      <w:contextualSpacing/>
    </w:pPr>
  </w:style>
  <w:style w:type="paragraph" w:styleId="ListContinue2">
    <w:name w:val="List Continue 2"/>
    <w:basedOn w:val="Normal"/>
    <w:uiPriority w:val="4"/>
    <w:semiHidden/>
    <w:unhideWhenUsed/>
    <w:rsid w:val="00B469D3"/>
    <w:pPr>
      <w:spacing w:after="120"/>
      <w:ind w:left="566"/>
      <w:contextualSpacing/>
    </w:pPr>
  </w:style>
  <w:style w:type="paragraph" w:styleId="ListContinue3">
    <w:name w:val="List Continue 3"/>
    <w:basedOn w:val="Normal"/>
    <w:uiPriority w:val="4"/>
    <w:semiHidden/>
    <w:unhideWhenUsed/>
    <w:rsid w:val="00B469D3"/>
    <w:pPr>
      <w:spacing w:after="120"/>
      <w:ind w:left="849"/>
      <w:contextualSpacing/>
    </w:pPr>
  </w:style>
  <w:style w:type="paragraph" w:styleId="ListContinue4">
    <w:name w:val="List Continue 4"/>
    <w:basedOn w:val="Normal"/>
    <w:uiPriority w:val="4"/>
    <w:semiHidden/>
    <w:unhideWhenUsed/>
    <w:rsid w:val="00B469D3"/>
    <w:pPr>
      <w:spacing w:after="120"/>
      <w:ind w:left="1132"/>
      <w:contextualSpacing/>
    </w:pPr>
  </w:style>
  <w:style w:type="paragraph" w:styleId="ListContinue5">
    <w:name w:val="List Continue 5"/>
    <w:basedOn w:val="Normal"/>
    <w:uiPriority w:val="99"/>
    <w:semiHidden/>
    <w:unhideWhenUsed/>
    <w:rsid w:val="00B469D3"/>
    <w:pPr>
      <w:spacing w:after="120"/>
      <w:ind w:left="1415"/>
      <w:contextualSpacing/>
    </w:pPr>
  </w:style>
  <w:style w:type="paragraph" w:styleId="ListNumber">
    <w:name w:val="List Number"/>
    <w:basedOn w:val="Normal"/>
    <w:uiPriority w:val="5"/>
    <w:semiHidden/>
    <w:unhideWhenUsed/>
    <w:rsid w:val="00B469D3"/>
    <w:pPr>
      <w:numPr>
        <w:numId w:val="27"/>
      </w:numPr>
      <w:contextualSpacing/>
    </w:pPr>
  </w:style>
  <w:style w:type="paragraph" w:styleId="ListNumber2">
    <w:name w:val="List Number 2"/>
    <w:basedOn w:val="Normal"/>
    <w:uiPriority w:val="5"/>
    <w:semiHidden/>
    <w:unhideWhenUsed/>
    <w:rsid w:val="00B469D3"/>
    <w:pPr>
      <w:numPr>
        <w:numId w:val="28"/>
      </w:numPr>
      <w:contextualSpacing/>
    </w:pPr>
  </w:style>
  <w:style w:type="paragraph" w:styleId="ListNumber3">
    <w:name w:val="List Number 3"/>
    <w:basedOn w:val="Normal"/>
    <w:uiPriority w:val="5"/>
    <w:semiHidden/>
    <w:unhideWhenUsed/>
    <w:rsid w:val="00B469D3"/>
    <w:pPr>
      <w:numPr>
        <w:numId w:val="29"/>
      </w:numPr>
      <w:contextualSpacing/>
    </w:pPr>
  </w:style>
  <w:style w:type="paragraph" w:styleId="ListNumber4">
    <w:name w:val="List Number 4"/>
    <w:basedOn w:val="Normal"/>
    <w:uiPriority w:val="97"/>
    <w:semiHidden/>
    <w:unhideWhenUsed/>
    <w:rsid w:val="00B469D3"/>
    <w:pPr>
      <w:numPr>
        <w:numId w:val="18"/>
      </w:numPr>
      <w:contextualSpacing/>
    </w:pPr>
  </w:style>
  <w:style w:type="paragraph" w:styleId="ListNumber5">
    <w:name w:val="List Number 5"/>
    <w:basedOn w:val="Normal"/>
    <w:uiPriority w:val="99"/>
    <w:semiHidden/>
    <w:rsid w:val="00B469D3"/>
    <w:pPr>
      <w:numPr>
        <w:numId w:val="30"/>
      </w:numPr>
      <w:contextualSpacing/>
    </w:pPr>
  </w:style>
  <w:style w:type="paragraph" w:styleId="ListParagraph">
    <w:name w:val="List Paragraph"/>
    <w:basedOn w:val="Normal"/>
    <w:uiPriority w:val="34"/>
    <w:qFormat/>
    <w:rsid w:val="00B469D3"/>
    <w:pPr>
      <w:ind w:left="720"/>
      <w:contextualSpacing/>
    </w:pPr>
  </w:style>
  <w:style w:type="table" w:styleId="ListTable1Light">
    <w:name w:val="List Table 1 Light"/>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74DEAB" w:themeColor="accent1" w:themeTint="99"/>
        </w:tcBorders>
      </w:tcPr>
    </w:tblStylePr>
    <w:tblStylePr w:type="lastRow">
      <w:rPr>
        <w:b/>
        <w:bCs/>
      </w:rPr>
      <w:tblPr/>
      <w:tcPr>
        <w:tcBorders>
          <w:top w:val="sing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1Light-Accent2">
    <w:name w:val="List Table 1 Light Accent 2"/>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CAE85F" w:themeColor="accent2" w:themeTint="99"/>
        </w:tcBorders>
      </w:tcPr>
    </w:tblStylePr>
    <w:tblStylePr w:type="lastRow">
      <w:rPr>
        <w:b/>
        <w:bCs/>
      </w:rPr>
      <w:tblPr/>
      <w:tcPr>
        <w:tcBorders>
          <w:top w:val="sing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1Light-Accent3">
    <w:name w:val="List Table 1 Light Accent 3"/>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F6A589" w:themeColor="accent3" w:themeTint="99"/>
        </w:tcBorders>
      </w:tcPr>
    </w:tblStylePr>
    <w:tblStylePr w:type="lastRow">
      <w:rPr>
        <w:b/>
        <w:bCs/>
      </w:rPr>
      <w:tblPr/>
      <w:tcPr>
        <w:tcBorders>
          <w:top w:val="sing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1Light-Accent4">
    <w:name w:val="List Table 1 Light Accent 4"/>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BFA0E0" w:themeColor="accent4" w:themeTint="99"/>
        </w:tcBorders>
      </w:tcPr>
    </w:tblStylePr>
    <w:tblStylePr w:type="lastRow">
      <w:rPr>
        <w:b/>
        <w:bCs/>
      </w:rPr>
      <w:tblPr/>
      <w:tcPr>
        <w:tcBorders>
          <w:top w:val="sing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1Light-Accent5">
    <w:name w:val="List Table 1 Light Accent 5"/>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43E6FF" w:themeColor="accent5" w:themeTint="99"/>
        </w:tcBorders>
      </w:tcPr>
    </w:tblStylePr>
    <w:tblStylePr w:type="lastRow">
      <w:rPr>
        <w:b/>
        <w:bCs/>
      </w:rPr>
      <w:tblPr/>
      <w:tcPr>
        <w:tcBorders>
          <w:top w:val="sing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1Light-Accent6">
    <w:name w:val="List Table 1 Light Accent 6"/>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FDBB6B" w:themeColor="accent6" w:themeTint="99"/>
        </w:tcBorders>
      </w:tcPr>
    </w:tblStylePr>
    <w:tblStylePr w:type="lastRow">
      <w:rPr>
        <w:b/>
        <w:bCs/>
      </w:rPr>
      <w:tblPr/>
      <w:tcPr>
        <w:tcBorders>
          <w:top w:val="sing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2">
    <w:name w:val="List Table 2"/>
    <w:basedOn w:val="TableNormal"/>
    <w:uiPriority w:val="47"/>
    <w:rsid w:val="00B469D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B469D3"/>
    <w:pPr>
      <w:spacing w:after="0" w:line="240" w:lineRule="auto"/>
    </w:pPr>
    <w:tblPr>
      <w:tblStyleRowBandSize w:val="1"/>
      <w:tblStyleColBandSize w:val="1"/>
      <w:tblBorders>
        <w:top w:val="single" w:sz="4" w:space="0" w:color="74DEAB" w:themeColor="accent1" w:themeTint="99"/>
        <w:bottom w:val="single" w:sz="4" w:space="0" w:color="74DEAB" w:themeColor="accent1" w:themeTint="99"/>
        <w:insideH w:val="single" w:sz="4" w:space="0" w:color="74DEA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2-Accent2">
    <w:name w:val="List Table 2 Accent 2"/>
    <w:basedOn w:val="TableNormal"/>
    <w:uiPriority w:val="47"/>
    <w:rsid w:val="00B469D3"/>
    <w:pPr>
      <w:spacing w:after="0" w:line="240" w:lineRule="auto"/>
    </w:pPr>
    <w:tblPr>
      <w:tblStyleRowBandSize w:val="1"/>
      <w:tblStyleColBandSize w:val="1"/>
      <w:tblBorders>
        <w:top w:val="single" w:sz="4" w:space="0" w:color="CAE85F" w:themeColor="accent2" w:themeTint="99"/>
        <w:bottom w:val="single" w:sz="4" w:space="0" w:color="CAE85F" w:themeColor="accent2" w:themeTint="99"/>
        <w:insideH w:val="single" w:sz="4" w:space="0" w:color="CAE85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2-Accent3">
    <w:name w:val="List Table 2 Accent 3"/>
    <w:basedOn w:val="TableNormal"/>
    <w:uiPriority w:val="47"/>
    <w:rsid w:val="00B469D3"/>
    <w:pPr>
      <w:spacing w:after="0" w:line="240" w:lineRule="auto"/>
    </w:pPr>
    <w:tblPr>
      <w:tblStyleRowBandSize w:val="1"/>
      <w:tblStyleColBandSize w:val="1"/>
      <w:tblBorders>
        <w:top w:val="single" w:sz="4" w:space="0" w:color="F6A589" w:themeColor="accent3" w:themeTint="99"/>
        <w:bottom w:val="single" w:sz="4" w:space="0" w:color="F6A589" w:themeColor="accent3" w:themeTint="99"/>
        <w:insideH w:val="single" w:sz="4" w:space="0" w:color="F6A58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2-Accent4">
    <w:name w:val="List Table 2 Accent 4"/>
    <w:basedOn w:val="TableNormal"/>
    <w:uiPriority w:val="47"/>
    <w:rsid w:val="00B469D3"/>
    <w:pPr>
      <w:spacing w:after="0" w:line="240" w:lineRule="auto"/>
    </w:pPr>
    <w:tblPr>
      <w:tblStyleRowBandSize w:val="1"/>
      <w:tblStyleColBandSize w:val="1"/>
      <w:tblBorders>
        <w:top w:val="single" w:sz="4" w:space="0" w:color="BFA0E0" w:themeColor="accent4" w:themeTint="99"/>
        <w:bottom w:val="single" w:sz="4" w:space="0" w:color="BFA0E0" w:themeColor="accent4" w:themeTint="99"/>
        <w:insideH w:val="single" w:sz="4" w:space="0" w:color="BFA0E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2-Accent5">
    <w:name w:val="List Table 2 Accent 5"/>
    <w:basedOn w:val="TableNormal"/>
    <w:uiPriority w:val="47"/>
    <w:rsid w:val="00B469D3"/>
    <w:pPr>
      <w:spacing w:after="0" w:line="240" w:lineRule="auto"/>
    </w:pPr>
    <w:tblPr>
      <w:tblStyleRowBandSize w:val="1"/>
      <w:tblStyleColBandSize w:val="1"/>
      <w:tblBorders>
        <w:top w:val="single" w:sz="4" w:space="0" w:color="43E6FF" w:themeColor="accent5" w:themeTint="99"/>
        <w:bottom w:val="single" w:sz="4" w:space="0" w:color="43E6FF" w:themeColor="accent5" w:themeTint="99"/>
        <w:insideH w:val="single" w:sz="4" w:space="0" w:color="43E6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2-Accent6">
    <w:name w:val="List Table 2 Accent 6"/>
    <w:basedOn w:val="TableNormal"/>
    <w:uiPriority w:val="47"/>
    <w:rsid w:val="00B469D3"/>
    <w:pPr>
      <w:spacing w:after="0" w:line="240" w:lineRule="auto"/>
    </w:pPr>
    <w:tblPr>
      <w:tblStyleRowBandSize w:val="1"/>
      <w:tblStyleColBandSize w:val="1"/>
      <w:tblBorders>
        <w:top w:val="single" w:sz="4" w:space="0" w:color="FDBB6B" w:themeColor="accent6" w:themeTint="99"/>
        <w:bottom w:val="single" w:sz="4" w:space="0" w:color="FDBB6B" w:themeColor="accent6" w:themeTint="99"/>
        <w:insideH w:val="single" w:sz="4" w:space="0" w:color="FDBB6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3">
    <w:name w:val="List Table 3"/>
    <w:basedOn w:val="TableNormal"/>
    <w:uiPriority w:val="48"/>
    <w:rsid w:val="00B469D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469D3"/>
    <w:pPr>
      <w:spacing w:after="0" w:line="240" w:lineRule="auto"/>
    </w:pPr>
    <w:tblPr>
      <w:tblStyleRowBandSize w:val="1"/>
      <w:tblStyleColBandSize w:val="1"/>
      <w:tblBorders>
        <w:top w:val="single" w:sz="4" w:space="0" w:color="2BB673" w:themeColor="accent1"/>
        <w:left w:val="single" w:sz="4" w:space="0" w:color="2BB673" w:themeColor="accent1"/>
        <w:bottom w:val="single" w:sz="4" w:space="0" w:color="2BB673" w:themeColor="accent1"/>
        <w:right w:val="single" w:sz="4" w:space="0" w:color="2BB673" w:themeColor="accent1"/>
      </w:tblBorders>
    </w:tblPr>
    <w:tblStylePr w:type="firstRow">
      <w:rPr>
        <w:b/>
        <w:bCs/>
        <w:color w:val="FFFFFF" w:themeColor="background1"/>
      </w:rPr>
      <w:tblPr/>
      <w:tcPr>
        <w:shd w:val="clear" w:color="auto" w:fill="2BB673" w:themeFill="accent1"/>
      </w:tcPr>
    </w:tblStylePr>
    <w:tblStylePr w:type="lastRow">
      <w:rPr>
        <w:b/>
        <w:bCs/>
      </w:rPr>
      <w:tblPr/>
      <w:tcPr>
        <w:tcBorders>
          <w:top w:val="double" w:sz="4" w:space="0" w:color="2BB67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B673" w:themeColor="accent1"/>
          <w:right w:val="single" w:sz="4" w:space="0" w:color="2BB673" w:themeColor="accent1"/>
        </w:tcBorders>
      </w:tcPr>
    </w:tblStylePr>
    <w:tblStylePr w:type="band1Horz">
      <w:tblPr/>
      <w:tcPr>
        <w:tcBorders>
          <w:top w:val="single" w:sz="4" w:space="0" w:color="2BB673" w:themeColor="accent1"/>
          <w:bottom w:val="single" w:sz="4" w:space="0" w:color="2BB67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B673" w:themeColor="accent1"/>
          <w:left w:val="nil"/>
        </w:tcBorders>
      </w:tcPr>
    </w:tblStylePr>
    <w:tblStylePr w:type="swCell">
      <w:tblPr/>
      <w:tcPr>
        <w:tcBorders>
          <w:top w:val="double" w:sz="4" w:space="0" w:color="2BB673" w:themeColor="accent1"/>
          <w:right w:val="nil"/>
        </w:tcBorders>
      </w:tcPr>
    </w:tblStylePr>
  </w:style>
  <w:style w:type="table" w:styleId="ListTable3-Accent2">
    <w:name w:val="List Table 3 Accent 2"/>
    <w:basedOn w:val="TableNormal"/>
    <w:uiPriority w:val="48"/>
    <w:rsid w:val="00B469D3"/>
    <w:pPr>
      <w:spacing w:after="0" w:line="240" w:lineRule="auto"/>
    </w:pPr>
    <w:tblPr>
      <w:tblStyleRowBandSize w:val="1"/>
      <w:tblStyleColBandSize w:val="1"/>
      <w:tblBorders>
        <w:top w:val="single" w:sz="4" w:space="0" w:color="93B41A" w:themeColor="accent2"/>
        <w:left w:val="single" w:sz="4" w:space="0" w:color="93B41A" w:themeColor="accent2"/>
        <w:bottom w:val="single" w:sz="4" w:space="0" w:color="93B41A" w:themeColor="accent2"/>
        <w:right w:val="single" w:sz="4" w:space="0" w:color="93B41A" w:themeColor="accent2"/>
      </w:tblBorders>
    </w:tblPr>
    <w:tblStylePr w:type="firstRow">
      <w:rPr>
        <w:b/>
        <w:bCs/>
        <w:color w:val="FFFFFF" w:themeColor="background1"/>
      </w:rPr>
      <w:tblPr/>
      <w:tcPr>
        <w:shd w:val="clear" w:color="auto" w:fill="93B41A" w:themeFill="accent2"/>
      </w:tcPr>
    </w:tblStylePr>
    <w:tblStylePr w:type="lastRow">
      <w:rPr>
        <w:b/>
        <w:bCs/>
      </w:rPr>
      <w:tblPr/>
      <w:tcPr>
        <w:tcBorders>
          <w:top w:val="double" w:sz="4" w:space="0" w:color="93B41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B41A" w:themeColor="accent2"/>
          <w:right w:val="single" w:sz="4" w:space="0" w:color="93B41A" w:themeColor="accent2"/>
        </w:tcBorders>
      </w:tcPr>
    </w:tblStylePr>
    <w:tblStylePr w:type="band1Horz">
      <w:tblPr/>
      <w:tcPr>
        <w:tcBorders>
          <w:top w:val="single" w:sz="4" w:space="0" w:color="93B41A" w:themeColor="accent2"/>
          <w:bottom w:val="single" w:sz="4" w:space="0" w:color="93B41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B41A" w:themeColor="accent2"/>
          <w:left w:val="nil"/>
        </w:tcBorders>
      </w:tcPr>
    </w:tblStylePr>
    <w:tblStylePr w:type="swCell">
      <w:tblPr/>
      <w:tcPr>
        <w:tcBorders>
          <w:top w:val="double" w:sz="4" w:space="0" w:color="93B41A" w:themeColor="accent2"/>
          <w:right w:val="nil"/>
        </w:tcBorders>
      </w:tcPr>
    </w:tblStylePr>
  </w:style>
  <w:style w:type="table" w:styleId="ListTable3-Accent3">
    <w:name w:val="List Table 3 Accent 3"/>
    <w:basedOn w:val="TableNormal"/>
    <w:uiPriority w:val="48"/>
    <w:rsid w:val="00B469D3"/>
    <w:pPr>
      <w:spacing w:after="0" w:line="240" w:lineRule="auto"/>
    </w:pPr>
    <w:tblPr>
      <w:tblStyleRowBandSize w:val="1"/>
      <w:tblStyleColBandSize w:val="1"/>
      <w:tblBorders>
        <w:top w:val="single" w:sz="4" w:space="0" w:color="F06A3B" w:themeColor="accent3"/>
        <w:left w:val="single" w:sz="4" w:space="0" w:color="F06A3B" w:themeColor="accent3"/>
        <w:bottom w:val="single" w:sz="4" w:space="0" w:color="F06A3B" w:themeColor="accent3"/>
        <w:right w:val="single" w:sz="4" w:space="0" w:color="F06A3B" w:themeColor="accent3"/>
      </w:tblBorders>
    </w:tblPr>
    <w:tblStylePr w:type="firstRow">
      <w:rPr>
        <w:b/>
        <w:bCs/>
        <w:color w:val="FFFFFF" w:themeColor="background1"/>
      </w:rPr>
      <w:tblPr/>
      <w:tcPr>
        <w:shd w:val="clear" w:color="auto" w:fill="F06A3B" w:themeFill="accent3"/>
      </w:tcPr>
    </w:tblStylePr>
    <w:tblStylePr w:type="lastRow">
      <w:rPr>
        <w:b/>
        <w:bCs/>
      </w:rPr>
      <w:tblPr/>
      <w:tcPr>
        <w:tcBorders>
          <w:top w:val="double" w:sz="4" w:space="0" w:color="F06A3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6A3B" w:themeColor="accent3"/>
          <w:right w:val="single" w:sz="4" w:space="0" w:color="F06A3B" w:themeColor="accent3"/>
        </w:tcBorders>
      </w:tcPr>
    </w:tblStylePr>
    <w:tblStylePr w:type="band1Horz">
      <w:tblPr/>
      <w:tcPr>
        <w:tcBorders>
          <w:top w:val="single" w:sz="4" w:space="0" w:color="F06A3B" w:themeColor="accent3"/>
          <w:bottom w:val="single" w:sz="4" w:space="0" w:color="F06A3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6A3B" w:themeColor="accent3"/>
          <w:left w:val="nil"/>
        </w:tcBorders>
      </w:tcPr>
    </w:tblStylePr>
    <w:tblStylePr w:type="swCell">
      <w:tblPr/>
      <w:tcPr>
        <w:tcBorders>
          <w:top w:val="double" w:sz="4" w:space="0" w:color="F06A3B" w:themeColor="accent3"/>
          <w:right w:val="nil"/>
        </w:tcBorders>
      </w:tcPr>
    </w:tblStylePr>
  </w:style>
  <w:style w:type="table" w:styleId="ListTable3-Accent4">
    <w:name w:val="List Table 3 Accent 4"/>
    <w:basedOn w:val="TableNormal"/>
    <w:uiPriority w:val="48"/>
    <w:rsid w:val="00B469D3"/>
    <w:pPr>
      <w:spacing w:after="0" w:line="240" w:lineRule="auto"/>
    </w:pPr>
    <w:tblPr>
      <w:tblStyleRowBandSize w:val="1"/>
      <w:tblStyleColBandSize w:val="1"/>
      <w:tblBorders>
        <w:top w:val="single" w:sz="4" w:space="0" w:color="9561CC" w:themeColor="accent4"/>
        <w:left w:val="single" w:sz="4" w:space="0" w:color="9561CC" w:themeColor="accent4"/>
        <w:bottom w:val="single" w:sz="4" w:space="0" w:color="9561CC" w:themeColor="accent4"/>
        <w:right w:val="single" w:sz="4" w:space="0" w:color="9561CC" w:themeColor="accent4"/>
      </w:tblBorders>
    </w:tblPr>
    <w:tblStylePr w:type="firstRow">
      <w:rPr>
        <w:b/>
        <w:bCs/>
        <w:color w:val="FFFFFF" w:themeColor="background1"/>
      </w:rPr>
      <w:tblPr/>
      <w:tcPr>
        <w:shd w:val="clear" w:color="auto" w:fill="9561CC" w:themeFill="accent4"/>
      </w:tcPr>
    </w:tblStylePr>
    <w:tblStylePr w:type="lastRow">
      <w:rPr>
        <w:b/>
        <w:bCs/>
      </w:rPr>
      <w:tblPr/>
      <w:tcPr>
        <w:tcBorders>
          <w:top w:val="double" w:sz="4" w:space="0" w:color="9561C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61CC" w:themeColor="accent4"/>
          <w:right w:val="single" w:sz="4" w:space="0" w:color="9561CC" w:themeColor="accent4"/>
        </w:tcBorders>
      </w:tcPr>
    </w:tblStylePr>
    <w:tblStylePr w:type="band1Horz">
      <w:tblPr/>
      <w:tcPr>
        <w:tcBorders>
          <w:top w:val="single" w:sz="4" w:space="0" w:color="9561CC" w:themeColor="accent4"/>
          <w:bottom w:val="single" w:sz="4" w:space="0" w:color="9561C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61CC" w:themeColor="accent4"/>
          <w:left w:val="nil"/>
        </w:tcBorders>
      </w:tcPr>
    </w:tblStylePr>
    <w:tblStylePr w:type="swCell">
      <w:tblPr/>
      <w:tcPr>
        <w:tcBorders>
          <w:top w:val="double" w:sz="4" w:space="0" w:color="9561CC" w:themeColor="accent4"/>
          <w:right w:val="nil"/>
        </w:tcBorders>
      </w:tcPr>
    </w:tblStylePr>
  </w:style>
  <w:style w:type="table" w:styleId="ListTable3-Accent5">
    <w:name w:val="List Table 3 Accent 5"/>
    <w:basedOn w:val="TableNormal"/>
    <w:uiPriority w:val="48"/>
    <w:rsid w:val="00B469D3"/>
    <w:pPr>
      <w:spacing w:after="0" w:line="240" w:lineRule="auto"/>
    </w:pPr>
    <w:tblPr>
      <w:tblStyleRowBandSize w:val="1"/>
      <w:tblStyleColBandSize w:val="1"/>
      <w:tblBorders>
        <w:top w:val="single" w:sz="4" w:space="0" w:color="00ADC6" w:themeColor="accent5"/>
        <w:left w:val="single" w:sz="4" w:space="0" w:color="00ADC6" w:themeColor="accent5"/>
        <w:bottom w:val="single" w:sz="4" w:space="0" w:color="00ADC6" w:themeColor="accent5"/>
        <w:right w:val="single" w:sz="4" w:space="0" w:color="00ADC6" w:themeColor="accent5"/>
      </w:tblBorders>
    </w:tblPr>
    <w:tblStylePr w:type="firstRow">
      <w:rPr>
        <w:b/>
        <w:bCs/>
        <w:color w:val="FFFFFF" w:themeColor="background1"/>
      </w:rPr>
      <w:tblPr/>
      <w:tcPr>
        <w:shd w:val="clear" w:color="auto" w:fill="00ADC6" w:themeFill="accent5"/>
      </w:tcPr>
    </w:tblStylePr>
    <w:tblStylePr w:type="lastRow">
      <w:rPr>
        <w:b/>
        <w:bCs/>
      </w:rPr>
      <w:tblPr/>
      <w:tcPr>
        <w:tcBorders>
          <w:top w:val="double" w:sz="4" w:space="0" w:color="00AD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C6" w:themeColor="accent5"/>
          <w:right w:val="single" w:sz="4" w:space="0" w:color="00ADC6" w:themeColor="accent5"/>
        </w:tcBorders>
      </w:tcPr>
    </w:tblStylePr>
    <w:tblStylePr w:type="band1Horz">
      <w:tblPr/>
      <w:tcPr>
        <w:tcBorders>
          <w:top w:val="single" w:sz="4" w:space="0" w:color="00ADC6" w:themeColor="accent5"/>
          <w:bottom w:val="single" w:sz="4" w:space="0" w:color="00AD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C6" w:themeColor="accent5"/>
          <w:left w:val="nil"/>
        </w:tcBorders>
      </w:tcPr>
    </w:tblStylePr>
    <w:tblStylePr w:type="swCell">
      <w:tblPr/>
      <w:tcPr>
        <w:tcBorders>
          <w:top w:val="double" w:sz="4" w:space="0" w:color="00ADC6" w:themeColor="accent5"/>
          <w:right w:val="nil"/>
        </w:tcBorders>
      </w:tcPr>
    </w:tblStylePr>
  </w:style>
  <w:style w:type="table" w:styleId="ListTable3-Accent6">
    <w:name w:val="List Table 3 Accent 6"/>
    <w:basedOn w:val="TableNormal"/>
    <w:uiPriority w:val="48"/>
    <w:rsid w:val="00B469D3"/>
    <w:pPr>
      <w:spacing w:after="0" w:line="240" w:lineRule="auto"/>
    </w:pPr>
    <w:tblPr>
      <w:tblStyleRowBandSize w:val="1"/>
      <w:tblStyleColBandSize w:val="1"/>
      <w:tblBorders>
        <w:top w:val="single" w:sz="4" w:space="0" w:color="FD8F0A" w:themeColor="accent6"/>
        <w:left w:val="single" w:sz="4" w:space="0" w:color="FD8F0A" w:themeColor="accent6"/>
        <w:bottom w:val="single" w:sz="4" w:space="0" w:color="FD8F0A" w:themeColor="accent6"/>
        <w:right w:val="single" w:sz="4" w:space="0" w:color="FD8F0A" w:themeColor="accent6"/>
      </w:tblBorders>
    </w:tblPr>
    <w:tblStylePr w:type="firstRow">
      <w:rPr>
        <w:b/>
        <w:bCs/>
        <w:color w:val="FFFFFF" w:themeColor="background1"/>
      </w:rPr>
      <w:tblPr/>
      <w:tcPr>
        <w:shd w:val="clear" w:color="auto" w:fill="FD8F0A" w:themeFill="accent6"/>
      </w:tcPr>
    </w:tblStylePr>
    <w:tblStylePr w:type="lastRow">
      <w:rPr>
        <w:b/>
        <w:bCs/>
      </w:rPr>
      <w:tblPr/>
      <w:tcPr>
        <w:tcBorders>
          <w:top w:val="double" w:sz="4" w:space="0" w:color="FD8F0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8F0A" w:themeColor="accent6"/>
          <w:right w:val="single" w:sz="4" w:space="0" w:color="FD8F0A" w:themeColor="accent6"/>
        </w:tcBorders>
      </w:tcPr>
    </w:tblStylePr>
    <w:tblStylePr w:type="band1Horz">
      <w:tblPr/>
      <w:tcPr>
        <w:tcBorders>
          <w:top w:val="single" w:sz="4" w:space="0" w:color="FD8F0A" w:themeColor="accent6"/>
          <w:bottom w:val="single" w:sz="4" w:space="0" w:color="FD8F0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8F0A" w:themeColor="accent6"/>
          <w:left w:val="nil"/>
        </w:tcBorders>
      </w:tcPr>
    </w:tblStylePr>
    <w:tblStylePr w:type="swCell">
      <w:tblPr/>
      <w:tcPr>
        <w:tcBorders>
          <w:top w:val="double" w:sz="4" w:space="0" w:color="FD8F0A" w:themeColor="accent6"/>
          <w:right w:val="nil"/>
        </w:tcBorders>
      </w:tcPr>
    </w:tblStylePr>
  </w:style>
  <w:style w:type="table" w:styleId="ListTable4">
    <w:name w:val="List Table 4"/>
    <w:basedOn w:val="TableNormal"/>
    <w:uiPriority w:val="49"/>
    <w:rsid w:val="00B469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469D3"/>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tcBorders>
        <w:shd w:val="clear" w:color="auto" w:fill="2BB673" w:themeFill="accent1"/>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4-Accent2">
    <w:name w:val="List Table 4 Accent 2"/>
    <w:basedOn w:val="TableNormal"/>
    <w:uiPriority w:val="49"/>
    <w:rsid w:val="00B469D3"/>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tcBorders>
        <w:shd w:val="clear" w:color="auto" w:fill="93B41A" w:themeFill="accent2"/>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4-Accent3">
    <w:name w:val="List Table 4 Accent 3"/>
    <w:basedOn w:val="TableNormal"/>
    <w:uiPriority w:val="49"/>
    <w:rsid w:val="00B469D3"/>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tcBorders>
        <w:shd w:val="clear" w:color="auto" w:fill="F06A3B" w:themeFill="accent3"/>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4-Accent4">
    <w:name w:val="List Table 4 Accent 4"/>
    <w:basedOn w:val="TableNormal"/>
    <w:uiPriority w:val="49"/>
    <w:rsid w:val="00B469D3"/>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tcBorders>
        <w:shd w:val="clear" w:color="auto" w:fill="9561CC" w:themeFill="accent4"/>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4-Accent5">
    <w:name w:val="List Table 4 Accent 5"/>
    <w:basedOn w:val="TableNormal"/>
    <w:uiPriority w:val="49"/>
    <w:rsid w:val="00B469D3"/>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tcBorders>
        <w:shd w:val="clear" w:color="auto" w:fill="00ADC6" w:themeFill="accent5"/>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4-Accent6">
    <w:name w:val="List Table 4 Accent 6"/>
    <w:basedOn w:val="TableNormal"/>
    <w:uiPriority w:val="49"/>
    <w:rsid w:val="00B469D3"/>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tcBorders>
        <w:shd w:val="clear" w:color="auto" w:fill="FD8F0A" w:themeFill="accent6"/>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5Dark">
    <w:name w:val="List Table 5 Dark"/>
    <w:basedOn w:val="TableNormal"/>
    <w:uiPriority w:val="50"/>
    <w:rsid w:val="00B469D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469D3"/>
    <w:pPr>
      <w:spacing w:after="0" w:line="240" w:lineRule="auto"/>
    </w:pPr>
    <w:rPr>
      <w:color w:val="FFFFFF" w:themeColor="background1"/>
    </w:rPr>
    <w:tblPr>
      <w:tblStyleRowBandSize w:val="1"/>
      <w:tblStyleColBandSize w:val="1"/>
      <w:tblBorders>
        <w:top w:val="single" w:sz="24" w:space="0" w:color="2BB673" w:themeColor="accent1"/>
        <w:left w:val="single" w:sz="24" w:space="0" w:color="2BB673" w:themeColor="accent1"/>
        <w:bottom w:val="single" w:sz="24" w:space="0" w:color="2BB673" w:themeColor="accent1"/>
        <w:right w:val="single" w:sz="24" w:space="0" w:color="2BB673" w:themeColor="accent1"/>
      </w:tblBorders>
    </w:tblPr>
    <w:tcPr>
      <w:shd w:val="clear" w:color="auto" w:fill="2BB67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469D3"/>
    <w:pPr>
      <w:spacing w:after="0" w:line="240" w:lineRule="auto"/>
    </w:pPr>
    <w:rPr>
      <w:color w:val="FFFFFF" w:themeColor="background1"/>
    </w:rPr>
    <w:tblPr>
      <w:tblStyleRowBandSize w:val="1"/>
      <w:tblStyleColBandSize w:val="1"/>
      <w:tblBorders>
        <w:top w:val="single" w:sz="24" w:space="0" w:color="93B41A" w:themeColor="accent2"/>
        <w:left w:val="single" w:sz="24" w:space="0" w:color="93B41A" w:themeColor="accent2"/>
        <w:bottom w:val="single" w:sz="24" w:space="0" w:color="93B41A" w:themeColor="accent2"/>
        <w:right w:val="single" w:sz="24" w:space="0" w:color="93B41A" w:themeColor="accent2"/>
      </w:tblBorders>
    </w:tblPr>
    <w:tcPr>
      <w:shd w:val="clear" w:color="auto" w:fill="93B41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469D3"/>
    <w:pPr>
      <w:spacing w:after="0" w:line="240" w:lineRule="auto"/>
    </w:pPr>
    <w:rPr>
      <w:color w:val="FFFFFF" w:themeColor="background1"/>
    </w:rPr>
    <w:tblPr>
      <w:tblStyleRowBandSize w:val="1"/>
      <w:tblStyleColBandSize w:val="1"/>
      <w:tblBorders>
        <w:top w:val="single" w:sz="24" w:space="0" w:color="F06A3B" w:themeColor="accent3"/>
        <w:left w:val="single" w:sz="24" w:space="0" w:color="F06A3B" w:themeColor="accent3"/>
        <w:bottom w:val="single" w:sz="24" w:space="0" w:color="F06A3B" w:themeColor="accent3"/>
        <w:right w:val="single" w:sz="24" w:space="0" w:color="F06A3B" w:themeColor="accent3"/>
      </w:tblBorders>
    </w:tblPr>
    <w:tcPr>
      <w:shd w:val="clear" w:color="auto" w:fill="F06A3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469D3"/>
    <w:pPr>
      <w:spacing w:after="0" w:line="240" w:lineRule="auto"/>
    </w:pPr>
    <w:rPr>
      <w:color w:val="FFFFFF" w:themeColor="background1"/>
    </w:rPr>
    <w:tblPr>
      <w:tblStyleRowBandSize w:val="1"/>
      <w:tblStyleColBandSize w:val="1"/>
      <w:tblBorders>
        <w:top w:val="single" w:sz="24" w:space="0" w:color="9561CC" w:themeColor="accent4"/>
        <w:left w:val="single" w:sz="24" w:space="0" w:color="9561CC" w:themeColor="accent4"/>
        <w:bottom w:val="single" w:sz="24" w:space="0" w:color="9561CC" w:themeColor="accent4"/>
        <w:right w:val="single" w:sz="24" w:space="0" w:color="9561CC" w:themeColor="accent4"/>
      </w:tblBorders>
    </w:tblPr>
    <w:tcPr>
      <w:shd w:val="clear" w:color="auto" w:fill="9561C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469D3"/>
    <w:pPr>
      <w:spacing w:after="0" w:line="240" w:lineRule="auto"/>
    </w:pPr>
    <w:rPr>
      <w:color w:val="FFFFFF" w:themeColor="background1"/>
    </w:rPr>
    <w:tblPr>
      <w:tblStyleRowBandSize w:val="1"/>
      <w:tblStyleColBandSize w:val="1"/>
      <w:tblBorders>
        <w:top w:val="single" w:sz="24" w:space="0" w:color="00ADC6" w:themeColor="accent5"/>
        <w:left w:val="single" w:sz="24" w:space="0" w:color="00ADC6" w:themeColor="accent5"/>
        <w:bottom w:val="single" w:sz="24" w:space="0" w:color="00ADC6" w:themeColor="accent5"/>
        <w:right w:val="single" w:sz="24" w:space="0" w:color="00ADC6" w:themeColor="accent5"/>
      </w:tblBorders>
    </w:tblPr>
    <w:tcPr>
      <w:shd w:val="clear" w:color="auto" w:fill="00AD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469D3"/>
    <w:pPr>
      <w:spacing w:after="0" w:line="240" w:lineRule="auto"/>
    </w:pPr>
    <w:rPr>
      <w:color w:val="FFFFFF" w:themeColor="background1"/>
    </w:rPr>
    <w:tblPr>
      <w:tblStyleRowBandSize w:val="1"/>
      <w:tblStyleColBandSize w:val="1"/>
      <w:tblBorders>
        <w:top w:val="single" w:sz="24" w:space="0" w:color="FD8F0A" w:themeColor="accent6"/>
        <w:left w:val="single" w:sz="24" w:space="0" w:color="FD8F0A" w:themeColor="accent6"/>
        <w:bottom w:val="single" w:sz="24" w:space="0" w:color="FD8F0A" w:themeColor="accent6"/>
        <w:right w:val="single" w:sz="24" w:space="0" w:color="FD8F0A" w:themeColor="accent6"/>
      </w:tblBorders>
    </w:tblPr>
    <w:tcPr>
      <w:shd w:val="clear" w:color="auto" w:fill="FD8F0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B469D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B469D3"/>
    <w:pPr>
      <w:spacing w:after="0" w:line="240" w:lineRule="auto"/>
    </w:pPr>
    <w:rPr>
      <w:color w:val="208855" w:themeColor="accent1" w:themeShade="BF"/>
    </w:rPr>
    <w:tblPr>
      <w:tblStyleRowBandSize w:val="1"/>
      <w:tblStyleColBandSize w:val="1"/>
      <w:tblBorders>
        <w:top w:val="single" w:sz="4" w:space="0" w:color="2BB673" w:themeColor="accent1"/>
        <w:bottom w:val="single" w:sz="4" w:space="0" w:color="2BB673" w:themeColor="accent1"/>
      </w:tblBorders>
    </w:tblPr>
    <w:tblStylePr w:type="firstRow">
      <w:rPr>
        <w:b/>
        <w:bCs/>
      </w:rPr>
      <w:tblPr/>
      <w:tcPr>
        <w:tcBorders>
          <w:bottom w:val="single" w:sz="4" w:space="0" w:color="2BB673" w:themeColor="accent1"/>
        </w:tcBorders>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6ColourfulAccent2">
    <w:name w:val="List Table 6 Colorful Accent 2"/>
    <w:basedOn w:val="TableNormal"/>
    <w:uiPriority w:val="51"/>
    <w:rsid w:val="00B469D3"/>
    <w:pPr>
      <w:spacing w:after="0" w:line="240" w:lineRule="auto"/>
    </w:pPr>
    <w:rPr>
      <w:color w:val="6D8613" w:themeColor="accent2" w:themeShade="BF"/>
    </w:rPr>
    <w:tblPr>
      <w:tblStyleRowBandSize w:val="1"/>
      <w:tblStyleColBandSize w:val="1"/>
      <w:tblBorders>
        <w:top w:val="single" w:sz="4" w:space="0" w:color="93B41A" w:themeColor="accent2"/>
        <w:bottom w:val="single" w:sz="4" w:space="0" w:color="93B41A" w:themeColor="accent2"/>
      </w:tblBorders>
    </w:tblPr>
    <w:tblStylePr w:type="firstRow">
      <w:rPr>
        <w:b/>
        <w:bCs/>
      </w:rPr>
      <w:tblPr/>
      <w:tcPr>
        <w:tcBorders>
          <w:bottom w:val="single" w:sz="4" w:space="0" w:color="93B41A" w:themeColor="accent2"/>
        </w:tcBorders>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6ColourfulAccent3">
    <w:name w:val="List Table 6 Colorful Accent 3"/>
    <w:basedOn w:val="TableNormal"/>
    <w:uiPriority w:val="51"/>
    <w:rsid w:val="00B469D3"/>
    <w:pPr>
      <w:spacing w:after="0" w:line="240" w:lineRule="auto"/>
    </w:pPr>
    <w:rPr>
      <w:color w:val="CF4110" w:themeColor="accent3" w:themeShade="BF"/>
    </w:rPr>
    <w:tblPr>
      <w:tblStyleRowBandSize w:val="1"/>
      <w:tblStyleColBandSize w:val="1"/>
      <w:tblBorders>
        <w:top w:val="single" w:sz="4" w:space="0" w:color="F06A3B" w:themeColor="accent3"/>
        <w:bottom w:val="single" w:sz="4" w:space="0" w:color="F06A3B" w:themeColor="accent3"/>
      </w:tblBorders>
    </w:tblPr>
    <w:tblStylePr w:type="firstRow">
      <w:rPr>
        <w:b/>
        <w:bCs/>
      </w:rPr>
      <w:tblPr/>
      <w:tcPr>
        <w:tcBorders>
          <w:bottom w:val="single" w:sz="4" w:space="0" w:color="F06A3B" w:themeColor="accent3"/>
        </w:tcBorders>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6ColourfulAccent4">
    <w:name w:val="List Table 6 Colorful Accent 4"/>
    <w:basedOn w:val="TableNormal"/>
    <w:uiPriority w:val="51"/>
    <w:rsid w:val="00B469D3"/>
    <w:pPr>
      <w:spacing w:after="0" w:line="240" w:lineRule="auto"/>
    </w:pPr>
    <w:rPr>
      <w:color w:val="6E37AA" w:themeColor="accent4" w:themeShade="BF"/>
    </w:rPr>
    <w:tblPr>
      <w:tblStyleRowBandSize w:val="1"/>
      <w:tblStyleColBandSize w:val="1"/>
      <w:tblBorders>
        <w:top w:val="single" w:sz="4" w:space="0" w:color="9561CC" w:themeColor="accent4"/>
        <w:bottom w:val="single" w:sz="4" w:space="0" w:color="9561CC" w:themeColor="accent4"/>
      </w:tblBorders>
    </w:tblPr>
    <w:tblStylePr w:type="firstRow">
      <w:rPr>
        <w:b/>
        <w:bCs/>
      </w:rPr>
      <w:tblPr/>
      <w:tcPr>
        <w:tcBorders>
          <w:bottom w:val="single" w:sz="4" w:space="0" w:color="9561CC" w:themeColor="accent4"/>
        </w:tcBorders>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6ColourfulAccent5">
    <w:name w:val="List Table 6 Colorful Accent 5"/>
    <w:basedOn w:val="TableNormal"/>
    <w:uiPriority w:val="51"/>
    <w:rsid w:val="00B469D3"/>
    <w:pPr>
      <w:spacing w:after="0" w:line="240" w:lineRule="auto"/>
    </w:pPr>
    <w:rPr>
      <w:color w:val="008094" w:themeColor="accent5" w:themeShade="BF"/>
    </w:rPr>
    <w:tblPr>
      <w:tblStyleRowBandSize w:val="1"/>
      <w:tblStyleColBandSize w:val="1"/>
      <w:tblBorders>
        <w:top w:val="single" w:sz="4" w:space="0" w:color="00ADC6" w:themeColor="accent5"/>
        <w:bottom w:val="single" w:sz="4" w:space="0" w:color="00ADC6" w:themeColor="accent5"/>
      </w:tblBorders>
    </w:tblPr>
    <w:tblStylePr w:type="firstRow">
      <w:rPr>
        <w:b/>
        <w:bCs/>
      </w:rPr>
      <w:tblPr/>
      <w:tcPr>
        <w:tcBorders>
          <w:bottom w:val="single" w:sz="4" w:space="0" w:color="00ADC6" w:themeColor="accent5"/>
        </w:tcBorders>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6ColourfulAccent6">
    <w:name w:val="List Table 6 Colorful Accent 6"/>
    <w:basedOn w:val="TableNormal"/>
    <w:uiPriority w:val="51"/>
    <w:rsid w:val="00B469D3"/>
    <w:pPr>
      <w:spacing w:after="0" w:line="240" w:lineRule="auto"/>
    </w:pPr>
    <w:rPr>
      <w:color w:val="C36B01" w:themeColor="accent6" w:themeShade="BF"/>
    </w:rPr>
    <w:tblPr>
      <w:tblStyleRowBandSize w:val="1"/>
      <w:tblStyleColBandSize w:val="1"/>
      <w:tblBorders>
        <w:top w:val="single" w:sz="4" w:space="0" w:color="FD8F0A" w:themeColor="accent6"/>
        <w:bottom w:val="single" w:sz="4" w:space="0" w:color="FD8F0A" w:themeColor="accent6"/>
      </w:tblBorders>
    </w:tblPr>
    <w:tblStylePr w:type="firstRow">
      <w:rPr>
        <w:b/>
        <w:bCs/>
      </w:rPr>
      <w:tblPr/>
      <w:tcPr>
        <w:tcBorders>
          <w:bottom w:val="single" w:sz="4" w:space="0" w:color="FD8F0A" w:themeColor="accent6"/>
        </w:tcBorders>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7Colourful">
    <w:name w:val="List Table 7 Colorful"/>
    <w:basedOn w:val="TableNormal"/>
    <w:uiPriority w:val="52"/>
    <w:rsid w:val="00B469D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B469D3"/>
    <w:pPr>
      <w:spacing w:after="0" w:line="240" w:lineRule="auto"/>
    </w:pPr>
    <w:rPr>
      <w:color w:val="20885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B67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B67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B67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B673" w:themeColor="accent1"/>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B469D3"/>
    <w:pPr>
      <w:spacing w:after="0" w:line="240" w:lineRule="auto"/>
    </w:pPr>
    <w:rPr>
      <w:color w:val="6D86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B41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B41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B41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B41A" w:themeColor="accent2"/>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B469D3"/>
    <w:pPr>
      <w:spacing w:after="0" w:line="240" w:lineRule="auto"/>
    </w:pPr>
    <w:rPr>
      <w:color w:val="CF411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6A3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6A3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6A3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6A3B" w:themeColor="accent3"/>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B469D3"/>
    <w:pPr>
      <w:spacing w:after="0" w:line="240" w:lineRule="auto"/>
    </w:pPr>
    <w:rPr>
      <w:color w:val="6E37A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61C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61C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61C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61CC" w:themeColor="accent4"/>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B469D3"/>
    <w:pPr>
      <w:spacing w:after="0" w:line="240" w:lineRule="auto"/>
    </w:pPr>
    <w:rPr>
      <w:color w:val="00809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C6" w:themeColor="accent5"/>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B469D3"/>
    <w:pPr>
      <w:spacing w:after="0" w:line="240" w:lineRule="auto"/>
    </w:pPr>
    <w:rPr>
      <w:color w:val="C36B0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8F0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8F0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8F0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8F0A" w:themeColor="accent6"/>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469D3"/>
    <w:pPr>
      <w:tabs>
        <w:tab w:val="left" w:pos="480"/>
        <w:tab w:val="left" w:pos="960"/>
        <w:tab w:val="left" w:pos="1440"/>
        <w:tab w:val="left" w:pos="1920"/>
        <w:tab w:val="left" w:pos="2400"/>
        <w:tab w:val="left" w:pos="2880"/>
        <w:tab w:val="left" w:pos="3360"/>
        <w:tab w:val="left" w:pos="3840"/>
        <w:tab w:val="left" w:pos="4320"/>
      </w:tabs>
      <w:spacing w:after="0" w:line="300" w:lineRule="atLeast"/>
    </w:pPr>
    <w:rPr>
      <w:rFonts w:ascii="Consolas" w:hAnsi="Consolas"/>
      <w:color w:val="1E1E1E"/>
      <w:sz w:val="20"/>
      <w:szCs w:val="20"/>
    </w:rPr>
  </w:style>
  <w:style w:type="character" w:customStyle="1" w:styleId="MacroTextChar">
    <w:name w:val="Macro Text Char"/>
    <w:basedOn w:val="DefaultParagraphFont"/>
    <w:link w:val="MacroText"/>
    <w:uiPriority w:val="99"/>
    <w:semiHidden/>
    <w:rsid w:val="00B469D3"/>
    <w:rPr>
      <w:rFonts w:ascii="Consolas" w:hAnsi="Consolas"/>
      <w:color w:val="1E1E1E"/>
      <w:sz w:val="20"/>
      <w:szCs w:val="20"/>
    </w:rPr>
  </w:style>
  <w:style w:type="table" w:styleId="MediumGrid1">
    <w:name w:val="Medium Grid 1"/>
    <w:basedOn w:val="TableNormal"/>
    <w:uiPriority w:val="67"/>
    <w:semiHidden/>
    <w:unhideWhenUsed/>
    <w:rsid w:val="00B469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469D3"/>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insideV w:val="single" w:sz="8" w:space="0" w:color="52D696" w:themeColor="accent1" w:themeTint="BF"/>
      </w:tblBorders>
    </w:tblPr>
    <w:tcPr>
      <w:shd w:val="clear" w:color="auto" w:fill="C5F1DC" w:themeFill="accent1" w:themeFillTint="3F"/>
    </w:tcPr>
    <w:tblStylePr w:type="firstRow">
      <w:rPr>
        <w:b/>
        <w:bCs/>
      </w:rPr>
    </w:tblStylePr>
    <w:tblStylePr w:type="lastRow">
      <w:rPr>
        <w:b/>
        <w:bCs/>
      </w:rPr>
      <w:tblPr/>
      <w:tcPr>
        <w:tcBorders>
          <w:top w:val="single" w:sz="18" w:space="0" w:color="52D696" w:themeColor="accent1" w:themeTint="BF"/>
        </w:tcBorders>
      </w:tcPr>
    </w:tblStylePr>
    <w:tblStylePr w:type="firstCol">
      <w:rPr>
        <w:b/>
        <w:bCs/>
      </w:rPr>
    </w:tblStylePr>
    <w:tblStylePr w:type="lastCol">
      <w:rPr>
        <w:b/>
        <w:bCs/>
      </w:r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MediumGrid1-Accent2">
    <w:name w:val="Medium Grid 1 Accent 2"/>
    <w:basedOn w:val="TableNormal"/>
    <w:uiPriority w:val="67"/>
    <w:semiHidden/>
    <w:unhideWhenUsed/>
    <w:rsid w:val="00B469D3"/>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insideV w:val="single" w:sz="8" w:space="0" w:color="BDE237" w:themeColor="accent2" w:themeTint="BF"/>
      </w:tblBorders>
    </w:tblPr>
    <w:tcPr>
      <w:shd w:val="clear" w:color="auto" w:fill="E9F5BD" w:themeFill="accent2" w:themeFillTint="3F"/>
    </w:tcPr>
    <w:tblStylePr w:type="firstRow">
      <w:rPr>
        <w:b/>
        <w:bCs/>
      </w:rPr>
    </w:tblStylePr>
    <w:tblStylePr w:type="lastRow">
      <w:rPr>
        <w:b/>
        <w:bCs/>
      </w:rPr>
      <w:tblPr/>
      <w:tcPr>
        <w:tcBorders>
          <w:top w:val="single" w:sz="18" w:space="0" w:color="BDE237" w:themeColor="accent2" w:themeTint="BF"/>
        </w:tcBorders>
      </w:tcPr>
    </w:tblStylePr>
    <w:tblStylePr w:type="firstCol">
      <w:rPr>
        <w:b/>
        <w:bCs/>
      </w:rPr>
    </w:tblStylePr>
    <w:tblStylePr w:type="lastCol">
      <w:rPr>
        <w:b/>
        <w:bCs/>
      </w:r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MediumGrid1-Accent3">
    <w:name w:val="Medium Grid 1 Accent 3"/>
    <w:basedOn w:val="TableNormal"/>
    <w:uiPriority w:val="67"/>
    <w:semiHidden/>
    <w:unhideWhenUsed/>
    <w:rsid w:val="00B469D3"/>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insideV w:val="single" w:sz="8" w:space="0" w:color="F38F6B" w:themeColor="accent3" w:themeTint="BF"/>
      </w:tblBorders>
    </w:tblPr>
    <w:tcPr>
      <w:shd w:val="clear" w:color="auto" w:fill="FBD9CE" w:themeFill="accent3" w:themeFillTint="3F"/>
    </w:tcPr>
    <w:tblStylePr w:type="firstRow">
      <w:rPr>
        <w:b/>
        <w:bCs/>
      </w:rPr>
    </w:tblStylePr>
    <w:tblStylePr w:type="lastRow">
      <w:rPr>
        <w:b/>
        <w:bCs/>
      </w:rPr>
      <w:tblPr/>
      <w:tcPr>
        <w:tcBorders>
          <w:top w:val="single" w:sz="18" w:space="0" w:color="F38F6B" w:themeColor="accent3" w:themeTint="BF"/>
        </w:tcBorders>
      </w:tcPr>
    </w:tblStylePr>
    <w:tblStylePr w:type="firstCol">
      <w:rPr>
        <w:b/>
        <w:bCs/>
      </w:rPr>
    </w:tblStylePr>
    <w:tblStylePr w:type="lastCol">
      <w:rPr>
        <w:b/>
        <w:bCs/>
      </w:r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MediumGrid1-Accent4">
    <w:name w:val="Medium Grid 1 Accent 4"/>
    <w:basedOn w:val="TableNormal"/>
    <w:uiPriority w:val="67"/>
    <w:semiHidden/>
    <w:unhideWhenUsed/>
    <w:rsid w:val="00B469D3"/>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insideV w:val="single" w:sz="8" w:space="0" w:color="AF88D8" w:themeColor="accent4" w:themeTint="BF"/>
      </w:tblBorders>
    </w:tblPr>
    <w:tcPr>
      <w:shd w:val="clear" w:color="auto" w:fill="E4D7F2" w:themeFill="accent4" w:themeFillTint="3F"/>
    </w:tcPr>
    <w:tblStylePr w:type="firstRow">
      <w:rPr>
        <w:b/>
        <w:bCs/>
      </w:rPr>
    </w:tblStylePr>
    <w:tblStylePr w:type="lastRow">
      <w:rPr>
        <w:b/>
        <w:bCs/>
      </w:rPr>
      <w:tblPr/>
      <w:tcPr>
        <w:tcBorders>
          <w:top w:val="single" w:sz="18" w:space="0" w:color="AF88D8" w:themeColor="accent4" w:themeTint="BF"/>
        </w:tcBorders>
      </w:tcPr>
    </w:tblStylePr>
    <w:tblStylePr w:type="firstCol">
      <w:rPr>
        <w:b/>
        <w:bCs/>
      </w:rPr>
    </w:tblStylePr>
    <w:tblStylePr w:type="lastCol">
      <w:rPr>
        <w:b/>
        <w:bCs/>
      </w:r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MediumGrid1-Accent5">
    <w:name w:val="Medium Grid 1 Accent 5"/>
    <w:basedOn w:val="TableNormal"/>
    <w:uiPriority w:val="67"/>
    <w:semiHidden/>
    <w:unhideWhenUsed/>
    <w:rsid w:val="00B469D3"/>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insideV w:val="single" w:sz="8" w:space="0" w:color="15E0FF" w:themeColor="accent5" w:themeTint="BF"/>
      </w:tblBorders>
    </w:tblPr>
    <w:tcPr>
      <w:shd w:val="clear" w:color="auto" w:fill="B1F4FF" w:themeFill="accent5" w:themeFillTint="3F"/>
    </w:tcPr>
    <w:tblStylePr w:type="firstRow">
      <w:rPr>
        <w:b/>
        <w:bCs/>
      </w:rPr>
    </w:tblStylePr>
    <w:tblStylePr w:type="lastRow">
      <w:rPr>
        <w:b/>
        <w:bCs/>
      </w:rPr>
      <w:tblPr/>
      <w:tcPr>
        <w:tcBorders>
          <w:top w:val="single" w:sz="18" w:space="0" w:color="15E0FF" w:themeColor="accent5" w:themeTint="BF"/>
        </w:tcBorders>
      </w:tcPr>
    </w:tblStylePr>
    <w:tblStylePr w:type="firstCol">
      <w:rPr>
        <w:b/>
        <w:bCs/>
      </w:rPr>
    </w:tblStylePr>
    <w:tblStylePr w:type="lastCol">
      <w:rPr>
        <w:b/>
        <w:bCs/>
      </w:r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MediumGrid1-Accent6">
    <w:name w:val="Medium Grid 1 Accent 6"/>
    <w:basedOn w:val="TableNormal"/>
    <w:uiPriority w:val="67"/>
    <w:semiHidden/>
    <w:unhideWhenUsed/>
    <w:rsid w:val="00B469D3"/>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insideV w:val="single" w:sz="8" w:space="0" w:color="FDAA47" w:themeColor="accent6" w:themeTint="BF"/>
      </w:tblBorders>
    </w:tblPr>
    <w:tcPr>
      <w:shd w:val="clear" w:color="auto" w:fill="FEE3C2" w:themeFill="accent6" w:themeFillTint="3F"/>
    </w:tcPr>
    <w:tblStylePr w:type="firstRow">
      <w:rPr>
        <w:b/>
        <w:bCs/>
      </w:rPr>
    </w:tblStylePr>
    <w:tblStylePr w:type="lastRow">
      <w:rPr>
        <w:b/>
        <w:bCs/>
      </w:rPr>
      <w:tblPr/>
      <w:tcPr>
        <w:tcBorders>
          <w:top w:val="single" w:sz="18" w:space="0" w:color="FDAA47" w:themeColor="accent6" w:themeTint="BF"/>
        </w:tcBorders>
      </w:tcPr>
    </w:tblStylePr>
    <w:tblStylePr w:type="firstCol">
      <w:rPr>
        <w:b/>
        <w:bCs/>
      </w:rPr>
    </w:tblStylePr>
    <w:tblStylePr w:type="lastCol">
      <w:rPr>
        <w:b/>
        <w:bCs/>
      </w:r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MediumGrid2">
    <w:name w:val="Medium Grid 2"/>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cPr>
      <w:shd w:val="clear" w:color="auto" w:fill="C5F1DC" w:themeFill="accent1" w:themeFillTint="3F"/>
    </w:tcPr>
    <w:tblStylePr w:type="firstRow">
      <w:rPr>
        <w:b/>
        <w:bCs/>
        <w:color w:val="000000" w:themeColor="text1"/>
      </w:rPr>
      <w:tblPr/>
      <w:tcPr>
        <w:shd w:val="clear" w:color="auto" w:fill="E8F9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F4E3" w:themeFill="accent1" w:themeFillTint="33"/>
      </w:tcPr>
    </w:tblStylePr>
    <w:tblStylePr w:type="band1Vert">
      <w:tblPr/>
      <w:tcPr>
        <w:shd w:val="clear" w:color="auto" w:fill="8CE4B9" w:themeFill="accent1" w:themeFillTint="7F"/>
      </w:tcPr>
    </w:tblStylePr>
    <w:tblStylePr w:type="band1Horz">
      <w:tblPr/>
      <w:tcPr>
        <w:tcBorders>
          <w:insideH w:val="single" w:sz="6" w:space="0" w:color="2BB673" w:themeColor="accent1"/>
          <w:insideV w:val="single" w:sz="6" w:space="0" w:color="2BB673" w:themeColor="accent1"/>
        </w:tcBorders>
        <w:shd w:val="clear" w:color="auto" w:fill="8CE4B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cPr>
      <w:shd w:val="clear" w:color="auto" w:fill="E9F5BD" w:themeFill="accent2" w:themeFillTint="3F"/>
    </w:tcPr>
    <w:tblStylePr w:type="firstRow">
      <w:rPr>
        <w:b/>
        <w:bCs/>
        <w:color w:val="000000" w:themeColor="text1"/>
      </w:rPr>
      <w:tblPr/>
      <w:tcPr>
        <w:shd w:val="clear" w:color="auto" w:fill="F6FB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7C9" w:themeFill="accent2" w:themeFillTint="33"/>
      </w:tcPr>
    </w:tblStylePr>
    <w:tblStylePr w:type="band1Vert">
      <w:tblPr/>
      <w:tcPr>
        <w:shd w:val="clear" w:color="auto" w:fill="D3EB7A" w:themeFill="accent2" w:themeFillTint="7F"/>
      </w:tcPr>
    </w:tblStylePr>
    <w:tblStylePr w:type="band1Horz">
      <w:tblPr/>
      <w:tcPr>
        <w:tcBorders>
          <w:insideH w:val="single" w:sz="6" w:space="0" w:color="93B41A" w:themeColor="accent2"/>
          <w:insideV w:val="single" w:sz="6" w:space="0" w:color="93B41A" w:themeColor="accent2"/>
        </w:tcBorders>
        <w:shd w:val="clear" w:color="auto" w:fill="D3EB7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cPr>
      <w:shd w:val="clear" w:color="auto" w:fill="FBD9CE" w:themeFill="accent3" w:themeFillTint="3F"/>
    </w:tcPr>
    <w:tblStylePr w:type="firstRow">
      <w:rPr>
        <w:b/>
        <w:bCs/>
        <w:color w:val="000000" w:themeColor="text1"/>
      </w:rPr>
      <w:tblPr/>
      <w:tcPr>
        <w:shd w:val="clear" w:color="auto" w:fill="FDF0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1D7" w:themeFill="accent3" w:themeFillTint="33"/>
      </w:tcPr>
    </w:tblStylePr>
    <w:tblStylePr w:type="band1Vert">
      <w:tblPr/>
      <w:tcPr>
        <w:shd w:val="clear" w:color="auto" w:fill="F7B49D" w:themeFill="accent3" w:themeFillTint="7F"/>
      </w:tcPr>
    </w:tblStylePr>
    <w:tblStylePr w:type="band1Horz">
      <w:tblPr/>
      <w:tcPr>
        <w:tcBorders>
          <w:insideH w:val="single" w:sz="6" w:space="0" w:color="F06A3B" w:themeColor="accent3"/>
          <w:insideV w:val="single" w:sz="6" w:space="0" w:color="F06A3B" w:themeColor="accent3"/>
        </w:tcBorders>
        <w:shd w:val="clear" w:color="auto" w:fill="F7B49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cPr>
      <w:shd w:val="clear" w:color="auto" w:fill="E4D7F2" w:themeFill="accent4" w:themeFillTint="3F"/>
    </w:tcPr>
    <w:tblStylePr w:type="firstRow">
      <w:rPr>
        <w:b/>
        <w:bCs/>
        <w:color w:val="000000" w:themeColor="text1"/>
      </w:rPr>
      <w:tblPr/>
      <w:tcPr>
        <w:shd w:val="clear" w:color="auto" w:fill="F4EF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DFF4" w:themeFill="accent4" w:themeFillTint="33"/>
      </w:tcPr>
    </w:tblStylePr>
    <w:tblStylePr w:type="band1Vert">
      <w:tblPr/>
      <w:tcPr>
        <w:shd w:val="clear" w:color="auto" w:fill="C9B0E5" w:themeFill="accent4" w:themeFillTint="7F"/>
      </w:tcPr>
    </w:tblStylePr>
    <w:tblStylePr w:type="band1Horz">
      <w:tblPr/>
      <w:tcPr>
        <w:tcBorders>
          <w:insideH w:val="single" w:sz="6" w:space="0" w:color="9561CC" w:themeColor="accent4"/>
          <w:insideV w:val="single" w:sz="6" w:space="0" w:color="9561CC" w:themeColor="accent4"/>
        </w:tcBorders>
        <w:shd w:val="clear" w:color="auto" w:fill="C9B0E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cPr>
      <w:shd w:val="clear" w:color="auto" w:fill="B1F4FF" w:themeFill="accent5" w:themeFillTint="3F"/>
    </w:tcPr>
    <w:tblStylePr w:type="firstRow">
      <w:rPr>
        <w:b/>
        <w:bCs/>
        <w:color w:val="000000" w:themeColor="text1"/>
      </w:rPr>
      <w:tblPr/>
      <w:tcPr>
        <w:shd w:val="clear" w:color="auto" w:fill="E0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F6FF" w:themeFill="accent5" w:themeFillTint="33"/>
      </w:tcPr>
    </w:tblStylePr>
    <w:tblStylePr w:type="band1Vert">
      <w:tblPr/>
      <w:tcPr>
        <w:shd w:val="clear" w:color="auto" w:fill="63EAFF" w:themeFill="accent5" w:themeFillTint="7F"/>
      </w:tcPr>
    </w:tblStylePr>
    <w:tblStylePr w:type="band1Horz">
      <w:tblPr/>
      <w:tcPr>
        <w:tcBorders>
          <w:insideH w:val="single" w:sz="6" w:space="0" w:color="00ADC6" w:themeColor="accent5"/>
          <w:insideV w:val="single" w:sz="6" w:space="0" w:color="00ADC6" w:themeColor="accent5"/>
        </w:tcBorders>
        <w:shd w:val="clear" w:color="auto" w:fill="63EA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cPr>
      <w:shd w:val="clear" w:color="auto" w:fill="FEE3C2" w:themeFill="accent6" w:themeFillTint="3F"/>
    </w:tcPr>
    <w:tblStylePr w:type="firstRow">
      <w:rPr>
        <w:b/>
        <w:bCs/>
        <w:color w:val="000000" w:themeColor="text1"/>
      </w:rPr>
      <w:tblPr/>
      <w:tcPr>
        <w:shd w:val="clear" w:color="auto" w:fill="FEF3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8CD" w:themeFill="accent6" w:themeFillTint="33"/>
      </w:tcPr>
    </w:tblStylePr>
    <w:tblStylePr w:type="band1Vert">
      <w:tblPr/>
      <w:tcPr>
        <w:shd w:val="clear" w:color="auto" w:fill="FEC684" w:themeFill="accent6" w:themeFillTint="7F"/>
      </w:tcPr>
    </w:tblStylePr>
    <w:tblStylePr w:type="band1Horz">
      <w:tblPr/>
      <w:tcPr>
        <w:tcBorders>
          <w:insideH w:val="single" w:sz="6" w:space="0" w:color="FD8F0A" w:themeColor="accent6"/>
          <w:insideV w:val="single" w:sz="6" w:space="0" w:color="FD8F0A" w:themeColor="accent6"/>
        </w:tcBorders>
        <w:shd w:val="clear" w:color="auto" w:fill="FEC68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F1D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B67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B67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E4B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E4B9" w:themeFill="accent1" w:themeFillTint="7F"/>
      </w:tcPr>
    </w:tblStylePr>
  </w:style>
  <w:style w:type="table" w:styleId="MediumGrid3-Accent2">
    <w:name w:val="Medium Grid 3 Accent 2"/>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5B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B41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B41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B7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B7A" w:themeFill="accent2" w:themeFillTint="7F"/>
      </w:tcPr>
    </w:tblStylePr>
  </w:style>
  <w:style w:type="table" w:styleId="MediumGrid3-Accent3">
    <w:name w:val="Medium Grid 3 Accent 3"/>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9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6A3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6A3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49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49D" w:themeFill="accent3" w:themeFillTint="7F"/>
      </w:tcPr>
    </w:tblStylePr>
  </w:style>
  <w:style w:type="table" w:styleId="MediumGrid3-Accent4">
    <w:name w:val="Medium Grid 3 Accent 4"/>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D7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561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561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B0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B0E5" w:themeFill="accent4" w:themeFillTint="7F"/>
      </w:tcPr>
    </w:tblStylePr>
  </w:style>
  <w:style w:type="table" w:styleId="MediumGrid3-Accent5">
    <w:name w:val="Medium Grid 3 Accent 5"/>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F4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EA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EAFF" w:themeFill="accent5" w:themeFillTint="7F"/>
      </w:tcPr>
    </w:tblStylePr>
  </w:style>
  <w:style w:type="table" w:styleId="MediumGrid3-Accent6">
    <w:name w:val="Medium Grid 3 Accent 6"/>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3C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8F0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8F0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C68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C684" w:themeFill="accent6" w:themeFillTint="7F"/>
      </w:tcPr>
    </w:tblStylePr>
  </w:style>
  <w:style w:type="table" w:styleId="MediumList1">
    <w:name w:val="Medium List 1"/>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626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2BB673" w:themeColor="accent1"/>
        <w:bottom w:val="single" w:sz="8" w:space="0" w:color="2BB673" w:themeColor="accent1"/>
      </w:tblBorders>
    </w:tblPr>
    <w:tblStylePr w:type="firstRow">
      <w:rPr>
        <w:rFonts w:asciiTheme="majorHAnsi" w:eastAsiaTheme="majorEastAsia" w:hAnsiTheme="majorHAnsi" w:cstheme="majorBidi"/>
      </w:rPr>
      <w:tblPr/>
      <w:tcPr>
        <w:tcBorders>
          <w:top w:val="nil"/>
          <w:bottom w:val="single" w:sz="8" w:space="0" w:color="2BB673" w:themeColor="accent1"/>
        </w:tcBorders>
      </w:tcPr>
    </w:tblStylePr>
    <w:tblStylePr w:type="lastRow">
      <w:rPr>
        <w:b/>
        <w:bCs/>
        <w:color w:val="262626" w:themeColor="text2"/>
      </w:rPr>
      <w:tblPr/>
      <w:tcPr>
        <w:tcBorders>
          <w:top w:val="single" w:sz="8" w:space="0" w:color="2BB673" w:themeColor="accent1"/>
          <w:bottom w:val="single" w:sz="8" w:space="0" w:color="2BB673" w:themeColor="accent1"/>
        </w:tcBorders>
      </w:tcPr>
    </w:tblStylePr>
    <w:tblStylePr w:type="firstCol">
      <w:rPr>
        <w:b/>
        <w:bCs/>
      </w:rPr>
    </w:tblStylePr>
    <w:tblStylePr w:type="lastCol">
      <w:rPr>
        <w:b/>
        <w:bCs/>
      </w:rPr>
      <w:tblPr/>
      <w:tcPr>
        <w:tcBorders>
          <w:top w:val="single" w:sz="8" w:space="0" w:color="2BB673" w:themeColor="accent1"/>
          <w:bottom w:val="single" w:sz="8" w:space="0" w:color="2BB673" w:themeColor="accent1"/>
        </w:tcBorders>
      </w:tcPr>
    </w:tblStylePr>
    <w:tblStylePr w:type="band1Vert">
      <w:tblPr/>
      <w:tcPr>
        <w:shd w:val="clear" w:color="auto" w:fill="C5F1DC" w:themeFill="accent1" w:themeFillTint="3F"/>
      </w:tcPr>
    </w:tblStylePr>
    <w:tblStylePr w:type="band1Horz">
      <w:tblPr/>
      <w:tcPr>
        <w:shd w:val="clear" w:color="auto" w:fill="C5F1DC" w:themeFill="accent1" w:themeFillTint="3F"/>
      </w:tcPr>
    </w:tblStylePr>
  </w:style>
  <w:style w:type="table" w:styleId="MediumList1-Accent2">
    <w:name w:val="Medium List 1 Accent 2"/>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93B41A" w:themeColor="accent2"/>
        <w:bottom w:val="single" w:sz="8" w:space="0" w:color="93B41A" w:themeColor="accent2"/>
      </w:tblBorders>
    </w:tblPr>
    <w:tblStylePr w:type="firstRow">
      <w:rPr>
        <w:rFonts w:asciiTheme="majorHAnsi" w:eastAsiaTheme="majorEastAsia" w:hAnsiTheme="majorHAnsi" w:cstheme="majorBidi"/>
      </w:rPr>
      <w:tblPr/>
      <w:tcPr>
        <w:tcBorders>
          <w:top w:val="nil"/>
          <w:bottom w:val="single" w:sz="8" w:space="0" w:color="93B41A" w:themeColor="accent2"/>
        </w:tcBorders>
      </w:tcPr>
    </w:tblStylePr>
    <w:tblStylePr w:type="lastRow">
      <w:rPr>
        <w:b/>
        <w:bCs/>
        <w:color w:val="262626" w:themeColor="text2"/>
      </w:rPr>
      <w:tblPr/>
      <w:tcPr>
        <w:tcBorders>
          <w:top w:val="single" w:sz="8" w:space="0" w:color="93B41A" w:themeColor="accent2"/>
          <w:bottom w:val="single" w:sz="8" w:space="0" w:color="93B41A" w:themeColor="accent2"/>
        </w:tcBorders>
      </w:tcPr>
    </w:tblStylePr>
    <w:tblStylePr w:type="firstCol">
      <w:rPr>
        <w:b/>
        <w:bCs/>
      </w:rPr>
    </w:tblStylePr>
    <w:tblStylePr w:type="lastCol">
      <w:rPr>
        <w:b/>
        <w:bCs/>
      </w:rPr>
      <w:tblPr/>
      <w:tcPr>
        <w:tcBorders>
          <w:top w:val="single" w:sz="8" w:space="0" w:color="93B41A" w:themeColor="accent2"/>
          <w:bottom w:val="single" w:sz="8" w:space="0" w:color="93B41A" w:themeColor="accent2"/>
        </w:tcBorders>
      </w:tcPr>
    </w:tblStylePr>
    <w:tblStylePr w:type="band1Vert">
      <w:tblPr/>
      <w:tcPr>
        <w:shd w:val="clear" w:color="auto" w:fill="E9F5BD" w:themeFill="accent2" w:themeFillTint="3F"/>
      </w:tcPr>
    </w:tblStylePr>
    <w:tblStylePr w:type="band1Horz">
      <w:tblPr/>
      <w:tcPr>
        <w:shd w:val="clear" w:color="auto" w:fill="E9F5BD" w:themeFill="accent2" w:themeFillTint="3F"/>
      </w:tcPr>
    </w:tblStylePr>
  </w:style>
  <w:style w:type="table" w:styleId="MediumList1-Accent3">
    <w:name w:val="Medium List 1 Accent 3"/>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F06A3B" w:themeColor="accent3"/>
        <w:bottom w:val="single" w:sz="8" w:space="0" w:color="F06A3B" w:themeColor="accent3"/>
      </w:tblBorders>
    </w:tblPr>
    <w:tblStylePr w:type="firstRow">
      <w:rPr>
        <w:rFonts w:asciiTheme="majorHAnsi" w:eastAsiaTheme="majorEastAsia" w:hAnsiTheme="majorHAnsi" w:cstheme="majorBidi"/>
      </w:rPr>
      <w:tblPr/>
      <w:tcPr>
        <w:tcBorders>
          <w:top w:val="nil"/>
          <w:bottom w:val="single" w:sz="8" w:space="0" w:color="F06A3B" w:themeColor="accent3"/>
        </w:tcBorders>
      </w:tcPr>
    </w:tblStylePr>
    <w:tblStylePr w:type="lastRow">
      <w:rPr>
        <w:b/>
        <w:bCs/>
        <w:color w:val="262626" w:themeColor="text2"/>
      </w:rPr>
      <w:tblPr/>
      <w:tcPr>
        <w:tcBorders>
          <w:top w:val="single" w:sz="8" w:space="0" w:color="F06A3B" w:themeColor="accent3"/>
          <w:bottom w:val="single" w:sz="8" w:space="0" w:color="F06A3B" w:themeColor="accent3"/>
        </w:tcBorders>
      </w:tcPr>
    </w:tblStylePr>
    <w:tblStylePr w:type="firstCol">
      <w:rPr>
        <w:b/>
        <w:bCs/>
      </w:rPr>
    </w:tblStylePr>
    <w:tblStylePr w:type="lastCol">
      <w:rPr>
        <w:b/>
        <w:bCs/>
      </w:rPr>
      <w:tblPr/>
      <w:tcPr>
        <w:tcBorders>
          <w:top w:val="single" w:sz="8" w:space="0" w:color="F06A3B" w:themeColor="accent3"/>
          <w:bottom w:val="single" w:sz="8" w:space="0" w:color="F06A3B" w:themeColor="accent3"/>
        </w:tcBorders>
      </w:tcPr>
    </w:tblStylePr>
    <w:tblStylePr w:type="band1Vert">
      <w:tblPr/>
      <w:tcPr>
        <w:shd w:val="clear" w:color="auto" w:fill="FBD9CE" w:themeFill="accent3" w:themeFillTint="3F"/>
      </w:tcPr>
    </w:tblStylePr>
    <w:tblStylePr w:type="band1Horz">
      <w:tblPr/>
      <w:tcPr>
        <w:shd w:val="clear" w:color="auto" w:fill="FBD9CE" w:themeFill="accent3" w:themeFillTint="3F"/>
      </w:tcPr>
    </w:tblStylePr>
  </w:style>
  <w:style w:type="table" w:styleId="MediumList1-Accent4">
    <w:name w:val="Medium List 1 Accent 4"/>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9561CC" w:themeColor="accent4"/>
        <w:bottom w:val="single" w:sz="8" w:space="0" w:color="9561CC" w:themeColor="accent4"/>
      </w:tblBorders>
    </w:tblPr>
    <w:tblStylePr w:type="firstRow">
      <w:rPr>
        <w:rFonts w:asciiTheme="majorHAnsi" w:eastAsiaTheme="majorEastAsia" w:hAnsiTheme="majorHAnsi" w:cstheme="majorBidi"/>
      </w:rPr>
      <w:tblPr/>
      <w:tcPr>
        <w:tcBorders>
          <w:top w:val="nil"/>
          <w:bottom w:val="single" w:sz="8" w:space="0" w:color="9561CC" w:themeColor="accent4"/>
        </w:tcBorders>
      </w:tcPr>
    </w:tblStylePr>
    <w:tblStylePr w:type="lastRow">
      <w:rPr>
        <w:b/>
        <w:bCs/>
        <w:color w:val="262626" w:themeColor="text2"/>
      </w:rPr>
      <w:tblPr/>
      <w:tcPr>
        <w:tcBorders>
          <w:top w:val="single" w:sz="8" w:space="0" w:color="9561CC" w:themeColor="accent4"/>
          <w:bottom w:val="single" w:sz="8" w:space="0" w:color="9561CC" w:themeColor="accent4"/>
        </w:tcBorders>
      </w:tcPr>
    </w:tblStylePr>
    <w:tblStylePr w:type="firstCol">
      <w:rPr>
        <w:b/>
        <w:bCs/>
      </w:rPr>
    </w:tblStylePr>
    <w:tblStylePr w:type="lastCol">
      <w:rPr>
        <w:b/>
        <w:bCs/>
      </w:rPr>
      <w:tblPr/>
      <w:tcPr>
        <w:tcBorders>
          <w:top w:val="single" w:sz="8" w:space="0" w:color="9561CC" w:themeColor="accent4"/>
          <w:bottom w:val="single" w:sz="8" w:space="0" w:color="9561CC" w:themeColor="accent4"/>
        </w:tcBorders>
      </w:tcPr>
    </w:tblStylePr>
    <w:tblStylePr w:type="band1Vert">
      <w:tblPr/>
      <w:tcPr>
        <w:shd w:val="clear" w:color="auto" w:fill="E4D7F2" w:themeFill="accent4" w:themeFillTint="3F"/>
      </w:tcPr>
    </w:tblStylePr>
    <w:tblStylePr w:type="band1Horz">
      <w:tblPr/>
      <w:tcPr>
        <w:shd w:val="clear" w:color="auto" w:fill="E4D7F2" w:themeFill="accent4" w:themeFillTint="3F"/>
      </w:tcPr>
    </w:tblStylePr>
  </w:style>
  <w:style w:type="table" w:styleId="MediumList1-Accent5">
    <w:name w:val="Medium List 1 Accent 5"/>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00ADC6" w:themeColor="accent5"/>
        <w:bottom w:val="single" w:sz="8" w:space="0" w:color="00ADC6" w:themeColor="accent5"/>
      </w:tblBorders>
    </w:tblPr>
    <w:tblStylePr w:type="firstRow">
      <w:rPr>
        <w:rFonts w:asciiTheme="majorHAnsi" w:eastAsiaTheme="majorEastAsia" w:hAnsiTheme="majorHAnsi" w:cstheme="majorBidi"/>
      </w:rPr>
      <w:tblPr/>
      <w:tcPr>
        <w:tcBorders>
          <w:top w:val="nil"/>
          <w:bottom w:val="single" w:sz="8" w:space="0" w:color="00ADC6" w:themeColor="accent5"/>
        </w:tcBorders>
      </w:tcPr>
    </w:tblStylePr>
    <w:tblStylePr w:type="lastRow">
      <w:rPr>
        <w:b/>
        <w:bCs/>
        <w:color w:val="262626" w:themeColor="text2"/>
      </w:rPr>
      <w:tblPr/>
      <w:tcPr>
        <w:tcBorders>
          <w:top w:val="single" w:sz="8" w:space="0" w:color="00ADC6" w:themeColor="accent5"/>
          <w:bottom w:val="single" w:sz="8" w:space="0" w:color="00ADC6" w:themeColor="accent5"/>
        </w:tcBorders>
      </w:tcPr>
    </w:tblStylePr>
    <w:tblStylePr w:type="firstCol">
      <w:rPr>
        <w:b/>
        <w:bCs/>
      </w:rPr>
    </w:tblStylePr>
    <w:tblStylePr w:type="lastCol">
      <w:rPr>
        <w:b/>
        <w:bCs/>
      </w:rPr>
      <w:tblPr/>
      <w:tcPr>
        <w:tcBorders>
          <w:top w:val="single" w:sz="8" w:space="0" w:color="00ADC6" w:themeColor="accent5"/>
          <w:bottom w:val="single" w:sz="8" w:space="0" w:color="00ADC6" w:themeColor="accent5"/>
        </w:tcBorders>
      </w:tcPr>
    </w:tblStylePr>
    <w:tblStylePr w:type="band1Vert">
      <w:tblPr/>
      <w:tcPr>
        <w:shd w:val="clear" w:color="auto" w:fill="B1F4FF" w:themeFill="accent5" w:themeFillTint="3F"/>
      </w:tcPr>
    </w:tblStylePr>
    <w:tblStylePr w:type="band1Horz">
      <w:tblPr/>
      <w:tcPr>
        <w:shd w:val="clear" w:color="auto" w:fill="B1F4FF" w:themeFill="accent5" w:themeFillTint="3F"/>
      </w:tcPr>
    </w:tblStylePr>
  </w:style>
  <w:style w:type="table" w:styleId="MediumList1-Accent6">
    <w:name w:val="Medium List 1 Accent 6"/>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FD8F0A" w:themeColor="accent6"/>
        <w:bottom w:val="single" w:sz="8" w:space="0" w:color="FD8F0A" w:themeColor="accent6"/>
      </w:tblBorders>
    </w:tblPr>
    <w:tblStylePr w:type="firstRow">
      <w:rPr>
        <w:rFonts w:asciiTheme="majorHAnsi" w:eastAsiaTheme="majorEastAsia" w:hAnsiTheme="majorHAnsi" w:cstheme="majorBidi"/>
      </w:rPr>
      <w:tblPr/>
      <w:tcPr>
        <w:tcBorders>
          <w:top w:val="nil"/>
          <w:bottom w:val="single" w:sz="8" w:space="0" w:color="FD8F0A" w:themeColor="accent6"/>
        </w:tcBorders>
      </w:tcPr>
    </w:tblStylePr>
    <w:tblStylePr w:type="lastRow">
      <w:rPr>
        <w:b/>
        <w:bCs/>
        <w:color w:val="262626" w:themeColor="text2"/>
      </w:rPr>
      <w:tblPr/>
      <w:tcPr>
        <w:tcBorders>
          <w:top w:val="single" w:sz="8" w:space="0" w:color="FD8F0A" w:themeColor="accent6"/>
          <w:bottom w:val="single" w:sz="8" w:space="0" w:color="FD8F0A" w:themeColor="accent6"/>
        </w:tcBorders>
      </w:tcPr>
    </w:tblStylePr>
    <w:tblStylePr w:type="firstCol">
      <w:rPr>
        <w:b/>
        <w:bCs/>
      </w:rPr>
    </w:tblStylePr>
    <w:tblStylePr w:type="lastCol">
      <w:rPr>
        <w:b/>
        <w:bCs/>
      </w:rPr>
      <w:tblPr/>
      <w:tcPr>
        <w:tcBorders>
          <w:top w:val="single" w:sz="8" w:space="0" w:color="FD8F0A" w:themeColor="accent6"/>
          <w:bottom w:val="single" w:sz="8" w:space="0" w:color="FD8F0A" w:themeColor="accent6"/>
        </w:tcBorders>
      </w:tcPr>
    </w:tblStylePr>
    <w:tblStylePr w:type="band1Vert">
      <w:tblPr/>
      <w:tcPr>
        <w:shd w:val="clear" w:color="auto" w:fill="FEE3C2" w:themeFill="accent6" w:themeFillTint="3F"/>
      </w:tcPr>
    </w:tblStylePr>
    <w:tblStylePr w:type="band1Horz">
      <w:tblPr/>
      <w:tcPr>
        <w:shd w:val="clear" w:color="auto" w:fill="FEE3C2" w:themeFill="accent6" w:themeFillTint="3F"/>
      </w:tcPr>
    </w:tblStylePr>
  </w:style>
  <w:style w:type="table" w:styleId="MediumList2">
    <w:name w:val="Medium List 2"/>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rPr>
        <w:sz w:val="24"/>
        <w:szCs w:val="24"/>
      </w:rPr>
      <w:tblPr/>
      <w:tcPr>
        <w:tcBorders>
          <w:top w:val="nil"/>
          <w:left w:val="nil"/>
          <w:bottom w:val="single" w:sz="24" w:space="0" w:color="2BB67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B673" w:themeColor="accent1"/>
          <w:insideH w:val="nil"/>
          <w:insideV w:val="nil"/>
        </w:tcBorders>
        <w:shd w:val="clear" w:color="auto" w:fill="FFFFFF" w:themeFill="background1"/>
      </w:tcPr>
    </w:tblStylePr>
    <w:tblStylePr w:type="lastCol">
      <w:tblPr/>
      <w:tcPr>
        <w:tcBorders>
          <w:top w:val="nil"/>
          <w:left w:val="single" w:sz="8" w:space="0" w:color="2BB67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top w:val="nil"/>
          <w:bottom w:val="nil"/>
          <w:insideH w:val="nil"/>
          <w:insideV w:val="nil"/>
        </w:tcBorders>
        <w:shd w:val="clear" w:color="auto" w:fill="C5F1D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rPr>
        <w:sz w:val="24"/>
        <w:szCs w:val="24"/>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B41A" w:themeColor="accent2"/>
          <w:insideH w:val="nil"/>
          <w:insideV w:val="nil"/>
        </w:tcBorders>
        <w:shd w:val="clear" w:color="auto" w:fill="FFFFFF" w:themeFill="background1"/>
      </w:tcPr>
    </w:tblStylePr>
    <w:tblStylePr w:type="lastCol">
      <w:tblPr/>
      <w:tcPr>
        <w:tcBorders>
          <w:top w:val="nil"/>
          <w:left w:val="single" w:sz="8" w:space="0" w:color="93B41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top w:val="nil"/>
          <w:bottom w:val="nil"/>
          <w:insideH w:val="nil"/>
          <w:insideV w:val="nil"/>
        </w:tcBorders>
        <w:shd w:val="clear" w:color="auto" w:fill="E9F5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rPr>
        <w:sz w:val="24"/>
        <w:szCs w:val="24"/>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6A3B" w:themeColor="accent3"/>
          <w:insideH w:val="nil"/>
          <w:insideV w:val="nil"/>
        </w:tcBorders>
        <w:shd w:val="clear" w:color="auto" w:fill="FFFFFF" w:themeFill="background1"/>
      </w:tcPr>
    </w:tblStylePr>
    <w:tblStylePr w:type="lastCol">
      <w:tblPr/>
      <w:tcPr>
        <w:tcBorders>
          <w:top w:val="nil"/>
          <w:left w:val="single" w:sz="8" w:space="0" w:color="F06A3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top w:val="nil"/>
          <w:bottom w:val="nil"/>
          <w:insideH w:val="nil"/>
          <w:insideV w:val="nil"/>
        </w:tcBorders>
        <w:shd w:val="clear" w:color="auto" w:fill="FBD9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rPr>
        <w:sz w:val="24"/>
        <w:szCs w:val="24"/>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561CC" w:themeColor="accent4"/>
          <w:insideH w:val="nil"/>
          <w:insideV w:val="nil"/>
        </w:tcBorders>
        <w:shd w:val="clear" w:color="auto" w:fill="FFFFFF" w:themeFill="background1"/>
      </w:tcPr>
    </w:tblStylePr>
    <w:tblStylePr w:type="lastCol">
      <w:tblPr/>
      <w:tcPr>
        <w:tcBorders>
          <w:top w:val="nil"/>
          <w:left w:val="single" w:sz="8" w:space="0" w:color="9561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top w:val="nil"/>
          <w:bottom w:val="nil"/>
          <w:insideH w:val="nil"/>
          <w:insideV w:val="nil"/>
        </w:tcBorders>
        <w:shd w:val="clear" w:color="auto" w:fill="E4D7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rPr>
        <w:sz w:val="24"/>
        <w:szCs w:val="24"/>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C6" w:themeColor="accent5"/>
          <w:insideH w:val="nil"/>
          <w:insideV w:val="nil"/>
        </w:tcBorders>
        <w:shd w:val="clear" w:color="auto" w:fill="FFFFFF" w:themeFill="background1"/>
      </w:tcPr>
    </w:tblStylePr>
    <w:tblStylePr w:type="lastCol">
      <w:tblPr/>
      <w:tcPr>
        <w:tcBorders>
          <w:top w:val="nil"/>
          <w:left w:val="single" w:sz="8" w:space="0" w:color="00AD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top w:val="nil"/>
          <w:bottom w:val="nil"/>
          <w:insideH w:val="nil"/>
          <w:insideV w:val="nil"/>
        </w:tcBorders>
        <w:shd w:val="clear" w:color="auto" w:fill="B1F4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rPr>
        <w:sz w:val="24"/>
        <w:szCs w:val="24"/>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8F0A" w:themeColor="accent6"/>
          <w:insideH w:val="nil"/>
          <w:insideV w:val="nil"/>
        </w:tcBorders>
        <w:shd w:val="clear" w:color="auto" w:fill="FFFFFF" w:themeFill="background1"/>
      </w:tcPr>
    </w:tblStylePr>
    <w:tblStylePr w:type="lastCol">
      <w:tblPr/>
      <w:tcPr>
        <w:tcBorders>
          <w:top w:val="nil"/>
          <w:left w:val="single" w:sz="8" w:space="0" w:color="FD8F0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top w:val="nil"/>
          <w:bottom w:val="nil"/>
          <w:insideH w:val="nil"/>
          <w:insideV w:val="nil"/>
        </w:tcBorders>
        <w:shd w:val="clear" w:color="auto" w:fill="FEE3C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469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469D3"/>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tblBorders>
    </w:tblPr>
    <w:tblStylePr w:type="firstRow">
      <w:pPr>
        <w:spacing w:before="0" w:after="0" w:line="240" w:lineRule="auto"/>
      </w:pPr>
      <w:rPr>
        <w:b/>
        <w:bCs/>
        <w:color w:val="FFFFFF" w:themeColor="background1"/>
      </w:rPr>
      <w:tblPr/>
      <w:tcPr>
        <w:tc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shd w:val="clear" w:color="auto" w:fill="2BB673" w:themeFill="accent1"/>
      </w:tcPr>
    </w:tblStylePr>
    <w:tblStylePr w:type="lastRow">
      <w:pPr>
        <w:spacing w:before="0" w:after="0" w:line="240" w:lineRule="auto"/>
      </w:pPr>
      <w:rPr>
        <w:b/>
        <w:bCs/>
      </w:rPr>
      <w:tblPr/>
      <w:tcPr>
        <w:tcBorders>
          <w:top w:val="double" w:sz="6"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5F1DC" w:themeFill="accent1" w:themeFillTint="3F"/>
      </w:tcPr>
    </w:tblStylePr>
    <w:tblStylePr w:type="band1Horz">
      <w:tblPr/>
      <w:tcPr>
        <w:tcBorders>
          <w:insideH w:val="nil"/>
          <w:insideV w:val="nil"/>
        </w:tcBorders>
        <w:shd w:val="clear" w:color="auto" w:fill="C5F1D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469D3"/>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tblBorders>
    </w:tblPr>
    <w:tblStylePr w:type="firstRow">
      <w:pPr>
        <w:spacing w:before="0" w:after="0" w:line="240" w:lineRule="auto"/>
      </w:pPr>
      <w:rPr>
        <w:b/>
        <w:bCs/>
        <w:color w:val="FFFFFF" w:themeColor="background1"/>
      </w:rPr>
      <w:tblPr/>
      <w:tcPr>
        <w:tc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shd w:val="clear" w:color="auto" w:fill="93B41A" w:themeFill="accent2"/>
      </w:tcPr>
    </w:tblStylePr>
    <w:tblStylePr w:type="lastRow">
      <w:pPr>
        <w:spacing w:before="0" w:after="0" w:line="240" w:lineRule="auto"/>
      </w:pPr>
      <w:rPr>
        <w:b/>
        <w:bCs/>
      </w:rPr>
      <w:tblPr/>
      <w:tcPr>
        <w:tcBorders>
          <w:top w:val="double" w:sz="6"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F5BD" w:themeFill="accent2" w:themeFillTint="3F"/>
      </w:tcPr>
    </w:tblStylePr>
    <w:tblStylePr w:type="band1Horz">
      <w:tblPr/>
      <w:tcPr>
        <w:tcBorders>
          <w:insideH w:val="nil"/>
          <w:insideV w:val="nil"/>
        </w:tcBorders>
        <w:shd w:val="clear" w:color="auto" w:fill="E9F5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469D3"/>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tblBorders>
    </w:tblPr>
    <w:tblStylePr w:type="firstRow">
      <w:pPr>
        <w:spacing w:before="0" w:after="0" w:line="240" w:lineRule="auto"/>
      </w:pPr>
      <w:rPr>
        <w:b/>
        <w:bCs/>
        <w:color w:val="FFFFFF" w:themeColor="background1"/>
      </w:rPr>
      <w:tblPr/>
      <w:tcPr>
        <w:tc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shd w:val="clear" w:color="auto" w:fill="F06A3B" w:themeFill="accent3"/>
      </w:tcPr>
    </w:tblStylePr>
    <w:tblStylePr w:type="lastRow">
      <w:pPr>
        <w:spacing w:before="0" w:after="0" w:line="240" w:lineRule="auto"/>
      </w:pPr>
      <w:rPr>
        <w:b/>
        <w:bCs/>
      </w:rPr>
      <w:tblPr/>
      <w:tcPr>
        <w:tcBorders>
          <w:top w:val="double" w:sz="6"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D9CE" w:themeFill="accent3" w:themeFillTint="3F"/>
      </w:tcPr>
    </w:tblStylePr>
    <w:tblStylePr w:type="band1Horz">
      <w:tblPr/>
      <w:tcPr>
        <w:tcBorders>
          <w:insideH w:val="nil"/>
          <w:insideV w:val="nil"/>
        </w:tcBorders>
        <w:shd w:val="clear" w:color="auto" w:fill="FBD9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469D3"/>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tblBorders>
    </w:tblPr>
    <w:tblStylePr w:type="firstRow">
      <w:pPr>
        <w:spacing w:before="0" w:after="0" w:line="240" w:lineRule="auto"/>
      </w:pPr>
      <w:rPr>
        <w:b/>
        <w:bCs/>
        <w:color w:val="FFFFFF" w:themeColor="background1"/>
      </w:rPr>
      <w:tblPr/>
      <w:tcPr>
        <w:tc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shd w:val="clear" w:color="auto" w:fill="9561CC" w:themeFill="accent4"/>
      </w:tcPr>
    </w:tblStylePr>
    <w:tblStylePr w:type="lastRow">
      <w:pPr>
        <w:spacing w:before="0" w:after="0" w:line="240" w:lineRule="auto"/>
      </w:pPr>
      <w:rPr>
        <w:b/>
        <w:bCs/>
      </w:rPr>
      <w:tblPr/>
      <w:tcPr>
        <w:tcBorders>
          <w:top w:val="double" w:sz="6"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4D7F2" w:themeFill="accent4" w:themeFillTint="3F"/>
      </w:tcPr>
    </w:tblStylePr>
    <w:tblStylePr w:type="band1Horz">
      <w:tblPr/>
      <w:tcPr>
        <w:tcBorders>
          <w:insideH w:val="nil"/>
          <w:insideV w:val="nil"/>
        </w:tcBorders>
        <w:shd w:val="clear" w:color="auto" w:fill="E4D7F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469D3"/>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tblBorders>
    </w:tblPr>
    <w:tblStylePr w:type="firstRow">
      <w:pPr>
        <w:spacing w:before="0" w:after="0" w:line="240" w:lineRule="auto"/>
      </w:pPr>
      <w:rPr>
        <w:b/>
        <w:bCs/>
        <w:color w:val="FFFFFF" w:themeColor="background1"/>
      </w:rPr>
      <w:tblPr/>
      <w:tcPr>
        <w:tc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shd w:val="clear" w:color="auto" w:fill="00ADC6" w:themeFill="accent5"/>
      </w:tcPr>
    </w:tblStylePr>
    <w:tblStylePr w:type="lastRow">
      <w:pPr>
        <w:spacing w:before="0" w:after="0" w:line="240" w:lineRule="auto"/>
      </w:pPr>
      <w:rPr>
        <w:b/>
        <w:bCs/>
      </w:rPr>
      <w:tblPr/>
      <w:tcPr>
        <w:tcBorders>
          <w:top w:val="double" w:sz="6"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1F4FF" w:themeFill="accent5" w:themeFillTint="3F"/>
      </w:tcPr>
    </w:tblStylePr>
    <w:tblStylePr w:type="band1Horz">
      <w:tblPr/>
      <w:tcPr>
        <w:tcBorders>
          <w:insideH w:val="nil"/>
          <w:insideV w:val="nil"/>
        </w:tcBorders>
        <w:shd w:val="clear" w:color="auto" w:fill="B1F4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469D3"/>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tblBorders>
    </w:tblPr>
    <w:tblStylePr w:type="firstRow">
      <w:pPr>
        <w:spacing w:before="0" w:after="0" w:line="240" w:lineRule="auto"/>
      </w:pPr>
      <w:rPr>
        <w:b/>
        <w:bCs/>
        <w:color w:val="FFFFFF" w:themeColor="background1"/>
      </w:rPr>
      <w:tblPr/>
      <w:tcPr>
        <w:tc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shd w:val="clear" w:color="auto" w:fill="FD8F0A" w:themeFill="accent6"/>
      </w:tcPr>
    </w:tblStylePr>
    <w:tblStylePr w:type="lastRow">
      <w:pPr>
        <w:spacing w:before="0" w:after="0" w:line="240" w:lineRule="auto"/>
      </w:pPr>
      <w:rPr>
        <w:b/>
        <w:bCs/>
      </w:rPr>
      <w:tblPr/>
      <w:tcPr>
        <w:tcBorders>
          <w:top w:val="double" w:sz="6"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E3C2" w:themeFill="accent6" w:themeFillTint="3F"/>
      </w:tcPr>
    </w:tblStylePr>
    <w:tblStylePr w:type="band1Horz">
      <w:tblPr/>
      <w:tcPr>
        <w:tcBorders>
          <w:insideH w:val="nil"/>
          <w:insideV w:val="nil"/>
        </w:tcBorders>
        <w:shd w:val="clear" w:color="auto" w:fill="FEE3C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B67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B673" w:themeFill="accent1"/>
      </w:tcPr>
    </w:tblStylePr>
    <w:tblStylePr w:type="lastCol">
      <w:rPr>
        <w:b/>
        <w:bCs/>
        <w:color w:val="FFFFFF" w:themeColor="background1"/>
      </w:rPr>
      <w:tblPr/>
      <w:tcPr>
        <w:tcBorders>
          <w:left w:val="nil"/>
          <w:right w:val="nil"/>
          <w:insideH w:val="nil"/>
          <w:insideV w:val="nil"/>
        </w:tcBorders>
        <w:shd w:val="clear" w:color="auto" w:fill="2BB67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B41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3B41A" w:themeFill="accent2"/>
      </w:tcPr>
    </w:tblStylePr>
    <w:tblStylePr w:type="lastCol">
      <w:rPr>
        <w:b/>
        <w:bCs/>
        <w:color w:val="FFFFFF" w:themeColor="background1"/>
      </w:rPr>
      <w:tblPr/>
      <w:tcPr>
        <w:tcBorders>
          <w:left w:val="nil"/>
          <w:right w:val="nil"/>
          <w:insideH w:val="nil"/>
          <w:insideV w:val="nil"/>
        </w:tcBorders>
        <w:shd w:val="clear" w:color="auto" w:fill="93B41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6A3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6A3B" w:themeFill="accent3"/>
      </w:tcPr>
    </w:tblStylePr>
    <w:tblStylePr w:type="lastCol">
      <w:rPr>
        <w:b/>
        <w:bCs/>
        <w:color w:val="FFFFFF" w:themeColor="background1"/>
      </w:rPr>
      <w:tblPr/>
      <w:tcPr>
        <w:tcBorders>
          <w:left w:val="nil"/>
          <w:right w:val="nil"/>
          <w:insideH w:val="nil"/>
          <w:insideV w:val="nil"/>
        </w:tcBorders>
        <w:shd w:val="clear" w:color="auto" w:fill="F06A3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561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561CC" w:themeFill="accent4"/>
      </w:tcPr>
    </w:tblStylePr>
    <w:tblStylePr w:type="lastCol">
      <w:rPr>
        <w:b/>
        <w:bCs/>
        <w:color w:val="FFFFFF" w:themeColor="background1"/>
      </w:rPr>
      <w:tblPr/>
      <w:tcPr>
        <w:tcBorders>
          <w:left w:val="nil"/>
          <w:right w:val="nil"/>
          <w:insideH w:val="nil"/>
          <w:insideV w:val="nil"/>
        </w:tcBorders>
        <w:shd w:val="clear" w:color="auto" w:fill="9561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DC6" w:themeFill="accent5"/>
      </w:tcPr>
    </w:tblStylePr>
    <w:tblStylePr w:type="lastCol">
      <w:rPr>
        <w:b/>
        <w:bCs/>
        <w:color w:val="FFFFFF" w:themeColor="background1"/>
      </w:rPr>
      <w:tblPr/>
      <w:tcPr>
        <w:tcBorders>
          <w:left w:val="nil"/>
          <w:right w:val="nil"/>
          <w:insideH w:val="nil"/>
          <w:insideV w:val="nil"/>
        </w:tcBorders>
        <w:shd w:val="clear" w:color="auto" w:fill="00AD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8F0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D8F0A" w:themeFill="accent6"/>
      </w:tcPr>
    </w:tblStylePr>
    <w:tblStylePr w:type="lastCol">
      <w:rPr>
        <w:b/>
        <w:bCs/>
        <w:color w:val="FFFFFF" w:themeColor="background1"/>
      </w:rPr>
      <w:tblPr/>
      <w:tcPr>
        <w:tcBorders>
          <w:left w:val="nil"/>
          <w:right w:val="nil"/>
          <w:insideH w:val="nil"/>
          <w:insideV w:val="nil"/>
        </w:tcBorders>
        <w:shd w:val="clear" w:color="auto" w:fill="FD8F0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B469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469D3"/>
    <w:rPr>
      <w:rFonts w:asciiTheme="majorHAnsi" w:eastAsiaTheme="majorEastAsia" w:hAnsiTheme="majorHAnsi" w:cstheme="majorBidi"/>
      <w:color w:val="1E1E1E"/>
      <w:sz w:val="24"/>
      <w:szCs w:val="24"/>
      <w:shd w:val="pct20" w:color="auto" w:fill="auto"/>
    </w:rPr>
  </w:style>
  <w:style w:type="paragraph" w:styleId="NoSpacing">
    <w:name w:val="No Spacing"/>
    <w:uiPriority w:val="1"/>
    <w:semiHidden/>
    <w:rsid w:val="00B469D3"/>
    <w:pPr>
      <w:spacing w:after="0" w:line="240" w:lineRule="auto"/>
    </w:pPr>
    <w:rPr>
      <w:rFonts w:ascii="Calibri" w:hAnsi="Calibri"/>
      <w:color w:val="1E1E1E"/>
      <w:sz w:val="24"/>
    </w:rPr>
  </w:style>
  <w:style w:type="paragraph" w:styleId="NormalIndent">
    <w:name w:val="Normal Indent"/>
    <w:basedOn w:val="Normal"/>
    <w:uiPriority w:val="99"/>
    <w:semiHidden/>
    <w:unhideWhenUsed/>
    <w:rsid w:val="00B469D3"/>
    <w:pPr>
      <w:ind w:left="720"/>
    </w:pPr>
  </w:style>
  <w:style w:type="paragraph" w:styleId="NoteHeading">
    <w:name w:val="Note Heading"/>
    <w:basedOn w:val="Normal"/>
    <w:next w:val="Normal"/>
    <w:link w:val="NoteHeadingChar"/>
    <w:uiPriority w:val="99"/>
    <w:semiHidden/>
    <w:unhideWhenUsed/>
    <w:rsid w:val="00B469D3"/>
    <w:pPr>
      <w:spacing w:after="0" w:line="240" w:lineRule="auto"/>
    </w:pPr>
  </w:style>
  <w:style w:type="character" w:customStyle="1" w:styleId="NoteHeadingChar">
    <w:name w:val="Note Heading Char"/>
    <w:basedOn w:val="DefaultParagraphFont"/>
    <w:link w:val="NoteHeading"/>
    <w:uiPriority w:val="99"/>
    <w:semiHidden/>
    <w:rsid w:val="00B469D3"/>
    <w:rPr>
      <w:rFonts w:ascii="Calibri" w:hAnsi="Calibri"/>
      <w:color w:val="1E1E1E"/>
      <w:sz w:val="24"/>
    </w:rPr>
  </w:style>
  <w:style w:type="character" w:styleId="PlaceholderText">
    <w:name w:val="Placeholder Text"/>
    <w:basedOn w:val="DefaultParagraphFont"/>
    <w:uiPriority w:val="99"/>
    <w:semiHidden/>
    <w:rsid w:val="00B469D3"/>
    <w:rPr>
      <w:color w:val="808080"/>
    </w:rPr>
  </w:style>
  <w:style w:type="table" w:styleId="PlainTable1">
    <w:name w:val="Plain Table 1"/>
    <w:basedOn w:val="TableNormal"/>
    <w:uiPriority w:val="41"/>
    <w:rsid w:val="00B469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469D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469D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469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469D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469D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469D3"/>
    <w:rPr>
      <w:rFonts w:ascii="Consolas" w:hAnsi="Consolas"/>
      <w:color w:val="1E1E1E"/>
      <w:sz w:val="21"/>
      <w:szCs w:val="21"/>
    </w:rPr>
  </w:style>
  <w:style w:type="paragraph" w:styleId="Quote">
    <w:name w:val="Quote"/>
    <w:basedOn w:val="Normal"/>
    <w:next w:val="Normal"/>
    <w:link w:val="QuoteChar"/>
    <w:uiPriority w:val="29"/>
    <w:qFormat/>
    <w:rsid w:val="00B469D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469D3"/>
    <w:rPr>
      <w:rFonts w:ascii="Calibri" w:hAnsi="Calibri"/>
      <w:i/>
      <w:iCs/>
      <w:color w:val="404040" w:themeColor="text1" w:themeTint="BF"/>
      <w:sz w:val="24"/>
    </w:rPr>
  </w:style>
  <w:style w:type="paragraph" w:styleId="Salutation">
    <w:name w:val="Salutation"/>
    <w:basedOn w:val="Normal"/>
    <w:next w:val="Normal"/>
    <w:link w:val="SalutationChar"/>
    <w:uiPriority w:val="99"/>
    <w:semiHidden/>
    <w:unhideWhenUsed/>
    <w:rsid w:val="00B469D3"/>
  </w:style>
  <w:style w:type="character" w:customStyle="1" w:styleId="SalutationChar">
    <w:name w:val="Salutation Char"/>
    <w:basedOn w:val="DefaultParagraphFont"/>
    <w:link w:val="Salutation"/>
    <w:uiPriority w:val="99"/>
    <w:semiHidden/>
    <w:rsid w:val="00B469D3"/>
    <w:rPr>
      <w:rFonts w:ascii="Calibri" w:hAnsi="Calibri"/>
      <w:color w:val="1E1E1E"/>
      <w:sz w:val="24"/>
    </w:rPr>
  </w:style>
  <w:style w:type="paragraph" w:styleId="Signature">
    <w:name w:val="Signature"/>
    <w:basedOn w:val="Normal"/>
    <w:link w:val="SignatureChar"/>
    <w:uiPriority w:val="99"/>
    <w:semiHidden/>
    <w:unhideWhenUsed/>
    <w:rsid w:val="00B469D3"/>
    <w:pPr>
      <w:spacing w:after="0" w:line="240" w:lineRule="auto"/>
      <w:ind w:left="4252"/>
    </w:pPr>
  </w:style>
  <w:style w:type="character" w:customStyle="1" w:styleId="SignatureChar">
    <w:name w:val="Signature Char"/>
    <w:basedOn w:val="DefaultParagraphFont"/>
    <w:link w:val="Signature"/>
    <w:uiPriority w:val="99"/>
    <w:semiHidden/>
    <w:rsid w:val="00B469D3"/>
    <w:rPr>
      <w:rFonts w:ascii="Calibri" w:hAnsi="Calibri"/>
      <w:color w:val="1E1E1E"/>
      <w:sz w:val="24"/>
    </w:rPr>
  </w:style>
  <w:style w:type="character" w:styleId="Strong">
    <w:name w:val="Strong"/>
    <w:basedOn w:val="DefaultParagraphFont"/>
    <w:uiPriority w:val="22"/>
    <w:semiHidden/>
    <w:rsid w:val="00B469D3"/>
    <w:rPr>
      <w:b/>
      <w:bCs/>
    </w:rPr>
  </w:style>
  <w:style w:type="paragraph" w:styleId="Subtitle">
    <w:name w:val="Subtitle"/>
    <w:basedOn w:val="Normal"/>
    <w:next w:val="Normal"/>
    <w:link w:val="SubtitleChar"/>
    <w:uiPriority w:val="11"/>
    <w:semiHidden/>
    <w:rsid w:val="00B469D3"/>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B469D3"/>
    <w:rPr>
      <w:rFonts w:eastAsiaTheme="minorEastAsia"/>
      <w:color w:val="5A5A5A" w:themeColor="text1" w:themeTint="A5"/>
      <w:spacing w:val="15"/>
    </w:rPr>
  </w:style>
  <w:style w:type="character" w:styleId="SubtleEmphasis">
    <w:name w:val="Subtle Emphasis"/>
    <w:basedOn w:val="DefaultParagraphFont"/>
    <w:uiPriority w:val="19"/>
    <w:semiHidden/>
    <w:rsid w:val="00B469D3"/>
    <w:rPr>
      <w:i/>
      <w:iCs/>
      <w:color w:val="404040" w:themeColor="text1" w:themeTint="BF"/>
    </w:rPr>
  </w:style>
  <w:style w:type="character" w:styleId="SubtleReference">
    <w:name w:val="Subtle Reference"/>
    <w:basedOn w:val="DefaultParagraphFont"/>
    <w:uiPriority w:val="31"/>
    <w:semiHidden/>
    <w:rsid w:val="00B469D3"/>
    <w:rPr>
      <w:smallCaps/>
      <w:color w:val="5A5A5A" w:themeColor="text1" w:themeTint="A5"/>
    </w:rPr>
  </w:style>
  <w:style w:type="table" w:styleId="Table3Deffects1">
    <w:name w:val="Table 3D effects 1"/>
    <w:basedOn w:val="TableNormal"/>
    <w:uiPriority w:val="99"/>
    <w:semiHidden/>
    <w:unhideWhenUsed/>
    <w:rsid w:val="00B469D3"/>
    <w:pPr>
      <w:spacing w:after="160"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469D3"/>
    <w:pPr>
      <w:spacing w:after="160"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469D3"/>
    <w:pPr>
      <w:spacing w:after="160"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469D3"/>
    <w:pPr>
      <w:spacing w:after="160"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469D3"/>
    <w:pPr>
      <w:spacing w:after="160"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469D3"/>
    <w:pPr>
      <w:spacing w:after="16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469D3"/>
    <w:pPr>
      <w:spacing w:after="160"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B469D3"/>
    <w:pPr>
      <w:spacing w:after="16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B469D3"/>
    <w:pPr>
      <w:spacing w:after="160"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B469D3"/>
    <w:pPr>
      <w:spacing w:after="160"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469D3"/>
    <w:pPr>
      <w:spacing w:after="160"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469D3"/>
    <w:pPr>
      <w:spacing w:after="160"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469D3"/>
    <w:pPr>
      <w:spacing w:after="160"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469D3"/>
    <w:pPr>
      <w:spacing w:after="160"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469D3"/>
    <w:pPr>
      <w:spacing w:after="160"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469D3"/>
    <w:pPr>
      <w:spacing w:after="160"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469D3"/>
    <w:pPr>
      <w:spacing w:after="160"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469D3"/>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469D3"/>
    <w:pPr>
      <w:spacing w:after="160"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469D3"/>
    <w:pPr>
      <w:spacing w:after="160"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469D3"/>
    <w:pPr>
      <w:spacing w:after="160"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469D3"/>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469D3"/>
    <w:pPr>
      <w:spacing w:after="160"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469D3"/>
    <w:pPr>
      <w:spacing w:after="160"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469D3"/>
    <w:pPr>
      <w:spacing w:after="160"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B469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B469D3"/>
    <w:pPr>
      <w:spacing w:after="16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469D3"/>
    <w:pPr>
      <w:spacing w:after="160"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469D3"/>
    <w:pPr>
      <w:spacing w:after="160"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469D3"/>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469D3"/>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469D3"/>
    <w:pPr>
      <w:spacing w:after="160"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469D3"/>
    <w:pPr>
      <w:spacing w:after="16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469D3"/>
    <w:pPr>
      <w:spacing w:after="16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469D3"/>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469D3"/>
    <w:pPr>
      <w:spacing w:after="160"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469D3"/>
    <w:pPr>
      <w:spacing w:after="160"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469D3"/>
    <w:pPr>
      <w:spacing w:after="160"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469D3"/>
    <w:pPr>
      <w:spacing w:after="160"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469D3"/>
    <w:pPr>
      <w:spacing w:after="160"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469D3"/>
    <w:pPr>
      <w:spacing w:after="16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469D3"/>
    <w:pPr>
      <w:spacing w:after="160"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469D3"/>
    <w:pPr>
      <w:spacing w:after="160"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469D3"/>
    <w:pPr>
      <w:spacing w:after="160"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IPI-Recsactions-heading">
    <w:name w:val="OIPI - Recs &amp; actions - heading"/>
    <w:basedOn w:val="Heading4"/>
    <w:uiPriority w:val="98"/>
    <w:rsid w:val="00C34A27"/>
    <w:pPr>
      <w:spacing w:before="160"/>
      <w:outlineLvl w:val="9"/>
    </w:pPr>
    <w:rPr>
      <w:b w:val="0"/>
      <w:color w:val="2BB673" w:themeColor="accent1"/>
      <w:sz w:val="28"/>
      <w:szCs w:val="28"/>
    </w:rPr>
  </w:style>
  <w:style w:type="paragraph" w:customStyle="1" w:styleId="OIPI-Cover-title1">
    <w:name w:val="OIPI - Cover - title 1"/>
    <w:basedOn w:val="Normal"/>
    <w:uiPriority w:val="98"/>
    <w:rsid w:val="00DF69E8"/>
    <w:rPr>
      <w:color w:val="FFFFFF" w:themeColor="background1"/>
      <w:sz w:val="26"/>
      <w:szCs w:val="24"/>
    </w:rPr>
  </w:style>
  <w:style w:type="paragraph" w:customStyle="1" w:styleId="OIPI-Cover-title4">
    <w:name w:val="OIPI - Cover - title 4"/>
    <w:basedOn w:val="Normal"/>
    <w:uiPriority w:val="98"/>
    <w:rsid w:val="00DF69E8"/>
    <w:pPr>
      <w:spacing w:before="320" w:after="0" w:line="240" w:lineRule="auto"/>
    </w:pPr>
    <w:rPr>
      <w:color w:val="FFFFFF" w:themeColor="background1"/>
      <w:sz w:val="26"/>
      <w:szCs w:val="20"/>
    </w:rPr>
  </w:style>
  <w:style w:type="paragraph" w:customStyle="1" w:styleId="OIPI-header">
    <w:name w:val="OIPI - header"/>
    <w:basedOn w:val="Header"/>
    <w:uiPriority w:val="98"/>
    <w:rsid w:val="003E2DE5"/>
    <w:pPr>
      <w:pBdr>
        <w:bottom w:val="single" w:sz="4" w:space="8" w:color="797979" w:themeColor="background2" w:themeShade="80"/>
      </w:pBdr>
    </w:pPr>
    <w:rPr>
      <w:color w:val="797979" w:themeColor="background2" w:themeShade="80"/>
      <w:sz w:val="24"/>
      <w:szCs w:val="24"/>
    </w:rPr>
  </w:style>
  <w:style w:type="paragraph" w:customStyle="1" w:styleId="OIPI-footer">
    <w:name w:val="OIPI - footer"/>
    <w:basedOn w:val="Footer"/>
    <w:uiPriority w:val="98"/>
    <w:rsid w:val="003E2DE5"/>
    <w:pPr>
      <w:pBdr>
        <w:top w:val="single" w:sz="4" w:space="8" w:color="797979" w:themeColor="background2" w:themeShade="80"/>
      </w:pBdr>
    </w:pPr>
    <w:rPr>
      <w:color w:val="797979" w:themeColor="background2" w:themeShade="80"/>
      <w:sz w:val="24"/>
      <w:szCs w:val="24"/>
    </w:rPr>
  </w:style>
  <w:style w:type="paragraph" w:customStyle="1" w:styleId="OIPI-White-Textbox2">
    <w:name w:val="OIPI - White - Text box 2"/>
    <w:basedOn w:val="Normal"/>
    <w:uiPriority w:val="98"/>
    <w:rsid w:val="00CD3282"/>
    <w:pPr>
      <w:spacing w:after="0" w:line="240" w:lineRule="auto"/>
      <w:jc w:val="right"/>
    </w:pPr>
    <w:rPr>
      <w:color w:val="FFFFFF" w:themeColor="background1"/>
      <w:sz w:val="28"/>
    </w:rPr>
  </w:style>
  <w:style w:type="paragraph" w:customStyle="1" w:styleId="OIPI-White-Textbox1">
    <w:name w:val="OIPI - White - Text box 1"/>
    <w:basedOn w:val="Normal"/>
    <w:uiPriority w:val="98"/>
    <w:rsid w:val="00CD3282"/>
    <w:pPr>
      <w:spacing w:after="0" w:line="240" w:lineRule="auto"/>
      <w:jc w:val="right"/>
    </w:pPr>
    <w:rPr>
      <w:b/>
      <w:color w:val="FFFFFF" w:themeColor="background1"/>
      <w:sz w:val="40"/>
    </w:rPr>
  </w:style>
  <w:style w:type="character" w:customStyle="1" w:styleId="e24kjd">
    <w:name w:val="e24kjd"/>
    <w:basedOn w:val="DefaultParagraphFont"/>
    <w:rsid w:val="002C35C9"/>
  </w:style>
  <w:style w:type="paragraph" w:customStyle="1" w:styleId="text">
    <w:name w:val="text"/>
    <w:basedOn w:val="Normal"/>
    <w:rsid w:val="00EA16C2"/>
    <w:pPr>
      <w:spacing w:before="100" w:beforeAutospacing="1" w:after="100" w:afterAutospacing="1" w:line="240" w:lineRule="auto"/>
    </w:pPr>
    <w:rPr>
      <w:rFonts w:ascii="Times New Roman" w:eastAsia="Times New Roman" w:hAnsi="Times New Roman" w:cs="Times New Roman"/>
      <w:color w:val="auto"/>
      <w:szCs w:val="24"/>
      <w:lang w:eastAsia="en-NZ"/>
    </w:rPr>
  </w:style>
  <w:style w:type="paragraph" w:styleId="Revision">
    <w:name w:val="Revision"/>
    <w:hidden/>
    <w:uiPriority w:val="99"/>
    <w:semiHidden/>
    <w:rsid w:val="00EA16C2"/>
    <w:pPr>
      <w:spacing w:after="0" w:line="240" w:lineRule="auto"/>
    </w:pPr>
    <w:rPr>
      <w:rFonts w:ascii="Calibri" w:hAnsi="Calibri"/>
      <w:color w:val="1E1E1E"/>
      <w:sz w:val="24"/>
    </w:rPr>
  </w:style>
  <w:style w:type="paragraph" w:customStyle="1" w:styleId="OIPI-recsactions-heading0">
    <w:name w:val="OIPI - recs &amp; actions - heading"/>
    <w:basedOn w:val="Heading4"/>
    <w:uiPriority w:val="98"/>
    <w:rsid w:val="00191B45"/>
    <w:pPr>
      <w:spacing w:before="160"/>
      <w:outlineLvl w:val="9"/>
    </w:pPr>
    <w:rPr>
      <w:b w:val="0"/>
      <w:color w:val="2BB673" w:themeColor="accent1"/>
      <w:sz w:val="28"/>
      <w:szCs w:val="28"/>
    </w:rPr>
  </w:style>
  <w:style w:type="character" w:customStyle="1" w:styleId="Bullet1Char">
    <w:name w:val="Bullet 1 Char"/>
    <w:basedOn w:val="DefaultParagraphFont"/>
    <w:link w:val="Bullet1"/>
    <w:uiPriority w:val="2"/>
    <w:locked/>
    <w:rsid w:val="00D6542B"/>
    <w:rPr>
      <w:rFonts w:ascii="Calibri" w:hAnsi="Calibri"/>
      <w:color w:val="1E1E1E"/>
      <w:sz w:val="24"/>
    </w:rPr>
  </w:style>
  <w:style w:type="paragraph" w:customStyle="1" w:styleId="ref">
    <w:name w:val="ref"/>
    <w:basedOn w:val="BodyText"/>
    <w:rsid w:val="00123187"/>
  </w:style>
  <w:style w:type="paragraph" w:customStyle="1" w:styleId="TableTitle">
    <w:name w:val="Table Title"/>
    <w:basedOn w:val="BodyText"/>
    <w:rsid w:val="00D50D14"/>
  </w:style>
  <w:style w:type="character" w:styleId="UnresolvedMention">
    <w:name w:val="Unresolved Mention"/>
    <w:basedOn w:val="DefaultParagraphFont"/>
    <w:uiPriority w:val="99"/>
    <w:semiHidden/>
    <w:unhideWhenUsed/>
    <w:rsid w:val="009B0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1542">
      <w:bodyDiv w:val="1"/>
      <w:marLeft w:val="0"/>
      <w:marRight w:val="0"/>
      <w:marTop w:val="0"/>
      <w:marBottom w:val="0"/>
      <w:divBdr>
        <w:top w:val="none" w:sz="0" w:space="0" w:color="auto"/>
        <w:left w:val="none" w:sz="0" w:space="0" w:color="auto"/>
        <w:bottom w:val="none" w:sz="0" w:space="0" w:color="auto"/>
        <w:right w:val="none" w:sz="0" w:space="0" w:color="auto"/>
      </w:divBdr>
    </w:div>
    <w:div w:id="133985659">
      <w:bodyDiv w:val="1"/>
      <w:marLeft w:val="0"/>
      <w:marRight w:val="0"/>
      <w:marTop w:val="0"/>
      <w:marBottom w:val="0"/>
      <w:divBdr>
        <w:top w:val="none" w:sz="0" w:space="0" w:color="auto"/>
        <w:left w:val="none" w:sz="0" w:space="0" w:color="auto"/>
        <w:bottom w:val="none" w:sz="0" w:space="0" w:color="auto"/>
        <w:right w:val="none" w:sz="0" w:space="0" w:color="auto"/>
      </w:divBdr>
    </w:div>
    <w:div w:id="203253145">
      <w:bodyDiv w:val="1"/>
      <w:marLeft w:val="0"/>
      <w:marRight w:val="0"/>
      <w:marTop w:val="0"/>
      <w:marBottom w:val="0"/>
      <w:divBdr>
        <w:top w:val="none" w:sz="0" w:space="0" w:color="auto"/>
        <w:left w:val="none" w:sz="0" w:space="0" w:color="auto"/>
        <w:bottom w:val="none" w:sz="0" w:space="0" w:color="auto"/>
        <w:right w:val="none" w:sz="0" w:space="0" w:color="auto"/>
      </w:divBdr>
    </w:div>
    <w:div w:id="272590107">
      <w:bodyDiv w:val="1"/>
      <w:marLeft w:val="0"/>
      <w:marRight w:val="0"/>
      <w:marTop w:val="0"/>
      <w:marBottom w:val="0"/>
      <w:divBdr>
        <w:top w:val="none" w:sz="0" w:space="0" w:color="auto"/>
        <w:left w:val="none" w:sz="0" w:space="0" w:color="auto"/>
        <w:bottom w:val="none" w:sz="0" w:space="0" w:color="auto"/>
        <w:right w:val="none" w:sz="0" w:space="0" w:color="auto"/>
      </w:divBdr>
    </w:div>
    <w:div w:id="322441486">
      <w:bodyDiv w:val="1"/>
      <w:marLeft w:val="0"/>
      <w:marRight w:val="0"/>
      <w:marTop w:val="0"/>
      <w:marBottom w:val="0"/>
      <w:divBdr>
        <w:top w:val="none" w:sz="0" w:space="0" w:color="auto"/>
        <w:left w:val="none" w:sz="0" w:space="0" w:color="auto"/>
        <w:bottom w:val="none" w:sz="0" w:space="0" w:color="auto"/>
        <w:right w:val="none" w:sz="0" w:space="0" w:color="auto"/>
      </w:divBdr>
    </w:div>
    <w:div w:id="358745070">
      <w:bodyDiv w:val="1"/>
      <w:marLeft w:val="0"/>
      <w:marRight w:val="0"/>
      <w:marTop w:val="0"/>
      <w:marBottom w:val="0"/>
      <w:divBdr>
        <w:top w:val="none" w:sz="0" w:space="0" w:color="auto"/>
        <w:left w:val="none" w:sz="0" w:space="0" w:color="auto"/>
        <w:bottom w:val="none" w:sz="0" w:space="0" w:color="auto"/>
        <w:right w:val="none" w:sz="0" w:space="0" w:color="auto"/>
      </w:divBdr>
    </w:div>
    <w:div w:id="364715666">
      <w:bodyDiv w:val="1"/>
      <w:marLeft w:val="0"/>
      <w:marRight w:val="0"/>
      <w:marTop w:val="0"/>
      <w:marBottom w:val="0"/>
      <w:divBdr>
        <w:top w:val="none" w:sz="0" w:space="0" w:color="auto"/>
        <w:left w:val="none" w:sz="0" w:space="0" w:color="auto"/>
        <w:bottom w:val="none" w:sz="0" w:space="0" w:color="auto"/>
        <w:right w:val="none" w:sz="0" w:space="0" w:color="auto"/>
      </w:divBdr>
    </w:div>
    <w:div w:id="405490729">
      <w:bodyDiv w:val="1"/>
      <w:marLeft w:val="0"/>
      <w:marRight w:val="0"/>
      <w:marTop w:val="0"/>
      <w:marBottom w:val="0"/>
      <w:divBdr>
        <w:top w:val="none" w:sz="0" w:space="0" w:color="auto"/>
        <w:left w:val="none" w:sz="0" w:space="0" w:color="auto"/>
        <w:bottom w:val="none" w:sz="0" w:space="0" w:color="auto"/>
        <w:right w:val="none" w:sz="0" w:space="0" w:color="auto"/>
      </w:divBdr>
    </w:div>
    <w:div w:id="466515599">
      <w:bodyDiv w:val="1"/>
      <w:marLeft w:val="0"/>
      <w:marRight w:val="0"/>
      <w:marTop w:val="0"/>
      <w:marBottom w:val="0"/>
      <w:divBdr>
        <w:top w:val="none" w:sz="0" w:space="0" w:color="auto"/>
        <w:left w:val="none" w:sz="0" w:space="0" w:color="auto"/>
        <w:bottom w:val="none" w:sz="0" w:space="0" w:color="auto"/>
        <w:right w:val="none" w:sz="0" w:space="0" w:color="auto"/>
      </w:divBdr>
    </w:div>
    <w:div w:id="467020145">
      <w:bodyDiv w:val="1"/>
      <w:marLeft w:val="0"/>
      <w:marRight w:val="0"/>
      <w:marTop w:val="0"/>
      <w:marBottom w:val="0"/>
      <w:divBdr>
        <w:top w:val="none" w:sz="0" w:space="0" w:color="auto"/>
        <w:left w:val="none" w:sz="0" w:space="0" w:color="auto"/>
        <w:bottom w:val="none" w:sz="0" w:space="0" w:color="auto"/>
        <w:right w:val="none" w:sz="0" w:space="0" w:color="auto"/>
      </w:divBdr>
    </w:div>
    <w:div w:id="484972703">
      <w:bodyDiv w:val="1"/>
      <w:marLeft w:val="0"/>
      <w:marRight w:val="0"/>
      <w:marTop w:val="0"/>
      <w:marBottom w:val="0"/>
      <w:divBdr>
        <w:top w:val="none" w:sz="0" w:space="0" w:color="auto"/>
        <w:left w:val="none" w:sz="0" w:space="0" w:color="auto"/>
        <w:bottom w:val="none" w:sz="0" w:space="0" w:color="auto"/>
        <w:right w:val="none" w:sz="0" w:space="0" w:color="auto"/>
      </w:divBdr>
      <w:divsChild>
        <w:div w:id="486823235">
          <w:marLeft w:val="0"/>
          <w:marRight w:val="0"/>
          <w:marTop w:val="83"/>
          <w:marBottom w:val="0"/>
          <w:divBdr>
            <w:top w:val="none" w:sz="0" w:space="0" w:color="auto"/>
            <w:left w:val="none" w:sz="0" w:space="0" w:color="auto"/>
            <w:bottom w:val="none" w:sz="0" w:space="0" w:color="auto"/>
            <w:right w:val="none" w:sz="0" w:space="0" w:color="auto"/>
          </w:divBdr>
        </w:div>
        <w:div w:id="1396516087">
          <w:marLeft w:val="0"/>
          <w:marRight w:val="0"/>
          <w:marTop w:val="83"/>
          <w:marBottom w:val="0"/>
          <w:divBdr>
            <w:top w:val="none" w:sz="0" w:space="0" w:color="auto"/>
            <w:left w:val="none" w:sz="0" w:space="0" w:color="auto"/>
            <w:bottom w:val="none" w:sz="0" w:space="0" w:color="auto"/>
            <w:right w:val="none" w:sz="0" w:space="0" w:color="auto"/>
          </w:divBdr>
        </w:div>
      </w:divsChild>
    </w:div>
    <w:div w:id="547299148">
      <w:bodyDiv w:val="1"/>
      <w:marLeft w:val="0"/>
      <w:marRight w:val="0"/>
      <w:marTop w:val="0"/>
      <w:marBottom w:val="0"/>
      <w:divBdr>
        <w:top w:val="none" w:sz="0" w:space="0" w:color="auto"/>
        <w:left w:val="none" w:sz="0" w:space="0" w:color="auto"/>
        <w:bottom w:val="none" w:sz="0" w:space="0" w:color="auto"/>
        <w:right w:val="none" w:sz="0" w:space="0" w:color="auto"/>
      </w:divBdr>
    </w:div>
    <w:div w:id="547882880">
      <w:bodyDiv w:val="1"/>
      <w:marLeft w:val="0"/>
      <w:marRight w:val="0"/>
      <w:marTop w:val="0"/>
      <w:marBottom w:val="0"/>
      <w:divBdr>
        <w:top w:val="none" w:sz="0" w:space="0" w:color="auto"/>
        <w:left w:val="none" w:sz="0" w:space="0" w:color="auto"/>
        <w:bottom w:val="none" w:sz="0" w:space="0" w:color="auto"/>
        <w:right w:val="none" w:sz="0" w:space="0" w:color="auto"/>
      </w:divBdr>
    </w:div>
    <w:div w:id="606932662">
      <w:bodyDiv w:val="1"/>
      <w:marLeft w:val="0"/>
      <w:marRight w:val="0"/>
      <w:marTop w:val="0"/>
      <w:marBottom w:val="0"/>
      <w:divBdr>
        <w:top w:val="none" w:sz="0" w:space="0" w:color="auto"/>
        <w:left w:val="none" w:sz="0" w:space="0" w:color="auto"/>
        <w:bottom w:val="none" w:sz="0" w:space="0" w:color="auto"/>
        <w:right w:val="none" w:sz="0" w:space="0" w:color="auto"/>
      </w:divBdr>
    </w:div>
    <w:div w:id="642349232">
      <w:bodyDiv w:val="1"/>
      <w:marLeft w:val="0"/>
      <w:marRight w:val="0"/>
      <w:marTop w:val="0"/>
      <w:marBottom w:val="0"/>
      <w:divBdr>
        <w:top w:val="none" w:sz="0" w:space="0" w:color="auto"/>
        <w:left w:val="none" w:sz="0" w:space="0" w:color="auto"/>
        <w:bottom w:val="none" w:sz="0" w:space="0" w:color="auto"/>
        <w:right w:val="none" w:sz="0" w:space="0" w:color="auto"/>
      </w:divBdr>
    </w:div>
    <w:div w:id="745758774">
      <w:bodyDiv w:val="1"/>
      <w:marLeft w:val="0"/>
      <w:marRight w:val="0"/>
      <w:marTop w:val="0"/>
      <w:marBottom w:val="0"/>
      <w:divBdr>
        <w:top w:val="none" w:sz="0" w:space="0" w:color="auto"/>
        <w:left w:val="none" w:sz="0" w:space="0" w:color="auto"/>
        <w:bottom w:val="none" w:sz="0" w:space="0" w:color="auto"/>
        <w:right w:val="none" w:sz="0" w:space="0" w:color="auto"/>
      </w:divBdr>
    </w:div>
    <w:div w:id="756755646">
      <w:bodyDiv w:val="1"/>
      <w:marLeft w:val="0"/>
      <w:marRight w:val="0"/>
      <w:marTop w:val="0"/>
      <w:marBottom w:val="0"/>
      <w:divBdr>
        <w:top w:val="none" w:sz="0" w:space="0" w:color="auto"/>
        <w:left w:val="none" w:sz="0" w:space="0" w:color="auto"/>
        <w:bottom w:val="none" w:sz="0" w:space="0" w:color="auto"/>
        <w:right w:val="none" w:sz="0" w:space="0" w:color="auto"/>
      </w:divBdr>
    </w:div>
    <w:div w:id="943030075">
      <w:bodyDiv w:val="1"/>
      <w:marLeft w:val="0"/>
      <w:marRight w:val="0"/>
      <w:marTop w:val="0"/>
      <w:marBottom w:val="0"/>
      <w:divBdr>
        <w:top w:val="none" w:sz="0" w:space="0" w:color="auto"/>
        <w:left w:val="none" w:sz="0" w:space="0" w:color="auto"/>
        <w:bottom w:val="none" w:sz="0" w:space="0" w:color="auto"/>
        <w:right w:val="none" w:sz="0" w:space="0" w:color="auto"/>
      </w:divBdr>
    </w:div>
    <w:div w:id="1018701296">
      <w:bodyDiv w:val="1"/>
      <w:marLeft w:val="0"/>
      <w:marRight w:val="0"/>
      <w:marTop w:val="0"/>
      <w:marBottom w:val="0"/>
      <w:divBdr>
        <w:top w:val="none" w:sz="0" w:space="0" w:color="auto"/>
        <w:left w:val="none" w:sz="0" w:space="0" w:color="auto"/>
        <w:bottom w:val="none" w:sz="0" w:space="0" w:color="auto"/>
        <w:right w:val="none" w:sz="0" w:space="0" w:color="auto"/>
      </w:divBdr>
    </w:div>
    <w:div w:id="1029837510">
      <w:bodyDiv w:val="1"/>
      <w:marLeft w:val="0"/>
      <w:marRight w:val="0"/>
      <w:marTop w:val="0"/>
      <w:marBottom w:val="0"/>
      <w:divBdr>
        <w:top w:val="none" w:sz="0" w:space="0" w:color="auto"/>
        <w:left w:val="none" w:sz="0" w:space="0" w:color="auto"/>
        <w:bottom w:val="none" w:sz="0" w:space="0" w:color="auto"/>
        <w:right w:val="none" w:sz="0" w:space="0" w:color="auto"/>
      </w:divBdr>
    </w:div>
    <w:div w:id="1065761532">
      <w:bodyDiv w:val="1"/>
      <w:marLeft w:val="0"/>
      <w:marRight w:val="0"/>
      <w:marTop w:val="0"/>
      <w:marBottom w:val="0"/>
      <w:divBdr>
        <w:top w:val="none" w:sz="0" w:space="0" w:color="auto"/>
        <w:left w:val="none" w:sz="0" w:space="0" w:color="auto"/>
        <w:bottom w:val="none" w:sz="0" w:space="0" w:color="auto"/>
        <w:right w:val="none" w:sz="0" w:space="0" w:color="auto"/>
      </w:divBdr>
    </w:div>
    <w:div w:id="1125461688">
      <w:bodyDiv w:val="1"/>
      <w:marLeft w:val="0"/>
      <w:marRight w:val="0"/>
      <w:marTop w:val="0"/>
      <w:marBottom w:val="0"/>
      <w:divBdr>
        <w:top w:val="none" w:sz="0" w:space="0" w:color="auto"/>
        <w:left w:val="none" w:sz="0" w:space="0" w:color="auto"/>
        <w:bottom w:val="none" w:sz="0" w:space="0" w:color="auto"/>
        <w:right w:val="none" w:sz="0" w:space="0" w:color="auto"/>
      </w:divBdr>
    </w:div>
    <w:div w:id="1135374038">
      <w:bodyDiv w:val="1"/>
      <w:marLeft w:val="0"/>
      <w:marRight w:val="0"/>
      <w:marTop w:val="0"/>
      <w:marBottom w:val="0"/>
      <w:divBdr>
        <w:top w:val="none" w:sz="0" w:space="0" w:color="auto"/>
        <w:left w:val="none" w:sz="0" w:space="0" w:color="auto"/>
        <w:bottom w:val="none" w:sz="0" w:space="0" w:color="auto"/>
        <w:right w:val="none" w:sz="0" w:space="0" w:color="auto"/>
      </w:divBdr>
    </w:div>
    <w:div w:id="1187135020">
      <w:bodyDiv w:val="1"/>
      <w:marLeft w:val="0"/>
      <w:marRight w:val="0"/>
      <w:marTop w:val="0"/>
      <w:marBottom w:val="0"/>
      <w:divBdr>
        <w:top w:val="none" w:sz="0" w:space="0" w:color="auto"/>
        <w:left w:val="none" w:sz="0" w:space="0" w:color="auto"/>
        <w:bottom w:val="none" w:sz="0" w:space="0" w:color="auto"/>
        <w:right w:val="none" w:sz="0" w:space="0" w:color="auto"/>
      </w:divBdr>
    </w:div>
    <w:div w:id="1213883037">
      <w:bodyDiv w:val="1"/>
      <w:marLeft w:val="0"/>
      <w:marRight w:val="0"/>
      <w:marTop w:val="0"/>
      <w:marBottom w:val="0"/>
      <w:divBdr>
        <w:top w:val="none" w:sz="0" w:space="0" w:color="auto"/>
        <w:left w:val="none" w:sz="0" w:space="0" w:color="auto"/>
        <w:bottom w:val="none" w:sz="0" w:space="0" w:color="auto"/>
        <w:right w:val="none" w:sz="0" w:space="0" w:color="auto"/>
      </w:divBdr>
    </w:div>
    <w:div w:id="1265960090">
      <w:bodyDiv w:val="1"/>
      <w:marLeft w:val="0"/>
      <w:marRight w:val="0"/>
      <w:marTop w:val="0"/>
      <w:marBottom w:val="0"/>
      <w:divBdr>
        <w:top w:val="none" w:sz="0" w:space="0" w:color="auto"/>
        <w:left w:val="none" w:sz="0" w:space="0" w:color="auto"/>
        <w:bottom w:val="none" w:sz="0" w:space="0" w:color="auto"/>
        <w:right w:val="none" w:sz="0" w:space="0" w:color="auto"/>
      </w:divBdr>
    </w:div>
    <w:div w:id="1305239506">
      <w:bodyDiv w:val="1"/>
      <w:marLeft w:val="0"/>
      <w:marRight w:val="0"/>
      <w:marTop w:val="0"/>
      <w:marBottom w:val="0"/>
      <w:divBdr>
        <w:top w:val="none" w:sz="0" w:space="0" w:color="auto"/>
        <w:left w:val="none" w:sz="0" w:space="0" w:color="auto"/>
        <w:bottom w:val="none" w:sz="0" w:space="0" w:color="auto"/>
        <w:right w:val="none" w:sz="0" w:space="0" w:color="auto"/>
      </w:divBdr>
    </w:div>
    <w:div w:id="1307778704">
      <w:bodyDiv w:val="1"/>
      <w:marLeft w:val="0"/>
      <w:marRight w:val="0"/>
      <w:marTop w:val="0"/>
      <w:marBottom w:val="0"/>
      <w:divBdr>
        <w:top w:val="none" w:sz="0" w:space="0" w:color="auto"/>
        <w:left w:val="none" w:sz="0" w:space="0" w:color="auto"/>
        <w:bottom w:val="none" w:sz="0" w:space="0" w:color="auto"/>
        <w:right w:val="none" w:sz="0" w:space="0" w:color="auto"/>
      </w:divBdr>
    </w:div>
    <w:div w:id="1310016395">
      <w:bodyDiv w:val="1"/>
      <w:marLeft w:val="0"/>
      <w:marRight w:val="0"/>
      <w:marTop w:val="0"/>
      <w:marBottom w:val="0"/>
      <w:divBdr>
        <w:top w:val="none" w:sz="0" w:space="0" w:color="auto"/>
        <w:left w:val="none" w:sz="0" w:space="0" w:color="auto"/>
        <w:bottom w:val="none" w:sz="0" w:space="0" w:color="auto"/>
        <w:right w:val="none" w:sz="0" w:space="0" w:color="auto"/>
      </w:divBdr>
    </w:div>
    <w:div w:id="1410886029">
      <w:bodyDiv w:val="1"/>
      <w:marLeft w:val="0"/>
      <w:marRight w:val="0"/>
      <w:marTop w:val="0"/>
      <w:marBottom w:val="0"/>
      <w:divBdr>
        <w:top w:val="none" w:sz="0" w:space="0" w:color="auto"/>
        <w:left w:val="none" w:sz="0" w:space="0" w:color="auto"/>
        <w:bottom w:val="none" w:sz="0" w:space="0" w:color="auto"/>
        <w:right w:val="none" w:sz="0" w:space="0" w:color="auto"/>
      </w:divBdr>
    </w:div>
    <w:div w:id="1439330746">
      <w:bodyDiv w:val="1"/>
      <w:marLeft w:val="0"/>
      <w:marRight w:val="0"/>
      <w:marTop w:val="0"/>
      <w:marBottom w:val="0"/>
      <w:divBdr>
        <w:top w:val="none" w:sz="0" w:space="0" w:color="auto"/>
        <w:left w:val="none" w:sz="0" w:space="0" w:color="auto"/>
        <w:bottom w:val="none" w:sz="0" w:space="0" w:color="auto"/>
        <w:right w:val="none" w:sz="0" w:space="0" w:color="auto"/>
      </w:divBdr>
    </w:div>
    <w:div w:id="1480489946">
      <w:bodyDiv w:val="1"/>
      <w:marLeft w:val="0"/>
      <w:marRight w:val="0"/>
      <w:marTop w:val="0"/>
      <w:marBottom w:val="0"/>
      <w:divBdr>
        <w:top w:val="none" w:sz="0" w:space="0" w:color="auto"/>
        <w:left w:val="none" w:sz="0" w:space="0" w:color="auto"/>
        <w:bottom w:val="none" w:sz="0" w:space="0" w:color="auto"/>
        <w:right w:val="none" w:sz="0" w:space="0" w:color="auto"/>
      </w:divBdr>
    </w:div>
    <w:div w:id="1602108179">
      <w:bodyDiv w:val="1"/>
      <w:marLeft w:val="0"/>
      <w:marRight w:val="0"/>
      <w:marTop w:val="0"/>
      <w:marBottom w:val="0"/>
      <w:divBdr>
        <w:top w:val="none" w:sz="0" w:space="0" w:color="auto"/>
        <w:left w:val="none" w:sz="0" w:space="0" w:color="auto"/>
        <w:bottom w:val="none" w:sz="0" w:space="0" w:color="auto"/>
        <w:right w:val="none" w:sz="0" w:space="0" w:color="auto"/>
      </w:divBdr>
    </w:div>
    <w:div w:id="1619868470">
      <w:bodyDiv w:val="1"/>
      <w:marLeft w:val="0"/>
      <w:marRight w:val="0"/>
      <w:marTop w:val="0"/>
      <w:marBottom w:val="0"/>
      <w:divBdr>
        <w:top w:val="none" w:sz="0" w:space="0" w:color="auto"/>
        <w:left w:val="none" w:sz="0" w:space="0" w:color="auto"/>
        <w:bottom w:val="none" w:sz="0" w:space="0" w:color="auto"/>
        <w:right w:val="none" w:sz="0" w:space="0" w:color="auto"/>
      </w:divBdr>
    </w:div>
    <w:div w:id="1622305239">
      <w:bodyDiv w:val="1"/>
      <w:marLeft w:val="0"/>
      <w:marRight w:val="0"/>
      <w:marTop w:val="0"/>
      <w:marBottom w:val="0"/>
      <w:divBdr>
        <w:top w:val="none" w:sz="0" w:space="0" w:color="auto"/>
        <w:left w:val="none" w:sz="0" w:space="0" w:color="auto"/>
        <w:bottom w:val="none" w:sz="0" w:space="0" w:color="auto"/>
        <w:right w:val="none" w:sz="0" w:space="0" w:color="auto"/>
      </w:divBdr>
    </w:div>
    <w:div w:id="1648783769">
      <w:bodyDiv w:val="1"/>
      <w:marLeft w:val="0"/>
      <w:marRight w:val="0"/>
      <w:marTop w:val="0"/>
      <w:marBottom w:val="0"/>
      <w:divBdr>
        <w:top w:val="none" w:sz="0" w:space="0" w:color="auto"/>
        <w:left w:val="none" w:sz="0" w:space="0" w:color="auto"/>
        <w:bottom w:val="none" w:sz="0" w:space="0" w:color="auto"/>
        <w:right w:val="none" w:sz="0" w:space="0" w:color="auto"/>
      </w:divBdr>
    </w:div>
    <w:div w:id="1662851075">
      <w:bodyDiv w:val="1"/>
      <w:marLeft w:val="0"/>
      <w:marRight w:val="0"/>
      <w:marTop w:val="0"/>
      <w:marBottom w:val="0"/>
      <w:divBdr>
        <w:top w:val="none" w:sz="0" w:space="0" w:color="auto"/>
        <w:left w:val="none" w:sz="0" w:space="0" w:color="auto"/>
        <w:bottom w:val="none" w:sz="0" w:space="0" w:color="auto"/>
        <w:right w:val="none" w:sz="0" w:space="0" w:color="auto"/>
      </w:divBdr>
    </w:div>
    <w:div w:id="1749692498">
      <w:bodyDiv w:val="1"/>
      <w:marLeft w:val="0"/>
      <w:marRight w:val="0"/>
      <w:marTop w:val="0"/>
      <w:marBottom w:val="0"/>
      <w:divBdr>
        <w:top w:val="none" w:sz="0" w:space="0" w:color="auto"/>
        <w:left w:val="none" w:sz="0" w:space="0" w:color="auto"/>
        <w:bottom w:val="none" w:sz="0" w:space="0" w:color="auto"/>
        <w:right w:val="none" w:sz="0" w:space="0" w:color="auto"/>
      </w:divBdr>
    </w:div>
    <w:div w:id="1866941170">
      <w:bodyDiv w:val="1"/>
      <w:marLeft w:val="0"/>
      <w:marRight w:val="0"/>
      <w:marTop w:val="0"/>
      <w:marBottom w:val="0"/>
      <w:divBdr>
        <w:top w:val="none" w:sz="0" w:space="0" w:color="auto"/>
        <w:left w:val="none" w:sz="0" w:space="0" w:color="auto"/>
        <w:bottom w:val="none" w:sz="0" w:space="0" w:color="auto"/>
        <w:right w:val="none" w:sz="0" w:space="0" w:color="auto"/>
      </w:divBdr>
    </w:div>
    <w:div w:id="1947076855">
      <w:bodyDiv w:val="1"/>
      <w:marLeft w:val="0"/>
      <w:marRight w:val="0"/>
      <w:marTop w:val="0"/>
      <w:marBottom w:val="0"/>
      <w:divBdr>
        <w:top w:val="none" w:sz="0" w:space="0" w:color="auto"/>
        <w:left w:val="none" w:sz="0" w:space="0" w:color="auto"/>
        <w:bottom w:val="none" w:sz="0" w:space="0" w:color="auto"/>
        <w:right w:val="none" w:sz="0" w:space="0" w:color="auto"/>
      </w:divBdr>
    </w:div>
    <w:div w:id="1957367617">
      <w:bodyDiv w:val="1"/>
      <w:marLeft w:val="0"/>
      <w:marRight w:val="0"/>
      <w:marTop w:val="0"/>
      <w:marBottom w:val="0"/>
      <w:divBdr>
        <w:top w:val="none" w:sz="0" w:space="0" w:color="auto"/>
        <w:left w:val="none" w:sz="0" w:space="0" w:color="auto"/>
        <w:bottom w:val="none" w:sz="0" w:space="0" w:color="auto"/>
        <w:right w:val="none" w:sz="0" w:space="0" w:color="auto"/>
      </w:divBdr>
    </w:div>
    <w:div w:id="1997763892">
      <w:bodyDiv w:val="1"/>
      <w:marLeft w:val="0"/>
      <w:marRight w:val="0"/>
      <w:marTop w:val="0"/>
      <w:marBottom w:val="0"/>
      <w:divBdr>
        <w:top w:val="none" w:sz="0" w:space="0" w:color="auto"/>
        <w:left w:val="none" w:sz="0" w:space="0" w:color="auto"/>
        <w:bottom w:val="none" w:sz="0" w:space="0" w:color="auto"/>
        <w:right w:val="none" w:sz="0" w:space="0" w:color="auto"/>
      </w:divBdr>
    </w:div>
    <w:div w:id="2022662580">
      <w:bodyDiv w:val="1"/>
      <w:marLeft w:val="0"/>
      <w:marRight w:val="0"/>
      <w:marTop w:val="0"/>
      <w:marBottom w:val="0"/>
      <w:divBdr>
        <w:top w:val="none" w:sz="0" w:space="0" w:color="auto"/>
        <w:left w:val="none" w:sz="0" w:space="0" w:color="auto"/>
        <w:bottom w:val="none" w:sz="0" w:space="0" w:color="auto"/>
        <w:right w:val="none" w:sz="0" w:space="0" w:color="auto"/>
      </w:divBdr>
    </w:div>
    <w:div w:id="203037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g"/><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sv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t.nz/act/public/1982/156/en/latest/" TargetMode="External"/><Relationship Id="rId3" Type="http://schemas.openxmlformats.org/officeDocument/2006/relationships/hyperlink" Target="https://www.ombudsman.parliament.nz/resources/proactive-release-good-practices-proactive-release-official-information" TargetMode="External"/><Relationship Id="rId7" Type="http://schemas.openxmlformats.org/officeDocument/2006/relationships/hyperlink" Target="https://www.dpmc.govt.nz/sites/default/files/2023-06/cabinet-manual-2023-v2.pdf" TargetMode="External"/><Relationship Id="rId2" Type="http://schemas.openxmlformats.org/officeDocument/2006/relationships/hyperlink" Target="https://www.publicservice.govt.nz/guidance/official-information/oia-statistics" TargetMode="External"/><Relationship Id="rId1" Type="http://schemas.openxmlformats.org/officeDocument/2006/relationships/hyperlink" Target="https://www.ombudsman.parliament.nz/agency-assistance/resources-agencies/chief-ombudsmans-oia-self-assessment-tool" TargetMode="External"/><Relationship Id="rId6" Type="http://schemas.openxmlformats.org/officeDocument/2006/relationships/hyperlink" Target="https://www.legislation.govt.nz/act/public/1982/156/en/latest/" TargetMode="External"/><Relationship Id="rId11" Type="http://schemas.openxmlformats.org/officeDocument/2006/relationships/hyperlink" Target="https://www.dpmc.govt.nz/sites/default/files/2023-06/cabinet-manual-2023-v2.pdf" TargetMode="External"/><Relationship Id="rId5" Type="http://schemas.openxmlformats.org/officeDocument/2006/relationships/hyperlink" Target="https://www.legislation.govt.nz/act/public/1982/156/en/latest/" TargetMode="External"/><Relationship Id="rId10" Type="http://schemas.openxmlformats.org/officeDocument/2006/relationships/hyperlink" Target="https://www.ombudsman.parliament.nz/resources/model-protocol-dealing-oia-requests-involving-ministers" TargetMode="External"/><Relationship Id="rId4" Type="http://schemas.openxmlformats.org/officeDocument/2006/relationships/hyperlink" Target="https://www.legislation.govt.nz/act/public/1982/156/en/latest/" TargetMode="External"/><Relationship Id="rId9" Type="http://schemas.openxmlformats.org/officeDocument/2006/relationships/hyperlink" Target="https://www.legislation.govt.nz/act/public/1982/156/en/latest/" TargetMode="External"/></Relationships>
</file>

<file path=word/theme/theme1.xml><?xml version="1.0" encoding="utf-8"?>
<a:theme xmlns:a="http://schemas.openxmlformats.org/drawingml/2006/main" name="OOTO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85366-7229-404B-8606-DF9714DD2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7670</Words>
  <Characters>42493</Characters>
  <Application>Microsoft Office Word</Application>
  <DocSecurity>0</DocSecurity>
  <Lines>745</Lines>
  <Paragraphs>315</Paragraphs>
  <ScaleCrop>false</ScaleCrop>
  <Company/>
  <LinksUpToDate>false</LinksUpToDate>
  <CharactersWithSpaces>49848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2026-09-01T02:15:00Z</dcterms:created>
  <dcterms:modified xsi:type="dcterms:W3CDTF">2026-09-01T02:15:00Z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67d216-400b-4799-8a06-22bb06804922_Enabled">
    <vt:lpwstr>true</vt:lpwstr>
  </property>
  <property fmtid="{D5CDD505-2E9C-101B-9397-08002B2CF9AE}" pid="3" name="MSIP_Label_6a67d216-400b-4799-8a06-22bb06804922_SetDate">
    <vt:lpwstr>2026-09-01T02:15:09Z</vt:lpwstr>
  </property>
  <property fmtid="{D5CDD505-2E9C-101B-9397-08002B2CF9AE}" pid="4" name="MSIP_Label_6a67d216-400b-4799-8a06-22bb06804922_Method">
    <vt:lpwstr>Standard</vt:lpwstr>
  </property>
  <property fmtid="{D5CDD505-2E9C-101B-9397-08002B2CF9AE}" pid="5" name="MSIP_Label_6a67d216-400b-4799-8a06-22bb06804922_Name">
    <vt:lpwstr>Unlabelled</vt:lpwstr>
  </property>
  <property fmtid="{D5CDD505-2E9C-101B-9397-08002B2CF9AE}" pid="6" name="MSIP_Label_6a67d216-400b-4799-8a06-22bb06804922_SiteId">
    <vt:lpwstr>d7313039-86b2-4d25-9be8-abe2799c2315</vt:lpwstr>
  </property>
  <property fmtid="{D5CDD505-2E9C-101B-9397-08002B2CF9AE}" pid="7" name="MSIP_Label_6a67d216-400b-4799-8a06-22bb06804922_ActionId">
    <vt:lpwstr>ec996bea-a196-4a4c-ac77-0a66ccbfd6ff</vt:lpwstr>
  </property>
  <property fmtid="{D5CDD505-2E9C-101B-9397-08002B2CF9AE}" pid="8" name="MSIP_Label_6a67d216-400b-4799-8a06-22bb06804922_ContentBits">
    <vt:lpwstr>0</vt:lpwstr>
  </property>
  <property fmtid="{D5CDD505-2E9C-101B-9397-08002B2CF9AE}" pid="9" name="MSIP_Label_6a67d216-400b-4799-8a06-22bb06804922_Tag">
    <vt:lpwstr>10, 3, 0, 1</vt:lpwstr>
  </property>
</Properties>
</file>