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53555" w14:textId="6ED41499" w:rsidR="003C7715" w:rsidRDefault="003C7715" w:rsidP="00935565">
      <w:pPr>
        <w:pStyle w:val="Title"/>
      </w:pPr>
      <w:r>
        <w:t>FAQs</w:t>
      </w:r>
      <w:r w:rsidR="0058704A">
        <w:t xml:space="preserve"> for agencies</w:t>
      </w:r>
      <w:r>
        <w:t xml:space="preserve">: official information </w:t>
      </w:r>
      <w:r w:rsidR="001C2BF7">
        <w:t xml:space="preserve">requests </w:t>
      </w:r>
      <w:r>
        <w:t xml:space="preserve">during </w:t>
      </w:r>
      <w:r w:rsidR="00A50FFD">
        <w:t xml:space="preserve">a </w:t>
      </w:r>
      <w:r w:rsidR="00504E76">
        <w:t>general election</w:t>
      </w:r>
    </w:p>
    <w:p w14:paraId="010BCFB4" w14:textId="77777777" w:rsidR="00935565" w:rsidRDefault="00935565" w:rsidP="00460281">
      <w:pPr>
        <w:pStyle w:val="TOCHeading"/>
      </w:pPr>
      <w:bookmarkStart w:id="0" w:name="GoToContents"/>
      <w:bookmarkStart w:id="1" w:name="TOCSection"/>
      <w:r>
        <w:t>Contents</w:t>
      </w:r>
      <w:bookmarkEnd w:id="0"/>
    </w:p>
    <w:tbl>
      <w:tblPr>
        <w:tblStyle w:val="TableGridnoborders"/>
        <w:tblW w:w="9354" w:type="dxa"/>
        <w:tblInd w:w="0" w:type="dxa"/>
        <w:tblCellMar>
          <w:top w:w="0" w:type="dxa"/>
          <w:left w:w="0" w:type="dxa"/>
          <w:bottom w:w="0" w:type="dxa"/>
          <w:right w:w="0" w:type="dxa"/>
        </w:tblCellMar>
        <w:tblLook w:val="04A0" w:firstRow="1" w:lastRow="0" w:firstColumn="1" w:lastColumn="0" w:noHBand="0" w:noVBand="1"/>
        <w:tblCaption w:val="Contents page table"/>
      </w:tblPr>
      <w:tblGrid>
        <w:gridCol w:w="9354"/>
      </w:tblGrid>
      <w:tr w:rsidR="00935565" w14:paraId="34F6F214" w14:textId="77777777" w:rsidTr="00506B8B">
        <w:tc>
          <w:tcPr>
            <w:tcW w:w="9354" w:type="dxa"/>
          </w:tcPr>
          <w:bookmarkStart w:id="2" w:name="TOCMain" w:colFirst="0" w:colLast="0"/>
          <w:p w14:paraId="442CDB5C" w14:textId="3AB0710A" w:rsidR="00733A2B" w:rsidRDefault="00935565">
            <w:pPr>
              <w:pStyle w:val="TOC1"/>
              <w:rPr>
                <w:rFonts w:asciiTheme="minorHAnsi" w:eastAsiaTheme="minorEastAsia" w:hAnsiTheme="minorHAnsi"/>
                <w:b w:val="0"/>
                <w:noProof/>
                <w:color w:val="auto"/>
                <w:kern w:val="2"/>
                <w:sz w:val="24"/>
                <w:szCs w:val="24"/>
                <w:lang w:eastAsia="en-NZ"/>
                <w14:ligatures w14:val="standardContextual"/>
              </w:rPr>
            </w:pPr>
            <w:r>
              <w:fldChar w:fldCharType="begin"/>
            </w:r>
            <w:r>
              <w:instrText xml:space="preserve"> TOC \o "1-3" \h \z \t "Heading Appendix, 1" </w:instrText>
            </w:r>
            <w:r>
              <w:fldChar w:fldCharType="separate"/>
            </w:r>
            <w:hyperlink w:anchor="_Toc236747825" w:history="1">
              <w:r w:rsidR="00733A2B" w:rsidRPr="009C5C0B">
                <w:rPr>
                  <w:rStyle w:val="Hyperlink"/>
                  <w:noProof/>
                </w:rPr>
                <w:t>The ‘general election period’</w:t>
              </w:r>
              <w:r w:rsidR="00733A2B">
                <w:rPr>
                  <w:noProof/>
                  <w:webHidden/>
                </w:rPr>
                <w:tab/>
              </w:r>
              <w:r w:rsidR="00733A2B">
                <w:rPr>
                  <w:noProof/>
                  <w:webHidden/>
                </w:rPr>
                <w:fldChar w:fldCharType="begin"/>
              </w:r>
              <w:r w:rsidR="00733A2B">
                <w:rPr>
                  <w:noProof/>
                  <w:webHidden/>
                </w:rPr>
                <w:instrText xml:space="preserve"> PAGEREF _Toc236747825 \h </w:instrText>
              </w:r>
              <w:r w:rsidR="00733A2B">
                <w:rPr>
                  <w:noProof/>
                  <w:webHidden/>
                </w:rPr>
              </w:r>
              <w:r w:rsidR="00733A2B">
                <w:rPr>
                  <w:noProof/>
                  <w:webHidden/>
                </w:rPr>
                <w:fldChar w:fldCharType="separate"/>
              </w:r>
              <w:r w:rsidR="00733A2B">
                <w:rPr>
                  <w:noProof/>
                  <w:webHidden/>
                </w:rPr>
                <w:t>3</w:t>
              </w:r>
              <w:r w:rsidR="00733A2B">
                <w:rPr>
                  <w:noProof/>
                  <w:webHidden/>
                </w:rPr>
                <w:fldChar w:fldCharType="end"/>
              </w:r>
            </w:hyperlink>
          </w:p>
          <w:p w14:paraId="07E82F91" w14:textId="36A0CBB8" w:rsidR="00733A2B" w:rsidRDefault="00733A2B">
            <w:pPr>
              <w:pStyle w:val="TOC2"/>
              <w:rPr>
                <w:rFonts w:asciiTheme="minorHAnsi" w:eastAsiaTheme="minorEastAsia" w:hAnsiTheme="minorHAnsi"/>
                <w:noProof/>
                <w:color w:val="auto"/>
                <w:kern w:val="2"/>
                <w:szCs w:val="24"/>
                <w:lang w:eastAsia="en-NZ"/>
                <w14:ligatures w14:val="standardContextual"/>
              </w:rPr>
            </w:pPr>
            <w:hyperlink w:anchor="_Toc236747826" w:history="1">
              <w:r w:rsidRPr="009C5C0B">
                <w:rPr>
                  <w:rStyle w:val="Hyperlink"/>
                  <w:noProof/>
                </w:rPr>
                <w:t>What does the ‘general election period’ mean?</w:t>
              </w:r>
              <w:r>
                <w:rPr>
                  <w:noProof/>
                  <w:webHidden/>
                </w:rPr>
                <w:tab/>
              </w:r>
              <w:r>
                <w:rPr>
                  <w:noProof/>
                  <w:webHidden/>
                </w:rPr>
                <w:fldChar w:fldCharType="begin"/>
              </w:r>
              <w:r>
                <w:rPr>
                  <w:noProof/>
                  <w:webHidden/>
                </w:rPr>
                <w:instrText xml:space="preserve"> PAGEREF _Toc236747826 \h </w:instrText>
              </w:r>
              <w:r>
                <w:rPr>
                  <w:noProof/>
                  <w:webHidden/>
                </w:rPr>
              </w:r>
              <w:r>
                <w:rPr>
                  <w:noProof/>
                  <w:webHidden/>
                </w:rPr>
                <w:fldChar w:fldCharType="separate"/>
              </w:r>
              <w:r>
                <w:rPr>
                  <w:noProof/>
                  <w:webHidden/>
                </w:rPr>
                <w:t>3</w:t>
              </w:r>
              <w:r>
                <w:rPr>
                  <w:noProof/>
                  <w:webHidden/>
                </w:rPr>
                <w:fldChar w:fldCharType="end"/>
              </w:r>
            </w:hyperlink>
          </w:p>
          <w:p w14:paraId="71758AAA" w14:textId="04595427" w:rsidR="00733A2B" w:rsidRDefault="00733A2B">
            <w:pPr>
              <w:pStyle w:val="TOC2"/>
              <w:rPr>
                <w:rFonts w:asciiTheme="minorHAnsi" w:eastAsiaTheme="minorEastAsia" w:hAnsiTheme="minorHAnsi"/>
                <w:noProof/>
                <w:color w:val="auto"/>
                <w:kern w:val="2"/>
                <w:szCs w:val="24"/>
                <w:lang w:eastAsia="en-NZ"/>
                <w14:ligatures w14:val="standardContextual"/>
              </w:rPr>
            </w:pPr>
            <w:hyperlink w:anchor="_Toc236747827" w:history="1">
              <w:r w:rsidRPr="009C5C0B">
                <w:rPr>
                  <w:rStyle w:val="Hyperlink"/>
                  <w:noProof/>
                </w:rPr>
                <w:t>What is the timeline for the 2026 ‘general election period’?</w:t>
              </w:r>
              <w:r>
                <w:rPr>
                  <w:noProof/>
                  <w:webHidden/>
                </w:rPr>
                <w:tab/>
              </w:r>
              <w:r>
                <w:rPr>
                  <w:noProof/>
                  <w:webHidden/>
                </w:rPr>
                <w:fldChar w:fldCharType="begin"/>
              </w:r>
              <w:r>
                <w:rPr>
                  <w:noProof/>
                  <w:webHidden/>
                </w:rPr>
                <w:instrText xml:space="preserve"> PAGEREF _Toc236747827 \h </w:instrText>
              </w:r>
              <w:r>
                <w:rPr>
                  <w:noProof/>
                  <w:webHidden/>
                </w:rPr>
              </w:r>
              <w:r>
                <w:rPr>
                  <w:noProof/>
                  <w:webHidden/>
                </w:rPr>
                <w:fldChar w:fldCharType="separate"/>
              </w:r>
              <w:r>
                <w:rPr>
                  <w:noProof/>
                  <w:webHidden/>
                </w:rPr>
                <w:t>3</w:t>
              </w:r>
              <w:r>
                <w:rPr>
                  <w:noProof/>
                  <w:webHidden/>
                </w:rPr>
                <w:fldChar w:fldCharType="end"/>
              </w:r>
            </w:hyperlink>
          </w:p>
          <w:p w14:paraId="4555966A" w14:textId="397A4C53" w:rsidR="00733A2B" w:rsidRDefault="00733A2B">
            <w:pPr>
              <w:pStyle w:val="TOC1"/>
              <w:rPr>
                <w:rFonts w:asciiTheme="minorHAnsi" w:eastAsiaTheme="minorEastAsia" w:hAnsiTheme="minorHAnsi"/>
                <w:b w:val="0"/>
                <w:noProof/>
                <w:color w:val="auto"/>
                <w:kern w:val="2"/>
                <w:sz w:val="24"/>
                <w:szCs w:val="24"/>
                <w:lang w:eastAsia="en-NZ"/>
                <w14:ligatures w14:val="standardContextual"/>
              </w:rPr>
            </w:pPr>
            <w:hyperlink w:anchor="_Toc236747828" w:history="1">
              <w:r w:rsidRPr="009C5C0B">
                <w:rPr>
                  <w:rStyle w:val="Hyperlink"/>
                  <w:noProof/>
                </w:rPr>
                <w:t>Tools and strategies for managing requests</w:t>
              </w:r>
              <w:r>
                <w:rPr>
                  <w:noProof/>
                  <w:webHidden/>
                </w:rPr>
                <w:tab/>
              </w:r>
              <w:r>
                <w:rPr>
                  <w:noProof/>
                  <w:webHidden/>
                </w:rPr>
                <w:fldChar w:fldCharType="begin"/>
              </w:r>
              <w:r>
                <w:rPr>
                  <w:noProof/>
                  <w:webHidden/>
                </w:rPr>
                <w:instrText xml:space="preserve"> PAGEREF _Toc236747828 \h </w:instrText>
              </w:r>
              <w:r>
                <w:rPr>
                  <w:noProof/>
                  <w:webHidden/>
                </w:rPr>
              </w:r>
              <w:r>
                <w:rPr>
                  <w:noProof/>
                  <w:webHidden/>
                </w:rPr>
                <w:fldChar w:fldCharType="separate"/>
              </w:r>
              <w:r>
                <w:rPr>
                  <w:noProof/>
                  <w:webHidden/>
                </w:rPr>
                <w:t>4</w:t>
              </w:r>
              <w:r>
                <w:rPr>
                  <w:noProof/>
                  <w:webHidden/>
                </w:rPr>
                <w:fldChar w:fldCharType="end"/>
              </w:r>
            </w:hyperlink>
          </w:p>
          <w:p w14:paraId="7F7847AE" w14:textId="4FC23C54" w:rsidR="00733A2B" w:rsidRDefault="00733A2B">
            <w:pPr>
              <w:pStyle w:val="TOC2"/>
              <w:rPr>
                <w:rFonts w:asciiTheme="minorHAnsi" w:eastAsiaTheme="minorEastAsia" w:hAnsiTheme="minorHAnsi"/>
                <w:noProof/>
                <w:color w:val="auto"/>
                <w:kern w:val="2"/>
                <w:szCs w:val="24"/>
                <w:lang w:eastAsia="en-NZ"/>
                <w14:ligatures w14:val="standardContextual"/>
              </w:rPr>
            </w:pPr>
            <w:hyperlink w:anchor="_Toc236747829" w:history="1">
              <w:r w:rsidRPr="009C5C0B">
                <w:rPr>
                  <w:rStyle w:val="Hyperlink"/>
                  <w:noProof/>
                </w:rPr>
                <w:t>What are some of the tools and strategies for managing official information requests during the general election period?</w:t>
              </w:r>
              <w:r>
                <w:rPr>
                  <w:noProof/>
                  <w:webHidden/>
                </w:rPr>
                <w:tab/>
              </w:r>
              <w:r>
                <w:rPr>
                  <w:noProof/>
                  <w:webHidden/>
                </w:rPr>
                <w:fldChar w:fldCharType="begin"/>
              </w:r>
              <w:r>
                <w:rPr>
                  <w:noProof/>
                  <w:webHidden/>
                </w:rPr>
                <w:instrText xml:space="preserve"> PAGEREF _Toc236747829 \h </w:instrText>
              </w:r>
              <w:r>
                <w:rPr>
                  <w:noProof/>
                  <w:webHidden/>
                </w:rPr>
              </w:r>
              <w:r>
                <w:rPr>
                  <w:noProof/>
                  <w:webHidden/>
                </w:rPr>
                <w:fldChar w:fldCharType="separate"/>
              </w:r>
              <w:r>
                <w:rPr>
                  <w:noProof/>
                  <w:webHidden/>
                </w:rPr>
                <w:t>4</w:t>
              </w:r>
              <w:r>
                <w:rPr>
                  <w:noProof/>
                  <w:webHidden/>
                </w:rPr>
                <w:fldChar w:fldCharType="end"/>
              </w:r>
            </w:hyperlink>
          </w:p>
          <w:p w14:paraId="4462E2FC" w14:textId="05DBE8AE" w:rsidR="00733A2B" w:rsidRDefault="00733A2B">
            <w:pPr>
              <w:pStyle w:val="TOC1"/>
              <w:rPr>
                <w:rFonts w:asciiTheme="minorHAnsi" w:eastAsiaTheme="minorEastAsia" w:hAnsiTheme="minorHAnsi"/>
                <w:b w:val="0"/>
                <w:noProof/>
                <w:color w:val="auto"/>
                <w:kern w:val="2"/>
                <w:sz w:val="24"/>
                <w:szCs w:val="24"/>
                <w:lang w:eastAsia="en-NZ"/>
                <w14:ligatures w14:val="standardContextual"/>
              </w:rPr>
            </w:pPr>
            <w:hyperlink w:anchor="_Toc236747830" w:history="1">
              <w:r w:rsidRPr="009C5C0B">
                <w:rPr>
                  <w:rStyle w:val="Hyperlink"/>
                  <w:noProof/>
                </w:rPr>
                <w:t>Key timeframes</w:t>
              </w:r>
              <w:r>
                <w:rPr>
                  <w:noProof/>
                  <w:webHidden/>
                </w:rPr>
                <w:tab/>
              </w:r>
              <w:r>
                <w:rPr>
                  <w:noProof/>
                  <w:webHidden/>
                </w:rPr>
                <w:fldChar w:fldCharType="begin"/>
              </w:r>
              <w:r>
                <w:rPr>
                  <w:noProof/>
                  <w:webHidden/>
                </w:rPr>
                <w:instrText xml:space="preserve"> PAGEREF _Toc236747830 \h </w:instrText>
              </w:r>
              <w:r>
                <w:rPr>
                  <w:noProof/>
                  <w:webHidden/>
                </w:rPr>
              </w:r>
              <w:r>
                <w:rPr>
                  <w:noProof/>
                  <w:webHidden/>
                </w:rPr>
                <w:fldChar w:fldCharType="separate"/>
              </w:r>
              <w:r>
                <w:rPr>
                  <w:noProof/>
                  <w:webHidden/>
                </w:rPr>
                <w:t>5</w:t>
              </w:r>
              <w:r>
                <w:rPr>
                  <w:noProof/>
                  <w:webHidden/>
                </w:rPr>
                <w:fldChar w:fldCharType="end"/>
              </w:r>
            </w:hyperlink>
          </w:p>
          <w:p w14:paraId="20AAB24B" w14:textId="459DC718" w:rsidR="00733A2B" w:rsidRDefault="00733A2B">
            <w:pPr>
              <w:pStyle w:val="TOC2"/>
              <w:rPr>
                <w:rFonts w:asciiTheme="minorHAnsi" w:eastAsiaTheme="minorEastAsia" w:hAnsiTheme="minorHAnsi"/>
                <w:noProof/>
                <w:color w:val="auto"/>
                <w:kern w:val="2"/>
                <w:szCs w:val="24"/>
                <w:lang w:eastAsia="en-NZ"/>
                <w14:ligatures w14:val="standardContextual"/>
              </w:rPr>
            </w:pPr>
            <w:hyperlink w:anchor="_Toc236747831" w:history="1">
              <w:r w:rsidRPr="009C5C0B">
                <w:rPr>
                  <w:rStyle w:val="Hyperlink"/>
                  <w:noProof/>
                </w:rPr>
                <w:t>What are the timeframes under the Official Information Act (OIA) during the general election period?</w:t>
              </w:r>
              <w:r>
                <w:rPr>
                  <w:noProof/>
                  <w:webHidden/>
                </w:rPr>
                <w:tab/>
              </w:r>
              <w:r>
                <w:rPr>
                  <w:noProof/>
                  <w:webHidden/>
                </w:rPr>
                <w:fldChar w:fldCharType="begin"/>
              </w:r>
              <w:r>
                <w:rPr>
                  <w:noProof/>
                  <w:webHidden/>
                </w:rPr>
                <w:instrText xml:space="preserve"> PAGEREF _Toc236747831 \h </w:instrText>
              </w:r>
              <w:r>
                <w:rPr>
                  <w:noProof/>
                  <w:webHidden/>
                </w:rPr>
              </w:r>
              <w:r>
                <w:rPr>
                  <w:noProof/>
                  <w:webHidden/>
                </w:rPr>
                <w:fldChar w:fldCharType="separate"/>
              </w:r>
              <w:r>
                <w:rPr>
                  <w:noProof/>
                  <w:webHidden/>
                </w:rPr>
                <w:t>5</w:t>
              </w:r>
              <w:r>
                <w:rPr>
                  <w:noProof/>
                  <w:webHidden/>
                </w:rPr>
                <w:fldChar w:fldCharType="end"/>
              </w:r>
            </w:hyperlink>
          </w:p>
          <w:p w14:paraId="4F86AB6E" w14:textId="7C4A45D8" w:rsidR="00733A2B" w:rsidRDefault="00733A2B">
            <w:pPr>
              <w:pStyle w:val="TOC2"/>
              <w:rPr>
                <w:rFonts w:asciiTheme="minorHAnsi" w:eastAsiaTheme="minorEastAsia" w:hAnsiTheme="minorHAnsi"/>
                <w:noProof/>
                <w:color w:val="auto"/>
                <w:kern w:val="2"/>
                <w:szCs w:val="24"/>
                <w:lang w:eastAsia="en-NZ"/>
                <w14:ligatures w14:val="standardContextual"/>
              </w:rPr>
            </w:pPr>
            <w:hyperlink w:anchor="_Toc236747832" w:history="1">
              <w:r w:rsidRPr="009C5C0B">
                <w:rPr>
                  <w:rStyle w:val="Hyperlink"/>
                  <w:noProof/>
                </w:rPr>
                <w:t>The requester has asked for an urgent response, what do we need to do?</w:t>
              </w:r>
              <w:r>
                <w:rPr>
                  <w:noProof/>
                  <w:webHidden/>
                </w:rPr>
                <w:tab/>
              </w:r>
              <w:r>
                <w:rPr>
                  <w:noProof/>
                  <w:webHidden/>
                </w:rPr>
                <w:fldChar w:fldCharType="begin"/>
              </w:r>
              <w:r>
                <w:rPr>
                  <w:noProof/>
                  <w:webHidden/>
                </w:rPr>
                <w:instrText xml:space="preserve"> PAGEREF _Toc236747832 \h </w:instrText>
              </w:r>
              <w:r>
                <w:rPr>
                  <w:noProof/>
                  <w:webHidden/>
                </w:rPr>
              </w:r>
              <w:r>
                <w:rPr>
                  <w:noProof/>
                  <w:webHidden/>
                </w:rPr>
                <w:fldChar w:fldCharType="separate"/>
              </w:r>
              <w:r>
                <w:rPr>
                  <w:noProof/>
                  <w:webHidden/>
                </w:rPr>
                <w:t>6</w:t>
              </w:r>
              <w:r>
                <w:rPr>
                  <w:noProof/>
                  <w:webHidden/>
                </w:rPr>
                <w:fldChar w:fldCharType="end"/>
              </w:r>
            </w:hyperlink>
          </w:p>
          <w:p w14:paraId="7C6B8009" w14:textId="1E5DD9A5" w:rsidR="00733A2B" w:rsidRDefault="00733A2B">
            <w:pPr>
              <w:pStyle w:val="TOC2"/>
              <w:rPr>
                <w:rFonts w:asciiTheme="minorHAnsi" w:eastAsiaTheme="minorEastAsia" w:hAnsiTheme="minorHAnsi"/>
                <w:noProof/>
                <w:color w:val="auto"/>
                <w:kern w:val="2"/>
                <w:szCs w:val="24"/>
                <w:lang w:eastAsia="en-NZ"/>
                <w14:ligatures w14:val="standardContextual"/>
              </w:rPr>
            </w:pPr>
            <w:hyperlink w:anchor="_Toc236747833" w:history="1">
              <w:r w:rsidRPr="009C5C0B">
                <w:rPr>
                  <w:rStyle w:val="Hyperlink"/>
                  <w:noProof/>
                </w:rPr>
                <w:t>What if we can’t answer a request on time during the general election period?</w:t>
              </w:r>
              <w:r>
                <w:rPr>
                  <w:noProof/>
                  <w:webHidden/>
                </w:rPr>
                <w:tab/>
              </w:r>
              <w:r>
                <w:rPr>
                  <w:noProof/>
                  <w:webHidden/>
                </w:rPr>
                <w:fldChar w:fldCharType="begin"/>
              </w:r>
              <w:r>
                <w:rPr>
                  <w:noProof/>
                  <w:webHidden/>
                </w:rPr>
                <w:instrText xml:space="preserve"> PAGEREF _Toc236747833 \h </w:instrText>
              </w:r>
              <w:r>
                <w:rPr>
                  <w:noProof/>
                  <w:webHidden/>
                </w:rPr>
              </w:r>
              <w:r>
                <w:rPr>
                  <w:noProof/>
                  <w:webHidden/>
                </w:rPr>
                <w:fldChar w:fldCharType="separate"/>
              </w:r>
              <w:r>
                <w:rPr>
                  <w:noProof/>
                  <w:webHidden/>
                </w:rPr>
                <w:t>7</w:t>
              </w:r>
              <w:r>
                <w:rPr>
                  <w:noProof/>
                  <w:webHidden/>
                </w:rPr>
                <w:fldChar w:fldCharType="end"/>
              </w:r>
            </w:hyperlink>
          </w:p>
          <w:p w14:paraId="431BDABF" w14:textId="1100CF6E" w:rsidR="00733A2B" w:rsidRDefault="00733A2B">
            <w:pPr>
              <w:pStyle w:val="TOC2"/>
              <w:rPr>
                <w:rFonts w:asciiTheme="minorHAnsi" w:eastAsiaTheme="minorEastAsia" w:hAnsiTheme="minorHAnsi"/>
                <w:noProof/>
                <w:color w:val="auto"/>
                <w:kern w:val="2"/>
                <w:szCs w:val="24"/>
                <w:lang w:eastAsia="en-NZ"/>
                <w14:ligatures w14:val="standardContextual"/>
              </w:rPr>
            </w:pPr>
            <w:hyperlink w:anchor="_Toc236747834" w:history="1">
              <w:r w:rsidRPr="009C5C0B">
                <w:rPr>
                  <w:rStyle w:val="Hyperlink"/>
                  <w:noProof/>
                </w:rPr>
                <w:t>Is proactive release a good option during the general election period?</w:t>
              </w:r>
              <w:r>
                <w:rPr>
                  <w:noProof/>
                  <w:webHidden/>
                </w:rPr>
                <w:tab/>
              </w:r>
              <w:r>
                <w:rPr>
                  <w:noProof/>
                  <w:webHidden/>
                </w:rPr>
                <w:fldChar w:fldCharType="begin"/>
              </w:r>
              <w:r>
                <w:rPr>
                  <w:noProof/>
                  <w:webHidden/>
                </w:rPr>
                <w:instrText xml:space="preserve"> PAGEREF _Toc236747834 \h </w:instrText>
              </w:r>
              <w:r>
                <w:rPr>
                  <w:noProof/>
                  <w:webHidden/>
                </w:rPr>
              </w:r>
              <w:r>
                <w:rPr>
                  <w:noProof/>
                  <w:webHidden/>
                </w:rPr>
                <w:fldChar w:fldCharType="separate"/>
              </w:r>
              <w:r>
                <w:rPr>
                  <w:noProof/>
                  <w:webHidden/>
                </w:rPr>
                <w:t>7</w:t>
              </w:r>
              <w:r>
                <w:rPr>
                  <w:noProof/>
                  <w:webHidden/>
                </w:rPr>
                <w:fldChar w:fldCharType="end"/>
              </w:r>
            </w:hyperlink>
          </w:p>
          <w:p w14:paraId="1EA3A66F" w14:textId="2E1009E3" w:rsidR="00733A2B" w:rsidRDefault="00733A2B">
            <w:pPr>
              <w:pStyle w:val="TOC2"/>
              <w:rPr>
                <w:rFonts w:asciiTheme="minorHAnsi" w:eastAsiaTheme="minorEastAsia" w:hAnsiTheme="minorHAnsi"/>
                <w:noProof/>
                <w:color w:val="auto"/>
                <w:kern w:val="2"/>
                <w:szCs w:val="24"/>
                <w:lang w:eastAsia="en-NZ"/>
                <w14:ligatures w14:val="standardContextual"/>
              </w:rPr>
            </w:pPr>
            <w:hyperlink w:anchor="_Toc236747835" w:history="1">
              <w:r w:rsidRPr="009C5C0B">
                <w:rPr>
                  <w:rStyle w:val="Hyperlink"/>
                  <w:noProof/>
                </w:rPr>
                <w:t>Can we refuse a request on the basis we are planning to proactively publish the information?</w:t>
              </w:r>
              <w:r>
                <w:rPr>
                  <w:noProof/>
                  <w:webHidden/>
                </w:rPr>
                <w:tab/>
              </w:r>
              <w:r>
                <w:rPr>
                  <w:noProof/>
                  <w:webHidden/>
                </w:rPr>
                <w:fldChar w:fldCharType="begin"/>
              </w:r>
              <w:r>
                <w:rPr>
                  <w:noProof/>
                  <w:webHidden/>
                </w:rPr>
                <w:instrText xml:space="preserve"> PAGEREF _Toc236747835 \h </w:instrText>
              </w:r>
              <w:r>
                <w:rPr>
                  <w:noProof/>
                  <w:webHidden/>
                </w:rPr>
              </w:r>
              <w:r>
                <w:rPr>
                  <w:noProof/>
                  <w:webHidden/>
                </w:rPr>
                <w:fldChar w:fldCharType="separate"/>
              </w:r>
              <w:r>
                <w:rPr>
                  <w:noProof/>
                  <w:webHidden/>
                </w:rPr>
                <w:t>8</w:t>
              </w:r>
              <w:r>
                <w:rPr>
                  <w:noProof/>
                  <w:webHidden/>
                </w:rPr>
                <w:fldChar w:fldCharType="end"/>
              </w:r>
            </w:hyperlink>
          </w:p>
          <w:p w14:paraId="0734AA06" w14:textId="24360837" w:rsidR="00733A2B" w:rsidRDefault="00733A2B">
            <w:pPr>
              <w:pStyle w:val="TOC1"/>
              <w:rPr>
                <w:rFonts w:asciiTheme="minorHAnsi" w:eastAsiaTheme="minorEastAsia" w:hAnsiTheme="minorHAnsi"/>
                <w:b w:val="0"/>
                <w:noProof/>
                <w:color w:val="auto"/>
                <w:kern w:val="2"/>
                <w:sz w:val="24"/>
                <w:szCs w:val="24"/>
                <w:lang w:eastAsia="en-NZ"/>
                <w14:ligatures w14:val="standardContextual"/>
              </w:rPr>
            </w:pPr>
            <w:hyperlink w:anchor="_Toc236747836" w:history="1">
              <w:r w:rsidRPr="009C5C0B">
                <w:rPr>
                  <w:rStyle w:val="Hyperlink"/>
                  <w:noProof/>
                </w:rPr>
                <w:t>Extensions</w:t>
              </w:r>
              <w:r>
                <w:rPr>
                  <w:noProof/>
                  <w:webHidden/>
                </w:rPr>
                <w:tab/>
              </w:r>
              <w:r>
                <w:rPr>
                  <w:noProof/>
                  <w:webHidden/>
                </w:rPr>
                <w:fldChar w:fldCharType="begin"/>
              </w:r>
              <w:r>
                <w:rPr>
                  <w:noProof/>
                  <w:webHidden/>
                </w:rPr>
                <w:instrText xml:space="preserve"> PAGEREF _Toc236747836 \h </w:instrText>
              </w:r>
              <w:r>
                <w:rPr>
                  <w:noProof/>
                  <w:webHidden/>
                </w:rPr>
              </w:r>
              <w:r>
                <w:rPr>
                  <w:noProof/>
                  <w:webHidden/>
                </w:rPr>
                <w:fldChar w:fldCharType="separate"/>
              </w:r>
              <w:r>
                <w:rPr>
                  <w:noProof/>
                  <w:webHidden/>
                </w:rPr>
                <w:t>8</w:t>
              </w:r>
              <w:r>
                <w:rPr>
                  <w:noProof/>
                  <w:webHidden/>
                </w:rPr>
                <w:fldChar w:fldCharType="end"/>
              </w:r>
            </w:hyperlink>
          </w:p>
          <w:p w14:paraId="0A6B566A" w14:textId="58F6821D" w:rsidR="00733A2B" w:rsidRDefault="00733A2B">
            <w:pPr>
              <w:pStyle w:val="TOC2"/>
              <w:rPr>
                <w:rFonts w:asciiTheme="minorHAnsi" w:eastAsiaTheme="minorEastAsia" w:hAnsiTheme="minorHAnsi"/>
                <w:noProof/>
                <w:color w:val="auto"/>
                <w:kern w:val="2"/>
                <w:szCs w:val="24"/>
                <w:lang w:eastAsia="en-NZ"/>
                <w14:ligatures w14:val="standardContextual"/>
              </w:rPr>
            </w:pPr>
            <w:hyperlink w:anchor="_Toc236747837" w:history="1">
              <w:r w:rsidRPr="009C5C0B">
                <w:rPr>
                  <w:rStyle w:val="Hyperlink"/>
                  <w:noProof/>
                </w:rPr>
                <w:t>Can we extend the timeframe for responding because of the general election?</w:t>
              </w:r>
              <w:r>
                <w:rPr>
                  <w:noProof/>
                  <w:webHidden/>
                </w:rPr>
                <w:tab/>
              </w:r>
              <w:r>
                <w:rPr>
                  <w:noProof/>
                  <w:webHidden/>
                </w:rPr>
                <w:fldChar w:fldCharType="begin"/>
              </w:r>
              <w:r>
                <w:rPr>
                  <w:noProof/>
                  <w:webHidden/>
                </w:rPr>
                <w:instrText xml:space="preserve"> PAGEREF _Toc236747837 \h </w:instrText>
              </w:r>
              <w:r>
                <w:rPr>
                  <w:noProof/>
                  <w:webHidden/>
                </w:rPr>
              </w:r>
              <w:r>
                <w:rPr>
                  <w:noProof/>
                  <w:webHidden/>
                </w:rPr>
                <w:fldChar w:fldCharType="separate"/>
              </w:r>
              <w:r>
                <w:rPr>
                  <w:noProof/>
                  <w:webHidden/>
                </w:rPr>
                <w:t>8</w:t>
              </w:r>
              <w:r>
                <w:rPr>
                  <w:noProof/>
                  <w:webHidden/>
                </w:rPr>
                <w:fldChar w:fldCharType="end"/>
              </w:r>
            </w:hyperlink>
          </w:p>
          <w:p w14:paraId="52DED6C1" w14:textId="5418875D" w:rsidR="00733A2B" w:rsidRDefault="00733A2B">
            <w:pPr>
              <w:pStyle w:val="TOC2"/>
              <w:rPr>
                <w:rFonts w:asciiTheme="minorHAnsi" w:eastAsiaTheme="minorEastAsia" w:hAnsiTheme="minorHAnsi"/>
                <w:noProof/>
                <w:color w:val="auto"/>
                <w:kern w:val="2"/>
                <w:szCs w:val="24"/>
                <w:lang w:eastAsia="en-NZ"/>
                <w14:ligatures w14:val="standardContextual"/>
              </w:rPr>
            </w:pPr>
            <w:hyperlink w:anchor="_Toc236747838" w:history="1">
              <w:r w:rsidRPr="009C5C0B">
                <w:rPr>
                  <w:rStyle w:val="Hyperlink"/>
                  <w:noProof/>
                </w:rPr>
                <w:t>Can an agency extend the timeframe for responding to requests because the Minister is not available for consultation?</w:t>
              </w:r>
              <w:r>
                <w:rPr>
                  <w:noProof/>
                  <w:webHidden/>
                </w:rPr>
                <w:tab/>
              </w:r>
              <w:r>
                <w:rPr>
                  <w:noProof/>
                  <w:webHidden/>
                </w:rPr>
                <w:fldChar w:fldCharType="begin"/>
              </w:r>
              <w:r>
                <w:rPr>
                  <w:noProof/>
                  <w:webHidden/>
                </w:rPr>
                <w:instrText xml:space="preserve"> PAGEREF _Toc236747838 \h </w:instrText>
              </w:r>
              <w:r>
                <w:rPr>
                  <w:noProof/>
                  <w:webHidden/>
                </w:rPr>
              </w:r>
              <w:r>
                <w:rPr>
                  <w:noProof/>
                  <w:webHidden/>
                </w:rPr>
                <w:fldChar w:fldCharType="separate"/>
              </w:r>
              <w:r>
                <w:rPr>
                  <w:noProof/>
                  <w:webHidden/>
                </w:rPr>
                <w:t>9</w:t>
              </w:r>
              <w:r>
                <w:rPr>
                  <w:noProof/>
                  <w:webHidden/>
                </w:rPr>
                <w:fldChar w:fldCharType="end"/>
              </w:r>
            </w:hyperlink>
          </w:p>
          <w:p w14:paraId="49E1976F" w14:textId="4BB697DF" w:rsidR="00733A2B" w:rsidRDefault="00733A2B">
            <w:pPr>
              <w:pStyle w:val="TOC2"/>
              <w:rPr>
                <w:rFonts w:asciiTheme="minorHAnsi" w:eastAsiaTheme="minorEastAsia" w:hAnsiTheme="minorHAnsi"/>
                <w:noProof/>
                <w:color w:val="auto"/>
                <w:kern w:val="2"/>
                <w:szCs w:val="24"/>
                <w:lang w:eastAsia="en-NZ"/>
                <w14:ligatures w14:val="standardContextual"/>
              </w:rPr>
            </w:pPr>
            <w:hyperlink w:anchor="_Toc236747839" w:history="1">
              <w:r w:rsidRPr="009C5C0B">
                <w:rPr>
                  <w:rStyle w:val="Hyperlink"/>
                  <w:noProof/>
                </w:rPr>
                <w:t>Can Ministers extend the timeframe for requests they receive during the general election period?</w:t>
              </w:r>
              <w:r>
                <w:rPr>
                  <w:noProof/>
                  <w:webHidden/>
                </w:rPr>
                <w:tab/>
              </w:r>
              <w:r>
                <w:rPr>
                  <w:noProof/>
                  <w:webHidden/>
                </w:rPr>
                <w:fldChar w:fldCharType="begin"/>
              </w:r>
              <w:r>
                <w:rPr>
                  <w:noProof/>
                  <w:webHidden/>
                </w:rPr>
                <w:instrText xml:space="preserve"> PAGEREF _Toc236747839 \h </w:instrText>
              </w:r>
              <w:r>
                <w:rPr>
                  <w:noProof/>
                  <w:webHidden/>
                </w:rPr>
              </w:r>
              <w:r>
                <w:rPr>
                  <w:noProof/>
                  <w:webHidden/>
                </w:rPr>
                <w:fldChar w:fldCharType="separate"/>
              </w:r>
              <w:r>
                <w:rPr>
                  <w:noProof/>
                  <w:webHidden/>
                </w:rPr>
                <w:t>9</w:t>
              </w:r>
              <w:r>
                <w:rPr>
                  <w:noProof/>
                  <w:webHidden/>
                </w:rPr>
                <w:fldChar w:fldCharType="end"/>
              </w:r>
            </w:hyperlink>
          </w:p>
          <w:p w14:paraId="6E7B57AF" w14:textId="4295583D" w:rsidR="00733A2B" w:rsidRDefault="00733A2B">
            <w:pPr>
              <w:pStyle w:val="TOC2"/>
              <w:rPr>
                <w:rFonts w:asciiTheme="minorHAnsi" w:eastAsiaTheme="minorEastAsia" w:hAnsiTheme="minorHAnsi"/>
                <w:noProof/>
                <w:color w:val="auto"/>
                <w:kern w:val="2"/>
                <w:szCs w:val="24"/>
                <w:lang w:eastAsia="en-NZ"/>
                <w14:ligatures w14:val="standardContextual"/>
              </w:rPr>
            </w:pPr>
            <w:hyperlink w:anchor="_Toc236747840" w:history="1">
              <w:r w:rsidRPr="009C5C0B">
                <w:rPr>
                  <w:rStyle w:val="Hyperlink"/>
                  <w:noProof/>
                </w:rPr>
                <w:t>Can we do a blanket extension for all the requests we are currently dealing with?</w:t>
              </w:r>
              <w:r>
                <w:rPr>
                  <w:noProof/>
                  <w:webHidden/>
                </w:rPr>
                <w:tab/>
              </w:r>
              <w:r>
                <w:rPr>
                  <w:noProof/>
                  <w:webHidden/>
                </w:rPr>
                <w:fldChar w:fldCharType="begin"/>
              </w:r>
              <w:r>
                <w:rPr>
                  <w:noProof/>
                  <w:webHidden/>
                </w:rPr>
                <w:instrText xml:space="preserve"> PAGEREF _Toc236747840 \h </w:instrText>
              </w:r>
              <w:r>
                <w:rPr>
                  <w:noProof/>
                  <w:webHidden/>
                </w:rPr>
              </w:r>
              <w:r>
                <w:rPr>
                  <w:noProof/>
                  <w:webHidden/>
                </w:rPr>
                <w:fldChar w:fldCharType="separate"/>
              </w:r>
              <w:r>
                <w:rPr>
                  <w:noProof/>
                  <w:webHidden/>
                </w:rPr>
                <w:t>9</w:t>
              </w:r>
              <w:r>
                <w:rPr>
                  <w:noProof/>
                  <w:webHidden/>
                </w:rPr>
                <w:fldChar w:fldCharType="end"/>
              </w:r>
            </w:hyperlink>
          </w:p>
          <w:p w14:paraId="0CDFD707" w14:textId="64F5A6D2" w:rsidR="00733A2B" w:rsidRDefault="00733A2B">
            <w:pPr>
              <w:pStyle w:val="TOC2"/>
              <w:rPr>
                <w:rFonts w:asciiTheme="minorHAnsi" w:eastAsiaTheme="minorEastAsia" w:hAnsiTheme="minorHAnsi"/>
                <w:noProof/>
                <w:color w:val="auto"/>
                <w:kern w:val="2"/>
                <w:szCs w:val="24"/>
                <w:lang w:eastAsia="en-NZ"/>
                <w14:ligatures w14:val="standardContextual"/>
              </w:rPr>
            </w:pPr>
            <w:hyperlink w:anchor="_Toc236747841" w:history="1">
              <w:r w:rsidRPr="009C5C0B">
                <w:rPr>
                  <w:rStyle w:val="Hyperlink"/>
                  <w:noProof/>
                </w:rPr>
                <w:t xml:space="preserve">How long is </w:t>
              </w:r>
              <w:r w:rsidRPr="009C5C0B">
                <w:rPr>
                  <w:rStyle w:val="Hyperlink"/>
                  <w:i/>
                  <w:noProof/>
                </w:rPr>
                <w:t>‘a reasonable period of time</w:t>
              </w:r>
              <w:r w:rsidRPr="009C5C0B">
                <w:rPr>
                  <w:rStyle w:val="Hyperlink"/>
                  <w:noProof/>
                </w:rPr>
                <w:t>’ for extensions during the general election period?</w:t>
              </w:r>
              <w:r>
                <w:rPr>
                  <w:noProof/>
                  <w:webHidden/>
                </w:rPr>
                <w:tab/>
              </w:r>
              <w:r>
                <w:rPr>
                  <w:noProof/>
                  <w:webHidden/>
                </w:rPr>
                <w:fldChar w:fldCharType="begin"/>
              </w:r>
              <w:r>
                <w:rPr>
                  <w:noProof/>
                  <w:webHidden/>
                </w:rPr>
                <w:instrText xml:space="preserve"> PAGEREF _Toc236747841 \h </w:instrText>
              </w:r>
              <w:r>
                <w:rPr>
                  <w:noProof/>
                  <w:webHidden/>
                </w:rPr>
              </w:r>
              <w:r>
                <w:rPr>
                  <w:noProof/>
                  <w:webHidden/>
                </w:rPr>
                <w:fldChar w:fldCharType="separate"/>
              </w:r>
              <w:r>
                <w:rPr>
                  <w:noProof/>
                  <w:webHidden/>
                </w:rPr>
                <w:t>10</w:t>
              </w:r>
              <w:r>
                <w:rPr>
                  <w:noProof/>
                  <w:webHidden/>
                </w:rPr>
                <w:fldChar w:fldCharType="end"/>
              </w:r>
            </w:hyperlink>
          </w:p>
          <w:p w14:paraId="0248E42A" w14:textId="0A06D52E" w:rsidR="00733A2B" w:rsidRDefault="00733A2B">
            <w:pPr>
              <w:pStyle w:val="TOC1"/>
              <w:rPr>
                <w:rFonts w:asciiTheme="minorHAnsi" w:eastAsiaTheme="minorEastAsia" w:hAnsiTheme="minorHAnsi"/>
                <w:b w:val="0"/>
                <w:noProof/>
                <w:color w:val="auto"/>
                <w:kern w:val="2"/>
                <w:sz w:val="24"/>
                <w:szCs w:val="24"/>
                <w:lang w:eastAsia="en-NZ"/>
                <w14:ligatures w14:val="standardContextual"/>
              </w:rPr>
            </w:pPr>
            <w:hyperlink w:anchor="_Toc236747842" w:history="1">
              <w:r w:rsidRPr="009C5C0B">
                <w:rPr>
                  <w:rStyle w:val="Hyperlink"/>
                  <w:noProof/>
                </w:rPr>
                <w:t>Transfers</w:t>
              </w:r>
              <w:r>
                <w:rPr>
                  <w:noProof/>
                  <w:webHidden/>
                </w:rPr>
                <w:tab/>
              </w:r>
              <w:r>
                <w:rPr>
                  <w:noProof/>
                  <w:webHidden/>
                </w:rPr>
                <w:fldChar w:fldCharType="begin"/>
              </w:r>
              <w:r>
                <w:rPr>
                  <w:noProof/>
                  <w:webHidden/>
                </w:rPr>
                <w:instrText xml:space="preserve"> PAGEREF _Toc236747842 \h </w:instrText>
              </w:r>
              <w:r>
                <w:rPr>
                  <w:noProof/>
                  <w:webHidden/>
                </w:rPr>
              </w:r>
              <w:r>
                <w:rPr>
                  <w:noProof/>
                  <w:webHidden/>
                </w:rPr>
                <w:fldChar w:fldCharType="separate"/>
              </w:r>
              <w:r>
                <w:rPr>
                  <w:noProof/>
                  <w:webHidden/>
                </w:rPr>
                <w:t>10</w:t>
              </w:r>
              <w:r>
                <w:rPr>
                  <w:noProof/>
                  <w:webHidden/>
                </w:rPr>
                <w:fldChar w:fldCharType="end"/>
              </w:r>
            </w:hyperlink>
          </w:p>
          <w:p w14:paraId="4165D0B6" w14:textId="2F213AF5" w:rsidR="00733A2B" w:rsidRDefault="00733A2B">
            <w:pPr>
              <w:pStyle w:val="TOC2"/>
              <w:rPr>
                <w:rFonts w:asciiTheme="minorHAnsi" w:eastAsiaTheme="minorEastAsia" w:hAnsiTheme="minorHAnsi"/>
                <w:noProof/>
                <w:color w:val="auto"/>
                <w:kern w:val="2"/>
                <w:szCs w:val="24"/>
                <w:lang w:eastAsia="en-NZ"/>
                <w14:ligatures w14:val="standardContextual"/>
              </w:rPr>
            </w:pPr>
            <w:hyperlink w:anchor="_Toc236747843" w:history="1">
              <w:r w:rsidRPr="009C5C0B">
                <w:rPr>
                  <w:rStyle w:val="Hyperlink"/>
                  <w:noProof/>
                </w:rPr>
                <w:t>Can we transfer a request to another Minister or agency that may hold the requested information?</w:t>
              </w:r>
              <w:r>
                <w:rPr>
                  <w:noProof/>
                  <w:webHidden/>
                </w:rPr>
                <w:tab/>
              </w:r>
              <w:r>
                <w:rPr>
                  <w:noProof/>
                  <w:webHidden/>
                </w:rPr>
                <w:fldChar w:fldCharType="begin"/>
              </w:r>
              <w:r>
                <w:rPr>
                  <w:noProof/>
                  <w:webHidden/>
                </w:rPr>
                <w:instrText xml:space="preserve"> PAGEREF _Toc236747843 \h </w:instrText>
              </w:r>
              <w:r>
                <w:rPr>
                  <w:noProof/>
                  <w:webHidden/>
                </w:rPr>
              </w:r>
              <w:r>
                <w:rPr>
                  <w:noProof/>
                  <w:webHidden/>
                </w:rPr>
                <w:fldChar w:fldCharType="separate"/>
              </w:r>
              <w:r>
                <w:rPr>
                  <w:noProof/>
                  <w:webHidden/>
                </w:rPr>
                <w:t>10</w:t>
              </w:r>
              <w:r>
                <w:rPr>
                  <w:noProof/>
                  <w:webHidden/>
                </w:rPr>
                <w:fldChar w:fldCharType="end"/>
              </w:r>
            </w:hyperlink>
          </w:p>
          <w:p w14:paraId="7A04AB76" w14:textId="22BCB514" w:rsidR="00733A2B" w:rsidRDefault="00733A2B">
            <w:pPr>
              <w:pStyle w:val="TOC1"/>
              <w:rPr>
                <w:rFonts w:asciiTheme="minorHAnsi" w:eastAsiaTheme="minorEastAsia" w:hAnsiTheme="minorHAnsi"/>
                <w:b w:val="0"/>
                <w:noProof/>
                <w:color w:val="auto"/>
                <w:kern w:val="2"/>
                <w:sz w:val="24"/>
                <w:szCs w:val="24"/>
                <w:lang w:eastAsia="en-NZ"/>
                <w14:ligatures w14:val="standardContextual"/>
              </w:rPr>
            </w:pPr>
            <w:hyperlink w:anchor="_Toc236747844" w:history="1">
              <w:r w:rsidRPr="009C5C0B">
                <w:rPr>
                  <w:rStyle w:val="Hyperlink"/>
                  <w:noProof/>
                </w:rPr>
                <w:t>Requests for official information involving Ministers</w:t>
              </w:r>
              <w:r>
                <w:rPr>
                  <w:noProof/>
                  <w:webHidden/>
                </w:rPr>
                <w:tab/>
              </w:r>
              <w:r>
                <w:rPr>
                  <w:noProof/>
                  <w:webHidden/>
                </w:rPr>
                <w:fldChar w:fldCharType="begin"/>
              </w:r>
              <w:r>
                <w:rPr>
                  <w:noProof/>
                  <w:webHidden/>
                </w:rPr>
                <w:instrText xml:space="preserve"> PAGEREF _Toc236747844 \h </w:instrText>
              </w:r>
              <w:r>
                <w:rPr>
                  <w:noProof/>
                  <w:webHidden/>
                </w:rPr>
              </w:r>
              <w:r>
                <w:rPr>
                  <w:noProof/>
                  <w:webHidden/>
                </w:rPr>
                <w:fldChar w:fldCharType="separate"/>
              </w:r>
              <w:r>
                <w:rPr>
                  <w:noProof/>
                  <w:webHidden/>
                </w:rPr>
                <w:t>11</w:t>
              </w:r>
              <w:r>
                <w:rPr>
                  <w:noProof/>
                  <w:webHidden/>
                </w:rPr>
                <w:fldChar w:fldCharType="end"/>
              </w:r>
            </w:hyperlink>
          </w:p>
          <w:p w14:paraId="2032BA71" w14:textId="6AD42680" w:rsidR="00733A2B" w:rsidRDefault="00733A2B">
            <w:pPr>
              <w:pStyle w:val="TOC2"/>
              <w:rPr>
                <w:rFonts w:asciiTheme="minorHAnsi" w:eastAsiaTheme="minorEastAsia" w:hAnsiTheme="minorHAnsi"/>
                <w:noProof/>
                <w:color w:val="auto"/>
                <w:kern w:val="2"/>
                <w:szCs w:val="24"/>
                <w:lang w:eastAsia="en-NZ"/>
                <w14:ligatures w14:val="standardContextual"/>
              </w:rPr>
            </w:pPr>
            <w:hyperlink w:anchor="_Toc236747845" w:history="1">
              <w:r w:rsidRPr="009C5C0B">
                <w:rPr>
                  <w:rStyle w:val="Hyperlink"/>
                  <w:noProof/>
                </w:rPr>
                <w:t>What information held by Ministers is subject to the OIA?</w:t>
              </w:r>
              <w:r>
                <w:rPr>
                  <w:noProof/>
                  <w:webHidden/>
                </w:rPr>
                <w:tab/>
              </w:r>
              <w:r>
                <w:rPr>
                  <w:noProof/>
                  <w:webHidden/>
                </w:rPr>
                <w:fldChar w:fldCharType="begin"/>
              </w:r>
              <w:r>
                <w:rPr>
                  <w:noProof/>
                  <w:webHidden/>
                </w:rPr>
                <w:instrText xml:space="preserve"> PAGEREF _Toc236747845 \h </w:instrText>
              </w:r>
              <w:r>
                <w:rPr>
                  <w:noProof/>
                  <w:webHidden/>
                </w:rPr>
              </w:r>
              <w:r>
                <w:rPr>
                  <w:noProof/>
                  <w:webHidden/>
                </w:rPr>
                <w:fldChar w:fldCharType="separate"/>
              </w:r>
              <w:r>
                <w:rPr>
                  <w:noProof/>
                  <w:webHidden/>
                </w:rPr>
                <w:t>11</w:t>
              </w:r>
              <w:r>
                <w:rPr>
                  <w:noProof/>
                  <w:webHidden/>
                </w:rPr>
                <w:fldChar w:fldCharType="end"/>
              </w:r>
            </w:hyperlink>
          </w:p>
          <w:p w14:paraId="55273C2B" w14:textId="122D921D" w:rsidR="00733A2B" w:rsidRDefault="00733A2B">
            <w:pPr>
              <w:pStyle w:val="TOC2"/>
              <w:rPr>
                <w:rFonts w:asciiTheme="minorHAnsi" w:eastAsiaTheme="minorEastAsia" w:hAnsiTheme="minorHAnsi"/>
                <w:noProof/>
                <w:color w:val="auto"/>
                <w:kern w:val="2"/>
                <w:szCs w:val="24"/>
                <w:lang w:eastAsia="en-NZ"/>
                <w14:ligatures w14:val="standardContextual"/>
              </w:rPr>
            </w:pPr>
            <w:hyperlink w:anchor="_Toc236747846" w:history="1">
              <w:r w:rsidRPr="009C5C0B">
                <w:rPr>
                  <w:rStyle w:val="Hyperlink"/>
                  <w:noProof/>
                </w:rPr>
                <w:t>Are former Ministers still subject to the OIA?</w:t>
              </w:r>
              <w:r>
                <w:rPr>
                  <w:noProof/>
                  <w:webHidden/>
                </w:rPr>
                <w:tab/>
              </w:r>
              <w:r>
                <w:rPr>
                  <w:noProof/>
                  <w:webHidden/>
                </w:rPr>
                <w:fldChar w:fldCharType="begin"/>
              </w:r>
              <w:r>
                <w:rPr>
                  <w:noProof/>
                  <w:webHidden/>
                </w:rPr>
                <w:instrText xml:space="preserve"> PAGEREF _Toc236747846 \h </w:instrText>
              </w:r>
              <w:r>
                <w:rPr>
                  <w:noProof/>
                  <w:webHidden/>
                </w:rPr>
              </w:r>
              <w:r>
                <w:rPr>
                  <w:noProof/>
                  <w:webHidden/>
                </w:rPr>
                <w:fldChar w:fldCharType="separate"/>
              </w:r>
              <w:r>
                <w:rPr>
                  <w:noProof/>
                  <w:webHidden/>
                </w:rPr>
                <w:t>11</w:t>
              </w:r>
              <w:r>
                <w:rPr>
                  <w:noProof/>
                  <w:webHidden/>
                </w:rPr>
                <w:fldChar w:fldCharType="end"/>
              </w:r>
            </w:hyperlink>
          </w:p>
          <w:p w14:paraId="5D3C2386" w14:textId="517B588B" w:rsidR="00733A2B" w:rsidRDefault="00733A2B">
            <w:pPr>
              <w:pStyle w:val="TOC2"/>
              <w:rPr>
                <w:rFonts w:asciiTheme="minorHAnsi" w:eastAsiaTheme="minorEastAsia" w:hAnsiTheme="minorHAnsi"/>
                <w:noProof/>
                <w:color w:val="auto"/>
                <w:kern w:val="2"/>
                <w:szCs w:val="24"/>
                <w:lang w:eastAsia="en-NZ"/>
                <w14:ligatures w14:val="standardContextual"/>
              </w:rPr>
            </w:pPr>
            <w:hyperlink w:anchor="_Toc236747847" w:history="1">
              <w:r w:rsidRPr="009C5C0B">
                <w:rPr>
                  <w:rStyle w:val="Hyperlink"/>
                  <w:noProof/>
                </w:rPr>
                <w:t>What happens during a caretaker period?</w:t>
              </w:r>
              <w:r>
                <w:rPr>
                  <w:noProof/>
                  <w:webHidden/>
                </w:rPr>
                <w:tab/>
              </w:r>
              <w:r>
                <w:rPr>
                  <w:noProof/>
                  <w:webHidden/>
                </w:rPr>
                <w:fldChar w:fldCharType="begin"/>
              </w:r>
              <w:r>
                <w:rPr>
                  <w:noProof/>
                  <w:webHidden/>
                </w:rPr>
                <w:instrText xml:space="preserve"> PAGEREF _Toc236747847 \h </w:instrText>
              </w:r>
              <w:r>
                <w:rPr>
                  <w:noProof/>
                  <w:webHidden/>
                </w:rPr>
              </w:r>
              <w:r>
                <w:rPr>
                  <w:noProof/>
                  <w:webHidden/>
                </w:rPr>
                <w:fldChar w:fldCharType="separate"/>
              </w:r>
              <w:r>
                <w:rPr>
                  <w:noProof/>
                  <w:webHidden/>
                </w:rPr>
                <w:t>12</w:t>
              </w:r>
              <w:r>
                <w:rPr>
                  <w:noProof/>
                  <w:webHidden/>
                </w:rPr>
                <w:fldChar w:fldCharType="end"/>
              </w:r>
            </w:hyperlink>
          </w:p>
          <w:p w14:paraId="672BA6B7" w14:textId="2ADFA18D" w:rsidR="00733A2B" w:rsidRDefault="00733A2B">
            <w:pPr>
              <w:pStyle w:val="TOC2"/>
              <w:rPr>
                <w:rFonts w:asciiTheme="minorHAnsi" w:eastAsiaTheme="minorEastAsia" w:hAnsiTheme="minorHAnsi"/>
                <w:noProof/>
                <w:color w:val="auto"/>
                <w:kern w:val="2"/>
                <w:szCs w:val="24"/>
                <w:lang w:eastAsia="en-NZ"/>
                <w14:ligatures w14:val="standardContextual"/>
              </w:rPr>
            </w:pPr>
            <w:hyperlink w:anchor="_Toc236747848" w:history="1">
              <w:r w:rsidRPr="009C5C0B">
                <w:rPr>
                  <w:rStyle w:val="Hyperlink"/>
                  <w:noProof/>
                </w:rPr>
                <w:t>At what point does non-government information become ‘official information’?</w:t>
              </w:r>
              <w:r>
                <w:rPr>
                  <w:noProof/>
                  <w:webHidden/>
                </w:rPr>
                <w:tab/>
              </w:r>
              <w:r>
                <w:rPr>
                  <w:noProof/>
                  <w:webHidden/>
                </w:rPr>
                <w:fldChar w:fldCharType="begin"/>
              </w:r>
              <w:r>
                <w:rPr>
                  <w:noProof/>
                  <w:webHidden/>
                </w:rPr>
                <w:instrText xml:space="preserve"> PAGEREF _Toc236747848 \h </w:instrText>
              </w:r>
              <w:r>
                <w:rPr>
                  <w:noProof/>
                  <w:webHidden/>
                </w:rPr>
              </w:r>
              <w:r>
                <w:rPr>
                  <w:noProof/>
                  <w:webHidden/>
                </w:rPr>
                <w:fldChar w:fldCharType="separate"/>
              </w:r>
              <w:r>
                <w:rPr>
                  <w:noProof/>
                  <w:webHidden/>
                </w:rPr>
                <w:t>12</w:t>
              </w:r>
              <w:r>
                <w:rPr>
                  <w:noProof/>
                  <w:webHidden/>
                </w:rPr>
                <w:fldChar w:fldCharType="end"/>
              </w:r>
            </w:hyperlink>
          </w:p>
          <w:p w14:paraId="10A7AEEC" w14:textId="5FEE7F98" w:rsidR="00733A2B" w:rsidRDefault="00733A2B">
            <w:pPr>
              <w:pStyle w:val="TOC2"/>
              <w:rPr>
                <w:rFonts w:asciiTheme="minorHAnsi" w:eastAsiaTheme="minorEastAsia" w:hAnsiTheme="minorHAnsi"/>
                <w:noProof/>
                <w:color w:val="auto"/>
                <w:kern w:val="2"/>
                <w:szCs w:val="24"/>
                <w:lang w:eastAsia="en-NZ"/>
                <w14:ligatures w14:val="standardContextual"/>
              </w:rPr>
            </w:pPr>
            <w:hyperlink w:anchor="_Toc236747849" w:history="1">
              <w:r w:rsidRPr="009C5C0B">
                <w:rPr>
                  <w:rStyle w:val="Hyperlink"/>
                  <w:noProof/>
                </w:rPr>
                <w:t>How should we respond to requests for Briefings to Incoming Ministers (BIMs)?</w:t>
              </w:r>
              <w:r>
                <w:rPr>
                  <w:noProof/>
                  <w:webHidden/>
                </w:rPr>
                <w:tab/>
              </w:r>
              <w:r>
                <w:rPr>
                  <w:noProof/>
                  <w:webHidden/>
                </w:rPr>
                <w:fldChar w:fldCharType="begin"/>
              </w:r>
              <w:r>
                <w:rPr>
                  <w:noProof/>
                  <w:webHidden/>
                </w:rPr>
                <w:instrText xml:space="preserve"> PAGEREF _Toc236747849 \h </w:instrText>
              </w:r>
              <w:r>
                <w:rPr>
                  <w:noProof/>
                  <w:webHidden/>
                </w:rPr>
              </w:r>
              <w:r>
                <w:rPr>
                  <w:noProof/>
                  <w:webHidden/>
                </w:rPr>
                <w:fldChar w:fldCharType="separate"/>
              </w:r>
              <w:r>
                <w:rPr>
                  <w:noProof/>
                  <w:webHidden/>
                </w:rPr>
                <w:t>13</w:t>
              </w:r>
              <w:r>
                <w:rPr>
                  <w:noProof/>
                  <w:webHidden/>
                </w:rPr>
                <w:fldChar w:fldCharType="end"/>
              </w:r>
            </w:hyperlink>
          </w:p>
          <w:p w14:paraId="0BEE518E" w14:textId="67A0887B" w:rsidR="00733A2B" w:rsidRDefault="00733A2B">
            <w:pPr>
              <w:pStyle w:val="TOC2"/>
              <w:rPr>
                <w:rFonts w:asciiTheme="minorHAnsi" w:eastAsiaTheme="minorEastAsia" w:hAnsiTheme="minorHAnsi"/>
                <w:noProof/>
                <w:color w:val="auto"/>
                <w:kern w:val="2"/>
                <w:szCs w:val="24"/>
                <w:lang w:eastAsia="en-NZ"/>
                <w14:ligatures w14:val="standardContextual"/>
              </w:rPr>
            </w:pPr>
            <w:hyperlink w:anchor="_Toc236747850" w:history="1">
              <w:r w:rsidRPr="009C5C0B">
                <w:rPr>
                  <w:rStyle w:val="Hyperlink"/>
                  <w:noProof/>
                </w:rPr>
                <w:t>How should we respond to a request made to a former Minister where no decision on the request was made before the Minister changed?</w:t>
              </w:r>
              <w:r>
                <w:rPr>
                  <w:noProof/>
                  <w:webHidden/>
                </w:rPr>
                <w:tab/>
              </w:r>
              <w:r>
                <w:rPr>
                  <w:noProof/>
                  <w:webHidden/>
                </w:rPr>
                <w:fldChar w:fldCharType="begin"/>
              </w:r>
              <w:r>
                <w:rPr>
                  <w:noProof/>
                  <w:webHidden/>
                </w:rPr>
                <w:instrText xml:space="preserve"> PAGEREF _Toc236747850 \h </w:instrText>
              </w:r>
              <w:r>
                <w:rPr>
                  <w:noProof/>
                  <w:webHidden/>
                </w:rPr>
              </w:r>
              <w:r>
                <w:rPr>
                  <w:noProof/>
                  <w:webHidden/>
                </w:rPr>
                <w:fldChar w:fldCharType="separate"/>
              </w:r>
              <w:r>
                <w:rPr>
                  <w:noProof/>
                  <w:webHidden/>
                </w:rPr>
                <w:t>13</w:t>
              </w:r>
              <w:r>
                <w:rPr>
                  <w:noProof/>
                  <w:webHidden/>
                </w:rPr>
                <w:fldChar w:fldCharType="end"/>
              </w:r>
            </w:hyperlink>
          </w:p>
          <w:p w14:paraId="50BB6271" w14:textId="781EA29E" w:rsidR="00733A2B" w:rsidRDefault="00733A2B">
            <w:pPr>
              <w:pStyle w:val="TOC2"/>
              <w:rPr>
                <w:rFonts w:asciiTheme="minorHAnsi" w:eastAsiaTheme="minorEastAsia" w:hAnsiTheme="minorHAnsi"/>
                <w:noProof/>
                <w:color w:val="auto"/>
                <w:kern w:val="2"/>
                <w:szCs w:val="24"/>
                <w:lang w:eastAsia="en-NZ"/>
                <w14:ligatures w14:val="standardContextual"/>
              </w:rPr>
            </w:pPr>
            <w:hyperlink w:anchor="_Toc236747851" w:history="1">
              <w:r w:rsidRPr="009C5C0B">
                <w:rPr>
                  <w:rStyle w:val="Hyperlink"/>
                  <w:noProof/>
                </w:rPr>
                <w:t>If a request is made to a current Minister for information held by a former Minister, can the current Minister’s office transfer it?</w:t>
              </w:r>
              <w:r>
                <w:rPr>
                  <w:noProof/>
                  <w:webHidden/>
                </w:rPr>
                <w:tab/>
              </w:r>
              <w:r>
                <w:rPr>
                  <w:noProof/>
                  <w:webHidden/>
                </w:rPr>
                <w:fldChar w:fldCharType="begin"/>
              </w:r>
              <w:r>
                <w:rPr>
                  <w:noProof/>
                  <w:webHidden/>
                </w:rPr>
                <w:instrText xml:space="preserve"> PAGEREF _Toc236747851 \h </w:instrText>
              </w:r>
              <w:r>
                <w:rPr>
                  <w:noProof/>
                  <w:webHidden/>
                </w:rPr>
              </w:r>
              <w:r>
                <w:rPr>
                  <w:noProof/>
                  <w:webHidden/>
                </w:rPr>
                <w:fldChar w:fldCharType="separate"/>
              </w:r>
              <w:r>
                <w:rPr>
                  <w:noProof/>
                  <w:webHidden/>
                </w:rPr>
                <w:t>14</w:t>
              </w:r>
              <w:r>
                <w:rPr>
                  <w:noProof/>
                  <w:webHidden/>
                </w:rPr>
                <w:fldChar w:fldCharType="end"/>
              </w:r>
            </w:hyperlink>
          </w:p>
          <w:p w14:paraId="3FBC692F" w14:textId="34E8AF66" w:rsidR="00733A2B" w:rsidRDefault="00733A2B">
            <w:pPr>
              <w:pStyle w:val="TOC2"/>
              <w:rPr>
                <w:rFonts w:asciiTheme="minorHAnsi" w:eastAsiaTheme="minorEastAsia" w:hAnsiTheme="minorHAnsi"/>
                <w:noProof/>
                <w:color w:val="auto"/>
                <w:kern w:val="2"/>
                <w:szCs w:val="24"/>
                <w:lang w:eastAsia="en-NZ"/>
                <w14:ligatures w14:val="standardContextual"/>
              </w:rPr>
            </w:pPr>
            <w:hyperlink w:anchor="_Toc236747852" w:history="1">
              <w:r w:rsidRPr="009C5C0B">
                <w:rPr>
                  <w:rStyle w:val="Hyperlink"/>
                  <w:noProof/>
                </w:rPr>
                <w:t>What happens if the Ombudsman has an investigation currently open concerning a former Minister?</w:t>
              </w:r>
              <w:r>
                <w:rPr>
                  <w:noProof/>
                  <w:webHidden/>
                </w:rPr>
                <w:tab/>
              </w:r>
              <w:r>
                <w:rPr>
                  <w:noProof/>
                  <w:webHidden/>
                </w:rPr>
                <w:fldChar w:fldCharType="begin"/>
              </w:r>
              <w:r>
                <w:rPr>
                  <w:noProof/>
                  <w:webHidden/>
                </w:rPr>
                <w:instrText xml:space="preserve"> PAGEREF _Toc236747852 \h </w:instrText>
              </w:r>
              <w:r>
                <w:rPr>
                  <w:noProof/>
                  <w:webHidden/>
                </w:rPr>
              </w:r>
              <w:r>
                <w:rPr>
                  <w:noProof/>
                  <w:webHidden/>
                </w:rPr>
                <w:fldChar w:fldCharType="separate"/>
              </w:r>
              <w:r>
                <w:rPr>
                  <w:noProof/>
                  <w:webHidden/>
                </w:rPr>
                <w:t>14</w:t>
              </w:r>
              <w:r>
                <w:rPr>
                  <w:noProof/>
                  <w:webHidden/>
                </w:rPr>
                <w:fldChar w:fldCharType="end"/>
              </w:r>
            </w:hyperlink>
          </w:p>
          <w:p w14:paraId="3A1C0BA3" w14:textId="06E4BD88" w:rsidR="00733A2B" w:rsidRDefault="00733A2B">
            <w:pPr>
              <w:pStyle w:val="TOC1"/>
              <w:rPr>
                <w:rFonts w:asciiTheme="minorHAnsi" w:eastAsiaTheme="minorEastAsia" w:hAnsiTheme="minorHAnsi"/>
                <w:b w:val="0"/>
                <w:noProof/>
                <w:color w:val="auto"/>
                <w:kern w:val="2"/>
                <w:sz w:val="24"/>
                <w:szCs w:val="24"/>
                <w:lang w:eastAsia="en-NZ"/>
                <w14:ligatures w14:val="standardContextual"/>
              </w:rPr>
            </w:pPr>
            <w:hyperlink w:anchor="_Toc236747853" w:history="1">
              <w:r w:rsidRPr="009C5C0B">
                <w:rPr>
                  <w:rStyle w:val="Hyperlink"/>
                  <w:noProof/>
                </w:rPr>
                <w:t>Previous election-related cases</w:t>
              </w:r>
              <w:r>
                <w:rPr>
                  <w:noProof/>
                  <w:webHidden/>
                </w:rPr>
                <w:tab/>
              </w:r>
              <w:r>
                <w:rPr>
                  <w:noProof/>
                  <w:webHidden/>
                </w:rPr>
                <w:fldChar w:fldCharType="begin"/>
              </w:r>
              <w:r>
                <w:rPr>
                  <w:noProof/>
                  <w:webHidden/>
                </w:rPr>
                <w:instrText xml:space="preserve"> PAGEREF _Toc236747853 \h </w:instrText>
              </w:r>
              <w:r>
                <w:rPr>
                  <w:noProof/>
                  <w:webHidden/>
                </w:rPr>
              </w:r>
              <w:r>
                <w:rPr>
                  <w:noProof/>
                  <w:webHidden/>
                </w:rPr>
                <w:fldChar w:fldCharType="separate"/>
              </w:r>
              <w:r>
                <w:rPr>
                  <w:noProof/>
                  <w:webHidden/>
                </w:rPr>
                <w:t>14</w:t>
              </w:r>
              <w:r>
                <w:rPr>
                  <w:noProof/>
                  <w:webHidden/>
                </w:rPr>
                <w:fldChar w:fldCharType="end"/>
              </w:r>
            </w:hyperlink>
          </w:p>
          <w:p w14:paraId="60F744B4" w14:textId="29B70B03" w:rsidR="00733A2B" w:rsidRDefault="00733A2B">
            <w:pPr>
              <w:pStyle w:val="TOC1"/>
              <w:rPr>
                <w:rFonts w:asciiTheme="minorHAnsi" w:eastAsiaTheme="minorEastAsia" w:hAnsiTheme="minorHAnsi"/>
                <w:b w:val="0"/>
                <w:noProof/>
                <w:color w:val="auto"/>
                <w:kern w:val="2"/>
                <w:sz w:val="24"/>
                <w:szCs w:val="24"/>
                <w:lang w:eastAsia="en-NZ"/>
                <w14:ligatures w14:val="standardContextual"/>
              </w:rPr>
            </w:pPr>
            <w:hyperlink w:anchor="_Toc236747854" w:history="1">
              <w:r w:rsidRPr="009C5C0B">
                <w:rPr>
                  <w:rStyle w:val="Hyperlink"/>
                  <w:noProof/>
                </w:rPr>
                <w:t>Further information and help</w:t>
              </w:r>
              <w:r>
                <w:rPr>
                  <w:noProof/>
                  <w:webHidden/>
                </w:rPr>
                <w:tab/>
              </w:r>
              <w:r>
                <w:rPr>
                  <w:noProof/>
                  <w:webHidden/>
                </w:rPr>
                <w:fldChar w:fldCharType="begin"/>
              </w:r>
              <w:r>
                <w:rPr>
                  <w:noProof/>
                  <w:webHidden/>
                </w:rPr>
                <w:instrText xml:space="preserve"> PAGEREF _Toc236747854 \h </w:instrText>
              </w:r>
              <w:r>
                <w:rPr>
                  <w:noProof/>
                  <w:webHidden/>
                </w:rPr>
              </w:r>
              <w:r>
                <w:rPr>
                  <w:noProof/>
                  <w:webHidden/>
                </w:rPr>
                <w:fldChar w:fldCharType="separate"/>
              </w:r>
              <w:r>
                <w:rPr>
                  <w:noProof/>
                  <w:webHidden/>
                </w:rPr>
                <w:t>15</w:t>
              </w:r>
              <w:r>
                <w:rPr>
                  <w:noProof/>
                  <w:webHidden/>
                </w:rPr>
                <w:fldChar w:fldCharType="end"/>
              </w:r>
            </w:hyperlink>
          </w:p>
          <w:p w14:paraId="09139B17" w14:textId="7C2A546C" w:rsidR="00733A2B" w:rsidRDefault="00733A2B">
            <w:pPr>
              <w:pStyle w:val="TOC2"/>
              <w:rPr>
                <w:rFonts w:asciiTheme="minorHAnsi" w:eastAsiaTheme="minorEastAsia" w:hAnsiTheme="minorHAnsi"/>
                <w:noProof/>
                <w:color w:val="auto"/>
                <w:kern w:val="2"/>
                <w:szCs w:val="24"/>
                <w:lang w:eastAsia="en-NZ"/>
                <w14:ligatures w14:val="standardContextual"/>
              </w:rPr>
            </w:pPr>
            <w:hyperlink w:anchor="_Toc236747855" w:history="1">
              <w:r w:rsidRPr="009C5C0B">
                <w:rPr>
                  <w:rStyle w:val="Hyperlink"/>
                  <w:noProof/>
                </w:rPr>
                <w:t>Where can I go if my question isn’t answered here?</w:t>
              </w:r>
              <w:r>
                <w:rPr>
                  <w:noProof/>
                  <w:webHidden/>
                </w:rPr>
                <w:tab/>
              </w:r>
              <w:r>
                <w:rPr>
                  <w:noProof/>
                  <w:webHidden/>
                </w:rPr>
                <w:fldChar w:fldCharType="begin"/>
              </w:r>
              <w:r>
                <w:rPr>
                  <w:noProof/>
                  <w:webHidden/>
                </w:rPr>
                <w:instrText xml:space="preserve"> PAGEREF _Toc236747855 \h </w:instrText>
              </w:r>
              <w:r>
                <w:rPr>
                  <w:noProof/>
                  <w:webHidden/>
                </w:rPr>
              </w:r>
              <w:r>
                <w:rPr>
                  <w:noProof/>
                  <w:webHidden/>
                </w:rPr>
                <w:fldChar w:fldCharType="separate"/>
              </w:r>
              <w:r>
                <w:rPr>
                  <w:noProof/>
                  <w:webHidden/>
                </w:rPr>
                <w:t>15</w:t>
              </w:r>
              <w:r>
                <w:rPr>
                  <w:noProof/>
                  <w:webHidden/>
                </w:rPr>
                <w:fldChar w:fldCharType="end"/>
              </w:r>
            </w:hyperlink>
          </w:p>
          <w:p w14:paraId="503171D5" w14:textId="3084BD5F" w:rsidR="00733A2B" w:rsidRDefault="00733A2B">
            <w:pPr>
              <w:pStyle w:val="TOC2"/>
              <w:rPr>
                <w:rFonts w:asciiTheme="minorHAnsi" w:eastAsiaTheme="minorEastAsia" w:hAnsiTheme="minorHAnsi"/>
                <w:noProof/>
                <w:color w:val="auto"/>
                <w:kern w:val="2"/>
                <w:szCs w:val="24"/>
                <w:lang w:eastAsia="en-NZ"/>
                <w14:ligatures w14:val="standardContextual"/>
              </w:rPr>
            </w:pPr>
            <w:hyperlink w:anchor="_Toc236747856" w:history="1">
              <w:r w:rsidRPr="009C5C0B">
                <w:rPr>
                  <w:rStyle w:val="Hyperlink"/>
                  <w:noProof/>
                </w:rPr>
                <w:t>What other information do you have available?</w:t>
              </w:r>
              <w:r>
                <w:rPr>
                  <w:noProof/>
                  <w:webHidden/>
                </w:rPr>
                <w:tab/>
              </w:r>
              <w:r>
                <w:rPr>
                  <w:noProof/>
                  <w:webHidden/>
                </w:rPr>
                <w:fldChar w:fldCharType="begin"/>
              </w:r>
              <w:r>
                <w:rPr>
                  <w:noProof/>
                  <w:webHidden/>
                </w:rPr>
                <w:instrText xml:space="preserve"> PAGEREF _Toc236747856 \h </w:instrText>
              </w:r>
              <w:r>
                <w:rPr>
                  <w:noProof/>
                  <w:webHidden/>
                </w:rPr>
              </w:r>
              <w:r>
                <w:rPr>
                  <w:noProof/>
                  <w:webHidden/>
                </w:rPr>
                <w:fldChar w:fldCharType="separate"/>
              </w:r>
              <w:r>
                <w:rPr>
                  <w:noProof/>
                  <w:webHidden/>
                </w:rPr>
                <w:t>15</w:t>
              </w:r>
              <w:r>
                <w:rPr>
                  <w:noProof/>
                  <w:webHidden/>
                </w:rPr>
                <w:fldChar w:fldCharType="end"/>
              </w:r>
            </w:hyperlink>
          </w:p>
          <w:p w14:paraId="0EFDAD88" w14:textId="13E8E63A" w:rsidR="00935565" w:rsidRDefault="00935565" w:rsidP="00460281">
            <w:pPr>
              <w:pStyle w:val="Whitespace"/>
            </w:pPr>
            <w:r>
              <w:fldChar w:fldCharType="end"/>
            </w:r>
          </w:p>
        </w:tc>
      </w:tr>
      <w:bookmarkEnd w:id="1"/>
      <w:bookmarkEnd w:id="2"/>
    </w:tbl>
    <w:p w14:paraId="7436D38B" w14:textId="77777777" w:rsidR="00524BF8" w:rsidRDefault="00524BF8" w:rsidP="0076620C">
      <w:pPr>
        <w:pStyle w:val="BodyText"/>
      </w:pPr>
    </w:p>
    <w:p w14:paraId="1FA5ABD5" w14:textId="77777777" w:rsidR="00524BF8" w:rsidRDefault="00524BF8">
      <w:pPr>
        <w:spacing w:after="200" w:line="276" w:lineRule="auto"/>
        <w:rPr>
          <w:rFonts w:eastAsiaTheme="majorEastAsia" w:cstheme="majorBidi"/>
          <w:bCs/>
          <w:color w:val="2BB673"/>
          <w:sz w:val="38"/>
          <w:szCs w:val="28"/>
        </w:rPr>
      </w:pPr>
      <w:r>
        <w:br w:type="page"/>
      </w:r>
    </w:p>
    <w:p w14:paraId="4017739C" w14:textId="7AAACCFF" w:rsidR="00504E76" w:rsidRDefault="00504E76" w:rsidP="00504E76">
      <w:pPr>
        <w:pStyle w:val="Heading1"/>
        <w:spacing w:after="240"/>
      </w:pPr>
      <w:bookmarkStart w:id="3" w:name="_Toc236747825"/>
      <w:r>
        <w:t>The ‘general election period’</w:t>
      </w:r>
      <w:bookmarkEnd w:id="3"/>
    </w:p>
    <w:p w14:paraId="7D376638" w14:textId="2AE1DD7E" w:rsidR="00504E76" w:rsidRDefault="00504E76" w:rsidP="00504E76">
      <w:pPr>
        <w:pStyle w:val="Heading2"/>
        <w:spacing w:before="240"/>
      </w:pPr>
      <w:bookmarkStart w:id="4" w:name="_Toc236747826"/>
      <w:r>
        <w:t>What does the ‘general election period’ mean?</w:t>
      </w:r>
      <w:bookmarkEnd w:id="4"/>
    </w:p>
    <w:p w14:paraId="79A485B8" w14:textId="0FD052DF" w:rsidR="00504E76" w:rsidRDefault="00504E76" w:rsidP="00504E76">
      <w:pPr>
        <w:pStyle w:val="BodyText"/>
      </w:pPr>
      <w:r>
        <w:t xml:space="preserve">For the purposes of this </w:t>
      </w:r>
      <w:r w:rsidR="003E38A3">
        <w:t>document</w:t>
      </w:r>
      <w:r>
        <w:t>, the ‘</w:t>
      </w:r>
      <w:r>
        <w:rPr>
          <w:i/>
        </w:rPr>
        <w:t xml:space="preserve">general election period’ </w:t>
      </w:r>
      <w:r>
        <w:t xml:space="preserve">refers to the period </w:t>
      </w:r>
      <w:r w:rsidR="00E01F9D">
        <w:t xml:space="preserve">from </w:t>
      </w:r>
      <w:r w:rsidR="00D44D6E">
        <w:t xml:space="preserve">the </w:t>
      </w:r>
      <w:r w:rsidR="001842E7">
        <w:t xml:space="preserve">start </w:t>
      </w:r>
      <w:r w:rsidR="00D44D6E">
        <w:t>of</w:t>
      </w:r>
      <w:r w:rsidR="00A742B5">
        <w:t xml:space="preserve"> the</w:t>
      </w:r>
      <w:r w:rsidR="00D44D6E">
        <w:t xml:space="preserve"> ‘</w:t>
      </w:r>
      <w:r w:rsidR="00D44D6E" w:rsidRPr="00A742B5">
        <w:rPr>
          <w:rStyle w:val="Quotationwithinthesentence"/>
        </w:rPr>
        <w:t>pre-election</w:t>
      </w:r>
      <w:r w:rsidR="00D44D6E">
        <w:t xml:space="preserve">’ </w:t>
      </w:r>
      <w:r w:rsidR="00A742B5">
        <w:t xml:space="preserve">period on 7 August 2026, </w:t>
      </w:r>
      <w:r w:rsidR="00D44D6E">
        <w:t xml:space="preserve">to the last date the House of Representatives can meet following the establishment of a </w:t>
      </w:r>
      <w:r w:rsidR="00794662">
        <w:t xml:space="preserve">new </w:t>
      </w:r>
      <w:r w:rsidR="00586819">
        <w:t>G</w:t>
      </w:r>
      <w:r w:rsidR="00CA5E2E">
        <w:t>overnment</w:t>
      </w:r>
      <w:r w:rsidR="00D44D6E">
        <w:t>.</w:t>
      </w:r>
      <w:r>
        <w:t xml:space="preserve"> </w:t>
      </w:r>
      <w:r w:rsidR="000A10AE">
        <w:t>T</w:t>
      </w:r>
      <w:r w:rsidR="00B239A3">
        <w:t xml:space="preserve">he </w:t>
      </w:r>
      <w:r w:rsidR="00C95EA5">
        <w:t xml:space="preserve">2026 </w:t>
      </w:r>
      <w:r w:rsidR="00B239A3">
        <w:t xml:space="preserve">General Election will be held on Saturday </w:t>
      </w:r>
      <w:r w:rsidR="00330F64">
        <w:t>7 November</w:t>
      </w:r>
      <w:r w:rsidR="00B239A3">
        <w:t xml:space="preserve"> 202</w:t>
      </w:r>
      <w:r w:rsidR="00330F64">
        <w:t>6</w:t>
      </w:r>
      <w:r w:rsidR="00B239A3">
        <w:t xml:space="preserve">. </w:t>
      </w:r>
    </w:p>
    <w:p w14:paraId="5225C497" w14:textId="505D264D" w:rsidR="00504E76" w:rsidRDefault="00504E76" w:rsidP="00504E76">
      <w:pPr>
        <w:pStyle w:val="Heading2"/>
      </w:pPr>
      <w:bookmarkStart w:id="5" w:name="_Toc236747827"/>
      <w:r>
        <w:t>What is the timeline for the</w:t>
      </w:r>
      <w:r w:rsidR="003C6E7A">
        <w:t xml:space="preserve"> </w:t>
      </w:r>
      <w:r w:rsidR="00D338ED">
        <w:t xml:space="preserve">2026 </w:t>
      </w:r>
      <w:r>
        <w:t>‘general election period’?</w:t>
      </w:r>
      <w:bookmarkEnd w:id="5"/>
    </w:p>
    <w:p w14:paraId="423FF21A" w14:textId="3092005A" w:rsidR="00504E76" w:rsidRDefault="00504E76" w:rsidP="00504E76">
      <w:pPr>
        <w:pStyle w:val="BodyText"/>
      </w:pPr>
      <w:r>
        <w:t xml:space="preserve">The </w:t>
      </w:r>
      <w:r w:rsidR="00C27E47">
        <w:t xml:space="preserve">indicative </w:t>
      </w:r>
      <w:r>
        <w:t>time</w:t>
      </w:r>
      <w:r w:rsidR="00056BB3">
        <w:t>line</w:t>
      </w:r>
      <w:r>
        <w:t xml:space="preserve"> for the 202</w:t>
      </w:r>
      <w:r w:rsidR="00330F64">
        <w:t>6</w:t>
      </w:r>
      <w:r>
        <w:t xml:space="preserve"> </w:t>
      </w:r>
      <w:r w:rsidR="003E38A3">
        <w:t>G</w:t>
      </w:r>
      <w:r>
        <w:t xml:space="preserve">eneral </w:t>
      </w:r>
      <w:r w:rsidR="003E38A3">
        <w:t>E</w:t>
      </w:r>
      <w:r>
        <w:t>lection is</w:t>
      </w:r>
      <w:r w:rsidR="00056BB3">
        <w:t xml:space="preserve"> in the table below.</w:t>
      </w:r>
    </w:p>
    <w:tbl>
      <w:tblPr>
        <w:tblStyle w:val="TableGrid"/>
        <w:tblW w:w="5000" w:type="pct"/>
        <w:tblLook w:val="0620" w:firstRow="1" w:lastRow="0" w:firstColumn="0" w:lastColumn="0" w:noHBand="1" w:noVBand="1"/>
        <w:tblCaption w:val="Timeline of events for the 2020 New Zealand general election"/>
      </w:tblPr>
      <w:tblGrid>
        <w:gridCol w:w="2121"/>
        <w:gridCol w:w="7167"/>
      </w:tblGrid>
      <w:tr w:rsidR="0004464F" w:rsidRPr="00093BDB" w14:paraId="76F9197A" w14:textId="77777777" w:rsidTr="0004464F">
        <w:trPr>
          <w:cnfStyle w:val="100000000000" w:firstRow="1" w:lastRow="0" w:firstColumn="0" w:lastColumn="0" w:oddVBand="0" w:evenVBand="0" w:oddHBand="0" w:evenHBand="0" w:firstRowFirstColumn="0" w:firstRowLastColumn="0" w:lastRowFirstColumn="0" w:lastRowLastColumn="0"/>
          <w:cantSplit/>
        </w:trPr>
        <w:tc>
          <w:tcPr>
            <w:tcW w:w="1142" w:type="pct"/>
          </w:tcPr>
          <w:p w14:paraId="083FCBCE" w14:textId="4E93A035" w:rsidR="0004464F" w:rsidRPr="00093BDB" w:rsidRDefault="0004464F" w:rsidP="0004464F">
            <w:pPr>
              <w:pStyle w:val="Tableheadingrow1"/>
            </w:pPr>
            <w:r>
              <w:t>Date</w:t>
            </w:r>
          </w:p>
        </w:tc>
        <w:tc>
          <w:tcPr>
            <w:tcW w:w="3858" w:type="pct"/>
          </w:tcPr>
          <w:p w14:paraId="127A4015" w14:textId="55B46AAF" w:rsidR="0004464F" w:rsidRPr="00093BDB" w:rsidRDefault="005C765A" w:rsidP="0004464F">
            <w:pPr>
              <w:pStyle w:val="Tableheadingrow1"/>
            </w:pPr>
            <w:r>
              <w:t>General election e</w:t>
            </w:r>
            <w:r w:rsidR="0004464F">
              <w:t>vent</w:t>
            </w:r>
          </w:p>
        </w:tc>
      </w:tr>
      <w:tr w:rsidR="00D44D6E" w:rsidRPr="00093BDB" w14:paraId="0D55B6BA" w14:textId="77777777" w:rsidTr="00AF073F">
        <w:trPr>
          <w:cantSplit/>
          <w:trHeight w:val="541"/>
        </w:trPr>
        <w:tc>
          <w:tcPr>
            <w:tcW w:w="1142" w:type="pct"/>
            <w:shd w:val="clear" w:color="auto" w:fill="auto"/>
          </w:tcPr>
          <w:p w14:paraId="340D6AAC" w14:textId="46E0C244" w:rsidR="00D44D6E" w:rsidRPr="00AF073F" w:rsidRDefault="00D338ED" w:rsidP="0004464F">
            <w:pPr>
              <w:pStyle w:val="Tablesinglespacedparagraph"/>
            </w:pPr>
            <w:r>
              <w:t xml:space="preserve">21 </w:t>
            </w:r>
            <w:r w:rsidR="00B239A3">
              <w:t>January</w:t>
            </w:r>
            <w:r w:rsidR="00AF073F" w:rsidRPr="00AF073F">
              <w:t xml:space="preserve"> </w:t>
            </w:r>
            <w:r>
              <w:t>2026</w:t>
            </w:r>
          </w:p>
        </w:tc>
        <w:tc>
          <w:tcPr>
            <w:tcW w:w="3858" w:type="pct"/>
            <w:shd w:val="clear" w:color="auto" w:fill="auto"/>
          </w:tcPr>
          <w:p w14:paraId="01C212BE" w14:textId="68F5D2E3" w:rsidR="00D44D6E" w:rsidRPr="00AF073F" w:rsidRDefault="00AF073F" w:rsidP="0004464F">
            <w:pPr>
              <w:pStyle w:val="Tablesinglespacedparagraph"/>
            </w:pPr>
            <w:r w:rsidRPr="00AF073F">
              <w:t>Prime Minister announce</w:t>
            </w:r>
            <w:r w:rsidR="00100FC6">
              <w:t>d</w:t>
            </w:r>
            <w:r w:rsidRPr="00AF073F">
              <w:t xml:space="preserve"> that the </w:t>
            </w:r>
            <w:r w:rsidR="00D338ED">
              <w:t>2026</w:t>
            </w:r>
            <w:r w:rsidR="00D338ED" w:rsidRPr="00AF073F">
              <w:t xml:space="preserve"> </w:t>
            </w:r>
            <w:r w:rsidRPr="00AF073F">
              <w:t>General Election will be</w:t>
            </w:r>
            <w:r w:rsidR="00B239A3">
              <w:t xml:space="preserve"> held on Saturday </w:t>
            </w:r>
            <w:r w:rsidR="00D338ED">
              <w:t>7 November 2026</w:t>
            </w:r>
          </w:p>
        </w:tc>
      </w:tr>
      <w:tr w:rsidR="00070B49" w:rsidRPr="00093BDB" w14:paraId="25D652D2" w14:textId="77777777" w:rsidTr="0004464F">
        <w:trPr>
          <w:cantSplit/>
        </w:trPr>
        <w:tc>
          <w:tcPr>
            <w:tcW w:w="1142" w:type="pct"/>
            <w:shd w:val="clear" w:color="auto" w:fill="auto"/>
          </w:tcPr>
          <w:p w14:paraId="0B9F378B" w14:textId="39A84933" w:rsidR="00070B49" w:rsidRDefault="00D338ED" w:rsidP="0004464F">
            <w:pPr>
              <w:pStyle w:val="Tablesinglespacedparagraph"/>
            </w:pPr>
            <w:r>
              <w:t>7 August 2026</w:t>
            </w:r>
          </w:p>
        </w:tc>
        <w:tc>
          <w:tcPr>
            <w:tcW w:w="3858" w:type="pct"/>
            <w:shd w:val="clear" w:color="auto" w:fill="auto"/>
          </w:tcPr>
          <w:p w14:paraId="7622885D" w14:textId="55942786" w:rsidR="00070B49" w:rsidRPr="00093BDB" w:rsidRDefault="00070B49" w:rsidP="0004464F">
            <w:pPr>
              <w:pStyle w:val="Tablesinglespacedparagraph"/>
            </w:pPr>
            <w:r>
              <w:t xml:space="preserve">Regulated period for election advertising expenses begins </w:t>
            </w:r>
            <w:r w:rsidR="00A742B5">
              <w:t>(pre-election period)</w:t>
            </w:r>
          </w:p>
        </w:tc>
      </w:tr>
      <w:tr w:rsidR="0004464F" w:rsidRPr="00093BDB" w14:paraId="3680D1B9" w14:textId="77777777" w:rsidTr="0004464F">
        <w:trPr>
          <w:cantSplit/>
        </w:trPr>
        <w:tc>
          <w:tcPr>
            <w:tcW w:w="1142" w:type="pct"/>
            <w:shd w:val="clear" w:color="auto" w:fill="auto"/>
            <w:hideMark/>
          </w:tcPr>
          <w:p w14:paraId="22FC5814" w14:textId="3965EB71" w:rsidR="0004464F" w:rsidRPr="00093BDB" w:rsidRDefault="00D338ED" w:rsidP="0004464F">
            <w:pPr>
              <w:pStyle w:val="Tablesinglespacedparagraph"/>
            </w:pPr>
            <w:r>
              <w:t>1 October 2026</w:t>
            </w:r>
          </w:p>
        </w:tc>
        <w:tc>
          <w:tcPr>
            <w:tcW w:w="3858" w:type="pct"/>
            <w:shd w:val="clear" w:color="auto" w:fill="auto"/>
            <w:hideMark/>
          </w:tcPr>
          <w:p w14:paraId="45CBCCE9" w14:textId="5AA45A3E" w:rsidR="0004464F" w:rsidRPr="00093BDB" w:rsidRDefault="0004464F" w:rsidP="0004464F">
            <w:pPr>
              <w:pStyle w:val="Tablesinglespacedparagraph"/>
            </w:pPr>
            <w:r w:rsidRPr="00093BDB">
              <w:t>Th</w:t>
            </w:r>
            <w:r>
              <w:t xml:space="preserve">e </w:t>
            </w:r>
            <w:r w:rsidR="00D338ED">
              <w:t>54th</w:t>
            </w:r>
            <w:r>
              <w:t xml:space="preserve"> Parliament </w:t>
            </w:r>
            <w:r w:rsidR="00D44D6E">
              <w:t xml:space="preserve">(House of Representatives) </w:t>
            </w:r>
            <w:r>
              <w:t>is dissolved</w:t>
            </w:r>
          </w:p>
        </w:tc>
      </w:tr>
      <w:tr w:rsidR="0004464F" w:rsidRPr="00093BDB" w14:paraId="511D5B3B" w14:textId="77777777" w:rsidTr="0004464F">
        <w:trPr>
          <w:cantSplit/>
        </w:trPr>
        <w:tc>
          <w:tcPr>
            <w:tcW w:w="1142" w:type="pct"/>
            <w:shd w:val="clear" w:color="auto" w:fill="auto"/>
            <w:hideMark/>
          </w:tcPr>
          <w:p w14:paraId="06FA8033" w14:textId="6AABF0F4" w:rsidR="0004464F" w:rsidRPr="00093BDB" w:rsidRDefault="00D338ED" w:rsidP="0004464F">
            <w:pPr>
              <w:pStyle w:val="Tablesinglespacedparagraph"/>
            </w:pPr>
            <w:r>
              <w:t>4 October 2026</w:t>
            </w:r>
          </w:p>
        </w:tc>
        <w:tc>
          <w:tcPr>
            <w:tcW w:w="3858" w:type="pct"/>
            <w:shd w:val="clear" w:color="auto" w:fill="auto"/>
            <w:hideMark/>
          </w:tcPr>
          <w:p w14:paraId="5314DDC6" w14:textId="6E26E2B9" w:rsidR="0004464F" w:rsidRDefault="0004464F" w:rsidP="005C765A">
            <w:pPr>
              <w:pStyle w:val="TableBullet1"/>
            </w:pPr>
            <w:r w:rsidRPr="00093BDB">
              <w:t xml:space="preserve">Writ day – Governor-General issues formal direction to the Electoral </w:t>
            </w:r>
            <w:r w:rsidR="005C765A">
              <w:t>Commission to hold the election</w:t>
            </w:r>
          </w:p>
          <w:p w14:paraId="628CC613" w14:textId="5A2824F1" w:rsidR="0004464F" w:rsidRDefault="0004464F" w:rsidP="005C765A">
            <w:pPr>
              <w:pStyle w:val="TableBullet1"/>
            </w:pPr>
            <w:r w:rsidRPr="00093BDB">
              <w:t>Last day to ordinarily enrol to vote (late enrolments must cast special votes)</w:t>
            </w:r>
          </w:p>
          <w:p w14:paraId="4D97BC3D" w14:textId="511E180D" w:rsidR="0004464F" w:rsidRPr="00093BDB" w:rsidRDefault="0004464F" w:rsidP="005C765A">
            <w:pPr>
              <w:pStyle w:val="TableBullet1"/>
            </w:pPr>
            <w:r w:rsidRPr="00093BDB">
              <w:t>Official campaigning begins; radio and television advertising begins</w:t>
            </w:r>
          </w:p>
        </w:tc>
      </w:tr>
      <w:tr w:rsidR="0004464F" w:rsidRPr="00093BDB" w14:paraId="56502F14" w14:textId="77777777" w:rsidTr="0004464F">
        <w:trPr>
          <w:cantSplit/>
        </w:trPr>
        <w:tc>
          <w:tcPr>
            <w:tcW w:w="1142" w:type="pct"/>
            <w:shd w:val="clear" w:color="auto" w:fill="auto"/>
            <w:hideMark/>
          </w:tcPr>
          <w:p w14:paraId="052FC34C" w14:textId="22AFB456" w:rsidR="0004464F" w:rsidRPr="00E050A7" w:rsidRDefault="00DD464E" w:rsidP="0004464F">
            <w:pPr>
              <w:pStyle w:val="Tablesinglespacedparagraph"/>
            </w:pPr>
            <w:r>
              <w:t>21 October 2026</w:t>
            </w:r>
          </w:p>
        </w:tc>
        <w:tc>
          <w:tcPr>
            <w:tcW w:w="3858" w:type="pct"/>
            <w:shd w:val="clear" w:color="auto" w:fill="auto"/>
            <w:hideMark/>
          </w:tcPr>
          <w:p w14:paraId="1463DE34" w14:textId="0A8D9726" w:rsidR="0004464F" w:rsidRPr="00E050A7" w:rsidRDefault="0004464F" w:rsidP="005C765A">
            <w:pPr>
              <w:pStyle w:val="Tablesinglespacedparagraph"/>
            </w:pPr>
            <w:r w:rsidRPr="00E050A7">
              <w:t>Overseas voting begins</w:t>
            </w:r>
          </w:p>
        </w:tc>
      </w:tr>
      <w:tr w:rsidR="004E5E6E" w:rsidRPr="00093BDB" w14:paraId="1C8DAD4D" w14:textId="77777777" w:rsidTr="0004464F">
        <w:trPr>
          <w:cantSplit/>
        </w:trPr>
        <w:tc>
          <w:tcPr>
            <w:tcW w:w="1142" w:type="pct"/>
            <w:shd w:val="clear" w:color="auto" w:fill="auto"/>
          </w:tcPr>
          <w:p w14:paraId="00EA2696" w14:textId="58CFD7B5" w:rsidR="004E5E6E" w:rsidDel="00DD464E" w:rsidRDefault="004E5E6E" w:rsidP="0004464F">
            <w:pPr>
              <w:pStyle w:val="Tablesinglespacedparagraph"/>
            </w:pPr>
            <w:r>
              <w:t>25 October 2026</w:t>
            </w:r>
          </w:p>
        </w:tc>
        <w:tc>
          <w:tcPr>
            <w:tcW w:w="3858" w:type="pct"/>
            <w:shd w:val="clear" w:color="auto" w:fill="auto"/>
          </w:tcPr>
          <w:p w14:paraId="31D6E7F7" w14:textId="74EC39E9" w:rsidR="004E5E6E" w:rsidRPr="00E050A7" w:rsidRDefault="004E5E6E" w:rsidP="005C765A">
            <w:pPr>
              <w:pStyle w:val="Tablesinglespacedparagraph"/>
            </w:pPr>
            <w:r>
              <w:t>Last day to enrol to vote in the election</w:t>
            </w:r>
          </w:p>
        </w:tc>
      </w:tr>
      <w:tr w:rsidR="0004464F" w:rsidRPr="00093BDB" w14:paraId="5B422E6E" w14:textId="77777777" w:rsidTr="0004464F">
        <w:trPr>
          <w:cantSplit/>
        </w:trPr>
        <w:tc>
          <w:tcPr>
            <w:tcW w:w="1142" w:type="pct"/>
            <w:shd w:val="clear" w:color="auto" w:fill="auto"/>
            <w:hideMark/>
          </w:tcPr>
          <w:p w14:paraId="5D2B0953" w14:textId="03D7653F" w:rsidR="0004464F" w:rsidRPr="00093BDB" w:rsidRDefault="008A7AF0" w:rsidP="0004464F">
            <w:pPr>
              <w:pStyle w:val="Tablesinglespacedparagraph"/>
            </w:pPr>
            <w:r>
              <w:t>2</w:t>
            </w:r>
            <w:r w:rsidR="00DD464E">
              <w:t>6</w:t>
            </w:r>
            <w:r w:rsidR="00E050A7">
              <w:t xml:space="preserve"> October</w:t>
            </w:r>
            <w:r w:rsidR="0004464F">
              <w:t xml:space="preserve"> </w:t>
            </w:r>
            <w:r w:rsidR="00DD464E">
              <w:t>2026</w:t>
            </w:r>
          </w:p>
        </w:tc>
        <w:tc>
          <w:tcPr>
            <w:tcW w:w="3858" w:type="pct"/>
            <w:shd w:val="clear" w:color="auto" w:fill="auto"/>
            <w:hideMark/>
          </w:tcPr>
          <w:p w14:paraId="5711A70B" w14:textId="257686D3" w:rsidR="0004464F" w:rsidRPr="00093BDB" w:rsidRDefault="0004464F" w:rsidP="005C765A">
            <w:pPr>
              <w:pStyle w:val="Tablesinglespacedparagraph"/>
            </w:pPr>
            <w:r w:rsidRPr="00093BDB">
              <w:t>Advance voting begins</w:t>
            </w:r>
          </w:p>
        </w:tc>
      </w:tr>
      <w:tr w:rsidR="0004464F" w:rsidRPr="00093BDB" w14:paraId="77B350A1" w14:textId="77777777" w:rsidTr="0004464F">
        <w:trPr>
          <w:cantSplit/>
        </w:trPr>
        <w:tc>
          <w:tcPr>
            <w:tcW w:w="1142" w:type="pct"/>
            <w:shd w:val="clear" w:color="auto" w:fill="auto"/>
            <w:hideMark/>
          </w:tcPr>
          <w:p w14:paraId="14FC1F36" w14:textId="367E68F4" w:rsidR="0004464F" w:rsidRPr="00AF073F" w:rsidRDefault="00DD464E" w:rsidP="0004464F">
            <w:pPr>
              <w:pStyle w:val="Tablesinglespacedparagraph"/>
            </w:pPr>
            <w:r>
              <w:t>6 November 2026</w:t>
            </w:r>
          </w:p>
        </w:tc>
        <w:tc>
          <w:tcPr>
            <w:tcW w:w="3858" w:type="pct"/>
            <w:shd w:val="clear" w:color="auto" w:fill="auto"/>
            <w:hideMark/>
          </w:tcPr>
          <w:p w14:paraId="547DC31F" w14:textId="4F1F04C6" w:rsidR="0004464F" w:rsidRPr="00AF073F" w:rsidRDefault="0004464F" w:rsidP="004E5E6E">
            <w:pPr>
              <w:pStyle w:val="Tablesinglespacedparagraph"/>
            </w:pPr>
            <w:r w:rsidRPr="00AF073F">
              <w:t xml:space="preserve">The regulated election advertising period </w:t>
            </w:r>
            <w:proofErr w:type="gramStart"/>
            <w:r w:rsidRPr="00AF073F">
              <w:t>ends;</w:t>
            </w:r>
            <w:proofErr w:type="gramEnd"/>
            <w:r w:rsidRPr="00AF073F">
              <w:t xml:space="preserve"> all election adv</w:t>
            </w:r>
            <w:r w:rsidR="005C765A" w:rsidRPr="00AF073F">
              <w:t>ertising must be taken down by 11</w:t>
            </w:r>
            <w:r w:rsidRPr="00AF073F">
              <w:t>:59</w:t>
            </w:r>
            <w:r w:rsidR="005C765A" w:rsidRPr="00AF073F">
              <w:t>pm</w:t>
            </w:r>
          </w:p>
        </w:tc>
      </w:tr>
      <w:tr w:rsidR="0004464F" w:rsidRPr="00093BDB" w14:paraId="5F6CFF1B" w14:textId="77777777" w:rsidTr="0004464F">
        <w:trPr>
          <w:cantSplit/>
        </w:trPr>
        <w:tc>
          <w:tcPr>
            <w:tcW w:w="1142" w:type="pct"/>
            <w:shd w:val="clear" w:color="auto" w:fill="auto"/>
            <w:hideMark/>
          </w:tcPr>
          <w:p w14:paraId="35291E8F" w14:textId="3B292ABF" w:rsidR="0004464F" w:rsidRPr="00093BDB" w:rsidRDefault="00DD464E" w:rsidP="0004464F">
            <w:pPr>
              <w:pStyle w:val="Tablesinglespacedparagraph"/>
            </w:pPr>
            <w:r>
              <w:t>7 November 2026</w:t>
            </w:r>
          </w:p>
        </w:tc>
        <w:tc>
          <w:tcPr>
            <w:tcW w:w="3858" w:type="pct"/>
            <w:shd w:val="clear" w:color="auto" w:fill="auto"/>
            <w:hideMark/>
          </w:tcPr>
          <w:p w14:paraId="05862759" w14:textId="165C371F" w:rsidR="0004464F" w:rsidRDefault="0004464F" w:rsidP="005C765A">
            <w:pPr>
              <w:pStyle w:val="TableBullet1"/>
            </w:pPr>
            <w:r w:rsidRPr="00093BDB">
              <w:t>Elec</w:t>
            </w:r>
            <w:r w:rsidR="005C765A">
              <w:t xml:space="preserve">tion </w:t>
            </w:r>
            <w:r w:rsidR="00D44D6E">
              <w:t>Day</w:t>
            </w:r>
            <w:r w:rsidR="00056BB3">
              <w:t>: v</w:t>
            </w:r>
            <w:r w:rsidR="004E5E6E">
              <w:t>oting places open from 9.00am to 7.00pm</w:t>
            </w:r>
          </w:p>
          <w:p w14:paraId="4C0B0FE1" w14:textId="456CB552" w:rsidR="0004464F" w:rsidRPr="00093BDB" w:rsidRDefault="0004464F" w:rsidP="005C765A">
            <w:pPr>
              <w:pStyle w:val="TableBullet1"/>
            </w:pPr>
            <w:r w:rsidRPr="00093BDB">
              <w:t>Preliminary election result</w:t>
            </w:r>
            <w:r w:rsidR="005C765A">
              <w:t>s released progressively after 7</w:t>
            </w:r>
            <w:r w:rsidRPr="00093BDB">
              <w:t>:00</w:t>
            </w:r>
            <w:r w:rsidR="005C765A">
              <w:t>pm</w:t>
            </w:r>
          </w:p>
        </w:tc>
      </w:tr>
      <w:tr w:rsidR="0004464F" w:rsidRPr="00093BDB" w14:paraId="4929EF6C" w14:textId="77777777" w:rsidTr="0004464F">
        <w:trPr>
          <w:cantSplit/>
        </w:trPr>
        <w:tc>
          <w:tcPr>
            <w:tcW w:w="1142" w:type="pct"/>
            <w:shd w:val="clear" w:color="auto" w:fill="auto"/>
            <w:hideMark/>
          </w:tcPr>
          <w:p w14:paraId="3DCF2D97" w14:textId="2CD565FC" w:rsidR="0004464F" w:rsidRPr="00AF073F" w:rsidRDefault="00DD464E" w:rsidP="00AF073F">
            <w:pPr>
              <w:pStyle w:val="Tablesinglespacedparagraph"/>
            </w:pPr>
            <w:r>
              <w:t>27 November 2026</w:t>
            </w:r>
          </w:p>
        </w:tc>
        <w:tc>
          <w:tcPr>
            <w:tcW w:w="3858" w:type="pct"/>
            <w:shd w:val="clear" w:color="auto" w:fill="auto"/>
            <w:hideMark/>
          </w:tcPr>
          <w:p w14:paraId="5014CDD9" w14:textId="7674F795" w:rsidR="0004464F" w:rsidRPr="00AF073F" w:rsidRDefault="0004464F" w:rsidP="005C765A">
            <w:pPr>
              <w:pStyle w:val="Tablesinglespacedparagraph"/>
            </w:pPr>
            <w:r w:rsidRPr="00AF073F">
              <w:t>Official election results declared</w:t>
            </w:r>
          </w:p>
        </w:tc>
      </w:tr>
      <w:tr w:rsidR="00D44D6E" w:rsidRPr="00093BDB" w14:paraId="647630DF" w14:textId="77777777" w:rsidTr="0004464F">
        <w:trPr>
          <w:cantSplit/>
        </w:trPr>
        <w:tc>
          <w:tcPr>
            <w:tcW w:w="1142" w:type="pct"/>
            <w:shd w:val="clear" w:color="auto" w:fill="auto"/>
          </w:tcPr>
          <w:p w14:paraId="1516B3E8" w14:textId="0C22FED0" w:rsidR="00D44D6E" w:rsidRPr="00C203FF" w:rsidRDefault="00D607CD" w:rsidP="00C203FF">
            <w:pPr>
              <w:pStyle w:val="Tablesinglespacedparagraph"/>
            </w:pPr>
            <w:r>
              <w:t>3 December 2026</w:t>
            </w:r>
          </w:p>
        </w:tc>
        <w:tc>
          <w:tcPr>
            <w:tcW w:w="3858" w:type="pct"/>
            <w:shd w:val="clear" w:color="auto" w:fill="auto"/>
          </w:tcPr>
          <w:p w14:paraId="23007ADD" w14:textId="5DF00A4A" w:rsidR="00D44D6E" w:rsidRPr="00C203FF" w:rsidRDefault="000A10AE" w:rsidP="005C765A">
            <w:pPr>
              <w:pStyle w:val="Tablesinglespacedparagraph"/>
            </w:pPr>
            <w:r>
              <w:t xml:space="preserve">Last day for return of the writ </w:t>
            </w:r>
          </w:p>
        </w:tc>
      </w:tr>
      <w:tr w:rsidR="00A742B5" w:rsidRPr="00093BDB" w14:paraId="009584E6" w14:textId="77777777" w:rsidTr="0004464F">
        <w:trPr>
          <w:cantSplit/>
        </w:trPr>
        <w:tc>
          <w:tcPr>
            <w:tcW w:w="1142" w:type="pct"/>
            <w:shd w:val="clear" w:color="auto" w:fill="auto"/>
          </w:tcPr>
          <w:p w14:paraId="7C06F073" w14:textId="79CC888B" w:rsidR="00A742B5" w:rsidRDefault="00A742B5" w:rsidP="00C203FF">
            <w:pPr>
              <w:pStyle w:val="Tablesinglespacedparagraph"/>
            </w:pPr>
            <w:r>
              <w:t>Within 6 weeks after return of the writ</w:t>
            </w:r>
          </w:p>
        </w:tc>
        <w:tc>
          <w:tcPr>
            <w:tcW w:w="3858" w:type="pct"/>
            <w:shd w:val="clear" w:color="auto" w:fill="auto"/>
          </w:tcPr>
          <w:p w14:paraId="31435EB8" w14:textId="0753C1F4" w:rsidR="00A742B5" w:rsidRDefault="00A742B5" w:rsidP="005C765A">
            <w:pPr>
              <w:pStyle w:val="Tablesinglespacedparagraph"/>
            </w:pPr>
            <w:r>
              <w:t>First sitting of 55</w:t>
            </w:r>
            <w:r w:rsidRPr="00004F61">
              <w:rPr>
                <w:vertAlign w:val="superscript"/>
              </w:rPr>
              <w:t>th</w:t>
            </w:r>
            <w:r>
              <w:t xml:space="preserve"> Parliament (new House of Representatives)</w:t>
            </w:r>
          </w:p>
        </w:tc>
      </w:tr>
    </w:tbl>
    <w:p w14:paraId="68D2EA28" w14:textId="77777777" w:rsidR="0004464F" w:rsidRDefault="0004464F" w:rsidP="0004464F">
      <w:pPr>
        <w:pStyle w:val="Whitespace"/>
      </w:pPr>
    </w:p>
    <w:p w14:paraId="529856A8" w14:textId="7D7F9830" w:rsidR="0091117C" w:rsidRDefault="00D44D6E" w:rsidP="00D44D6E">
      <w:pPr>
        <w:pStyle w:val="BodyText"/>
      </w:pPr>
      <w:r>
        <w:t xml:space="preserve">Following announcement of the results, a caretaker </w:t>
      </w:r>
      <w:r w:rsidR="00586819">
        <w:t>G</w:t>
      </w:r>
      <w:r>
        <w:t xml:space="preserve">overnment will be put in place until the </w:t>
      </w:r>
      <w:r w:rsidR="004E5E6E">
        <w:t xml:space="preserve">new </w:t>
      </w:r>
      <w:r w:rsidR="00586819">
        <w:t>G</w:t>
      </w:r>
      <w:r w:rsidR="00CA5E2E">
        <w:t xml:space="preserve">overnment </w:t>
      </w:r>
      <w:r>
        <w:t>is sworn in. Prior to this</w:t>
      </w:r>
      <w:r w:rsidR="005657F5">
        <w:t>,</w:t>
      </w:r>
      <w:r>
        <w:t xml:space="preserve"> politicians will decide on the formation of the </w:t>
      </w:r>
      <w:r w:rsidR="004E5E6E">
        <w:t xml:space="preserve">new </w:t>
      </w:r>
      <w:r w:rsidR="00586819">
        <w:t>G</w:t>
      </w:r>
      <w:r w:rsidR="00CA5E2E">
        <w:t xml:space="preserve">overnment </w:t>
      </w:r>
      <w:r>
        <w:t>and announce the Ministerial List.</w:t>
      </w:r>
    </w:p>
    <w:p w14:paraId="39E6B8EC" w14:textId="7471952C" w:rsidR="00EE39DE" w:rsidRDefault="00EE39DE" w:rsidP="00EE39DE">
      <w:pPr>
        <w:pStyle w:val="Heading1"/>
        <w:spacing w:after="240"/>
      </w:pPr>
      <w:bookmarkStart w:id="6" w:name="_Toc236747828"/>
      <w:r>
        <w:t xml:space="preserve">Tools </w:t>
      </w:r>
      <w:r w:rsidR="00A70730">
        <w:t xml:space="preserve">and strategies </w:t>
      </w:r>
      <w:r>
        <w:t>for managing requests</w:t>
      </w:r>
      <w:bookmarkEnd w:id="6"/>
    </w:p>
    <w:p w14:paraId="0B961345" w14:textId="0DE12277" w:rsidR="00EE39DE" w:rsidRDefault="00EE39DE" w:rsidP="0077266F">
      <w:pPr>
        <w:pStyle w:val="Heading2"/>
        <w:spacing w:before="240"/>
      </w:pPr>
      <w:bookmarkStart w:id="7" w:name="_What_are_some"/>
      <w:bookmarkStart w:id="8" w:name="_Toc236747829"/>
      <w:bookmarkEnd w:id="7"/>
      <w:r>
        <w:t>What</w:t>
      </w:r>
      <w:r w:rsidR="005B52D3">
        <w:t xml:space="preserve"> are some of the tools</w:t>
      </w:r>
      <w:r w:rsidR="00A70730">
        <w:t xml:space="preserve"> and strategies for managing</w:t>
      </w:r>
      <w:r>
        <w:t xml:space="preserve"> official information requests during </w:t>
      </w:r>
      <w:r w:rsidR="00A50FFD">
        <w:t xml:space="preserve">the </w:t>
      </w:r>
      <w:r w:rsidR="00504E76">
        <w:t>general election period</w:t>
      </w:r>
      <w:r>
        <w:t>?</w:t>
      </w:r>
      <w:bookmarkEnd w:id="8"/>
    </w:p>
    <w:p w14:paraId="40060714" w14:textId="4875FCC6" w:rsidR="005B52D3" w:rsidRDefault="003253D9" w:rsidP="0077266F">
      <w:pPr>
        <w:pStyle w:val="BodyText"/>
      </w:pPr>
      <w:r>
        <w:t xml:space="preserve">Some of the tools and strategies for managing official information requests </w:t>
      </w:r>
      <w:proofErr w:type="gramStart"/>
      <w:r>
        <w:t>at this time</w:t>
      </w:r>
      <w:proofErr w:type="gramEnd"/>
      <w:r>
        <w:t xml:space="preserve"> include:</w:t>
      </w:r>
    </w:p>
    <w:p w14:paraId="716F0CBF" w14:textId="7DBB0EF8" w:rsidR="003253D9" w:rsidRDefault="00FB69AC" w:rsidP="0077266F">
      <w:pPr>
        <w:pStyle w:val="Bullet1"/>
      </w:pPr>
      <w:r w:rsidRPr="0077266F">
        <w:rPr>
          <w:rStyle w:val="Emphasis"/>
        </w:rPr>
        <w:t>Communicate with the public</w:t>
      </w:r>
      <w:r>
        <w:t xml:space="preserve"> about how </w:t>
      </w:r>
      <w:r w:rsidRPr="003F30C7">
        <w:t>your agenc</w:t>
      </w:r>
      <w:r w:rsidR="001860A1" w:rsidRPr="003F30C7">
        <w:t>y</w:t>
      </w:r>
      <w:r w:rsidRPr="003F30C7">
        <w:t xml:space="preserve"> is</w:t>
      </w:r>
      <w:r w:rsidR="00A56ACE">
        <w:t xml:space="preserve"> handling official information </w:t>
      </w:r>
      <w:r>
        <w:t xml:space="preserve">requests </w:t>
      </w:r>
      <w:proofErr w:type="gramStart"/>
      <w:r>
        <w:t>at this time</w:t>
      </w:r>
      <w:proofErr w:type="gramEnd"/>
      <w:r w:rsidR="00504E76">
        <w:t xml:space="preserve">. </w:t>
      </w:r>
      <w:r>
        <w:t xml:space="preserve">A good place to do </w:t>
      </w:r>
      <w:r w:rsidR="009B4378">
        <w:t xml:space="preserve">this is on </w:t>
      </w:r>
      <w:r w:rsidR="00004F61">
        <w:t xml:space="preserve">your </w:t>
      </w:r>
      <w:r w:rsidR="009B4378">
        <w:t>agency’s web</w:t>
      </w:r>
      <w:r w:rsidR="00586819">
        <w:t>site</w:t>
      </w:r>
      <w:r w:rsidR="00C27E47">
        <w:t>.</w:t>
      </w:r>
    </w:p>
    <w:p w14:paraId="53D9B02B" w14:textId="083C71F7" w:rsidR="00FB38EA" w:rsidRDefault="00FB38EA" w:rsidP="0077266F">
      <w:pPr>
        <w:pStyle w:val="Bullet1"/>
      </w:pPr>
      <w:r>
        <w:t xml:space="preserve">Consider </w:t>
      </w:r>
      <w:r w:rsidRPr="0077266F">
        <w:rPr>
          <w:rStyle w:val="Emphasis"/>
        </w:rPr>
        <w:t>proactively publishing</w:t>
      </w:r>
      <w:r>
        <w:t xml:space="preserve"> information that is likely to be in demand </w:t>
      </w:r>
      <w:r w:rsidR="00A56ACE">
        <w:t>over the general election period</w:t>
      </w:r>
      <w:r>
        <w:t>. Proactively publish</w:t>
      </w:r>
      <w:r w:rsidR="00AF7369">
        <w:t xml:space="preserve"> </w:t>
      </w:r>
      <w:r w:rsidR="00A56ACE">
        <w:t>official information request</w:t>
      </w:r>
      <w:r>
        <w:t xml:space="preserve"> responses that are likely to b</w:t>
      </w:r>
      <w:r w:rsidR="009B4378">
        <w:t>e in the wider public interest</w:t>
      </w:r>
      <w:r w:rsidR="00C27E47">
        <w:t>.</w:t>
      </w:r>
    </w:p>
    <w:p w14:paraId="140B0B6F" w14:textId="38A3D284" w:rsidR="0045250C" w:rsidRDefault="0045250C" w:rsidP="0077266F">
      <w:pPr>
        <w:pStyle w:val="Bullet1"/>
      </w:pPr>
      <w:r>
        <w:t xml:space="preserve">Ensure </w:t>
      </w:r>
      <w:r w:rsidRPr="0077266F">
        <w:rPr>
          <w:rStyle w:val="Emphasis"/>
        </w:rPr>
        <w:t>proper</w:t>
      </w:r>
      <w:r>
        <w:rPr>
          <w:rStyle w:val="Emphasis"/>
        </w:rPr>
        <w:t xml:space="preserve"> triage and</w:t>
      </w:r>
      <w:r w:rsidRPr="0077266F">
        <w:rPr>
          <w:rStyle w:val="Emphasis"/>
        </w:rPr>
        <w:t xml:space="preserve"> scoping</w:t>
      </w:r>
      <w:r>
        <w:t xml:space="preserve"> of requests as soon as possible after they are received. This will set you up for </w:t>
      </w:r>
      <w:r w:rsidR="00004F61">
        <w:t xml:space="preserve">timely, </w:t>
      </w:r>
      <w:r>
        <w:t>clear and effective communication and consultatio</w:t>
      </w:r>
      <w:r w:rsidR="009B4378">
        <w:t>n with requesters</w:t>
      </w:r>
      <w:r w:rsidR="00C27E47">
        <w:t>.</w:t>
      </w:r>
    </w:p>
    <w:p w14:paraId="68277B7E" w14:textId="2C36623C" w:rsidR="0045250C" w:rsidRDefault="0045250C" w:rsidP="0077266F">
      <w:pPr>
        <w:pStyle w:val="Bullet1"/>
      </w:pPr>
      <w:r>
        <w:t xml:space="preserve">As part of the triage process, identify those requests that warrant </w:t>
      </w:r>
      <w:r w:rsidRPr="0077266F">
        <w:rPr>
          <w:b/>
        </w:rPr>
        <w:t>urgent or priority</w:t>
      </w:r>
      <w:r>
        <w:t xml:space="preserve"> treatment</w:t>
      </w:r>
      <w:r w:rsidR="00A56ACE">
        <w:t>, such as requests for i</w:t>
      </w:r>
      <w:r w:rsidR="009B4378">
        <w:t>nformation about topical issues</w:t>
      </w:r>
      <w:r w:rsidR="00C27E47">
        <w:t>.</w:t>
      </w:r>
    </w:p>
    <w:p w14:paraId="2CFCEF8C" w14:textId="1F9E2147" w:rsidR="00E03F38" w:rsidRPr="0077266F" w:rsidRDefault="00E03F38" w:rsidP="0077266F">
      <w:pPr>
        <w:pStyle w:val="Bullet1"/>
      </w:pPr>
      <w:r>
        <w:t xml:space="preserve">Ensure that </w:t>
      </w:r>
      <w:r w:rsidRPr="00D06048">
        <w:rPr>
          <w:b/>
        </w:rPr>
        <w:t>records</w:t>
      </w:r>
      <w:r>
        <w:t xml:space="preserve"> created or received by agencies and ministers in the conduct of their affairs are handled in accordance with the </w:t>
      </w:r>
      <w:r w:rsidRPr="00D06048">
        <w:rPr>
          <w:b/>
        </w:rPr>
        <w:t>Public Records Act 2005</w:t>
      </w:r>
      <w:r w:rsidR="00FA7CE1">
        <w:rPr>
          <w:rStyle w:val="FootnoteReference"/>
        </w:rPr>
        <w:footnoteReference w:id="2"/>
      </w:r>
      <w:r w:rsidR="00D607CD">
        <w:t xml:space="preserve"> and</w:t>
      </w:r>
      <w:r w:rsidR="00AD65FC">
        <w:t>, where relevant,</w:t>
      </w:r>
      <w:r w:rsidR="00D607CD">
        <w:t xml:space="preserve"> the </w:t>
      </w:r>
      <w:r w:rsidR="00D607CD" w:rsidRPr="00C27E47">
        <w:rPr>
          <w:b/>
          <w:bCs/>
        </w:rPr>
        <w:t>Cabinet Manual</w:t>
      </w:r>
      <w:r w:rsidR="001E6E74">
        <w:rPr>
          <w:b/>
          <w:bCs/>
        </w:rPr>
        <w:t xml:space="preserve"> 2023</w:t>
      </w:r>
      <w:r w:rsidR="00C27E47">
        <w:rPr>
          <w:b/>
          <w:bCs/>
        </w:rPr>
        <w:t>.</w:t>
      </w:r>
      <w:r w:rsidR="00D607CD">
        <w:rPr>
          <w:rStyle w:val="FootnoteReference"/>
        </w:rPr>
        <w:footnoteReference w:id="3"/>
      </w:r>
    </w:p>
    <w:p w14:paraId="3D6D897F" w14:textId="3EC4F931" w:rsidR="00FA102D" w:rsidRDefault="00A70730" w:rsidP="0077266F">
      <w:pPr>
        <w:pStyle w:val="Bullet1"/>
      </w:pPr>
      <w:r w:rsidRPr="0077266F">
        <w:rPr>
          <w:b/>
        </w:rPr>
        <w:t>Communicate promptly and clearly with individual requesters</w:t>
      </w:r>
      <w:r>
        <w:t xml:space="preserve"> about any difficulties you are experiencing in processing their request, and the impli</w:t>
      </w:r>
      <w:r w:rsidR="009B4378">
        <w:t>cations for your response time</w:t>
      </w:r>
      <w:r w:rsidR="00C27E47">
        <w:t>.</w:t>
      </w:r>
    </w:p>
    <w:p w14:paraId="6A37A17B" w14:textId="2825BD4F" w:rsidR="0045250C" w:rsidRDefault="00FA102D" w:rsidP="0077266F">
      <w:pPr>
        <w:pStyle w:val="Bullet1"/>
      </w:pPr>
      <w:r>
        <w:t xml:space="preserve">Effective </w:t>
      </w:r>
      <w:r w:rsidRPr="0077266F">
        <w:rPr>
          <w:rStyle w:val="Emphasis"/>
        </w:rPr>
        <w:t>consultation with requesters</w:t>
      </w:r>
      <w:r>
        <w:t xml:space="preserve"> will enable you to gain a proper understanding of </w:t>
      </w:r>
      <w:r w:rsidR="0045250C">
        <w:t xml:space="preserve">what </w:t>
      </w:r>
      <w:r w:rsidR="00004F61">
        <w:t>they are seeking</w:t>
      </w:r>
      <w:r w:rsidR="0045250C">
        <w:t xml:space="preserve"> and how it</w:t>
      </w:r>
      <w:r>
        <w:t xml:space="preserve"> can be provi</w:t>
      </w:r>
      <w:r w:rsidR="0045250C">
        <w:t>ded without an unnecessary or unreasonable</w:t>
      </w:r>
      <w:r>
        <w:t xml:space="preserve"> </w:t>
      </w:r>
      <w:r w:rsidR="0045250C">
        <w:t xml:space="preserve">amount of </w:t>
      </w:r>
      <w:r w:rsidR="009B4378">
        <w:t>work</w:t>
      </w:r>
      <w:r w:rsidR="00004F61">
        <w:t>.</w:t>
      </w:r>
    </w:p>
    <w:p w14:paraId="2D6A6812" w14:textId="387C3D58" w:rsidR="00FB69AC" w:rsidRDefault="00FA102D" w:rsidP="0077266F">
      <w:pPr>
        <w:pStyle w:val="Bullet1"/>
      </w:pPr>
      <w:r>
        <w:t xml:space="preserve">Seek early </w:t>
      </w:r>
      <w:r w:rsidRPr="0077266F">
        <w:rPr>
          <w:rStyle w:val="Emphasis"/>
        </w:rPr>
        <w:t>amendment or clarification</w:t>
      </w:r>
      <w:r>
        <w:t xml:space="preserve"> of broad </w:t>
      </w:r>
      <w:r w:rsidR="0045250C">
        <w:t xml:space="preserve">or unclear </w:t>
      </w:r>
      <w:r>
        <w:t>requests</w:t>
      </w:r>
      <w:r w:rsidR="00004F61">
        <w:t xml:space="preserve">. If you do this </w:t>
      </w:r>
      <w:r>
        <w:t xml:space="preserve">within the first seven </w:t>
      </w:r>
      <w:r w:rsidR="00004F61">
        <w:t xml:space="preserve">working </w:t>
      </w:r>
      <w:r>
        <w:t xml:space="preserve">days, </w:t>
      </w:r>
      <w:r w:rsidR="00004F61">
        <w:t xml:space="preserve">this </w:t>
      </w:r>
      <w:r>
        <w:t xml:space="preserve">will mean </w:t>
      </w:r>
      <w:r w:rsidR="00004F61">
        <w:t xml:space="preserve">any </w:t>
      </w:r>
      <w:r>
        <w:t xml:space="preserve">amended or clarified request can be treated as a new </w:t>
      </w:r>
      <w:r w:rsidR="00004F61">
        <w:t>request</w:t>
      </w:r>
      <w:r>
        <w:t>, for the purpose o</w:t>
      </w:r>
      <w:r w:rsidR="009B4378">
        <w:t>f calculating the</w:t>
      </w:r>
      <w:r w:rsidR="001A0EDA">
        <w:t xml:space="preserve"> maximum</w:t>
      </w:r>
      <w:r w:rsidR="009B4378">
        <w:t xml:space="preserve"> </w:t>
      </w:r>
      <w:r w:rsidR="001A0EDA">
        <w:t xml:space="preserve">statutory </w:t>
      </w:r>
      <w:r w:rsidR="009B4378">
        <w:t>time</w:t>
      </w:r>
      <w:r w:rsidR="001A0EDA">
        <w:t xml:space="preserve"> limit for a response</w:t>
      </w:r>
      <w:r w:rsidR="00C27E47">
        <w:t>.</w:t>
      </w:r>
      <w:r w:rsidR="00125760">
        <w:rPr>
          <w:rStyle w:val="FootnoteReference"/>
        </w:rPr>
        <w:footnoteReference w:id="4"/>
      </w:r>
    </w:p>
    <w:p w14:paraId="321795F9" w14:textId="49DF29E6" w:rsidR="00F13A38" w:rsidRDefault="00D418EB" w:rsidP="0077266F">
      <w:pPr>
        <w:pStyle w:val="Bullet1"/>
      </w:pPr>
      <w:r>
        <w:t xml:space="preserve">Consider </w:t>
      </w:r>
      <w:r w:rsidRPr="0077266F">
        <w:rPr>
          <w:rStyle w:val="Emphasis"/>
        </w:rPr>
        <w:t xml:space="preserve">alternative </w:t>
      </w:r>
      <w:r w:rsidR="00F13A38" w:rsidRPr="0077266F">
        <w:rPr>
          <w:rStyle w:val="Emphasis"/>
        </w:rPr>
        <w:t>ways</w:t>
      </w:r>
      <w:r w:rsidRPr="0077266F">
        <w:rPr>
          <w:rStyle w:val="Emphasis"/>
        </w:rPr>
        <w:t xml:space="preserve"> of meeting the request</w:t>
      </w:r>
      <w:r>
        <w:t xml:space="preserve"> where it is not possible to provide exactly what has been requested, in the way preferred by the requester. This could include</w:t>
      </w:r>
      <w:r w:rsidR="00F13A38">
        <w:t>:</w:t>
      </w:r>
    </w:p>
    <w:p w14:paraId="490EE9DF" w14:textId="741A4390" w:rsidR="00F13A38" w:rsidRDefault="00EA4684" w:rsidP="0077266F">
      <w:pPr>
        <w:pStyle w:val="Bullet2"/>
      </w:pPr>
      <w:r>
        <w:t xml:space="preserve">releasing a subset or sample of the information </w:t>
      </w:r>
      <w:r w:rsidR="00F13A38">
        <w:t xml:space="preserve">at </w:t>
      </w:r>
      <w:proofErr w:type="gramStart"/>
      <w:r w:rsidR="00F13A38">
        <w:t>issue;</w:t>
      </w:r>
      <w:proofErr w:type="gramEnd"/>
    </w:p>
    <w:p w14:paraId="60E7546F" w14:textId="1D61A741" w:rsidR="00F13A38" w:rsidRDefault="00EA4684" w:rsidP="0077266F">
      <w:pPr>
        <w:pStyle w:val="Bullet2"/>
      </w:pPr>
      <w:r>
        <w:t xml:space="preserve">releasing other </w:t>
      </w:r>
      <w:proofErr w:type="gramStart"/>
      <w:r>
        <w:t>information</w:t>
      </w:r>
      <w:r w:rsidR="00BC3A25">
        <w:t>;</w:t>
      </w:r>
      <w:proofErr w:type="gramEnd"/>
      <w:r w:rsidR="00BC3A25">
        <w:t xml:space="preserve"> </w:t>
      </w:r>
    </w:p>
    <w:p w14:paraId="55B0E44E" w14:textId="4DD18C9A" w:rsidR="00D418EB" w:rsidRDefault="00EA4684" w:rsidP="0077266F">
      <w:pPr>
        <w:pStyle w:val="Bullet2"/>
      </w:pPr>
      <w:r>
        <w:t>releasing the information in an alternative form</w:t>
      </w:r>
      <w:r w:rsidR="00F13A38">
        <w:t xml:space="preserve"> (like a summary</w:t>
      </w:r>
      <w:r w:rsidR="00BC3A25">
        <w:t>); or</w:t>
      </w:r>
    </w:p>
    <w:p w14:paraId="060200BB" w14:textId="4BFBDDFD" w:rsidR="00BC3A25" w:rsidRDefault="00BC3A25" w:rsidP="0077266F">
      <w:pPr>
        <w:pStyle w:val="Bullet2"/>
      </w:pPr>
      <w:r>
        <w:t xml:space="preserve">releasing the information </w:t>
      </w:r>
      <w:r w:rsidR="00004F61">
        <w:t xml:space="preserve">with </w:t>
      </w:r>
      <w:r>
        <w:t>conditions.</w:t>
      </w:r>
    </w:p>
    <w:p w14:paraId="2600C5C6" w14:textId="039B7EEE" w:rsidR="000F2EA0" w:rsidRDefault="000F2EA0" w:rsidP="0077266F">
      <w:pPr>
        <w:pStyle w:val="Bullet1"/>
        <w:numPr>
          <w:ilvl w:val="0"/>
          <w:numId w:val="0"/>
        </w:numPr>
        <w:ind w:left="567"/>
      </w:pPr>
      <w:r>
        <w:t xml:space="preserve">See more information about these options in our </w:t>
      </w:r>
      <w:hyperlink r:id="rId8" w:history="1">
        <w:r w:rsidRPr="00A56ACE">
          <w:rPr>
            <w:rStyle w:val="Hyperlink"/>
          </w:rPr>
          <w:t>Substantial collation and research guide</w:t>
        </w:r>
      </w:hyperlink>
      <w:r>
        <w:t>.</w:t>
      </w:r>
    </w:p>
    <w:p w14:paraId="05D075D5" w14:textId="7F11F7CE" w:rsidR="00F13A38" w:rsidRDefault="000F2EA0" w:rsidP="0077266F">
      <w:pPr>
        <w:pStyle w:val="Bullet1"/>
      </w:pPr>
      <w:r>
        <w:t xml:space="preserve">Consider whether charging would enable you to meet requests that would otherwise need to be refused because of the amount of work that would be required. See more information </w:t>
      </w:r>
      <w:r w:rsidR="00004F61">
        <w:t xml:space="preserve">in </w:t>
      </w:r>
      <w:r>
        <w:t xml:space="preserve">our </w:t>
      </w:r>
      <w:hyperlink r:id="rId9" w:history="1">
        <w:r w:rsidRPr="00A56ACE">
          <w:rPr>
            <w:rStyle w:val="Hyperlink"/>
          </w:rPr>
          <w:t>Charging guide</w:t>
        </w:r>
      </w:hyperlink>
      <w:r>
        <w:t>.</w:t>
      </w:r>
    </w:p>
    <w:p w14:paraId="00B1C189" w14:textId="69215D52" w:rsidR="00935565" w:rsidRDefault="00FB21DC" w:rsidP="00F9479A">
      <w:pPr>
        <w:pStyle w:val="Heading1"/>
        <w:spacing w:after="240"/>
      </w:pPr>
      <w:bookmarkStart w:id="9" w:name="_Toc236747830"/>
      <w:r>
        <w:t>Key t</w:t>
      </w:r>
      <w:r w:rsidR="00935565">
        <w:t>imeframes</w:t>
      </w:r>
      <w:bookmarkEnd w:id="9"/>
    </w:p>
    <w:p w14:paraId="3E5A5732" w14:textId="1298F687" w:rsidR="003C7715" w:rsidRDefault="003C7715" w:rsidP="00F9479A">
      <w:pPr>
        <w:pStyle w:val="Heading2"/>
        <w:spacing w:before="240"/>
      </w:pPr>
      <w:bookmarkStart w:id="10" w:name="_Toc236747831"/>
      <w:r w:rsidRPr="00935565">
        <w:t xml:space="preserve">What are the timeframes under the </w:t>
      </w:r>
      <w:r w:rsidR="009E1CB2">
        <w:t>Official Information Act (</w:t>
      </w:r>
      <w:proofErr w:type="spellStart"/>
      <w:r w:rsidRPr="00935565">
        <w:t>OIA</w:t>
      </w:r>
      <w:proofErr w:type="spellEnd"/>
      <w:r w:rsidR="009E1CB2">
        <w:t>)</w:t>
      </w:r>
      <w:r w:rsidR="000356D9" w:rsidRPr="00935565">
        <w:t xml:space="preserve"> during</w:t>
      </w:r>
      <w:r w:rsidR="007D31B4">
        <w:t xml:space="preserve"> the</w:t>
      </w:r>
      <w:r w:rsidR="000356D9" w:rsidRPr="00935565">
        <w:t xml:space="preserve"> </w:t>
      </w:r>
      <w:r w:rsidR="00504E76">
        <w:t>general election period</w:t>
      </w:r>
      <w:r w:rsidRPr="00935565">
        <w:t>?</w:t>
      </w:r>
      <w:bookmarkEnd w:id="10"/>
    </w:p>
    <w:p w14:paraId="2ACFFC5F" w14:textId="77777777" w:rsidR="00935565" w:rsidRPr="00935565" w:rsidRDefault="00935565" w:rsidP="00935565">
      <w:pPr>
        <w:pStyle w:val="Whitespace"/>
      </w:pPr>
    </w:p>
    <w:p w14:paraId="08119A56" w14:textId="64934593" w:rsidR="000356D9" w:rsidRDefault="003C7715" w:rsidP="003C7715">
      <w:pPr>
        <w:pStyle w:val="BodyText"/>
      </w:pPr>
      <w:r>
        <w:rPr>
          <w:noProof/>
          <w:lang w:eastAsia="en-NZ"/>
        </w:rPr>
        <w:drawing>
          <wp:inline distT="0" distB="0" distL="0" distR="0" wp14:anchorId="667FA3D3" wp14:editId="49BCCF7C">
            <wp:extent cx="5904230" cy="1879196"/>
            <wp:effectExtent l="0" t="0" r="1270" b="6985"/>
            <wp:docPr id="1" name="Picture 1" descr="C:\Users\antoniadm\AppData\Local\Microsoft\Windows\Temporary Internet Files\Content.Outlook\02J5D6O9\Timelinev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251369" name="Picture 1" descr="C:\Users\antoniadm\AppData\Local\Microsoft\Windows\Temporary Internet Files\Content.Outlook\02J5D6O9\Timelinev3.jpg"/>
                    <pic:cNvPicPr>
                      <a:picLocks noChangeAspect="1" noChangeArrowheads="1"/>
                    </pic:cNvPicPr>
                  </pic:nvPicPr>
                  <pic:blipFill>
                    <a:blip r:embed="rId10" cstate="print"/>
                    <a:stretch>
                      <a:fillRect/>
                    </a:stretch>
                  </pic:blipFill>
                  <pic:spPr bwMode="auto">
                    <a:xfrm>
                      <a:off x="0" y="0"/>
                      <a:ext cx="5904230" cy="1879196"/>
                    </a:xfrm>
                    <a:prstGeom prst="rect">
                      <a:avLst/>
                    </a:prstGeom>
                    <a:noFill/>
                    <a:ln w="9525">
                      <a:noFill/>
                      <a:miter lim="800000"/>
                      <a:headEnd/>
                      <a:tailEnd/>
                    </a:ln>
                  </pic:spPr>
                </pic:pic>
              </a:graphicData>
            </a:graphic>
          </wp:inline>
        </w:drawing>
      </w:r>
    </w:p>
    <w:p w14:paraId="38F54678" w14:textId="77777777" w:rsidR="009A47AA" w:rsidRDefault="002210C4" w:rsidP="003C7715">
      <w:pPr>
        <w:pStyle w:val="BodyText"/>
      </w:pPr>
      <w:r>
        <w:t xml:space="preserve">All </w:t>
      </w:r>
      <w:r w:rsidR="001E2237">
        <w:t>official information</w:t>
      </w:r>
      <w:r w:rsidR="000356D9">
        <w:t xml:space="preserve"> timeframes remain </w:t>
      </w:r>
      <w:r w:rsidR="008848D1">
        <w:t>the same</w:t>
      </w:r>
      <w:r w:rsidR="000356D9">
        <w:t xml:space="preserve"> during the </w:t>
      </w:r>
      <w:r w:rsidR="00504E76">
        <w:t>general election period</w:t>
      </w:r>
      <w:r w:rsidR="000356D9">
        <w:t xml:space="preserve">. </w:t>
      </w:r>
    </w:p>
    <w:p w14:paraId="265A9635" w14:textId="09C3D5FF" w:rsidR="000356D9" w:rsidRDefault="000356D9" w:rsidP="003C7715">
      <w:pPr>
        <w:pStyle w:val="BodyText"/>
      </w:pPr>
      <w:r w:rsidRPr="00915BC0">
        <w:t>Individual requesters should also be kept up to date about their requests, particularly if there are any unavoidable delays</w:t>
      </w:r>
      <w:r>
        <w:t>.</w:t>
      </w:r>
    </w:p>
    <w:p w14:paraId="7C41353C" w14:textId="34C03B1F" w:rsidR="003C7715" w:rsidRDefault="003C7715" w:rsidP="003C7715">
      <w:pPr>
        <w:pStyle w:val="BodyText"/>
      </w:pPr>
      <w:r w:rsidRPr="003C7715">
        <w:t>An agency’s legal timeframe requirements for responding to requests for</w:t>
      </w:r>
      <w:r w:rsidR="004B355B">
        <w:t xml:space="preserve"> official information are to:</w:t>
      </w:r>
    </w:p>
    <w:p w14:paraId="6CA431A9" w14:textId="336D3DB6" w:rsidR="003C7715" w:rsidRDefault="003C7715" w:rsidP="003C7715">
      <w:pPr>
        <w:pStyle w:val="Bullet1"/>
      </w:pPr>
      <w:proofErr w:type="gramStart"/>
      <w:r w:rsidRPr="003C7715">
        <w:t>make a decision</w:t>
      </w:r>
      <w:proofErr w:type="gramEnd"/>
      <w:r w:rsidRPr="003C7715">
        <w:t xml:space="preserve"> and communicate it to the requester </w:t>
      </w:r>
      <w:r w:rsidRPr="0076620C">
        <w:rPr>
          <w:i/>
        </w:rPr>
        <w:t>‘as soon as reasonably practicable’</w:t>
      </w:r>
      <w:r w:rsidRPr="003C7715">
        <w:t xml:space="preserve"> and no later than 20 working days after the </w:t>
      </w:r>
      <w:r w:rsidR="001A0EDA">
        <w:t xml:space="preserve">day on which the </w:t>
      </w:r>
      <w:r w:rsidRPr="003C7715">
        <w:t>request is received;</w:t>
      </w:r>
      <w:r>
        <w:t xml:space="preserve"> </w:t>
      </w:r>
      <w:r w:rsidRPr="003C7715">
        <w:t>and</w:t>
      </w:r>
    </w:p>
    <w:p w14:paraId="72120BC4" w14:textId="32B798B9" w:rsidR="003C7715" w:rsidRPr="00C203FF" w:rsidRDefault="003C7715" w:rsidP="003C7715">
      <w:pPr>
        <w:pStyle w:val="Bullet1"/>
      </w:pPr>
      <w:r w:rsidRPr="003C7715">
        <w:t xml:space="preserve">make available any official information it has decided to release without </w:t>
      </w:r>
      <w:r w:rsidRPr="0076620C">
        <w:rPr>
          <w:i/>
        </w:rPr>
        <w:t>‘undue delay’.</w:t>
      </w:r>
    </w:p>
    <w:p w14:paraId="395A4348" w14:textId="7AA6BDF1" w:rsidR="003C7715" w:rsidRDefault="00C203FF" w:rsidP="003C7715">
      <w:pPr>
        <w:pStyle w:val="BodyText"/>
      </w:pPr>
      <w:r>
        <w:t>These legal timeframes will be viewed by the Ombudsman within the context</w:t>
      </w:r>
      <w:r w:rsidR="001842E7">
        <w:t xml:space="preserve"> of the general election</w:t>
      </w:r>
      <w:r>
        <w:t xml:space="preserve">. For example, requesters may </w:t>
      </w:r>
      <w:r w:rsidR="00E650F9">
        <w:t xml:space="preserve">be seeking </w:t>
      </w:r>
      <w:r>
        <w:t xml:space="preserve">information </w:t>
      </w:r>
      <w:r w:rsidR="00236701">
        <w:t xml:space="preserve">which is relevant to and may inform the public before </w:t>
      </w:r>
      <w:r>
        <w:t xml:space="preserve">the general election, </w:t>
      </w:r>
      <w:r w:rsidR="00E650F9">
        <w:t xml:space="preserve">and this should be </w:t>
      </w:r>
      <w:proofErr w:type="gramStart"/>
      <w:r w:rsidR="00E650F9">
        <w:t>taken into account</w:t>
      </w:r>
      <w:proofErr w:type="gramEnd"/>
      <w:r w:rsidR="00E650F9">
        <w:t xml:space="preserve"> in considering any request for urgency.</w:t>
      </w:r>
      <w:r w:rsidR="0085709E">
        <w:t xml:space="preserve"> </w:t>
      </w:r>
      <w:r w:rsidR="003C7715" w:rsidRPr="003C7715">
        <w:t>Where necessary in a particular case, additional timeframe requirements are to:</w:t>
      </w:r>
    </w:p>
    <w:p w14:paraId="56D3FC58" w14:textId="44B7728A" w:rsidR="003C7715" w:rsidRDefault="003C7715" w:rsidP="003C7715">
      <w:pPr>
        <w:pStyle w:val="Bullet1"/>
      </w:pPr>
      <w:r w:rsidRPr="003C7715">
        <w:t>request clarification of a request within 7 working days, if the amended request is to be treated as a new request</w:t>
      </w:r>
      <w:r w:rsidR="00794662">
        <w:t xml:space="preserve"> that restarts the </w:t>
      </w:r>
      <w:r w:rsidR="00CB2564">
        <w:t xml:space="preserve">maximum </w:t>
      </w:r>
      <w:r w:rsidR="006839C0">
        <w:t>time limit</w:t>
      </w:r>
      <w:r w:rsidR="00CB2564">
        <w:t xml:space="preserve"> for </w:t>
      </w:r>
      <w:proofErr w:type="gramStart"/>
      <w:r w:rsidR="00CB2564">
        <w:t>response</w:t>
      </w:r>
      <w:r w:rsidRPr="003C7715">
        <w:t>;</w:t>
      </w:r>
      <w:proofErr w:type="gramEnd"/>
      <w:r w:rsidR="006839C0">
        <w:rPr>
          <w:rStyle w:val="FootnoteReference"/>
        </w:rPr>
        <w:footnoteReference w:id="5"/>
      </w:r>
    </w:p>
    <w:p w14:paraId="1D8497FC" w14:textId="7AF99C50" w:rsidR="003C7715" w:rsidRDefault="003C7715" w:rsidP="003C7715">
      <w:pPr>
        <w:pStyle w:val="Bullet1"/>
      </w:pPr>
      <w:r w:rsidRPr="003C7715">
        <w:t xml:space="preserve">transfer a request to another agency promptly, and no later than 10 working days after </w:t>
      </w:r>
      <w:r w:rsidR="00956799">
        <w:t xml:space="preserve">the day on which </w:t>
      </w:r>
      <w:r w:rsidRPr="003C7715">
        <w:t xml:space="preserve">the request is </w:t>
      </w:r>
      <w:proofErr w:type="gramStart"/>
      <w:r w:rsidRPr="003C7715">
        <w:t>received;</w:t>
      </w:r>
      <w:proofErr w:type="gramEnd"/>
    </w:p>
    <w:p w14:paraId="02C75420" w14:textId="4D3F65CE" w:rsidR="00DA2CC6" w:rsidRDefault="003C7715" w:rsidP="000356D9">
      <w:pPr>
        <w:pStyle w:val="Bullet1"/>
      </w:pPr>
      <w:r w:rsidRPr="003C7715">
        <w:t xml:space="preserve">extend the maximum time limits to </w:t>
      </w:r>
      <w:proofErr w:type="gramStart"/>
      <w:r w:rsidRPr="003C7715">
        <w:t>make a decision</w:t>
      </w:r>
      <w:proofErr w:type="gramEnd"/>
      <w:r w:rsidRPr="003C7715">
        <w:t xml:space="preserve"> or transfer a request, within 20 working days after the day on which the request was received.</w:t>
      </w:r>
    </w:p>
    <w:p w14:paraId="259A6F65" w14:textId="6AB8C81A" w:rsidR="00FB21DC" w:rsidRDefault="007D31B4" w:rsidP="00D06048">
      <w:pPr>
        <w:pStyle w:val="Heading2"/>
        <w:numPr>
          <w:ilvl w:val="0"/>
          <w:numId w:val="0"/>
        </w:numPr>
      </w:pPr>
      <w:bookmarkStart w:id="11" w:name="_Toc236747832"/>
      <w:r>
        <w:t xml:space="preserve">The requester has asked for an urgent response, what do </w:t>
      </w:r>
      <w:r w:rsidR="001C2BF7">
        <w:t xml:space="preserve">we </w:t>
      </w:r>
      <w:r>
        <w:t>need to do?</w:t>
      </w:r>
      <w:bookmarkEnd w:id="11"/>
    </w:p>
    <w:p w14:paraId="30B047BD" w14:textId="456304BF" w:rsidR="0028354E" w:rsidRPr="00C55161" w:rsidRDefault="0028354E" w:rsidP="0028354E">
      <w:pPr>
        <w:pStyle w:val="BodyText"/>
      </w:pPr>
      <w:bookmarkStart w:id="12" w:name="_Hlk236746905"/>
      <w:r w:rsidRPr="00C55161">
        <w:t>A requester may ask that a request be treated as urgent and</w:t>
      </w:r>
      <w:r w:rsidR="00956799">
        <w:t>,</w:t>
      </w:r>
      <w:r w:rsidRPr="00C55161">
        <w:t xml:space="preserve"> if so</w:t>
      </w:r>
      <w:r w:rsidR="00956799">
        <w:t>,</w:t>
      </w:r>
      <w:r w:rsidRPr="00C55161">
        <w:t xml:space="preserve"> must give the reasons for seeking the information urgently.</w:t>
      </w:r>
      <w:r>
        <w:rPr>
          <w:rStyle w:val="FootnoteReference"/>
          <w:rFonts w:eastAsiaTheme="majorEastAsia"/>
        </w:rPr>
        <w:footnoteReference w:id="6"/>
      </w:r>
      <w:r w:rsidRPr="00C55161">
        <w:t xml:space="preserve"> An agency should consider any request for urgency, and assess whether it would be reasonabl</w:t>
      </w:r>
      <w:r w:rsidR="004B355B">
        <w:t>e to give the request priority.</w:t>
      </w:r>
      <w:r w:rsidR="00C203FF">
        <w:t xml:space="preserve"> A key issue to be aware of is whether the </w:t>
      </w:r>
      <w:r w:rsidR="006D1BCB">
        <w:t xml:space="preserve">requester </w:t>
      </w:r>
      <w:r w:rsidR="00E650F9">
        <w:t xml:space="preserve">is seeking </w:t>
      </w:r>
      <w:r w:rsidR="00C203FF">
        <w:t xml:space="preserve">the information prior to </w:t>
      </w:r>
      <w:r w:rsidR="006C2E51">
        <w:t xml:space="preserve">the </w:t>
      </w:r>
      <w:r w:rsidR="00125760">
        <w:t>election</w:t>
      </w:r>
      <w:r w:rsidR="00C203FF">
        <w:t xml:space="preserve"> to</w:t>
      </w:r>
      <w:r w:rsidR="00E650F9">
        <w:t xml:space="preserve"> help inform the electorate</w:t>
      </w:r>
      <w:r w:rsidR="00C203FF">
        <w:t>.</w:t>
      </w:r>
    </w:p>
    <w:p w14:paraId="75BCF386" w14:textId="77777777" w:rsidR="0028354E" w:rsidRPr="00C55161" w:rsidRDefault="0028354E" w:rsidP="0076620C">
      <w:pPr>
        <w:pStyle w:val="BodyText"/>
        <w:keepNext/>
      </w:pPr>
      <w:r w:rsidRPr="00C55161">
        <w:t>Notwithstanding a request for urgency, the agency</w:t>
      </w:r>
      <w:r>
        <w:t>’</w:t>
      </w:r>
      <w:r w:rsidRPr="00C55161">
        <w:t>s legal obligations remain the same:</w:t>
      </w:r>
    </w:p>
    <w:p w14:paraId="6CD76206" w14:textId="77777777" w:rsidR="0028354E" w:rsidRPr="00C55161" w:rsidRDefault="0028354E" w:rsidP="0076620C">
      <w:pPr>
        <w:pStyle w:val="Bullet1"/>
        <w:keepNext/>
      </w:pPr>
      <w:r w:rsidRPr="00C55161">
        <w:t>to make and communicate the decision on the request as soon as reasonably practicable and no later than 20 working days after the day on which the request was received; and</w:t>
      </w:r>
    </w:p>
    <w:p w14:paraId="1DD8743F" w14:textId="77777777" w:rsidR="0028354E" w:rsidRPr="00C55161" w:rsidRDefault="0028354E" w:rsidP="0028354E">
      <w:pPr>
        <w:pStyle w:val="Bullet1"/>
      </w:pPr>
      <w:r w:rsidRPr="00C55161">
        <w:t>to release any official information without undue delay.</w:t>
      </w:r>
    </w:p>
    <w:p w14:paraId="13F0564D" w14:textId="103ECF95" w:rsidR="0028354E" w:rsidRDefault="0028354E" w:rsidP="009572DF">
      <w:pPr>
        <w:pStyle w:val="BodyText"/>
      </w:pPr>
      <w:r w:rsidRPr="00C55161">
        <w:t xml:space="preserve">However, a genuine and legitimate need for urgency may affect when it is </w:t>
      </w:r>
      <w:r w:rsidRPr="00963724">
        <w:rPr>
          <w:rStyle w:val="Quotationwithinthesentence"/>
        </w:rPr>
        <w:t>‘reasonably practicable’</w:t>
      </w:r>
      <w:r w:rsidRPr="00C55161">
        <w:t xml:space="preserve"> to </w:t>
      </w:r>
      <w:proofErr w:type="gramStart"/>
      <w:r w:rsidRPr="00C55161">
        <w:t>make a decision</w:t>
      </w:r>
      <w:proofErr w:type="gramEnd"/>
      <w:r w:rsidRPr="00C55161">
        <w:t xml:space="preserve"> on the request</w:t>
      </w:r>
      <w:r>
        <w:t>,</w:t>
      </w:r>
      <w:r w:rsidRPr="00C55161">
        <w:t xml:space="preserve"> and what would constitute </w:t>
      </w:r>
      <w:r w:rsidRPr="00963724">
        <w:rPr>
          <w:rStyle w:val="Quotationwithinthesentence"/>
        </w:rPr>
        <w:t>‘undue delay’</w:t>
      </w:r>
      <w:r w:rsidRPr="0076620C">
        <w:t xml:space="preserve"> in releasing the information</w:t>
      </w:r>
      <w:r w:rsidR="004B355B">
        <w:t>.</w:t>
      </w:r>
    </w:p>
    <w:p w14:paraId="68613E90" w14:textId="77777777" w:rsidR="00AF1B74" w:rsidRDefault="0080354D" w:rsidP="009572DF">
      <w:pPr>
        <w:pStyle w:val="BodyText"/>
      </w:pPr>
      <w:r>
        <w:t xml:space="preserve">Things that might warrant </w:t>
      </w:r>
      <w:r w:rsidR="00A67A9E">
        <w:t>a request being given more urgent</w:t>
      </w:r>
      <w:r>
        <w:t xml:space="preserve"> treatment at this time include </w:t>
      </w:r>
      <w:r w:rsidR="00EF6107">
        <w:t xml:space="preserve">information needed allow </w:t>
      </w:r>
      <w:r w:rsidR="00E650F9">
        <w:t xml:space="preserve">the </w:t>
      </w:r>
      <w:r w:rsidR="00EF6107">
        <w:t>electorate to cast an informed vote</w:t>
      </w:r>
      <w:r w:rsidR="00CB2564">
        <w:t xml:space="preserve">. </w:t>
      </w:r>
    </w:p>
    <w:p w14:paraId="6A2831B0" w14:textId="7B9611AC" w:rsidR="002D55FE" w:rsidRDefault="00982F19" w:rsidP="009572DF">
      <w:pPr>
        <w:pStyle w:val="BodyText"/>
      </w:pPr>
      <w:r>
        <w:t>At any time, o</w:t>
      </w:r>
      <w:r w:rsidR="00CB2564">
        <w:t>ther reasons for urgency include when information is needed to help people participate in the political process, or when inform is sought about</w:t>
      </w:r>
      <w:r w:rsidR="00EF6107">
        <w:t xml:space="preserve"> </w:t>
      </w:r>
      <w:r w:rsidR="0080354D" w:rsidRPr="0080354D">
        <w:t>decision</w:t>
      </w:r>
      <w:r w:rsidR="0080354D">
        <w:t>s that involve</w:t>
      </w:r>
      <w:r w:rsidR="0080354D" w:rsidRPr="0080354D">
        <w:t xml:space="preserve"> public health and safety</w:t>
      </w:r>
      <w:r w:rsidR="0080354D">
        <w:t>,</w:t>
      </w:r>
      <w:r w:rsidR="0080354D" w:rsidRPr="0080354D">
        <w:t xml:space="preserve"> or that affect someone’s financial circumstances, housing situation or family circumstances. </w:t>
      </w:r>
    </w:p>
    <w:p w14:paraId="54AE35F6" w14:textId="7C1286C5" w:rsidR="0080354D" w:rsidRDefault="002926D2" w:rsidP="009572DF">
      <w:pPr>
        <w:pStyle w:val="BodyText"/>
      </w:pPr>
      <w:r>
        <w:t>If</w:t>
      </w:r>
      <w:r w:rsidR="009572DF">
        <w:t xml:space="preserve"> there is an administrative burden in making information available urgently, </w:t>
      </w:r>
      <w:r w:rsidR="00EF6107">
        <w:t>an agency may wish to consider</w:t>
      </w:r>
      <w:r w:rsidR="009572DF">
        <w:t xml:space="preserve"> fixing a charge</w:t>
      </w:r>
      <w:r w:rsidR="00EF6107">
        <w:t>.</w:t>
      </w:r>
      <w:r w:rsidR="002D55FE">
        <w:t xml:space="preserve"> </w:t>
      </w:r>
      <w:r w:rsidR="00AF1B74">
        <w:t>A</w:t>
      </w:r>
      <w:r w:rsidR="009572DF">
        <w:t xml:space="preserve">ny charge </w:t>
      </w:r>
      <w:r w:rsidR="00AF1B74">
        <w:t>to</w:t>
      </w:r>
      <w:r w:rsidR="009572DF">
        <w:t xml:space="preserve"> supply information can include ‘</w:t>
      </w:r>
      <w:r w:rsidR="009572DF" w:rsidRPr="00C165B1">
        <w:rPr>
          <w:i/>
          <w:iCs/>
        </w:rPr>
        <w:t>any costs incurred pursuant to a request of the applicant to make information available urgently’</w:t>
      </w:r>
      <w:r w:rsidR="009572DF">
        <w:t>.</w:t>
      </w:r>
      <w:r w:rsidR="00093C69">
        <w:rPr>
          <w:rStyle w:val="FootnoteReference"/>
        </w:rPr>
        <w:footnoteReference w:id="7"/>
      </w:r>
      <w:r w:rsidR="002D55FE">
        <w:t xml:space="preserve"> However, any decision to charge should consider whether reduction or waiver of any proposed charge may be appropriate having regard to the circumstances of the requester and the public interest in release of the information.</w:t>
      </w:r>
    </w:p>
    <w:p w14:paraId="062B9168" w14:textId="6805573C" w:rsidR="00935565" w:rsidRDefault="00EF7989" w:rsidP="00F9479A">
      <w:pPr>
        <w:pStyle w:val="Heading2"/>
      </w:pPr>
      <w:bookmarkStart w:id="13" w:name="_Toc236747833"/>
      <w:bookmarkEnd w:id="12"/>
      <w:r>
        <w:t xml:space="preserve">What if </w:t>
      </w:r>
      <w:r w:rsidR="00E57979">
        <w:t>we</w:t>
      </w:r>
      <w:r w:rsidR="00935565">
        <w:t xml:space="preserve"> can</w:t>
      </w:r>
      <w:r w:rsidR="003861A1">
        <w:t>’</w:t>
      </w:r>
      <w:r w:rsidR="00935565">
        <w:t xml:space="preserve">t answer a request on time during the </w:t>
      </w:r>
      <w:r w:rsidR="00504E76">
        <w:t>general election period</w:t>
      </w:r>
      <w:r w:rsidR="00935565">
        <w:t>?</w:t>
      </w:r>
      <w:bookmarkEnd w:id="13"/>
    </w:p>
    <w:p w14:paraId="6AF0E002" w14:textId="6ACD34C3" w:rsidR="00203BB4" w:rsidRDefault="00203BB4" w:rsidP="00935565">
      <w:pPr>
        <w:pStyle w:val="BodyText"/>
      </w:pPr>
      <w:r>
        <w:t xml:space="preserve">If you are still within the original 20 working day period, consider whether an </w:t>
      </w:r>
      <w:r w:rsidRPr="002B0EB5">
        <w:t>extension</w:t>
      </w:r>
      <w:r>
        <w:t xml:space="preserve"> is warranted.</w:t>
      </w:r>
      <w:r w:rsidR="002B0EB5">
        <w:t xml:space="preserve"> See </w:t>
      </w:r>
      <w:hyperlink w:anchor="_Extensions" w:history="1">
        <w:r w:rsidR="002B0EB5" w:rsidRPr="00125760">
          <w:rPr>
            <w:rStyle w:val="Hyperlink"/>
          </w:rPr>
          <w:t>‘Extensions’</w:t>
        </w:r>
      </w:hyperlink>
      <w:r w:rsidR="002B0EB5">
        <w:t xml:space="preserve"> for further information on the criteria for extensions.</w:t>
      </w:r>
    </w:p>
    <w:p w14:paraId="58809321" w14:textId="1F766246" w:rsidR="00935565" w:rsidRPr="00C55161" w:rsidRDefault="00935565" w:rsidP="00935565">
      <w:pPr>
        <w:pStyle w:val="BodyText"/>
      </w:pPr>
      <w:r w:rsidRPr="00C55161">
        <w:t>If it looks like</w:t>
      </w:r>
      <w:r w:rsidR="00203BB4">
        <w:t xml:space="preserve"> you will be unable to meet the original or extended time limit, </w:t>
      </w:r>
      <w:r w:rsidRPr="00C55161">
        <w:t xml:space="preserve">consider contacting the requester to let them know the current state of play and reasons for delay. Requesters will appreciate being kept </w:t>
      </w:r>
      <w:r w:rsidR="00982F19" w:rsidRPr="00C55161">
        <w:t>informed and</w:t>
      </w:r>
      <w:r w:rsidRPr="00C55161">
        <w:t xml:space="preserve"> may be more understanding if the agency ends up in breach</w:t>
      </w:r>
      <w:r w:rsidR="004B355B">
        <w:t xml:space="preserve"> of the timeframe requirements.</w:t>
      </w:r>
    </w:p>
    <w:p w14:paraId="57994841" w14:textId="1BA4D386" w:rsidR="00935565" w:rsidRDefault="00935565" w:rsidP="002A466F">
      <w:pPr>
        <w:pStyle w:val="BodyText"/>
      </w:pPr>
      <w:r w:rsidRPr="00C55161">
        <w:t>Another option is</w:t>
      </w:r>
      <w:r w:rsidR="00203BB4">
        <w:t xml:space="preserve"> to provide</w:t>
      </w:r>
      <w:r w:rsidRPr="00C55161">
        <w:t xml:space="preserve"> a staged reply. If </w:t>
      </w:r>
      <w:r w:rsidR="00511005">
        <w:t>part of the</w:t>
      </w:r>
      <w:r w:rsidRPr="00C55161">
        <w:t xml:space="preserve"> </w:t>
      </w:r>
      <w:r w:rsidR="00511005">
        <w:t xml:space="preserve">response is </w:t>
      </w:r>
      <w:r w:rsidRPr="00C55161">
        <w:t xml:space="preserve">ready to go, there is often no need to hold that up </w:t>
      </w:r>
      <w:r w:rsidR="00982F19" w:rsidRPr="00C55161">
        <w:t>to</w:t>
      </w:r>
      <w:r w:rsidRPr="00C55161">
        <w:t xml:space="preserve"> deal with </w:t>
      </w:r>
      <w:r w:rsidR="00511005">
        <w:t>the</w:t>
      </w:r>
      <w:r w:rsidRPr="00C55161">
        <w:t xml:space="preserve"> remaining issues.</w:t>
      </w:r>
      <w:r w:rsidR="003C6E7A">
        <w:t xml:space="preserve"> This approach may be especially relevant </w:t>
      </w:r>
      <w:r w:rsidR="00982F19">
        <w:t xml:space="preserve">during </w:t>
      </w:r>
      <w:r w:rsidR="003C6E7A">
        <w:t xml:space="preserve">the general election period where information </w:t>
      </w:r>
      <w:r w:rsidR="002D55FE">
        <w:t xml:space="preserve">may </w:t>
      </w:r>
      <w:r w:rsidR="003C6E7A">
        <w:t>ha</w:t>
      </w:r>
      <w:r w:rsidR="002D55FE">
        <w:t>ve</w:t>
      </w:r>
      <w:r w:rsidR="003C6E7A">
        <w:t xml:space="preserve"> a high public interest attached.</w:t>
      </w:r>
    </w:p>
    <w:p w14:paraId="4695B3EF" w14:textId="28BEB675" w:rsidR="00B96951" w:rsidRDefault="00EB379C" w:rsidP="006405CA">
      <w:pPr>
        <w:pStyle w:val="BodyText"/>
      </w:pPr>
      <w:r>
        <w:t>Requesters are entitled to complain to the Ombudsman if they do not receive the decision on their request within the original or extended time</w:t>
      </w:r>
      <w:r w:rsidR="00982F19">
        <w:t>frame</w:t>
      </w:r>
      <w:r>
        <w:t>.</w:t>
      </w:r>
      <w:r w:rsidR="006D1EED">
        <w:t xml:space="preserve"> </w:t>
      </w:r>
      <w:r w:rsidR="00AF1B74">
        <w:t>Delay</w:t>
      </w:r>
      <w:r w:rsidR="00866DB0">
        <w:t xml:space="preserve"> and extension</w:t>
      </w:r>
      <w:r w:rsidR="00AF1B74">
        <w:t xml:space="preserve"> complaints will be triaged and dealt with immediately, with an emphasis on early resolution where possible. We</w:t>
      </w:r>
      <w:r w:rsidR="00650D50">
        <w:t xml:space="preserve"> will take</w:t>
      </w:r>
      <w:r w:rsidR="00CD1A65">
        <w:t xml:space="preserve"> the </w:t>
      </w:r>
      <w:r w:rsidR="00504E76">
        <w:t xml:space="preserve">election </w:t>
      </w:r>
      <w:r w:rsidR="00CD1A65">
        <w:t>and associated</w:t>
      </w:r>
      <w:r w:rsidR="00650D50" w:rsidRPr="00FC0D09">
        <w:t xml:space="preserve"> circumstances into account when deciding how to deal with complaints about </w:t>
      </w:r>
      <w:r w:rsidR="00650D50">
        <w:t xml:space="preserve">delays or </w:t>
      </w:r>
      <w:r w:rsidR="00650D50" w:rsidRPr="00FC0D09">
        <w:t>extensions.</w:t>
      </w:r>
      <w:r w:rsidR="00650D50">
        <w:t xml:space="preserve"> </w:t>
      </w:r>
    </w:p>
    <w:p w14:paraId="104C9536" w14:textId="282C3357" w:rsidR="007D31B4" w:rsidRDefault="007D31B4" w:rsidP="007D31B4">
      <w:pPr>
        <w:pStyle w:val="Heading2"/>
      </w:pPr>
      <w:bookmarkStart w:id="14" w:name="_Can_we_make"/>
      <w:bookmarkStart w:id="15" w:name="_Is_proactive_release"/>
      <w:bookmarkStart w:id="16" w:name="_Toc236747834"/>
      <w:bookmarkEnd w:id="14"/>
      <w:bookmarkEnd w:id="15"/>
      <w:r>
        <w:t xml:space="preserve">Is proactive release a good option during the </w:t>
      </w:r>
      <w:r w:rsidR="00504E76">
        <w:t>general election period</w:t>
      </w:r>
      <w:r>
        <w:t>?</w:t>
      </w:r>
      <w:bookmarkEnd w:id="16"/>
    </w:p>
    <w:p w14:paraId="650504AB" w14:textId="0AC20D8B" w:rsidR="00EF7989" w:rsidRDefault="00EF7989" w:rsidP="00EF7989">
      <w:pPr>
        <w:pStyle w:val="BodyText"/>
      </w:pPr>
      <w:r>
        <w:t xml:space="preserve">If agencies can identify information </w:t>
      </w:r>
      <w:r w:rsidR="000A2561">
        <w:t xml:space="preserve">relevant to the election </w:t>
      </w:r>
      <w:r>
        <w:t xml:space="preserve">that is likely to be </w:t>
      </w:r>
      <w:r w:rsidR="00AF1B74">
        <w:t xml:space="preserve">(or has been) </w:t>
      </w:r>
      <w:r>
        <w:t xml:space="preserve">the subject of requests, then proactively releasing this information will help to ease the burden of </w:t>
      </w:r>
      <w:r w:rsidR="004E196F">
        <w:t>multiple requests.</w:t>
      </w:r>
    </w:p>
    <w:p w14:paraId="0C90FBFA" w14:textId="2FC402A1" w:rsidR="00EF7989" w:rsidRDefault="00EF7989" w:rsidP="00EF7989">
      <w:pPr>
        <w:pStyle w:val="BodyText"/>
      </w:pPr>
      <w:r w:rsidRPr="00C55161">
        <w:t xml:space="preserve">Proactive release of information to the public promotes good government, openness and transparency and fosters public trust and confidence in agencies. It also has administrative benefits for the agency, including by reducing requests for information </w:t>
      </w:r>
      <w:r w:rsidR="00FA04AB">
        <w:t>that</w:t>
      </w:r>
      <w:r w:rsidRPr="00C55161">
        <w:t xml:space="preserve"> is already publicly available, and allowing for greater ease of handling of the requests that are received.</w:t>
      </w:r>
    </w:p>
    <w:p w14:paraId="2C278067" w14:textId="434FEBA1" w:rsidR="00DA660D" w:rsidRDefault="00AA3081" w:rsidP="00AA3081">
      <w:pPr>
        <w:pStyle w:val="BodyText1"/>
      </w:pPr>
      <w:r>
        <w:t xml:space="preserve">See the </w:t>
      </w:r>
      <w:r w:rsidR="00DA660D">
        <w:t>Ombudsman</w:t>
      </w:r>
      <w:r>
        <w:t xml:space="preserve">’s </w:t>
      </w:r>
      <w:hyperlink r:id="rId11" w:history="1">
        <w:r w:rsidRPr="00AA3081">
          <w:rPr>
            <w:rStyle w:val="Hyperlink"/>
          </w:rPr>
          <w:t>Proactive release guide</w:t>
        </w:r>
      </w:hyperlink>
      <w:r>
        <w:t xml:space="preserve">, </w:t>
      </w:r>
      <w:r w:rsidR="002D55FE">
        <w:t xml:space="preserve">and </w:t>
      </w:r>
      <w:hyperlink r:id="rId12" w:history="1">
        <w:r w:rsidRPr="00AA3081">
          <w:rPr>
            <w:rStyle w:val="Hyperlink"/>
          </w:rPr>
          <w:t>P</w:t>
        </w:r>
        <w:r w:rsidR="00DA660D" w:rsidRPr="00AA3081">
          <w:rPr>
            <w:rStyle w:val="Hyperlink"/>
          </w:rPr>
          <w:t>ublicly available information</w:t>
        </w:r>
        <w:r w:rsidRPr="00AA3081">
          <w:rPr>
            <w:rStyle w:val="Hyperlink"/>
          </w:rPr>
          <w:t xml:space="preserve"> guide</w:t>
        </w:r>
      </w:hyperlink>
      <w:r>
        <w:t xml:space="preserve"> for more information.</w:t>
      </w:r>
    </w:p>
    <w:p w14:paraId="311F4FDB" w14:textId="488BAB8B" w:rsidR="00562AE6" w:rsidRDefault="00562AE6" w:rsidP="00562AE6">
      <w:pPr>
        <w:pStyle w:val="Heading2"/>
      </w:pPr>
      <w:bookmarkStart w:id="17" w:name="_Toc236747835"/>
      <w:r w:rsidRPr="00524BF8">
        <w:t xml:space="preserve">Can </w:t>
      </w:r>
      <w:r w:rsidR="001C2BF7">
        <w:t>we</w:t>
      </w:r>
      <w:r w:rsidRPr="00524BF8">
        <w:t xml:space="preserve"> refuse a request on the basis </w:t>
      </w:r>
      <w:r w:rsidR="00812CB9">
        <w:t>we are</w:t>
      </w:r>
      <w:r w:rsidRPr="00524BF8">
        <w:t xml:space="preserve"> planning to</w:t>
      </w:r>
      <w:r>
        <w:t xml:space="preserve"> proactively publish the information?</w:t>
      </w:r>
      <w:bookmarkEnd w:id="17"/>
    </w:p>
    <w:p w14:paraId="5675E4B5" w14:textId="3F7DE656" w:rsidR="00C84E30" w:rsidRDefault="00A87AF5" w:rsidP="000A2561">
      <w:pPr>
        <w:pStyle w:val="BodyText"/>
      </w:pPr>
      <w:r w:rsidRPr="000B3108">
        <w:t xml:space="preserve">An agency may choose to proactively publish information that is likely to be the subject of requests during this period. </w:t>
      </w:r>
      <w:r w:rsidR="00524BF8" w:rsidRPr="000B3108">
        <w:t xml:space="preserve">If agencies can identify that the specific information that has been requested is or will soon be publicly available, section 18(d) of the </w:t>
      </w:r>
      <w:proofErr w:type="spellStart"/>
      <w:r w:rsidR="00524BF8" w:rsidRPr="000B3108">
        <w:t>OIA</w:t>
      </w:r>
      <w:proofErr w:type="spellEnd"/>
      <w:r w:rsidR="00741737">
        <w:rPr>
          <w:rStyle w:val="FootnoteReference"/>
        </w:rPr>
        <w:footnoteReference w:id="8"/>
      </w:r>
      <w:r w:rsidR="00524BF8" w:rsidRPr="000B3108">
        <w:t xml:space="preserve"> allows an agency to refuse the request.</w:t>
      </w:r>
      <w:r w:rsidR="00663342" w:rsidRPr="000B3108">
        <w:t xml:space="preserve"> </w:t>
      </w:r>
    </w:p>
    <w:p w14:paraId="02756BC7" w14:textId="5399567C" w:rsidR="000143C2" w:rsidRPr="000B3108" w:rsidRDefault="00663342" w:rsidP="000A2561">
      <w:pPr>
        <w:pStyle w:val="BodyText"/>
      </w:pPr>
      <w:r w:rsidRPr="000B3108">
        <w:t>The discretion to refuse a request on this basis</w:t>
      </w:r>
      <w:r w:rsidR="000B3108">
        <w:t xml:space="preserve"> must</w:t>
      </w:r>
      <w:r w:rsidRPr="000B3108">
        <w:t xml:space="preserve"> be exercised reasonably, </w:t>
      </w:r>
      <w:proofErr w:type="gramStart"/>
      <w:r w:rsidRPr="000B3108">
        <w:t>with regard to</w:t>
      </w:r>
      <w:proofErr w:type="gramEnd"/>
      <w:r w:rsidRPr="000B3108">
        <w:t xml:space="preserve"> the particular circumstances of each case</w:t>
      </w:r>
      <w:r w:rsidR="00FE00C7">
        <w:t xml:space="preserve">. </w:t>
      </w:r>
      <w:r w:rsidR="000B3108" w:rsidRPr="000B3108">
        <w:t xml:space="preserve">It is important during an election period to </w:t>
      </w:r>
      <w:proofErr w:type="gramStart"/>
      <w:r w:rsidR="000B3108" w:rsidRPr="000B3108">
        <w:t>give consideration to</w:t>
      </w:r>
      <w:proofErr w:type="gramEnd"/>
      <w:r w:rsidR="00FE00C7">
        <w:t xml:space="preserve"> </w:t>
      </w:r>
      <w:r w:rsidR="00FE00C7" w:rsidRPr="00FE00C7">
        <w:t>whether the requester is seeking the information to help inform the electorate</w:t>
      </w:r>
      <w:r w:rsidR="00FE00C7">
        <w:t xml:space="preserve">, and, if so, whether the </w:t>
      </w:r>
      <w:r w:rsidR="000B3108" w:rsidRPr="000B3108">
        <w:t>information could be made available sooner than the planned release date</w:t>
      </w:r>
      <w:r w:rsidR="00FE00C7">
        <w:t xml:space="preserve">. </w:t>
      </w:r>
      <w:r w:rsidR="00B57A50">
        <w:t xml:space="preserve">In such cases, it may not be reasonable to refuse the request on the basis that the information </w:t>
      </w:r>
      <w:proofErr w:type="gramStart"/>
      <w:r w:rsidR="00B57A50">
        <w:t>will be soon be</w:t>
      </w:r>
      <w:proofErr w:type="gramEnd"/>
      <w:r w:rsidR="00B57A50">
        <w:t xml:space="preserve"> publicly available. </w:t>
      </w:r>
    </w:p>
    <w:p w14:paraId="0D46FDFB" w14:textId="61B1C957" w:rsidR="00093C69" w:rsidRDefault="00741737" w:rsidP="00C165B1">
      <w:pPr>
        <w:pStyle w:val="BodyText"/>
      </w:pPr>
      <w:r>
        <w:t>You may also wish to refer to</w:t>
      </w:r>
      <w:r w:rsidR="00C165B1">
        <w:t xml:space="preserve"> </w:t>
      </w:r>
      <w:r>
        <w:t xml:space="preserve">our </w:t>
      </w:r>
      <w:hyperlink r:id="rId13" w:history="1">
        <w:r w:rsidR="00A55E39" w:rsidRPr="00A55E39">
          <w:rPr>
            <w:rStyle w:val="Hyperlink"/>
          </w:rPr>
          <w:t>P</w:t>
        </w:r>
        <w:r w:rsidR="00524BF8" w:rsidRPr="00A55E39">
          <w:rPr>
            <w:rStyle w:val="Hyperlink"/>
          </w:rPr>
          <w:t>ublicly available information</w:t>
        </w:r>
        <w:r w:rsidR="00A55E39" w:rsidRPr="00A55E39">
          <w:rPr>
            <w:rStyle w:val="Hyperlink"/>
          </w:rPr>
          <w:t xml:space="preserve"> guide</w:t>
        </w:r>
      </w:hyperlink>
      <w:r w:rsidR="00524BF8">
        <w:t>.</w:t>
      </w:r>
      <w:r w:rsidR="00225D18">
        <w:t xml:space="preserve"> </w:t>
      </w:r>
    </w:p>
    <w:p w14:paraId="68B2BA27" w14:textId="77777777" w:rsidR="001B033D" w:rsidRDefault="001B033D" w:rsidP="001B033D">
      <w:pPr>
        <w:pStyle w:val="Heading1"/>
        <w:spacing w:after="240"/>
      </w:pPr>
      <w:bookmarkStart w:id="18" w:name="_Extensions"/>
      <w:bookmarkStart w:id="19" w:name="_Extensions_1"/>
      <w:bookmarkStart w:id="20" w:name="_Toc236747836"/>
      <w:bookmarkEnd w:id="18"/>
      <w:bookmarkEnd w:id="19"/>
      <w:r>
        <w:t>Extensions</w:t>
      </w:r>
      <w:bookmarkEnd w:id="20"/>
    </w:p>
    <w:p w14:paraId="2B9C6A39" w14:textId="7D079585" w:rsidR="001B033D" w:rsidRDefault="001B033D" w:rsidP="001B033D">
      <w:pPr>
        <w:pStyle w:val="Heading2"/>
        <w:spacing w:before="240"/>
      </w:pPr>
      <w:bookmarkStart w:id="21" w:name="_Can_we_extend"/>
      <w:bookmarkStart w:id="22" w:name="_Toc236747837"/>
      <w:bookmarkEnd w:id="21"/>
      <w:r>
        <w:t>Can we extend the timeframe for responding because of the general election?</w:t>
      </w:r>
      <w:bookmarkEnd w:id="22"/>
    </w:p>
    <w:p w14:paraId="2AA3D072" w14:textId="77777777" w:rsidR="001B033D" w:rsidRDefault="001B033D" w:rsidP="001B033D">
      <w:pPr>
        <w:spacing w:after="200" w:line="240" w:lineRule="auto"/>
        <w:rPr>
          <w:rFonts w:cstheme="minorHAnsi"/>
          <w:szCs w:val="24"/>
        </w:rPr>
      </w:pPr>
      <w:r>
        <w:rPr>
          <w:rFonts w:cstheme="minorHAnsi"/>
          <w:szCs w:val="24"/>
        </w:rPr>
        <w:t xml:space="preserve">Agencies may only extend the maximum response timeframe for the reasons set out under the </w:t>
      </w:r>
      <w:proofErr w:type="spellStart"/>
      <w:r>
        <w:rPr>
          <w:rFonts w:cstheme="minorHAnsi"/>
          <w:szCs w:val="24"/>
        </w:rPr>
        <w:t>OIA</w:t>
      </w:r>
      <w:proofErr w:type="spellEnd"/>
      <w:r>
        <w:rPr>
          <w:rFonts w:cstheme="minorHAnsi"/>
          <w:szCs w:val="24"/>
        </w:rPr>
        <w:t>. The permissible reasons for extension are where:</w:t>
      </w:r>
      <w:r>
        <w:rPr>
          <w:rStyle w:val="FootnoteReference"/>
          <w:rFonts w:cstheme="minorHAnsi"/>
          <w:szCs w:val="24"/>
        </w:rPr>
        <w:footnoteReference w:id="9"/>
      </w:r>
    </w:p>
    <w:p w14:paraId="698060AE" w14:textId="77777777" w:rsidR="001B033D" w:rsidRPr="00A2336D" w:rsidRDefault="001B033D" w:rsidP="001B033D">
      <w:pPr>
        <w:pStyle w:val="Bullet1"/>
      </w:pPr>
      <w:r w:rsidRPr="00A2336D">
        <w:t xml:space="preserve">the request is for a large quantity of information or </w:t>
      </w:r>
      <w:r>
        <w:t>requires</w:t>
      </w:r>
      <w:r w:rsidRPr="00A2336D">
        <w:t xml:space="preserve"> a search through a large quantity of information </w:t>
      </w:r>
      <w:r w:rsidRPr="009963A2">
        <w:rPr>
          <w:rStyle w:val="Emphasis"/>
        </w:rPr>
        <w:t>and</w:t>
      </w:r>
      <w:r w:rsidRPr="00A2336D">
        <w:t xml:space="preserve"> meeting the original time limit would unreasonably interfere with the operations of the agency; or</w:t>
      </w:r>
    </w:p>
    <w:p w14:paraId="7D09E70C" w14:textId="77777777" w:rsidR="001B033D" w:rsidRPr="00A2336D" w:rsidRDefault="001B033D" w:rsidP="001B033D">
      <w:pPr>
        <w:pStyle w:val="Bullet1"/>
      </w:pPr>
      <w:r w:rsidRPr="00A2336D">
        <w:t>consultations ne</w:t>
      </w:r>
      <w:r>
        <w:t>eded</w:t>
      </w:r>
      <w:r w:rsidRPr="00A2336D">
        <w:t xml:space="preserve"> to </w:t>
      </w:r>
      <w:proofErr w:type="gramStart"/>
      <w:r w:rsidRPr="00A2336D">
        <w:t>make a decision</w:t>
      </w:r>
      <w:proofErr w:type="gramEnd"/>
      <w:r w:rsidRPr="00A2336D">
        <w:t xml:space="preserve"> on the request </w:t>
      </w:r>
      <w:r>
        <w:t>mean</w:t>
      </w:r>
      <w:r w:rsidRPr="00A2336D">
        <w:t xml:space="preserve"> a proper response cannot reasonably be made within the original time limit.</w:t>
      </w:r>
    </w:p>
    <w:p w14:paraId="7FF1B084" w14:textId="77777777" w:rsidR="001B033D" w:rsidRDefault="001B033D" w:rsidP="001B033D">
      <w:pPr>
        <w:spacing w:after="200" w:line="240" w:lineRule="auto"/>
        <w:rPr>
          <w:rFonts w:cstheme="minorHAnsi"/>
          <w:szCs w:val="24"/>
        </w:rPr>
      </w:pPr>
      <w:r>
        <w:rPr>
          <w:rFonts w:cstheme="minorHAnsi"/>
          <w:szCs w:val="24"/>
        </w:rPr>
        <w:t xml:space="preserve">At least one of these factors (volume or consultations) must be present in a particular case to justify an extension. </w:t>
      </w:r>
    </w:p>
    <w:p w14:paraId="760DAD37" w14:textId="77777777" w:rsidR="001B033D" w:rsidRPr="00210B22" w:rsidRDefault="001B033D" w:rsidP="001B033D">
      <w:pPr>
        <w:spacing w:after="200" w:line="240" w:lineRule="auto"/>
        <w:rPr>
          <w:rFonts w:cstheme="minorHAnsi"/>
          <w:szCs w:val="24"/>
        </w:rPr>
      </w:pPr>
      <w:r>
        <w:rPr>
          <w:rFonts w:cstheme="minorHAnsi"/>
          <w:szCs w:val="24"/>
        </w:rPr>
        <w:t>For example, y</w:t>
      </w:r>
      <w:r>
        <w:t xml:space="preserve">ou might need to consult </w:t>
      </w:r>
      <w:r w:rsidRPr="00C55161">
        <w:t>with</w:t>
      </w:r>
      <w:r>
        <w:t xml:space="preserve"> others to </w:t>
      </w:r>
      <w:proofErr w:type="gramStart"/>
      <w:r>
        <w:t>make a decision</w:t>
      </w:r>
      <w:proofErr w:type="gramEnd"/>
      <w:r>
        <w:t xml:space="preserve">, such as the requester, internal agency staff, any interested third parties, other agencies, or Ministers, and they may not be readily available or reachable. Generally, internal consultation within your agency which would normally be undertaken </w:t>
      </w:r>
      <w:proofErr w:type="gramStart"/>
      <w:r>
        <w:t>during the course of</w:t>
      </w:r>
      <w:proofErr w:type="gramEnd"/>
      <w:r>
        <w:t xml:space="preserve"> processing an information request, would not provide a reasonable basis for an extension. </w:t>
      </w:r>
    </w:p>
    <w:p w14:paraId="05BAFB2A" w14:textId="77777777" w:rsidR="001B033D" w:rsidRPr="003F71E6" w:rsidRDefault="001B033D" w:rsidP="001B033D">
      <w:pPr>
        <w:spacing w:after="200" w:line="240" w:lineRule="auto"/>
        <w:rPr>
          <w:rFonts w:cstheme="minorHAnsi"/>
          <w:szCs w:val="24"/>
        </w:rPr>
      </w:pPr>
      <w:r>
        <w:rPr>
          <w:rFonts w:cstheme="minorHAnsi"/>
          <w:szCs w:val="24"/>
        </w:rPr>
        <w:t>Provided the extension is for a permissible reason, the impact of the general election period (including any reasons for dealing with the request urgently) could be a relevant factor in deciding whether ‘</w:t>
      </w:r>
      <w:r w:rsidRPr="00A2336D">
        <w:rPr>
          <w:i/>
        </w:rPr>
        <w:t xml:space="preserve">meeting the original time limit would </w:t>
      </w:r>
      <w:r w:rsidRPr="0076620C">
        <w:rPr>
          <w:b/>
          <w:i/>
        </w:rPr>
        <w:t>unreasonably</w:t>
      </w:r>
      <w:r w:rsidRPr="00A2336D">
        <w:rPr>
          <w:i/>
        </w:rPr>
        <w:t xml:space="preserve"> interfere with the operations of the agency</w:t>
      </w:r>
      <w:r>
        <w:rPr>
          <w:i/>
        </w:rPr>
        <w:t xml:space="preserve">’ </w:t>
      </w:r>
      <w:r>
        <w:t xml:space="preserve">or whether </w:t>
      </w:r>
      <w:r>
        <w:rPr>
          <w:i/>
        </w:rPr>
        <w:t>‘</w:t>
      </w:r>
      <w:r w:rsidRPr="00A2336D">
        <w:rPr>
          <w:i/>
        </w:rPr>
        <w:t xml:space="preserve">a proper response to the request cannot </w:t>
      </w:r>
      <w:r w:rsidRPr="0076620C">
        <w:rPr>
          <w:b/>
          <w:i/>
        </w:rPr>
        <w:t>reasonably</w:t>
      </w:r>
      <w:r w:rsidRPr="00A2336D">
        <w:rPr>
          <w:i/>
        </w:rPr>
        <w:t xml:space="preserve"> be made within the original time limit</w:t>
      </w:r>
      <w:r>
        <w:rPr>
          <w:i/>
        </w:rPr>
        <w:t>’.</w:t>
      </w:r>
    </w:p>
    <w:p w14:paraId="71422830" w14:textId="4480B817" w:rsidR="001B033D" w:rsidRDefault="001B033D" w:rsidP="001B033D">
      <w:pPr>
        <w:spacing w:after="200" w:line="240" w:lineRule="auto"/>
        <w:rPr>
          <w:rStyle w:val="Hyperlink"/>
        </w:rPr>
      </w:pPr>
      <w:r>
        <w:rPr>
          <w:rFonts w:cstheme="minorHAnsi"/>
          <w:szCs w:val="24"/>
        </w:rPr>
        <w:t xml:space="preserve">There is also </w:t>
      </w:r>
      <w:proofErr w:type="gramStart"/>
      <w:r>
        <w:rPr>
          <w:rFonts w:cstheme="minorHAnsi"/>
          <w:szCs w:val="24"/>
        </w:rPr>
        <w:t>scope</w:t>
      </w:r>
      <w:proofErr w:type="gramEnd"/>
      <w:r>
        <w:rPr>
          <w:rFonts w:cstheme="minorHAnsi"/>
          <w:szCs w:val="24"/>
        </w:rPr>
        <w:t xml:space="preserve"> to consider the impact of the general election period in setting the period of the extension. Extensions must be</w:t>
      </w:r>
      <w:r w:rsidR="006272CE">
        <w:rPr>
          <w:rFonts w:cstheme="minorHAnsi"/>
          <w:szCs w:val="24"/>
        </w:rPr>
        <w:t xml:space="preserve"> for</w:t>
      </w:r>
      <w:r>
        <w:rPr>
          <w:rFonts w:cstheme="minorHAnsi"/>
          <w:szCs w:val="24"/>
        </w:rPr>
        <w:t xml:space="preserve"> </w:t>
      </w:r>
      <w:r w:rsidRPr="0076620C">
        <w:rPr>
          <w:rFonts w:cstheme="minorHAnsi"/>
          <w:i/>
          <w:szCs w:val="24"/>
        </w:rPr>
        <w:t>‘a reasonable period of time having regard to the circumstances’</w:t>
      </w:r>
      <w:r w:rsidRPr="00906A63">
        <w:rPr>
          <w:rFonts w:cstheme="minorHAnsi"/>
          <w:szCs w:val="24"/>
        </w:rPr>
        <w:t>.</w:t>
      </w:r>
      <w:r>
        <w:rPr>
          <w:rStyle w:val="FootnoteReference"/>
          <w:rFonts w:cstheme="minorHAnsi"/>
          <w:szCs w:val="24"/>
        </w:rPr>
        <w:footnoteReference w:id="10"/>
      </w:r>
      <w:r w:rsidRPr="00A5090C">
        <w:t xml:space="preserve"> </w:t>
      </w:r>
      <w:r>
        <w:t xml:space="preserve">See </w:t>
      </w:r>
      <w:r w:rsidR="006272CE" w:rsidRPr="006272CE">
        <w:rPr>
          <w:rStyle w:val="HyperlinkSourceTextReference"/>
        </w:rPr>
        <w:t>‘</w:t>
      </w:r>
      <w:hyperlink w:anchor="_How_long_is" w:history="1">
        <w:r w:rsidRPr="006272CE">
          <w:rPr>
            <w:rStyle w:val="HyperlinkSourceTextReference"/>
          </w:rPr>
          <w:t xml:space="preserve">How long is </w:t>
        </w:r>
        <w:r w:rsidR="006272CE">
          <w:rPr>
            <w:rStyle w:val="HyperlinkSourceTextReference"/>
          </w:rPr>
          <w:t>“</w:t>
        </w:r>
        <w:r w:rsidRPr="006272CE">
          <w:rPr>
            <w:rStyle w:val="HyperlinkSourceTextReference"/>
          </w:rPr>
          <w:t>a reasonable period of time</w:t>
        </w:r>
        <w:r w:rsidR="006272CE">
          <w:rPr>
            <w:rStyle w:val="HyperlinkSourceTextReference"/>
          </w:rPr>
          <w:t>”</w:t>
        </w:r>
        <w:r w:rsidRPr="006272CE">
          <w:rPr>
            <w:rStyle w:val="HyperlinkSourceTextReference"/>
          </w:rPr>
          <w:t xml:space="preserve"> for extensions during the general election period?</w:t>
        </w:r>
      </w:hyperlink>
      <w:r w:rsidR="006272CE" w:rsidRPr="006272CE">
        <w:rPr>
          <w:rStyle w:val="HyperlinkSourceTextReference"/>
        </w:rPr>
        <w:t>’</w:t>
      </w:r>
    </w:p>
    <w:p w14:paraId="120CA08B" w14:textId="77777777" w:rsidR="001B033D" w:rsidRPr="006C1E11" w:rsidRDefault="001B033D" w:rsidP="001B033D">
      <w:pPr>
        <w:pStyle w:val="BodyText"/>
      </w:pPr>
      <w:r w:rsidRPr="006C1E11">
        <w:rPr>
          <w:rStyle w:val="Hyperlink"/>
          <w:color w:val="1E1E1E"/>
          <w:u w:val="none"/>
        </w:rPr>
        <w:t xml:space="preserve">An agency will be expected to justify </w:t>
      </w:r>
      <w:r>
        <w:rPr>
          <w:rStyle w:val="Hyperlink"/>
          <w:color w:val="1E1E1E"/>
          <w:u w:val="none"/>
        </w:rPr>
        <w:t>any extensions</w:t>
      </w:r>
      <w:r w:rsidRPr="006C1E11">
        <w:rPr>
          <w:rStyle w:val="Hyperlink"/>
          <w:color w:val="1E1E1E"/>
          <w:u w:val="none"/>
        </w:rPr>
        <w:t xml:space="preserve"> to an Ombudsman on complaint</w:t>
      </w:r>
      <w:r>
        <w:rPr>
          <w:rStyle w:val="Hyperlink"/>
          <w:color w:val="1E1E1E"/>
          <w:u w:val="none"/>
        </w:rPr>
        <w:t>.</w:t>
      </w:r>
    </w:p>
    <w:p w14:paraId="0977A594" w14:textId="77777777" w:rsidR="001B033D" w:rsidRDefault="001B033D" w:rsidP="001B033D">
      <w:pPr>
        <w:pStyle w:val="Heading2"/>
      </w:pPr>
      <w:bookmarkStart w:id="23" w:name="_Toc236747838"/>
      <w:r>
        <w:t>Can an agency extend the timeframe for responding to requests because the Minister is not available for consultation?</w:t>
      </w:r>
      <w:bookmarkEnd w:id="23"/>
    </w:p>
    <w:p w14:paraId="4E17D144" w14:textId="77777777" w:rsidR="001B033D" w:rsidRDefault="001B033D" w:rsidP="001B033D">
      <w:pPr>
        <w:pStyle w:val="BodyText"/>
        <w:rPr>
          <w:color w:val="auto"/>
        </w:rPr>
      </w:pPr>
      <w:r>
        <w:t>The fact that Ministers may not be readily available during the election period is not a reason for an agency to delay processing requests for information.</w:t>
      </w:r>
      <w:r w:rsidRPr="00526AD5">
        <w:rPr>
          <w:color w:val="auto"/>
        </w:rPr>
        <w:t xml:space="preserve"> </w:t>
      </w:r>
      <w:r w:rsidRPr="00DE2102">
        <w:rPr>
          <w:color w:val="auto"/>
        </w:rPr>
        <w:t xml:space="preserve">The information itself should still be able to be </w:t>
      </w:r>
      <w:r>
        <w:rPr>
          <w:color w:val="auto"/>
        </w:rPr>
        <w:t>considered</w:t>
      </w:r>
      <w:r w:rsidRPr="00DE2102">
        <w:rPr>
          <w:color w:val="auto"/>
        </w:rPr>
        <w:t xml:space="preserve"> by the </w:t>
      </w:r>
      <w:r>
        <w:rPr>
          <w:color w:val="auto"/>
        </w:rPr>
        <w:t>agency</w:t>
      </w:r>
      <w:r w:rsidRPr="00DE2102">
        <w:rPr>
          <w:color w:val="auto"/>
        </w:rPr>
        <w:t xml:space="preserve">. </w:t>
      </w:r>
      <w:r>
        <w:rPr>
          <w:color w:val="auto"/>
        </w:rPr>
        <w:t xml:space="preserve">The </w:t>
      </w:r>
      <w:proofErr w:type="spellStart"/>
      <w:r>
        <w:rPr>
          <w:color w:val="auto"/>
        </w:rPr>
        <w:t>OIA</w:t>
      </w:r>
      <w:proofErr w:type="spellEnd"/>
      <w:r w:rsidRPr="00DE2102">
        <w:rPr>
          <w:color w:val="auto"/>
        </w:rPr>
        <w:t xml:space="preserve"> does not require an agency to consult</w:t>
      </w:r>
      <w:r>
        <w:rPr>
          <w:color w:val="auto"/>
        </w:rPr>
        <w:t xml:space="preserve"> a Minister before responding to a request for official information. </w:t>
      </w:r>
      <w:r w:rsidRPr="00DE2102">
        <w:rPr>
          <w:color w:val="auto"/>
        </w:rPr>
        <w:t xml:space="preserve">If an extension is to be made on the grounds of </w:t>
      </w:r>
      <w:r>
        <w:rPr>
          <w:color w:val="auto"/>
        </w:rPr>
        <w:t xml:space="preserve">Ministerial </w:t>
      </w:r>
      <w:r w:rsidRPr="00DE2102">
        <w:rPr>
          <w:color w:val="auto"/>
        </w:rPr>
        <w:t xml:space="preserve">consultation, </w:t>
      </w:r>
      <w:r>
        <w:rPr>
          <w:color w:val="auto"/>
        </w:rPr>
        <w:t>the agency would need to be able to explain</w:t>
      </w:r>
      <w:r w:rsidRPr="00DE2102">
        <w:rPr>
          <w:color w:val="auto"/>
        </w:rPr>
        <w:t xml:space="preserve"> </w:t>
      </w:r>
      <w:r w:rsidRPr="002C02BA">
        <w:rPr>
          <w:color w:val="auto"/>
        </w:rPr>
        <w:t>why</w:t>
      </w:r>
      <w:r>
        <w:rPr>
          <w:color w:val="auto"/>
        </w:rPr>
        <w:t xml:space="preserve"> it is necessary to</w:t>
      </w:r>
      <w:r w:rsidRPr="00DE2102">
        <w:rPr>
          <w:color w:val="auto"/>
        </w:rPr>
        <w:t xml:space="preserve"> consult</w:t>
      </w:r>
      <w:r>
        <w:rPr>
          <w:color w:val="auto"/>
        </w:rPr>
        <w:t xml:space="preserve"> with the Minister</w:t>
      </w:r>
      <w:r>
        <w:rPr>
          <w:rFonts w:cs="Calibri"/>
          <w:color w:val="auto"/>
        </w:rPr>
        <w:t>—</w:t>
      </w:r>
      <w:r w:rsidRPr="00DE2102">
        <w:rPr>
          <w:color w:val="auto"/>
        </w:rPr>
        <w:t>as distinct from</w:t>
      </w:r>
      <w:r>
        <w:rPr>
          <w:color w:val="auto"/>
        </w:rPr>
        <w:t xml:space="preserve"> simply informing the Minister of its decision under</w:t>
      </w:r>
      <w:r w:rsidRPr="00DE2102">
        <w:rPr>
          <w:color w:val="auto"/>
        </w:rPr>
        <w:t xml:space="preserve"> the ‘no surprises’ policy</w:t>
      </w:r>
      <w:r>
        <w:rPr>
          <w:rFonts w:cs="Calibri"/>
          <w:color w:val="auto"/>
        </w:rPr>
        <w:t>—</w:t>
      </w:r>
      <w:r>
        <w:rPr>
          <w:color w:val="auto"/>
        </w:rPr>
        <w:t xml:space="preserve">before making its substantive decision on the request. </w:t>
      </w:r>
    </w:p>
    <w:p w14:paraId="02C407E1" w14:textId="77777777" w:rsidR="001B033D" w:rsidRDefault="001B033D" w:rsidP="001B033D">
      <w:pPr>
        <w:pStyle w:val="BodyText"/>
        <w:rPr>
          <w:color w:val="auto"/>
        </w:rPr>
      </w:pPr>
      <w:r>
        <w:rPr>
          <w:color w:val="auto"/>
        </w:rPr>
        <w:t xml:space="preserve">For more information see our guide </w:t>
      </w:r>
      <w:hyperlink r:id="rId14" w:history="1">
        <w:r w:rsidRPr="00ED6995">
          <w:rPr>
            <w:rStyle w:val="Hyperlink"/>
          </w:rPr>
          <w:t xml:space="preserve">Dealing with </w:t>
        </w:r>
        <w:proofErr w:type="spellStart"/>
        <w:r w:rsidRPr="00ED6995">
          <w:rPr>
            <w:rStyle w:val="Hyperlink"/>
          </w:rPr>
          <w:t>OIA</w:t>
        </w:r>
        <w:proofErr w:type="spellEnd"/>
        <w:r w:rsidRPr="00ED6995">
          <w:rPr>
            <w:rStyle w:val="Hyperlink"/>
          </w:rPr>
          <w:t xml:space="preserve"> requests involving Ministers: A guide to transfer, consultation, and the notification of decisions on </w:t>
        </w:r>
        <w:proofErr w:type="spellStart"/>
        <w:r w:rsidRPr="00ED6995">
          <w:rPr>
            <w:rStyle w:val="Hyperlink"/>
          </w:rPr>
          <w:t>OIA</w:t>
        </w:r>
        <w:proofErr w:type="spellEnd"/>
        <w:r w:rsidRPr="00ED6995">
          <w:rPr>
            <w:rStyle w:val="Hyperlink"/>
          </w:rPr>
          <w:t xml:space="preserve"> requests</w:t>
        </w:r>
      </w:hyperlink>
      <w:r>
        <w:rPr>
          <w:color w:val="auto"/>
        </w:rPr>
        <w:t xml:space="preserve">. </w:t>
      </w:r>
    </w:p>
    <w:p w14:paraId="356F04FA" w14:textId="4B1EC59D" w:rsidR="001B033D" w:rsidRDefault="001B033D" w:rsidP="001B033D">
      <w:pPr>
        <w:pStyle w:val="Heading2"/>
      </w:pPr>
      <w:bookmarkStart w:id="24" w:name="_Toc236747839"/>
      <w:r>
        <w:t xml:space="preserve">Can Ministers extend the timeframe for requests they receive during the </w:t>
      </w:r>
      <w:r w:rsidR="00845B09">
        <w:t xml:space="preserve">general </w:t>
      </w:r>
      <w:r>
        <w:t>election period?</w:t>
      </w:r>
      <w:bookmarkEnd w:id="24"/>
      <w:r>
        <w:t xml:space="preserve"> </w:t>
      </w:r>
    </w:p>
    <w:p w14:paraId="7F1EB42D" w14:textId="77777777" w:rsidR="001B033D" w:rsidRDefault="001B033D" w:rsidP="001B033D">
      <w:pPr>
        <w:pStyle w:val="BodyText"/>
      </w:pPr>
      <w:r>
        <w:t xml:space="preserve">Ministers should put in place arrangements in their office so information requests can be responded to as usual during the election period. Even if Ministers are travelling or busy with other commitments, they should set time aside to support their ministerial staff with information requests as needed.   </w:t>
      </w:r>
    </w:p>
    <w:p w14:paraId="57F30C85" w14:textId="7E8F032B" w:rsidR="001B033D" w:rsidRPr="006272CE" w:rsidRDefault="001B033D" w:rsidP="001B033D">
      <w:pPr>
        <w:pStyle w:val="BodyText"/>
        <w:rPr>
          <w:rStyle w:val="HyperlinkSourceTextReference"/>
        </w:rPr>
      </w:pPr>
      <w:r>
        <w:t xml:space="preserve">Any decision to extend the timeframe for responding to an information request needs to align with the </w:t>
      </w:r>
      <w:proofErr w:type="spellStart"/>
      <w:r>
        <w:t>OIA</w:t>
      </w:r>
      <w:proofErr w:type="spellEnd"/>
      <w:r>
        <w:t xml:space="preserve">, as discussed above under </w:t>
      </w:r>
      <w:r w:rsidR="006272CE" w:rsidRPr="006272CE">
        <w:rPr>
          <w:rStyle w:val="HyperlinkSourceTextReference"/>
        </w:rPr>
        <w:t>‘</w:t>
      </w:r>
      <w:hyperlink w:anchor="_Can_we_extend" w:history="1">
        <w:r w:rsidRPr="006272CE">
          <w:rPr>
            <w:rStyle w:val="HyperlinkSourceTextReference"/>
          </w:rPr>
          <w:t>Can we extend the timeframe for responding because of the general election period?</w:t>
        </w:r>
      </w:hyperlink>
      <w:r w:rsidR="006272CE" w:rsidRPr="006272CE">
        <w:rPr>
          <w:rStyle w:val="HyperlinkSourceTextReference"/>
        </w:rPr>
        <w:t>’</w:t>
      </w:r>
    </w:p>
    <w:p w14:paraId="223432FE" w14:textId="77777777" w:rsidR="001B033D" w:rsidRDefault="001B033D" w:rsidP="001B033D">
      <w:pPr>
        <w:pStyle w:val="Heading2"/>
      </w:pPr>
      <w:bookmarkStart w:id="25" w:name="_Toc236747840"/>
      <w:r w:rsidRPr="001B7A96">
        <w:t xml:space="preserve">Can </w:t>
      </w:r>
      <w:r>
        <w:t>we</w:t>
      </w:r>
      <w:r w:rsidRPr="001B7A96">
        <w:t xml:space="preserve"> do a blanket extension for all the requests </w:t>
      </w:r>
      <w:r>
        <w:t>we</w:t>
      </w:r>
      <w:r w:rsidRPr="001B7A96">
        <w:t xml:space="preserve"> </w:t>
      </w:r>
      <w:r>
        <w:t>are</w:t>
      </w:r>
      <w:r w:rsidRPr="001B7A96">
        <w:t xml:space="preserve"> currently</w:t>
      </w:r>
      <w:r>
        <w:t xml:space="preserve"> dealing with?</w:t>
      </w:r>
      <w:bookmarkEnd w:id="25"/>
    </w:p>
    <w:p w14:paraId="47950A99" w14:textId="77777777" w:rsidR="001B033D" w:rsidRDefault="001B033D" w:rsidP="001B033D">
      <w:pPr>
        <w:pStyle w:val="BodyText"/>
      </w:pPr>
      <w:r>
        <w:t xml:space="preserve">No. The decision to extend and the period of the extension must be based on the circumstances of each </w:t>
      </w:r>
      <w:proofErr w:type="gramStart"/>
      <w:r>
        <w:t>particular request</w:t>
      </w:r>
      <w:proofErr w:type="gramEnd"/>
      <w:r>
        <w:t>.</w:t>
      </w:r>
    </w:p>
    <w:p w14:paraId="3BC45EA2" w14:textId="77777777" w:rsidR="001B033D" w:rsidRDefault="001B033D" w:rsidP="001B033D">
      <w:pPr>
        <w:pStyle w:val="BodyText"/>
      </w:pPr>
      <w:r>
        <w:t>Agencies may find it helpful to have an initial triage process so they can assess the urgency or priority of each request and prioritise accordingly.</w:t>
      </w:r>
    </w:p>
    <w:p w14:paraId="776F3887" w14:textId="77777777" w:rsidR="001B033D" w:rsidRPr="001B36C5" w:rsidRDefault="001B033D" w:rsidP="001B033D">
      <w:pPr>
        <w:pStyle w:val="Heading2"/>
      </w:pPr>
      <w:bookmarkStart w:id="26" w:name="_How_long_is"/>
      <w:bookmarkStart w:id="27" w:name="_Toc236747841"/>
      <w:bookmarkEnd w:id="26"/>
      <w:r w:rsidRPr="001B36C5">
        <w:t xml:space="preserve">How long is </w:t>
      </w:r>
      <w:r w:rsidRPr="001B36C5">
        <w:rPr>
          <w:rStyle w:val="Quotationwithinthesentence"/>
        </w:rPr>
        <w:t>‘a reasonable period of time</w:t>
      </w:r>
      <w:r w:rsidRPr="001B36C5">
        <w:t xml:space="preserve">’ for extensions during the </w:t>
      </w:r>
      <w:r>
        <w:t>general election period</w:t>
      </w:r>
      <w:r w:rsidRPr="001B36C5">
        <w:t>?</w:t>
      </w:r>
      <w:bookmarkEnd w:id="27"/>
    </w:p>
    <w:p w14:paraId="00D87E6B" w14:textId="77777777" w:rsidR="001B033D" w:rsidRDefault="001B033D" w:rsidP="001B033D">
      <w:pPr>
        <w:pStyle w:val="BodyText"/>
      </w:pPr>
      <w:r w:rsidRPr="00D018A3">
        <w:t xml:space="preserve">A </w:t>
      </w:r>
      <w:r>
        <w:t>‘</w:t>
      </w:r>
      <w:r w:rsidRPr="00D018A3">
        <w:rPr>
          <w:rStyle w:val="Quotationwithinthesentence"/>
        </w:rPr>
        <w:t>reasonable period of time</w:t>
      </w:r>
      <w:r>
        <w:t xml:space="preserve">’ is not defined in the </w:t>
      </w:r>
      <w:proofErr w:type="spellStart"/>
      <w:r>
        <w:t>OIA</w:t>
      </w:r>
      <w:proofErr w:type="spellEnd"/>
      <w:r>
        <w:t>—</w:t>
      </w:r>
      <w:r w:rsidRPr="00D018A3">
        <w:t xml:space="preserve">what amounts to a reasonable </w:t>
      </w:r>
      <w:proofErr w:type="gramStart"/>
      <w:r w:rsidRPr="00D018A3">
        <w:t>period of time</w:t>
      </w:r>
      <w:proofErr w:type="gramEnd"/>
      <w:r w:rsidRPr="00D018A3">
        <w:t xml:space="preserve"> for an extension will depend on the circumstances of the particular case.</w:t>
      </w:r>
    </w:p>
    <w:p w14:paraId="0C768D97" w14:textId="6E3E6039" w:rsidR="001B033D" w:rsidRDefault="001B033D" w:rsidP="001B033D">
      <w:pPr>
        <w:pStyle w:val="BodyText"/>
        <w:rPr>
          <w:rFonts w:cstheme="minorHAnsi"/>
          <w:szCs w:val="24"/>
        </w:rPr>
      </w:pPr>
      <w:r>
        <w:t xml:space="preserve">Agencies may </w:t>
      </w:r>
      <w:proofErr w:type="gramStart"/>
      <w:r>
        <w:t>take into account</w:t>
      </w:r>
      <w:proofErr w:type="gramEnd"/>
      <w:r w:rsidRPr="002C5355">
        <w:rPr>
          <w:rFonts w:cstheme="minorHAnsi"/>
          <w:szCs w:val="24"/>
        </w:rPr>
        <w:t xml:space="preserve"> </w:t>
      </w:r>
      <w:r>
        <w:rPr>
          <w:rFonts w:cstheme="minorHAnsi"/>
          <w:szCs w:val="24"/>
        </w:rPr>
        <w:t xml:space="preserve">the impact of the general election period on their operations in deciding what a reasonable period of time is. If the information requested is important to inform the electorate from a public interest perspective, a reasonable </w:t>
      </w:r>
      <w:proofErr w:type="gramStart"/>
      <w:r>
        <w:rPr>
          <w:rFonts w:cstheme="minorHAnsi"/>
          <w:szCs w:val="24"/>
        </w:rPr>
        <w:t>period of time</w:t>
      </w:r>
      <w:proofErr w:type="gramEnd"/>
      <w:r>
        <w:rPr>
          <w:rFonts w:cstheme="minorHAnsi"/>
          <w:szCs w:val="24"/>
        </w:rPr>
        <w:t xml:space="preserve"> is likely </w:t>
      </w:r>
      <w:r w:rsidR="006272CE">
        <w:rPr>
          <w:rFonts w:cstheme="minorHAnsi"/>
          <w:szCs w:val="24"/>
        </w:rPr>
        <w:t xml:space="preserve">to be </w:t>
      </w:r>
      <w:r>
        <w:rPr>
          <w:rFonts w:cstheme="minorHAnsi"/>
          <w:szCs w:val="24"/>
        </w:rPr>
        <w:t>shorter than is it for other information.</w:t>
      </w:r>
    </w:p>
    <w:p w14:paraId="3B228E9B" w14:textId="77777777" w:rsidR="001B033D" w:rsidRDefault="001B033D" w:rsidP="001B033D">
      <w:pPr>
        <w:pStyle w:val="BodyText"/>
      </w:pPr>
      <w:r>
        <w:t>Agencies should be realistic about what they are likely to be able to achieve in setting the period of an extension. They can also reassure requesters that they will aim to process the request faster if that is possible.</w:t>
      </w:r>
    </w:p>
    <w:p w14:paraId="37C5B0DB" w14:textId="77777777" w:rsidR="001B033D" w:rsidRPr="003C7715" w:rsidRDefault="001B033D" w:rsidP="001B033D">
      <w:pPr>
        <w:pStyle w:val="Heading1"/>
      </w:pPr>
      <w:bookmarkStart w:id="28" w:name="_The_staff_we"/>
      <w:bookmarkStart w:id="29" w:name="_Toc236747842"/>
      <w:bookmarkEnd w:id="28"/>
      <w:r>
        <w:t>Transfers</w:t>
      </w:r>
      <w:bookmarkEnd w:id="29"/>
    </w:p>
    <w:p w14:paraId="361E89F1" w14:textId="77777777" w:rsidR="001B033D" w:rsidRPr="00A8262C" w:rsidRDefault="001B033D" w:rsidP="001B033D">
      <w:pPr>
        <w:pStyle w:val="Heading2"/>
        <w:spacing w:before="240"/>
      </w:pPr>
      <w:bookmarkStart w:id="30" w:name="_Toc236747843"/>
      <w:r>
        <w:t>Can we transfer a request to another Minister or agency that may hold the requested information?</w:t>
      </w:r>
      <w:bookmarkEnd w:id="30"/>
    </w:p>
    <w:p w14:paraId="4C9EA7DC" w14:textId="77777777" w:rsidR="001B033D" w:rsidRPr="00832BBB" w:rsidRDefault="001B033D" w:rsidP="001B033D">
      <w:pPr>
        <w:pStyle w:val="BodyText"/>
      </w:pPr>
      <w:r>
        <w:t>The requirement to transfer arises only where the information</w:t>
      </w:r>
      <w:r w:rsidRPr="00832BBB">
        <w:t>:</w:t>
      </w:r>
      <w:r>
        <w:rPr>
          <w:rStyle w:val="FootnoteReference"/>
          <w:rFonts w:eastAsiaTheme="majorEastAsia"/>
        </w:rPr>
        <w:footnoteReference w:id="11"/>
      </w:r>
    </w:p>
    <w:p w14:paraId="7D9A7D6F" w14:textId="77777777" w:rsidR="001B033D" w:rsidRPr="00832BBB" w:rsidRDefault="001B033D" w:rsidP="001B033D">
      <w:pPr>
        <w:pStyle w:val="Bullet1"/>
        <w:keepNext/>
      </w:pPr>
      <w:r w:rsidRPr="00832BBB">
        <w:t>is not held by the agency</w:t>
      </w:r>
      <w:r>
        <w:t xml:space="preserve"> or Minister</w:t>
      </w:r>
      <w:r w:rsidRPr="00832BBB">
        <w:t>, but is believed by the person dealing with the request to be held by another agency</w:t>
      </w:r>
      <w:r>
        <w:t xml:space="preserve"> or Minister</w:t>
      </w:r>
      <w:r w:rsidRPr="00832BBB">
        <w:t>; or</w:t>
      </w:r>
    </w:p>
    <w:p w14:paraId="2ACAF559" w14:textId="77777777" w:rsidR="001B033D" w:rsidRPr="00832BBB" w:rsidRDefault="001B033D" w:rsidP="001B033D">
      <w:pPr>
        <w:pStyle w:val="Bullet1"/>
      </w:pPr>
      <w:r w:rsidRPr="00832BBB">
        <w:t xml:space="preserve">is believed by the person dealing with the request to be </w:t>
      </w:r>
      <w:r w:rsidRPr="000067B2">
        <w:t>more closely connected</w:t>
      </w:r>
      <w:r w:rsidRPr="00832BBB">
        <w:t xml:space="preserve"> with t</w:t>
      </w:r>
      <w:r>
        <w:t>he functions of another agency or Minister.</w:t>
      </w:r>
    </w:p>
    <w:p w14:paraId="47333212" w14:textId="77777777" w:rsidR="001B033D" w:rsidRDefault="001B033D" w:rsidP="001B033D">
      <w:pPr>
        <w:pStyle w:val="BodyText"/>
      </w:pPr>
      <w:r w:rsidRPr="00832BBB">
        <w:t>Where the above circumstances apply to part of the information requested, only the relevant part of the request should be transferred, rather than the request in its entirety. The transfer should make it clear what parts of the request are being retained by the original agency, and what parts are being transferred.</w:t>
      </w:r>
    </w:p>
    <w:p w14:paraId="1214B51C" w14:textId="21707707" w:rsidR="001B033D" w:rsidRDefault="001B033D" w:rsidP="001B033D">
      <w:pPr>
        <w:pStyle w:val="BodyText1"/>
      </w:pPr>
      <w:r w:rsidRPr="00832BBB">
        <w:t>Any decision to transfer a request to another agency</w:t>
      </w:r>
      <w:r>
        <w:t xml:space="preserve"> or Minister</w:t>
      </w:r>
      <w:r w:rsidRPr="00832BBB">
        <w:t xml:space="preserve"> for response must be made promptly and no later than </w:t>
      </w:r>
      <w:r w:rsidRPr="004633B1">
        <w:rPr>
          <w:rStyle w:val="Emphasis"/>
        </w:rPr>
        <w:t>10 working days</w:t>
      </w:r>
      <w:r w:rsidRPr="00832BBB">
        <w:t xml:space="preserve"> after the </w:t>
      </w:r>
      <w:r>
        <w:t xml:space="preserve">day on which the </w:t>
      </w:r>
      <w:r w:rsidRPr="00832BBB">
        <w:t>agency</w:t>
      </w:r>
      <w:r>
        <w:t xml:space="preserve"> or Minister</w:t>
      </w:r>
      <w:r w:rsidRPr="00832BBB">
        <w:t xml:space="preserve"> received the request (unless a valid </w:t>
      </w:r>
      <w:hyperlink w:anchor="_Extensions" w:history="1">
        <w:r w:rsidRPr="006272CE">
          <w:rPr>
            <w:rStyle w:val="Hyperlink"/>
          </w:rPr>
          <w:t>extension</w:t>
        </w:r>
      </w:hyperlink>
      <w:r w:rsidRPr="00832BBB">
        <w:t xml:space="preserve"> is made within the original </w:t>
      </w:r>
      <w:r>
        <w:t>time limit</w:t>
      </w:r>
      <w:r w:rsidRPr="00832BBB">
        <w:t>).</w:t>
      </w:r>
      <w:r>
        <w:rPr>
          <w:rStyle w:val="FootnoteReference"/>
          <w:rFonts w:eastAsiaTheme="majorEastAsia"/>
        </w:rPr>
        <w:footnoteReference w:id="12"/>
      </w:r>
      <w:r w:rsidRPr="004633B1">
        <w:rPr>
          <w:rStyle w:val="FootnoteReference"/>
          <w:rFonts w:eastAsiaTheme="majorEastAsia"/>
        </w:rPr>
        <w:t xml:space="preserve"> </w:t>
      </w:r>
      <w:r w:rsidRPr="00832BBB">
        <w:t>The requester must be informed that th</w:t>
      </w:r>
      <w:r>
        <w:t>e request has been transferred.</w:t>
      </w:r>
    </w:p>
    <w:p w14:paraId="24C0FC56" w14:textId="619152B2" w:rsidR="00FB2C89" w:rsidRPr="00935565" w:rsidRDefault="00FB2C89" w:rsidP="00FB2C89">
      <w:pPr>
        <w:pStyle w:val="Heading1"/>
        <w:spacing w:after="240"/>
      </w:pPr>
      <w:bookmarkStart w:id="31" w:name="_Toc236747844"/>
      <w:r>
        <w:t xml:space="preserve">Requests for official information </w:t>
      </w:r>
      <w:r w:rsidR="00F76D60">
        <w:t xml:space="preserve">involving </w:t>
      </w:r>
      <w:r>
        <w:t>Ministers</w:t>
      </w:r>
      <w:bookmarkEnd w:id="31"/>
    </w:p>
    <w:p w14:paraId="61B1F3F9" w14:textId="5271D5B9" w:rsidR="00741737" w:rsidRDefault="00741737" w:rsidP="00FB2C89">
      <w:pPr>
        <w:pStyle w:val="Heading2"/>
        <w:numPr>
          <w:ilvl w:val="0"/>
          <w:numId w:val="0"/>
        </w:numPr>
        <w:spacing w:before="240"/>
      </w:pPr>
      <w:bookmarkStart w:id="32" w:name="_How_should_we"/>
      <w:bookmarkStart w:id="33" w:name="_What_information_held"/>
      <w:bookmarkStart w:id="34" w:name="_Toc236747845"/>
      <w:bookmarkEnd w:id="32"/>
      <w:bookmarkEnd w:id="33"/>
      <w:r>
        <w:t xml:space="preserve">What information held by Ministers is subject to the </w:t>
      </w:r>
      <w:proofErr w:type="spellStart"/>
      <w:r>
        <w:t>OIA</w:t>
      </w:r>
      <w:proofErr w:type="spellEnd"/>
      <w:r>
        <w:t>?</w:t>
      </w:r>
      <w:bookmarkEnd w:id="34"/>
      <w:r>
        <w:t xml:space="preserve"> </w:t>
      </w:r>
    </w:p>
    <w:p w14:paraId="040CBA40" w14:textId="0E793149" w:rsidR="00741737" w:rsidRDefault="00741737" w:rsidP="00741737">
      <w:pPr>
        <w:pStyle w:val="BodyText"/>
      </w:pPr>
      <w:r>
        <w:t xml:space="preserve">Ministers are subject to the </w:t>
      </w:r>
      <w:proofErr w:type="spellStart"/>
      <w:r>
        <w:t>OIA</w:t>
      </w:r>
      <w:proofErr w:type="spellEnd"/>
      <w:r>
        <w:t xml:space="preserve">, but only information held in </w:t>
      </w:r>
      <w:r w:rsidRPr="00073AB0">
        <w:t xml:space="preserve">their </w:t>
      </w:r>
      <w:r w:rsidRPr="00073AB0">
        <w:rPr>
          <w:rStyle w:val="Emphasis"/>
          <w:b w:val="0"/>
        </w:rPr>
        <w:t xml:space="preserve">official </w:t>
      </w:r>
      <w:r w:rsidR="00BE2281">
        <w:rPr>
          <w:rStyle w:val="Emphasis"/>
          <w:b w:val="0"/>
        </w:rPr>
        <w:t xml:space="preserve">Ministerial </w:t>
      </w:r>
      <w:r w:rsidRPr="00073AB0">
        <w:rPr>
          <w:rStyle w:val="Emphasis"/>
          <w:b w:val="0"/>
        </w:rPr>
        <w:t>capacity is</w:t>
      </w:r>
      <w:r>
        <w:rPr>
          <w:rStyle w:val="Emphasis"/>
          <w:b w:val="0"/>
        </w:rPr>
        <w:t xml:space="preserve"> </w:t>
      </w:r>
      <w:r w:rsidRPr="006425F3">
        <w:rPr>
          <w:rStyle w:val="Emphasis"/>
          <w:b w:val="0"/>
          <w:i/>
        </w:rPr>
        <w:t>‘official information’</w:t>
      </w:r>
      <w:r>
        <w:t>.</w:t>
      </w:r>
      <w:r>
        <w:rPr>
          <w:rStyle w:val="FootnoteReference"/>
        </w:rPr>
        <w:footnoteReference w:id="13"/>
      </w:r>
      <w:r>
        <w:t xml:space="preserve"> This generally includes:</w:t>
      </w:r>
    </w:p>
    <w:p w14:paraId="7751D920" w14:textId="456296E0" w:rsidR="00741737" w:rsidRDefault="00741737" w:rsidP="003E38A3">
      <w:pPr>
        <w:pStyle w:val="Bullet1"/>
      </w:pPr>
      <w:r>
        <w:t>briefings, reports and Ministerial communications (including emails, text messages and various other formats</w:t>
      </w:r>
      <w:proofErr w:type="gramStart"/>
      <w:r>
        <w:t>);</w:t>
      </w:r>
      <w:proofErr w:type="gramEnd"/>
      <w:r>
        <w:t xml:space="preserve"> </w:t>
      </w:r>
    </w:p>
    <w:p w14:paraId="1A03A374" w14:textId="500D9D9E" w:rsidR="00741737" w:rsidRDefault="00741737" w:rsidP="003E38A3">
      <w:pPr>
        <w:pStyle w:val="Bullet1"/>
      </w:pPr>
      <w:r>
        <w:t xml:space="preserve">Cabinet or Cabinet Committee material; and </w:t>
      </w:r>
    </w:p>
    <w:p w14:paraId="18A25250" w14:textId="77777777" w:rsidR="00741737" w:rsidRDefault="00741737" w:rsidP="003E38A3">
      <w:pPr>
        <w:pStyle w:val="Bullet1"/>
      </w:pPr>
      <w:r>
        <w:t xml:space="preserve">portfolio information and other assignments. </w:t>
      </w:r>
    </w:p>
    <w:p w14:paraId="263C913E" w14:textId="77777777" w:rsidR="00741737" w:rsidRDefault="00741737" w:rsidP="00674585">
      <w:pPr>
        <w:pStyle w:val="BodyText"/>
      </w:pPr>
      <w:r w:rsidRPr="006425F3">
        <w:rPr>
          <w:i/>
        </w:rPr>
        <w:t>‘Official information’</w:t>
      </w:r>
      <w:r>
        <w:t xml:space="preserve"> does not include information that is held by a Minister only:</w:t>
      </w:r>
    </w:p>
    <w:p w14:paraId="7C9CCA9E" w14:textId="77777777" w:rsidR="00741737" w:rsidRDefault="00741737" w:rsidP="00741737">
      <w:pPr>
        <w:pStyle w:val="Bullet1"/>
      </w:pPr>
      <w:r>
        <w:t xml:space="preserve">in their private </w:t>
      </w:r>
      <w:proofErr w:type="gramStart"/>
      <w:r>
        <w:t>capacity;</w:t>
      </w:r>
      <w:proofErr w:type="gramEnd"/>
    </w:p>
    <w:p w14:paraId="2615FA19" w14:textId="77777777" w:rsidR="00741737" w:rsidRDefault="00741737" w:rsidP="00741737">
      <w:pPr>
        <w:pStyle w:val="Bullet1"/>
      </w:pPr>
      <w:r>
        <w:t>in their capacity as an MP (e.g. electorate information); or</w:t>
      </w:r>
    </w:p>
    <w:p w14:paraId="34285DBC" w14:textId="77777777" w:rsidR="00741737" w:rsidRDefault="00741737" w:rsidP="00741737">
      <w:pPr>
        <w:pStyle w:val="Bullet1"/>
      </w:pPr>
      <w:r>
        <w:t>in their capacity as a member of a political party (e.g. caucus information).</w:t>
      </w:r>
    </w:p>
    <w:p w14:paraId="1A9D2509" w14:textId="253E4A37" w:rsidR="00FB2C89" w:rsidRDefault="00FB2C89" w:rsidP="00FB2C89">
      <w:pPr>
        <w:pStyle w:val="Heading2"/>
        <w:numPr>
          <w:ilvl w:val="0"/>
          <w:numId w:val="0"/>
        </w:numPr>
        <w:spacing w:before="240"/>
      </w:pPr>
      <w:bookmarkStart w:id="35" w:name="_Are_former_Ministers"/>
      <w:bookmarkStart w:id="36" w:name="_Toc236747846"/>
      <w:bookmarkEnd w:id="35"/>
      <w:r>
        <w:t xml:space="preserve">Are former Ministers still subject to the </w:t>
      </w:r>
      <w:proofErr w:type="spellStart"/>
      <w:r>
        <w:t>OIA</w:t>
      </w:r>
      <w:proofErr w:type="spellEnd"/>
      <w:r>
        <w:t>?</w:t>
      </w:r>
      <w:bookmarkEnd w:id="36"/>
    </w:p>
    <w:p w14:paraId="2EF7835B" w14:textId="7567BB00" w:rsidR="00741737" w:rsidRDefault="00741737" w:rsidP="00741737">
      <w:pPr>
        <w:pStyle w:val="BodyText"/>
      </w:pPr>
      <w:r>
        <w:t xml:space="preserve">No. Once an individual ceases to be a Minister, they are no longer subject to the </w:t>
      </w:r>
      <w:proofErr w:type="spellStart"/>
      <w:proofErr w:type="gramStart"/>
      <w:r>
        <w:t>OIA</w:t>
      </w:r>
      <w:proofErr w:type="spellEnd"/>
      <w:r>
        <w:t xml:space="preserve"> in their own right</w:t>
      </w:r>
      <w:proofErr w:type="gramEnd"/>
      <w:r>
        <w:t xml:space="preserve">. Information that was held by former Ministers will only be subject to the </w:t>
      </w:r>
      <w:proofErr w:type="spellStart"/>
      <w:r>
        <w:t>OIA</w:t>
      </w:r>
      <w:proofErr w:type="spellEnd"/>
      <w:r>
        <w:t xml:space="preserve"> if it is held by a current Minister or agency subject to the </w:t>
      </w:r>
      <w:proofErr w:type="spellStart"/>
      <w:r>
        <w:t>OIA</w:t>
      </w:r>
      <w:proofErr w:type="spellEnd"/>
      <w:r>
        <w:t>.</w:t>
      </w:r>
    </w:p>
    <w:p w14:paraId="355E5C97" w14:textId="0A7AADC3" w:rsidR="00C61CCC" w:rsidRDefault="00191700" w:rsidP="0096431D">
      <w:pPr>
        <w:pStyle w:val="BodyText"/>
      </w:pPr>
      <w:r>
        <w:t>However, u</w:t>
      </w:r>
      <w:r w:rsidR="005C750E">
        <w:t xml:space="preserve">nder the Public Records Act 2005, </w:t>
      </w:r>
      <w:r w:rsidR="0010570E" w:rsidRPr="0010570E">
        <w:t>Ministers must create full and accurate records of their ministerial affairs, in accordance with normal, prudent business practice</w:t>
      </w:r>
      <w:r w:rsidR="0010570E">
        <w:t xml:space="preserve">. </w:t>
      </w:r>
      <w:r w:rsidR="0079623C">
        <w:t xml:space="preserve">All information created or received by a minister in their official capacity </w:t>
      </w:r>
      <w:r w:rsidR="0010570E">
        <w:t xml:space="preserve">during their ministerial tenure </w:t>
      </w:r>
      <w:r w:rsidR="0079623C">
        <w:t>must be treated as a public record in accordance with the Public Records Act.</w:t>
      </w:r>
      <w:r w:rsidR="0010570E">
        <w:t xml:space="preserve"> </w:t>
      </w:r>
      <w:r w:rsidR="00BA4B84">
        <w:t>This</w:t>
      </w:r>
      <w:r w:rsidR="00F27349">
        <w:t xml:space="preserve"> includes </w:t>
      </w:r>
      <w:r w:rsidR="00431AD1">
        <w:t xml:space="preserve">information in </w:t>
      </w:r>
      <w:r w:rsidR="00BA4B84">
        <w:t>text messages and instantaneous communication mechanisms</w:t>
      </w:r>
      <w:r w:rsidR="00431AD1">
        <w:t xml:space="preserve">, which should be retained when they are of </w:t>
      </w:r>
      <w:proofErr w:type="gramStart"/>
      <w:r w:rsidR="00431AD1">
        <w:t>long term</w:t>
      </w:r>
      <w:proofErr w:type="gramEnd"/>
      <w:r w:rsidR="00431AD1">
        <w:t xml:space="preserve"> value</w:t>
      </w:r>
      <w:r w:rsidR="00BA4B84">
        <w:t>.</w:t>
      </w:r>
      <w:r w:rsidR="00F27349">
        <w:rPr>
          <w:rStyle w:val="FootnoteReference"/>
        </w:rPr>
        <w:footnoteReference w:id="14"/>
      </w:r>
      <w:r w:rsidR="00CF69C4" w:rsidRPr="00CF69C4">
        <w:t xml:space="preserve"> </w:t>
      </w:r>
      <w:r w:rsidR="00CF69C4">
        <w:t>Documents received solely in a Minister’s other capacities are not public records, and as such they are not covered by the Public Records Act.</w:t>
      </w:r>
    </w:p>
    <w:p w14:paraId="32BA5CC1" w14:textId="7B73B53B" w:rsidR="0010570E" w:rsidRDefault="0079623C" w:rsidP="00FA7CE1">
      <w:pPr>
        <w:pStyle w:val="BodyText"/>
      </w:pPr>
      <w:r>
        <w:t xml:space="preserve">On leaving office, </w:t>
      </w:r>
      <w:r w:rsidR="00FB2C89">
        <w:t xml:space="preserve">Ministers are required to return all internal </w:t>
      </w:r>
      <w:r w:rsidR="00546415">
        <w:t>agency</w:t>
      </w:r>
      <w:r w:rsidR="00FB2C89">
        <w:t xml:space="preserve"> material to the originating </w:t>
      </w:r>
      <w:r w:rsidR="00546415">
        <w:t>agency</w:t>
      </w:r>
      <w:r w:rsidR="00FB2C89">
        <w:t>.</w:t>
      </w:r>
      <w:r w:rsidR="00ED17AF">
        <w:t xml:space="preserve"> </w:t>
      </w:r>
      <w:r w:rsidR="00ED17AF" w:rsidRPr="00ED17AF">
        <w:t>Other information may be deposited with Archives NZ,</w:t>
      </w:r>
      <w:r w:rsidR="00ED17AF">
        <w:t xml:space="preserve"> or elsewhere.</w:t>
      </w:r>
      <w:r w:rsidR="00FB2C89">
        <w:rPr>
          <w:rStyle w:val="FootnoteReference"/>
        </w:rPr>
        <w:footnoteReference w:id="15"/>
      </w:r>
      <w:r w:rsidR="0010570E" w:rsidRPr="0010570E">
        <w:t xml:space="preserve"> </w:t>
      </w:r>
      <w:r w:rsidR="00A11986" w:rsidRPr="00A11986">
        <w:t xml:space="preserve">An </w:t>
      </w:r>
      <w:proofErr w:type="spellStart"/>
      <w:r w:rsidR="00A11986" w:rsidRPr="00A11986">
        <w:t>OIA</w:t>
      </w:r>
      <w:proofErr w:type="spellEnd"/>
      <w:r w:rsidR="00A11986" w:rsidRPr="00A11986">
        <w:t xml:space="preserve"> reque</w:t>
      </w:r>
      <w:r w:rsidR="00A11986">
        <w:t xml:space="preserve">st may therefore be made </w:t>
      </w:r>
      <w:r w:rsidR="0010570E">
        <w:t>for this information</w:t>
      </w:r>
      <w:r w:rsidR="00A11986" w:rsidRPr="00A11986">
        <w:t xml:space="preserve">. </w:t>
      </w:r>
      <w:r w:rsidR="0010570E">
        <w:t xml:space="preserve">Alternatively, ministerial information may be </w:t>
      </w:r>
      <w:r w:rsidR="00A11986">
        <w:t xml:space="preserve">disposed of </w:t>
      </w:r>
      <w:r w:rsidR="00BA4B84">
        <w:t xml:space="preserve">under </w:t>
      </w:r>
      <w:r w:rsidR="00C61CCC" w:rsidRPr="00C61CCC">
        <w:t>Chief Archivist</w:t>
      </w:r>
      <w:r w:rsidR="00BA4B84">
        <w:t xml:space="preserve"> </w:t>
      </w:r>
      <w:r w:rsidR="00711C43">
        <w:t>guidelines</w:t>
      </w:r>
      <w:r w:rsidR="00C61CCC" w:rsidRPr="00C61CCC">
        <w:t>.</w:t>
      </w:r>
      <w:r w:rsidR="00C61CCC" w:rsidRPr="00C61CCC">
        <w:rPr>
          <w:vertAlign w:val="superscript"/>
        </w:rPr>
        <w:footnoteReference w:id="16"/>
      </w:r>
      <w:r w:rsidR="00C61CCC" w:rsidRPr="00C61CCC">
        <w:t xml:space="preserve"> </w:t>
      </w:r>
    </w:p>
    <w:p w14:paraId="443ADAB8" w14:textId="1B788E02" w:rsidR="00F76D60" w:rsidRDefault="00F76D60" w:rsidP="00F76D60">
      <w:pPr>
        <w:pStyle w:val="Heading2"/>
      </w:pPr>
      <w:bookmarkStart w:id="37" w:name="_Toc236747847"/>
      <w:r>
        <w:t xml:space="preserve">What happens </w:t>
      </w:r>
      <w:r w:rsidRPr="00F76D60">
        <w:t xml:space="preserve">during a </w:t>
      </w:r>
      <w:r w:rsidR="00D60E10">
        <w:t>c</w:t>
      </w:r>
      <w:r w:rsidRPr="00F76D60">
        <w:t>a</w:t>
      </w:r>
      <w:r>
        <w:t>retak</w:t>
      </w:r>
      <w:r w:rsidR="006C5D70">
        <w:t>er</w:t>
      </w:r>
      <w:r>
        <w:t xml:space="preserve"> period?</w:t>
      </w:r>
      <w:bookmarkEnd w:id="37"/>
    </w:p>
    <w:p w14:paraId="57D535C8" w14:textId="3E1CE394" w:rsidR="00F76D60" w:rsidRDefault="00F76D60" w:rsidP="00F76D60">
      <w:pPr>
        <w:pStyle w:val="BodyText"/>
      </w:pPr>
      <w:r w:rsidRPr="00F76D60">
        <w:t>A caretak</w:t>
      </w:r>
      <w:r w:rsidR="006C5D70">
        <w:t>er</w:t>
      </w:r>
      <w:r w:rsidRPr="00F76D60">
        <w:t xml:space="preserve"> period </w:t>
      </w:r>
      <w:r w:rsidR="00570389">
        <w:t xml:space="preserve">occurs </w:t>
      </w:r>
      <w:r w:rsidRPr="00F76D60">
        <w:t xml:space="preserve">from the day after </w:t>
      </w:r>
      <w:r w:rsidR="00D12956">
        <w:t xml:space="preserve">the </w:t>
      </w:r>
      <w:r w:rsidRPr="00F76D60">
        <w:t xml:space="preserve">election until a new </w:t>
      </w:r>
      <w:r w:rsidR="00D60E10">
        <w:t>G</w:t>
      </w:r>
      <w:r w:rsidRPr="00F76D60">
        <w:t xml:space="preserve">overnment is formally sworn in. During this time, the incumbent </w:t>
      </w:r>
      <w:r w:rsidR="00D60E10">
        <w:t>G</w:t>
      </w:r>
      <w:r w:rsidRPr="00F76D60">
        <w:t xml:space="preserve">overnment stays in </w:t>
      </w:r>
      <w:r w:rsidR="00570389" w:rsidRPr="00F76D60">
        <w:t>office but</w:t>
      </w:r>
      <w:r w:rsidRPr="00F76D60">
        <w:t xml:space="preserve"> follows the </w:t>
      </w:r>
      <w:r>
        <w:t>‘</w:t>
      </w:r>
      <w:r w:rsidRPr="00D12956">
        <w:rPr>
          <w:rStyle w:val="Italics"/>
        </w:rPr>
        <w:t>convention</w:t>
      </w:r>
      <w:r w:rsidR="00D60E10" w:rsidRPr="00D12956">
        <w:rPr>
          <w:rStyle w:val="Italics"/>
        </w:rPr>
        <w:t xml:space="preserve"> on caretaker government</w:t>
      </w:r>
      <w:r>
        <w:t>’</w:t>
      </w:r>
      <w:r w:rsidRPr="00F76D60">
        <w:t xml:space="preserve"> to restrict major decisions while coalition or support negotiations take place.</w:t>
      </w:r>
    </w:p>
    <w:p w14:paraId="3E447188" w14:textId="7EE779B0" w:rsidR="00F76D60" w:rsidRDefault="00F76D60" w:rsidP="00D60E10">
      <w:pPr>
        <w:pStyle w:val="BodyText"/>
        <w:spacing w:after="120"/>
      </w:pPr>
      <w:r>
        <w:t xml:space="preserve">During this period, Ministers keep their roles and </w:t>
      </w:r>
      <w:r w:rsidR="00D60E10">
        <w:t>day</w:t>
      </w:r>
      <w:r w:rsidR="00D12956">
        <w:t>-</w:t>
      </w:r>
      <w:r w:rsidR="00D60E10">
        <w:t>to</w:t>
      </w:r>
      <w:r w:rsidR="00D12956">
        <w:t>-</w:t>
      </w:r>
      <w:r w:rsidR="00D60E10">
        <w:t xml:space="preserve">day administration generally </w:t>
      </w:r>
      <w:r>
        <w:t xml:space="preserve">continues. This includes receiving and responding to information requests. </w:t>
      </w:r>
      <w:r w:rsidR="00D60E10">
        <w:t xml:space="preserve">The Cabinet Manual </w:t>
      </w:r>
      <w:r w:rsidR="00D12956">
        <w:t>says</w:t>
      </w:r>
      <w:r w:rsidR="00D60E10">
        <w:t>:</w:t>
      </w:r>
      <w:r w:rsidR="00D12956">
        <w:rPr>
          <w:rStyle w:val="FootnoteReference"/>
        </w:rPr>
        <w:footnoteReference w:id="17"/>
      </w:r>
    </w:p>
    <w:p w14:paraId="501C862D" w14:textId="268B84B7" w:rsidR="00D60E10" w:rsidRPr="00F76D60" w:rsidRDefault="00D60E10" w:rsidP="00D60E10">
      <w:pPr>
        <w:pStyle w:val="Quotationseparateparagraph"/>
      </w:pPr>
      <w:r w:rsidRPr="00D60E10">
        <w:t xml:space="preserve">The </w:t>
      </w:r>
      <w:r w:rsidR="00D12956">
        <w:t>[</w:t>
      </w:r>
      <w:proofErr w:type="spellStart"/>
      <w:r w:rsidR="00D12956">
        <w:t>OIA</w:t>
      </w:r>
      <w:proofErr w:type="spellEnd"/>
      <w:r w:rsidR="00D12956">
        <w:t>]</w:t>
      </w:r>
      <w:r w:rsidRPr="00D60E10">
        <w:t xml:space="preserve"> continues to operate during a caretaker period. In general, responding to requests for information should be seen as part of the day-to-day business of government, and should be dealt with in the usual way. On rare occasions, requests may raise issues that are likely to be of long-term significance for the operation of government and that require ministerial involvement. In this situation, it may be necessary to consider extending the time limit </w:t>
      </w:r>
      <w:proofErr w:type="gramStart"/>
      <w:r w:rsidRPr="00D60E10">
        <w:t>in order to</w:t>
      </w:r>
      <w:proofErr w:type="gramEnd"/>
      <w:r w:rsidRPr="00D60E10">
        <w:t xml:space="preserve"> consult the incoming Minister. Any such extension must comply with section 15A of the </w:t>
      </w:r>
      <w:r w:rsidR="00D12956">
        <w:t>[</w:t>
      </w:r>
      <w:proofErr w:type="spellStart"/>
      <w:r w:rsidR="00D12956">
        <w:t>OIA</w:t>
      </w:r>
      <w:proofErr w:type="spellEnd"/>
      <w:r w:rsidR="00D12956">
        <w:t>]</w:t>
      </w:r>
      <w:r w:rsidRPr="00D60E10">
        <w:t>.</w:t>
      </w:r>
    </w:p>
    <w:p w14:paraId="097CB17B" w14:textId="4F827C78" w:rsidR="00FB2C89" w:rsidRDefault="00FB2C89" w:rsidP="00FB2C89">
      <w:pPr>
        <w:pStyle w:val="Heading2"/>
        <w:spacing w:before="240" w:after="240"/>
      </w:pPr>
      <w:bookmarkStart w:id="38" w:name="_Toc236747848"/>
      <w:r>
        <w:t xml:space="preserve">At what point does </w:t>
      </w:r>
      <w:r w:rsidR="00E218AE">
        <w:t xml:space="preserve">non-government </w:t>
      </w:r>
      <w:r>
        <w:t xml:space="preserve">information become </w:t>
      </w:r>
      <w:r w:rsidR="00E218AE">
        <w:t>‘official information’</w:t>
      </w:r>
      <w:r>
        <w:t>?</w:t>
      </w:r>
      <w:bookmarkEnd w:id="38"/>
    </w:p>
    <w:p w14:paraId="401F428D" w14:textId="15C32B58" w:rsidR="008A16F9" w:rsidRDefault="008A16F9" w:rsidP="008A16F9">
      <w:pPr>
        <w:pStyle w:val="BodyText"/>
      </w:pPr>
      <w:r>
        <w:t xml:space="preserve">Information </w:t>
      </w:r>
      <w:r w:rsidR="00E218AE">
        <w:t>held by someone before they become a Minister, or held in one of their non-</w:t>
      </w:r>
      <w:r w:rsidR="006C5D70">
        <w:t xml:space="preserve">Ministerial </w:t>
      </w:r>
      <w:r w:rsidR="00E218AE">
        <w:t>capacities,</w:t>
      </w:r>
      <w:r w:rsidR="00402380">
        <w:rPr>
          <w:rStyle w:val="FootnoteReference"/>
        </w:rPr>
        <w:footnoteReference w:id="18"/>
      </w:r>
      <w:r>
        <w:t xml:space="preserve"> </w:t>
      </w:r>
      <w:r w:rsidR="00E218AE">
        <w:t xml:space="preserve">may </w:t>
      </w:r>
      <w:r>
        <w:t>become ‘</w:t>
      </w:r>
      <w:r w:rsidRPr="006448F0">
        <w:rPr>
          <w:i/>
        </w:rPr>
        <w:t>official information</w:t>
      </w:r>
      <w:r>
        <w:t xml:space="preserve">’ if it is subsequently used </w:t>
      </w:r>
      <w:r w:rsidR="006C5D70">
        <w:t>by</w:t>
      </w:r>
      <w:r w:rsidR="00E218AE">
        <w:t xml:space="preserve"> that person for</w:t>
      </w:r>
      <w:r>
        <w:t xml:space="preserve"> official Ministerial purposes.</w:t>
      </w:r>
    </w:p>
    <w:p w14:paraId="38175B1E" w14:textId="763088E6" w:rsidR="008A16F9" w:rsidRDefault="008A16F9" w:rsidP="008A16F9">
      <w:pPr>
        <w:pStyle w:val="BodyText"/>
      </w:pPr>
      <w:r>
        <w:t>When considering whether information</w:t>
      </w:r>
      <w:r w:rsidR="00E068BC">
        <w:t>, when</w:t>
      </w:r>
      <w:r>
        <w:t xml:space="preserve"> </w:t>
      </w:r>
      <w:r w:rsidR="00402380">
        <w:t xml:space="preserve">held by </w:t>
      </w:r>
      <w:r w:rsidR="001731CE">
        <w:t xml:space="preserve">a person who is also </w:t>
      </w:r>
      <w:r w:rsidR="00402380">
        <w:t>a Minister</w:t>
      </w:r>
      <w:r w:rsidR="00E068BC">
        <w:t>,</w:t>
      </w:r>
      <w:r w:rsidR="00402380">
        <w:t xml:space="preserve"> </w:t>
      </w:r>
      <w:r>
        <w:t xml:space="preserve">is </w:t>
      </w:r>
      <w:r>
        <w:rPr>
          <w:i/>
        </w:rPr>
        <w:t>‘official information</w:t>
      </w:r>
      <w:r w:rsidR="001731CE">
        <w:rPr>
          <w:i/>
        </w:rPr>
        <w:t>,</w:t>
      </w:r>
      <w:r>
        <w:rPr>
          <w:i/>
        </w:rPr>
        <w:t>’</w:t>
      </w:r>
      <w:r>
        <w:t xml:space="preserve"> there are four key considerations:</w:t>
      </w:r>
    </w:p>
    <w:p w14:paraId="730F6749" w14:textId="77777777" w:rsidR="008A16F9" w:rsidRDefault="008A16F9" w:rsidP="006D3C53">
      <w:pPr>
        <w:pStyle w:val="Number1"/>
      </w:pPr>
      <w:r>
        <w:t xml:space="preserve">the purpose of the </w:t>
      </w:r>
      <w:proofErr w:type="gramStart"/>
      <w:r>
        <w:t>information;</w:t>
      </w:r>
      <w:proofErr w:type="gramEnd"/>
    </w:p>
    <w:p w14:paraId="30FA501C" w14:textId="77777777" w:rsidR="008A16F9" w:rsidRDefault="008A16F9" w:rsidP="006D3C53">
      <w:pPr>
        <w:pStyle w:val="Number1"/>
      </w:pPr>
      <w:r>
        <w:t xml:space="preserve">the nature and content of the </w:t>
      </w:r>
      <w:proofErr w:type="gramStart"/>
      <w:r>
        <w:t>information;</w:t>
      </w:r>
      <w:proofErr w:type="gramEnd"/>
    </w:p>
    <w:p w14:paraId="0DE00DEE" w14:textId="77777777" w:rsidR="008A16F9" w:rsidRDefault="008A16F9" w:rsidP="006D3C53">
      <w:pPr>
        <w:pStyle w:val="Number1"/>
      </w:pPr>
      <w:r>
        <w:t>the context in which it came to be held; and</w:t>
      </w:r>
    </w:p>
    <w:p w14:paraId="67830913" w14:textId="50DA809C" w:rsidR="008A16F9" w:rsidRDefault="008A16F9" w:rsidP="006D3C53">
      <w:pPr>
        <w:pStyle w:val="Number1"/>
      </w:pPr>
      <w:r>
        <w:t>the use to which it has been put.</w:t>
      </w:r>
    </w:p>
    <w:p w14:paraId="0DA3F8B3" w14:textId="450317A5" w:rsidR="009572DF" w:rsidRDefault="00501F32" w:rsidP="009572DF">
      <w:pPr>
        <w:pStyle w:val="BodyText"/>
      </w:pPr>
      <w:r>
        <w:t>T</w:t>
      </w:r>
      <w:r w:rsidR="009572DF">
        <w:t xml:space="preserve">hese factors </w:t>
      </w:r>
      <w:r>
        <w:t xml:space="preserve">should be considered </w:t>
      </w:r>
      <w:r w:rsidR="009572DF">
        <w:t xml:space="preserve">to determine whether information is held or deemed to be held by </w:t>
      </w:r>
      <w:r w:rsidR="00402380">
        <w:t>a Minister</w:t>
      </w:r>
      <w:r w:rsidR="009572DF">
        <w:t xml:space="preserve"> in such a way that it becomes </w:t>
      </w:r>
      <w:r w:rsidR="009572DF" w:rsidRPr="009572DF">
        <w:rPr>
          <w:i/>
        </w:rPr>
        <w:t>‘official information’</w:t>
      </w:r>
      <w:r w:rsidR="009572DF">
        <w:t xml:space="preserve"> for the purposes of the </w:t>
      </w:r>
      <w:proofErr w:type="spellStart"/>
      <w:r w:rsidR="009572DF">
        <w:t>OIA</w:t>
      </w:r>
      <w:proofErr w:type="spellEnd"/>
      <w:r w:rsidR="009572DF">
        <w:t>.</w:t>
      </w:r>
    </w:p>
    <w:p w14:paraId="0FB16A4B" w14:textId="5492A5A8" w:rsidR="00FB2C89" w:rsidRDefault="008A16F9" w:rsidP="00FB2C89">
      <w:pPr>
        <w:pStyle w:val="BodyText"/>
      </w:pPr>
      <w:r>
        <w:t xml:space="preserve">For more information see the Ombudsman’s case note for cases 467651 and 467523: </w:t>
      </w:r>
      <w:hyperlink r:id="rId15" w:history="1">
        <w:r w:rsidRPr="008A16F9">
          <w:rPr>
            <w:rStyle w:val="Hyperlink"/>
          </w:rPr>
          <w:t>Request for document related to coalition negotiations between Labour and New Zealand First</w:t>
        </w:r>
      </w:hyperlink>
      <w:r>
        <w:t>.</w:t>
      </w:r>
    </w:p>
    <w:p w14:paraId="244771F9" w14:textId="51203105" w:rsidR="00FB2C89" w:rsidRDefault="008159C2" w:rsidP="00FB2C89">
      <w:pPr>
        <w:pStyle w:val="Heading2"/>
      </w:pPr>
      <w:bookmarkStart w:id="39" w:name="_Toc236747849"/>
      <w:r>
        <w:t>How should we respond to requests for Briefings to Incoming Minister</w:t>
      </w:r>
      <w:r w:rsidR="00310812">
        <w:t>s</w:t>
      </w:r>
      <w:r>
        <w:t xml:space="preserve"> (BIMs)?</w:t>
      </w:r>
      <w:bookmarkEnd w:id="39"/>
    </w:p>
    <w:p w14:paraId="2746DCA0" w14:textId="4DD98407" w:rsidR="008159C2" w:rsidRDefault="008159C2" w:rsidP="00FB2C89">
      <w:pPr>
        <w:pStyle w:val="BodyText"/>
      </w:pPr>
      <w:r>
        <w:t xml:space="preserve">BIMs are official information and are subject to the </w:t>
      </w:r>
      <w:proofErr w:type="spellStart"/>
      <w:r>
        <w:t>OIA</w:t>
      </w:r>
      <w:proofErr w:type="spellEnd"/>
      <w:r>
        <w:t xml:space="preserve">. The </w:t>
      </w:r>
      <w:r w:rsidR="009572DF">
        <w:t>government</w:t>
      </w:r>
      <w:r>
        <w:t xml:space="preserve"> may choose to proactively publish the BIMs produced by agencies for its new Ministerial List.</w:t>
      </w:r>
    </w:p>
    <w:p w14:paraId="32E0B918" w14:textId="77777777" w:rsidR="007E4650" w:rsidRDefault="008159C2" w:rsidP="00FB2C89">
      <w:pPr>
        <w:pStyle w:val="BodyText"/>
      </w:pPr>
      <w:r>
        <w:t xml:space="preserve">Agencies should consider any request for BIMs as a typical official information request and respond accordingly. </w:t>
      </w:r>
      <w:r w:rsidR="007E4650">
        <w:t xml:space="preserve">Some relevant considerations may include whether the BIMs are in draft or have been finalised, and whether they will soon be published. </w:t>
      </w:r>
    </w:p>
    <w:p w14:paraId="2AF09227" w14:textId="505047D6" w:rsidR="00FB2C89" w:rsidRPr="00FB2C89" w:rsidRDefault="008159C2" w:rsidP="00FB2C89">
      <w:pPr>
        <w:pStyle w:val="BodyText"/>
      </w:pPr>
      <w:r>
        <w:t xml:space="preserve">The Ombudsman considered complaints about requests for BIMs following the 2017 </w:t>
      </w:r>
      <w:proofErr w:type="gramStart"/>
      <w:r>
        <w:t>election</w:t>
      </w:r>
      <w:r w:rsidR="007E4650">
        <w:t>, and</w:t>
      </w:r>
      <w:proofErr w:type="gramEnd"/>
      <w:r w:rsidR="007E4650">
        <w:t xml:space="preserve"> agreed they could be refused on the basis the information would soon be publicly available as a planned release of the BIMs was reasonably certain and imminent</w:t>
      </w:r>
      <w:r>
        <w:t xml:space="preserve">. See </w:t>
      </w:r>
      <w:hyperlink r:id="rId16" w:history="1">
        <w:r w:rsidRPr="008159C2">
          <w:rPr>
            <w:rStyle w:val="Hyperlink"/>
          </w:rPr>
          <w:t>cases 466794 and 467630</w:t>
        </w:r>
      </w:hyperlink>
      <w:r>
        <w:t xml:space="preserve"> for more information.</w:t>
      </w:r>
    </w:p>
    <w:p w14:paraId="0E1AF52A" w14:textId="1EFEE136" w:rsidR="00FB2C89" w:rsidRDefault="00FB2C89" w:rsidP="00FB2C89">
      <w:pPr>
        <w:pStyle w:val="Heading2"/>
        <w:rPr>
          <w:rStyle w:val="BodyTextChar"/>
          <w:sz w:val="30"/>
        </w:rPr>
      </w:pPr>
      <w:bookmarkStart w:id="40" w:name="_Toc236747850"/>
      <w:r w:rsidRPr="00FB2C89">
        <w:rPr>
          <w:rStyle w:val="BodyTextChar"/>
          <w:sz w:val="30"/>
        </w:rPr>
        <w:t xml:space="preserve">How should we respond to a request made </w:t>
      </w:r>
      <w:r w:rsidR="00DA660D">
        <w:rPr>
          <w:rStyle w:val="BodyTextChar"/>
          <w:sz w:val="30"/>
        </w:rPr>
        <w:t xml:space="preserve">to </w:t>
      </w:r>
      <w:r w:rsidRPr="00FB2C89">
        <w:rPr>
          <w:rStyle w:val="BodyTextChar"/>
          <w:sz w:val="30"/>
        </w:rPr>
        <w:t xml:space="preserve">a former Minister where no decision </w:t>
      </w:r>
      <w:r w:rsidR="004E7BA5">
        <w:rPr>
          <w:rStyle w:val="BodyTextChar"/>
          <w:sz w:val="30"/>
        </w:rPr>
        <w:t xml:space="preserve">on the request </w:t>
      </w:r>
      <w:r w:rsidRPr="00FB2C89">
        <w:rPr>
          <w:rStyle w:val="BodyTextChar"/>
          <w:sz w:val="30"/>
        </w:rPr>
        <w:t>was made before the Minister changed?</w:t>
      </w:r>
      <w:bookmarkEnd w:id="40"/>
    </w:p>
    <w:p w14:paraId="6683A451" w14:textId="5CF6CFA9" w:rsidR="00DB0728" w:rsidRDefault="00FB2C89" w:rsidP="00FB2C89">
      <w:pPr>
        <w:pStyle w:val="BodyText"/>
      </w:pPr>
      <w:r>
        <w:t xml:space="preserve">Once an individual ceases to be a Minister, they are no longer subject to the </w:t>
      </w:r>
      <w:proofErr w:type="spellStart"/>
      <w:r>
        <w:t>OIA</w:t>
      </w:r>
      <w:proofErr w:type="spellEnd"/>
      <w:r>
        <w:t xml:space="preserve"> </w:t>
      </w:r>
      <w:proofErr w:type="gramStart"/>
      <w:r>
        <w:t>in their own right</w:t>
      </w:r>
      <w:r w:rsidR="00DB0728">
        <w:t xml:space="preserve"> and</w:t>
      </w:r>
      <w:proofErr w:type="gramEnd"/>
      <w:r w:rsidR="00DB0728">
        <w:t xml:space="preserve"> under no further obligation to respond to an official information request</w:t>
      </w:r>
      <w:r>
        <w:t>.</w:t>
      </w:r>
      <w:r w:rsidR="0010570E">
        <w:t xml:space="preserve"> This is because </w:t>
      </w:r>
      <w:r w:rsidR="00100FC6">
        <w:t xml:space="preserve">private </w:t>
      </w:r>
      <w:r w:rsidR="0010570E">
        <w:t xml:space="preserve">individuals are </w:t>
      </w:r>
      <w:r w:rsidR="00100FC6">
        <w:t xml:space="preserve">not </w:t>
      </w:r>
      <w:r w:rsidR="0010570E">
        <w:t xml:space="preserve">subject to the </w:t>
      </w:r>
      <w:proofErr w:type="spellStart"/>
      <w:r w:rsidR="0010570E">
        <w:t>OIA</w:t>
      </w:r>
      <w:proofErr w:type="spellEnd"/>
      <w:r w:rsidR="0010570E">
        <w:t xml:space="preserve">. </w:t>
      </w:r>
    </w:p>
    <w:p w14:paraId="20FDF834" w14:textId="174B23EC" w:rsidR="00FB2C89" w:rsidRDefault="00FB2C89" w:rsidP="00FB2C89">
      <w:pPr>
        <w:pStyle w:val="BodyText"/>
      </w:pPr>
      <w:r>
        <w:t xml:space="preserve">Information that was held by former Ministers will only be subject to the </w:t>
      </w:r>
      <w:proofErr w:type="spellStart"/>
      <w:r>
        <w:t>OIA</w:t>
      </w:r>
      <w:proofErr w:type="spellEnd"/>
      <w:r>
        <w:t xml:space="preserve"> if it is held by a current Minister or agency subject to the </w:t>
      </w:r>
      <w:proofErr w:type="spellStart"/>
      <w:r>
        <w:t>OIA</w:t>
      </w:r>
      <w:proofErr w:type="spellEnd"/>
      <w:r>
        <w:t>.</w:t>
      </w:r>
      <w:r w:rsidR="00711C43">
        <w:t xml:space="preserve"> It is very important that Ministers me</w:t>
      </w:r>
      <w:r w:rsidR="00742176">
        <w:t>e</w:t>
      </w:r>
      <w:r w:rsidR="00711C43">
        <w:t xml:space="preserve">t their obligations under the Public Records Act </w:t>
      </w:r>
      <w:r w:rsidR="00270E9A">
        <w:t xml:space="preserve">to ensure that official information remains accessible </w:t>
      </w:r>
      <w:r w:rsidR="00711C43">
        <w:t>before leaving office</w:t>
      </w:r>
      <w:r w:rsidR="004E7BA5">
        <w:t xml:space="preserve">, as set out above under </w:t>
      </w:r>
      <w:r w:rsidR="006C5D70" w:rsidRPr="006C5D70">
        <w:rPr>
          <w:rStyle w:val="HyperlinkSourceTextReference"/>
        </w:rPr>
        <w:t>‘</w:t>
      </w:r>
      <w:hyperlink w:anchor="_Are_former_Ministers" w:history="1">
        <w:r w:rsidR="004E7BA5" w:rsidRPr="006C5D70">
          <w:rPr>
            <w:rStyle w:val="HyperlinkSourceTextReference"/>
          </w:rPr>
          <w:t xml:space="preserve">Are former Ministers still subject to the </w:t>
        </w:r>
        <w:proofErr w:type="spellStart"/>
        <w:r w:rsidR="004E7BA5" w:rsidRPr="006C5D70">
          <w:rPr>
            <w:rStyle w:val="HyperlinkSourceTextReference"/>
          </w:rPr>
          <w:t>OIA</w:t>
        </w:r>
        <w:proofErr w:type="spellEnd"/>
        <w:r w:rsidR="004E7BA5" w:rsidRPr="006C5D70">
          <w:rPr>
            <w:rStyle w:val="HyperlinkSourceTextReference"/>
          </w:rPr>
          <w:t>?</w:t>
        </w:r>
      </w:hyperlink>
      <w:r w:rsidR="006C5D70" w:rsidRPr="006C5D70">
        <w:rPr>
          <w:rStyle w:val="HyperlinkSourceTextReference"/>
        </w:rPr>
        <w:t>’</w:t>
      </w:r>
    </w:p>
    <w:p w14:paraId="6D06B6EF" w14:textId="518F73D7" w:rsidR="00DB0728" w:rsidRDefault="009572DF" w:rsidP="009572DF">
      <w:pPr>
        <w:pStyle w:val="BodyText"/>
        <w:rPr>
          <w:rStyle w:val="BodyTextChar"/>
        </w:rPr>
      </w:pPr>
      <w:r>
        <w:rPr>
          <w:rStyle w:val="BodyTextChar"/>
        </w:rPr>
        <w:t xml:space="preserve">Where the former Minister did not make and communicate a decision on </w:t>
      </w:r>
      <w:r w:rsidR="004E7BA5">
        <w:rPr>
          <w:rStyle w:val="BodyTextChar"/>
        </w:rPr>
        <w:t xml:space="preserve">an information </w:t>
      </w:r>
      <w:r>
        <w:rPr>
          <w:rStyle w:val="BodyTextChar"/>
        </w:rPr>
        <w:t>request</w:t>
      </w:r>
      <w:r w:rsidR="00DB0728">
        <w:rPr>
          <w:rStyle w:val="BodyTextChar"/>
        </w:rPr>
        <w:t xml:space="preserve"> before leaving office</w:t>
      </w:r>
      <w:r>
        <w:rPr>
          <w:rStyle w:val="BodyTextChar"/>
        </w:rPr>
        <w:t xml:space="preserve">, </w:t>
      </w:r>
      <w:r w:rsidR="00402380">
        <w:rPr>
          <w:rStyle w:val="BodyTextChar"/>
        </w:rPr>
        <w:t>the</w:t>
      </w:r>
      <w:r w:rsidR="00090444">
        <w:rPr>
          <w:rStyle w:val="BodyTextChar"/>
        </w:rPr>
        <w:t xml:space="preserve"> new Minister</w:t>
      </w:r>
      <w:r w:rsidR="00DB0728">
        <w:rPr>
          <w:rStyle w:val="BodyTextChar"/>
        </w:rPr>
        <w:t xml:space="preserve"> </w:t>
      </w:r>
      <w:r w:rsidR="00090444">
        <w:rPr>
          <w:rStyle w:val="BodyTextChar"/>
        </w:rPr>
        <w:t xml:space="preserve">should </w:t>
      </w:r>
      <w:r w:rsidR="00100FC6">
        <w:rPr>
          <w:rStyle w:val="BodyTextChar"/>
        </w:rPr>
        <w:t xml:space="preserve">generally </w:t>
      </w:r>
      <w:r w:rsidR="00090444">
        <w:rPr>
          <w:rStyle w:val="BodyTextChar"/>
        </w:rPr>
        <w:t>complete the process of dealing with the request.</w:t>
      </w:r>
      <w:r w:rsidR="00FD213B">
        <w:rPr>
          <w:rStyle w:val="FootnoteReference"/>
        </w:rPr>
        <w:footnoteReference w:id="19"/>
      </w:r>
    </w:p>
    <w:p w14:paraId="00D95853" w14:textId="6BA45B28" w:rsidR="009572DF" w:rsidRDefault="00DB0728" w:rsidP="009572DF">
      <w:pPr>
        <w:pStyle w:val="BodyText"/>
        <w:rPr>
          <w:rStyle w:val="BodyTextChar"/>
        </w:rPr>
      </w:pPr>
      <w:r>
        <w:rPr>
          <w:rStyle w:val="BodyTextChar"/>
        </w:rPr>
        <w:t xml:space="preserve">The first issue to be determined is whether the information </w:t>
      </w:r>
      <w:r w:rsidR="00D34EF8">
        <w:rPr>
          <w:rStyle w:val="BodyTextChar"/>
        </w:rPr>
        <w:t xml:space="preserve">requested </w:t>
      </w:r>
      <w:r>
        <w:rPr>
          <w:rStyle w:val="BodyTextChar"/>
        </w:rPr>
        <w:t>is held by the new Minister in their official capacity. If it is, then the request should</w:t>
      </w:r>
      <w:r w:rsidR="00715CD9">
        <w:rPr>
          <w:rStyle w:val="BodyTextChar"/>
        </w:rPr>
        <w:t xml:space="preserve"> continue to</w:t>
      </w:r>
      <w:r>
        <w:rPr>
          <w:rStyle w:val="BodyTextChar"/>
        </w:rPr>
        <w:t xml:space="preserve"> be progressed as normal.</w:t>
      </w:r>
      <w:r w:rsidR="00FD213B">
        <w:rPr>
          <w:rStyle w:val="FootnoteReference"/>
        </w:rPr>
        <w:footnoteReference w:id="20"/>
      </w:r>
      <w:r>
        <w:rPr>
          <w:rStyle w:val="BodyTextChar"/>
        </w:rPr>
        <w:t xml:space="preserve"> If it is not, then the Minister should consider whether to transfer the request to another agency </w:t>
      </w:r>
      <w:r w:rsidR="008F1D72">
        <w:rPr>
          <w:rStyle w:val="BodyTextChar"/>
        </w:rPr>
        <w:t xml:space="preserve">or </w:t>
      </w:r>
      <w:proofErr w:type="spellStart"/>
      <w:r w:rsidR="007208F8">
        <w:rPr>
          <w:rStyle w:val="BodyTextChar"/>
        </w:rPr>
        <w:t>M</w:t>
      </w:r>
      <w:r w:rsidR="008F1D72">
        <w:rPr>
          <w:rStyle w:val="BodyTextChar"/>
        </w:rPr>
        <w:t>min</w:t>
      </w:r>
      <w:r w:rsidR="00784722">
        <w:rPr>
          <w:rStyle w:val="BodyTextChar"/>
        </w:rPr>
        <w:t>i</w:t>
      </w:r>
      <w:r w:rsidR="008F1D72">
        <w:rPr>
          <w:rStyle w:val="BodyTextChar"/>
        </w:rPr>
        <w:t>ster</w:t>
      </w:r>
      <w:proofErr w:type="spellEnd"/>
      <w:r w:rsidR="008F1D72">
        <w:rPr>
          <w:rStyle w:val="BodyTextChar"/>
        </w:rPr>
        <w:t xml:space="preserve"> </w:t>
      </w:r>
      <w:r>
        <w:rPr>
          <w:rStyle w:val="BodyTextChar"/>
        </w:rPr>
        <w:t xml:space="preserve">subject to the </w:t>
      </w:r>
      <w:proofErr w:type="spellStart"/>
      <w:r>
        <w:rPr>
          <w:rStyle w:val="BodyTextChar"/>
        </w:rPr>
        <w:t>OIA</w:t>
      </w:r>
      <w:proofErr w:type="spellEnd"/>
      <w:r>
        <w:rPr>
          <w:rStyle w:val="BodyTextChar"/>
        </w:rPr>
        <w:t xml:space="preserve"> or </w:t>
      </w:r>
      <w:proofErr w:type="spellStart"/>
      <w:r>
        <w:rPr>
          <w:rStyle w:val="BodyTextChar"/>
        </w:rPr>
        <w:t>LGOIMA</w:t>
      </w:r>
      <w:proofErr w:type="spellEnd"/>
      <w:r>
        <w:rPr>
          <w:rStyle w:val="BodyTextChar"/>
        </w:rPr>
        <w:t xml:space="preserve">, or refuse the request under sections 18(e) or (g) of the </w:t>
      </w:r>
      <w:proofErr w:type="spellStart"/>
      <w:r>
        <w:rPr>
          <w:rStyle w:val="BodyTextChar"/>
        </w:rPr>
        <w:t>OIA</w:t>
      </w:r>
      <w:proofErr w:type="spellEnd"/>
      <w:r>
        <w:rPr>
          <w:rStyle w:val="BodyTextChar"/>
        </w:rPr>
        <w:t xml:space="preserve"> (because the requested document does not exist, or the information is not held).</w:t>
      </w:r>
    </w:p>
    <w:p w14:paraId="4728FD31" w14:textId="1D9EEF50" w:rsidR="00FB2C89" w:rsidRDefault="00FB2C89" w:rsidP="00FB2C89">
      <w:pPr>
        <w:pStyle w:val="Heading2"/>
      </w:pPr>
      <w:bookmarkStart w:id="41" w:name="_Toc236747851"/>
      <w:r>
        <w:t xml:space="preserve">If a request is made to a </w:t>
      </w:r>
      <w:r w:rsidR="00CB3F6E">
        <w:t xml:space="preserve">current </w:t>
      </w:r>
      <w:r>
        <w:t xml:space="preserve">Minister </w:t>
      </w:r>
      <w:r w:rsidR="00CB3F6E">
        <w:t>for information held by a former Minister</w:t>
      </w:r>
      <w:r>
        <w:t xml:space="preserve">, can the </w:t>
      </w:r>
      <w:r w:rsidR="00CB3F6E">
        <w:t xml:space="preserve">current </w:t>
      </w:r>
      <w:r>
        <w:t>Minister’s office transfer it?</w:t>
      </w:r>
      <w:bookmarkEnd w:id="41"/>
    </w:p>
    <w:p w14:paraId="0A862908" w14:textId="0D67119F" w:rsidR="00FB2C89" w:rsidRDefault="00FB2C89" w:rsidP="00FB2C89">
      <w:pPr>
        <w:pStyle w:val="BodyText"/>
      </w:pPr>
      <w:r>
        <w:t xml:space="preserve">If the current Minister </w:t>
      </w:r>
      <w:r w:rsidR="00CB3F6E">
        <w:t>receives a request for official information</w:t>
      </w:r>
      <w:r w:rsidR="0007105E">
        <w:t xml:space="preserve"> they do not hold</w:t>
      </w:r>
      <w:r w:rsidR="00CB3F6E">
        <w:t xml:space="preserve">, and </w:t>
      </w:r>
      <w:r w:rsidR="0007105E">
        <w:t xml:space="preserve">the current Minister considers it is presently held by another Minister or </w:t>
      </w:r>
      <w:r>
        <w:t xml:space="preserve">agency, then </w:t>
      </w:r>
      <w:r w:rsidR="0007105E">
        <w:t>that Minister will be under an obligation to transfer the request to that Minister or agency.</w:t>
      </w:r>
    </w:p>
    <w:p w14:paraId="0F9D812B" w14:textId="75825F8A" w:rsidR="00FD213B" w:rsidRDefault="00FD213B" w:rsidP="00FB2C89">
      <w:pPr>
        <w:pStyle w:val="BodyText"/>
      </w:pPr>
      <w:r>
        <w:t xml:space="preserve">If </w:t>
      </w:r>
      <w:r w:rsidR="0007105E">
        <w:t>a</w:t>
      </w:r>
      <w:r w:rsidR="00553751">
        <w:t xml:space="preserve"> Minister</w:t>
      </w:r>
      <w:r w:rsidR="0007105E">
        <w:t xml:space="preserve"> or agency</w:t>
      </w:r>
      <w:r w:rsidR="00553751">
        <w:t xml:space="preserve"> </w:t>
      </w:r>
      <w:r w:rsidR="00B97AB5">
        <w:t>is considering a request</w:t>
      </w:r>
      <w:r>
        <w:t xml:space="preserve"> </w:t>
      </w:r>
      <w:r w:rsidR="00B97AB5">
        <w:t>for</w:t>
      </w:r>
      <w:r>
        <w:t xml:space="preserve"> Cabinet information </w:t>
      </w:r>
      <w:r w:rsidR="00553751">
        <w:t>belonging to</w:t>
      </w:r>
      <w:r>
        <w:t xml:space="preserve"> a previous administration, thought should be given on whether to consult the Cabinet Office.</w:t>
      </w:r>
      <w:r>
        <w:rPr>
          <w:rStyle w:val="FootnoteReference"/>
        </w:rPr>
        <w:footnoteReference w:id="21"/>
      </w:r>
    </w:p>
    <w:p w14:paraId="63F5F6A5" w14:textId="41AF4EF7" w:rsidR="00FB2C89" w:rsidRDefault="00FB2C89" w:rsidP="00FB2C89">
      <w:pPr>
        <w:pStyle w:val="Heading2"/>
      </w:pPr>
      <w:bookmarkStart w:id="42" w:name="_Toc236747852"/>
      <w:r>
        <w:t xml:space="preserve">What happens if the Ombudsman has an investigation currently open concerning a </w:t>
      </w:r>
      <w:r w:rsidR="00CB3F6E">
        <w:t xml:space="preserve">former </w:t>
      </w:r>
      <w:r>
        <w:t>Minister?</w:t>
      </w:r>
      <w:bookmarkEnd w:id="42"/>
    </w:p>
    <w:p w14:paraId="60889B92" w14:textId="339CD90F" w:rsidR="009572DF" w:rsidRPr="001403A2" w:rsidRDefault="009572DF" w:rsidP="009572DF">
      <w:pPr>
        <w:pStyle w:val="BodyText"/>
      </w:pPr>
      <w:r>
        <w:t>If the Ombudsman has a complaint on hand about a</w:t>
      </w:r>
      <w:r w:rsidR="00310812">
        <w:t xml:space="preserve">n official information </w:t>
      </w:r>
      <w:r>
        <w:t xml:space="preserve">decision made by a </w:t>
      </w:r>
      <w:r w:rsidR="00CB3F6E">
        <w:t xml:space="preserve">former </w:t>
      </w:r>
      <w:r>
        <w:t xml:space="preserve">Minister, </w:t>
      </w:r>
      <w:r w:rsidR="00270E9A">
        <w:t xml:space="preserve">the </w:t>
      </w:r>
      <w:r w:rsidR="00CB3F6E">
        <w:t xml:space="preserve">new </w:t>
      </w:r>
      <w:r>
        <w:t xml:space="preserve">Minister will be provided with an opportunity to </w:t>
      </w:r>
      <w:r w:rsidR="00CB3F6E">
        <w:t xml:space="preserve">consider whether they </w:t>
      </w:r>
      <w:r w:rsidR="00704571">
        <w:t>agree with</w:t>
      </w:r>
      <w:r w:rsidR="00270E9A">
        <w:t xml:space="preserve"> </w:t>
      </w:r>
      <w:r>
        <w:t xml:space="preserve">the </w:t>
      </w:r>
      <w:r w:rsidR="00CB3F6E">
        <w:t xml:space="preserve">former </w:t>
      </w:r>
      <w:r>
        <w:t>Minister’s decision</w:t>
      </w:r>
      <w:r w:rsidR="002D2912">
        <w:t xml:space="preserve"> </w:t>
      </w:r>
      <w:r w:rsidR="009963A2">
        <w:t xml:space="preserve">to withhold the information </w:t>
      </w:r>
      <w:r w:rsidR="002D2912">
        <w:t>or</w:t>
      </w:r>
      <w:r w:rsidR="0007105E">
        <w:t>, instead,</w:t>
      </w:r>
      <w:r w:rsidR="002D2912">
        <w:t xml:space="preserve"> propose to release the information</w:t>
      </w:r>
      <w:r>
        <w:t>.</w:t>
      </w:r>
      <w:r w:rsidR="00310812">
        <w:rPr>
          <w:rStyle w:val="FootnoteReference"/>
        </w:rPr>
        <w:footnoteReference w:id="22"/>
      </w:r>
      <w:r>
        <w:t xml:space="preserve"> </w:t>
      </w:r>
      <w:r w:rsidR="00270E9A">
        <w:t xml:space="preserve">If the new Minister </w:t>
      </w:r>
      <w:r w:rsidR="00704571">
        <w:t xml:space="preserve">agrees with the decision of the former Minister, the investigation will </w:t>
      </w:r>
      <w:r w:rsidR="00100FC6">
        <w:t xml:space="preserve">likely </w:t>
      </w:r>
      <w:r w:rsidR="00704571">
        <w:t xml:space="preserve">continue. </w:t>
      </w:r>
      <w:r w:rsidR="002D2912">
        <w:t xml:space="preserve">If </w:t>
      </w:r>
      <w:r w:rsidR="00704571">
        <w:t xml:space="preserve">the new Minister makes a new or amended decision, the Ombudsman </w:t>
      </w:r>
      <w:r w:rsidR="00270E9A">
        <w:t>will decide whether to co</w:t>
      </w:r>
      <w:r w:rsidR="0012424D">
        <w:t xml:space="preserve">ntinue with the investigation. </w:t>
      </w:r>
    </w:p>
    <w:p w14:paraId="77A1C1BD" w14:textId="6AABC970" w:rsidR="0091117C" w:rsidRDefault="0091117C" w:rsidP="00C24FB1">
      <w:pPr>
        <w:pStyle w:val="Heading1"/>
        <w:spacing w:after="240"/>
      </w:pPr>
      <w:bookmarkStart w:id="43" w:name="_Extensions_2"/>
      <w:bookmarkStart w:id="44" w:name="_Toc236747853"/>
      <w:bookmarkEnd w:id="43"/>
      <w:r>
        <w:t>Previous election-related cases</w:t>
      </w:r>
      <w:bookmarkEnd w:id="44"/>
    </w:p>
    <w:p w14:paraId="205410A7" w14:textId="77777777" w:rsidR="008F3D63" w:rsidRDefault="008F3D63" w:rsidP="008F3D63">
      <w:pPr>
        <w:pStyle w:val="BodyText"/>
      </w:pPr>
      <w:r>
        <w:t>Previously, the Ombudsman has completed urgent election-related investigations into:</w:t>
      </w:r>
    </w:p>
    <w:p w14:paraId="25040489" w14:textId="4E5244FB" w:rsidR="008F3D63" w:rsidRDefault="008F3D63" w:rsidP="00402380">
      <w:pPr>
        <w:pStyle w:val="Bullet1"/>
      </w:pPr>
      <w:hyperlink r:id="rId17" w:history="1">
        <w:r w:rsidRPr="008F3D63">
          <w:rPr>
            <w:rStyle w:val="Hyperlink"/>
          </w:rPr>
          <w:t>Student loans policy</w:t>
        </w:r>
      </w:hyperlink>
      <w:r>
        <w:t xml:space="preserve">. This investigation concerned a request by </w:t>
      </w:r>
      <w:r w:rsidR="001F178C">
        <w:t xml:space="preserve">the </w:t>
      </w:r>
      <w:r>
        <w:t xml:space="preserve">Office of the Leader of the Opposition </w:t>
      </w:r>
      <w:r w:rsidR="001F178C">
        <w:t xml:space="preserve">in 2005 </w:t>
      </w:r>
      <w:r>
        <w:t>for costings for Labour’s interest-free student loan policy. The request was refused under section 9(2)(</w:t>
      </w:r>
      <w:r w:rsidR="0098343E">
        <w:t>f</w:t>
      </w:r>
      <w:r>
        <w:t xml:space="preserve">)(iv) of the </w:t>
      </w:r>
      <w:proofErr w:type="spellStart"/>
      <w:r>
        <w:t>OIA</w:t>
      </w:r>
      <w:proofErr w:type="spellEnd"/>
      <w:r>
        <w:t>. The Ombudsman recommended that the information be released.</w:t>
      </w:r>
    </w:p>
    <w:p w14:paraId="45CF6D6D" w14:textId="11B37130" w:rsidR="0064423D" w:rsidRDefault="008F3D63" w:rsidP="0064423D">
      <w:pPr>
        <w:pStyle w:val="Bullet1"/>
      </w:pPr>
      <w:hyperlink r:id="rId18" w:history="1">
        <w:r w:rsidRPr="008F3D63">
          <w:rPr>
            <w:rStyle w:val="Hyperlink"/>
          </w:rPr>
          <w:t>The government’s proposed mixed ownership programme.</w:t>
        </w:r>
      </w:hyperlink>
      <w:r>
        <w:t xml:space="preserve"> This investigation concerned three complaints about decisions by the Minister of Finance and the Treasury </w:t>
      </w:r>
      <w:r w:rsidR="001F178C">
        <w:t xml:space="preserve">in 2011 </w:t>
      </w:r>
      <w:r>
        <w:t>to refuse requests under sections 9(2)(f)(iv) and 9(2)(g)(</w:t>
      </w:r>
      <w:proofErr w:type="spellStart"/>
      <w:r>
        <w:t>i</w:t>
      </w:r>
      <w:proofErr w:type="spellEnd"/>
      <w:r>
        <w:t xml:space="preserve">) </w:t>
      </w:r>
      <w:r w:rsidR="00575D5B">
        <w:t xml:space="preserve">of </w:t>
      </w:r>
      <w:r>
        <w:t xml:space="preserve">the </w:t>
      </w:r>
      <w:proofErr w:type="spellStart"/>
      <w:r>
        <w:t>OIA</w:t>
      </w:r>
      <w:proofErr w:type="spellEnd"/>
      <w:r>
        <w:t>. The Ombudsman found that the decisions were open to the Minister and Treasury.</w:t>
      </w:r>
    </w:p>
    <w:p w14:paraId="6C320AB0" w14:textId="4CAE1107" w:rsidR="002A65A7" w:rsidRDefault="002A65A7" w:rsidP="001B033D">
      <w:pPr>
        <w:pStyle w:val="BodyText"/>
      </w:pPr>
      <w:r>
        <w:t xml:space="preserve">Other relevant </w:t>
      </w:r>
      <w:r w:rsidR="0028520E">
        <w:t xml:space="preserve">election-related </w:t>
      </w:r>
      <w:r>
        <w:t xml:space="preserve">investigations include: </w:t>
      </w:r>
    </w:p>
    <w:p w14:paraId="52B2BE04" w14:textId="2E557F52" w:rsidR="002A65A7" w:rsidRDefault="002A65A7" w:rsidP="0064423D">
      <w:pPr>
        <w:pStyle w:val="Bullet1"/>
      </w:pPr>
      <w:hyperlink r:id="rId19" w:history="1">
        <w:r w:rsidRPr="004F6DC3">
          <w:rPr>
            <w:rStyle w:val="Hyperlink"/>
          </w:rPr>
          <w:t>Coalition negotiations between Labour and New Zealand First</w:t>
        </w:r>
      </w:hyperlink>
      <w:r>
        <w:t>. This investigation concern</w:t>
      </w:r>
      <w:r w:rsidR="004F6DC3">
        <w:t>ed</w:t>
      </w:r>
      <w:r>
        <w:t xml:space="preserve"> a request for a document related to coalition negotiations</w:t>
      </w:r>
      <w:r w:rsidR="00CA7971">
        <w:t xml:space="preserve"> in 2017</w:t>
      </w:r>
      <w:r>
        <w:t xml:space="preserve">. The Ombudsman considered the information was not </w:t>
      </w:r>
      <w:r w:rsidR="004F6DC3">
        <w:t xml:space="preserve">official information held by the Prime Minister in her official </w:t>
      </w:r>
      <w:proofErr w:type="gramStart"/>
      <w:r w:rsidR="004F6DC3">
        <w:t>capacity</w:t>
      </w:r>
      <w:r w:rsidR="00575D5B">
        <w:t>, and</w:t>
      </w:r>
      <w:proofErr w:type="gramEnd"/>
      <w:r w:rsidR="00575D5B">
        <w:t xml:space="preserve"> so was not subject to the </w:t>
      </w:r>
      <w:proofErr w:type="spellStart"/>
      <w:r w:rsidR="00575D5B">
        <w:t>OIA</w:t>
      </w:r>
      <w:proofErr w:type="spellEnd"/>
      <w:r w:rsidR="004F6DC3">
        <w:t>.</w:t>
      </w:r>
    </w:p>
    <w:p w14:paraId="2C99FF17" w14:textId="1626A7C0" w:rsidR="004F6DC3" w:rsidRDefault="004F6DC3" w:rsidP="0064423D">
      <w:pPr>
        <w:pStyle w:val="Bullet1"/>
      </w:pPr>
      <w:hyperlink r:id="rId20" w:history="1">
        <w:r w:rsidRPr="004F6DC3">
          <w:rPr>
            <w:rStyle w:val="Hyperlink"/>
          </w:rPr>
          <w:t>Briefings to Incoming Minister</w:t>
        </w:r>
        <w:r w:rsidR="00575D5B">
          <w:rPr>
            <w:rStyle w:val="Hyperlink"/>
          </w:rPr>
          <w:t>s</w:t>
        </w:r>
        <w:r w:rsidRPr="004F6DC3">
          <w:rPr>
            <w:rStyle w:val="Hyperlink"/>
          </w:rPr>
          <w:t xml:space="preserve"> (BIMs)</w:t>
        </w:r>
      </w:hyperlink>
      <w:r>
        <w:t>. This investigation concerned requests for BIMs</w:t>
      </w:r>
      <w:r w:rsidR="00575D5B">
        <w:t xml:space="preserve"> after the 2017 election</w:t>
      </w:r>
      <w:r>
        <w:t xml:space="preserve">. The Ombudsman considered the requests could be refused as the information would soon be publicly available. </w:t>
      </w:r>
    </w:p>
    <w:p w14:paraId="78FD6FD0" w14:textId="78491C46" w:rsidR="00575D5B" w:rsidRDefault="00575D5B" w:rsidP="0064423D">
      <w:pPr>
        <w:pStyle w:val="Bullet1"/>
      </w:pPr>
      <w:hyperlink r:id="rId21" w:history="1">
        <w:r w:rsidRPr="0028520E">
          <w:rPr>
            <w:rStyle w:val="Hyperlink"/>
          </w:rPr>
          <w:t>Draft Briefings to Incoming Ministers (BIMs)</w:t>
        </w:r>
      </w:hyperlink>
      <w:r>
        <w:t>. This investigation concerned requests for draft versions of a BIM that had been published after the 2005 election. The Ombudsman considered the drafts could be withheld under section 9(2)(g)(</w:t>
      </w:r>
      <w:proofErr w:type="spellStart"/>
      <w:r>
        <w:t>i</w:t>
      </w:r>
      <w:proofErr w:type="spellEnd"/>
      <w:r>
        <w:t xml:space="preserve">) of the </w:t>
      </w:r>
      <w:proofErr w:type="spellStart"/>
      <w:r>
        <w:t>OIA</w:t>
      </w:r>
      <w:proofErr w:type="spellEnd"/>
      <w:r w:rsidR="0028520E">
        <w:t>, as disclosure would have a chilling effect on the process of drafting future BIMs</w:t>
      </w:r>
      <w:r>
        <w:t xml:space="preserve">. </w:t>
      </w:r>
    </w:p>
    <w:p w14:paraId="0EE43F5C" w14:textId="5FED8625" w:rsidR="00CA7971" w:rsidRDefault="00CA7971" w:rsidP="0064423D">
      <w:pPr>
        <w:pStyle w:val="Bullet1"/>
      </w:pPr>
      <w:hyperlink r:id="rId22" w:history="1">
        <w:r w:rsidRPr="00CA7971">
          <w:rPr>
            <w:rStyle w:val="Hyperlink"/>
          </w:rPr>
          <w:t>Health reporting data</w:t>
        </w:r>
      </w:hyperlink>
      <w:r>
        <w:t xml:space="preserve">. This investigation concerned the refusal of a request for health reporting data on the basis it would be made publicly available after it had been reported to the Minister in late 2017. The Ombudsman considered the requests could not be refused on this basis as it was not sufficiently certain the data would be made publicly available ‘soon.’ This was in the circumstances where an election was </w:t>
      </w:r>
      <w:proofErr w:type="gramStart"/>
      <w:r>
        <w:t>looming</w:t>
      </w:r>
      <w:proofErr w:type="gramEnd"/>
      <w:r>
        <w:t xml:space="preserve"> and it was reasonably foreseeable the need for Ministerial input would impact on the ability to release the information at the time anticipated. </w:t>
      </w:r>
    </w:p>
    <w:p w14:paraId="4725A0CC" w14:textId="226E2C2F" w:rsidR="00C24FB1" w:rsidRDefault="00C24FB1" w:rsidP="00C24FB1">
      <w:pPr>
        <w:pStyle w:val="Heading1"/>
        <w:spacing w:after="240"/>
      </w:pPr>
      <w:bookmarkStart w:id="45" w:name="_Toc236747854"/>
      <w:r>
        <w:t>Further information and help</w:t>
      </w:r>
      <w:bookmarkEnd w:id="45"/>
    </w:p>
    <w:p w14:paraId="0996825C" w14:textId="77777777" w:rsidR="00C24FB1" w:rsidRDefault="00C24FB1" w:rsidP="00C24FB1">
      <w:pPr>
        <w:pStyle w:val="Heading2"/>
        <w:spacing w:before="240"/>
      </w:pPr>
      <w:bookmarkStart w:id="46" w:name="_Toc236747855"/>
      <w:r>
        <w:t>Where can I go if my question isn’t answered here?</w:t>
      </w:r>
      <w:bookmarkEnd w:id="46"/>
    </w:p>
    <w:p w14:paraId="3A8D9F54" w14:textId="4072D780" w:rsidR="00EE487D" w:rsidRDefault="00EE487D" w:rsidP="00C24FB1">
      <w:pPr>
        <w:pStyle w:val="BodyText"/>
        <w:rPr>
          <w:rStyle w:val="Strong"/>
          <w:rFonts w:cs="Helvetica"/>
          <w:b w:val="0"/>
          <w:bCs w:val="0"/>
          <w:lang w:val="en"/>
        </w:rPr>
      </w:pPr>
      <w:r>
        <w:rPr>
          <w:rStyle w:val="Strong"/>
          <w:rFonts w:cs="Helvetica"/>
          <w:b w:val="0"/>
          <w:bCs w:val="0"/>
          <w:lang w:val="en"/>
        </w:rPr>
        <w:t>These FAQs will be updated as new issues arise or any advice changes.</w:t>
      </w:r>
    </w:p>
    <w:p w14:paraId="6AE9BA8B" w14:textId="36D30C73" w:rsidR="00707E46" w:rsidRDefault="008449B4" w:rsidP="0091117C">
      <w:pPr>
        <w:pStyle w:val="BodyText"/>
      </w:pPr>
      <w:r w:rsidRPr="003F30C7">
        <w:t xml:space="preserve">Staff will be on hand to provide advice and answer </w:t>
      </w:r>
      <w:r w:rsidR="004C537F">
        <w:t>agency</w:t>
      </w:r>
      <w:r w:rsidRPr="003F30C7">
        <w:t xml:space="preserve"> </w:t>
      </w:r>
      <w:r w:rsidR="00310812">
        <w:t>queries</w:t>
      </w:r>
      <w:r w:rsidRPr="003F30C7">
        <w:t xml:space="preserve">. Please </w:t>
      </w:r>
      <w:r w:rsidR="001860A1" w:rsidRPr="003F30C7">
        <w:t xml:space="preserve">visit our </w:t>
      </w:r>
      <w:hyperlink r:id="rId23" w:history="1">
        <w:r w:rsidR="001860A1" w:rsidRPr="003F30C7">
          <w:rPr>
            <w:rStyle w:val="Hyperlink"/>
          </w:rPr>
          <w:t>Get help (for agencies)</w:t>
        </w:r>
      </w:hyperlink>
      <w:r w:rsidR="001860A1" w:rsidRPr="003F30C7">
        <w:t xml:space="preserve"> page for more information.</w:t>
      </w:r>
    </w:p>
    <w:p w14:paraId="70C84E77" w14:textId="40E7D33E" w:rsidR="004C537F" w:rsidRDefault="004C537F" w:rsidP="004C537F">
      <w:pPr>
        <w:pStyle w:val="Heading2"/>
      </w:pPr>
      <w:bookmarkStart w:id="47" w:name="_Toc236747856"/>
      <w:r>
        <w:t>What other information do you have available?</w:t>
      </w:r>
      <w:bookmarkEnd w:id="47"/>
      <w:r>
        <w:t xml:space="preserve"> </w:t>
      </w:r>
    </w:p>
    <w:p w14:paraId="43E5107E" w14:textId="326A7B01" w:rsidR="004C537F" w:rsidRDefault="004C537F" w:rsidP="0091117C">
      <w:pPr>
        <w:pStyle w:val="BodyText"/>
      </w:pPr>
      <w:r>
        <w:t>We have a range of guides, tools and templates on our website. Key information can be accessed through</w:t>
      </w:r>
      <w:r w:rsidR="00845B09">
        <w:t xml:space="preserve"> the website page</w:t>
      </w:r>
      <w:r>
        <w:t xml:space="preserve"> </w:t>
      </w:r>
      <w:hyperlink r:id="rId24" w:history="1">
        <w:r w:rsidRPr="004C537F">
          <w:rPr>
            <w:rStyle w:val="Hyperlink"/>
          </w:rPr>
          <w:t>Official information Act guides and resources</w:t>
        </w:r>
      </w:hyperlink>
      <w:r>
        <w:t xml:space="preserve">.  </w:t>
      </w:r>
    </w:p>
    <w:p w14:paraId="4ABB19C9" w14:textId="1ED0015B" w:rsidR="004C537F" w:rsidRDefault="004C537F" w:rsidP="0091117C">
      <w:pPr>
        <w:pStyle w:val="BodyText"/>
      </w:pPr>
      <w:r>
        <w:t xml:space="preserve">To search all our published resources, see our </w:t>
      </w:r>
      <w:hyperlink r:id="rId25" w:history="1">
        <w:r w:rsidRPr="004C537F">
          <w:rPr>
            <w:rStyle w:val="Hyperlink"/>
          </w:rPr>
          <w:t>Resources and publications</w:t>
        </w:r>
      </w:hyperlink>
      <w:r>
        <w:t xml:space="preserve">. </w:t>
      </w:r>
    </w:p>
    <w:p w14:paraId="63AA1FAB" w14:textId="77777777" w:rsidR="004C537F" w:rsidRPr="00C24FB1" w:rsidRDefault="004C537F" w:rsidP="0091117C">
      <w:pPr>
        <w:pStyle w:val="BodyText"/>
      </w:pPr>
    </w:p>
    <w:sectPr w:rsidR="004C537F" w:rsidRPr="00C24FB1" w:rsidSect="00AB5002">
      <w:headerReference w:type="default" r:id="rId26"/>
      <w:footerReference w:type="default" r:id="rId27"/>
      <w:headerReference w:type="first" r:id="rId28"/>
      <w:footerReference w:type="first" r:id="rId29"/>
      <w:endnotePr>
        <w:numFmt w:val="decimal"/>
      </w:endnotePr>
      <w:type w:val="continuous"/>
      <w:pgSz w:w="11906" w:h="16838" w:code="9"/>
      <w:pgMar w:top="1701" w:right="1304" w:bottom="1701" w:left="1304"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E4604" w14:textId="77777777" w:rsidR="003079F9" w:rsidRPr="00D45126" w:rsidRDefault="003079F9" w:rsidP="00554FCD">
      <w:pPr>
        <w:spacing w:after="0" w:line="240" w:lineRule="auto"/>
        <w:rPr>
          <w:color w:val="4D4D4D"/>
        </w:rPr>
      </w:pPr>
      <w:r w:rsidRPr="00D45126">
        <w:rPr>
          <w:color w:val="4D4D4D"/>
        </w:rPr>
        <w:separator/>
      </w:r>
    </w:p>
  </w:endnote>
  <w:endnote w:type="continuationSeparator" w:id="0">
    <w:p w14:paraId="3BE8C8B4" w14:textId="77777777" w:rsidR="003079F9" w:rsidRPr="00D45126" w:rsidRDefault="003079F9" w:rsidP="00554FCD">
      <w:pPr>
        <w:spacing w:after="0" w:line="240" w:lineRule="auto"/>
        <w:rPr>
          <w:color w:val="4D4D4D"/>
        </w:rPr>
      </w:pPr>
      <w:r w:rsidRPr="00D45126">
        <w:rPr>
          <w:color w:val="4D4D4D"/>
        </w:rPr>
        <w:continuationSeparator/>
      </w:r>
    </w:p>
  </w:endnote>
  <w:endnote w:type="continuationNotice" w:id="1">
    <w:p w14:paraId="7FBC730F" w14:textId="77777777" w:rsidR="003079F9" w:rsidRDefault="003079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75887" w14:textId="77777777" w:rsidR="00D06048" w:rsidRPr="0059155D" w:rsidRDefault="00D06048" w:rsidP="00460281">
    <w:pPr>
      <w:pStyle w:val="Footerline"/>
    </w:pPr>
  </w:p>
  <w:p w14:paraId="1E5C27EF" w14:textId="48A01604" w:rsidR="00D06048" w:rsidRDefault="00F20B73" w:rsidP="00460281">
    <w:pPr>
      <w:pStyle w:val="Footer"/>
    </w:pPr>
    <w:r>
      <w:fldChar w:fldCharType="begin"/>
    </w:r>
    <w:r>
      <w:instrText xml:space="preserve"> DOCVARIABLE  dvShortText </w:instrText>
    </w:r>
    <w:r>
      <w:fldChar w:fldCharType="separate"/>
    </w:r>
    <w:r w:rsidR="00733A2B">
      <w:t xml:space="preserve"> </w:t>
    </w:r>
    <w:r>
      <w:fldChar w:fldCharType="end"/>
    </w:r>
    <w:r w:rsidR="00D06048">
      <w:t xml:space="preserve">Page </w:t>
    </w:r>
    <w:r w:rsidR="00D06048" w:rsidRPr="00A32286">
      <w:rPr>
        <w:rStyle w:val="PageNumber"/>
      </w:rPr>
      <w:fldChar w:fldCharType="begin"/>
    </w:r>
    <w:r w:rsidR="00D06048" w:rsidRPr="00A32286">
      <w:rPr>
        <w:rStyle w:val="PageNumber"/>
      </w:rPr>
      <w:instrText xml:space="preserve"> PAGE   \* MERGEFORMAT </w:instrText>
    </w:r>
    <w:r w:rsidR="00D06048" w:rsidRPr="00A32286">
      <w:rPr>
        <w:rStyle w:val="PageNumber"/>
      </w:rPr>
      <w:fldChar w:fldCharType="separate"/>
    </w:r>
    <w:r>
      <w:rPr>
        <w:rStyle w:val="PageNumber"/>
        <w:noProof/>
      </w:rPr>
      <w:t>3</w:t>
    </w:r>
    <w:r w:rsidR="00D06048" w:rsidRPr="00A32286">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8F416" w14:textId="77777777" w:rsidR="00D06048" w:rsidRPr="0059155D" w:rsidRDefault="00D06048" w:rsidP="00460281">
    <w:pPr>
      <w:pStyle w:val="Footerline"/>
    </w:pPr>
  </w:p>
  <w:p w14:paraId="3F58B261" w14:textId="77777777" w:rsidR="00D06048" w:rsidRPr="0059155D" w:rsidRDefault="00D06048" w:rsidP="00460281">
    <w:pPr>
      <w:pStyle w:val="Footerline"/>
    </w:pPr>
  </w:p>
  <w:p w14:paraId="48C00A88" w14:textId="6C8965E5" w:rsidR="00D06048" w:rsidRPr="005533D8" w:rsidRDefault="00F20B73" w:rsidP="00460281">
    <w:pPr>
      <w:pStyle w:val="Footer"/>
    </w:pPr>
    <w:r>
      <w:fldChar w:fldCharType="begin"/>
    </w:r>
    <w:r>
      <w:instrText xml:space="preserve"> DOCVARIABLE  dvShortText </w:instrText>
    </w:r>
    <w:r>
      <w:fldChar w:fldCharType="separate"/>
    </w:r>
    <w:r w:rsidR="00733A2B">
      <w:t xml:space="preserve"> </w:t>
    </w:r>
    <w:r>
      <w:fldChar w:fldCharType="end"/>
    </w:r>
    <w:r w:rsidR="00D06048">
      <w:t xml:space="preserve"> Page </w:t>
    </w:r>
    <w:r w:rsidR="00D06048" w:rsidRPr="00A32286">
      <w:rPr>
        <w:rStyle w:val="PageNumber"/>
      </w:rPr>
      <w:fldChar w:fldCharType="begin"/>
    </w:r>
    <w:r w:rsidR="00D06048" w:rsidRPr="00A32286">
      <w:rPr>
        <w:rStyle w:val="PageNumber"/>
      </w:rPr>
      <w:instrText xml:space="preserve"> PAGE   \* MERGEFORMAT </w:instrText>
    </w:r>
    <w:r w:rsidR="00D06048" w:rsidRPr="00A32286">
      <w:rPr>
        <w:rStyle w:val="PageNumber"/>
      </w:rPr>
      <w:fldChar w:fldCharType="separate"/>
    </w:r>
    <w:r>
      <w:rPr>
        <w:rStyle w:val="PageNumber"/>
        <w:noProof/>
      </w:rPr>
      <w:t>1</w:t>
    </w:r>
    <w:r w:rsidR="00D06048" w:rsidRPr="00A32286">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1C554" w14:textId="77777777" w:rsidR="003079F9" w:rsidRPr="00D45126" w:rsidRDefault="003079F9" w:rsidP="002B446B">
      <w:pPr>
        <w:spacing w:after="0" w:line="240" w:lineRule="auto"/>
        <w:rPr>
          <w:color w:val="4D4D4D"/>
        </w:rPr>
      </w:pPr>
      <w:r w:rsidRPr="00D45126">
        <w:rPr>
          <w:color w:val="4D4D4D"/>
        </w:rPr>
        <w:separator/>
      </w:r>
    </w:p>
  </w:footnote>
  <w:footnote w:type="continuationSeparator" w:id="0">
    <w:p w14:paraId="43FB9ECF" w14:textId="77777777" w:rsidR="003079F9" w:rsidRPr="00C14083" w:rsidRDefault="003079F9" w:rsidP="00554FCD">
      <w:pPr>
        <w:spacing w:after="0" w:line="240" w:lineRule="auto"/>
        <w:rPr>
          <w:color w:val="4D4D4D"/>
        </w:rPr>
      </w:pPr>
      <w:r w:rsidRPr="00C14083">
        <w:rPr>
          <w:color w:val="4D4D4D"/>
        </w:rPr>
        <w:continuationSeparator/>
      </w:r>
    </w:p>
  </w:footnote>
  <w:footnote w:type="continuationNotice" w:id="1">
    <w:p w14:paraId="035EA188" w14:textId="77777777" w:rsidR="003079F9" w:rsidRDefault="003079F9">
      <w:pPr>
        <w:spacing w:after="0" w:line="240" w:lineRule="auto"/>
      </w:pPr>
    </w:p>
  </w:footnote>
  <w:footnote w:id="2">
    <w:p w14:paraId="0B1651FF" w14:textId="2DE55DAB" w:rsidR="00D06048" w:rsidRDefault="00D06048">
      <w:pPr>
        <w:pStyle w:val="FootnoteText"/>
      </w:pPr>
      <w:r>
        <w:rPr>
          <w:rStyle w:val="FootnoteReference"/>
        </w:rPr>
        <w:footnoteRef/>
      </w:r>
      <w:r>
        <w:t xml:space="preserve"> </w:t>
      </w:r>
      <w:r>
        <w:tab/>
        <w:t>T</w:t>
      </w:r>
      <w:r w:rsidRPr="00FA7CE1">
        <w:t>he </w:t>
      </w:r>
      <w:hyperlink r:id="rId1" w:history="1">
        <w:r w:rsidRPr="00FA7CE1">
          <w:rPr>
            <w:rStyle w:val="Hyperlink"/>
          </w:rPr>
          <w:t>Public Records Act 2005</w:t>
        </w:r>
      </w:hyperlink>
      <w:r>
        <w:t> establishes the</w:t>
      </w:r>
      <w:r w:rsidRPr="00FA7CE1">
        <w:t xml:space="preserve"> regulatory framework for information and records management throughout the public sector. </w:t>
      </w:r>
      <w:r w:rsidR="00794662">
        <w:t>‘</w:t>
      </w:r>
      <w:r w:rsidRPr="00004F61">
        <w:rPr>
          <w:i/>
          <w:iCs/>
        </w:rPr>
        <w:t>Public records</w:t>
      </w:r>
      <w:r w:rsidR="00794662" w:rsidRPr="00004F61">
        <w:rPr>
          <w:i/>
          <w:iCs/>
        </w:rPr>
        <w:t>’</w:t>
      </w:r>
      <w:r w:rsidR="00794662">
        <w:t xml:space="preserve"> </w:t>
      </w:r>
      <w:r>
        <w:t xml:space="preserve">are </w:t>
      </w:r>
      <w:r w:rsidR="00794662">
        <w:t>documents or other records</w:t>
      </w:r>
      <w:r w:rsidRPr="00FA7CE1">
        <w:t xml:space="preserve"> compiled, </w:t>
      </w:r>
      <w:r>
        <w:t>recorded, or stored in any form</w:t>
      </w:r>
      <w:r w:rsidRPr="00FA7CE1">
        <w:t xml:space="preserve"> that are created</w:t>
      </w:r>
      <w:r>
        <w:t xml:space="preserve"> or received by public offices, including </w:t>
      </w:r>
      <w:r w:rsidR="00794662">
        <w:t>M</w:t>
      </w:r>
      <w:r>
        <w:t>inisters,</w:t>
      </w:r>
      <w:r w:rsidRPr="00FA7CE1">
        <w:t xml:space="preserve"> in the conduct of their affairs.</w:t>
      </w:r>
    </w:p>
  </w:footnote>
  <w:footnote w:id="3">
    <w:p w14:paraId="2624645A" w14:textId="74C4F570" w:rsidR="00D607CD" w:rsidRDefault="00D607CD">
      <w:pPr>
        <w:pStyle w:val="FootnoteText"/>
      </w:pPr>
      <w:r>
        <w:rPr>
          <w:rStyle w:val="FootnoteReference"/>
        </w:rPr>
        <w:footnoteRef/>
      </w:r>
      <w:r>
        <w:t xml:space="preserve"> </w:t>
      </w:r>
      <w:r>
        <w:tab/>
        <w:t xml:space="preserve">The </w:t>
      </w:r>
      <w:hyperlink r:id="rId2" w:history="1">
        <w:r w:rsidRPr="00083E5C">
          <w:rPr>
            <w:rStyle w:val="Hyperlink"/>
          </w:rPr>
          <w:t>Cabinet Manual 2023</w:t>
        </w:r>
      </w:hyperlink>
      <w:r>
        <w:t xml:space="preserve"> contains guidance on the handling of Ministerial records</w:t>
      </w:r>
      <w:r w:rsidR="00083E5C">
        <w:t xml:space="preserve"> (see paras </w:t>
      </w:r>
      <w:r w:rsidR="001A0EDA">
        <w:t xml:space="preserve">2.86-2.87, 6.65-6.6, and </w:t>
      </w:r>
      <w:r w:rsidR="00083E5C">
        <w:t>8.104-8.124</w:t>
      </w:r>
      <w:r w:rsidR="001A0EDA">
        <w:t xml:space="preserve"> </w:t>
      </w:r>
      <w:r w:rsidR="00083E5C">
        <w:t>in particular).</w:t>
      </w:r>
    </w:p>
  </w:footnote>
  <w:footnote w:id="4">
    <w:p w14:paraId="114A27B9" w14:textId="1C0262BF" w:rsidR="00125760" w:rsidRDefault="00125760">
      <w:pPr>
        <w:pStyle w:val="FootnoteText"/>
      </w:pPr>
      <w:r>
        <w:rPr>
          <w:rStyle w:val="FootnoteReference"/>
        </w:rPr>
        <w:footnoteRef/>
      </w:r>
      <w:r>
        <w:t xml:space="preserve"> </w:t>
      </w:r>
      <w:r>
        <w:tab/>
      </w:r>
      <w:r w:rsidRPr="00125760">
        <w:t xml:space="preserve">For more information about managing large requests, see our guide to </w:t>
      </w:r>
      <w:hyperlink r:id="rId3" w:history="1">
        <w:r w:rsidRPr="00125760">
          <w:rPr>
            <w:rStyle w:val="Hyperlink"/>
          </w:rPr>
          <w:t>Substantial collation or research</w:t>
        </w:r>
      </w:hyperlink>
      <w:r w:rsidRPr="00125760">
        <w:t xml:space="preserve"> at pages 15–27, and the troubleshooting tips in our guide to </w:t>
      </w:r>
      <w:hyperlink r:id="rId4" w:history="1">
        <w:r w:rsidRPr="00125760">
          <w:rPr>
            <w:rStyle w:val="Hyperlink"/>
          </w:rPr>
          <w:t xml:space="preserve">Processing </w:t>
        </w:r>
        <w:proofErr w:type="spellStart"/>
        <w:r w:rsidRPr="00125760">
          <w:rPr>
            <w:rStyle w:val="Hyperlink"/>
          </w:rPr>
          <w:t>OIA</w:t>
        </w:r>
        <w:proofErr w:type="spellEnd"/>
        <w:r w:rsidRPr="00125760">
          <w:rPr>
            <w:rStyle w:val="Hyperlink"/>
          </w:rPr>
          <w:t xml:space="preserve"> requests</w:t>
        </w:r>
      </w:hyperlink>
      <w:r w:rsidRPr="00125760">
        <w:t xml:space="preserve"> at pages 40–43. </w:t>
      </w:r>
    </w:p>
  </w:footnote>
  <w:footnote w:id="5">
    <w:p w14:paraId="1530E726" w14:textId="6178FBAD" w:rsidR="006839C0" w:rsidRDefault="006839C0">
      <w:pPr>
        <w:pStyle w:val="FootnoteText"/>
      </w:pPr>
      <w:r>
        <w:rPr>
          <w:rStyle w:val="FootnoteReference"/>
        </w:rPr>
        <w:footnoteRef/>
      </w:r>
      <w:r>
        <w:t xml:space="preserve"> </w:t>
      </w:r>
      <w:r>
        <w:tab/>
        <w:t>If clarification is sought</w:t>
      </w:r>
      <w:r w:rsidR="00D87874">
        <w:t xml:space="preserve"> by the agency</w:t>
      </w:r>
      <w:r>
        <w:t xml:space="preserve"> after the first 7 working days,</w:t>
      </w:r>
      <w:r w:rsidR="00CB2564">
        <w:t xml:space="preserve"> or if the requester declines to clarify or amend the request,</w:t>
      </w:r>
      <w:r>
        <w:t xml:space="preserve"> the agency </w:t>
      </w:r>
      <w:r w:rsidR="00D87874">
        <w:t>must respond to any amended or clarified request within the original time limit</w:t>
      </w:r>
      <w:r w:rsidR="003202B7">
        <w:t xml:space="preserve"> – s 15(1AB) of the </w:t>
      </w:r>
      <w:proofErr w:type="spellStart"/>
      <w:r w:rsidR="003202B7">
        <w:t>OIA</w:t>
      </w:r>
      <w:proofErr w:type="spellEnd"/>
      <w:r w:rsidR="003202B7">
        <w:t xml:space="preserve"> and s 13(8) of </w:t>
      </w:r>
      <w:r w:rsidR="005D6BBD">
        <w:t>the Local Government Official Information and Meetings Act (</w:t>
      </w:r>
      <w:proofErr w:type="spellStart"/>
      <w:r w:rsidR="003202B7">
        <w:t>LGOIMA</w:t>
      </w:r>
      <w:proofErr w:type="spellEnd"/>
      <w:r w:rsidR="005D6BBD">
        <w:t>)</w:t>
      </w:r>
      <w:r w:rsidR="003202B7">
        <w:t>.</w:t>
      </w:r>
    </w:p>
  </w:footnote>
  <w:footnote w:id="6">
    <w:p w14:paraId="1AC5DDB4" w14:textId="0F0AE136" w:rsidR="00D06048" w:rsidRDefault="00D06048" w:rsidP="0028354E">
      <w:pPr>
        <w:pStyle w:val="FootnoteText"/>
      </w:pPr>
      <w:r>
        <w:rPr>
          <w:rStyle w:val="FootnoteReference"/>
        </w:rPr>
        <w:footnoteRef/>
      </w:r>
      <w:r>
        <w:t xml:space="preserve"> </w:t>
      </w:r>
      <w:r>
        <w:tab/>
      </w:r>
      <w:r w:rsidRPr="00D018A3">
        <w:t xml:space="preserve">See </w:t>
      </w:r>
      <w:r>
        <w:t>s</w:t>
      </w:r>
      <w:r w:rsidRPr="00D018A3">
        <w:t xml:space="preserve"> 12(3) </w:t>
      </w:r>
      <w:proofErr w:type="spellStart"/>
      <w:r>
        <w:t>OIA</w:t>
      </w:r>
      <w:proofErr w:type="spellEnd"/>
      <w:r>
        <w:t xml:space="preserve"> and s 10(3) </w:t>
      </w:r>
      <w:proofErr w:type="spellStart"/>
      <w:r>
        <w:t>LGOIMA</w:t>
      </w:r>
      <w:proofErr w:type="spellEnd"/>
      <w:r w:rsidRPr="00D018A3">
        <w:t>.</w:t>
      </w:r>
    </w:p>
  </w:footnote>
  <w:footnote w:id="7">
    <w:p w14:paraId="396FC59B" w14:textId="7CF34382" w:rsidR="00093C69" w:rsidRDefault="00093C69">
      <w:pPr>
        <w:pStyle w:val="FootnoteText"/>
      </w:pPr>
      <w:r>
        <w:rPr>
          <w:rStyle w:val="FootnoteReference"/>
        </w:rPr>
        <w:footnoteRef/>
      </w:r>
      <w:r>
        <w:t xml:space="preserve"> </w:t>
      </w:r>
      <w:r>
        <w:tab/>
        <w:t xml:space="preserve">See s 15(2) and s 13(3) of </w:t>
      </w:r>
      <w:proofErr w:type="spellStart"/>
      <w:r>
        <w:t>LGOIMA</w:t>
      </w:r>
      <w:proofErr w:type="spellEnd"/>
      <w:r>
        <w:t>.</w:t>
      </w:r>
    </w:p>
  </w:footnote>
  <w:footnote w:id="8">
    <w:p w14:paraId="155F0365" w14:textId="0121DCFE" w:rsidR="00741737" w:rsidRDefault="00741737">
      <w:pPr>
        <w:pStyle w:val="FootnoteText"/>
      </w:pPr>
      <w:r>
        <w:rPr>
          <w:rStyle w:val="FootnoteReference"/>
        </w:rPr>
        <w:footnoteRef/>
      </w:r>
      <w:r>
        <w:t xml:space="preserve"> </w:t>
      </w:r>
      <w:r>
        <w:tab/>
        <w:t xml:space="preserve">Section 17(d) of </w:t>
      </w:r>
      <w:proofErr w:type="spellStart"/>
      <w:r>
        <w:t>LGOIMA</w:t>
      </w:r>
      <w:proofErr w:type="spellEnd"/>
      <w:r>
        <w:t xml:space="preserve">. </w:t>
      </w:r>
    </w:p>
  </w:footnote>
  <w:footnote w:id="9">
    <w:p w14:paraId="3F749B1C" w14:textId="77777777" w:rsidR="001B033D" w:rsidRDefault="001B033D" w:rsidP="001B033D">
      <w:pPr>
        <w:pStyle w:val="FootnoteText"/>
      </w:pPr>
      <w:r>
        <w:rPr>
          <w:rStyle w:val="FootnoteReference"/>
        </w:rPr>
        <w:footnoteRef/>
      </w:r>
      <w:r>
        <w:t xml:space="preserve"> </w:t>
      </w:r>
      <w:r>
        <w:tab/>
        <w:t xml:space="preserve">See s 15A(1)(a) and (b) </w:t>
      </w:r>
      <w:proofErr w:type="spellStart"/>
      <w:r>
        <w:t>OIA</w:t>
      </w:r>
      <w:proofErr w:type="spellEnd"/>
      <w:r>
        <w:t xml:space="preserve"> and s 14(1)(a) and (b) </w:t>
      </w:r>
      <w:proofErr w:type="spellStart"/>
      <w:r>
        <w:t>LGOIMA</w:t>
      </w:r>
      <w:proofErr w:type="spellEnd"/>
      <w:r>
        <w:t>.</w:t>
      </w:r>
    </w:p>
  </w:footnote>
  <w:footnote w:id="10">
    <w:p w14:paraId="776F53E4" w14:textId="77777777" w:rsidR="001B033D" w:rsidRDefault="001B033D" w:rsidP="001B033D">
      <w:pPr>
        <w:pStyle w:val="FootnoteText"/>
      </w:pPr>
      <w:r>
        <w:rPr>
          <w:rStyle w:val="FootnoteReference"/>
        </w:rPr>
        <w:footnoteRef/>
      </w:r>
      <w:r>
        <w:t xml:space="preserve"> </w:t>
      </w:r>
      <w:r>
        <w:tab/>
        <w:t>See s 15</w:t>
      </w:r>
      <w:proofErr w:type="gramStart"/>
      <w:r>
        <w:t>A(</w:t>
      </w:r>
      <w:proofErr w:type="gramEnd"/>
      <w:r>
        <w:t xml:space="preserve">2) </w:t>
      </w:r>
      <w:proofErr w:type="spellStart"/>
      <w:r>
        <w:t>OIA</w:t>
      </w:r>
      <w:proofErr w:type="spellEnd"/>
      <w:r>
        <w:t xml:space="preserve"> and s 14(2) </w:t>
      </w:r>
      <w:proofErr w:type="spellStart"/>
      <w:r>
        <w:t>LGOIMA</w:t>
      </w:r>
      <w:proofErr w:type="spellEnd"/>
      <w:r>
        <w:t>.</w:t>
      </w:r>
    </w:p>
  </w:footnote>
  <w:footnote w:id="11">
    <w:p w14:paraId="04F2400D" w14:textId="77777777" w:rsidR="001B033D" w:rsidRDefault="001B033D" w:rsidP="001B033D">
      <w:pPr>
        <w:pStyle w:val="FootnoteText"/>
      </w:pPr>
      <w:r>
        <w:rPr>
          <w:rStyle w:val="FootnoteReference"/>
        </w:rPr>
        <w:footnoteRef/>
      </w:r>
      <w:r>
        <w:t xml:space="preserve"> </w:t>
      </w:r>
      <w:r>
        <w:tab/>
        <w:t xml:space="preserve">See s 14 </w:t>
      </w:r>
      <w:proofErr w:type="spellStart"/>
      <w:r>
        <w:t>OIA</w:t>
      </w:r>
      <w:proofErr w:type="spellEnd"/>
      <w:r>
        <w:t xml:space="preserve"> and s 12 </w:t>
      </w:r>
      <w:proofErr w:type="spellStart"/>
      <w:r>
        <w:t>LGOIMA</w:t>
      </w:r>
      <w:proofErr w:type="spellEnd"/>
      <w:r>
        <w:t>.</w:t>
      </w:r>
    </w:p>
  </w:footnote>
  <w:footnote w:id="12">
    <w:p w14:paraId="5C8FEDB1" w14:textId="77777777" w:rsidR="001B033D" w:rsidRDefault="001B033D" w:rsidP="001B033D">
      <w:pPr>
        <w:pStyle w:val="FootnoteText"/>
      </w:pPr>
      <w:r>
        <w:rPr>
          <w:rStyle w:val="FootnoteReference"/>
        </w:rPr>
        <w:footnoteRef/>
      </w:r>
      <w:r>
        <w:t xml:space="preserve"> </w:t>
      </w:r>
      <w:r>
        <w:tab/>
        <w:t xml:space="preserve">See ss 14 and 15A </w:t>
      </w:r>
      <w:proofErr w:type="spellStart"/>
      <w:r>
        <w:t>OIA</w:t>
      </w:r>
      <w:proofErr w:type="spellEnd"/>
      <w:r>
        <w:t xml:space="preserve"> and ss 12 and 14 </w:t>
      </w:r>
      <w:proofErr w:type="spellStart"/>
      <w:r>
        <w:t>LGOIMA</w:t>
      </w:r>
      <w:proofErr w:type="spellEnd"/>
      <w:r>
        <w:t>.</w:t>
      </w:r>
    </w:p>
  </w:footnote>
  <w:footnote w:id="13">
    <w:p w14:paraId="0BA0C82C" w14:textId="77777777" w:rsidR="00741737" w:rsidRDefault="00741737" w:rsidP="00741737">
      <w:pPr>
        <w:pStyle w:val="FootnoteText"/>
      </w:pPr>
      <w:r>
        <w:rPr>
          <w:rStyle w:val="FootnoteReference"/>
        </w:rPr>
        <w:footnoteRef/>
      </w:r>
      <w:r>
        <w:t xml:space="preserve"> </w:t>
      </w:r>
      <w:r>
        <w:tab/>
        <w:t xml:space="preserve">See paragraph (a) of the definition of </w:t>
      </w:r>
      <w:r w:rsidRPr="00C20582">
        <w:rPr>
          <w:i/>
        </w:rPr>
        <w:t>‘official information’</w:t>
      </w:r>
      <w:r>
        <w:t xml:space="preserve"> in s 2 </w:t>
      </w:r>
      <w:proofErr w:type="spellStart"/>
      <w:r>
        <w:t>OIA</w:t>
      </w:r>
      <w:proofErr w:type="spellEnd"/>
      <w:r>
        <w:t>.</w:t>
      </w:r>
    </w:p>
  </w:footnote>
  <w:footnote w:id="14">
    <w:p w14:paraId="4F6FB8B3" w14:textId="65C7F12C" w:rsidR="00D06048" w:rsidRDefault="00D06048">
      <w:pPr>
        <w:pStyle w:val="FootnoteText"/>
      </w:pPr>
      <w:r>
        <w:rPr>
          <w:rStyle w:val="FootnoteReference"/>
        </w:rPr>
        <w:footnoteRef/>
      </w:r>
      <w:r>
        <w:t xml:space="preserve"> </w:t>
      </w:r>
      <w:r>
        <w:tab/>
      </w:r>
      <w:r w:rsidR="00431AD1">
        <w:t xml:space="preserve">See paragraph 47 of our </w:t>
      </w:r>
      <w:hyperlink r:id="rId5" w:history="1">
        <w:r w:rsidR="00431AD1" w:rsidRPr="00431AD1">
          <w:rPr>
            <w:rStyle w:val="Hyperlink"/>
          </w:rPr>
          <w:t>opinion</w:t>
        </w:r>
      </w:hyperlink>
      <w:r w:rsidR="00431AD1">
        <w:t xml:space="preserve"> on requests for Ministers’ text messages. </w:t>
      </w:r>
      <w:r>
        <w:t xml:space="preserve">Archives NZ guidance on managing digital communications can be found on the </w:t>
      </w:r>
      <w:hyperlink r:id="rId6" w:history="1">
        <w:r w:rsidRPr="00F27349">
          <w:rPr>
            <w:rStyle w:val="Hyperlink"/>
          </w:rPr>
          <w:t>Archives NZ</w:t>
        </w:r>
      </w:hyperlink>
      <w:r>
        <w:t xml:space="preserve"> website. </w:t>
      </w:r>
    </w:p>
  </w:footnote>
  <w:footnote w:id="15">
    <w:p w14:paraId="693113FC" w14:textId="0200ABC0" w:rsidR="00D06048" w:rsidRDefault="00D06048" w:rsidP="00FB2C89">
      <w:pPr>
        <w:pStyle w:val="FootnoteText"/>
      </w:pPr>
      <w:r>
        <w:rPr>
          <w:rStyle w:val="FootnoteReference"/>
        </w:rPr>
        <w:footnoteRef/>
      </w:r>
      <w:r>
        <w:t xml:space="preserve"> </w:t>
      </w:r>
      <w:r>
        <w:tab/>
        <w:t xml:space="preserve">Guidance on ministerial recordkeeping, including retention and disposal of public records, can be found in </w:t>
      </w:r>
      <w:r w:rsidR="00CA5E2E">
        <w:t xml:space="preserve">chapter </w:t>
      </w:r>
      <w:r>
        <w:t xml:space="preserve">8 of the </w:t>
      </w:r>
      <w:hyperlink r:id="rId7" w:history="1">
        <w:r w:rsidRPr="00651810">
          <w:rPr>
            <w:rStyle w:val="Hyperlink"/>
          </w:rPr>
          <w:t>Cabinet Manual 20</w:t>
        </w:r>
        <w:r w:rsidR="00651810" w:rsidRPr="00651810">
          <w:rPr>
            <w:rStyle w:val="Hyperlink"/>
          </w:rPr>
          <w:t>23</w:t>
        </w:r>
      </w:hyperlink>
      <w:r>
        <w:t>.</w:t>
      </w:r>
    </w:p>
  </w:footnote>
  <w:footnote w:id="16">
    <w:p w14:paraId="3226A144" w14:textId="71F63E2A" w:rsidR="00D06048" w:rsidRPr="00D6371D" w:rsidRDefault="00D06048" w:rsidP="00C61CCC">
      <w:pPr>
        <w:pStyle w:val="FootnoteText"/>
        <w:rPr>
          <w:sz w:val="22"/>
        </w:rPr>
      </w:pPr>
      <w:r>
        <w:rPr>
          <w:rStyle w:val="FootnoteReference"/>
        </w:rPr>
        <w:footnoteRef/>
      </w:r>
      <w:r>
        <w:t xml:space="preserve"> </w:t>
      </w:r>
      <w:r>
        <w:tab/>
      </w:r>
      <w:r w:rsidRPr="00651810">
        <w:t xml:space="preserve">See </w:t>
      </w:r>
      <w:hyperlink r:id="rId8" w:history="1">
        <w:r w:rsidRPr="006D3C53">
          <w:rPr>
            <w:rStyle w:val="Hyperlink"/>
          </w:rPr>
          <w:t>Archives New Zealand</w:t>
        </w:r>
      </w:hyperlink>
      <w:r w:rsidRPr="006D3C53">
        <w:t xml:space="preserve"> guidance on disposal of records</w:t>
      </w:r>
      <w:r>
        <w:rPr>
          <w:sz w:val="22"/>
        </w:rPr>
        <w:t>.</w:t>
      </w:r>
    </w:p>
  </w:footnote>
  <w:footnote w:id="17">
    <w:p w14:paraId="03638CD1" w14:textId="0DD1AEA3" w:rsidR="00D12956" w:rsidRDefault="00D12956">
      <w:pPr>
        <w:pStyle w:val="FootnoteText"/>
      </w:pPr>
      <w:r>
        <w:rPr>
          <w:rStyle w:val="FootnoteReference"/>
        </w:rPr>
        <w:footnoteRef/>
      </w:r>
      <w:r>
        <w:t xml:space="preserve"> </w:t>
      </w:r>
      <w:r>
        <w:tab/>
        <w:t xml:space="preserve">See the </w:t>
      </w:r>
      <w:hyperlink r:id="rId9" w:history="1">
        <w:r w:rsidRPr="00D12956">
          <w:rPr>
            <w:rStyle w:val="Hyperlink"/>
          </w:rPr>
          <w:t>Cabinet Manual 2023</w:t>
        </w:r>
      </w:hyperlink>
      <w:r>
        <w:t xml:space="preserve">, para 6.40. </w:t>
      </w:r>
    </w:p>
  </w:footnote>
  <w:footnote w:id="18">
    <w:p w14:paraId="70AD8BBB" w14:textId="274AC056" w:rsidR="00D06048" w:rsidRDefault="00D06048">
      <w:pPr>
        <w:pStyle w:val="FootnoteText"/>
      </w:pPr>
      <w:r>
        <w:rPr>
          <w:rStyle w:val="FootnoteReference"/>
        </w:rPr>
        <w:footnoteRef/>
      </w:r>
      <w:r>
        <w:t xml:space="preserve"> </w:t>
      </w:r>
      <w:r>
        <w:tab/>
        <w:t>Such as in their private capacity, in their capacity as an MP or a member of a political party.</w:t>
      </w:r>
      <w:r w:rsidR="006C5D70">
        <w:t xml:space="preserve"> See </w:t>
      </w:r>
      <w:hyperlink w:anchor="_What_information_held" w:history="1">
        <w:r w:rsidR="006C5D70" w:rsidRPr="006C5D70">
          <w:rPr>
            <w:rStyle w:val="Hyperlink"/>
          </w:rPr>
          <w:t xml:space="preserve">‘What information held by Ministers is subject to the </w:t>
        </w:r>
        <w:proofErr w:type="spellStart"/>
        <w:r w:rsidR="006C5D70" w:rsidRPr="006C5D70">
          <w:rPr>
            <w:rStyle w:val="Hyperlink"/>
          </w:rPr>
          <w:t>OIA</w:t>
        </w:r>
        <w:proofErr w:type="spellEnd"/>
        <w:r w:rsidR="006C5D70" w:rsidRPr="006C5D70">
          <w:rPr>
            <w:rStyle w:val="Hyperlink"/>
          </w:rPr>
          <w:t>?’</w:t>
        </w:r>
      </w:hyperlink>
      <w:r>
        <w:t xml:space="preserve">  </w:t>
      </w:r>
    </w:p>
  </w:footnote>
  <w:footnote w:id="19">
    <w:p w14:paraId="2BE103BF" w14:textId="6F8DFAE2" w:rsidR="00FD213B" w:rsidRDefault="00FD213B">
      <w:pPr>
        <w:pStyle w:val="FootnoteText"/>
      </w:pPr>
      <w:r>
        <w:rPr>
          <w:rStyle w:val="FootnoteReference"/>
        </w:rPr>
        <w:footnoteRef/>
      </w:r>
      <w:r>
        <w:t xml:space="preserve"> </w:t>
      </w:r>
      <w:r>
        <w:tab/>
      </w:r>
      <w:r w:rsidR="007208F8">
        <w:t xml:space="preserve">See the </w:t>
      </w:r>
      <w:hyperlink r:id="rId10" w:history="1">
        <w:r w:rsidR="007208F8" w:rsidRPr="00D12956">
          <w:rPr>
            <w:rStyle w:val="Hyperlink"/>
          </w:rPr>
          <w:t>Cabinet Manual 2023</w:t>
        </w:r>
      </w:hyperlink>
      <w:r>
        <w:t>, para 8.61.</w:t>
      </w:r>
    </w:p>
  </w:footnote>
  <w:footnote w:id="20">
    <w:p w14:paraId="1031DAA8" w14:textId="52505EB1" w:rsidR="00FD213B" w:rsidRDefault="00FD213B">
      <w:pPr>
        <w:pStyle w:val="FootnoteText"/>
      </w:pPr>
      <w:r>
        <w:rPr>
          <w:rStyle w:val="FootnoteReference"/>
        </w:rPr>
        <w:footnoteRef/>
      </w:r>
      <w:r>
        <w:t xml:space="preserve"> </w:t>
      </w:r>
      <w:r>
        <w:tab/>
      </w:r>
      <w:r w:rsidR="007208F8">
        <w:t xml:space="preserve">See the </w:t>
      </w:r>
      <w:hyperlink r:id="rId11" w:history="1">
        <w:r w:rsidR="007208F8" w:rsidRPr="00D12956">
          <w:rPr>
            <w:rStyle w:val="Hyperlink"/>
          </w:rPr>
          <w:t>Cabinet Manual 2023</w:t>
        </w:r>
      </w:hyperlink>
      <w:r>
        <w:t>, para 8.62.</w:t>
      </w:r>
    </w:p>
  </w:footnote>
  <w:footnote w:id="21">
    <w:p w14:paraId="5BEFAC5F" w14:textId="1E5BDDB6" w:rsidR="00FD213B" w:rsidRDefault="00FD213B">
      <w:pPr>
        <w:pStyle w:val="FootnoteText"/>
      </w:pPr>
      <w:r>
        <w:rPr>
          <w:rStyle w:val="FootnoteReference"/>
        </w:rPr>
        <w:footnoteRef/>
      </w:r>
      <w:r>
        <w:t xml:space="preserve"> </w:t>
      </w:r>
      <w:r>
        <w:tab/>
      </w:r>
      <w:r w:rsidR="007208F8">
        <w:t xml:space="preserve">See the </w:t>
      </w:r>
      <w:hyperlink r:id="rId12" w:history="1">
        <w:r w:rsidR="007208F8" w:rsidRPr="00D12956">
          <w:rPr>
            <w:rStyle w:val="Hyperlink"/>
          </w:rPr>
          <w:t>Cabinet Manual 2023</w:t>
        </w:r>
      </w:hyperlink>
      <w:r>
        <w:t xml:space="preserve">, para </w:t>
      </w:r>
      <w:r w:rsidR="00553751">
        <w:t>8.43 and paras 8.150-8.151.</w:t>
      </w:r>
    </w:p>
  </w:footnote>
  <w:footnote w:id="22">
    <w:p w14:paraId="233FDB7C" w14:textId="7735CE5C" w:rsidR="00310812" w:rsidRDefault="00310812">
      <w:pPr>
        <w:pStyle w:val="FootnoteText"/>
      </w:pPr>
      <w:r>
        <w:rPr>
          <w:rStyle w:val="FootnoteReference"/>
        </w:rPr>
        <w:footnoteRef/>
      </w:r>
      <w:r>
        <w:t xml:space="preserve"> </w:t>
      </w:r>
      <w:r>
        <w:tab/>
        <w:t xml:space="preserve">This may arise, for example, where circumstances have changed since the decision was made.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D9D4A" w14:textId="77777777" w:rsidR="00D06048" w:rsidRDefault="00D06048" w:rsidP="00460281">
    <w:pPr>
      <w:pStyle w:val="Header"/>
      <w:tabs>
        <w:tab w:val="clear" w:pos="9299"/>
        <w:tab w:val="right" w:pos="9321"/>
      </w:tabs>
      <w:rPr>
        <w:rStyle w:val="PageNumber"/>
      </w:rPr>
    </w:pPr>
    <w:r>
      <w:t xml:space="preserve">Office of the Ombudsman | </w:t>
    </w:r>
    <w:r w:rsidRPr="00DD54DF">
      <w:t xml:space="preserve">Tari o </w:t>
    </w:r>
    <w:proofErr w:type="spellStart"/>
    <w:r w:rsidRPr="00DD54DF">
      <w:t>te</w:t>
    </w:r>
    <w:proofErr w:type="spellEnd"/>
    <w:r w:rsidRPr="00DD54DF">
      <w:t xml:space="preserve"> Kaitiaki Mana </w:t>
    </w:r>
    <w:proofErr w:type="spellStart"/>
    <w:r w:rsidRPr="00DD54DF">
      <w:t>Tangata</w:t>
    </w:r>
    <w:proofErr w:type="spellEnd"/>
  </w:p>
  <w:p w14:paraId="4728234F" w14:textId="77777777" w:rsidR="00D06048" w:rsidRPr="00661EC9" w:rsidRDefault="00D06048" w:rsidP="00460281">
    <w:pPr>
      <w:pStyle w:val="Headerline"/>
      <w:rPr>
        <w:szCs w:val="2"/>
      </w:rPr>
    </w:pPr>
  </w:p>
  <w:p w14:paraId="69DF5840" w14:textId="77777777" w:rsidR="00D06048" w:rsidRPr="00B33F0E" w:rsidRDefault="00D06048" w:rsidP="00460281">
    <w:pPr>
      <w:pStyle w:val="Header"/>
      <w:rPr>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6D6DA" w14:textId="77777777" w:rsidR="00D06048" w:rsidRPr="00BE6949" w:rsidRDefault="00D06048" w:rsidP="00460281">
    <w:pPr>
      <w:pStyle w:val="Header"/>
      <w:rPr>
        <w:szCs w:val="2"/>
      </w:rPr>
    </w:pPr>
    <w:r w:rsidRPr="00BE6949">
      <w:rPr>
        <w:noProof/>
        <w:szCs w:val="2"/>
        <w:lang w:eastAsia="en-NZ"/>
      </w:rPr>
      <w:drawing>
        <wp:anchor distT="0" distB="0" distL="114300" distR="114300" simplePos="0" relativeHeight="251659264" behindDoc="0" locked="0" layoutInCell="1" allowOverlap="1" wp14:anchorId="137E761A" wp14:editId="75856D7A">
          <wp:simplePos x="0" y="0"/>
          <wp:positionH relativeFrom="column">
            <wp:posOffset>-53975</wp:posOffset>
          </wp:positionH>
          <wp:positionV relativeFrom="page">
            <wp:posOffset>431800</wp:posOffset>
          </wp:positionV>
          <wp:extent cx="5960745" cy="1371600"/>
          <wp:effectExtent l="0" t="0" r="1905" b="0"/>
          <wp:wrapNone/>
          <wp:docPr id="2" name="Picture 2" title="The Ombudsman logo—features the word Ombudsman in bold font with the text ‘Fairness for all’ in a smaller font-size below. A graphic of a fern furls into the ‘O’ helping to form the first letter of the word Ombuds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nk_Header-AW.bmp"/>
                  <pic:cNvPicPr/>
                </pic:nvPicPr>
                <pic:blipFill>
                  <a:blip r:embed="rId1"/>
                  <a:stretch>
                    <a:fillRect/>
                  </a:stretch>
                </pic:blipFill>
                <pic:spPr>
                  <a:xfrm>
                    <a:off x="0" y="0"/>
                    <a:ext cx="5960745" cy="1371600"/>
                  </a:xfrm>
                  <a:prstGeom prst="rect">
                    <a:avLst/>
                  </a:prstGeom>
                </pic:spPr>
              </pic:pic>
            </a:graphicData>
          </a:graphic>
        </wp:anchor>
      </w:drawing>
    </w:r>
  </w:p>
  <w:p w14:paraId="34ED2537" w14:textId="77777777" w:rsidR="00D06048" w:rsidRDefault="00D06048" w:rsidP="00460281">
    <w:pPr>
      <w:pStyle w:val="Header"/>
      <w:rPr>
        <w:szCs w:val="2"/>
      </w:rPr>
    </w:pPr>
  </w:p>
  <w:p w14:paraId="08B9756B" w14:textId="77777777" w:rsidR="00D06048" w:rsidRDefault="00D06048" w:rsidP="00460281">
    <w:pPr>
      <w:pStyle w:val="Header"/>
      <w:rPr>
        <w:szCs w:val="2"/>
      </w:rPr>
    </w:pPr>
  </w:p>
  <w:p w14:paraId="4DDA3375" w14:textId="77777777" w:rsidR="00D06048" w:rsidRDefault="00D06048" w:rsidP="00460281">
    <w:pPr>
      <w:pStyle w:val="Header"/>
      <w:rPr>
        <w:szCs w:val="2"/>
      </w:rPr>
    </w:pPr>
  </w:p>
  <w:p w14:paraId="46F4E213" w14:textId="77777777" w:rsidR="00D06048" w:rsidRDefault="00D06048" w:rsidP="00460281">
    <w:pPr>
      <w:pStyle w:val="Header"/>
      <w:rPr>
        <w:szCs w:val="2"/>
      </w:rPr>
    </w:pPr>
  </w:p>
  <w:p w14:paraId="3B91D330" w14:textId="77777777" w:rsidR="00D06048" w:rsidRDefault="00D06048" w:rsidP="00460281">
    <w:pPr>
      <w:pStyle w:val="Header"/>
      <w:rPr>
        <w:szCs w:val="2"/>
      </w:rPr>
    </w:pPr>
  </w:p>
  <w:p w14:paraId="645F9B92" w14:textId="77777777" w:rsidR="00D06048" w:rsidRDefault="00D06048" w:rsidP="00460281">
    <w:pPr>
      <w:pStyle w:val="Header"/>
      <w:rPr>
        <w:szCs w:val="2"/>
      </w:rPr>
    </w:pPr>
  </w:p>
  <w:p w14:paraId="42E026A7" w14:textId="77777777" w:rsidR="00D06048" w:rsidRDefault="00D06048" w:rsidP="00460281">
    <w:pPr>
      <w:pStyle w:val="Header"/>
      <w:rPr>
        <w:szCs w:val="2"/>
      </w:rPr>
    </w:pPr>
  </w:p>
  <w:p w14:paraId="2C379CC0" w14:textId="77777777" w:rsidR="00D06048" w:rsidRDefault="00D06048" w:rsidP="00460281">
    <w:pPr>
      <w:pStyle w:val="Header"/>
      <w:rPr>
        <w:szCs w:val="2"/>
      </w:rPr>
    </w:pPr>
  </w:p>
  <w:p w14:paraId="6C85418C" w14:textId="77777777" w:rsidR="00D06048" w:rsidRPr="00E175EB" w:rsidRDefault="00D06048" w:rsidP="00460281">
    <w:pPr>
      <w:pStyle w:val="Header"/>
      <w:rPr>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2C48D1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AB2C0F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F40E33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BF2CBE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5B4ACE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0CE019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C0E213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D30FA0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49627A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7F8730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37325B"/>
    <w:multiLevelType w:val="multilevel"/>
    <w:tmpl w:val="5EB4B8F0"/>
    <w:lvl w:ilvl="0">
      <w:start w:val="1"/>
      <w:numFmt w:val="bullet"/>
      <w:pStyle w:val="Tablecheckbox1"/>
      <w:lvlText w:val=""/>
      <w:lvlJc w:val="left"/>
      <w:pPr>
        <w:tabs>
          <w:tab w:val="num" w:pos="357"/>
        </w:tabs>
        <w:ind w:left="357" w:hanging="357"/>
      </w:pPr>
      <w:rPr>
        <w:rFonts w:ascii="Wingdings 2" w:hAnsi="Wingdings 2" w:hint="default"/>
        <w:u w:color="696969"/>
      </w:rPr>
    </w:lvl>
    <w:lvl w:ilvl="1">
      <w:start w:val="1"/>
      <w:numFmt w:val="bullet"/>
      <w:pStyle w:val="Tablecheckbox2"/>
      <w:lvlText w:val=""/>
      <w:lvlJc w:val="left"/>
      <w:pPr>
        <w:tabs>
          <w:tab w:val="num" w:pos="714"/>
        </w:tabs>
        <w:ind w:left="714" w:hanging="357"/>
      </w:pPr>
      <w:rPr>
        <w:rFonts w:ascii="Wingdings 2" w:hAnsi="Wingdings 2" w:hint="default"/>
      </w:rPr>
    </w:lvl>
    <w:lvl w:ilvl="2">
      <w:start w:val="1"/>
      <w:numFmt w:val="bullet"/>
      <w:pStyle w:val="Tablecheckbox3"/>
      <w:lvlText w:val=""/>
      <w:lvlJc w:val="left"/>
      <w:pPr>
        <w:tabs>
          <w:tab w:val="num" w:pos="1072"/>
        </w:tabs>
        <w:ind w:left="1072" w:hanging="358"/>
      </w:pPr>
      <w:rPr>
        <w:rFonts w:ascii="Wingdings 2" w:hAnsi="Wingdings 2"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11" w15:restartNumberingAfterBreak="0">
    <w:nsid w:val="0E266A35"/>
    <w:multiLevelType w:val="multilevel"/>
    <w:tmpl w:val="132E5168"/>
    <w:lvl w:ilvl="0">
      <w:start w:val="1"/>
      <w:numFmt w:val="lowerRoman"/>
      <w:pStyle w:val="QListroman"/>
      <w:lvlText w:val="%1."/>
      <w:lvlJc w:val="left"/>
      <w:pPr>
        <w:tabs>
          <w:tab w:val="num" w:pos="1134"/>
        </w:tabs>
        <w:ind w:left="1134" w:hanging="567"/>
      </w:pPr>
      <w:rPr>
        <w:rFonts w:hint="default"/>
        <w:i/>
        <w:color w:val="4D4D4D"/>
      </w:rPr>
    </w:lvl>
    <w:lvl w:ilvl="1">
      <w:start w:val="1"/>
      <w:numFmt w:val="none"/>
      <w:suff w:val="nothing"/>
      <w:lvlText w:val=""/>
      <w:lvlJc w:val="left"/>
      <w:pPr>
        <w:ind w:left="1134"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6E03F8C"/>
    <w:multiLevelType w:val="multilevel"/>
    <w:tmpl w:val="71C4C924"/>
    <w:lvl w:ilvl="0">
      <w:start w:val="1"/>
      <w:numFmt w:val="decimal"/>
      <w:pStyle w:val="Number-1"/>
      <w:lvlText w:val="%1."/>
      <w:lvlJc w:val="left"/>
      <w:pPr>
        <w:tabs>
          <w:tab w:val="num" w:pos="851"/>
        </w:tabs>
        <w:ind w:left="851" w:hanging="851"/>
      </w:pPr>
      <w:rPr>
        <w:rFonts w:hint="default"/>
      </w:rPr>
    </w:lvl>
    <w:lvl w:ilvl="1">
      <w:start w:val="1"/>
      <w:numFmt w:val="decimal"/>
      <w:pStyle w:val="Number-11"/>
      <w:lvlText w:val="%1.%2"/>
      <w:lvlJc w:val="left"/>
      <w:pPr>
        <w:tabs>
          <w:tab w:val="num" w:pos="851"/>
        </w:tabs>
        <w:ind w:left="851" w:hanging="851"/>
      </w:pPr>
      <w:rPr>
        <w:rFonts w:hint="default"/>
      </w:rPr>
    </w:lvl>
    <w:lvl w:ilvl="2">
      <w:start w:val="1"/>
      <w:numFmt w:val="decimal"/>
      <w:pStyle w:val="Number-111"/>
      <w:lvlText w:val="%1.%2.%3"/>
      <w:lvlJc w:val="left"/>
      <w:pPr>
        <w:tabs>
          <w:tab w:val="num" w:pos="851"/>
        </w:tabs>
        <w:ind w:left="851" w:hanging="851"/>
      </w:pPr>
      <w:rPr>
        <w:rFonts w:hint="default"/>
      </w:rPr>
    </w:lvl>
    <w:lvl w:ilvl="3">
      <w:start w:val="1"/>
      <w:numFmt w:val="none"/>
      <w:suff w:val="nothing"/>
      <w:lvlText w:val=""/>
      <w:lvlJc w:val="left"/>
      <w:pPr>
        <w:ind w:left="851" w:firstLine="0"/>
      </w:pPr>
      <w:rPr>
        <w:rFonts w:hint="default"/>
        <w:u w:color="4D4D4D"/>
      </w:rPr>
    </w:lvl>
    <w:lvl w:ilvl="4">
      <w:start w:val="1"/>
      <w:numFmt w:val="none"/>
      <w:lvlRestart w:val="0"/>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7"/>
      <w:lvlJc w:val="left"/>
      <w:pPr>
        <w:ind w:left="851" w:firstLine="0"/>
      </w:pPr>
      <w:rPr>
        <w:rFonts w:hint="default"/>
      </w:rPr>
    </w:lvl>
    <w:lvl w:ilvl="7">
      <w:start w:val="1"/>
      <w:numFmt w:val="none"/>
      <w:suff w:val="nothing"/>
      <w:lvlText w:val="%8"/>
      <w:lvlJc w:val="left"/>
      <w:pPr>
        <w:ind w:left="851" w:firstLine="0"/>
      </w:pPr>
      <w:rPr>
        <w:rFonts w:hint="default"/>
      </w:rPr>
    </w:lvl>
    <w:lvl w:ilvl="8">
      <w:start w:val="1"/>
      <w:numFmt w:val="none"/>
      <w:suff w:val="nothing"/>
      <w:lvlText w:val="%9"/>
      <w:lvlJc w:val="left"/>
      <w:pPr>
        <w:ind w:left="851" w:firstLine="0"/>
      </w:pPr>
      <w:rPr>
        <w:rFonts w:hint="default"/>
      </w:rPr>
    </w:lvl>
  </w:abstractNum>
  <w:abstractNum w:abstractNumId="13" w15:restartNumberingAfterBreak="0">
    <w:nsid w:val="278F62EA"/>
    <w:multiLevelType w:val="multilevel"/>
    <w:tmpl w:val="53A8DE6E"/>
    <w:lvl w:ilvl="0">
      <w:start w:val="1"/>
      <w:numFmt w:val="bullet"/>
      <w:pStyle w:val="EndnoteBullet"/>
      <w:lvlText w:val=""/>
      <w:lvlJc w:val="left"/>
      <w:pPr>
        <w:tabs>
          <w:tab w:val="num" w:pos="567"/>
        </w:tabs>
        <w:ind w:left="567" w:hanging="283"/>
      </w:pPr>
      <w:rPr>
        <w:rFonts w:ascii="Symbol" w:hAnsi="Symbol" w:hint="default"/>
        <w:color w:val="4D4D4D"/>
      </w:rPr>
    </w:lvl>
    <w:lvl w:ilvl="1">
      <w:start w:val="1"/>
      <w:numFmt w:val="none"/>
      <w:suff w:val="nothing"/>
      <w:lvlText w:val=""/>
      <w:lvlJc w:val="left"/>
      <w:pPr>
        <w:ind w:left="567" w:firstLine="0"/>
      </w:pPr>
      <w:rPr>
        <w:rFonts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14" w15:restartNumberingAfterBreak="0">
    <w:nsid w:val="2A496CAF"/>
    <w:multiLevelType w:val="multilevel"/>
    <w:tmpl w:val="9048A306"/>
    <w:lvl w:ilvl="0">
      <w:start w:val="1"/>
      <w:numFmt w:val="bullet"/>
      <w:pStyle w:val="Boxsmallbullet1"/>
      <w:lvlText w:val=""/>
      <w:lvlJc w:val="left"/>
      <w:pPr>
        <w:tabs>
          <w:tab w:val="num" w:pos="357"/>
        </w:tabs>
        <w:ind w:left="360" w:hanging="360"/>
      </w:pPr>
      <w:rPr>
        <w:rFonts w:ascii="Symbol" w:hAnsi="Symbol" w:hint="default"/>
      </w:rPr>
    </w:lvl>
    <w:lvl w:ilvl="1">
      <w:start w:val="1"/>
      <w:numFmt w:val="bullet"/>
      <w:pStyle w:val="Boxsmallbullet2"/>
      <w:lvlText w:val="-"/>
      <w:lvlJc w:val="left"/>
      <w:pPr>
        <w:tabs>
          <w:tab w:val="num" w:pos="714"/>
        </w:tabs>
        <w:ind w:left="714" w:hanging="354"/>
      </w:pPr>
      <w:rPr>
        <w:rFonts w:ascii="Calibri" w:hAnsi="Calibri" w:hint="default"/>
      </w:rPr>
    </w:lvl>
    <w:lvl w:ilvl="2">
      <w:start w:val="1"/>
      <w:numFmt w:val="none"/>
      <w:suff w:val="nothing"/>
      <w:lvlText w:val=""/>
      <w:lvlJc w:val="left"/>
      <w:pPr>
        <w:ind w:left="714" w:firstLine="0"/>
      </w:pPr>
      <w:rPr>
        <w:rFonts w:hint="default"/>
      </w:rPr>
    </w:lvl>
    <w:lvl w:ilvl="3">
      <w:start w:val="1"/>
      <w:numFmt w:val="none"/>
      <w:suff w:val="nothing"/>
      <w:lvlText w:val=""/>
      <w:lvlJc w:val="left"/>
      <w:pPr>
        <w:ind w:left="714" w:firstLine="0"/>
      </w:pPr>
      <w:rPr>
        <w:rFonts w:hint="default"/>
      </w:rPr>
    </w:lvl>
    <w:lvl w:ilvl="4">
      <w:start w:val="1"/>
      <w:numFmt w:val="none"/>
      <w:suff w:val="nothing"/>
      <w:lvlText w:val=""/>
      <w:lvlJc w:val="left"/>
      <w:pPr>
        <w:ind w:left="714" w:firstLine="0"/>
      </w:pPr>
      <w:rPr>
        <w:rFonts w:hint="default"/>
      </w:rPr>
    </w:lvl>
    <w:lvl w:ilvl="5">
      <w:start w:val="1"/>
      <w:numFmt w:val="none"/>
      <w:suff w:val="nothing"/>
      <w:lvlText w:val=""/>
      <w:lvlJc w:val="left"/>
      <w:pPr>
        <w:ind w:left="714" w:firstLine="0"/>
      </w:pPr>
      <w:rPr>
        <w:rFonts w:hint="default"/>
      </w:rPr>
    </w:lvl>
    <w:lvl w:ilvl="6">
      <w:start w:val="1"/>
      <w:numFmt w:val="none"/>
      <w:suff w:val="nothing"/>
      <w:lvlText w:val=""/>
      <w:lvlJc w:val="left"/>
      <w:pPr>
        <w:ind w:left="714" w:firstLine="0"/>
      </w:pPr>
      <w:rPr>
        <w:rFonts w:hint="default"/>
      </w:rPr>
    </w:lvl>
    <w:lvl w:ilvl="7">
      <w:start w:val="1"/>
      <w:numFmt w:val="none"/>
      <w:suff w:val="nothing"/>
      <w:lvlText w:val=""/>
      <w:lvlJc w:val="left"/>
      <w:pPr>
        <w:ind w:left="714" w:firstLine="0"/>
      </w:pPr>
      <w:rPr>
        <w:rFonts w:hint="default"/>
      </w:rPr>
    </w:lvl>
    <w:lvl w:ilvl="8">
      <w:start w:val="1"/>
      <w:numFmt w:val="none"/>
      <w:suff w:val="nothing"/>
      <w:lvlText w:val=""/>
      <w:lvlJc w:val="left"/>
      <w:pPr>
        <w:ind w:left="714" w:firstLine="0"/>
      </w:pPr>
      <w:rPr>
        <w:rFonts w:hint="default"/>
      </w:rPr>
    </w:lvl>
  </w:abstractNum>
  <w:abstractNum w:abstractNumId="15" w15:restartNumberingAfterBreak="0">
    <w:nsid w:val="2D4153D4"/>
    <w:multiLevelType w:val="multilevel"/>
    <w:tmpl w:val="D10C43F8"/>
    <w:lvl w:ilvl="0">
      <w:start w:val="1"/>
      <w:numFmt w:val="bullet"/>
      <w:pStyle w:val="FootnoteBullet"/>
      <w:lvlText w:val=""/>
      <w:lvlJc w:val="left"/>
      <w:pPr>
        <w:tabs>
          <w:tab w:val="num" w:pos="567"/>
        </w:tabs>
        <w:ind w:left="567" w:hanging="283"/>
      </w:pPr>
      <w:rPr>
        <w:rFonts w:ascii="Symbol" w:hAnsi="Symbol" w:hint="default"/>
        <w:color w:val="4D4D4D"/>
      </w:rPr>
    </w:lvl>
    <w:lvl w:ilvl="1">
      <w:start w:val="1"/>
      <w:numFmt w:val="none"/>
      <w:suff w:val="nothing"/>
      <w:lvlText w:val=""/>
      <w:lvlJc w:val="left"/>
      <w:pPr>
        <w:ind w:left="567" w:firstLine="0"/>
      </w:pPr>
      <w:rPr>
        <w:rFonts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16" w15:restartNumberingAfterBreak="0">
    <w:nsid w:val="369C4F70"/>
    <w:multiLevelType w:val="multilevel"/>
    <w:tmpl w:val="E5D2630A"/>
    <w:lvl w:ilvl="0">
      <w:start w:val="1"/>
      <w:numFmt w:val="decimal"/>
      <w:pStyle w:val="Boxsmallnumber-1"/>
      <w:lvlText w:val="%1."/>
      <w:lvlJc w:val="left"/>
      <w:pPr>
        <w:tabs>
          <w:tab w:val="num" w:pos="357"/>
        </w:tabs>
        <w:ind w:left="360" w:hanging="360"/>
      </w:pPr>
      <w:rPr>
        <w:rFonts w:hint="default"/>
      </w:rPr>
    </w:lvl>
    <w:lvl w:ilvl="1">
      <w:start w:val="1"/>
      <w:numFmt w:val="lowerLetter"/>
      <w:pStyle w:val="Boxsmallnumber-a"/>
      <w:lvlText w:val="%2."/>
      <w:lvlJc w:val="left"/>
      <w:pPr>
        <w:tabs>
          <w:tab w:val="num" w:pos="714"/>
        </w:tabs>
        <w:ind w:left="714" w:hanging="354"/>
      </w:pPr>
      <w:rPr>
        <w:rFonts w:hint="default"/>
      </w:rPr>
    </w:lvl>
    <w:lvl w:ilvl="2">
      <w:start w:val="1"/>
      <w:numFmt w:val="lowerRoman"/>
      <w:pStyle w:val="Boxsmallnumber-i"/>
      <w:lvlText w:val="%3."/>
      <w:lvlJc w:val="left"/>
      <w:pPr>
        <w:tabs>
          <w:tab w:val="num" w:pos="1072"/>
        </w:tabs>
        <w:ind w:left="1072" w:hanging="358"/>
      </w:pPr>
      <w:rPr>
        <w:rFonts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7"/>
      <w:lvlJc w:val="left"/>
      <w:pPr>
        <w:ind w:left="1072" w:firstLine="0"/>
      </w:pPr>
      <w:rPr>
        <w:rFonts w:hint="default"/>
      </w:rPr>
    </w:lvl>
    <w:lvl w:ilvl="7">
      <w:start w:val="1"/>
      <w:numFmt w:val="none"/>
      <w:suff w:val="nothing"/>
      <w:lvlText w:val="%8"/>
      <w:lvlJc w:val="left"/>
      <w:pPr>
        <w:ind w:left="1072" w:firstLine="0"/>
      </w:pPr>
      <w:rPr>
        <w:rFonts w:hint="default"/>
      </w:rPr>
    </w:lvl>
    <w:lvl w:ilvl="8">
      <w:start w:val="1"/>
      <w:numFmt w:val="none"/>
      <w:suff w:val="nothing"/>
      <w:lvlText w:val="%9"/>
      <w:lvlJc w:val="left"/>
      <w:pPr>
        <w:ind w:left="1072" w:firstLine="0"/>
      </w:pPr>
      <w:rPr>
        <w:rFonts w:hint="default"/>
      </w:rPr>
    </w:lvl>
  </w:abstractNum>
  <w:abstractNum w:abstractNumId="17" w15:restartNumberingAfterBreak="0">
    <w:nsid w:val="36BD306A"/>
    <w:multiLevelType w:val="multilevel"/>
    <w:tmpl w:val="8C040BC8"/>
    <w:lvl w:ilvl="0">
      <w:start w:val="1"/>
      <w:numFmt w:val="bullet"/>
      <w:pStyle w:val="Checkbox1"/>
      <w:lvlText w:val=""/>
      <w:lvlJc w:val="left"/>
      <w:pPr>
        <w:tabs>
          <w:tab w:val="num" w:pos="567"/>
        </w:tabs>
        <w:ind w:left="567" w:hanging="567"/>
      </w:pPr>
      <w:rPr>
        <w:rFonts w:ascii="Wingdings 2" w:hAnsi="Wingdings 2" w:hint="default"/>
        <w:u w:color="696969"/>
      </w:rPr>
    </w:lvl>
    <w:lvl w:ilvl="1">
      <w:start w:val="1"/>
      <w:numFmt w:val="bullet"/>
      <w:pStyle w:val="Checkbox2"/>
      <w:lvlText w:val=""/>
      <w:lvlJc w:val="left"/>
      <w:pPr>
        <w:tabs>
          <w:tab w:val="num" w:pos="1134"/>
        </w:tabs>
        <w:ind w:left="1134" w:hanging="567"/>
      </w:pPr>
      <w:rPr>
        <w:rFonts w:ascii="Wingdings 2" w:hAnsi="Wingdings 2" w:hint="default"/>
      </w:rPr>
    </w:lvl>
    <w:lvl w:ilvl="2">
      <w:start w:val="1"/>
      <w:numFmt w:val="bullet"/>
      <w:pStyle w:val="Checkbox3"/>
      <w:lvlText w:val=""/>
      <w:lvlJc w:val="left"/>
      <w:pPr>
        <w:tabs>
          <w:tab w:val="num" w:pos="1701"/>
        </w:tabs>
        <w:ind w:left="1701" w:hanging="567"/>
      </w:pPr>
      <w:rPr>
        <w:rFonts w:ascii="Wingdings 2" w:hAnsi="Wingdings 2" w:hint="default"/>
      </w:rPr>
    </w:lvl>
    <w:lvl w:ilvl="3">
      <w:start w:val="1"/>
      <w:numFmt w:val="bullet"/>
      <w:pStyle w:val="Checkbox4"/>
      <w:lvlText w:val=""/>
      <w:lvlJc w:val="left"/>
      <w:pPr>
        <w:tabs>
          <w:tab w:val="num" w:pos="2268"/>
        </w:tabs>
        <w:ind w:left="2268" w:hanging="567"/>
      </w:pPr>
      <w:rPr>
        <w:rFonts w:ascii="Wingdings 2" w:hAnsi="Wingdings 2" w:hint="default"/>
      </w:rPr>
    </w:lvl>
    <w:lvl w:ilvl="4">
      <w:start w:val="1"/>
      <w:numFmt w:val="none"/>
      <w:suff w:val="nothing"/>
      <w:lvlText w:val=""/>
      <w:lvlJc w:val="left"/>
      <w:pPr>
        <w:ind w:left="2268" w:firstLine="0"/>
      </w:pPr>
      <w:rPr>
        <w:rFonts w:hint="default"/>
      </w:rPr>
    </w:lvl>
    <w:lvl w:ilvl="5">
      <w:start w:val="1"/>
      <w:numFmt w:val="none"/>
      <w:lvlText w:val=""/>
      <w:lvlJc w:val="left"/>
      <w:pPr>
        <w:ind w:left="2268" w:firstLine="0"/>
      </w:pPr>
      <w:rPr>
        <w:rFonts w:hint="default"/>
      </w:rPr>
    </w:lvl>
    <w:lvl w:ilvl="6">
      <w:start w:val="1"/>
      <w:numFmt w:val="none"/>
      <w:lvlText w:val=""/>
      <w:lvlJc w:val="left"/>
      <w:pPr>
        <w:ind w:left="2268" w:firstLine="0"/>
      </w:pPr>
      <w:rPr>
        <w:rFonts w:hint="default"/>
      </w:rPr>
    </w:lvl>
    <w:lvl w:ilvl="7">
      <w:start w:val="1"/>
      <w:numFmt w:val="none"/>
      <w:lvlText w:val=""/>
      <w:lvlJc w:val="left"/>
      <w:pPr>
        <w:ind w:left="2268" w:firstLine="0"/>
      </w:pPr>
      <w:rPr>
        <w:rFonts w:hint="default"/>
      </w:rPr>
    </w:lvl>
    <w:lvl w:ilvl="8">
      <w:start w:val="1"/>
      <w:numFmt w:val="none"/>
      <w:lvlText w:val=""/>
      <w:lvlJc w:val="left"/>
      <w:pPr>
        <w:ind w:left="2268" w:firstLine="0"/>
      </w:pPr>
      <w:rPr>
        <w:rFonts w:hint="default"/>
      </w:rPr>
    </w:lvl>
  </w:abstractNum>
  <w:abstractNum w:abstractNumId="18" w15:restartNumberingAfterBreak="0">
    <w:nsid w:val="381D5E25"/>
    <w:multiLevelType w:val="multilevel"/>
    <w:tmpl w:val="174E6B08"/>
    <w:lvl w:ilvl="0">
      <w:start w:val="1"/>
      <w:numFmt w:val="decimal"/>
      <w:pStyle w:val="TableNumber1"/>
      <w:lvlText w:val="%1."/>
      <w:lvlJc w:val="left"/>
      <w:pPr>
        <w:tabs>
          <w:tab w:val="num" w:pos="357"/>
        </w:tabs>
        <w:ind w:left="357" w:hanging="357"/>
      </w:pPr>
      <w:rPr>
        <w:rFonts w:hint="eastAsia"/>
        <w:u w:color="696969"/>
      </w:rPr>
    </w:lvl>
    <w:lvl w:ilvl="1">
      <w:start w:val="1"/>
      <w:numFmt w:val="lowerLetter"/>
      <w:pStyle w:val="TableNumbera"/>
      <w:lvlText w:val="%2."/>
      <w:lvlJc w:val="left"/>
      <w:pPr>
        <w:tabs>
          <w:tab w:val="num" w:pos="714"/>
        </w:tabs>
        <w:ind w:left="714" w:hanging="357"/>
      </w:pPr>
      <w:rPr>
        <w:rFonts w:hint="default"/>
      </w:rPr>
    </w:lvl>
    <w:lvl w:ilvl="2">
      <w:start w:val="1"/>
      <w:numFmt w:val="lowerRoman"/>
      <w:pStyle w:val="TableNumberi"/>
      <w:lvlText w:val="%3."/>
      <w:lvlJc w:val="left"/>
      <w:pPr>
        <w:tabs>
          <w:tab w:val="num" w:pos="1072"/>
        </w:tabs>
        <w:ind w:left="1072" w:hanging="358"/>
      </w:pPr>
      <w:rPr>
        <w:rFonts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19" w15:restartNumberingAfterBreak="0">
    <w:nsid w:val="39744B21"/>
    <w:multiLevelType w:val="multilevel"/>
    <w:tmpl w:val="BB00A090"/>
    <w:lvl w:ilvl="0">
      <w:start w:val="1"/>
      <w:numFmt w:val="bullet"/>
      <w:pStyle w:val="QListbullet"/>
      <w:lvlText w:val=""/>
      <w:lvlJc w:val="left"/>
      <w:pPr>
        <w:tabs>
          <w:tab w:val="num" w:pos="1134"/>
        </w:tabs>
        <w:ind w:left="1134" w:hanging="567"/>
      </w:pPr>
      <w:rPr>
        <w:rFonts w:ascii="Symbol" w:hAnsi="Symbol" w:hint="default"/>
      </w:rPr>
    </w:lvl>
    <w:lvl w:ilvl="1">
      <w:start w:val="1"/>
      <w:numFmt w:val="none"/>
      <w:suff w:val="nothing"/>
      <w:lvlText w:val=""/>
      <w:lvlJc w:val="left"/>
      <w:pPr>
        <w:ind w:left="1134" w:firstLine="0"/>
      </w:pPr>
      <w:rPr>
        <w:rFonts w:hint="default"/>
      </w:rPr>
    </w:lvl>
    <w:lvl w:ilvl="2">
      <w:start w:val="1"/>
      <w:numFmt w:val="none"/>
      <w:suff w:val="nothing"/>
      <w:lvlText w:val=""/>
      <w:lvlJc w:val="left"/>
      <w:pPr>
        <w:ind w:left="1134" w:firstLine="0"/>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1134" w:firstLine="0"/>
      </w:pPr>
      <w:rPr>
        <w:rFonts w:hint="default"/>
      </w:rPr>
    </w:lvl>
    <w:lvl w:ilvl="5">
      <w:start w:val="1"/>
      <w:numFmt w:val="none"/>
      <w:suff w:val="nothing"/>
      <w:lvlText w:val=""/>
      <w:lvlJc w:val="left"/>
      <w:pPr>
        <w:ind w:left="1134" w:firstLine="0"/>
      </w:pPr>
      <w:rPr>
        <w:rFonts w:hint="default"/>
      </w:rPr>
    </w:lvl>
    <w:lvl w:ilvl="6">
      <w:start w:val="1"/>
      <w:numFmt w:val="none"/>
      <w:suff w:val="nothing"/>
      <w:lvlText w:val=""/>
      <w:lvlJc w:val="left"/>
      <w:pPr>
        <w:ind w:left="1134" w:firstLine="0"/>
      </w:pPr>
      <w:rPr>
        <w:rFonts w:hint="default"/>
      </w:rPr>
    </w:lvl>
    <w:lvl w:ilvl="7">
      <w:start w:val="1"/>
      <w:numFmt w:val="none"/>
      <w:suff w:val="nothing"/>
      <w:lvlText w:val=""/>
      <w:lvlJc w:val="left"/>
      <w:pPr>
        <w:ind w:left="1134" w:firstLine="0"/>
      </w:pPr>
      <w:rPr>
        <w:rFonts w:hint="default"/>
      </w:rPr>
    </w:lvl>
    <w:lvl w:ilvl="8">
      <w:start w:val="1"/>
      <w:numFmt w:val="none"/>
      <w:suff w:val="nothing"/>
      <w:lvlText w:val=""/>
      <w:lvlJc w:val="left"/>
      <w:pPr>
        <w:ind w:left="1134" w:firstLine="0"/>
      </w:pPr>
      <w:rPr>
        <w:rFonts w:hint="default"/>
      </w:rPr>
    </w:lvl>
  </w:abstractNum>
  <w:abstractNum w:abstractNumId="20" w15:restartNumberingAfterBreak="0">
    <w:nsid w:val="39B810FD"/>
    <w:multiLevelType w:val="multilevel"/>
    <w:tmpl w:val="1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557561E"/>
    <w:multiLevelType w:val="multilevel"/>
    <w:tmpl w:val="FD043240"/>
    <w:lvl w:ilvl="0">
      <w:start w:val="1"/>
      <w:numFmt w:val="none"/>
      <w:pStyle w:val="Heading1"/>
      <w:suff w:val="nothing"/>
      <w:lvlText w:val=""/>
      <w:lvlJc w:val="left"/>
      <w:pPr>
        <w:ind w:left="0" w:firstLine="0"/>
      </w:pPr>
      <w:rPr>
        <w:rFonts w:hint="default"/>
      </w:rPr>
    </w:lvl>
    <w:lvl w:ilvl="1">
      <w:start w:val="1"/>
      <w:numFmt w:val="none"/>
      <w:pStyle w:val="Heading2"/>
      <w:isLgl/>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righ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right"/>
      <w:pPr>
        <w:ind w:left="0" w:firstLine="0"/>
      </w:pPr>
      <w:rPr>
        <w:rFonts w:hint="default"/>
      </w:rPr>
    </w:lvl>
  </w:abstractNum>
  <w:abstractNum w:abstractNumId="22" w15:restartNumberingAfterBreak="0">
    <w:nsid w:val="471A6D8C"/>
    <w:multiLevelType w:val="hybridMultilevel"/>
    <w:tmpl w:val="DE7A81D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3" w15:restartNumberingAfterBreak="0">
    <w:nsid w:val="4FC32322"/>
    <w:multiLevelType w:val="multilevel"/>
    <w:tmpl w:val="1C924FC2"/>
    <w:lvl w:ilvl="0">
      <w:start w:val="1"/>
      <w:numFmt w:val="decimal"/>
      <w:pStyle w:val="Number1"/>
      <w:lvlText w:val="%1."/>
      <w:lvlJc w:val="left"/>
      <w:pPr>
        <w:tabs>
          <w:tab w:val="num" w:pos="567"/>
        </w:tabs>
        <w:ind w:left="567" w:hanging="567"/>
      </w:pPr>
      <w:rPr>
        <w:rFonts w:hint="eastAsia"/>
        <w:u w:color="696969"/>
      </w:rPr>
    </w:lvl>
    <w:lvl w:ilvl="1">
      <w:start w:val="1"/>
      <w:numFmt w:val="lowerLetter"/>
      <w:pStyle w:val="Number2"/>
      <w:lvlText w:val="%2."/>
      <w:lvlJc w:val="left"/>
      <w:pPr>
        <w:tabs>
          <w:tab w:val="num" w:pos="1134"/>
        </w:tabs>
        <w:ind w:left="1134" w:hanging="567"/>
      </w:pPr>
      <w:rPr>
        <w:rFonts w:hint="default"/>
      </w:rPr>
    </w:lvl>
    <w:lvl w:ilvl="2">
      <w:start w:val="1"/>
      <w:numFmt w:val="lowerRoman"/>
      <w:pStyle w:val="Number3"/>
      <w:lvlText w:val="%3."/>
      <w:lvlJc w:val="left"/>
      <w:pPr>
        <w:tabs>
          <w:tab w:val="num" w:pos="1701"/>
        </w:tabs>
        <w:ind w:left="1701" w:hanging="567"/>
      </w:pPr>
      <w:rPr>
        <w:rFonts w:hint="default"/>
      </w:rPr>
    </w:lvl>
    <w:lvl w:ilvl="3">
      <w:start w:val="1"/>
      <w:numFmt w:val="none"/>
      <w:suff w:val="nothing"/>
      <w:lvlText w:val=""/>
      <w:lvlJc w:val="left"/>
      <w:pPr>
        <w:ind w:left="1701" w:firstLine="0"/>
      </w:pPr>
      <w:rPr>
        <w:rFonts w:hint="default"/>
      </w:rPr>
    </w:lvl>
    <w:lvl w:ilvl="4">
      <w:start w:val="1"/>
      <w:numFmt w:val="none"/>
      <w:suff w:val="nothing"/>
      <w:lvlText w:val=""/>
      <w:lvlJc w:val="left"/>
      <w:pPr>
        <w:ind w:left="1701" w:firstLine="0"/>
      </w:pPr>
      <w:rPr>
        <w:rFonts w:hint="default"/>
      </w:rPr>
    </w:lvl>
    <w:lvl w:ilvl="5">
      <w:start w:val="1"/>
      <w:numFmt w:val="none"/>
      <w:suff w:val="nothing"/>
      <w:lvlText w:val=""/>
      <w:lvlJc w:val="left"/>
      <w:pPr>
        <w:ind w:left="1701" w:firstLine="0"/>
      </w:pPr>
      <w:rPr>
        <w:rFonts w:hint="default"/>
      </w:rPr>
    </w:lvl>
    <w:lvl w:ilvl="6">
      <w:start w:val="1"/>
      <w:numFmt w:val="none"/>
      <w:suff w:val="nothing"/>
      <w:lvlText w:val=""/>
      <w:lvlJc w:val="left"/>
      <w:pPr>
        <w:ind w:left="1701" w:firstLine="0"/>
      </w:pPr>
      <w:rPr>
        <w:rFonts w:hint="default"/>
      </w:rPr>
    </w:lvl>
    <w:lvl w:ilvl="7">
      <w:start w:val="1"/>
      <w:numFmt w:val="none"/>
      <w:suff w:val="nothing"/>
      <w:lvlText w:val=""/>
      <w:lvlJc w:val="left"/>
      <w:pPr>
        <w:ind w:left="1701" w:firstLine="0"/>
      </w:pPr>
      <w:rPr>
        <w:rFonts w:hint="default"/>
      </w:rPr>
    </w:lvl>
    <w:lvl w:ilvl="8">
      <w:start w:val="1"/>
      <w:numFmt w:val="none"/>
      <w:suff w:val="nothing"/>
      <w:lvlText w:val=""/>
      <w:lvlJc w:val="left"/>
      <w:pPr>
        <w:ind w:left="1701" w:firstLine="0"/>
      </w:pPr>
      <w:rPr>
        <w:rFonts w:hint="default"/>
      </w:rPr>
    </w:lvl>
  </w:abstractNum>
  <w:abstractNum w:abstractNumId="24" w15:restartNumberingAfterBreak="0">
    <w:nsid w:val="62DD76F4"/>
    <w:multiLevelType w:val="multilevel"/>
    <w:tmpl w:val="1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39818B9"/>
    <w:multiLevelType w:val="multilevel"/>
    <w:tmpl w:val="AE28E690"/>
    <w:lvl w:ilvl="0">
      <w:start w:val="1"/>
      <w:numFmt w:val="bullet"/>
      <w:pStyle w:val="TableBullet1"/>
      <w:lvlText w:val=""/>
      <w:lvlJc w:val="left"/>
      <w:pPr>
        <w:tabs>
          <w:tab w:val="num" w:pos="357"/>
        </w:tabs>
        <w:ind w:left="357" w:hanging="357"/>
      </w:pPr>
      <w:rPr>
        <w:rFonts w:ascii="Symbol" w:hAnsi="Symbol" w:hint="default"/>
        <w:u w:color="696969"/>
      </w:rPr>
    </w:lvl>
    <w:lvl w:ilvl="1">
      <w:start w:val="1"/>
      <w:numFmt w:val="bullet"/>
      <w:pStyle w:val="TableBullet2"/>
      <w:lvlText w:val="-"/>
      <w:lvlJc w:val="left"/>
      <w:pPr>
        <w:tabs>
          <w:tab w:val="num" w:pos="714"/>
        </w:tabs>
        <w:ind w:left="714" w:hanging="357"/>
      </w:pPr>
      <w:rPr>
        <w:rFonts w:ascii="Calibri" w:hAnsi="Calibri" w:hint="default"/>
      </w:rPr>
    </w:lvl>
    <w:lvl w:ilvl="2">
      <w:start w:val="1"/>
      <w:numFmt w:val="bullet"/>
      <w:pStyle w:val="TableBullet3"/>
      <w:lvlText w:val="›"/>
      <w:lvlJc w:val="left"/>
      <w:pPr>
        <w:tabs>
          <w:tab w:val="num" w:pos="1072"/>
        </w:tabs>
        <w:ind w:left="1072" w:hanging="358"/>
      </w:pPr>
      <w:rPr>
        <w:rFonts w:ascii="Calibri" w:hAnsi="Calibri"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26" w15:restartNumberingAfterBreak="0">
    <w:nsid w:val="67E61D82"/>
    <w:multiLevelType w:val="hybridMultilevel"/>
    <w:tmpl w:val="66B2179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800" w:hanging="360"/>
      </w:pPr>
      <w:rPr>
        <w:rFonts w:ascii="Courier New" w:hAnsi="Courier New" w:cs="Courier New" w:hint="default"/>
      </w:rPr>
    </w:lvl>
    <w:lvl w:ilvl="2" w:tplc="14090005">
      <w:start w:val="1"/>
      <w:numFmt w:val="bullet"/>
      <w:lvlText w:val=""/>
      <w:lvlJc w:val="left"/>
      <w:pPr>
        <w:ind w:left="2520" w:hanging="360"/>
      </w:pPr>
      <w:rPr>
        <w:rFonts w:ascii="Wingdings" w:hAnsi="Wingdings" w:hint="default"/>
      </w:rPr>
    </w:lvl>
    <w:lvl w:ilvl="3" w:tplc="14090001">
      <w:start w:val="1"/>
      <w:numFmt w:val="bullet"/>
      <w:lvlText w:val=""/>
      <w:lvlJc w:val="left"/>
      <w:pPr>
        <w:ind w:left="3240" w:hanging="360"/>
      </w:pPr>
      <w:rPr>
        <w:rFonts w:ascii="Symbol" w:hAnsi="Symbol" w:hint="default"/>
      </w:rPr>
    </w:lvl>
    <w:lvl w:ilvl="4" w:tplc="14090003">
      <w:start w:val="1"/>
      <w:numFmt w:val="bullet"/>
      <w:lvlText w:val="o"/>
      <w:lvlJc w:val="left"/>
      <w:pPr>
        <w:ind w:left="3960" w:hanging="360"/>
      </w:pPr>
      <w:rPr>
        <w:rFonts w:ascii="Courier New" w:hAnsi="Courier New" w:cs="Courier New" w:hint="default"/>
      </w:rPr>
    </w:lvl>
    <w:lvl w:ilvl="5" w:tplc="14090005">
      <w:start w:val="1"/>
      <w:numFmt w:val="bullet"/>
      <w:lvlText w:val=""/>
      <w:lvlJc w:val="left"/>
      <w:pPr>
        <w:ind w:left="4680" w:hanging="360"/>
      </w:pPr>
      <w:rPr>
        <w:rFonts w:ascii="Wingdings" w:hAnsi="Wingdings" w:hint="default"/>
      </w:rPr>
    </w:lvl>
    <w:lvl w:ilvl="6" w:tplc="14090001">
      <w:start w:val="1"/>
      <w:numFmt w:val="bullet"/>
      <w:lvlText w:val=""/>
      <w:lvlJc w:val="left"/>
      <w:pPr>
        <w:ind w:left="5400" w:hanging="360"/>
      </w:pPr>
      <w:rPr>
        <w:rFonts w:ascii="Symbol" w:hAnsi="Symbol" w:hint="default"/>
      </w:rPr>
    </w:lvl>
    <w:lvl w:ilvl="7" w:tplc="14090003">
      <w:start w:val="1"/>
      <w:numFmt w:val="bullet"/>
      <w:lvlText w:val="o"/>
      <w:lvlJc w:val="left"/>
      <w:pPr>
        <w:ind w:left="6120" w:hanging="360"/>
      </w:pPr>
      <w:rPr>
        <w:rFonts w:ascii="Courier New" w:hAnsi="Courier New" w:cs="Courier New" w:hint="default"/>
      </w:rPr>
    </w:lvl>
    <w:lvl w:ilvl="8" w:tplc="14090005">
      <w:start w:val="1"/>
      <w:numFmt w:val="bullet"/>
      <w:lvlText w:val=""/>
      <w:lvlJc w:val="left"/>
      <w:pPr>
        <w:ind w:left="6840" w:hanging="360"/>
      </w:pPr>
      <w:rPr>
        <w:rFonts w:ascii="Wingdings" w:hAnsi="Wingdings" w:hint="default"/>
      </w:rPr>
    </w:lvl>
  </w:abstractNum>
  <w:abstractNum w:abstractNumId="27" w15:restartNumberingAfterBreak="0">
    <w:nsid w:val="688B6577"/>
    <w:multiLevelType w:val="multilevel"/>
    <w:tmpl w:val="BA4EF786"/>
    <w:lvl w:ilvl="0">
      <w:start w:val="1"/>
      <w:numFmt w:val="decimal"/>
      <w:pStyle w:val="HeadingAppendix"/>
      <w:suff w:val="space"/>
      <w:lvlText w:val="Appendix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E795464"/>
    <w:multiLevelType w:val="multilevel"/>
    <w:tmpl w:val="060E9DC8"/>
    <w:lvl w:ilvl="0">
      <w:start w:val="1"/>
      <w:numFmt w:val="lowerLetter"/>
      <w:pStyle w:val="Number-a"/>
      <w:lvlText w:val="%1."/>
      <w:lvlJc w:val="left"/>
      <w:pPr>
        <w:tabs>
          <w:tab w:val="num" w:pos="1418"/>
        </w:tabs>
        <w:ind w:left="1418" w:hanging="567"/>
      </w:pPr>
      <w:rPr>
        <w:rFonts w:hint="default"/>
      </w:rPr>
    </w:lvl>
    <w:lvl w:ilvl="1">
      <w:start w:val="1"/>
      <w:numFmt w:val="lowerRoman"/>
      <w:pStyle w:val="Number-i"/>
      <w:lvlText w:val="%2."/>
      <w:lvlJc w:val="left"/>
      <w:pPr>
        <w:tabs>
          <w:tab w:val="num" w:pos="1985"/>
        </w:tabs>
        <w:ind w:left="1985" w:hanging="567"/>
      </w:pPr>
      <w:rPr>
        <w:rFonts w:hint="default"/>
      </w:rPr>
    </w:lvl>
    <w:lvl w:ilvl="2">
      <w:start w:val="1"/>
      <w:numFmt w:val="none"/>
      <w:suff w:val="nothing"/>
      <w:lvlText w:val=""/>
      <w:lvlJc w:val="left"/>
      <w:pPr>
        <w:ind w:left="1985" w:firstLine="0"/>
      </w:pPr>
      <w:rPr>
        <w:rFonts w:hint="default"/>
      </w:rPr>
    </w:lvl>
    <w:lvl w:ilvl="3">
      <w:start w:val="1"/>
      <w:numFmt w:val="none"/>
      <w:suff w:val="nothing"/>
      <w:lvlText w:val=""/>
      <w:lvlJc w:val="left"/>
      <w:pPr>
        <w:ind w:left="1985" w:firstLine="0"/>
      </w:pPr>
      <w:rPr>
        <w:rFonts w:hint="default"/>
      </w:rPr>
    </w:lvl>
    <w:lvl w:ilvl="4">
      <w:start w:val="1"/>
      <w:numFmt w:val="none"/>
      <w:suff w:val="nothing"/>
      <w:lvlText w:val=""/>
      <w:lvlJc w:val="left"/>
      <w:pPr>
        <w:ind w:left="1985" w:firstLine="0"/>
      </w:pPr>
      <w:rPr>
        <w:rFonts w:hint="default"/>
      </w:rPr>
    </w:lvl>
    <w:lvl w:ilvl="5">
      <w:start w:val="1"/>
      <w:numFmt w:val="none"/>
      <w:suff w:val="nothing"/>
      <w:lvlText w:val=""/>
      <w:lvlJc w:val="left"/>
      <w:pPr>
        <w:ind w:left="1985" w:firstLine="0"/>
      </w:pPr>
      <w:rPr>
        <w:rFonts w:hint="default"/>
      </w:rPr>
    </w:lvl>
    <w:lvl w:ilvl="6">
      <w:start w:val="1"/>
      <w:numFmt w:val="none"/>
      <w:suff w:val="nothing"/>
      <w:lvlText w:val=""/>
      <w:lvlJc w:val="left"/>
      <w:pPr>
        <w:ind w:left="1985" w:firstLine="0"/>
      </w:pPr>
      <w:rPr>
        <w:rFonts w:hint="default"/>
      </w:rPr>
    </w:lvl>
    <w:lvl w:ilvl="7">
      <w:start w:val="1"/>
      <w:numFmt w:val="none"/>
      <w:suff w:val="nothing"/>
      <w:lvlText w:val=""/>
      <w:lvlJc w:val="left"/>
      <w:pPr>
        <w:ind w:left="1985" w:firstLine="0"/>
      </w:pPr>
      <w:rPr>
        <w:rFonts w:hint="default"/>
      </w:rPr>
    </w:lvl>
    <w:lvl w:ilvl="8">
      <w:start w:val="1"/>
      <w:numFmt w:val="none"/>
      <w:suff w:val="nothing"/>
      <w:lvlText w:val=""/>
      <w:lvlJc w:val="left"/>
      <w:pPr>
        <w:ind w:left="1985" w:firstLine="0"/>
      </w:pPr>
      <w:rPr>
        <w:rFonts w:hint="default"/>
      </w:rPr>
    </w:lvl>
  </w:abstractNum>
  <w:abstractNum w:abstractNumId="29" w15:restartNumberingAfterBreak="0">
    <w:nsid w:val="6EB01AD9"/>
    <w:multiLevelType w:val="multilevel"/>
    <w:tmpl w:val="5E14BAB2"/>
    <w:lvl w:ilvl="0">
      <w:start w:val="1"/>
      <w:numFmt w:val="lowerLetter"/>
      <w:pStyle w:val="QListalpha"/>
      <w:lvlText w:val="%1."/>
      <w:lvlJc w:val="left"/>
      <w:pPr>
        <w:tabs>
          <w:tab w:val="num" w:pos="1134"/>
        </w:tabs>
        <w:ind w:left="1134" w:hanging="567"/>
      </w:pPr>
      <w:rPr>
        <w:rFonts w:hint="default"/>
      </w:rPr>
    </w:lvl>
    <w:lvl w:ilvl="1">
      <w:start w:val="1"/>
      <w:numFmt w:val="none"/>
      <w:suff w:val="nothing"/>
      <w:lvlText w:val=""/>
      <w:lvlJc w:val="left"/>
      <w:pPr>
        <w:ind w:left="1134"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76A26424"/>
    <w:multiLevelType w:val="multilevel"/>
    <w:tmpl w:val="15A022C6"/>
    <w:lvl w:ilvl="0">
      <w:start w:val="1"/>
      <w:numFmt w:val="bullet"/>
      <w:pStyle w:val="Bullet1"/>
      <w:lvlText w:val=""/>
      <w:lvlJc w:val="left"/>
      <w:pPr>
        <w:tabs>
          <w:tab w:val="num" w:pos="567"/>
        </w:tabs>
        <w:ind w:left="567" w:hanging="567"/>
      </w:pPr>
      <w:rPr>
        <w:rFonts w:ascii="Symbol" w:hAnsi="Symbol" w:hint="default"/>
      </w:rPr>
    </w:lvl>
    <w:lvl w:ilvl="1">
      <w:start w:val="1"/>
      <w:numFmt w:val="bullet"/>
      <w:pStyle w:val="Bullet2"/>
      <w:lvlText w:val="-"/>
      <w:lvlJc w:val="left"/>
      <w:pPr>
        <w:tabs>
          <w:tab w:val="num" w:pos="1134"/>
        </w:tabs>
        <w:ind w:left="1134" w:hanging="567"/>
      </w:pPr>
      <w:rPr>
        <w:rFonts w:ascii="Calibri" w:hAnsi="Calibri" w:hint="default"/>
      </w:rPr>
    </w:lvl>
    <w:lvl w:ilvl="2">
      <w:start w:val="1"/>
      <w:numFmt w:val="bullet"/>
      <w:pStyle w:val="Bullet3"/>
      <w:lvlText w:val="›"/>
      <w:lvlJc w:val="left"/>
      <w:pPr>
        <w:tabs>
          <w:tab w:val="num" w:pos="1701"/>
        </w:tabs>
        <w:ind w:left="1701" w:hanging="567"/>
      </w:pPr>
      <w:rPr>
        <w:rFonts w:ascii="Calibri" w:hAnsi="Calibri" w:hint="default"/>
      </w:rPr>
    </w:lvl>
    <w:lvl w:ilvl="3">
      <w:start w:val="1"/>
      <w:numFmt w:val="bullet"/>
      <w:pStyle w:val="Bullet4"/>
      <w:lvlText w:val="»"/>
      <w:lvlJc w:val="left"/>
      <w:pPr>
        <w:tabs>
          <w:tab w:val="num" w:pos="2268"/>
        </w:tabs>
        <w:ind w:left="2268" w:hanging="567"/>
      </w:pPr>
      <w:rPr>
        <w:rFonts w:ascii="Calibri" w:hAnsi="Calibri" w:hint="default"/>
      </w:rPr>
    </w:lvl>
    <w:lvl w:ilvl="4">
      <w:start w:val="1"/>
      <w:numFmt w:val="none"/>
      <w:suff w:val="nothing"/>
      <w:lvlText w:val=""/>
      <w:lvlJc w:val="left"/>
      <w:pPr>
        <w:ind w:left="2268" w:firstLine="0"/>
      </w:pPr>
      <w:rPr>
        <w:rFonts w:hint="default"/>
      </w:rPr>
    </w:lvl>
    <w:lvl w:ilvl="5">
      <w:start w:val="1"/>
      <w:numFmt w:val="none"/>
      <w:lvlText w:val=""/>
      <w:lvlJc w:val="left"/>
      <w:pPr>
        <w:tabs>
          <w:tab w:val="num" w:pos="2268"/>
        </w:tabs>
        <w:ind w:left="2268" w:firstLine="0"/>
      </w:pPr>
      <w:rPr>
        <w:rFonts w:hint="default"/>
      </w:rPr>
    </w:lvl>
    <w:lvl w:ilvl="6">
      <w:start w:val="1"/>
      <w:numFmt w:val="none"/>
      <w:lvlText w:val=""/>
      <w:lvlJc w:val="left"/>
      <w:pPr>
        <w:ind w:left="2268" w:firstLine="0"/>
      </w:pPr>
      <w:rPr>
        <w:rFonts w:hint="default"/>
      </w:rPr>
    </w:lvl>
    <w:lvl w:ilvl="7">
      <w:start w:val="1"/>
      <w:numFmt w:val="none"/>
      <w:lvlText w:val=""/>
      <w:lvlJc w:val="left"/>
      <w:pPr>
        <w:ind w:left="2268" w:firstLine="0"/>
      </w:pPr>
      <w:rPr>
        <w:rFonts w:hint="default"/>
      </w:rPr>
    </w:lvl>
    <w:lvl w:ilvl="8">
      <w:start w:val="1"/>
      <w:numFmt w:val="none"/>
      <w:lvlText w:val=""/>
      <w:lvlJc w:val="left"/>
      <w:pPr>
        <w:ind w:left="2268" w:firstLine="0"/>
      </w:pPr>
      <w:rPr>
        <w:rFonts w:hint="default"/>
      </w:rPr>
    </w:lvl>
  </w:abstractNum>
  <w:abstractNum w:abstractNumId="31" w15:restartNumberingAfterBreak="0">
    <w:nsid w:val="7883054D"/>
    <w:multiLevelType w:val="multilevel"/>
    <w:tmpl w:val="1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7B247774"/>
    <w:multiLevelType w:val="multilevel"/>
    <w:tmpl w:val="64685270"/>
    <w:lvl w:ilvl="0">
      <w:start w:val="1"/>
      <w:numFmt w:val="decimal"/>
      <w:pStyle w:val="QListnumber"/>
      <w:lvlText w:val="%1."/>
      <w:lvlJc w:val="left"/>
      <w:pPr>
        <w:tabs>
          <w:tab w:val="num" w:pos="1134"/>
        </w:tabs>
        <w:ind w:left="1134" w:hanging="567"/>
      </w:pPr>
      <w:rPr>
        <w:rFont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left"/>
      <w:pPr>
        <w:tabs>
          <w:tab w:val="num" w:pos="2268"/>
        </w:tabs>
        <w:ind w:left="2268" w:hanging="567"/>
      </w:pPr>
      <w:rPr>
        <w:rFonts w:hint="default"/>
      </w:rPr>
    </w:lvl>
    <w:lvl w:ilvl="3">
      <w:start w:val="1"/>
      <w:numFmt w:val="none"/>
      <w:suff w:val="nothing"/>
      <w:lvlText w:val=""/>
      <w:lvlJc w:val="left"/>
      <w:pPr>
        <w:ind w:left="2268" w:firstLine="0"/>
      </w:pPr>
      <w:rPr>
        <w:rFonts w:hint="default"/>
      </w:rPr>
    </w:lvl>
    <w:lvl w:ilvl="4">
      <w:start w:val="1"/>
      <w:numFmt w:val="none"/>
      <w:suff w:val="nothing"/>
      <w:lvlText w:val=""/>
      <w:lvlJc w:val="left"/>
      <w:pPr>
        <w:ind w:left="2268" w:firstLine="0"/>
      </w:pPr>
      <w:rPr>
        <w:rFonts w:hint="default"/>
      </w:rPr>
    </w:lvl>
    <w:lvl w:ilvl="5">
      <w:start w:val="1"/>
      <w:numFmt w:val="none"/>
      <w:suff w:val="nothing"/>
      <w:lvlText w:val=""/>
      <w:lvlJc w:val="left"/>
      <w:pPr>
        <w:ind w:left="2268" w:firstLine="0"/>
      </w:pPr>
      <w:rPr>
        <w:rFonts w:hint="default"/>
      </w:rPr>
    </w:lvl>
    <w:lvl w:ilvl="6">
      <w:start w:val="1"/>
      <w:numFmt w:val="none"/>
      <w:suff w:val="nothing"/>
      <w:lvlText w:val=""/>
      <w:lvlJc w:val="left"/>
      <w:pPr>
        <w:ind w:left="2268" w:firstLine="0"/>
      </w:pPr>
      <w:rPr>
        <w:rFonts w:hint="default"/>
      </w:rPr>
    </w:lvl>
    <w:lvl w:ilvl="7">
      <w:start w:val="1"/>
      <w:numFmt w:val="none"/>
      <w:suff w:val="nothing"/>
      <w:lvlText w:val=""/>
      <w:lvlJc w:val="left"/>
      <w:pPr>
        <w:ind w:left="2268" w:firstLine="0"/>
      </w:pPr>
      <w:rPr>
        <w:rFonts w:hint="default"/>
      </w:rPr>
    </w:lvl>
    <w:lvl w:ilvl="8">
      <w:start w:val="1"/>
      <w:numFmt w:val="none"/>
      <w:suff w:val="nothing"/>
      <w:lvlText w:val=""/>
      <w:lvlJc w:val="left"/>
      <w:pPr>
        <w:ind w:left="2268" w:firstLine="0"/>
      </w:pPr>
      <w:rPr>
        <w:rFonts w:hint="default"/>
      </w:rPr>
    </w:lvl>
  </w:abstractNum>
  <w:abstractNum w:abstractNumId="33" w15:restartNumberingAfterBreak="0">
    <w:nsid w:val="7DD64948"/>
    <w:multiLevelType w:val="hybridMultilevel"/>
    <w:tmpl w:val="37B8EB7A"/>
    <w:lvl w:ilvl="0" w:tplc="5AB66E8A">
      <w:start w:val="1"/>
      <w:numFmt w:val="decimal"/>
      <w:lvlText w:val="%1"/>
      <w:lvlJc w:val="left"/>
      <w:pPr>
        <w:ind w:left="720" w:hanging="360"/>
      </w:pPr>
      <w:rPr>
        <w:rFonts w:hint="default"/>
        <w:b/>
        <w:color w:val="A6A6A6" w:themeColor="background1" w:themeShade="A6"/>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973101337">
    <w:abstractNumId w:val="30"/>
  </w:num>
  <w:num w:numId="2" w16cid:durableId="1656492583">
    <w:abstractNumId w:val="17"/>
  </w:num>
  <w:num w:numId="3" w16cid:durableId="722095861">
    <w:abstractNumId w:val="23"/>
  </w:num>
  <w:num w:numId="4" w16cid:durableId="12728664">
    <w:abstractNumId w:val="25"/>
  </w:num>
  <w:num w:numId="5" w16cid:durableId="719865180">
    <w:abstractNumId w:val="10"/>
  </w:num>
  <w:num w:numId="6" w16cid:durableId="1659924284">
    <w:abstractNumId w:val="18"/>
  </w:num>
  <w:num w:numId="7" w16cid:durableId="531841392">
    <w:abstractNumId w:val="1"/>
  </w:num>
  <w:num w:numId="8" w16cid:durableId="1309479321">
    <w:abstractNumId w:val="14"/>
  </w:num>
  <w:num w:numId="9" w16cid:durableId="1762290210">
    <w:abstractNumId w:val="27"/>
  </w:num>
  <w:num w:numId="10" w16cid:durableId="1306666119">
    <w:abstractNumId w:val="21"/>
  </w:num>
  <w:num w:numId="11" w16cid:durableId="1476146516">
    <w:abstractNumId w:val="16"/>
  </w:num>
  <w:num w:numId="12" w16cid:durableId="33164131">
    <w:abstractNumId w:val="12"/>
  </w:num>
  <w:num w:numId="13" w16cid:durableId="858280033">
    <w:abstractNumId w:val="28"/>
  </w:num>
  <w:num w:numId="14" w16cid:durableId="1314914478">
    <w:abstractNumId w:val="29"/>
  </w:num>
  <w:num w:numId="15" w16cid:durableId="1726642681">
    <w:abstractNumId w:val="19"/>
  </w:num>
  <w:num w:numId="16" w16cid:durableId="2097944393">
    <w:abstractNumId w:val="32"/>
  </w:num>
  <w:num w:numId="17" w16cid:durableId="16620797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52871067">
    <w:abstractNumId w:val="13"/>
  </w:num>
  <w:num w:numId="19" w16cid:durableId="127210982">
    <w:abstractNumId w:val="15"/>
  </w:num>
  <w:num w:numId="20" w16cid:durableId="2103530742">
    <w:abstractNumId w:val="24"/>
  </w:num>
  <w:num w:numId="21" w16cid:durableId="1221213881">
    <w:abstractNumId w:val="20"/>
  </w:num>
  <w:num w:numId="22" w16cid:durableId="76947347">
    <w:abstractNumId w:val="31"/>
  </w:num>
  <w:num w:numId="23" w16cid:durableId="1597204984">
    <w:abstractNumId w:val="9"/>
  </w:num>
  <w:num w:numId="24" w16cid:durableId="2014185357">
    <w:abstractNumId w:val="7"/>
  </w:num>
  <w:num w:numId="25" w16cid:durableId="1666010011">
    <w:abstractNumId w:val="6"/>
  </w:num>
  <w:num w:numId="26" w16cid:durableId="80957901">
    <w:abstractNumId w:val="5"/>
  </w:num>
  <w:num w:numId="27" w16cid:durableId="1297369099">
    <w:abstractNumId w:val="4"/>
  </w:num>
  <w:num w:numId="28" w16cid:durableId="1902982591">
    <w:abstractNumId w:val="8"/>
  </w:num>
  <w:num w:numId="29" w16cid:durableId="1662853090">
    <w:abstractNumId w:val="3"/>
  </w:num>
  <w:num w:numId="30" w16cid:durableId="743180403">
    <w:abstractNumId w:val="2"/>
  </w:num>
  <w:num w:numId="31" w16cid:durableId="427970457">
    <w:abstractNumId w:val="0"/>
  </w:num>
  <w:num w:numId="32" w16cid:durableId="1647665239">
    <w:abstractNumId w:val="33"/>
  </w:num>
  <w:num w:numId="33" w16cid:durableId="336544509">
    <w:abstractNumId w:val="26"/>
  </w:num>
  <w:num w:numId="34" w16cid:durableId="382142440">
    <w:abstractNumId w:val="30"/>
  </w:num>
  <w:num w:numId="35" w16cid:durableId="12967617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93822816">
    <w:abstractNumId w:val="22"/>
  </w:num>
  <w:num w:numId="37" w16cid:durableId="1049765233">
    <w:abstractNumId w:val="3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567"/>
  <w:drawingGridHorizontalSpacing w:val="120"/>
  <w:displayHorizontalDrawingGridEvery w:val="2"/>
  <w:characterSpacingControl w:val="doNotCompress"/>
  <w:savePreviewPicture/>
  <w:hdrShapeDefaults>
    <o:shapedefaults v:ext="edit" spidmax="2050" fillcolor="none [3204]" strokecolor="none [3204]">
      <v:fill color="none [3204]"/>
      <v:stroke color="none [3204]" weight="3pt"/>
      <v:shadow type="perspective" color="none [1604]" opacity=".5" offset="1pt" offset2="-1pt"/>
    </o:shapedefaults>
  </w:hdrShapeDefaults>
  <w:footnotePr>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ntentsAppendix" w:val="0"/>
    <w:docVar w:name="ContentsCreated" w:val="1"/>
    <w:docVar w:name="ContentsFigure" w:val="0"/>
    <w:docVar w:name="ContentsMain" w:val="1"/>
    <w:docVar w:name="ContentsMainLevel" w:val="3"/>
    <w:docVar w:name="ContentsTable" w:val="0"/>
    <w:docVar w:name="dgnword-docGUID" w:val="{132F452D-B4B4-4264-AD46-E2C8A0607147}"/>
    <w:docVar w:name="dgnword-eventsink" w:val="545137752"/>
    <w:docVar w:name="dvBlankFooter1" w:val="False"/>
    <w:docVar w:name="dvBlankFooter2" w:val="False"/>
    <w:docVar w:name="dvBlankHeader1" w:val="False"/>
    <w:docVar w:name="dvBlankHeader2" w:val="False"/>
    <w:docVar w:name="dvLogoHeader1" w:val="True"/>
    <w:docVar w:name="dvShortFooter1" w:val="True"/>
    <w:docVar w:name="dvShortFooter2" w:val="True"/>
    <w:docVar w:name="dvShortText" w:val=" "/>
    <w:docVar w:name="dvShortTextFrm" w:val=" "/>
    <w:docVar w:name="dvTextHeader1" w:val="False"/>
    <w:docVar w:name="dvTextHeader2" w:val="True"/>
    <w:docVar w:name="FooterL1" w:val="InsertFirstFooterShortTitleL"/>
    <w:docVar w:name="FooterL2" w:val="InsertSecondFooterShortTitleL"/>
    <w:docVar w:name="FooterP1" w:val="InsertFirstFooterShortTitleP"/>
    <w:docVar w:name="FooterP2" w:val="InsertSecondFooterShortTitleP"/>
    <w:docVar w:name="HeaderL1" w:val="InsertFirstHeaderLogoL"/>
    <w:docVar w:name="HeaderL2" w:val="InsertSecondHeaderTextL"/>
    <w:docVar w:name="HeaderP1" w:val="InsertFirstHeaderLogoP"/>
    <w:docVar w:name="HeaderP2" w:val="InsertSecondHeaderTextP"/>
    <w:docVar w:name="IsfirstTb" w:val="False"/>
    <w:docVar w:name="IsInTable" w:val="True"/>
    <w:docVar w:name="OOTOTemplate" w:val="OOTO General\OOTO_Blank.dotm"/>
    <w:docVar w:name="ShowFooter" w:val="True"/>
    <w:docVar w:name="ShowLogo" w:val="False"/>
  </w:docVars>
  <w:rsids>
    <w:rsidRoot w:val="003C7715"/>
    <w:rsid w:val="00001F57"/>
    <w:rsid w:val="00004F61"/>
    <w:rsid w:val="000067B2"/>
    <w:rsid w:val="00007902"/>
    <w:rsid w:val="000122E4"/>
    <w:rsid w:val="000124CC"/>
    <w:rsid w:val="00012895"/>
    <w:rsid w:val="0001373E"/>
    <w:rsid w:val="00013791"/>
    <w:rsid w:val="00013C1F"/>
    <w:rsid w:val="00013D24"/>
    <w:rsid w:val="000143C2"/>
    <w:rsid w:val="000143D2"/>
    <w:rsid w:val="00015AF3"/>
    <w:rsid w:val="00015E5F"/>
    <w:rsid w:val="00017802"/>
    <w:rsid w:val="000202B4"/>
    <w:rsid w:val="00021382"/>
    <w:rsid w:val="000221C9"/>
    <w:rsid w:val="0002625E"/>
    <w:rsid w:val="00026A3B"/>
    <w:rsid w:val="00026DAC"/>
    <w:rsid w:val="000308F2"/>
    <w:rsid w:val="00032A75"/>
    <w:rsid w:val="00033A18"/>
    <w:rsid w:val="00033DE4"/>
    <w:rsid w:val="000356C9"/>
    <w:rsid w:val="000356D9"/>
    <w:rsid w:val="00040478"/>
    <w:rsid w:val="00041615"/>
    <w:rsid w:val="00041F68"/>
    <w:rsid w:val="00041F7A"/>
    <w:rsid w:val="00043764"/>
    <w:rsid w:val="0004464F"/>
    <w:rsid w:val="000464A7"/>
    <w:rsid w:val="00047248"/>
    <w:rsid w:val="00047E06"/>
    <w:rsid w:val="00050123"/>
    <w:rsid w:val="000507D4"/>
    <w:rsid w:val="00050B9F"/>
    <w:rsid w:val="00052610"/>
    <w:rsid w:val="00053114"/>
    <w:rsid w:val="00053682"/>
    <w:rsid w:val="0005538F"/>
    <w:rsid w:val="000555FB"/>
    <w:rsid w:val="00056073"/>
    <w:rsid w:val="00056BB3"/>
    <w:rsid w:val="00057C4D"/>
    <w:rsid w:val="00057CF2"/>
    <w:rsid w:val="0006009F"/>
    <w:rsid w:val="00061E63"/>
    <w:rsid w:val="000620B2"/>
    <w:rsid w:val="00064B66"/>
    <w:rsid w:val="0006538B"/>
    <w:rsid w:val="00065694"/>
    <w:rsid w:val="00067635"/>
    <w:rsid w:val="00070B49"/>
    <w:rsid w:val="0007105E"/>
    <w:rsid w:val="00072239"/>
    <w:rsid w:val="00073AB0"/>
    <w:rsid w:val="00073B52"/>
    <w:rsid w:val="00075081"/>
    <w:rsid w:val="0007782F"/>
    <w:rsid w:val="00080A86"/>
    <w:rsid w:val="00080EEE"/>
    <w:rsid w:val="00083E5C"/>
    <w:rsid w:val="00083F90"/>
    <w:rsid w:val="000840C6"/>
    <w:rsid w:val="00084EC9"/>
    <w:rsid w:val="0008644C"/>
    <w:rsid w:val="00086810"/>
    <w:rsid w:val="00087367"/>
    <w:rsid w:val="00090444"/>
    <w:rsid w:val="00090481"/>
    <w:rsid w:val="000929F9"/>
    <w:rsid w:val="00093C69"/>
    <w:rsid w:val="00093E9B"/>
    <w:rsid w:val="00096872"/>
    <w:rsid w:val="0009757D"/>
    <w:rsid w:val="000A0107"/>
    <w:rsid w:val="000A0449"/>
    <w:rsid w:val="000A058D"/>
    <w:rsid w:val="000A07B3"/>
    <w:rsid w:val="000A0B41"/>
    <w:rsid w:val="000A10AE"/>
    <w:rsid w:val="000A2561"/>
    <w:rsid w:val="000A2C31"/>
    <w:rsid w:val="000A56A9"/>
    <w:rsid w:val="000A62B3"/>
    <w:rsid w:val="000A6E09"/>
    <w:rsid w:val="000A7386"/>
    <w:rsid w:val="000B2A2F"/>
    <w:rsid w:val="000B3001"/>
    <w:rsid w:val="000B3108"/>
    <w:rsid w:val="000B43C3"/>
    <w:rsid w:val="000B4A19"/>
    <w:rsid w:val="000B5DBC"/>
    <w:rsid w:val="000C042D"/>
    <w:rsid w:val="000C181D"/>
    <w:rsid w:val="000C20DA"/>
    <w:rsid w:val="000C2F10"/>
    <w:rsid w:val="000C39EE"/>
    <w:rsid w:val="000C487C"/>
    <w:rsid w:val="000C6160"/>
    <w:rsid w:val="000C794D"/>
    <w:rsid w:val="000D12E8"/>
    <w:rsid w:val="000D2BB6"/>
    <w:rsid w:val="000D2F45"/>
    <w:rsid w:val="000D3183"/>
    <w:rsid w:val="000D33D6"/>
    <w:rsid w:val="000D3571"/>
    <w:rsid w:val="000D4757"/>
    <w:rsid w:val="000D5F1D"/>
    <w:rsid w:val="000D6FA6"/>
    <w:rsid w:val="000E24E1"/>
    <w:rsid w:val="000E2C2F"/>
    <w:rsid w:val="000E2DE5"/>
    <w:rsid w:val="000E7897"/>
    <w:rsid w:val="000F2EA0"/>
    <w:rsid w:val="000F2F29"/>
    <w:rsid w:val="000F32C4"/>
    <w:rsid w:val="000F45AE"/>
    <w:rsid w:val="001009F5"/>
    <w:rsid w:val="00100FC6"/>
    <w:rsid w:val="00101DB4"/>
    <w:rsid w:val="001026B4"/>
    <w:rsid w:val="00102C03"/>
    <w:rsid w:val="00103BE5"/>
    <w:rsid w:val="00104C56"/>
    <w:rsid w:val="0010570E"/>
    <w:rsid w:val="00105EC3"/>
    <w:rsid w:val="001064E0"/>
    <w:rsid w:val="00107858"/>
    <w:rsid w:val="00110322"/>
    <w:rsid w:val="00112A08"/>
    <w:rsid w:val="00114B87"/>
    <w:rsid w:val="00115068"/>
    <w:rsid w:val="00116FE8"/>
    <w:rsid w:val="00120044"/>
    <w:rsid w:val="0012041B"/>
    <w:rsid w:val="0012424D"/>
    <w:rsid w:val="00125760"/>
    <w:rsid w:val="001267DC"/>
    <w:rsid w:val="00130531"/>
    <w:rsid w:val="001319FB"/>
    <w:rsid w:val="00134BAD"/>
    <w:rsid w:val="001356D1"/>
    <w:rsid w:val="00137F0A"/>
    <w:rsid w:val="001403A2"/>
    <w:rsid w:val="00140996"/>
    <w:rsid w:val="00140DAC"/>
    <w:rsid w:val="0014433F"/>
    <w:rsid w:val="001452C2"/>
    <w:rsid w:val="001506E9"/>
    <w:rsid w:val="001515DD"/>
    <w:rsid w:val="00151F5B"/>
    <w:rsid w:val="00152816"/>
    <w:rsid w:val="00153DCF"/>
    <w:rsid w:val="00153E4D"/>
    <w:rsid w:val="00155848"/>
    <w:rsid w:val="00156CF2"/>
    <w:rsid w:val="00161A41"/>
    <w:rsid w:val="00161CC2"/>
    <w:rsid w:val="0016382B"/>
    <w:rsid w:val="00163A23"/>
    <w:rsid w:val="0016599E"/>
    <w:rsid w:val="00165C89"/>
    <w:rsid w:val="001709F2"/>
    <w:rsid w:val="001731CE"/>
    <w:rsid w:val="00173E9F"/>
    <w:rsid w:val="001751CA"/>
    <w:rsid w:val="00175E56"/>
    <w:rsid w:val="00177909"/>
    <w:rsid w:val="00180B80"/>
    <w:rsid w:val="00181B5B"/>
    <w:rsid w:val="001822E3"/>
    <w:rsid w:val="001842E7"/>
    <w:rsid w:val="001860A1"/>
    <w:rsid w:val="00186A52"/>
    <w:rsid w:val="001872A2"/>
    <w:rsid w:val="001874C5"/>
    <w:rsid w:val="00190A34"/>
    <w:rsid w:val="00191700"/>
    <w:rsid w:val="00192C5D"/>
    <w:rsid w:val="00194280"/>
    <w:rsid w:val="00194AF8"/>
    <w:rsid w:val="00196510"/>
    <w:rsid w:val="001971F7"/>
    <w:rsid w:val="001A0EDA"/>
    <w:rsid w:val="001A4C19"/>
    <w:rsid w:val="001B033D"/>
    <w:rsid w:val="001B20DF"/>
    <w:rsid w:val="001B36C5"/>
    <w:rsid w:val="001B56F9"/>
    <w:rsid w:val="001B66AB"/>
    <w:rsid w:val="001B6AA0"/>
    <w:rsid w:val="001B783B"/>
    <w:rsid w:val="001B7A96"/>
    <w:rsid w:val="001C1D18"/>
    <w:rsid w:val="001C1D6F"/>
    <w:rsid w:val="001C2BF7"/>
    <w:rsid w:val="001C302F"/>
    <w:rsid w:val="001D2F79"/>
    <w:rsid w:val="001D34B2"/>
    <w:rsid w:val="001D5230"/>
    <w:rsid w:val="001D5334"/>
    <w:rsid w:val="001D599A"/>
    <w:rsid w:val="001D64B9"/>
    <w:rsid w:val="001D7BDB"/>
    <w:rsid w:val="001D7CC2"/>
    <w:rsid w:val="001E05DE"/>
    <w:rsid w:val="001E067E"/>
    <w:rsid w:val="001E10CD"/>
    <w:rsid w:val="001E16D0"/>
    <w:rsid w:val="001E2181"/>
    <w:rsid w:val="001E2237"/>
    <w:rsid w:val="001E26E5"/>
    <w:rsid w:val="001E3010"/>
    <w:rsid w:val="001E4287"/>
    <w:rsid w:val="001E65BD"/>
    <w:rsid w:val="001E6E74"/>
    <w:rsid w:val="001E75EF"/>
    <w:rsid w:val="001F036E"/>
    <w:rsid w:val="001F14C5"/>
    <w:rsid w:val="001F178C"/>
    <w:rsid w:val="001F19B5"/>
    <w:rsid w:val="001F20AE"/>
    <w:rsid w:val="001F295C"/>
    <w:rsid w:val="001F3384"/>
    <w:rsid w:val="002013FD"/>
    <w:rsid w:val="00203BB4"/>
    <w:rsid w:val="002050F7"/>
    <w:rsid w:val="00206B77"/>
    <w:rsid w:val="00206F17"/>
    <w:rsid w:val="0021064F"/>
    <w:rsid w:val="00210B22"/>
    <w:rsid w:val="002113BA"/>
    <w:rsid w:val="00212DBD"/>
    <w:rsid w:val="0021315D"/>
    <w:rsid w:val="00213AE7"/>
    <w:rsid w:val="00214AA5"/>
    <w:rsid w:val="00215479"/>
    <w:rsid w:val="00215C98"/>
    <w:rsid w:val="0021639F"/>
    <w:rsid w:val="00217F95"/>
    <w:rsid w:val="002210C4"/>
    <w:rsid w:val="00222498"/>
    <w:rsid w:val="00222EA0"/>
    <w:rsid w:val="00225D18"/>
    <w:rsid w:val="00226825"/>
    <w:rsid w:val="0023071A"/>
    <w:rsid w:val="00230A3B"/>
    <w:rsid w:val="00230FF4"/>
    <w:rsid w:val="0023126A"/>
    <w:rsid w:val="0023141F"/>
    <w:rsid w:val="00232129"/>
    <w:rsid w:val="00232952"/>
    <w:rsid w:val="00233EDA"/>
    <w:rsid w:val="0023517B"/>
    <w:rsid w:val="002355BF"/>
    <w:rsid w:val="00235DDF"/>
    <w:rsid w:val="00236701"/>
    <w:rsid w:val="002372E1"/>
    <w:rsid w:val="00240153"/>
    <w:rsid w:val="0024053D"/>
    <w:rsid w:val="00242C97"/>
    <w:rsid w:val="00243DDD"/>
    <w:rsid w:val="00245ACC"/>
    <w:rsid w:val="0024602D"/>
    <w:rsid w:val="00246347"/>
    <w:rsid w:val="002465C9"/>
    <w:rsid w:val="002466D8"/>
    <w:rsid w:val="00246DE7"/>
    <w:rsid w:val="0025080F"/>
    <w:rsid w:val="00251456"/>
    <w:rsid w:val="0025298D"/>
    <w:rsid w:val="00253466"/>
    <w:rsid w:val="00254D72"/>
    <w:rsid w:val="00255162"/>
    <w:rsid w:val="002556C7"/>
    <w:rsid w:val="0025599E"/>
    <w:rsid w:val="002561DD"/>
    <w:rsid w:val="0025626E"/>
    <w:rsid w:val="00256C2E"/>
    <w:rsid w:val="00256DEB"/>
    <w:rsid w:val="00257208"/>
    <w:rsid w:val="00257B13"/>
    <w:rsid w:val="00260BF4"/>
    <w:rsid w:val="002612E2"/>
    <w:rsid w:val="002613E2"/>
    <w:rsid w:val="0026259E"/>
    <w:rsid w:val="00263EE2"/>
    <w:rsid w:val="00264CDF"/>
    <w:rsid w:val="0026736A"/>
    <w:rsid w:val="00270E9A"/>
    <w:rsid w:val="0027171F"/>
    <w:rsid w:val="0027214C"/>
    <w:rsid w:val="00275DA7"/>
    <w:rsid w:val="00276B72"/>
    <w:rsid w:val="00277354"/>
    <w:rsid w:val="00283493"/>
    <w:rsid w:val="0028354E"/>
    <w:rsid w:val="0028442E"/>
    <w:rsid w:val="0028520E"/>
    <w:rsid w:val="002912F7"/>
    <w:rsid w:val="0029209E"/>
    <w:rsid w:val="002926D2"/>
    <w:rsid w:val="00295101"/>
    <w:rsid w:val="0029636E"/>
    <w:rsid w:val="002A1D84"/>
    <w:rsid w:val="002A34F1"/>
    <w:rsid w:val="002A451B"/>
    <w:rsid w:val="002A466F"/>
    <w:rsid w:val="002A65A7"/>
    <w:rsid w:val="002A753C"/>
    <w:rsid w:val="002B0EB5"/>
    <w:rsid w:val="002B19E4"/>
    <w:rsid w:val="002B4324"/>
    <w:rsid w:val="002B446B"/>
    <w:rsid w:val="002B44E4"/>
    <w:rsid w:val="002B4E02"/>
    <w:rsid w:val="002B5274"/>
    <w:rsid w:val="002B620A"/>
    <w:rsid w:val="002B6241"/>
    <w:rsid w:val="002B6CA9"/>
    <w:rsid w:val="002C00D3"/>
    <w:rsid w:val="002C02BA"/>
    <w:rsid w:val="002C0A27"/>
    <w:rsid w:val="002C182F"/>
    <w:rsid w:val="002C355D"/>
    <w:rsid w:val="002C3BE6"/>
    <w:rsid w:val="002C4624"/>
    <w:rsid w:val="002C48EC"/>
    <w:rsid w:val="002C5355"/>
    <w:rsid w:val="002C58CE"/>
    <w:rsid w:val="002C6579"/>
    <w:rsid w:val="002C6859"/>
    <w:rsid w:val="002C6AFE"/>
    <w:rsid w:val="002D09E7"/>
    <w:rsid w:val="002D1154"/>
    <w:rsid w:val="002D2912"/>
    <w:rsid w:val="002D55FE"/>
    <w:rsid w:val="002D5D0F"/>
    <w:rsid w:val="002D61FD"/>
    <w:rsid w:val="002D6383"/>
    <w:rsid w:val="002D6E92"/>
    <w:rsid w:val="002D7318"/>
    <w:rsid w:val="002D7BD6"/>
    <w:rsid w:val="002E287B"/>
    <w:rsid w:val="002E37EB"/>
    <w:rsid w:val="002E643B"/>
    <w:rsid w:val="002E6678"/>
    <w:rsid w:val="002F7A08"/>
    <w:rsid w:val="003002CA"/>
    <w:rsid w:val="00300913"/>
    <w:rsid w:val="003017F1"/>
    <w:rsid w:val="00305701"/>
    <w:rsid w:val="003070E6"/>
    <w:rsid w:val="003074E8"/>
    <w:rsid w:val="003079F9"/>
    <w:rsid w:val="00310812"/>
    <w:rsid w:val="003108C7"/>
    <w:rsid w:val="00311186"/>
    <w:rsid w:val="0031265B"/>
    <w:rsid w:val="003145D7"/>
    <w:rsid w:val="003149CE"/>
    <w:rsid w:val="003149E4"/>
    <w:rsid w:val="00315EA6"/>
    <w:rsid w:val="00316C22"/>
    <w:rsid w:val="00317996"/>
    <w:rsid w:val="003179F3"/>
    <w:rsid w:val="003202B7"/>
    <w:rsid w:val="003205E8"/>
    <w:rsid w:val="0032158C"/>
    <w:rsid w:val="00323123"/>
    <w:rsid w:val="003241F4"/>
    <w:rsid w:val="00324547"/>
    <w:rsid w:val="00324D5D"/>
    <w:rsid w:val="003253D9"/>
    <w:rsid w:val="003270C0"/>
    <w:rsid w:val="00327CBE"/>
    <w:rsid w:val="00327F6F"/>
    <w:rsid w:val="00330F64"/>
    <w:rsid w:val="00331C40"/>
    <w:rsid w:val="0033295B"/>
    <w:rsid w:val="00333EBD"/>
    <w:rsid w:val="00334220"/>
    <w:rsid w:val="00334F2E"/>
    <w:rsid w:val="0033609A"/>
    <w:rsid w:val="003368E9"/>
    <w:rsid w:val="003374ED"/>
    <w:rsid w:val="003419AA"/>
    <w:rsid w:val="00342FE3"/>
    <w:rsid w:val="00344197"/>
    <w:rsid w:val="00345ECB"/>
    <w:rsid w:val="00346149"/>
    <w:rsid w:val="003516B6"/>
    <w:rsid w:val="003531C6"/>
    <w:rsid w:val="003539AD"/>
    <w:rsid w:val="00354081"/>
    <w:rsid w:val="003548C0"/>
    <w:rsid w:val="003567EB"/>
    <w:rsid w:val="0036078D"/>
    <w:rsid w:val="00360C6C"/>
    <w:rsid w:val="00361953"/>
    <w:rsid w:val="00363724"/>
    <w:rsid w:val="00370EBD"/>
    <w:rsid w:val="00372DFB"/>
    <w:rsid w:val="00373DCE"/>
    <w:rsid w:val="00373E9C"/>
    <w:rsid w:val="00377FF1"/>
    <w:rsid w:val="003815F7"/>
    <w:rsid w:val="00383460"/>
    <w:rsid w:val="0038365D"/>
    <w:rsid w:val="00383F29"/>
    <w:rsid w:val="00385BCC"/>
    <w:rsid w:val="003861A1"/>
    <w:rsid w:val="003875FF"/>
    <w:rsid w:val="00391229"/>
    <w:rsid w:val="00391520"/>
    <w:rsid w:val="003917BB"/>
    <w:rsid w:val="00392A64"/>
    <w:rsid w:val="00395E9D"/>
    <w:rsid w:val="00396770"/>
    <w:rsid w:val="003A00FA"/>
    <w:rsid w:val="003A10EE"/>
    <w:rsid w:val="003A1465"/>
    <w:rsid w:val="003A152A"/>
    <w:rsid w:val="003A208E"/>
    <w:rsid w:val="003A26FF"/>
    <w:rsid w:val="003A2E0E"/>
    <w:rsid w:val="003A3ABC"/>
    <w:rsid w:val="003A3C7B"/>
    <w:rsid w:val="003A6C9C"/>
    <w:rsid w:val="003B04BE"/>
    <w:rsid w:val="003B60A0"/>
    <w:rsid w:val="003C6B10"/>
    <w:rsid w:val="003C6E7A"/>
    <w:rsid w:val="003C7715"/>
    <w:rsid w:val="003D139D"/>
    <w:rsid w:val="003D1B3B"/>
    <w:rsid w:val="003D5E54"/>
    <w:rsid w:val="003D6476"/>
    <w:rsid w:val="003D73B9"/>
    <w:rsid w:val="003E38A3"/>
    <w:rsid w:val="003E4400"/>
    <w:rsid w:val="003E51DA"/>
    <w:rsid w:val="003E6107"/>
    <w:rsid w:val="003E73D7"/>
    <w:rsid w:val="003E7BBC"/>
    <w:rsid w:val="003F0032"/>
    <w:rsid w:val="003F029A"/>
    <w:rsid w:val="003F039F"/>
    <w:rsid w:val="003F1006"/>
    <w:rsid w:val="003F2AD9"/>
    <w:rsid w:val="003F30C7"/>
    <w:rsid w:val="003F3611"/>
    <w:rsid w:val="003F396C"/>
    <w:rsid w:val="003F592B"/>
    <w:rsid w:val="003F5F52"/>
    <w:rsid w:val="003F68AA"/>
    <w:rsid w:val="003F6E0C"/>
    <w:rsid w:val="00401BF2"/>
    <w:rsid w:val="00401EFF"/>
    <w:rsid w:val="00402380"/>
    <w:rsid w:val="00403212"/>
    <w:rsid w:val="004032AA"/>
    <w:rsid w:val="00404C91"/>
    <w:rsid w:val="00405076"/>
    <w:rsid w:val="00405E1E"/>
    <w:rsid w:val="00406000"/>
    <w:rsid w:val="0040612E"/>
    <w:rsid w:val="004061BA"/>
    <w:rsid w:val="00410181"/>
    <w:rsid w:val="00411A78"/>
    <w:rsid w:val="004133F1"/>
    <w:rsid w:val="00421658"/>
    <w:rsid w:val="004302DE"/>
    <w:rsid w:val="00430CFD"/>
    <w:rsid w:val="00430D28"/>
    <w:rsid w:val="00431860"/>
    <w:rsid w:val="00431AD1"/>
    <w:rsid w:val="00431F33"/>
    <w:rsid w:val="004322CF"/>
    <w:rsid w:val="00433038"/>
    <w:rsid w:val="0043473C"/>
    <w:rsid w:val="00437786"/>
    <w:rsid w:val="0043781B"/>
    <w:rsid w:val="00441228"/>
    <w:rsid w:val="004418F1"/>
    <w:rsid w:val="00442610"/>
    <w:rsid w:val="00443097"/>
    <w:rsid w:val="00443750"/>
    <w:rsid w:val="0045229D"/>
    <w:rsid w:val="0045250C"/>
    <w:rsid w:val="004530C1"/>
    <w:rsid w:val="0045515F"/>
    <w:rsid w:val="004552AC"/>
    <w:rsid w:val="004557EE"/>
    <w:rsid w:val="00456CC5"/>
    <w:rsid w:val="00456FE7"/>
    <w:rsid w:val="00457690"/>
    <w:rsid w:val="00460281"/>
    <w:rsid w:val="00462EC9"/>
    <w:rsid w:val="0046411D"/>
    <w:rsid w:val="00465EE3"/>
    <w:rsid w:val="00467D21"/>
    <w:rsid w:val="00470705"/>
    <w:rsid w:val="00473239"/>
    <w:rsid w:val="00477A0B"/>
    <w:rsid w:val="004835B0"/>
    <w:rsid w:val="00484278"/>
    <w:rsid w:val="00485C6B"/>
    <w:rsid w:val="00492A27"/>
    <w:rsid w:val="00492B3E"/>
    <w:rsid w:val="00493032"/>
    <w:rsid w:val="004940D6"/>
    <w:rsid w:val="00495BA2"/>
    <w:rsid w:val="004A11DB"/>
    <w:rsid w:val="004A2675"/>
    <w:rsid w:val="004A40BD"/>
    <w:rsid w:val="004A58DB"/>
    <w:rsid w:val="004A66E1"/>
    <w:rsid w:val="004A717A"/>
    <w:rsid w:val="004B3108"/>
    <w:rsid w:val="004B355B"/>
    <w:rsid w:val="004B4D74"/>
    <w:rsid w:val="004B6762"/>
    <w:rsid w:val="004B676D"/>
    <w:rsid w:val="004C14FC"/>
    <w:rsid w:val="004C470D"/>
    <w:rsid w:val="004C495E"/>
    <w:rsid w:val="004C4E1B"/>
    <w:rsid w:val="004C500B"/>
    <w:rsid w:val="004C5090"/>
    <w:rsid w:val="004C5164"/>
    <w:rsid w:val="004C537F"/>
    <w:rsid w:val="004C581D"/>
    <w:rsid w:val="004C5C66"/>
    <w:rsid w:val="004C6581"/>
    <w:rsid w:val="004C748E"/>
    <w:rsid w:val="004D006C"/>
    <w:rsid w:val="004D567B"/>
    <w:rsid w:val="004D56E2"/>
    <w:rsid w:val="004E196F"/>
    <w:rsid w:val="004E2C4E"/>
    <w:rsid w:val="004E342C"/>
    <w:rsid w:val="004E5E6E"/>
    <w:rsid w:val="004E7BA5"/>
    <w:rsid w:val="004E7E24"/>
    <w:rsid w:val="004F0B79"/>
    <w:rsid w:val="004F3936"/>
    <w:rsid w:val="004F4567"/>
    <w:rsid w:val="004F47E4"/>
    <w:rsid w:val="004F4E70"/>
    <w:rsid w:val="004F549A"/>
    <w:rsid w:val="004F570E"/>
    <w:rsid w:val="004F6DC3"/>
    <w:rsid w:val="00501633"/>
    <w:rsid w:val="00501F32"/>
    <w:rsid w:val="005039A9"/>
    <w:rsid w:val="00503E51"/>
    <w:rsid w:val="005048BB"/>
    <w:rsid w:val="00504CEA"/>
    <w:rsid w:val="00504E76"/>
    <w:rsid w:val="00506B8B"/>
    <w:rsid w:val="00507E4B"/>
    <w:rsid w:val="005102D8"/>
    <w:rsid w:val="00511005"/>
    <w:rsid w:val="00511163"/>
    <w:rsid w:val="005126FC"/>
    <w:rsid w:val="00512A39"/>
    <w:rsid w:val="00513AFE"/>
    <w:rsid w:val="00515234"/>
    <w:rsid w:val="00515585"/>
    <w:rsid w:val="00517EFE"/>
    <w:rsid w:val="00521F78"/>
    <w:rsid w:val="00522F4C"/>
    <w:rsid w:val="00524BF8"/>
    <w:rsid w:val="0052518C"/>
    <w:rsid w:val="00525793"/>
    <w:rsid w:val="005261A0"/>
    <w:rsid w:val="0052677F"/>
    <w:rsid w:val="00527367"/>
    <w:rsid w:val="00531B68"/>
    <w:rsid w:val="005330B3"/>
    <w:rsid w:val="0053312D"/>
    <w:rsid w:val="00533805"/>
    <w:rsid w:val="005338FD"/>
    <w:rsid w:val="0053714E"/>
    <w:rsid w:val="00540007"/>
    <w:rsid w:val="005409E7"/>
    <w:rsid w:val="00542CB2"/>
    <w:rsid w:val="0054417A"/>
    <w:rsid w:val="00546415"/>
    <w:rsid w:val="00547A11"/>
    <w:rsid w:val="00547E08"/>
    <w:rsid w:val="00550220"/>
    <w:rsid w:val="00550AE9"/>
    <w:rsid w:val="00553751"/>
    <w:rsid w:val="00554FCD"/>
    <w:rsid w:val="00555CD1"/>
    <w:rsid w:val="00556963"/>
    <w:rsid w:val="00556BFE"/>
    <w:rsid w:val="00556D0A"/>
    <w:rsid w:val="00557BB8"/>
    <w:rsid w:val="005610BD"/>
    <w:rsid w:val="00561BDA"/>
    <w:rsid w:val="00562290"/>
    <w:rsid w:val="00562AE6"/>
    <w:rsid w:val="00562CA3"/>
    <w:rsid w:val="00563369"/>
    <w:rsid w:val="0056475E"/>
    <w:rsid w:val="00564D50"/>
    <w:rsid w:val="005657F5"/>
    <w:rsid w:val="005661BE"/>
    <w:rsid w:val="0056776B"/>
    <w:rsid w:val="00570389"/>
    <w:rsid w:val="00570836"/>
    <w:rsid w:val="00570A09"/>
    <w:rsid w:val="00572F56"/>
    <w:rsid w:val="0057481D"/>
    <w:rsid w:val="005758E8"/>
    <w:rsid w:val="00575D5B"/>
    <w:rsid w:val="0057603B"/>
    <w:rsid w:val="0057620B"/>
    <w:rsid w:val="005820EE"/>
    <w:rsid w:val="0058612C"/>
    <w:rsid w:val="00586819"/>
    <w:rsid w:val="0058704A"/>
    <w:rsid w:val="0059004E"/>
    <w:rsid w:val="00595B26"/>
    <w:rsid w:val="005A0F46"/>
    <w:rsid w:val="005A2E1B"/>
    <w:rsid w:val="005A492C"/>
    <w:rsid w:val="005A4D0A"/>
    <w:rsid w:val="005A66A4"/>
    <w:rsid w:val="005A677F"/>
    <w:rsid w:val="005B0E93"/>
    <w:rsid w:val="005B1169"/>
    <w:rsid w:val="005B21F7"/>
    <w:rsid w:val="005B52D3"/>
    <w:rsid w:val="005B5487"/>
    <w:rsid w:val="005B62CC"/>
    <w:rsid w:val="005C1EDF"/>
    <w:rsid w:val="005C2A40"/>
    <w:rsid w:val="005C61E8"/>
    <w:rsid w:val="005C750E"/>
    <w:rsid w:val="005C765A"/>
    <w:rsid w:val="005D1463"/>
    <w:rsid w:val="005D2713"/>
    <w:rsid w:val="005D3682"/>
    <w:rsid w:val="005D4EB1"/>
    <w:rsid w:val="005D50F3"/>
    <w:rsid w:val="005D525E"/>
    <w:rsid w:val="005D6B80"/>
    <w:rsid w:val="005D6BBD"/>
    <w:rsid w:val="005D7204"/>
    <w:rsid w:val="005E0A06"/>
    <w:rsid w:val="005E1529"/>
    <w:rsid w:val="005E2932"/>
    <w:rsid w:val="005E3BDD"/>
    <w:rsid w:val="005E6C2C"/>
    <w:rsid w:val="005E7FBF"/>
    <w:rsid w:val="005F36C3"/>
    <w:rsid w:val="005F37F1"/>
    <w:rsid w:val="005F43B4"/>
    <w:rsid w:val="005F70F0"/>
    <w:rsid w:val="00600296"/>
    <w:rsid w:val="00604E8C"/>
    <w:rsid w:val="006054D8"/>
    <w:rsid w:val="006063D4"/>
    <w:rsid w:val="006077BF"/>
    <w:rsid w:val="00610FD3"/>
    <w:rsid w:val="006113CF"/>
    <w:rsid w:val="0061341C"/>
    <w:rsid w:val="006136E0"/>
    <w:rsid w:val="00614359"/>
    <w:rsid w:val="00615E1C"/>
    <w:rsid w:val="00616CEE"/>
    <w:rsid w:val="00617C79"/>
    <w:rsid w:val="00620973"/>
    <w:rsid w:val="006214DC"/>
    <w:rsid w:val="00621B7D"/>
    <w:rsid w:val="00622C85"/>
    <w:rsid w:val="0062484D"/>
    <w:rsid w:val="0062499A"/>
    <w:rsid w:val="00624E7B"/>
    <w:rsid w:val="0062506B"/>
    <w:rsid w:val="00625328"/>
    <w:rsid w:val="00625BC5"/>
    <w:rsid w:val="0062605B"/>
    <w:rsid w:val="006272CE"/>
    <w:rsid w:val="00630E54"/>
    <w:rsid w:val="006405CA"/>
    <w:rsid w:val="0064119F"/>
    <w:rsid w:val="00642945"/>
    <w:rsid w:val="0064423D"/>
    <w:rsid w:val="00645EA7"/>
    <w:rsid w:val="0065058B"/>
    <w:rsid w:val="00650D50"/>
    <w:rsid w:val="00651810"/>
    <w:rsid w:val="00663342"/>
    <w:rsid w:val="00667D8F"/>
    <w:rsid w:val="00667ECA"/>
    <w:rsid w:val="0067015F"/>
    <w:rsid w:val="00670DDA"/>
    <w:rsid w:val="00670FD2"/>
    <w:rsid w:val="0067210A"/>
    <w:rsid w:val="00673182"/>
    <w:rsid w:val="00674399"/>
    <w:rsid w:val="00674585"/>
    <w:rsid w:val="00674B30"/>
    <w:rsid w:val="00676BAC"/>
    <w:rsid w:val="006839C0"/>
    <w:rsid w:val="00684052"/>
    <w:rsid w:val="006842F0"/>
    <w:rsid w:val="0068540E"/>
    <w:rsid w:val="00686AF1"/>
    <w:rsid w:val="00690E96"/>
    <w:rsid w:val="00691335"/>
    <w:rsid w:val="006946C7"/>
    <w:rsid w:val="00694875"/>
    <w:rsid w:val="00694B28"/>
    <w:rsid w:val="006957BE"/>
    <w:rsid w:val="006A0D55"/>
    <w:rsid w:val="006A12AA"/>
    <w:rsid w:val="006A1F3A"/>
    <w:rsid w:val="006A3812"/>
    <w:rsid w:val="006A3FBB"/>
    <w:rsid w:val="006A5CB2"/>
    <w:rsid w:val="006A740F"/>
    <w:rsid w:val="006B2725"/>
    <w:rsid w:val="006B4346"/>
    <w:rsid w:val="006B78D7"/>
    <w:rsid w:val="006C0CF0"/>
    <w:rsid w:val="006C1E11"/>
    <w:rsid w:val="006C2E51"/>
    <w:rsid w:val="006C42E4"/>
    <w:rsid w:val="006C4590"/>
    <w:rsid w:val="006C5D70"/>
    <w:rsid w:val="006C5D96"/>
    <w:rsid w:val="006C62C5"/>
    <w:rsid w:val="006C6D39"/>
    <w:rsid w:val="006D1417"/>
    <w:rsid w:val="006D17A0"/>
    <w:rsid w:val="006D1BCB"/>
    <w:rsid w:val="006D1EED"/>
    <w:rsid w:val="006D2120"/>
    <w:rsid w:val="006D3C53"/>
    <w:rsid w:val="006D4E14"/>
    <w:rsid w:val="006D4E76"/>
    <w:rsid w:val="006D7E00"/>
    <w:rsid w:val="006E0D38"/>
    <w:rsid w:val="006E0E53"/>
    <w:rsid w:val="006E2CEE"/>
    <w:rsid w:val="006E5BAA"/>
    <w:rsid w:val="006E5E11"/>
    <w:rsid w:val="006E5FEA"/>
    <w:rsid w:val="006E641F"/>
    <w:rsid w:val="006F0D4C"/>
    <w:rsid w:val="006F1976"/>
    <w:rsid w:val="006F4C29"/>
    <w:rsid w:val="006F52E3"/>
    <w:rsid w:val="006F57D8"/>
    <w:rsid w:val="006F7350"/>
    <w:rsid w:val="00701B96"/>
    <w:rsid w:val="00702843"/>
    <w:rsid w:val="00703C65"/>
    <w:rsid w:val="00703CF9"/>
    <w:rsid w:val="00704571"/>
    <w:rsid w:val="00704768"/>
    <w:rsid w:val="00707B00"/>
    <w:rsid w:val="00707E46"/>
    <w:rsid w:val="00711C43"/>
    <w:rsid w:val="00711DCE"/>
    <w:rsid w:val="00712C05"/>
    <w:rsid w:val="00713C9F"/>
    <w:rsid w:val="00714520"/>
    <w:rsid w:val="00714CC5"/>
    <w:rsid w:val="00715CD9"/>
    <w:rsid w:val="007177C5"/>
    <w:rsid w:val="00717A58"/>
    <w:rsid w:val="007208F8"/>
    <w:rsid w:val="007218A6"/>
    <w:rsid w:val="00721DF5"/>
    <w:rsid w:val="007246DC"/>
    <w:rsid w:val="00725169"/>
    <w:rsid w:val="00725881"/>
    <w:rsid w:val="007310BC"/>
    <w:rsid w:val="0073197D"/>
    <w:rsid w:val="00731984"/>
    <w:rsid w:val="007327F1"/>
    <w:rsid w:val="00732C37"/>
    <w:rsid w:val="00733A2B"/>
    <w:rsid w:val="00733DAC"/>
    <w:rsid w:val="007345CC"/>
    <w:rsid w:val="00734951"/>
    <w:rsid w:val="00734E22"/>
    <w:rsid w:val="00734E9C"/>
    <w:rsid w:val="00735802"/>
    <w:rsid w:val="00735D3F"/>
    <w:rsid w:val="00736967"/>
    <w:rsid w:val="0073772C"/>
    <w:rsid w:val="0074146D"/>
    <w:rsid w:val="00741737"/>
    <w:rsid w:val="00741D48"/>
    <w:rsid w:val="00741EB2"/>
    <w:rsid w:val="00742176"/>
    <w:rsid w:val="007432D2"/>
    <w:rsid w:val="00745ACC"/>
    <w:rsid w:val="007477C2"/>
    <w:rsid w:val="00751F49"/>
    <w:rsid w:val="007526B4"/>
    <w:rsid w:val="007539DA"/>
    <w:rsid w:val="00753DEA"/>
    <w:rsid w:val="0075462F"/>
    <w:rsid w:val="00755713"/>
    <w:rsid w:val="00756CFF"/>
    <w:rsid w:val="00757038"/>
    <w:rsid w:val="0075774F"/>
    <w:rsid w:val="00757E4C"/>
    <w:rsid w:val="00763D2B"/>
    <w:rsid w:val="00764302"/>
    <w:rsid w:val="0076505F"/>
    <w:rsid w:val="00765CD7"/>
    <w:rsid w:val="0076620C"/>
    <w:rsid w:val="00771AD1"/>
    <w:rsid w:val="00771ED3"/>
    <w:rsid w:val="0077266F"/>
    <w:rsid w:val="00773694"/>
    <w:rsid w:val="00774707"/>
    <w:rsid w:val="00774C74"/>
    <w:rsid w:val="0077594E"/>
    <w:rsid w:val="00777A06"/>
    <w:rsid w:val="0078036A"/>
    <w:rsid w:val="00783EC8"/>
    <w:rsid w:val="00784722"/>
    <w:rsid w:val="00785F90"/>
    <w:rsid w:val="00787323"/>
    <w:rsid w:val="00790DD4"/>
    <w:rsid w:val="007929EE"/>
    <w:rsid w:val="00794662"/>
    <w:rsid w:val="00795530"/>
    <w:rsid w:val="00795939"/>
    <w:rsid w:val="00795ED2"/>
    <w:rsid w:val="0079623C"/>
    <w:rsid w:val="00797DC2"/>
    <w:rsid w:val="007A268F"/>
    <w:rsid w:val="007A3D04"/>
    <w:rsid w:val="007A53D1"/>
    <w:rsid w:val="007A6586"/>
    <w:rsid w:val="007A74A0"/>
    <w:rsid w:val="007A78BF"/>
    <w:rsid w:val="007B4F3B"/>
    <w:rsid w:val="007B501F"/>
    <w:rsid w:val="007B6014"/>
    <w:rsid w:val="007C2D79"/>
    <w:rsid w:val="007C3842"/>
    <w:rsid w:val="007C3BDA"/>
    <w:rsid w:val="007D037D"/>
    <w:rsid w:val="007D29E3"/>
    <w:rsid w:val="007D31B4"/>
    <w:rsid w:val="007D3BD1"/>
    <w:rsid w:val="007E0BB2"/>
    <w:rsid w:val="007E27BA"/>
    <w:rsid w:val="007E4650"/>
    <w:rsid w:val="007E478F"/>
    <w:rsid w:val="007E4F91"/>
    <w:rsid w:val="007E5C8C"/>
    <w:rsid w:val="007E73D1"/>
    <w:rsid w:val="007F16B9"/>
    <w:rsid w:val="007F792E"/>
    <w:rsid w:val="007F7AFF"/>
    <w:rsid w:val="0080051F"/>
    <w:rsid w:val="008007D1"/>
    <w:rsid w:val="00800911"/>
    <w:rsid w:val="008028DE"/>
    <w:rsid w:val="008031D0"/>
    <w:rsid w:val="0080354D"/>
    <w:rsid w:val="0080356A"/>
    <w:rsid w:val="008060A0"/>
    <w:rsid w:val="00811ED4"/>
    <w:rsid w:val="00812CB9"/>
    <w:rsid w:val="00813B10"/>
    <w:rsid w:val="0081515F"/>
    <w:rsid w:val="008159C2"/>
    <w:rsid w:val="00820DFA"/>
    <w:rsid w:val="00821AD3"/>
    <w:rsid w:val="0082287D"/>
    <w:rsid w:val="0082520B"/>
    <w:rsid w:val="00830680"/>
    <w:rsid w:val="0083179E"/>
    <w:rsid w:val="008334D0"/>
    <w:rsid w:val="008355EE"/>
    <w:rsid w:val="008365EB"/>
    <w:rsid w:val="00837CFA"/>
    <w:rsid w:val="00837EA6"/>
    <w:rsid w:val="008401CE"/>
    <w:rsid w:val="008429D3"/>
    <w:rsid w:val="008449B4"/>
    <w:rsid w:val="00845B09"/>
    <w:rsid w:val="008461B9"/>
    <w:rsid w:val="00846D79"/>
    <w:rsid w:val="008511D7"/>
    <w:rsid w:val="0085448D"/>
    <w:rsid w:val="0085709E"/>
    <w:rsid w:val="0085724C"/>
    <w:rsid w:val="0085765E"/>
    <w:rsid w:val="00860B01"/>
    <w:rsid w:val="00860BF7"/>
    <w:rsid w:val="008635B6"/>
    <w:rsid w:val="008643E8"/>
    <w:rsid w:val="00864D35"/>
    <w:rsid w:val="00866DB0"/>
    <w:rsid w:val="00873379"/>
    <w:rsid w:val="00873EC0"/>
    <w:rsid w:val="00874AEC"/>
    <w:rsid w:val="00877B62"/>
    <w:rsid w:val="00877E41"/>
    <w:rsid w:val="008841B7"/>
    <w:rsid w:val="00884716"/>
    <w:rsid w:val="008848D1"/>
    <w:rsid w:val="008865CF"/>
    <w:rsid w:val="00886751"/>
    <w:rsid w:val="00890127"/>
    <w:rsid w:val="00890187"/>
    <w:rsid w:val="0089627A"/>
    <w:rsid w:val="00896583"/>
    <w:rsid w:val="008973EF"/>
    <w:rsid w:val="008A05B7"/>
    <w:rsid w:val="008A16F9"/>
    <w:rsid w:val="008A37BD"/>
    <w:rsid w:val="008A70B5"/>
    <w:rsid w:val="008A7AF0"/>
    <w:rsid w:val="008A7FD7"/>
    <w:rsid w:val="008B0D20"/>
    <w:rsid w:val="008B1687"/>
    <w:rsid w:val="008B58E5"/>
    <w:rsid w:val="008B638E"/>
    <w:rsid w:val="008B76D2"/>
    <w:rsid w:val="008C3355"/>
    <w:rsid w:val="008C3437"/>
    <w:rsid w:val="008C39DB"/>
    <w:rsid w:val="008C3EA5"/>
    <w:rsid w:val="008C4CD4"/>
    <w:rsid w:val="008D0E01"/>
    <w:rsid w:val="008D1507"/>
    <w:rsid w:val="008D27C7"/>
    <w:rsid w:val="008D2BB0"/>
    <w:rsid w:val="008D38A4"/>
    <w:rsid w:val="008D513E"/>
    <w:rsid w:val="008D62C6"/>
    <w:rsid w:val="008D6A37"/>
    <w:rsid w:val="008E0636"/>
    <w:rsid w:val="008E113A"/>
    <w:rsid w:val="008E180B"/>
    <w:rsid w:val="008E206B"/>
    <w:rsid w:val="008E6C86"/>
    <w:rsid w:val="008F1D72"/>
    <w:rsid w:val="008F24A7"/>
    <w:rsid w:val="008F2F1C"/>
    <w:rsid w:val="008F3D63"/>
    <w:rsid w:val="008F614F"/>
    <w:rsid w:val="008F643B"/>
    <w:rsid w:val="00901E73"/>
    <w:rsid w:val="00903FCC"/>
    <w:rsid w:val="00904BF5"/>
    <w:rsid w:val="00905245"/>
    <w:rsid w:val="00906A63"/>
    <w:rsid w:val="0091117C"/>
    <w:rsid w:val="00911E26"/>
    <w:rsid w:val="009135B5"/>
    <w:rsid w:val="009171F3"/>
    <w:rsid w:val="0092216E"/>
    <w:rsid w:val="00923ED7"/>
    <w:rsid w:val="00924549"/>
    <w:rsid w:val="00927088"/>
    <w:rsid w:val="0093025C"/>
    <w:rsid w:val="009319DC"/>
    <w:rsid w:val="00935540"/>
    <w:rsid w:val="00935565"/>
    <w:rsid w:val="00935DD0"/>
    <w:rsid w:val="009362C5"/>
    <w:rsid w:val="00936575"/>
    <w:rsid w:val="00944B48"/>
    <w:rsid w:val="00945D8E"/>
    <w:rsid w:val="0094738D"/>
    <w:rsid w:val="00947702"/>
    <w:rsid w:val="0095480A"/>
    <w:rsid w:val="0095624B"/>
    <w:rsid w:val="00956799"/>
    <w:rsid w:val="009572DF"/>
    <w:rsid w:val="009606FD"/>
    <w:rsid w:val="00961994"/>
    <w:rsid w:val="00962CF1"/>
    <w:rsid w:val="009635CD"/>
    <w:rsid w:val="00963BB0"/>
    <w:rsid w:val="0096431D"/>
    <w:rsid w:val="009650D5"/>
    <w:rsid w:val="00965239"/>
    <w:rsid w:val="00965824"/>
    <w:rsid w:val="00966052"/>
    <w:rsid w:val="009673D3"/>
    <w:rsid w:val="009718F0"/>
    <w:rsid w:val="00971EF0"/>
    <w:rsid w:val="00972FAF"/>
    <w:rsid w:val="009735A1"/>
    <w:rsid w:val="009750A6"/>
    <w:rsid w:val="0097570E"/>
    <w:rsid w:val="00976B54"/>
    <w:rsid w:val="009779D9"/>
    <w:rsid w:val="009808DF"/>
    <w:rsid w:val="0098217E"/>
    <w:rsid w:val="00982F19"/>
    <w:rsid w:val="0098343E"/>
    <w:rsid w:val="00985871"/>
    <w:rsid w:val="00987E16"/>
    <w:rsid w:val="0099066A"/>
    <w:rsid w:val="00990783"/>
    <w:rsid w:val="0099473D"/>
    <w:rsid w:val="009963A2"/>
    <w:rsid w:val="009A158B"/>
    <w:rsid w:val="009A3E0C"/>
    <w:rsid w:val="009A4676"/>
    <w:rsid w:val="009A47AA"/>
    <w:rsid w:val="009A7EA6"/>
    <w:rsid w:val="009B0A78"/>
    <w:rsid w:val="009B4378"/>
    <w:rsid w:val="009B4B79"/>
    <w:rsid w:val="009B618E"/>
    <w:rsid w:val="009C1083"/>
    <w:rsid w:val="009C1890"/>
    <w:rsid w:val="009C375B"/>
    <w:rsid w:val="009C3E21"/>
    <w:rsid w:val="009C4723"/>
    <w:rsid w:val="009D35A1"/>
    <w:rsid w:val="009D3AD3"/>
    <w:rsid w:val="009D441C"/>
    <w:rsid w:val="009D75AE"/>
    <w:rsid w:val="009D7BB4"/>
    <w:rsid w:val="009E02A1"/>
    <w:rsid w:val="009E1CB2"/>
    <w:rsid w:val="009E2F87"/>
    <w:rsid w:val="009E473E"/>
    <w:rsid w:val="009E658C"/>
    <w:rsid w:val="009E6C50"/>
    <w:rsid w:val="009E7176"/>
    <w:rsid w:val="009E783F"/>
    <w:rsid w:val="009F107A"/>
    <w:rsid w:val="009F2B9E"/>
    <w:rsid w:val="009F4380"/>
    <w:rsid w:val="009F6824"/>
    <w:rsid w:val="009F68AD"/>
    <w:rsid w:val="009F6925"/>
    <w:rsid w:val="00A109BE"/>
    <w:rsid w:val="00A113FC"/>
    <w:rsid w:val="00A11986"/>
    <w:rsid w:val="00A13DA1"/>
    <w:rsid w:val="00A147A8"/>
    <w:rsid w:val="00A14A1B"/>
    <w:rsid w:val="00A14DEB"/>
    <w:rsid w:val="00A150C3"/>
    <w:rsid w:val="00A15569"/>
    <w:rsid w:val="00A168B9"/>
    <w:rsid w:val="00A22C6D"/>
    <w:rsid w:val="00A23242"/>
    <w:rsid w:val="00A2336D"/>
    <w:rsid w:val="00A2487E"/>
    <w:rsid w:val="00A3057B"/>
    <w:rsid w:val="00A30994"/>
    <w:rsid w:val="00A32286"/>
    <w:rsid w:val="00A34057"/>
    <w:rsid w:val="00A34706"/>
    <w:rsid w:val="00A34EC7"/>
    <w:rsid w:val="00A36718"/>
    <w:rsid w:val="00A36DBE"/>
    <w:rsid w:val="00A4087E"/>
    <w:rsid w:val="00A42942"/>
    <w:rsid w:val="00A42F0D"/>
    <w:rsid w:val="00A43765"/>
    <w:rsid w:val="00A442D7"/>
    <w:rsid w:val="00A46929"/>
    <w:rsid w:val="00A47267"/>
    <w:rsid w:val="00A472D6"/>
    <w:rsid w:val="00A47F79"/>
    <w:rsid w:val="00A5066D"/>
    <w:rsid w:val="00A5090C"/>
    <w:rsid w:val="00A50FFD"/>
    <w:rsid w:val="00A52525"/>
    <w:rsid w:val="00A52608"/>
    <w:rsid w:val="00A543E5"/>
    <w:rsid w:val="00A55E39"/>
    <w:rsid w:val="00A56ACE"/>
    <w:rsid w:val="00A6191A"/>
    <w:rsid w:val="00A61A10"/>
    <w:rsid w:val="00A62097"/>
    <w:rsid w:val="00A6506D"/>
    <w:rsid w:val="00A6537E"/>
    <w:rsid w:val="00A67A9E"/>
    <w:rsid w:val="00A705AB"/>
    <w:rsid w:val="00A70730"/>
    <w:rsid w:val="00A7093F"/>
    <w:rsid w:val="00A738E8"/>
    <w:rsid w:val="00A73C5A"/>
    <w:rsid w:val="00A742B5"/>
    <w:rsid w:val="00A7437C"/>
    <w:rsid w:val="00A74D82"/>
    <w:rsid w:val="00A75A43"/>
    <w:rsid w:val="00A7613D"/>
    <w:rsid w:val="00A761CA"/>
    <w:rsid w:val="00A76B36"/>
    <w:rsid w:val="00A76D5C"/>
    <w:rsid w:val="00A77838"/>
    <w:rsid w:val="00A800F7"/>
    <w:rsid w:val="00A80669"/>
    <w:rsid w:val="00A80807"/>
    <w:rsid w:val="00A80C5E"/>
    <w:rsid w:val="00A82CEC"/>
    <w:rsid w:val="00A83F11"/>
    <w:rsid w:val="00A841AA"/>
    <w:rsid w:val="00A873EA"/>
    <w:rsid w:val="00A87AF5"/>
    <w:rsid w:val="00A90037"/>
    <w:rsid w:val="00A92225"/>
    <w:rsid w:val="00A937BC"/>
    <w:rsid w:val="00A94253"/>
    <w:rsid w:val="00A95A67"/>
    <w:rsid w:val="00A97813"/>
    <w:rsid w:val="00A97AD2"/>
    <w:rsid w:val="00AA027B"/>
    <w:rsid w:val="00AA0756"/>
    <w:rsid w:val="00AA3081"/>
    <w:rsid w:val="00AA5C64"/>
    <w:rsid w:val="00AA6557"/>
    <w:rsid w:val="00AA7176"/>
    <w:rsid w:val="00AA741A"/>
    <w:rsid w:val="00AB1614"/>
    <w:rsid w:val="00AB4E2D"/>
    <w:rsid w:val="00AB5002"/>
    <w:rsid w:val="00AB5E64"/>
    <w:rsid w:val="00AB6894"/>
    <w:rsid w:val="00AB7B0F"/>
    <w:rsid w:val="00AC067E"/>
    <w:rsid w:val="00AC0A31"/>
    <w:rsid w:val="00AC0B19"/>
    <w:rsid w:val="00AC2E3E"/>
    <w:rsid w:val="00AC33A9"/>
    <w:rsid w:val="00AC7B2A"/>
    <w:rsid w:val="00AD007B"/>
    <w:rsid w:val="00AD0346"/>
    <w:rsid w:val="00AD0D73"/>
    <w:rsid w:val="00AD230F"/>
    <w:rsid w:val="00AD2462"/>
    <w:rsid w:val="00AD27AE"/>
    <w:rsid w:val="00AD2CF5"/>
    <w:rsid w:val="00AD4CFF"/>
    <w:rsid w:val="00AD5189"/>
    <w:rsid w:val="00AD62E7"/>
    <w:rsid w:val="00AD65FC"/>
    <w:rsid w:val="00AD6A30"/>
    <w:rsid w:val="00AD7BEA"/>
    <w:rsid w:val="00AE1C94"/>
    <w:rsid w:val="00AE2556"/>
    <w:rsid w:val="00AE3C36"/>
    <w:rsid w:val="00AE40BA"/>
    <w:rsid w:val="00AE4F25"/>
    <w:rsid w:val="00AE5E63"/>
    <w:rsid w:val="00AE681C"/>
    <w:rsid w:val="00AE7768"/>
    <w:rsid w:val="00AE7E7D"/>
    <w:rsid w:val="00AF02F9"/>
    <w:rsid w:val="00AF073F"/>
    <w:rsid w:val="00AF1B74"/>
    <w:rsid w:val="00AF28AF"/>
    <w:rsid w:val="00AF3DDA"/>
    <w:rsid w:val="00AF7369"/>
    <w:rsid w:val="00AF7396"/>
    <w:rsid w:val="00B009BC"/>
    <w:rsid w:val="00B06476"/>
    <w:rsid w:val="00B07041"/>
    <w:rsid w:val="00B11D76"/>
    <w:rsid w:val="00B12F2E"/>
    <w:rsid w:val="00B13472"/>
    <w:rsid w:val="00B163F1"/>
    <w:rsid w:val="00B170E0"/>
    <w:rsid w:val="00B170E6"/>
    <w:rsid w:val="00B17A20"/>
    <w:rsid w:val="00B239A3"/>
    <w:rsid w:val="00B239CB"/>
    <w:rsid w:val="00B24D1D"/>
    <w:rsid w:val="00B3033C"/>
    <w:rsid w:val="00B305AF"/>
    <w:rsid w:val="00B306DC"/>
    <w:rsid w:val="00B33EFC"/>
    <w:rsid w:val="00B33F0E"/>
    <w:rsid w:val="00B344DF"/>
    <w:rsid w:val="00B346E1"/>
    <w:rsid w:val="00B35114"/>
    <w:rsid w:val="00B35C03"/>
    <w:rsid w:val="00B40B34"/>
    <w:rsid w:val="00B40E8C"/>
    <w:rsid w:val="00B412CE"/>
    <w:rsid w:val="00B46EC4"/>
    <w:rsid w:val="00B5290E"/>
    <w:rsid w:val="00B5420F"/>
    <w:rsid w:val="00B57902"/>
    <w:rsid w:val="00B57A50"/>
    <w:rsid w:val="00B60E15"/>
    <w:rsid w:val="00B616BA"/>
    <w:rsid w:val="00B61EA3"/>
    <w:rsid w:val="00B6237F"/>
    <w:rsid w:val="00B630E6"/>
    <w:rsid w:val="00B641D2"/>
    <w:rsid w:val="00B659F9"/>
    <w:rsid w:val="00B66681"/>
    <w:rsid w:val="00B66DA1"/>
    <w:rsid w:val="00B7053B"/>
    <w:rsid w:val="00B732D1"/>
    <w:rsid w:val="00B76294"/>
    <w:rsid w:val="00B76569"/>
    <w:rsid w:val="00B768D6"/>
    <w:rsid w:val="00B76E3A"/>
    <w:rsid w:val="00B86870"/>
    <w:rsid w:val="00B86EBF"/>
    <w:rsid w:val="00B870EF"/>
    <w:rsid w:val="00B90093"/>
    <w:rsid w:val="00B90845"/>
    <w:rsid w:val="00B922F7"/>
    <w:rsid w:val="00B925DE"/>
    <w:rsid w:val="00B9315D"/>
    <w:rsid w:val="00B943B4"/>
    <w:rsid w:val="00B95AF6"/>
    <w:rsid w:val="00B96951"/>
    <w:rsid w:val="00B9742F"/>
    <w:rsid w:val="00B97814"/>
    <w:rsid w:val="00B978DC"/>
    <w:rsid w:val="00B97A37"/>
    <w:rsid w:val="00B97A62"/>
    <w:rsid w:val="00B97AB5"/>
    <w:rsid w:val="00BA0122"/>
    <w:rsid w:val="00BA2BE3"/>
    <w:rsid w:val="00BA38D0"/>
    <w:rsid w:val="00BA4B84"/>
    <w:rsid w:val="00BA579E"/>
    <w:rsid w:val="00BA755A"/>
    <w:rsid w:val="00BB1A2F"/>
    <w:rsid w:val="00BB4078"/>
    <w:rsid w:val="00BB4594"/>
    <w:rsid w:val="00BB5BA8"/>
    <w:rsid w:val="00BB5C0B"/>
    <w:rsid w:val="00BB5C56"/>
    <w:rsid w:val="00BB6F8B"/>
    <w:rsid w:val="00BB7C00"/>
    <w:rsid w:val="00BC1291"/>
    <w:rsid w:val="00BC190A"/>
    <w:rsid w:val="00BC2DDB"/>
    <w:rsid w:val="00BC351B"/>
    <w:rsid w:val="00BC3A25"/>
    <w:rsid w:val="00BD23D9"/>
    <w:rsid w:val="00BD3D55"/>
    <w:rsid w:val="00BD59AE"/>
    <w:rsid w:val="00BD6F9B"/>
    <w:rsid w:val="00BE18A3"/>
    <w:rsid w:val="00BE2281"/>
    <w:rsid w:val="00BE42F3"/>
    <w:rsid w:val="00BE51BA"/>
    <w:rsid w:val="00BE67D3"/>
    <w:rsid w:val="00BE7810"/>
    <w:rsid w:val="00BE7E64"/>
    <w:rsid w:val="00BF0AB9"/>
    <w:rsid w:val="00BF11EB"/>
    <w:rsid w:val="00BF310E"/>
    <w:rsid w:val="00BF4458"/>
    <w:rsid w:val="00BF666D"/>
    <w:rsid w:val="00BF6FB5"/>
    <w:rsid w:val="00BF768F"/>
    <w:rsid w:val="00C0107D"/>
    <w:rsid w:val="00C04137"/>
    <w:rsid w:val="00C074E1"/>
    <w:rsid w:val="00C078E9"/>
    <w:rsid w:val="00C102C9"/>
    <w:rsid w:val="00C12B07"/>
    <w:rsid w:val="00C14083"/>
    <w:rsid w:val="00C15B7C"/>
    <w:rsid w:val="00C165B1"/>
    <w:rsid w:val="00C17717"/>
    <w:rsid w:val="00C203FF"/>
    <w:rsid w:val="00C24FB1"/>
    <w:rsid w:val="00C261B9"/>
    <w:rsid w:val="00C277A9"/>
    <w:rsid w:val="00C27E47"/>
    <w:rsid w:val="00C307B9"/>
    <w:rsid w:val="00C33861"/>
    <w:rsid w:val="00C35659"/>
    <w:rsid w:val="00C4103C"/>
    <w:rsid w:val="00C42B38"/>
    <w:rsid w:val="00C44FCD"/>
    <w:rsid w:val="00C50877"/>
    <w:rsid w:val="00C5191F"/>
    <w:rsid w:val="00C51948"/>
    <w:rsid w:val="00C55111"/>
    <w:rsid w:val="00C55501"/>
    <w:rsid w:val="00C56640"/>
    <w:rsid w:val="00C61CCC"/>
    <w:rsid w:val="00C61DAB"/>
    <w:rsid w:val="00C636F9"/>
    <w:rsid w:val="00C64861"/>
    <w:rsid w:val="00C662A6"/>
    <w:rsid w:val="00C6711F"/>
    <w:rsid w:val="00C71656"/>
    <w:rsid w:val="00C71F73"/>
    <w:rsid w:val="00C72B74"/>
    <w:rsid w:val="00C72DEC"/>
    <w:rsid w:val="00C73D2B"/>
    <w:rsid w:val="00C73F20"/>
    <w:rsid w:val="00C764F8"/>
    <w:rsid w:val="00C77018"/>
    <w:rsid w:val="00C836CD"/>
    <w:rsid w:val="00C84E30"/>
    <w:rsid w:val="00C85976"/>
    <w:rsid w:val="00C86BDD"/>
    <w:rsid w:val="00C874B3"/>
    <w:rsid w:val="00C878BF"/>
    <w:rsid w:val="00C954FF"/>
    <w:rsid w:val="00C95EA5"/>
    <w:rsid w:val="00C9605B"/>
    <w:rsid w:val="00CA1A45"/>
    <w:rsid w:val="00CA4813"/>
    <w:rsid w:val="00CA5E2E"/>
    <w:rsid w:val="00CA6B41"/>
    <w:rsid w:val="00CA71F6"/>
    <w:rsid w:val="00CA7756"/>
    <w:rsid w:val="00CA7971"/>
    <w:rsid w:val="00CB20FE"/>
    <w:rsid w:val="00CB2564"/>
    <w:rsid w:val="00CB3AE9"/>
    <w:rsid w:val="00CB3F6E"/>
    <w:rsid w:val="00CB41F1"/>
    <w:rsid w:val="00CC2369"/>
    <w:rsid w:val="00CC2578"/>
    <w:rsid w:val="00CC2819"/>
    <w:rsid w:val="00CC3D6E"/>
    <w:rsid w:val="00CC6397"/>
    <w:rsid w:val="00CC712E"/>
    <w:rsid w:val="00CC7783"/>
    <w:rsid w:val="00CD0A84"/>
    <w:rsid w:val="00CD1A65"/>
    <w:rsid w:val="00CD2344"/>
    <w:rsid w:val="00CD3DB3"/>
    <w:rsid w:val="00CD412C"/>
    <w:rsid w:val="00CD45FF"/>
    <w:rsid w:val="00CD46F4"/>
    <w:rsid w:val="00CD5BC4"/>
    <w:rsid w:val="00CD6339"/>
    <w:rsid w:val="00CD65C1"/>
    <w:rsid w:val="00CD7106"/>
    <w:rsid w:val="00CD7F6E"/>
    <w:rsid w:val="00CE0A99"/>
    <w:rsid w:val="00CE16E9"/>
    <w:rsid w:val="00CE3CC4"/>
    <w:rsid w:val="00CE41CD"/>
    <w:rsid w:val="00CE4A63"/>
    <w:rsid w:val="00CE4DF7"/>
    <w:rsid w:val="00CE5BDF"/>
    <w:rsid w:val="00CE7005"/>
    <w:rsid w:val="00CE72A8"/>
    <w:rsid w:val="00CF33E0"/>
    <w:rsid w:val="00CF35C9"/>
    <w:rsid w:val="00CF596F"/>
    <w:rsid w:val="00CF69C4"/>
    <w:rsid w:val="00D02730"/>
    <w:rsid w:val="00D044F7"/>
    <w:rsid w:val="00D04616"/>
    <w:rsid w:val="00D05C0E"/>
    <w:rsid w:val="00D06048"/>
    <w:rsid w:val="00D068F1"/>
    <w:rsid w:val="00D069FC"/>
    <w:rsid w:val="00D06C2D"/>
    <w:rsid w:val="00D12430"/>
    <w:rsid w:val="00D12956"/>
    <w:rsid w:val="00D137EC"/>
    <w:rsid w:val="00D141B4"/>
    <w:rsid w:val="00D20F89"/>
    <w:rsid w:val="00D21E0C"/>
    <w:rsid w:val="00D244DC"/>
    <w:rsid w:val="00D25F69"/>
    <w:rsid w:val="00D268E7"/>
    <w:rsid w:val="00D316A6"/>
    <w:rsid w:val="00D31D2A"/>
    <w:rsid w:val="00D334E6"/>
    <w:rsid w:val="00D338ED"/>
    <w:rsid w:val="00D33F65"/>
    <w:rsid w:val="00D34EF8"/>
    <w:rsid w:val="00D417C4"/>
    <w:rsid w:val="00D418EB"/>
    <w:rsid w:val="00D43EB6"/>
    <w:rsid w:val="00D44CB1"/>
    <w:rsid w:val="00D44D6E"/>
    <w:rsid w:val="00D45126"/>
    <w:rsid w:val="00D46739"/>
    <w:rsid w:val="00D531CA"/>
    <w:rsid w:val="00D53408"/>
    <w:rsid w:val="00D607CD"/>
    <w:rsid w:val="00D60E10"/>
    <w:rsid w:val="00D62BB4"/>
    <w:rsid w:val="00D6371D"/>
    <w:rsid w:val="00D64018"/>
    <w:rsid w:val="00D650E0"/>
    <w:rsid w:val="00D6538C"/>
    <w:rsid w:val="00D655C0"/>
    <w:rsid w:val="00D65F90"/>
    <w:rsid w:val="00D663CA"/>
    <w:rsid w:val="00D66D06"/>
    <w:rsid w:val="00D67336"/>
    <w:rsid w:val="00D71A9E"/>
    <w:rsid w:val="00D76E11"/>
    <w:rsid w:val="00D80C23"/>
    <w:rsid w:val="00D80CC0"/>
    <w:rsid w:val="00D812C5"/>
    <w:rsid w:val="00D812D9"/>
    <w:rsid w:val="00D815A1"/>
    <w:rsid w:val="00D81D28"/>
    <w:rsid w:val="00D82A56"/>
    <w:rsid w:val="00D82D6A"/>
    <w:rsid w:val="00D8325A"/>
    <w:rsid w:val="00D84D44"/>
    <w:rsid w:val="00D877DB"/>
    <w:rsid w:val="00D87874"/>
    <w:rsid w:val="00D90497"/>
    <w:rsid w:val="00D90BF3"/>
    <w:rsid w:val="00D91039"/>
    <w:rsid w:val="00D91F07"/>
    <w:rsid w:val="00D92809"/>
    <w:rsid w:val="00D96D16"/>
    <w:rsid w:val="00DA0042"/>
    <w:rsid w:val="00DA0595"/>
    <w:rsid w:val="00DA0AD0"/>
    <w:rsid w:val="00DA1B9D"/>
    <w:rsid w:val="00DA2CC6"/>
    <w:rsid w:val="00DA3D2C"/>
    <w:rsid w:val="00DA4350"/>
    <w:rsid w:val="00DA48E1"/>
    <w:rsid w:val="00DA57A5"/>
    <w:rsid w:val="00DA5F0C"/>
    <w:rsid w:val="00DA65E8"/>
    <w:rsid w:val="00DA660D"/>
    <w:rsid w:val="00DA6D5D"/>
    <w:rsid w:val="00DB0728"/>
    <w:rsid w:val="00DB191E"/>
    <w:rsid w:val="00DB64A0"/>
    <w:rsid w:val="00DB7F7E"/>
    <w:rsid w:val="00DC0509"/>
    <w:rsid w:val="00DC12D5"/>
    <w:rsid w:val="00DC2F7B"/>
    <w:rsid w:val="00DC5101"/>
    <w:rsid w:val="00DC633C"/>
    <w:rsid w:val="00DC7E75"/>
    <w:rsid w:val="00DD011A"/>
    <w:rsid w:val="00DD0B3F"/>
    <w:rsid w:val="00DD1848"/>
    <w:rsid w:val="00DD25BC"/>
    <w:rsid w:val="00DD2B70"/>
    <w:rsid w:val="00DD2E50"/>
    <w:rsid w:val="00DD3B93"/>
    <w:rsid w:val="00DD3D11"/>
    <w:rsid w:val="00DD464E"/>
    <w:rsid w:val="00DD4BD3"/>
    <w:rsid w:val="00DD653A"/>
    <w:rsid w:val="00DE02E4"/>
    <w:rsid w:val="00DE1F5C"/>
    <w:rsid w:val="00DE28BA"/>
    <w:rsid w:val="00DE5C8D"/>
    <w:rsid w:val="00DF31B0"/>
    <w:rsid w:val="00DF430D"/>
    <w:rsid w:val="00DF6967"/>
    <w:rsid w:val="00E01F9D"/>
    <w:rsid w:val="00E03A2C"/>
    <w:rsid w:val="00E03F38"/>
    <w:rsid w:val="00E050A7"/>
    <w:rsid w:val="00E06417"/>
    <w:rsid w:val="00E064B8"/>
    <w:rsid w:val="00E068BC"/>
    <w:rsid w:val="00E07338"/>
    <w:rsid w:val="00E10A62"/>
    <w:rsid w:val="00E11A93"/>
    <w:rsid w:val="00E14EFF"/>
    <w:rsid w:val="00E16796"/>
    <w:rsid w:val="00E172CA"/>
    <w:rsid w:val="00E175EB"/>
    <w:rsid w:val="00E218AE"/>
    <w:rsid w:val="00E22D4A"/>
    <w:rsid w:val="00E2375C"/>
    <w:rsid w:val="00E249FF"/>
    <w:rsid w:val="00E27B6E"/>
    <w:rsid w:val="00E30785"/>
    <w:rsid w:val="00E30F41"/>
    <w:rsid w:val="00E315D5"/>
    <w:rsid w:val="00E3172E"/>
    <w:rsid w:val="00E34108"/>
    <w:rsid w:val="00E40594"/>
    <w:rsid w:val="00E40C98"/>
    <w:rsid w:val="00E46E81"/>
    <w:rsid w:val="00E472CF"/>
    <w:rsid w:val="00E50638"/>
    <w:rsid w:val="00E52972"/>
    <w:rsid w:val="00E52A0C"/>
    <w:rsid w:val="00E52F5A"/>
    <w:rsid w:val="00E54D2C"/>
    <w:rsid w:val="00E57979"/>
    <w:rsid w:val="00E6042D"/>
    <w:rsid w:val="00E60972"/>
    <w:rsid w:val="00E650F9"/>
    <w:rsid w:val="00E66EFF"/>
    <w:rsid w:val="00E67238"/>
    <w:rsid w:val="00E7080D"/>
    <w:rsid w:val="00E72267"/>
    <w:rsid w:val="00E734D3"/>
    <w:rsid w:val="00E76FD3"/>
    <w:rsid w:val="00E77C38"/>
    <w:rsid w:val="00E8254B"/>
    <w:rsid w:val="00E850BC"/>
    <w:rsid w:val="00E85291"/>
    <w:rsid w:val="00E876BD"/>
    <w:rsid w:val="00E91E05"/>
    <w:rsid w:val="00E94315"/>
    <w:rsid w:val="00E9593C"/>
    <w:rsid w:val="00E96700"/>
    <w:rsid w:val="00E973D7"/>
    <w:rsid w:val="00E97FD1"/>
    <w:rsid w:val="00EA1916"/>
    <w:rsid w:val="00EA255A"/>
    <w:rsid w:val="00EA3585"/>
    <w:rsid w:val="00EA3CDD"/>
    <w:rsid w:val="00EA4673"/>
    <w:rsid w:val="00EA4684"/>
    <w:rsid w:val="00EA5AA7"/>
    <w:rsid w:val="00EA6695"/>
    <w:rsid w:val="00EA67E8"/>
    <w:rsid w:val="00EA6926"/>
    <w:rsid w:val="00EA7DDF"/>
    <w:rsid w:val="00EB2C16"/>
    <w:rsid w:val="00EB2DE3"/>
    <w:rsid w:val="00EB2EA9"/>
    <w:rsid w:val="00EB307B"/>
    <w:rsid w:val="00EB379C"/>
    <w:rsid w:val="00EB5CB9"/>
    <w:rsid w:val="00EC0A10"/>
    <w:rsid w:val="00EC25C7"/>
    <w:rsid w:val="00EC29CF"/>
    <w:rsid w:val="00EC2BAC"/>
    <w:rsid w:val="00EC3B71"/>
    <w:rsid w:val="00EC70DD"/>
    <w:rsid w:val="00EC7F4D"/>
    <w:rsid w:val="00ED07C7"/>
    <w:rsid w:val="00ED17AF"/>
    <w:rsid w:val="00ED355C"/>
    <w:rsid w:val="00ED5517"/>
    <w:rsid w:val="00ED5D16"/>
    <w:rsid w:val="00ED5DB3"/>
    <w:rsid w:val="00ED5F34"/>
    <w:rsid w:val="00ED6995"/>
    <w:rsid w:val="00ED7760"/>
    <w:rsid w:val="00EE07A7"/>
    <w:rsid w:val="00EE1C8A"/>
    <w:rsid w:val="00EE28B7"/>
    <w:rsid w:val="00EE31D1"/>
    <w:rsid w:val="00EE39DE"/>
    <w:rsid w:val="00EE487D"/>
    <w:rsid w:val="00EF0AF2"/>
    <w:rsid w:val="00EF13A7"/>
    <w:rsid w:val="00EF1AE7"/>
    <w:rsid w:val="00EF1DF3"/>
    <w:rsid w:val="00EF3711"/>
    <w:rsid w:val="00EF3A61"/>
    <w:rsid w:val="00EF40E1"/>
    <w:rsid w:val="00EF4786"/>
    <w:rsid w:val="00EF4E61"/>
    <w:rsid w:val="00EF6107"/>
    <w:rsid w:val="00EF6C59"/>
    <w:rsid w:val="00EF7989"/>
    <w:rsid w:val="00EF7C64"/>
    <w:rsid w:val="00F049A5"/>
    <w:rsid w:val="00F04B20"/>
    <w:rsid w:val="00F070AE"/>
    <w:rsid w:val="00F07164"/>
    <w:rsid w:val="00F073EB"/>
    <w:rsid w:val="00F10587"/>
    <w:rsid w:val="00F1067B"/>
    <w:rsid w:val="00F11557"/>
    <w:rsid w:val="00F115AD"/>
    <w:rsid w:val="00F1384C"/>
    <w:rsid w:val="00F13A38"/>
    <w:rsid w:val="00F13C99"/>
    <w:rsid w:val="00F14418"/>
    <w:rsid w:val="00F148B2"/>
    <w:rsid w:val="00F148D2"/>
    <w:rsid w:val="00F14FBC"/>
    <w:rsid w:val="00F15FCF"/>
    <w:rsid w:val="00F16C09"/>
    <w:rsid w:val="00F20B18"/>
    <w:rsid w:val="00F20B73"/>
    <w:rsid w:val="00F22BB7"/>
    <w:rsid w:val="00F247BC"/>
    <w:rsid w:val="00F27349"/>
    <w:rsid w:val="00F30D05"/>
    <w:rsid w:val="00F31D4D"/>
    <w:rsid w:val="00F32C2B"/>
    <w:rsid w:val="00F342C7"/>
    <w:rsid w:val="00F35303"/>
    <w:rsid w:val="00F36446"/>
    <w:rsid w:val="00F421F8"/>
    <w:rsid w:val="00F44184"/>
    <w:rsid w:val="00F4637E"/>
    <w:rsid w:val="00F46E6B"/>
    <w:rsid w:val="00F46F6E"/>
    <w:rsid w:val="00F46FF8"/>
    <w:rsid w:val="00F47376"/>
    <w:rsid w:val="00F504BC"/>
    <w:rsid w:val="00F515CE"/>
    <w:rsid w:val="00F52C65"/>
    <w:rsid w:val="00F55965"/>
    <w:rsid w:val="00F56D3C"/>
    <w:rsid w:val="00F5733F"/>
    <w:rsid w:val="00F57DBF"/>
    <w:rsid w:val="00F607DC"/>
    <w:rsid w:val="00F608E3"/>
    <w:rsid w:val="00F611E1"/>
    <w:rsid w:val="00F6201A"/>
    <w:rsid w:val="00F66414"/>
    <w:rsid w:val="00F70C27"/>
    <w:rsid w:val="00F72200"/>
    <w:rsid w:val="00F73195"/>
    <w:rsid w:val="00F73A72"/>
    <w:rsid w:val="00F75E07"/>
    <w:rsid w:val="00F76D60"/>
    <w:rsid w:val="00F77137"/>
    <w:rsid w:val="00F804B1"/>
    <w:rsid w:val="00F80B50"/>
    <w:rsid w:val="00F81935"/>
    <w:rsid w:val="00F81C9E"/>
    <w:rsid w:val="00F82E0D"/>
    <w:rsid w:val="00F832CF"/>
    <w:rsid w:val="00F836F1"/>
    <w:rsid w:val="00F84CD1"/>
    <w:rsid w:val="00F85AA3"/>
    <w:rsid w:val="00F86F14"/>
    <w:rsid w:val="00F90E72"/>
    <w:rsid w:val="00F9179E"/>
    <w:rsid w:val="00F9479A"/>
    <w:rsid w:val="00F95AF7"/>
    <w:rsid w:val="00F95E8E"/>
    <w:rsid w:val="00F97120"/>
    <w:rsid w:val="00F97E49"/>
    <w:rsid w:val="00FA04AB"/>
    <w:rsid w:val="00FA102D"/>
    <w:rsid w:val="00FA206A"/>
    <w:rsid w:val="00FA3979"/>
    <w:rsid w:val="00FA4CA7"/>
    <w:rsid w:val="00FA5656"/>
    <w:rsid w:val="00FA59D2"/>
    <w:rsid w:val="00FA61A0"/>
    <w:rsid w:val="00FA6447"/>
    <w:rsid w:val="00FA7CE1"/>
    <w:rsid w:val="00FB01F2"/>
    <w:rsid w:val="00FB1CF5"/>
    <w:rsid w:val="00FB21DC"/>
    <w:rsid w:val="00FB2C89"/>
    <w:rsid w:val="00FB38EA"/>
    <w:rsid w:val="00FB69AC"/>
    <w:rsid w:val="00FC0D09"/>
    <w:rsid w:val="00FC2D63"/>
    <w:rsid w:val="00FC5500"/>
    <w:rsid w:val="00FC61DB"/>
    <w:rsid w:val="00FC737D"/>
    <w:rsid w:val="00FC7E58"/>
    <w:rsid w:val="00FD0E94"/>
    <w:rsid w:val="00FD12EB"/>
    <w:rsid w:val="00FD213B"/>
    <w:rsid w:val="00FD23DA"/>
    <w:rsid w:val="00FD3EE3"/>
    <w:rsid w:val="00FD662A"/>
    <w:rsid w:val="00FD7011"/>
    <w:rsid w:val="00FE00C7"/>
    <w:rsid w:val="00FE2FAA"/>
    <w:rsid w:val="00FE30B3"/>
    <w:rsid w:val="00FE374C"/>
    <w:rsid w:val="00FF0C92"/>
    <w:rsid w:val="00FF0E36"/>
    <w:rsid w:val="00FF227D"/>
    <w:rsid w:val="00FF24D6"/>
    <w:rsid w:val="00FF306C"/>
    <w:rsid w:val="00FF5694"/>
    <w:rsid w:val="00FF584F"/>
    <w:rsid w:val="00FF769C"/>
  </w:rsids>
  <m:mathPr>
    <m:mathFont m:val="Cambria Math"/>
    <m:brkBin m:val="before"/>
    <m:brkBinSub m:val="--"/>
    <m:smallFrac/>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fillcolor="none [3204]" strokecolor="none [3204]">
      <v:fill color="none [3204]"/>
      <v:stroke color="none [3204]" weight="3pt"/>
      <v:shadow type="perspective" color="none [1604]" opacity=".5" offset="1pt" offset2="-1pt"/>
    </o:shapedefaults>
    <o:shapelayout v:ext="edit">
      <o:idmap v:ext="edit" data="2"/>
    </o:shapelayout>
  </w:shapeDefaults>
  <w:decimalSymbol w:val="."/>
  <w:listSeparator w:val=","/>
  <w14:docId w14:val="05CCB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98"/>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iPriority="11" w:unhideWhenUsed="1"/>
    <w:lsdException w:name="index 4" w:semiHidden="1" w:uiPriority="11" w:unhideWhenUsed="1"/>
    <w:lsdException w:name="index 5" w:semiHidden="1" w:uiPriority="11" w:unhideWhenUsed="1"/>
    <w:lsdException w:name="index 6" w:semiHidden="1" w:uiPriority="11" w:unhideWhenUsed="1"/>
    <w:lsdException w:name="index 7" w:semiHidden="1" w:uiPriority="11" w:unhideWhenUsed="1"/>
    <w:lsdException w:name="index 8" w:semiHidden="1" w:uiPriority="11" w:unhideWhenUsed="1"/>
    <w:lsdException w:name="index 9" w:semiHidden="1" w:uiPriority="11" w:unhideWhenUsed="1"/>
    <w:lsdException w:name="toc 1" w:semiHidden="1" w:uiPriority="39" w:unhideWhenUsed="1"/>
    <w:lsdException w:name="toc 2" w:semiHidden="1" w:uiPriority="39" w:unhideWhenUsed="1"/>
    <w:lsdException w:name="toc 3" w:semiHidden="1" w:uiPriority="39" w:unhideWhenUsed="1"/>
    <w:lsdException w:name="toc 4" w:semiHidden="1" w:uiPriority="8"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7" w:unhideWhenUsed="1"/>
    <w:lsdException w:name="annotation text" w:semiHidden="1" w:uiPriority="98" w:unhideWhenUsed="1"/>
    <w:lsdException w:name="header" w:semiHidden="1" w:uiPriority="0" w:unhideWhenUsed="1"/>
    <w:lsdException w:name="footer" w:semiHidden="1" w:uiPriority="10" w:unhideWhenUsed="1"/>
    <w:lsdException w:name="index heading" w:semiHidden="1" w:uiPriority="1" w:unhideWhenUsed="1"/>
    <w:lsdException w:name="caption" w:semiHidden="1" w:uiPriority="2" w:unhideWhenUsed="1"/>
    <w:lsdException w:name="table of figures" w:semiHidden="1" w:unhideWhenUsed="1"/>
    <w:lsdException w:name="envelope address" w:semiHidden="1" w:unhideWhenUsed="1"/>
    <w:lsdException w:name="envelope return" w:semiHidden="1" w:unhideWhenUsed="1"/>
    <w:lsdException w:name="footnote reference" w:uiPriority="7"/>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7" w:unhideWhenUsed="1"/>
    <w:lsdException w:name="table of authorities" w:semiHidden="1" w:uiPriority="9" w:unhideWhenUsed="1"/>
    <w:lsdException w:name="macro" w:semiHidden="1" w:unhideWhenUsed="1"/>
    <w:lsdException w:name="toa heading" w:semiHidden="1" w:uiPriority="9" w:unhideWhenUsed="1"/>
    <w:lsdException w:name="List" w:semiHidden="1" w:unhideWhenUsed="1"/>
    <w:lsdException w:name="List Bullet" w:semiHidden="1" w:uiPriority="3" w:unhideWhenUsed="1"/>
    <w:lsdException w:name="List Number" w:semiHidden="1" w:uiPriority="5"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lsdException w:name="List Bullet 3" w:semiHidden="1" w:uiPriority="3" w:unhideWhenUsed="1"/>
    <w:lsdException w:name="List Bullet 4" w:semiHidden="1" w:uiPriority="3" w:unhideWhenUsed="1"/>
    <w:lsdException w:name="List Bullet 5" w:semiHidden="1"/>
    <w:lsdException w:name="List Number 2" w:semiHidden="1" w:uiPriority="5" w:unhideWhenUsed="1"/>
    <w:lsdException w:name="List Number 3" w:semiHidden="1" w:uiPriority="5" w:unhideWhenUsed="1"/>
    <w:lsdException w:name="List Number 4" w:semiHidden="1" w:uiPriority="97" w:unhideWhenUsed="1"/>
    <w:lsdException w:name="List Number 5" w:semiHidden="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iPriority="2" w:unhideWhenUsed="1"/>
    <w:lsdException w:name="Body Text Indent" w:semiHidden="1" w:unhideWhenUsed="1"/>
    <w:lsdException w:name="List Continue" w:semiHidden="1" w:uiPriority="4" w:unhideWhenUsed="1"/>
    <w:lsdException w:name="List Continue 2" w:semiHidden="1" w:uiPriority="4" w:unhideWhenUsed="1"/>
    <w:lsdException w:name="List Continue 3" w:semiHidden="1" w:uiPriority="4" w:unhideWhenUsed="1"/>
    <w:lsdException w:name="List Continue 4" w:semiHidden="1" w:uiPriority="4"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2" w:unhideWhenUsed="1"/>
    <w:lsdException w:name="Strong" w:semiHidden="1" w:uiPriority="2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12"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7" w:unhideWhenUsed="1"/>
    <w:lsdException w:name="TOC Heading" w:semiHidden="1" w:uiPriority="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8"/>
    <w:rsid w:val="00556D0A"/>
    <w:pPr>
      <w:spacing w:after="160" w:line="300" w:lineRule="atLeast"/>
    </w:pPr>
    <w:rPr>
      <w:rFonts w:ascii="Calibri" w:hAnsi="Calibri"/>
      <w:color w:val="1E1E1E"/>
      <w:sz w:val="24"/>
    </w:rPr>
  </w:style>
  <w:style w:type="paragraph" w:styleId="Heading1">
    <w:name w:val="heading 1"/>
    <w:basedOn w:val="Normalcolour"/>
    <w:next w:val="BodyText"/>
    <w:link w:val="Heading1Char"/>
    <w:uiPriority w:val="1"/>
    <w:qFormat/>
    <w:rsid w:val="00212DBD"/>
    <w:pPr>
      <w:keepNext/>
      <w:keepLines/>
      <w:numPr>
        <w:numId w:val="10"/>
      </w:numPr>
      <w:spacing w:before="480" w:after="140" w:line="240" w:lineRule="auto"/>
      <w:ind w:right="284"/>
      <w:outlineLvl w:val="0"/>
    </w:pPr>
    <w:rPr>
      <w:rFonts w:eastAsiaTheme="majorEastAsia" w:cstheme="majorBidi"/>
      <w:bCs/>
      <w:sz w:val="38"/>
      <w:szCs w:val="28"/>
    </w:rPr>
  </w:style>
  <w:style w:type="paragraph" w:styleId="Heading2">
    <w:name w:val="heading 2"/>
    <w:basedOn w:val="Normal"/>
    <w:next w:val="BodyText"/>
    <w:link w:val="Heading2Char"/>
    <w:uiPriority w:val="1"/>
    <w:qFormat/>
    <w:rsid w:val="00443097"/>
    <w:pPr>
      <w:keepNext/>
      <w:keepLines/>
      <w:numPr>
        <w:ilvl w:val="1"/>
        <w:numId w:val="10"/>
      </w:numPr>
      <w:spacing w:before="360" w:after="140" w:line="240" w:lineRule="auto"/>
      <w:ind w:right="284"/>
      <w:outlineLvl w:val="1"/>
    </w:pPr>
    <w:rPr>
      <w:rFonts w:eastAsiaTheme="majorEastAsia" w:cstheme="majorBidi"/>
      <w:b/>
      <w:bCs/>
      <w:sz w:val="30"/>
      <w:szCs w:val="26"/>
    </w:rPr>
  </w:style>
  <w:style w:type="paragraph" w:styleId="Heading3">
    <w:name w:val="heading 3"/>
    <w:basedOn w:val="Normalcolour"/>
    <w:next w:val="BodyText"/>
    <w:link w:val="Heading3Char"/>
    <w:uiPriority w:val="1"/>
    <w:qFormat/>
    <w:rsid w:val="00443097"/>
    <w:pPr>
      <w:keepNext/>
      <w:keepLines/>
      <w:numPr>
        <w:ilvl w:val="2"/>
        <w:numId w:val="10"/>
      </w:numPr>
      <w:spacing w:before="360" w:after="60" w:line="240" w:lineRule="auto"/>
      <w:ind w:right="284"/>
      <w:outlineLvl w:val="2"/>
    </w:pPr>
    <w:rPr>
      <w:rFonts w:eastAsiaTheme="majorEastAsia" w:cstheme="majorBidi"/>
      <w:bCs/>
      <w:color w:val="1E1E1E"/>
      <w:sz w:val="29"/>
    </w:rPr>
  </w:style>
  <w:style w:type="paragraph" w:styleId="Heading4">
    <w:name w:val="heading 4"/>
    <w:basedOn w:val="Normal"/>
    <w:next w:val="BodyText"/>
    <w:link w:val="Heading4Char"/>
    <w:uiPriority w:val="1"/>
    <w:qFormat/>
    <w:rsid w:val="00443097"/>
    <w:pPr>
      <w:keepNext/>
      <w:keepLines/>
      <w:numPr>
        <w:ilvl w:val="3"/>
        <w:numId w:val="10"/>
      </w:numPr>
      <w:spacing w:before="280" w:after="60" w:line="240" w:lineRule="auto"/>
      <w:ind w:right="284"/>
      <w:outlineLvl w:val="3"/>
    </w:pPr>
    <w:rPr>
      <w:rFonts w:eastAsiaTheme="majorEastAsia" w:cstheme="majorBidi"/>
      <w:b/>
      <w:bCs/>
      <w:iCs/>
      <w:sz w:val="26"/>
    </w:rPr>
  </w:style>
  <w:style w:type="paragraph" w:styleId="Heading5">
    <w:name w:val="heading 5"/>
    <w:basedOn w:val="Normal"/>
    <w:next w:val="BodyText"/>
    <w:link w:val="Heading5Char"/>
    <w:uiPriority w:val="1"/>
    <w:rsid w:val="00443097"/>
    <w:pPr>
      <w:keepNext/>
      <w:keepLines/>
      <w:numPr>
        <w:ilvl w:val="4"/>
        <w:numId w:val="10"/>
      </w:numPr>
      <w:spacing w:before="360" w:after="60"/>
      <w:ind w:right="284"/>
      <w:outlineLvl w:val="4"/>
    </w:pPr>
    <w:rPr>
      <w:rFonts w:eastAsiaTheme="majorEastAsia" w:cstheme="majorBidi"/>
      <w:b/>
      <w:caps/>
      <w:sz w:val="22"/>
    </w:rPr>
  </w:style>
  <w:style w:type="paragraph" w:styleId="Heading6">
    <w:name w:val="heading 6"/>
    <w:basedOn w:val="Normal"/>
    <w:next w:val="Normal"/>
    <w:link w:val="Heading6Char"/>
    <w:uiPriority w:val="9"/>
    <w:semiHidden/>
    <w:qFormat/>
    <w:rsid w:val="00443097"/>
    <w:pPr>
      <w:keepNext/>
      <w:keepLines/>
      <w:numPr>
        <w:ilvl w:val="5"/>
        <w:numId w:val="10"/>
      </w:numPr>
      <w:spacing w:before="200" w:after="0"/>
      <w:outlineLvl w:val="5"/>
    </w:pPr>
    <w:rPr>
      <w:rFonts w:asciiTheme="majorHAnsi" w:eastAsiaTheme="majorEastAsia" w:hAnsiTheme="majorHAnsi" w:cstheme="majorBidi"/>
      <w:i/>
      <w:iCs/>
      <w:color w:val="155A39" w:themeColor="accent1" w:themeShade="7F"/>
    </w:rPr>
  </w:style>
  <w:style w:type="paragraph" w:styleId="Heading7">
    <w:name w:val="heading 7"/>
    <w:basedOn w:val="Normal"/>
    <w:next w:val="Normal"/>
    <w:link w:val="Heading7Char"/>
    <w:uiPriority w:val="9"/>
    <w:semiHidden/>
    <w:qFormat/>
    <w:rsid w:val="00443097"/>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443097"/>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qFormat/>
    <w:rsid w:val="00443097"/>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7"/>
    <w:rsid w:val="0057603B"/>
    <w:rPr>
      <w:vertAlign w:val="superscript"/>
    </w:rPr>
  </w:style>
  <w:style w:type="paragraph" w:styleId="BalloonText">
    <w:name w:val="Balloon Text"/>
    <w:basedOn w:val="Normal"/>
    <w:link w:val="BalloonTextChar"/>
    <w:uiPriority w:val="98"/>
    <w:semiHidden/>
    <w:rsid w:val="00EC70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8"/>
    <w:semiHidden/>
    <w:rsid w:val="00A47267"/>
    <w:rPr>
      <w:rFonts w:ascii="Tahoma" w:hAnsi="Tahoma" w:cs="Tahoma"/>
      <w:color w:val="1E1E1E"/>
      <w:sz w:val="16"/>
      <w:szCs w:val="16"/>
    </w:rPr>
  </w:style>
  <w:style w:type="character" w:customStyle="1" w:styleId="Heading1Char">
    <w:name w:val="Heading 1 Char"/>
    <w:basedOn w:val="DefaultParagraphFont"/>
    <w:link w:val="Heading1"/>
    <w:uiPriority w:val="1"/>
    <w:rsid w:val="00212DBD"/>
    <w:rPr>
      <w:rFonts w:ascii="Calibri" w:eastAsiaTheme="majorEastAsia" w:hAnsi="Calibri" w:cstheme="majorBidi"/>
      <w:bCs/>
      <w:color w:val="2BB673"/>
      <w:sz w:val="38"/>
      <w:szCs w:val="28"/>
    </w:rPr>
  </w:style>
  <w:style w:type="character" w:customStyle="1" w:styleId="Heading2Char">
    <w:name w:val="Heading 2 Char"/>
    <w:basedOn w:val="DefaultParagraphFont"/>
    <w:link w:val="Heading2"/>
    <w:uiPriority w:val="1"/>
    <w:rsid w:val="006A1F3A"/>
    <w:rPr>
      <w:rFonts w:ascii="Calibri" w:eastAsiaTheme="majorEastAsia" w:hAnsi="Calibri" w:cstheme="majorBidi"/>
      <w:b/>
      <w:bCs/>
      <w:color w:val="1E1E1E"/>
      <w:sz w:val="30"/>
      <w:szCs w:val="26"/>
    </w:rPr>
  </w:style>
  <w:style w:type="character" w:customStyle="1" w:styleId="Heading3Char">
    <w:name w:val="Heading 3 Char"/>
    <w:basedOn w:val="DefaultParagraphFont"/>
    <w:link w:val="Heading3"/>
    <w:uiPriority w:val="1"/>
    <w:rsid w:val="006A1F3A"/>
    <w:rPr>
      <w:rFonts w:ascii="Calibri" w:eastAsiaTheme="majorEastAsia" w:hAnsi="Calibri" w:cstheme="majorBidi"/>
      <w:bCs/>
      <w:color w:val="1E1E1E"/>
      <w:sz w:val="29"/>
    </w:rPr>
  </w:style>
  <w:style w:type="paragraph" w:styleId="Title">
    <w:name w:val="Title"/>
    <w:basedOn w:val="Normalcolour"/>
    <w:next w:val="BodyText"/>
    <w:link w:val="TitleChar"/>
    <w:uiPriority w:val="1"/>
    <w:rsid w:val="0025080F"/>
    <w:pPr>
      <w:spacing w:after="0" w:line="240" w:lineRule="auto"/>
      <w:ind w:right="284"/>
      <w:contextualSpacing/>
    </w:pPr>
    <w:rPr>
      <w:rFonts w:eastAsiaTheme="majorEastAsia" w:cstheme="majorBidi"/>
      <w:spacing w:val="5"/>
      <w:kern w:val="28"/>
      <w:sz w:val="48"/>
      <w:szCs w:val="52"/>
    </w:rPr>
  </w:style>
  <w:style w:type="character" w:customStyle="1" w:styleId="TitleChar">
    <w:name w:val="Title Char"/>
    <w:basedOn w:val="DefaultParagraphFont"/>
    <w:link w:val="Title"/>
    <w:uiPriority w:val="1"/>
    <w:rsid w:val="0025080F"/>
    <w:rPr>
      <w:rFonts w:ascii="Calibri" w:eastAsiaTheme="majorEastAsia" w:hAnsi="Calibri" w:cstheme="majorBidi"/>
      <w:color w:val="2BB673"/>
      <w:spacing w:val="5"/>
      <w:kern w:val="28"/>
      <w:sz w:val="48"/>
      <w:szCs w:val="52"/>
    </w:rPr>
  </w:style>
  <w:style w:type="character" w:customStyle="1" w:styleId="Heading4Char">
    <w:name w:val="Heading 4 Char"/>
    <w:basedOn w:val="DefaultParagraphFont"/>
    <w:link w:val="Heading4"/>
    <w:uiPriority w:val="1"/>
    <w:rsid w:val="00C50877"/>
    <w:rPr>
      <w:rFonts w:ascii="Calibri" w:eastAsiaTheme="majorEastAsia" w:hAnsi="Calibri" w:cstheme="majorBidi"/>
      <w:b/>
      <w:bCs/>
      <w:iCs/>
      <w:color w:val="1E1E1E"/>
      <w:sz w:val="26"/>
    </w:rPr>
  </w:style>
  <w:style w:type="character" w:customStyle="1" w:styleId="Heading5Char">
    <w:name w:val="Heading 5 Char"/>
    <w:basedOn w:val="DefaultParagraphFont"/>
    <w:link w:val="Heading5"/>
    <w:uiPriority w:val="1"/>
    <w:rsid w:val="008D38A4"/>
    <w:rPr>
      <w:rFonts w:ascii="Calibri" w:eastAsiaTheme="majorEastAsia" w:hAnsi="Calibri" w:cstheme="majorBidi"/>
      <w:b/>
      <w:caps/>
      <w:color w:val="1E1E1E"/>
    </w:rPr>
  </w:style>
  <w:style w:type="character" w:customStyle="1" w:styleId="Heading6Char">
    <w:name w:val="Heading 6 Char"/>
    <w:basedOn w:val="DefaultParagraphFont"/>
    <w:link w:val="Heading6"/>
    <w:uiPriority w:val="9"/>
    <w:semiHidden/>
    <w:rsid w:val="00D65F90"/>
    <w:rPr>
      <w:rFonts w:asciiTheme="majorHAnsi" w:eastAsiaTheme="majorEastAsia" w:hAnsiTheme="majorHAnsi" w:cstheme="majorBidi"/>
      <w:i/>
      <w:iCs/>
      <w:color w:val="155A39" w:themeColor="accent1" w:themeShade="7F"/>
      <w:sz w:val="24"/>
    </w:rPr>
  </w:style>
  <w:style w:type="character" w:customStyle="1" w:styleId="Heading7Char">
    <w:name w:val="Heading 7 Char"/>
    <w:basedOn w:val="DefaultParagraphFont"/>
    <w:link w:val="Heading7"/>
    <w:uiPriority w:val="9"/>
    <w:semiHidden/>
    <w:rsid w:val="00D65F90"/>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D65F9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65F90"/>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BodyText"/>
    <w:uiPriority w:val="2"/>
    <w:semiHidden/>
    <w:rsid w:val="00342FE3"/>
    <w:pPr>
      <w:keepNext/>
      <w:spacing w:before="200" w:after="140"/>
    </w:pPr>
    <w:rPr>
      <w:b/>
      <w:bCs/>
      <w:szCs w:val="18"/>
    </w:rPr>
  </w:style>
  <w:style w:type="paragraph" w:styleId="Bibliography">
    <w:name w:val="Bibliography"/>
    <w:basedOn w:val="Normal"/>
    <w:next w:val="Normal"/>
    <w:uiPriority w:val="7"/>
    <w:rsid w:val="00342FE3"/>
  </w:style>
  <w:style w:type="paragraph" w:styleId="TOC1">
    <w:name w:val="toc 1"/>
    <w:basedOn w:val="Normalcolour"/>
    <w:next w:val="Normal"/>
    <w:uiPriority w:val="39"/>
    <w:rsid w:val="0025080F"/>
    <w:pPr>
      <w:tabs>
        <w:tab w:val="right" w:leader="underscore" w:pos="9299"/>
      </w:tabs>
      <w:spacing w:before="200" w:after="0"/>
      <w:ind w:right="425"/>
    </w:pPr>
    <w:rPr>
      <w:b/>
      <w:sz w:val="26"/>
    </w:rPr>
  </w:style>
  <w:style w:type="paragraph" w:styleId="TOC2">
    <w:name w:val="toc 2"/>
    <w:basedOn w:val="Normal"/>
    <w:next w:val="Normal"/>
    <w:uiPriority w:val="39"/>
    <w:rsid w:val="0074146D"/>
    <w:pPr>
      <w:tabs>
        <w:tab w:val="right" w:leader="underscore" w:pos="9299"/>
      </w:tabs>
      <w:spacing w:after="0"/>
      <w:ind w:right="425"/>
    </w:pPr>
  </w:style>
  <w:style w:type="paragraph" w:styleId="TOC3">
    <w:name w:val="toc 3"/>
    <w:basedOn w:val="Normal"/>
    <w:next w:val="Normal"/>
    <w:uiPriority w:val="39"/>
    <w:rsid w:val="0074146D"/>
    <w:pPr>
      <w:tabs>
        <w:tab w:val="right" w:leader="underscore" w:pos="9299"/>
      </w:tabs>
      <w:spacing w:after="0"/>
      <w:ind w:left="284" w:right="425"/>
    </w:pPr>
  </w:style>
  <w:style w:type="paragraph" w:styleId="TOC4">
    <w:name w:val="toc 4"/>
    <w:basedOn w:val="Normal"/>
    <w:next w:val="Normal"/>
    <w:uiPriority w:val="39"/>
    <w:rsid w:val="004F549A"/>
    <w:pPr>
      <w:tabs>
        <w:tab w:val="right" w:leader="underscore" w:pos="9299"/>
      </w:tabs>
      <w:spacing w:after="0"/>
      <w:ind w:left="567" w:right="425"/>
    </w:pPr>
  </w:style>
  <w:style w:type="paragraph" w:styleId="TOC5">
    <w:name w:val="toc 5"/>
    <w:basedOn w:val="Normal"/>
    <w:next w:val="Normal"/>
    <w:uiPriority w:val="39"/>
    <w:rsid w:val="0074146D"/>
    <w:pPr>
      <w:tabs>
        <w:tab w:val="right" w:leader="dot" w:pos="9299"/>
      </w:tabs>
      <w:spacing w:after="0" w:line="260" w:lineRule="atLeast"/>
      <w:ind w:left="851" w:right="425"/>
    </w:pPr>
  </w:style>
  <w:style w:type="paragraph" w:styleId="TOC6">
    <w:name w:val="toc 6"/>
    <w:basedOn w:val="Normal"/>
    <w:next w:val="Normal"/>
    <w:autoRedefine/>
    <w:uiPriority w:val="39"/>
    <w:semiHidden/>
    <w:rsid w:val="00342FE3"/>
    <w:pPr>
      <w:spacing w:after="100"/>
      <w:ind w:left="1100"/>
    </w:pPr>
  </w:style>
  <w:style w:type="paragraph" w:styleId="TOC7">
    <w:name w:val="toc 7"/>
    <w:basedOn w:val="Normal"/>
    <w:next w:val="Normal"/>
    <w:autoRedefine/>
    <w:uiPriority w:val="39"/>
    <w:semiHidden/>
    <w:rsid w:val="00342FE3"/>
    <w:pPr>
      <w:spacing w:after="100"/>
      <w:ind w:left="1320"/>
    </w:pPr>
  </w:style>
  <w:style w:type="paragraph" w:styleId="TOC8">
    <w:name w:val="toc 8"/>
    <w:basedOn w:val="Normal"/>
    <w:next w:val="Normal"/>
    <w:autoRedefine/>
    <w:uiPriority w:val="39"/>
    <w:semiHidden/>
    <w:rsid w:val="00342FE3"/>
    <w:pPr>
      <w:spacing w:after="100"/>
      <w:ind w:left="1540"/>
    </w:pPr>
  </w:style>
  <w:style w:type="paragraph" w:styleId="TOC9">
    <w:name w:val="toc 9"/>
    <w:basedOn w:val="Normal"/>
    <w:next w:val="Normal"/>
    <w:autoRedefine/>
    <w:uiPriority w:val="39"/>
    <w:semiHidden/>
    <w:rsid w:val="00342FE3"/>
    <w:pPr>
      <w:spacing w:after="100"/>
      <w:ind w:left="1760"/>
    </w:pPr>
  </w:style>
  <w:style w:type="paragraph" w:styleId="TOCHeading">
    <w:name w:val="TOC Heading"/>
    <w:basedOn w:val="Heading1"/>
    <w:next w:val="BodyText"/>
    <w:uiPriority w:val="1"/>
    <w:rsid w:val="0074146D"/>
    <w:pPr>
      <w:outlineLvl w:val="9"/>
    </w:pPr>
  </w:style>
  <w:style w:type="paragraph" w:styleId="BodyText">
    <w:name w:val="Body Text"/>
    <w:basedOn w:val="Normal"/>
    <w:link w:val="BodyTextChar"/>
    <w:uiPriority w:val="2"/>
    <w:rsid w:val="00342FE3"/>
  </w:style>
  <w:style w:type="character" w:customStyle="1" w:styleId="BodyTextChar">
    <w:name w:val="Body Text Char"/>
    <w:basedOn w:val="DefaultParagraphFont"/>
    <w:link w:val="BodyText"/>
    <w:uiPriority w:val="2"/>
    <w:rsid w:val="003567EB"/>
    <w:rPr>
      <w:rFonts w:ascii="Calibri" w:hAnsi="Calibri"/>
      <w:color w:val="1E1E1E"/>
      <w:sz w:val="24"/>
    </w:rPr>
  </w:style>
  <w:style w:type="paragraph" w:styleId="CommentText">
    <w:name w:val="annotation text"/>
    <w:basedOn w:val="Normal"/>
    <w:link w:val="CommentTextChar"/>
    <w:uiPriority w:val="98"/>
    <w:semiHidden/>
    <w:rsid w:val="003567EB"/>
    <w:pPr>
      <w:spacing w:line="240" w:lineRule="auto"/>
    </w:pPr>
    <w:rPr>
      <w:sz w:val="22"/>
      <w:szCs w:val="20"/>
    </w:rPr>
  </w:style>
  <w:style w:type="character" w:customStyle="1" w:styleId="CommentTextChar">
    <w:name w:val="Comment Text Char"/>
    <w:basedOn w:val="DefaultParagraphFont"/>
    <w:link w:val="CommentText"/>
    <w:uiPriority w:val="98"/>
    <w:semiHidden/>
    <w:rsid w:val="00A47267"/>
    <w:rPr>
      <w:rFonts w:ascii="Calibri" w:hAnsi="Calibri"/>
      <w:color w:val="1E1E1E"/>
      <w:szCs w:val="20"/>
    </w:rPr>
  </w:style>
  <w:style w:type="paragraph" w:styleId="CommentSubject">
    <w:name w:val="annotation subject"/>
    <w:basedOn w:val="CommentText"/>
    <w:next w:val="CommentText"/>
    <w:link w:val="CommentSubjectChar"/>
    <w:uiPriority w:val="98"/>
    <w:semiHidden/>
    <w:rsid w:val="003567EB"/>
    <w:rPr>
      <w:b/>
      <w:bCs/>
    </w:rPr>
  </w:style>
  <w:style w:type="character" w:customStyle="1" w:styleId="CommentSubjectChar">
    <w:name w:val="Comment Subject Char"/>
    <w:basedOn w:val="CommentTextChar"/>
    <w:link w:val="CommentSubject"/>
    <w:uiPriority w:val="98"/>
    <w:semiHidden/>
    <w:rsid w:val="00A47267"/>
    <w:rPr>
      <w:rFonts w:ascii="Calibri" w:hAnsi="Calibri"/>
      <w:b/>
      <w:bCs/>
      <w:color w:val="1E1E1E"/>
      <w:szCs w:val="20"/>
    </w:rPr>
  </w:style>
  <w:style w:type="paragraph" w:styleId="Date">
    <w:name w:val="Date"/>
    <w:basedOn w:val="Normal"/>
    <w:next w:val="Normal"/>
    <w:link w:val="DateChar"/>
    <w:uiPriority w:val="99"/>
    <w:semiHidden/>
    <w:rsid w:val="00342FE3"/>
  </w:style>
  <w:style w:type="character" w:customStyle="1" w:styleId="DateChar">
    <w:name w:val="Date Char"/>
    <w:basedOn w:val="DefaultParagraphFont"/>
    <w:link w:val="Date"/>
    <w:uiPriority w:val="99"/>
    <w:semiHidden/>
    <w:rsid w:val="00FF5694"/>
    <w:rPr>
      <w:rFonts w:ascii="Calibri" w:hAnsi="Calibri"/>
      <w:color w:val="1E1E1E"/>
      <w:sz w:val="24"/>
    </w:rPr>
  </w:style>
  <w:style w:type="paragraph" w:styleId="EmailSignature">
    <w:name w:val="E-mail Signature"/>
    <w:basedOn w:val="Normal"/>
    <w:link w:val="EmailSignatureChar"/>
    <w:uiPriority w:val="99"/>
    <w:semiHidden/>
    <w:rsid w:val="00EC70DD"/>
    <w:pPr>
      <w:spacing w:after="0" w:line="240" w:lineRule="auto"/>
    </w:pPr>
  </w:style>
  <w:style w:type="character" w:customStyle="1" w:styleId="EmailSignatureChar">
    <w:name w:val="Email Signature Char"/>
    <w:basedOn w:val="DefaultParagraphFont"/>
    <w:link w:val="EmailSignature"/>
    <w:uiPriority w:val="99"/>
    <w:semiHidden/>
    <w:rsid w:val="00D65F90"/>
    <w:rPr>
      <w:rFonts w:ascii="Calibri" w:hAnsi="Calibri"/>
      <w:color w:val="1E1E1E"/>
      <w:sz w:val="24"/>
    </w:rPr>
  </w:style>
  <w:style w:type="paragraph" w:styleId="EndnoteText">
    <w:name w:val="endnote text"/>
    <w:basedOn w:val="Normal"/>
    <w:link w:val="EndnoteTextChar"/>
    <w:uiPriority w:val="7"/>
    <w:rsid w:val="00F73A72"/>
    <w:pPr>
      <w:tabs>
        <w:tab w:val="left" w:pos="284"/>
      </w:tabs>
      <w:spacing w:after="80" w:line="230" w:lineRule="atLeast"/>
      <w:ind w:left="284" w:hanging="284"/>
    </w:pPr>
    <w:rPr>
      <w:color w:val="4D4D4D"/>
      <w:sz w:val="20"/>
      <w:szCs w:val="20"/>
    </w:rPr>
  </w:style>
  <w:style w:type="character" w:customStyle="1" w:styleId="EndnoteTextChar">
    <w:name w:val="Endnote Text Char"/>
    <w:basedOn w:val="DefaultParagraphFont"/>
    <w:link w:val="EndnoteText"/>
    <w:uiPriority w:val="7"/>
    <w:rsid w:val="00D45126"/>
    <w:rPr>
      <w:rFonts w:ascii="Calibri" w:hAnsi="Calibri"/>
      <w:color w:val="4D4D4D"/>
      <w:sz w:val="20"/>
      <w:szCs w:val="20"/>
    </w:rPr>
  </w:style>
  <w:style w:type="paragraph" w:styleId="EnvelopeAddress">
    <w:name w:val="envelope address"/>
    <w:basedOn w:val="Normal"/>
    <w:uiPriority w:val="99"/>
    <w:semiHidden/>
    <w:rsid w:val="00EC70DD"/>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rsid w:val="00EC70DD"/>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10"/>
    <w:rsid w:val="00670DDA"/>
    <w:pPr>
      <w:spacing w:after="0" w:line="240" w:lineRule="auto"/>
      <w:jc w:val="right"/>
    </w:pPr>
    <w:rPr>
      <w:color w:val="696969"/>
      <w:sz w:val="20"/>
    </w:rPr>
  </w:style>
  <w:style w:type="character" w:customStyle="1" w:styleId="FooterChar">
    <w:name w:val="Footer Char"/>
    <w:basedOn w:val="DefaultParagraphFont"/>
    <w:link w:val="Footer"/>
    <w:uiPriority w:val="10"/>
    <w:rsid w:val="00670DDA"/>
    <w:rPr>
      <w:rFonts w:ascii="Calibri" w:hAnsi="Calibri"/>
      <w:color w:val="696969"/>
      <w:sz w:val="20"/>
    </w:rPr>
  </w:style>
  <w:style w:type="paragraph" w:styleId="FootnoteText">
    <w:name w:val="footnote text"/>
    <w:basedOn w:val="Normal"/>
    <w:link w:val="FootnoteTextChar"/>
    <w:uiPriority w:val="7"/>
    <w:rsid w:val="00342FE3"/>
    <w:pPr>
      <w:tabs>
        <w:tab w:val="left" w:pos="284"/>
      </w:tabs>
      <w:spacing w:after="80" w:line="230" w:lineRule="atLeast"/>
      <w:ind w:left="284" w:hanging="284"/>
    </w:pPr>
    <w:rPr>
      <w:color w:val="4D4D4D"/>
      <w:sz w:val="20"/>
      <w:szCs w:val="20"/>
    </w:rPr>
  </w:style>
  <w:style w:type="character" w:customStyle="1" w:styleId="FootnoteTextChar">
    <w:name w:val="Footnote Text Char"/>
    <w:basedOn w:val="DefaultParagraphFont"/>
    <w:link w:val="FootnoteText"/>
    <w:uiPriority w:val="7"/>
    <w:rsid w:val="00D45126"/>
    <w:rPr>
      <w:rFonts w:ascii="Calibri" w:hAnsi="Calibri"/>
      <w:color w:val="4D4D4D"/>
      <w:sz w:val="20"/>
      <w:szCs w:val="20"/>
    </w:rPr>
  </w:style>
  <w:style w:type="paragraph" w:styleId="Header">
    <w:name w:val="header"/>
    <w:basedOn w:val="Normal"/>
    <w:link w:val="HeaderChar"/>
    <w:rsid w:val="00AA6557"/>
    <w:pPr>
      <w:tabs>
        <w:tab w:val="right" w:pos="9299"/>
      </w:tabs>
      <w:spacing w:after="0" w:line="240" w:lineRule="auto"/>
    </w:pPr>
    <w:rPr>
      <w:color w:val="696969"/>
      <w:sz w:val="20"/>
    </w:rPr>
  </w:style>
  <w:style w:type="character" w:customStyle="1" w:styleId="HeaderChar">
    <w:name w:val="Header Char"/>
    <w:basedOn w:val="DefaultParagraphFont"/>
    <w:link w:val="Header"/>
    <w:rsid w:val="00AA6557"/>
    <w:rPr>
      <w:rFonts w:ascii="Calibri" w:hAnsi="Calibri"/>
      <w:color w:val="696969"/>
      <w:sz w:val="20"/>
    </w:rPr>
  </w:style>
  <w:style w:type="paragraph" w:styleId="HTMLAddress">
    <w:name w:val="HTML Address"/>
    <w:basedOn w:val="Normal"/>
    <w:link w:val="HTMLAddressChar"/>
    <w:uiPriority w:val="99"/>
    <w:semiHidden/>
    <w:rsid w:val="00EC70DD"/>
    <w:pPr>
      <w:spacing w:after="0" w:line="240" w:lineRule="auto"/>
    </w:pPr>
    <w:rPr>
      <w:i/>
      <w:iCs/>
    </w:rPr>
  </w:style>
  <w:style w:type="character" w:customStyle="1" w:styleId="HTMLAddressChar">
    <w:name w:val="HTML Address Char"/>
    <w:basedOn w:val="DefaultParagraphFont"/>
    <w:link w:val="HTMLAddress"/>
    <w:uiPriority w:val="99"/>
    <w:semiHidden/>
    <w:rsid w:val="00D65F90"/>
    <w:rPr>
      <w:rFonts w:ascii="Calibri" w:hAnsi="Calibri"/>
      <w:i/>
      <w:iCs/>
      <w:color w:val="1E1E1E"/>
      <w:sz w:val="24"/>
    </w:rPr>
  </w:style>
  <w:style w:type="paragraph" w:styleId="HTMLPreformatted">
    <w:name w:val="HTML Preformatted"/>
    <w:basedOn w:val="Normal"/>
    <w:link w:val="HTMLPreformattedChar"/>
    <w:uiPriority w:val="99"/>
    <w:semiHidden/>
    <w:unhideWhenUsed/>
    <w:rsid w:val="00EC70D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65F90"/>
    <w:rPr>
      <w:rFonts w:ascii="Consolas" w:hAnsi="Consolas"/>
      <w:color w:val="1E1E1E"/>
      <w:sz w:val="20"/>
      <w:szCs w:val="20"/>
    </w:rPr>
  </w:style>
  <w:style w:type="paragraph" w:styleId="Index1">
    <w:name w:val="index 1"/>
    <w:basedOn w:val="Normal"/>
    <w:uiPriority w:val="99"/>
    <w:rsid w:val="00342FE3"/>
    <w:pPr>
      <w:spacing w:after="0"/>
      <w:ind w:left="220" w:hanging="220"/>
    </w:pPr>
    <w:rPr>
      <w:szCs w:val="18"/>
    </w:rPr>
  </w:style>
  <w:style w:type="paragraph" w:styleId="Index2">
    <w:name w:val="index 2"/>
    <w:basedOn w:val="Normal"/>
    <w:uiPriority w:val="99"/>
    <w:rsid w:val="00342FE3"/>
    <w:pPr>
      <w:spacing w:after="0"/>
      <w:ind w:left="440" w:hanging="220"/>
    </w:pPr>
    <w:rPr>
      <w:szCs w:val="18"/>
    </w:rPr>
  </w:style>
  <w:style w:type="paragraph" w:styleId="Index3">
    <w:name w:val="index 3"/>
    <w:basedOn w:val="Normal"/>
    <w:uiPriority w:val="99"/>
    <w:rsid w:val="00254D72"/>
    <w:pPr>
      <w:spacing w:after="0"/>
      <w:ind w:left="660" w:hanging="220"/>
    </w:pPr>
    <w:rPr>
      <w:szCs w:val="18"/>
    </w:rPr>
  </w:style>
  <w:style w:type="paragraph" w:styleId="Index4">
    <w:name w:val="index 4"/>
    <w:basedOn w:val="Normal"/>
    <w:uiPriority w:val="99"/>
    <w:rsid w:val="00342FE3"/>
    <w:pPr>
      <w:spacing w:after="0"/>
      <w:ind w:left="880" w:hanging="220"/>
    </w:pPr>
    <w:rPr>
      <w:szCs w:val="18"/>
    </w:rPr>
  </w:style>
  <w:style w:type="paragraph" w:styleId="Index5">
    <w:name w:val="index 5"/>
    <w:basedOn w:val="Normal"/>
    <w:uiPriority w:val="99"/>
    <w:rsid w:val="00342FE3"/>
    <w:pPr>
      <w:spacing w:after="0"/>
      <w:ind w:left="1100" w:hanging="220"/>
    </w:pPr>
    <w:rPr>
      <w:szCs w:val="18"/>
    </w:rPr>
  </w:style>
  <w:style w:type="paragraph" w:styleId="Index6">
    <w:name w:val="index 6"/>
    <w:basedOn w:val="Normal"/>
    <w:uiPriority w:val="99"/>
    <w:rsid w:val="00342FE3"/>
    <w:pPr>
      <w:spacing w:after="0"/>
      <w:ind w:left="1320" w:hanging="220"/>
    </w:pPr>
    <w:rPr>
      <w:szCs w:val="18"/>
    </w:rPr>
  </w:style>
  <w:style w:type="paragraph" w:styleId="Index7">
    <w:name w:val="index 7"/>
    <w:basedOn w:val="Normal"/>
    <w:uiPriority w:val="99"/>
    <w:rsid w:val="00342FE3"/>
    <w:pPr>
      <w:spacing w:after="0"/>
      <w:ind w:left="1540" w:hanging="220"/>
    </w:pPr>
    <w:rPr>
      <w:szCs w:val="18"/>
    </w:rPr>
  </w:style>
  <w:style w:type="paragraph" w:styleId="Index8">
    <w:name w:val="index 8"/>
    <w:basedOn w:val="Normal"/>
    <w:uiPriority w:val="99"/>
    <w:rsid w:val="00342FE3"/>
    <w:pPr>
      <w:spacing w:after="0"/>
      <w:ind w:left="1760" w:hanging="220"/>
    </w:pPr>
    <w:rPr>
      <w:szCs w:val="18"/>
    </w:rPr>
  </w:style>
  <w:style w:type="paragraph" w:styleId="Index9">
    <w:name w:val="index 9"/>
    <w:basedOn w:val="Normal"/>
    <w:uiPriority w:val="99"/>
    <w:rsid w:val="00342FE3"/>
    <w:pPr>
      <w:spacing w:after="0"/>
      <w:ind w:left="1980" w:hanging="220"/>
    </w:pPr>
    <w:rPr>
      <w:szCs w:val="18"/>
    </w:rPr>
  </w:style>
  <w:style w:type="paragraph" w:styleId="IndexHeading">
    <w:name w:val="index heading"/>
    <w:basedOn w:val="Normalcolour"/>
    <w:next w:val="Index1"/>
    <w:uiPriority w:val="1"/>
    <w:rsid w:val="0025080F"/>
    <w:pPr>
      <w:pBdr>
        <w:bottom w:val="single" w:sz="8" w:space="1" w:color="2BB673"/>
      </w:pBdr>
      <w:spacing w:before="200" w:after="60"/>
    </w:pPr>
    <w:rPr>
      <w:rFonts w:eastAsiaTheme="majorEastAsia" w:cstheme="majorBidi"/>
      <w:b/>
      <w:bCs/>
      <w:sz w:val="26"/>
    </w:rPr>
  </w:style>
  <w:style w:type="paragraph" w:styleId="NormalWeb">
    <w:name w:val="Normal (Web)"/>
    <w:basedOn w:val="Normal"/>
    <w:uiPriority w:val="99"/>
    <w:semiHidden/>
    <w:rsid w:val="00EC70DD"/>
    <w:rPr>
      <w:rFonts w:ascii="Times New Roman" w:hAnsi="Times New Roman" w:cs="Times New Roman"/>
      <w:szCs w:val="24"/>
    </w:rPr>
  </w:style>
  <w:style w:type="paragraph" w:styleId="TableofAuthorities">
    <w:name w:val="table of authorities"/>
    <w:basedOn w:val="Normal"/>
    <w:next w:val="Normal"/>
    <w:uiPriority w:val="9"/>
    <w:rsid w:val="00CE3CC4"/>
    <w:pPr>
      <w:spacing w:after="0"/>
      <w:ind w:left="220" w:hanging="220"/>
    </w:pPr>
  </w:style>
  <w:style w:type="paragraph" w:styleId="TableofFigures">
    <w:name w:val="table of figures"/>
    <w:basedOn w:val="Normal"/>
    <w:next w:val="BodyText"/>
    <w:uiPriority w:val="99"/>
    <w:rsid w:val="00CE72A8"/>
    <w:pPr>
      <w:tabs>
        <w:tab w:val="right" w:leader="underscore" w:pos="9299"/>
      </w:tabs>
      <w:spacing w:after="0"/>
      <w:ind w:right="425"/>
    </w:pPr>
  </w:style>
  <w:style w:type="paragraph" w:styleId="TOAHeading">
    <w:name w:val="toa heading"/>
    <w:basedOn w:val="Normal"/>
    <w:next w:val="Normal"/>
    <w:uiPriority w:val="9"/>
    <w:rsid w:val="00212DBD"/>
    <w:pPr>
      <w:spacing w:before="120"/>
    </w:pPr>
    <w:rPr>
      <w:rFonts w:eastAsiaTheme="majorEastAsia" w:cstheme="majorBidi"/>
      <w:b/>
      <w:bCs/>
      <w:szCs w:val="24"/>
    </w:rPr>
  </w:style>
  <w:style w:type="paragraph" w:customStyle="1" w:styleId="Normalcolour">
    <w:name w:val="Normal colour"/>
    <w:basedOn w:val="Normal"/>
    <w:uiPriority w:val="98"/>
    <w:rsid w:val="0025080F"/>
    <w:rPr>
      <w:color w:val="2BB673"/>
    </w:rPr>
  </w:style>
  <w:style w:type="character" w:styleId="PageNumber">
    <w:name w:val="page number"/>
    <w:basedOn w:val="DefaultParagraphFont"/>
    <w:rsid w:val="0074146D"/>
    <w:rPr>
      <w:b/>
      <w:color w:val="1E1E1E"/>
      <w:sz w:val="20"/>
    </w:rPr>
  </w:style>
  <w:style w:type="paragraph" w:customStyle="1" w:styleId="Heading1line">
    <w:name w:val="Heading 1 line"/>
    <w:basedOn w:val="Normal"/>
    <w:next w:val="BodyText"/>
    <w:uiPriority w:val="1"/>
    <w:rsid w:val="00443097"/>
    <w:pPr>
      <w:pBdr>
        <w:bottom w:val="single" w:sz="4" w:space="1" w:color="696969"/>
      </w:pBdr>
      <w:spacing w:before="200" w:line="240" w:lineRule="auto"/>
    </w:pPr>
    <w:rPr>
      <w:color w:val="696969"/>
    </w:rPr>
  </w:style>
  <w:style w:type="table" w:styleId="TableGrid">
    <w:name w:val="Table Grid"/>
    <w:basedOn w:val="TableNormal"/>
    <w:uiPriority w:val="59"/>
    <w:rsid w:val="004F549A"/>
    <w:pPr>
      <w:spacing w:line="240" w:lineRule="atLeast"/>
    </w:pPr>
    <w:rPr>
      <w:rFonts w:ascii="Calibri" w:hAnsi="Calibri"/>
    </w:r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blStylePr w:type="firstRow">
      <w:tblPr/>
      <w:trPr>
        <w:tblHeader/>
      </w:trPr>
      <w:tcPr>
        <w:tcBorders>
          <w:top w:val="single" w:sz="4" w:space="0" w:color="A6A6A6" w:themeColor="background1" w:themeShade="A6"/>
          <w:left w:val="single" w:sz="4" w:space="0" w:color="595959"/>
          <w:bottom w:val="single" w:sz="4" w:space="0" w:color="A6A6A6" w:themeColor="background1" w:themeShade="A6"/>
          <w:right w:val="single" w:sz="4" w:space="0" w:color="595959"/>
          <w:insideH w:val="single" w:sz="4" w:space="0" w:color="A6A6A6" w:themeColor="background1" w:themeShade="A6"/>
          <w:insideV w:val="single" w:sz="4" w:space="0" w:color="A6A6A6" w:themeColor="background1" w:themeShade="A6"/>
          <w:tl2br w:val="nil"/>
          <w:tr2bl w:val="nil"/>
        </w:tcBorders>
        <w:shd w:val="clear" w:color="auto" w:fill="595959"/>
      </w:tcPr>
    </w:tblStylePr>
    <w:tblStylePr w:type="lastRow">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firstCol">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lastCol">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band1Vert">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E9E9E9"/>
      </w:tcPr>
    </w:tblStylePr>
    <w:tblStylePr w:type="band2Vert">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tcPr>
    </w:tblStylePr>
    <w:tblStylePr w:type="band1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E9E9E9"/>
      </w:tc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tcPr>
    </w:tblStylePr>
  </w:style>
  <w:style w:type="paragraph" w:customStyle="1" w:styleId="Tableheadingrow1">
    <w:name w:val="Table heading row 1"/>
    <w:basedOn w:val="Normal"/>
    <w:uiPriority w:val="1"/>
    <w:rsid w:val="00F73A72"/>
    <w:pPr>
      <w:keepNext/>
      <w:spacing w:before="60" w:after="60" w:line="240" w:lineRule="auto"/>
    </w:pPr>
    <w:rPr>
      <w:color w:val="FFFFFF" w:themeColor="background1"/>
    </w:rPr>
  </w:style>
  <w:style w:type="character" w:styleId="Hyperlink">
    <w:name w:val="Hyperlink"/>
    <w:basedOn w:val="DefaultParagraphFont"/>
    <w:uiPriority w:val="99"/>
    <w:rsid w:val="0074146D"/>
    <w:rPr>
      <w:color w:val="0D6AB8"/>
      <w:u w:val="single"/>
    </w:rPr>
  </w:style>
  <w:style w:type="character" w:styleId="Emphasis">
    <w:name w:val="Emphasis"/>
    <w:uiPriority w:val="2"/>
    <w:qFormat/>
    <w:rsid w:val="00107858"/>
    <w:rPr>
      <w:rFonts w:ascii="Calibri" w:hAnsi="Calibri"/>
      <w:b/>
      <w:bCs/>
      <w:iCs/>
      <w:spacing w:val="0"/>
      <w:lang w:val="en-NZ"/>
    </w:rPr>
  </w:style>
  <w:style w:type="character" w:styleId="EndnoteReference">
    <w:name w:val="endnote reference"/>
    <w:basedOn w:val="DefaultParagraphFont"/>
    <w:uiPriority w:val="7"/>
    <w:rsid w:val="0057603B"/>
    <w:rPr>
      <w:vertAlign w:val="superscript"/>
    </w:rPr>
  </w:style>
  <w:style w:type="paragraph" w:customStyle="1" w:styleId="Boxsmalltext">
    <w:name w:val="Box small text"/>
    <w:basedOn w:val="Normalcolour"/>
    <w:uiPriority w:val="2"/>
    <w:rsid w:val="0074146D"/>
    <w:rPr>
      <w:color w:val="1E1E1E"/>
    </w:rPr>
  </w:style>
  <w:style w:type="paragraph" w:customStyle="1" w:styleId="Boxlargetext">
    <w:name w:val="Box large text"/>
    <w:basedOn w:val="Normalcolour"/>
    <w:uiPriority w:val="2"/>
    <w:qFormat/>
    <w:rsid w:val="0025080F"/>
    <w:pPr>
      <w:spacing w:line="320" w:lineRule="atLeast"/>
    </w:pPr>
    <w:rPr>
      <w:sz w:val="26"/>
    </w:rPr>
  </w:style>
  <w:style w:type="paragraph" w:customStyle="1" w:styleId="Quotationparagraphbefore">
    <w:name w:val="Quotation (paragraph before)"/>
    <w:basedOn w:val="Normal"/>
    <w:next w:val="Quotationseparateparagraph"/>
    <w:uiPriority w:val="6"/>
    <w:rsid w:val="00F73A72"/>
    <w:pPr>
      <w:spacing w:after="120"/>
    </w:pPr>
  </w:style>
  <w:style w:type="paragraph" w:customStyle="1" w:styleId="Quotationseparateparagraph">
    <w:name w:val="Quotation (separate paragraph)"/>
    <w:basedOn w:val="Normal"/>
    <w:uiPriority w:val="6"/>
    <w:rsid w:val="00F73A72"/>
    <w:pPr>
      <w:ind w:left="567" w:right="567"/>
    </w:pPr>
    <w:rPr>
      <w:i/>
      <w:color w:val="4D4D4D"/>
    </w:rPr>
  </w:style>
  <w:style w:type="character" w:customStyle="1" w:styleId="Quotationwithinthesentence">
    <w:name w:val="Quotation (within the sentence)"/>
    <w:basedOn w:val="DefaultParagraphFont"/>
    <w:uiPriority w:val="6"/>
    <w:rsid w:val="00F73A72"/>
    <w:rPr>
      <w:i/>
    </w:rPr>
  </w:style>
  <w:style w:type="paragraph" w:customStyle="1" w:styleId="Tablebodytext">
    <w:name w:val="Table body text"/>
    <w:basedOn w:val="BodyText"/>
    <w:uiPriority w:val="2"/>
    <w:rsid w:val="00F73A72"/>
    <w:pPr>
      <w:spacing w:before="120" w:after="120"/>
    </w:pPr>
    <w:rPr>
      <w:sz w:val="22"/>
    </w:rPr>
  </w:style>
  <w:style w:type="paragraph" w:customStyle="1" w:styleId="Tablebodytextnospaceafter">
    <w:name w:val="Table body text (no space after)"/>
    <w:basedOn w:val="BodyText"/>
    <w:uiPriority w:val="2"/>
    <w:rsid w:val="00F73A72"/>
    <w:pPr>
      <w:spacing w:after="0"/>
    </w:pPr>
    <w:rPr>
      <w:sz w:val="22"/>
    </w:rPr>
  </w:style>
  <w:style w:type="table" w:customStyle="1" w:styleId="TableBox">
    <w:name w:val="Table Box"/>
    <w:basedOn w:val="TableNormal"/>
    <w:uiPriority w:val="99"/>
    <w:rsid w:val="004F549A"/>
    <w:pPr>
      <w:spacing w:line="240" w:lineRule="atLeast"/>
    </w:pPr>
    <w:rPr>
      <w:rFonts w:ascii="Calibri" w:hAnsi="Calibri"/>
      <w:sz w:val="24"/>
    </w:rPr>
    <w:tblPr>
      <w:tblCellMar>
        <w:top w:w="142" w:type="dxa"/>
        <w:left w:w="284" w:type="dxa"/>
        <w:bottom w:w="142" w:type="dxa"/>
        <w:right w:w="284" w:type="dxa"/>
      </w:tblCellMar>
    </w:tblPr>
    <w:tcPr>
      <w:shd w:val="clear" w:color="auto" w:fill="D3D3D3"/>
    </w:tcPr>
  </w:style>
  <w:style w:type="table" w:customStyle="1" w:styleId="TableGridnoborders">
    <w:name w:val="Table Grid (no borders)"/>
    <w:basedOn w:val="TableNormal"/>
    <w:uiPriority w:val="99"/>
    <w:rsid w:val="009E473E"/>
    <w:pPr>
      <w:spacing w:line="240" w:lineRule="atLeast"/>
    </w:pPr>
    <w:rPr>
      <w:rFonts w:ascii="Calibri" w:hAnsi="Calibri"/>
      <w:sz w:val="24"/>
    </w:rPr>
    <w:tblPr>
      <w:tblInd w:w="113" w:type="dxa"/>
      <w:tblCellMar>
        <w:top w:w="28" w:type="dxa"/>
        <w:bottom w:w="28" w:type="dxa"/>
      </w:tblCellMar>
    </w:tblPr>
    <w:tcPr>
      <w:shd w:val="clear" w:color="auto" w:fill="auto"/>
    </w:tcPr>
  </w:style>
  <w:style w:type="paragraph" w:customStyle="1" w:styleId="Whitespace">
    <w:name w:val="White space"/>
    <w:basedOn w:val="BodyText"/>
    <w:uiPriority w:val="2"/>
    <w:rsid w:val="00F73A72"/>
    <w:pPr>
      <w:spacing w:after="0" w:line="240" w:lineRule="auto"/>
    </w:pPr>
    <w:rPr>
      <w:sz w:val="16"/>
    </w:rPr>
  </w:style>
  <w:style w:type="paragraph" w:customStyle="1" w:styleId="Singlespacedparagraph">
    <w:name w:val="Single spaced paragraph"/>
    <w:basedOn w:val="BodyText"/>
    <w:uiPriority w:val="2"/>
    <w:rsid w:val="00F73A72"/>
    <w:pPr>
      <w:spacing w:after="0"/>
    </w:pPr>
  </w:style>
  <w:style w:type="paragraph" w:customStyle="1" w:styleId="Headingboxtextinbody">
    <w:name w:val="Heading box text (in body)"/>
    <w:basedOn w:val="Normalcolour"/>
    <w:uiPriority w:val="1"/>
    <w:rsid w:val="0025080F"/>
    <w:pPr>
      <w:keepNext/>
      <w:spacing w:before="360" w:after="60" w:line="320" w:lineRule="atLeast"/>
    </w:pPr>
    <w:rPr>
      <w:b/>
      <w:sz w:val="26"/>
    </w:rPr>
  </w:style>
  <w:style w:type="paragraph" w:customStyle="1" w:styleId="Headingboxtexttop">
    <w:name w:val="Heading box text (top)"/>
    <w:basedOn w:val="Normalcolour"/>
    <w:uiPriority w:val="1"/>
    <w:rsid w:val="0025080F"/>
    <w:pPr>
      <w:spacing w:after="60" w:line="320" w:lineRule="atLeast"/>
    </w:pPr>
    <w:rPr>
      <w:b/>
      <w:sz w:val="26"/>
    </w:rPr>
  </w:style>
  <w:style w:type="character" w:styleId="FollowedHyperlink">
    <w:name w:val="FollowedHyperlink"/>
    <w:basedOn w:val="DefaultParagraphFont"/>
    <w:uiPriority w:val="2"/>
    <w:rsid w:val="00342FE3"/>
    <w:rPr>
      <w:color w:val="3C98E7"/>
      <w:u w:val="single"/>
    </w:rPr>
  </w:style>
  <w:style w:type="paragraph" w:customStyle="1" w:styleId="Heading1-Sub">
    <w:name w:val="Heading 1 - Sub"/>
    <w:basedOn w:val="Normal"/>
    <w:uiPriority w:val="1"/>
    <w:rsid w:val="00443097"/>
    <w:pPr>
      <w:tabs>
        <w:tab w:val="left" w:pos="2268"/>
      </w:tabs>
      <w:spacing w:after="0"/>
      <w:ind w:left="2268" w:hanging="2268"/>
    </w:pPr>
    <w:rPr>
      <w:b/>
    </w:rPr>
  </w:style>
  <w:style w:type="character" w:customStyle="1" w:styleId="Heading1-Subnonboldtext">
    <w:name w:val="Heading 1 - Sub (non bold text)"/>
    <w:basedOn w:val="DefaultParagraphFont"/>
    <w:uiPriority w:val="1"/>
    <w:rsid w:val="00443097"/>
    <w:rPr>
      <w:b/>
    </w:rPr>
  </w:style>
  <w:style w:type="paragraph" w:customStyle="1" w:styleId="Heading2-Start">
    <w:name w:val="Heading 2 - Start"/>
    <w:basedOn w:val="Heading2"/>
    <w:next w:val="BodyText"/>
    <w:uiPriority w:val="1"/>
    <w:semiHidden/>
    <w:qFormat/>
    <w:rsid w:val="00443097"/>
    <w:pPr>
      <w:spacing w:before="200"/>
    </w:pPr>
  </w:style>
  <w:style w:type="paragraph" w:customStyle="1" w:styleId="HeadingAppendix">
    <w:name w:val="Heading Appendix"/>
    <w:basedOn w:val="Heading1"/>
    <w:next w:val="BodyText"/>
    <w:uiPriority w:val="1"/>
    <w:rsid w:val="008C39DB"/>
    <w:pPr>
      <w:pageBreakBefore/>
      <w:numPr>
        <w:numId w:val="9"/>
      </w:numPr>
      <w:spacing w:before="0"/>
    </w:pPr>
  </w:style>
  <w:style w:type="paragraph" w:customStyle="1" w:styleId="DL-addresslines">
    <w:name w:val="DL - address lines"/>
    <w:basedOn w:val="Singlespacedparagraph"/>
    <w:uiPriority w:val="12"/>
    <w:semiHidden/>
    <w:qFormat/>
    <w:rsid w:val="006E2CEE"/>
  </w:style>
  <w:style w:type="paragraph" w:customStyle="1" w:styleId="DL-closing">
    <w:name w:val="DL - closing"/>
    <w:basedOn w:val="Singlespacedparagraph"/>
    <w:uiPriority w:val="12"/>
    <w:semiHidden/>
    <w:qFormat/>
    <w:rsid w:val="006E2CEE"/>
    <w:pPr>
      <w:spacing w:before="600"/>
    </w:pPr>
  </w:style>
  <w:style w:type="paragraph" w:customStyle="1" w:styleId="DL-closingname">
    <w:name w:val="DL - closing name"/>
    <w:basedOn w:val="Singlespacedparagraph"/>
    <w:uiPriority w:val="12"/>
    <w:semiHidden/>
    <w:qFormat/>
    <w:rsid w:val="006E2CEE"/>
  </w:style>
  <w:style w:type="paragraph" w:customStyle="1" w:styleId="DL-closingposition">
    <w:name w:val="DL - closing position"/>
    <w:basedOn w:val="Singlespacedparagraph"/>
    <w:uiPriority w:val="12"/>
    <w:semiHidden/>
    <w:qFormat/>
    <w:rsid w:val="006E2CEE"/>
    <w:pPr>
      <w:spacing w:after="240"/>
    </w:pPr>
  </w:style>
  <w:style w:type="paragraph" w:customStyle="1" w:styleId="DL-date">
    <w:name w:val="DL - date"/>
    <w:basedOn w:val="Singlespacedparagraph"/>
    <w:next w:val="DL-addresslines"/>
    <w:uiPriority w:val="12"/>
    <w:semiHidden/>
    <w:qFormat/>
    <w:rsid w:val="006E2CEE"/>
    <w:pPr>
      <w:spacing w:before="300" w:after="600"/>
    </w:pPr>
  </w:style>
  <w:style w:type="paragraph" w:customStyle="1" w:styleId="DL-enclosure">
    <w:name w:val="DL - enclosure"/>
    <w:basedOn w:val="Singlespacedparagraph"/>
    <w:uiPriority w:val="12"/>
    <w:semiHidden/>
    <w:qFormat/>
    <w:rsid w:val="006E2CEE"/>
    <w:pPr>
      <w:tabs>
        <w:tab w:val="left" w:pos="709"/>
      </w:tabs>
    </w:pPr>
  </w:style>
  <w:style w:type="paragraph" w:customStyle="1" w:styleId="DL-freephonetextline">
    <w:name w:val="DL - freephone text line"/>
    <w:basedOn w:val="Singlespacedparagraph"/>
    <w:uiPriority w:val="12"/>
    <w:semiHidden/>
    <w:rsid w:val="006E2CEE"/>
    <w:pPr>
      <w:spacing w:before="340" w:after="600"/>
      <w:jc w:val="right"/>
    </w:pPr>
    <w:rPr>
      <w:sz w:val="17"/>
    </w:rPr>
  </w:style>
  <w:style w:type="paragraph" w:customStyle="1" w:styleId="DL-ourref">
    <w:name w:val="DL - our ref"/>
    <w:basedOn w:val="Singlespacedparagraph"/>
    <w:next w:val="DL-date"/>
    <w:uiPriority w:val="12"/>
    <w:semiHidden/>
    <w:qFormat/>
    <w:rsid w:val="008D38A4"/>
    <w:pPr>
      <w:spacing w:after="300"/>
    </w:pPr>
  </w:style>
  <w:style w:type="paragraph" w:customStyle="1" w:styleId="DL-salutation">
    <w:name w:val="DL - salutation"/>
    <w:basedOn w:val="Singlespacedparagraph"/>
    <w:next w:val="Heading1"/>
    <w:uiPriority w:val="12"/>
    <w:semiHidden/>
    <w:qFormat/>
    <w:rsid w:val="006E2CEE"/>
    <w:pPr>
      <w:spacing w:before="600"/>
    </w:pPr>
  </w:style>
  <w:style w:type="paragraph" w:customStyle="1" w:styleId="Footerline">
    <w:name w:val="Footer line"/>
    <w:basedOn w:val="Footer"/>
    <w:next w:val="Footer"/>
    <w:uiPriority w:val="10"/>
    <w:rsid w:val="006A3812"/>
    <w:pPr>
      <w:pBdr>
        <w:top w:val="single" w:sz="4" w:space="5" w:color="696969"/>
      </w:pBdr>
      <w:ind w:left="23" w:right="23"/>
    </w:pPr>
    <w:rPr>
      <w:sz w:val="2"/>
    </w:rPr>
  </w:style>
  <w:style w:type="paragraph" w:customStyle="1" w:styleId="Headerline">
    <w:name w:val="Header line"/>
    <w:basedOn w:val="Header"/>
    <w:rsid w:val="00AE40BA"/>
    <w:pPr>
      <w:pBdr>
        <w:bottom w:val="single" w:sz="4" w:space="5" w:color="696969"/>
      </w:pBdr>
      <w:ind w:left="23" w:right="23"/>
    </w:pPr>
    <w:rPr>
      <w:sz w:val="2"/>
    </w:rPr>
  </w:style>
  <w:style w:type="paragraph" w:customStyle="1" w:styleId="Tableoffiguresheading">
    <w:name w:val="Table of figures heading"/>
    <w:basedOn w:val="Heading4"/>
    <w:next w:val="TableofFigures"/>
    <w:uiPriority w:val="1"/>
    <w:rsid w:val="00AD7BEA"/>
    <w:pPr>
      <w:outlineLvl w:val="9"/>
    </w:pPr>
  </w:style>
  <w:style w:type="paragraph" w:customStyle="1" w:styleId="Heading1-Start">
    <w:name w:val="Heading 1 - Start"/>
    <w:basedOn w:val="Heading1"/>
    <w:next w:val="BodyText"/>
    <w:uiPriority w:val="1"/>
    <w:rsid w:val="00443097"/>
    <w:pPr>
      <w:spacing w:before="200"/>
    </w:pPr>
  </w:style>
  <w:style w:type="paragraph" w:customStyle="1" w:styleId="Guidelines">
    <w:name w:val="Guidelines"/>
    <w:basedOn w:val="Normal"/>
    <w:next w:val="BodyText"/>
    <w:uiPriority w:val="2"/>
    <w:rsid w:val="005B5487"/>
    <w:rPr>
      <w:color w:val="00B050"/>
    </w:rPr>
  </w:style>
  <w:style w:type="paragraph" w:customStyle="1" w:styleId="QIndent1">
    <w:name w:val="QIndent 1"/>
    <w:basedOn w:val="Normal"/>
    <w:uiPriority w:val="6"/>
    <w:rsid w:val="002C6579"/>
    <w:pPr>
      <w:ind w:left="1134" w:right="567"/>
    </w:pPr>
    <w:rPr>
      <w:i/>
      <w:color w:val="4D4D4D"/>
    </w:rPr>
  </w:style>
  <w:style w:type="paragraph" w:customStyle="1" w:styleId="QIndent2">
    <w:name w:val="QIndent 2"/>
    <w:basedOn w:val="Normal"/>
    <w:uiPriority w:val="6"/>
    <w:rsid w:val="002C6579"/>
    <w:pPr>
      <w:ind w:left="1701" w:right="567"/>
    </w:pPr>
    <w:rPr>
      <w:i/>
      <w:color w:val="4D4D4D"/>
    </w:rPr>
  </w:style>
  <w:style w:type="paragraph" w:customStyle="1" w:styleId="QIndent3">
    <w:name w:val="QIndent 3"/>
    <w:basedOn w:val="Normal"/>
    <w:uiPriority w:val="6"/>
    <w:rsid w:val="00F36446"/>
    <w:pPr>
      <w:ind w:left="2268" w:right="567"/>
    </w:pPr>
    <w:rPr>
      <w:i/>
      <w:color w:val="4D4D4D"/>
    </w:rPr>
  </w:style>
  <w:style w:type="paragraph" w:customStyle="1" w:styleId="QListalpha">
    <w:name w:val="QList alpha"/>
    <w:basedOn w:val="Normal"/>
    <w:uiPriority w:val="6"/>
    <w:rsid w:val="00572F56"/>
    <w:pPr>
      <w:numPr>
        <w:numId w:val="14"/>
      </w:numPr>
      <w:ind w:right="567"/>
    </w:pPr>
    <w:rPr>
      <w:i/>
      <w:color w:val="4D4D4D"/>
    </w:rPr>
  </w:style>
  <w:style w:type="paragraph" w:customStyle="1" w:styleId="QListbullet">
    <w:name w:val="QList bullet"/>
    <w:basedOn w:val="Normal"/>
    <w:uiPriority w:val="6"/>
    <w:rsid w:val="00572F56"/>
    <w:pPr>
      <w:numPr>
        <w:numId w:val="15"/>
      </w:numPr>
      <w:ind w:right="567"/>
    </w:pPr>
    <w:rPr>
      <w:i/>
      <w:color w:val="4D4D4D"/>
    </w:rPr>
  </w:style>
  <w:style w:type="paragraph" w:customStyle="1" w:styleId="QListnumber">
    <w:name w:val="QList number"/>
    <w:basedOn w:val="Normal"/>
    <w:uiPriority w:val="6"/>
    <w:rsid w:val="00572F56"/>
    <w:pPr>
      <w:numPr>
        <w:numId w:val="16"/>
      </w:numPr>
      <w:ind w:right="567"/>
    </w:pPr>
    <w:rPr>
      <w:i/>
      <w:color w:val="4D4D4D"/>
    </w:rPr>
  </w:style>
  <w:style w:type="paragraph" w:customStyle="1" w:styleId="QListroman">
    <w:name w:val="QList roman"/>
    <w:basedOn w:val="Normal"/>
    <w:uiPriority w:val="6"/>
    <w:rsid w:val="00572F56"/>
    <w:pPr>
      <w:numPr>
        <w:numId w:val="17"/>
      </w:numPr>
      <w:ind w:right="567"/>
    </w:pPr>
    <w:rPr>
      <w:rFonts w:eastAsia="Times New Roman" w:cs="Times New Roman"/>
      <w:i/>
      <w:color w:val="4D4D4D"/>
      <w:szCs w:val="20"/>
    </w:rPr>
  </w:style>
  <w:style w:type="paragraph" w:customStyle="1" w:styleId="Bullet1">
    <w:name w:val="Bullet 1"/>
    <w:basedOn w:val="Normal"/>
    <w:uiPriority w:val="2"/>
    <w:rsid w:val="00D53408"/>
    <w:pPr>
      <w:numPr>
        <w:numId w:val="1"/>
      </w:numPr>
    </w:pPr>
  </w:style>
  <w:style w:type="paragraph" w:customStyle="1" w:styleId="Bullet2">
    <w:name w:val="Bullet 2"/>
    <w:basedOn w:val="Normal"/>
    <w:uiPriority w:val="2"/>
    <w:rsid w:val="00D53408"/>
    <w:pPr>
      <w:numPr>
        <w:ilvl w:val="1"/>
        <w:numId w:val="1"/>
      </w:numPr>
    </w:pPr>
  </w:style>
  <w:style w:type="paragraph" w:customStyle="1" w:styleId="Bullet3">
    <w:name w:val="Bullet 3"/>
    <w:basedOn w:val="Normal"/>
    <w:uiPriority w:val="2"/>
    <w:rsid w:val="00D53408"/>
    <w:pPr>
      <w:numPr>
        <w:ilvl w:val="2"/>
        <w:numId w:val="1"/>
      </w:numPr>
    </w:pPr>
  </w:style>
  <w:style w:type="paragraph" w:customStyle="1" w:styleId="Bullet4">
    <w:name w:val="Bullet 4"/>
    <w:basedOn w:val="Normal"/>
    <w:uiPriority w:val="2"/>
    <w:rsid w:val="00D53408"/>
    <w:pPr>
      <w:numPr>
        <w:ilvl w:val="3"/>
        <w:numId w:val="1"/>
      </w:numPr>
    </w:pPr>
  </w:style>
  <w:style w:type="paragraph" w:customStyle="1" w:styleId="Checkbox1">
    <w:name w:val="Check box 1"/>
    <w:basedOn w:val="BodyText"/>
    <w:uiPriority w:val="3"/>
    <w:rsid w:val="00D53408"/>
    <w:pPr>
      <w:numPr>
        <w:numId w:val="2"/>
      </w:numPr>
    </w:pPr>
  </w:style>
  <w:style w:type="paragraph" w:customStyle="1" w:styleId="Indent1">
    <w:name w:val="Indent 1"/>
    <w:basedOn w:val="Normal"/>
    <w:uiPriority w:val="4"/>
    <w:rsid w:val="003A10EE"/>
    <w:pPr>
      <w:ind w:left="567"/>
    </w:pPr>
  </w:style>
  <w:style w:type="paragraph" w:customStyle="1" w:styleId="Indent2">
    <w:name w:val="Indent 2"/>
    <w:basedOn w:val="Normal"/>
    <w:uiPriority w:val="4"/>
    <w:rsid w:val="003A10EE"/>
    <w:pPr>
      <w:ind w:left="1134"/>
    </w:pPr>
  </w:style>
  <w:style w:type="paragraph" w:customStyle="1" w:styleId="Indent3">
    <w:name w:val="Indent 3"/>
    <w:basedOn w:val="Normal"/>
    <w:uiPriority w:val="4"/>
    <w:rsid w:val="003A10EE"/>
    <w:pPr>
      <w:ind w:left="1701"/>
    </w:pPr>
  </w:style>
  <w:style w:type="paragraph" w:customStyle="1" w:styleId="Indent4">
    <w:name w:val="Indent 4"/>
    <w:basedOn w:val="Normal"/>
    <w:uiPriority w:val="4"/>
    <w:rsid w:val="003A10EE"/>
    <w:pPr>
      <w:ind w:left="2268"/>
    </w:pPr>
  </w:style>
  <w:style w:type="paragraph" w:customStyle="1" w:styleId="Number-1">
    <w:name w:val="Number - 1."/>
    <w:basedOn w:val="BodyText"/>
    <w:uiPriority w:val="5"/>
    <w:rsid w:val="00331C40"/>
    <w:pPr>
      <w:numPr>
        <w:numId w:val="12"/>
      </w:numPr>
    </w:pPr>
  </w:style>
  <w:style w:type="paragraph" w:customStyle="1" w:styleId="Number-11">
    <w:name w:val="Number - 1.1"/>
    <w:basedOn w:val="Normal"/>
    <w:uiPriority w:val="5"/>
    <w:rsid w:val="00331C40"/>
    <w:pPr>
      <w:numPr>
        <w:ilvl w:val="1"/>
        <w:numId w:val="12"/>
      </w:numPr>
    </w:pPr>
  </w:style>
  <w:style w:type="paragraph" w:customStyle="1" w:styleId="Number-111">
    <w:name w:val="Number - 1.1.1"/>
    <w:basedOn w:val="Normal"/>
    <w:uiPriority w:val="5"/>
    <w:rsid w:val="00331C40"/>
    <w:pPr>
      <w:numPr>
        <w:ilvl w:val="2"/>
        <w:numId w:val="12"/>
      </w:numPr>
    </w:pPr>
  </w:style>
  <w:style w:type="paragraph" w:customStyle="1" w:styleId="Number-a">
    <w:name w:val="Number - a."/>
    <w:basedOn w:val="Normal"/>
    <w:uiPriority w:val="5"/>
    <w:rsid w:val="00331C40"/>
    <w:pPr>
      <w:numPr>
        <w:numId w:val="13"/>
      </w:numPr>
    </w:pPr>
  </w:style>
  <w:style w:type="paragraph" w:customStyle="1" w:styleId="Number-i">
    <w:name w:val="Number - i."/>
    <w:basedOn w:val="Normal"/>
    <w:uiPriority w:val="5"/>
    <w:rsid w:val="00331C40"/>
    <w:pPr>
      <w:numPr>
        <w:ilvl w:val="1"/>
        <w:numId w:val="13"/>
      </w:numPr>
    </w:pPr>
  </w:style>
  <w:style w:type="paragraph" w:customStyle="1" w:styleId="Number1">
    <w:name w:val="Number 1"/>
    <w:basedOn w:val="Normal"/>
    <w:uiPriority w:val="5"/>
    <w:rsid w:val="00F73A72"/>
    <w:pPr>
      <w:numPr>
        <w:numId w:val="3"/>
      </w:numPr>
    </w:pPr>
  </w:style>
  <w:style w:type="paragraph" w:customStyle="1" w:styleId="Number2">
    <w:name w:val="Number 2"/>
    <w:basedOn w:val="Normal"/>
    <w:uiPriority w:val="5"/>
    <w:rsid w:val="00F73A72"/>
    <w:pPr>
      <w:numPr>
        <w:ilvl w:val="1"/>
        <w:numId w:val="3"/>
      </w:numPr>
    </w:pPr>
  </w:style>
  <w:style w:type="paragraph" w:customStyle="1" w:styleId="Number3">
    <w:name w:val="Number 3"/>
    <w:basedOn w:val="Normal"/>
    <w:uiPriority w:val="5"/>
    <w:rsid w:val="00F73A72"/>
    <w:pPr>
      <w:numPr>
        <w:ilvl w:val="2"/>
        <w:numId w:val="3"/>
      </w:numPr>
    </w:pPr>
  </w:style>
  <w:style w:type="paragraph" w:customStyle="1" w:styleId="TableBullet1">
    <w:name w:val="Table Bullet 1"/>
    <w:basedOn w:val="Tablebodytext"/>
    <w:uiPriority w:val="2"/>
    <w:rsid w:val="00F73A72"/>
    <w:pPr>
      <w:numPr>
        <w:numId w:val="4"/>
      </w:numPr>
    </w:pPr>
  </w:style>
  <w:style w:type="paragraph" w:customStyle="1" w:styleId="TableBullet2">
    <w:name w:val="Table Bullet 2"/>
    <w:basedOn w:val="Tablebodytext"/>
    <w:uiPriority w:val="2"/>
    <w:rsid w:val="00F73A72"/>
    <w:pPr>
      <w:numPr>
        <w:ilvl w:val="1"/>
        <w:numId w:val="4"/>
      </w:numPr>
    </w:pPr>
  </w:style>
  <w:style w:type="paragraph" w:customStyle="1" w:styleId="TableBullet3">
    <w:name w:val="Table Bullet 3"/>
    <w:basedOn w:val="Tablebodytext"/>
    <w:uiPriority w:val="2"/>
    <w:rsid w:val="00F73A72"/>
    <w:pPr>
      <w:numPr>
        <w:ilvl w:val="2"/>
        <w:numId w:val="4"/>
      </w:numPr>
    </w:pPr>
  </w:style>
  <w:style w:type="paragraph" w:customStyle="1" w:styleId="Tablecheckbox1">
    <w:name w:val="Table check box 1"/>
    <w:basedOn w:val="Tablebodytext"/>
    <w:uiPriority w:val="2"/>
    <w:rsid w:val="00F73A72"/>
    <w:pPr>
      <w:numPr>
        <w:numId w:val="5"/>
      </w:numPr>
    </w:pPr>
  </w:style>
  <w:style w:type="paragraph" w:customStyle="1" w:styleId="Tableheading">
    <w:name w:val="Table heading"/>
    <w:basedOn w:val="Tablebodytext"/>
    <w:next w:val="Tablebodytext"/>
    <w:uiPriority w:val="2"/>
    <w:rsid w:val="00A82CEC"/>
    <w:pPr>
      <w:keepNext/>
      <w:spacing w:after="60"/>
    </w:pPr>
    <w:rPr>
      <w:b/>
    </w:rPr>
  </w:style>
  <w:style w:type="paragraph" w:customStyle="1" w:styleId="TableIndent1">
    <w:name w:val="Table Indent 1"/>
    <w:basedOn w:val="Normal"/>
    <w:uiPriority w:val="2"/>
    <w:rsid w:val="003A10EE"/>
    <w:pPr>
      <w:spacing w:before="120" w:after="120"/>
      <w:ind w:left="357"/>
    </w:pPr>
    <w:rPr>
      <w:sz w:val="22"/>
    </w:rPr>
  </w:style>
  <w:style w:type="paragraph" w:customStyle="1" w:styleId="TableIndent2">
    <w:name w:val="Table Indent 2"/>
    <w:basedOn w:val="Normal"/>
    <w:uiPriority w:val="2"/>
    <w:rsid w:val="003A10EE"/>
    <w:pPr>
      <w:spacing w:before="120" w:after="120"/>
      <w:ind w:left="714"/>
    </w:pPr>
    <w:rPr>
      <w:sz w:val="22"/>
    </w:rPr>
  </w:style>
  <w:style w:type="paragraph" w:customStyle="1" w:styleId="TableIndent3">
    <w:name w:val="Table Indent 3"/>
    <w:basedOn w:val="Normal"/>
    <w:uiPriority w:val="2"/>
    <w:rsid w:val="003A10EE"/>
    <w:pPr>
      <w:spacing w:before="120" w:after="120"/>
      <w:ind w:left="1072"/>
    </w:pPr>
    <w:rPr>
      <w:sz w:val="22"/>
    </w:rPr>
  </w:style>
  <w:style w:type="paragraph" w:customStyle="1" w:styleId="TableNumber1">
    <w:name w:val="Table Number 1."/>
    <w:basedOn w:val="Tablebodytext"/>
    <w:uiPriority w:val="2"/>
    <w:rsid w:val="00BB6F8B"/>
    <w:pPr>
      <w:numPr>
        <w:numId w:val="6"/>
      </w:numPr>
    </w:pPr>
  </w:style>
  <w:style w:type="paragraph" w:customStyle="1" w:styleId="TableNumbera">
    <w:name w:val="Table Number a."/>
    <w:basedOn w:val="Tablebodytext"/>
    <w:uiPriority w:val="2"/>
    <w:rsid w:val="00F73A72"/>
    <w:pPr>
      <w:numPr>
        <w:ilvl w:val="1"/>
        <w:numId w:val="6"/>
      </w:numPr>
    </w:pPr>
  </w:style>
  <w:style w:type="paragraph" w:customStyle="1" w:styleId="TableNumberi">
    <w:name w:val="Table Number i."/>
    <w:basedOn w:val="Tablebodytext"/>
    <w:uiPriority w:val="2"/>
    <w:rsid w:val="00F73A72"/>
    <w:pPr>
      <w:numPr>
        <w:ilvl w:val="2"/>
        <w:numId w:val="6"/>
      </w:numPr>
    </w:pPr>
  </w:style>
  <w:style w:type="paragraph" w:customStyle="1" w:styleId="TableQuotationseparateparagraph">
    <w:name w:val="Table Quotation (separate paragraph)"/>
    <w:basedOn w:val="Quotationseparateparagraph"/>
    <w:uiPriority w:val="2"/>
    <w:rsid w:val="00F73A72"/>
    <w:pPr>
      <w:spacing w:after="120"/>
      <w:ind w:left="357" w:right="357"/>
    </w:pPr>
    <w:rPr>
      <w:sz w:val="22"/>
    </w:rPr>
  </w:style>
  <w:style w:type="paragraph" w:customStyle="1" w:styleId="Tablesinglespacedparagraph">
    <w:name w:val="Table single spaced paragraph"/>
    <w:basedOn w:val="BodyText"/>
    <w:uiPriority w:val="2"/>
    <w:rsid w:val="00BB6F8B"/>
    <w:pPr>
      <w:spacing w:before="40" w:after="40"/>
    </w:pPr>
    <w:rPr>
      <w:sz w:val="22"/>
    </w:rPr>
  </w:style>
  <w:style w:type="paragraph" w:customStyle="1" w:styleId="Tablesinglespacedparagraphlast">
    <w:name w:val="Table single spaced paragraph (last)"/>
    <w:basedOn w:val="Tablesinglespacedparagraph"/>
    <w:uiPriority w:val="2"/>
    <w:rsid w:val="00BB6F8B"/>
  </w:style>
  <w:style w:type="paragraph" w:customStyle="1" w:styleId="Tablecaption">
    <w:name w:val="Table caption"/>
    <w:basedOn w:val="Normal"/>
    <w:next w:val="BodyText"/>
    <w:uiPriority w:val="98"/>
    <w:rsid w:val="004C470D"/>
    <w:pPr>
      <w:keepNext/>
      <w:spacing w:before="360" w:after="60" w:line="260" w:lineRule="atLeast"/>
    </w:pPr>
    <w:rPr>
      <w:b/>
      <w:sz w:val="26"/>
    </w:rPr>
  </w:style>
  <w:style w:type="paragraph" w:customStyle="1" w:styleId="FigureCaption">
    <w:name w:val="Figure Caption"/>
    <w:basedOn w:val="Normal"/>
    <w:next w:val="BodyText"/>
    <w:uiPriority w:val="2"/>
    <w:rsid w:val="00CE3CC4"/>
    <w:pPr>
      <w:spacing w:line="240" w:lineRule="auto"/>
    </w:pPr>
    <w:rPr>
      <w:i/>
    </w:rPr>
  </w:style>
  <w:style w:type="paragraph" w:customStyle="1" w:styleId="Footerlandscape">
    <w:name w:val="Footer landscape"/>
    <w:basedOn w:val="Footer"/>
    <w:uiPriority w:val="10"/>
    <w:rsid w:val="00670DDA"/>
  </w:style>
  <w:style w:type="paragraph" w:customStyle="1" w:styleId="Headerlandscape">
    <w:name w:val="Header landscape"/>
    <w:basedOn w:val="Header"/>
    <w:rsid w:val="00AA6557"/>
    <w:pPr>
      <w:tabs>
        <w:tab w:val="clear" w:pos="9299"/>
        <w:tab w:val="right" w:pos="14232"/>
      </w:tabs>
    </w:pPr>
  </w:style>
  <w:style w:type="character" w:customStyle="1" w:styleId="Italics">
    <w:name w:val="Italics"/>
    <w:basedOn w:val="DefaultParagraphFont"/>
    <w:uiPriority w:val="2"/>
    <w:rsid w:val="005D6B80"/>
    <w:rPr>
      <w:i/>
    </w:rPr>
  </w:style>
  <w:style w:type="character" w:customStyle="1" w:styleId="Bluetext">
    <w:name w:val="Blue text"/>
    <w:basedOn w:val="DefaultParagraphFont"/>
    <w:uiPriority w:val="2"/>
    <w:rsid w:val="007B501F"/>
    <w:rPr>
      <w:color w:val="0070C0"/>
    </w:rPr>
  </w:style>
  <w:style w:type="paragraph" w:customStyle="1" w:styleId="Boxsmallbullet1">
    <w:name w:val="Box small bullet 1"/>
    <w:basedOn w:val="Boxsmalltext"/>
    <w:uiPriority w:val="2"/>
    <w:rsid w:val="005D6B80"/>
    <w:pPr>
      <w:numPr>
        <w:numId w:val="8"/>
      </w:numPr>
    </w:pPr>
  </w:style>
  <w:style w:type="paragraph" w:customStyle="1" w:styleId="Boxsmallbullet2">
    <w:name w:val="Box small bullet 2"/>
    <w:basedOn w:val="Boxsmalltext"/>
    <w:uiPriority w:val="2"/>
    <w:rsid w:val="00E76FD3"/>
    <w:pPr>
      <w:numPr>
        <w:ilvl w:val="1"/>
        <w:numId w:val="8"/>
      </w:numPr>
    </w:pPr>
  </w:style>
  <w:style w:type="character" w:customStyle="1" w:styleId="HyperlinkSourceTextReference">
    <w:name w:val="Hyperlink (Source Text Reference)"/>
    <w:basedOn w:val="Hyperlink"/>
    <w:uiPriority w:val="2"/>
    <w:rsid w:val="005D6B80"/>
    <w:rPr>
      <w:color w:val="0D6AB8"/>
      <w:u w:val="single"/>
    </w:rPr>
  </w:style>
  <w:style w:type="paragraph" w:customStyle="1" w:styleId="Boxsmallnumber-1">
    <w:name w:val="Box small number - 1."/>
    <w:basedOn w:val="Boxsmalltext"/>
    <w:uiPriority w:val="2"/>
    <w:rsid w:val="00A90037"/>
    <w:pPr>
      <w:numPr>
        <w:numId w:val="11"/>
      </w:numPr>
    </w:pPr>
  </w:style>
  <w:style w:type="paragraph" w:customStyle="1" w:styleId="Boxsmallnumber-a">
    <w:name w:val="Box small number - a."/>
    <w:basedOn w:val="Boxsmalltext"/>
    <w:uiPriority w:val="2"/>
    <w:rsid w:val="00A90037"/>
    <w:pPr>
      <w:numPr>
        <w:ilvl w:val="1"/>
        <w:numId w:val="11"/>
      </w:numPr>
    </w:pPr>
  </w:style>
  <w:style w:type="paragraph" w:customStyle="1" w:styleId="Boxsmallnumber-i">
    <w:name w:val="Box small number - i."/>
    <w:basedOn w:val="Boxsmalltext"/>
    <w:uiPriority w:val="2"/>
    <w:rsid w:val="00A90037"/>
    <w:pPr>
      <w:numPr>
        <w:ilvl w:val="2"/>
        <w:numId w:val="11"/>
      </w:numPr>
    </w:pPr>
  </w:style>
  <w:style w:type="paragraph" w:customStyle="1" w:styleId="FootnoteBullet">
    <w:name w:val="Footnote Bullet"/>
    <w:basedOn w:val="FootnoteText"/>
    <w:uiPriority w:val="7"/>
    <w:rsid w:val="00864D35"/>
    <w:pPr>
      <w:numPr>
        <w:numId w:val="19"/>
      </w:numPr>
      <w:tabs>
        <w:tab w:val="clear" w:pos="284"/>
      </w:tabs>
    </w:pPr>
  </w:style>
  <w:style w:type="paragraph" w:customStyle="1" w:styleId="Introduction">
    <w:name w:val="Introduction"/>
    <w:basedOn w:val="BodyText"/>
    <w:uiPriority w:val="2"/>
    <w:rsid w:val="00A90037"/>
    <w:rPr>
      <w:color w:val="4D4D4D"/>
      <w:sz w:val="28"/>
    </w:rPr>
  </w:style>
  <w:style w:type="paragraph" w:customStyle="1" w:styleId="Checkbox2">
    <w:name w:val="Check box 2"/>
    <w:basedOn w:val="Checkbox1"/>
    <w:uiPriority w:val="3"/>
    <w:rsid w:val="0080356A"/>
    <w:pPr>
      <w:numPr>
        <w:ilvl w:val="1"/>
      </w:numPr>
    </w:pPr>
  </w:style>
  <w:style w:type="paragraph" w:customStyle="1" w:styleId="Checkbox3">
    <w:name w:val="Check box 3"/>
    <w:basedOn w:val="Checkbox1"/>
    <w:uiPriority w:val="3"/>
    <w:rsid w:val="0080356A"/>
    <w:pPr>
      <w:numPr>
        <w:ilvl w:val="2"/>
      </w:numPr>
    </w:pPr>
  </w:style>
  <w:style w:type="paragraph" w:customStyle="1" w:styleId="Checkbox4">
    <w:name w:val="Check box 4"/>
    <w:basedOn w:val="Checkbox1"/>
    <w:uiPriority w:val="3"/>
    <w:rsid w:val="0080356A"/>
    <w:pPr>
      <w:numPr>
        <w:ilvl w:val="3"/>
      </w:numPr>
    </w:pPr>
  </w:style>
  <w:style w:type="paragraph" w:customStyle="1" w:styleId="Tablecheckbox2">
    <w:name w:val="Table check box 2"/>
    <w:basedOn w:val="Tablecheckbox1"/>
    <w:uiPriority w:val="2"/>
    <w:rsid w:val="005C61E8"/>
    <w:pPr>
      <w:numPr>
        <w:ilvl w:val="1"/>
      </w:numPr>
    </w:pPr>
  </w:style>
  <w:style w:type="paragraph" w:customStyle="1" w:styleId="Tablecheckbox3">
    <w:name w:val="Table check box 3"/>
    <w:basedOn w:val="Tablecheckbox1"/>
    <w:uiPriority w:val="2"/>
    <w:rsid w:val="005C61E8"/>
    <w:pPr>
      <w:numPr>
        <w:ilvl w:val="2"/>
      </w:numPr>
    </w:pPr>
  </w:style>
  <w:style w:type="paragraph" w:customStyle="1" w:styleId="EndnoteBullet">
    <w:name w:val="Endnote Bullet"/>
    <w:uiPriority w:val="7"/>
    <w:rsid w:val="00864D35"/>
    <w:pPr>
      <w:numPr>
        <w:numId w:val="18"/>
      </w:numPr>
      <w:spacing w:after="80" w:line="230" w:lineRule="atLeast"/>
    </w:pPr>
    <w:rPr>
      <w:rFonts w:ascii="Calibri" w:hAnsi="Calibri"/>
      <w:color w:val="4D4D4D"/>
      <w:sz w:val="20"/>
      <w:szCs w:val="20"/>
    </w:rPr>
  </w:style>
  <w:style w:type="paragraph" w:customStyle="1" w:styleId="CQLegindent1">
    <w:name w:val="CQLeg indent 1"/>
    <w:basedOn w:val="Normal"/>
    <w:uiPriority w:val="6"/>
    <w:rsid w:val="00DD1848"/>
    <w:pPr>
      <w:ind w:left="2268" w:right="567"/>
    </w:pPr>
    <w:rPr>
      <w:i/>
      <w:color w:val="4D4D4D"/>
    </w:rPr>
  </w:style>
  <w:style w:type="paragraph" w:customStyle="1" w:styleId="CQLegindent2">
    <w:name w:val="CQLeg indent 2"/>
    <w:basedOn w:val="Normal"/>
    <w:uiPriority w:val="6"/>
    <w:rsid w:val="00DD1848"/>
    <w:pPr>
      <w:ind w:left="2977" w:right="567"/>
    </w:pPr>
    <w:rPr>
      <w:i/>
      <w:color w:val="4D4D4D"/>
    </w:rPr>
  </w:style>
  <w:style w:type="paragraph" w:customStyle="1" w:styleId="CQLegindent3">
    <w:name w:val="CQLeg indent 3"/>
    <w:basedOn w:val="Normal"/>
    <w:uiPriority w:val="6"/>
    <w:rsid w:val="00DD1848"/>
    <w:pPr>
      <w:ind w:left="3686" w:right="567"/>
    </w:pPr>
    <w:rPr>
      <w:i/>
      <w:color w:val="4D4D4D"/>
    </w:rPr>
  </w:style>
  <w:style w:type="paragraph" w:customStyle="1" w:styleId="CQLegstyle-1">
    <w:name w:val="CQLeg style - (1)"/>
    <w:basedOn w:val="Normal"/>
    <w:uiPriority w:val="6"/>
    <w:rsid w:val="00DD1848"/>
    <w:pPr>
      <w:tabs>
        <w:tab w:val="left" w:pos="2268"/>
      </w:tabs>
      <w:ind w:left="2269" w:right="567" w:hanging="851"/>
    </w:pPr>
    <w:rPr>
      <w:i/>
      <w:color w:val="4D4D4D"/>
    </w:rPr>
  </w:style>
  <w:style w:type="paragraph" w:customStyle="1" w:styleId="CQLegstyle-a">
    <w:name w:val="CQLeg style - (a)"/>
    <w:basedOn w:val="Normal"/>
    <w:uiPriority w:val="6"/>
    <w:rsid w:val="00DD1848"/>
    <w:pPr>
      <w:tabs>
        <w:tab w:val="left" w:pos="2977"/>
      </w:tabs>
      <w:ind w:left="2977" w:right="567" w:hanging="709"/>
    </w:pPr>
    <w:rPr>
      <w:i/>
      <w:color w:val="4D4D4D"/>
    </w:rPr>
  </w:style>
  <w:style w:type="paragraph" w:customStyle="1" w:styleId="CQLegstyle-i">
    <w:name w:val="CQLeg style - (i)"/>
    <w:basedOn w:val="Normal"/>
    <w:uiPriority w:val="6"/>
    <w:rsid w:val="00DD1848"/>
    <w:pPr>
      <w:tabs>
        <w:tab w:val="left" w:pos="3686"/>
      </w:tabs>
      <w:ind w:left="3686" w:right="567" w:hanging="709"/>
    </w:pPr>
    <w:rPr>
      <w:i/>
      <w:color w:val="4D4D4D"/>
    </w:rPr>
  </w:style>
  <w:style w:type="paragraph" w:customStyle="1" w:styleId="CQLegstyle-10">
    <w:name w:val="CQLeg style - 1"/>
    <w:basedOn w:val="Normal"/>
    <w:uiPriority w:val="6"/>
    <w:rsid w:val="00EB5CB9"/>
    <w:pPr>
      <w:keepNext/>
      <w:tabs>
        <w:tab w:val="left" w:pos="2268"/>
      </w:tabs>
      <w:ind w:left="2269" w:right="567" w:hanging="851"/>
    </w:pPr>
    <w:rPr>
      <w:b/>
      <w:i/>
      <w:color w:val="4D4D4D"/>
    </w:rPr>
  </w:style>
  <w:style w:type="paragraph" w:customStyle="1" w:styleId="BQLegindent1">
    <w:name w:val="BQLeg indent 1"/>
    <w:basedOn w:val="Normal"/>
    <w:uiPriority w:val="6"/>
    <w:rsid w:val="00734951"/>
    <w:pPr>
      <w:ind w:left="1418" w:right="567"/>
    </w:pPr>
    <w:rPr>
      <w:i/>
      <w:color w:val="4D4D4D"/>
    </w:rPr>
  </w:style>
  <w:style w:type="paragraph" w:customStyle="1" w:styleId="BQLegindent2">
    <w:name w:val="BQLeg indent 2"/>
    <w:basedOn w:val="Normal"/>
    <w:uiPriority w:val="6"/>
    <w:rsid w:val="00734951"/>
    <w:pPr>
      <w:ind w:left="2126" w:right="567"/>
    </w:pPr>
    <w:rPr>
      <w:i/>
      <w:color w:val="4D4D4D"/>
    </w:rPr>
  </w:style>
  <w:style w:type="paragraph" w:customStyle="1" w:styleId="BQLegindent3">
    <w:name w:val="BQLeg indent 3"/>
    <w:basedOn w:val="Normal"/>
    <w:uiPriority w:val="6"/>
    <w:rsid w:val="00734951"/>
    <w:pPr>
      <w:ind w:left="2835" w:right="567"/>
    </w:pPr>
    <w:rPr>
      <w:i/>
      <w:color w:val="4D4D4D"/>
    </w:rPr>
  </w:style>
  <w:style w:type="paragraph" w:customStyle="1" w:styleId="BQLegstyle-1">
    <w:name w:val="BQLeg style - (1)"/>
    <w:basedOn w:val="Normal"/>
    <w:uiPriority w:val="6"/>
    <w:rsid w:val="00734951"/>
    <w:pPr>
      <w:tabs>
        <w:tab w:val="left" w:pos="1418"/>
      </w:tabs>
      <w:ind w:left="1418" w:right="567" w:hanging="851"/>
    </w:pPr>
    <w:rPr>
      <w:i/>
      <w:color w:val="4D4D4D"/>
    </w:rPr>
  </w:style>
  <w:style w:type="paragraph" w:customStyle="1" w:styleId="BQLegstyle-a">
    <w:name w:val="BQLeg style - (a)"/>
    <w:basedOn w:val="Normal"/>
    <w:uiPriority w:val="6"/>
    <w:rsid w:val="00734951"/>
    <w:pPr>
      <w:tabs>
        <w:tab w:val="left" w:pos="2126"/>
      </w:tabs>
      <w:ind w:left="2127" w:right="567" w:hanging="709"/>
    </w:pPr>
    <w:rPr>
      <w:i/>
      <w:color w:val="4D4D4D"/>
    </w:rPr>
  </w:style>
  <w:style w:type="paragraph" w:customStyle="1" w:styleId="BQLegstyle-i">
    <w:name w:val="BQLeg style - (i)"/>
    <w:basedOn w:val="Normal"/>
    <w:uiPriority w:val="6"/>
    <w:rsid w:val="00734951"/>
    <w:pPr>
      <w:tabs>
        <w:tab w:val="left" w:pos="2835"/>
      </w:tabs>
      <w:ind w:left="2835" w:right="567" w:hanging="709"/>
    </w:pPr>
    <w:rPr>
      <w:i/>
      <w:color w:val="4D4D4D"/>
    </w:rPr>
  </w:style>
  <w:style w:type="paragraph" w:customStyle="1" w:styleId="BQLegstyle-10">
    <w:name w:val="BQLeg style - 1"/>
    <w:basedOn w:val="Normal"/>
    <w:uiPriority w:val="6"/>
    <w:rsid w:val="00734951"/>
    <w:pPr>
      <w:keepNext/>
      <w:tabs>
        <w:tab w:val="left" w:pos="1418"/>
      </w:tabs>
      <w:ind w:left="1418" w:right="567" w:hanging="851"/>
    </w:pPr>
    <w:rPr>
      <w:b/>
      <w:i/>
      <w:color w:val="4D4D4D"/>
    </w:rPr>
  </w:style>
  <w:style w:type="paragraph" w:customStyle="1" w:styleId="ALegindent1">
    <w:name w:val="ALeg indent 1"/>
    <w:basedOn w:val="Normal"/>
    <w:uiPriority w:val="6"/>
    <w:rsid w:val="003205E8"/>
    <w:pPr>
      <w:ind w:left="851"/>
    </w:pPr>
  </w:style>
  <w:style w:type="paragraph" w:customStyle="1" w:styleId="ALegindent2">
    <w:name w:val="ALeg indent 2"/>
    <w:basedOn w:val="Normal"/>
    <w:uiPriority w:val="6"/>
    <w:rsid w:val="003205E8"/>
    <w:pPr>
      <w:ind w:left="1559"/>
    </w:pPr>
  </w:style>
  <w:style w:type="paragraph" w:customStyle="1" w:styleId="ALegindent3">
    <w:name w:val="ALeg indent 3"/>
    <w:basedOn w:val="Normal"/>
    <w:uiPriority w:val="6"/>
    <w:rsid w:val="003205E8"/>
    <w:pPr>
      <w:ind w:left="2268"/>
    </w:pPr>
  </w:style>
  <w:style w:type="paragraph" w:customStyle="1" w:styleId="ALegstyle-1">
    <w:name w:val="ALeg style - (1)"/>
    <w:basedOn w:val="Normal"/>
    <w:uiPriority w:val="6"/>
    <w:rsid w:val="003205E8"/>
    <w:pPr>
      <w:tabs>
        <w:tab w:val="left" w:pos="851"/>
      </w:tabs>
      <w:ind w:left="851" w:hanging="851"/>
    </w:pPr>
  </w:style>
  <w:style w:type="paragraph" w:customStyle="1" w:styleId="ALegstyle-a">
    <w:name w:val="ALeg style - (a)"/>
    <w:basedOn w:val="Normal"/>
    <w:uiPriority w:val="6"/>
    <w:rsid w:val="003205E8"/>
    <w:pPr>
      <w:tabs>
        <w:tab w:val="left" w:pos="1559"/>
      </w:tabs>
      <w:ind w:left="1560" w:hanging="709"/>
    </w:pPr>
  </w:style>
  <w:style w:type="paragraph" w:customStyle="1" w:styleId="ALegstyle-i">
    <w:name w:val="ALeg style - (i)"/>
    <w:basedOn w:val="Normal"/>
    <w:uiPriority w:val="6"/>
    <w:rsid w:val="003205E8"/>
    <w:pPr>
      <w:tabs>
        <w:tab w:val="left" w:pos="2268"/>
      </w:tabs>
      <w:ind w:left="2268" w:hanging="709"/>
    </w:pPr>
  </w:style>
  <w:style w:type="paragraph" w:customStyle="1" w:styleId="ALegstyle-10">
    <w:name w:val="ALeg style - 1"/>
    <w:basedOn w:val="Normal"/>
    <w:uiPriority w:val="6"/>
    <w:rsid w:val="00EB5CB9"/>
    <w:pPr>
      <w:keepNext/>
      <w:tabs>
        <w:tab w:val="left" w:pos="851"/>
      </w:tabs>
      <w:ind w:left="851" w:hanging="851"/>
    </w:pPr>
    <w:rPr>
      <w:b/>
    </w:rPr>
  </w:style>
  <w:style w:type="paragraph" w:customStyle="1" w:styleId="SQLegindent1">
    <w:name w:val="SQLeg indent 1"/>
    <w:basedOn w:val="Normal"/>
    <w:uiPriority w:val="6"/>
    <w:rsid w:val="003205E8"/>
    <w:pPr>
      <w:ind w:left="1985" w:right="567"/>
    </w:pPr>
    <w:rPr>
      <w:i/>
      <w:color w:val="4D4D4D"/>
    </w:rPr>
  </w:style>
  <w:style w:type="paragraph" w:customStyle="1" w:styleId="SQLegindent2">
    <w:name w:val="SQLeg indent 2"/>
    <w:basedOn w:val="Normal"/>
    <w:uiPriority w:val="6"/>
    <w:rsid w:val="003205E8"/>
    <w:pPr>
      <w:ind w:left="2693" w:right="567"/>
    </w:pPr>
    <w:rPr>
      <w:i/>
      <w:color w:val="4D4D4D"/>
    </w:rPr>
  </w:style>
  <w:style w:type="paragraph" w:customStyle="1" w:styleId="SQLegindent3">
    <w:name w:val="SQLeg indent 3"/>
    <w:basedOn w:val="Normal"/>
    <w:uiPriority w:val="6"/>
    <w:rsid w:val="003205E8"/>
    <w:pPr>
      <w:ind w:left="3402" w:right="567"/>
    </w:pPr>
    <w:rPr>
      <w:i/>
      <w:color w:val="4D4D4D"/>
    </w:rPr>
  </w:style>
  <w:style w:type="paragraph" w:customStyle="1" w:styleId="SQLegstyle-1">
    <w:name w:val="SQLeg style - (1)"/>
    <w:basedOn w:val="Normal"/>
    <w:uiPriority w:val="6"/>
    <w:rsid w:val="003205E8"/>
    <w:pPr>
      <w:tabs>
        <w:tab w:val="left" w:pos="1985"/>
      </w:tabs>
      <w:ind w:left="1985" w:right="567" w:hanging="851"/>
    </w:pPr>
    <w:rPr>
      <w:i/>
      <w:color w:val="4D4D4D"/>
    </w:rPr>
  </w:style>
  <w:style w:type="paragraph" w:customStyle="1" w:styleId="SQLegstyle-a">
    <w:name w:val="SQLeg style - (a)"/>
    <w:basedOn w:val="Normal"/>
    <w:uiPriority w:val="6"/>
    <w:rsid w:val="003205E8"/>
    <w:pPr>
      <w:tabs>
        <w:tab w:val="left" w:pos="2693"/>
      </w:tabs>
      <w:ind w:left="2694" w:right="567" w:hanging="709"/>
    </w:pPr>
    <w:rPr>
      <w:i/>
      <w:color w:val="4D4D4D"/>
    </w:rPr>
  </w:style>
  <w:style w:type="paragraph" w:customStyle="1" w:styleId="SQLegstyle-i">
    <w:name w:val="SQLeg style - (i)"/>
    <w:basedOn w:val="Normal"/>
    <w:uiPriority w:val="6"/>
    <w:rsid w:val="003205E8"/>
    <w:pPr>
      <w:tabs>
        <w:tab w:val="left" w:pos="3402"/>
      </w:tabs>
      <w:ind w:left="3402" w:right="567" w:hanging="709"/>
    </w:pPr>
    <w:rPr>
      <w:i/>
      <w:color w:val="4D4D4D"/>
    </w:rPr>
  </w:style>
  <w:style w:type="paragraph" w:customStyle="1" w:styleId="SQLegstyle-10">
    <w:name w:val="SQLeg style - 1"/>
    <w:basedOn w:val="Normal"/>
    <w:uiPriority w:val="6"/>
    <w:rsid w:val="00EB5CB9"/>
    <w:pPr>
      <w:keepNext/>
      <w:tabs>
        <w:tab w:val="left" w:pos="1985"/>
      </w:tabs>
      <w:ind w:left="1985" w:right="567" w:hanging="851"/>
    </w:pPr>
    <w:rPr>
      <w:b/>
      <w:i/>
      <w:color w:val="4D4D4D"/>
    </w:rPr>
  </w:style>
  <w:style w:type="character" w:customStyle="1" w:styleId="EmphasisItalics">
    <w:name w:val="Emphasis Italics"/>
    <w:basedOn w:val="DefaultParagraphFont"/>
    <w:uiPriority w:val="2"/>
    <w:rsid w:val="00550220"/>
    <w:rPr>
      <w:b/>
      <w:i/>
    </w:rPr>
  </w:style>
  <w:style w:type="numbering" w:styleId="111111">
    <w:name w:val="Outline List 2"/>
    <w:basedOn w:val="NoList"/>
    <w:uiPriority w:val="99"/>
    <w:semiHidden/>
    <w:unhideWhenUsed/>
    <w:rsid w:val="003C7715"/>
    <w:pPr>
      <w:numPr>
        <w:numId w:val="20"/>
      </w:numPr>
    </w:pPr>
  </w:style>
  <w:style w:type="numbering" w:styleId="1ai">
    <w:name w:val="Outline List 1"/>
    <w:basedOn w:val="NoList"/>
    <w:uiPriority w:val="99"/>
    <w:semiHidden/>
    <w:unhideWhenUsed/>
    <w:rsid w:val="003C7715"/>
    <w:pPr>
      <w:numPr>
        <w:numId w:val="21"/>
      </w:numPr>
    </w:pPr>
  </w:style>
  <w:style w:type="numbering" w:styleId="ArticleSection">
    <w:name w:val="Outline List 3"/>
    <w:basedOn w:val="NoList"/>
    <w:uiPriority w:val="99"/>
    <w:semiHidden/>
    <w:unhideWhenUsed/>
    <w:rsid w:val="003C7715"/>
    <w:pPr>
      <w:numPr>
        <w:numId w:val="22"/>
      </w:numPr>
    </w:pPr>
  </w:style>
  <w:style w:type="paragraph" w:styleId="BlockText">
    <w:name w:val="Block Text"/>
    <w:basedOn w:val="Normal"/>
    <w:uiPriority w:val="99"/>
    <w:semiHidden/>
    <w:unhideWhenUsed/>
    <w:rsid w:val="003C7715"/>
    <w:pPr>
      <w:pBdr>
        <w:top w:val="single" w:sz="2" w:space="10" w:color="2BB673" w:themeColor="accent1" w:shadow="1" w:frame="1"/>
        <w:left w:val="single" w:sz="2" w:space="10" w:color="2BB673" w:themeColor="accent1" w:shadow="1" w:frame="1"/>
        <w:bottom w:val="single" w:sz="2" w:space="10" w:color="2BB673" w:themeColor="accent1" w:shadow="1" w:frame="1"/>
        <w:right w:val="single" w:sz="2" w:space="10" w:color="2BB673" w:themeColor="accent1" w:shadow="1" w:frame="1"/>
      </w:pBdr>
      <w:ind w:left="1152" w:right="1152"/>
    </w:pPr>
    <w:rPr>
      <w:rFonts w:asciiTheme="minorHAnsi" w:eastAsiaTheme="minorEastAsia" w:hAnsiTheme="minorHAnsi"/>
      <w:i/>
      <w:iCs/>
      <w:color w:val="2BB673" w:themeColor="accent1"/>
    </w:rPr>
  </w:style>
  <w:style w:type="paragraph" w:styleId="BodyText2">
    <w:name w:val="Body Text 2"/>
    <w:basedOn w:val="Normal"/>
    <w:link w:val="BodyText2Char"/>
    <w:uiPriority w:val="99"/>
    <w:semiHidden/>
    <w:unhideWhenUsed/>
    <w:rsid w:val="003C7715"/>
    <w:pPr>
      <w:spacing w:after="120" w:line="480" w:lineRule="auto"/>
    </w:pPr>
  </w:style>
  <w:style w:type="character" w:customStyle="1" w:styleId="BodyText2Char">
    <w:name w:val="Body Text 2 Char"/>
    <w:basedOn w:val="DefaultParagraphFont"/>
    <w:link w:val="BodyText2"/>
    <w:uiPriority w:val="99"/>
    <w:semiHidden/>
    <w:rsid w:val="003C7715"/>
    <w:rPr>
      <w:rFonts w:ascii="Calibri" w:hAnsi="Calibri"/>
      <w:color w:val="1E1E1E"/>
      <w:sz w:val="24"/>
    </w:rPr>
  </w:style>
  <w:style w:type="paragraph" w:styleId="BodyText3">
    <w:name w:val="Body Text 3"/>
    <w:basedOn w:val="Normal"/>
    <w:link w:val="BodyText3Char"/>
    <w:uiPriority w:val="99"/>
    <w:semiHidden/>
    <w:unhideWhenUsed/>
    <w:rsid w:val="003C7715"/>
    <w:pPr>
      <w:spacing w:after="120"/>
    </w:pPr>
    <w:rPr>
      <w:sz w:val="16"/>
      <w:szCs w:val="16"/>
    </w:rPr>
  </w:style>
  <w:style w:type="character" w:customStyle="1" w:styleId="BodyText3Char">
    <w:name w:val="Body Text 3 Char"/>
    <w:basedOn w:val="DefaultParagraphFont"/>
    <w:link w:val="BodyText3"/>
    <w:uiPriority w:val="99"/>
    <w:semiHidden/>
    <w:rsid w:val="003C7715"/>
    <w:rPr>
      <w:rFonts w:ascii="Calibri" w:hAnsi="Calibri"/>
      <w:color w:val="1E1E1E"/>
      <w:sz w:val="16"/>
      <w:szCs w:val="16"/>
    </w:rPr>
  </w:style>
  <w:style w:type="paragraph" w:styleId="BodyTextFirstIndent">
    <w:name w:val="Body Text First Indent"/>
    <w:basedOn w:val="BodyText"/>
    <w:link w:val="BodyTextFirstIndentChar"/>
    <w:uiPriority w:val="99"/>
    <w:semiHidden/>
    <w:unhideWhenUsed/>
    <w:rsid w:val="003C7715"/>
    <w:pPr>
      <w:ind w:firstLine="360"/>
    </w:pPr>
  </w:style>
  <w:style w:type="character" w:customStyle="1" w:styleId="BodyTextFirstIndentChar">
    <w:name w:val="Body Text First Indent Char"/>
    <w:basedOn w:val="BodyTextChar"/>
    <w:link w:val="BodyTextFirstIndent"/>
    <w:uiPriority w:val="99"/>
    <w:semiHidden/>
    <w:rsid w:val="003C7715"/>
    <w:rPr>
      <w:rFonts w:ascii="Calibri" w:hAnsi="Calibri"/>
      <w:color w:val="1E1E1E"/>
      <w:sz w:val="24"/>
    </w:rPr>
  </w:style>
  <w:style w:type="paragraph" w:styleId="BodyTextIndent">
    <w:name w:val="Body Text Indent"/>
    <w:basedOn w:val="Normal"/>
    <w:link w:val="BodyTextIndentChar"/>
    <w:uiPriority w:val="99"/>
    <w:semiHidden/>
    <w:unhideWhenUsed/>
    <w:rsid w:val="003C7715"/>
    <w:pPr>
      <w:spacing w:after="120"/>
      <w:ind w:left="283"/>
    </w:pPr>
  </w:style>
  <w:style w:type="character" w:customStyle="1" w:styleId="BodyTextIndentChar">
    <w:name w:val="Body Text Indent Char"/>
    <w:basedOn w:val="DefaultParagraphFont"/>
    <w:link w:val="BodyTextIndent"/>
    <w:uiPriority w:val="99"/>
    <w:semiHidden/>
    <w:rsid w:val="003C7715"/>
    <w:rPr>
      <w:rFonts w:ascii="Calibri" w:hAnsi="Calibri"/>
      <w:color w:val="1E1E1E"/>
      <w:sz w:val="24"/>
    </w:rPr>
  </w:style>
  <w:style w:type="paragraph" w:styleId="BodyTextFirstIndent2">
    <w:name w:val="Body Text First Indent 2"/>
    <w:basedOn w:val="BodyTextIndent"/>
    <w:link w:val="BodyTextFirstIndent2Char"/>
    <w:uiPriority w:val="99"/>
    <w:semiHidden/>
    <w:unhideWhenUsed/>
    <w:rsid w:val="003C7715"/>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3C7715"/>
    <w:rPr>
      <w:rFonts w:ascii="Calibri" w:hAnsi="Calibri"/>
      <w:color w:val="1E1E1E"/>
      <w:sz w:val="24"/>
    </w:rPr>
  </w:style>
  <w:style w:type="paragraph" w:styleId="BodyTextIndent2">
    <w:name w:val="Body Text Indent 2"/>
    <w:basedOn w:val="Normal"/>
    <w:link w:val="BodyTextIndent2Char"/>
    <w:uiPriority w:val="99"/>
    <w:semiHidden/>
    <w:unhideWhenUsed/>
    <w:rsid w:val="003C7715"/>
    <w:pPr>
      <w:spacing w:after="120" w:line="480" w:lineRule="auto"/>
      <w:ind w:left="283"/>
    </w:pPr>
  </w:style>
  <w:style w:type="character" w:customStyle="1" w:styleId="BodyTextIndent2Char">
    <w:name w:val="Body Text Indent 2 Char"/>
    <w:basedOn w:val="DefaultParagraphFont"/>
    <w:link w:val="BodyTextIndent2"/>
    <w:uiPriority w:val="99"/>
    <w:semiHidden/>
    <w:rsid w:val="003C7715"/>
    <w:rPr>
      <w:rFonts w:ascii="Calibri" w:hAnsi="Calibri"/>
      <w:color w:val="1E1E1E"/>
      <w:sz w:val="24"/>
    </w:rPr>
  </w:style>
  <w:style w:type="paragraph" w:styleId="BodyTextIndent3">
    <w:name w:val="Body Text Indent 3"/>
    <w:basedOn w:val="Normal"/>
    <w:link w:val="BodyTextIndent3Char"/>
    <w:uiPriority w:val="99"/>
    <w:semiHidden/>
    <w:unhideWhenUsed/>
    <w:rsid w:val="003C771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C7715"/>
    <w:rPr>
      <w:rFonts w:ascii="Calibri" w:hAnsi="Calibri"/>
      <w:color w:val="1E1E1E"/>
      <w:sz w:val="16"/>
      <w:szCs w:val="16"/>
    </w:rPr>
  </w:style>
  <w:style w:type="character" w:styleId="BookTitle">
    <w:name w:val="Book Title"/>
    <w:basedOn w:val="DefaultParagraphFont"/>
    <w:uiPriority w:val="33"/>
    <w:semiHidden/>
    <w:rsid w:val="003C7715"/>
    <w:rPr>
      <w:b/>
      <w:bCs/>
      <w:i/>
      <w:iCs/>
      <w:spacing w:val="5"/>
    </w:rPr>
  </w:style>
  <w:style w:type="paragraph" w:styleId="Closing">
    <w:name w:val="Closing"/>
    <w:basedOn w:val="Normal"/>
    <w:link w:val="ClosingChar"/>
    <w:uiPriority w:val="99"/>
    <w:semiHidden/>
    <w:unhideWhenUsed/>
    <w:rsid w:val="003C7715"/>
    <w:pPr>
      <w:spacing w:after="0" w:line="240" w:lineRule="auto"/>
      <w:ind w:left="4252"/>
    </w:pPr>
  </w:style>
  <w:style w:type="character" w:customStyle="1" w:styleId="ClosingChar">
    <w:name w:val="Closing Char"/>
    <w:basedOn w:val="DefaultParagraphFont"/>
    <w:link w:val="Closing"/>
    <w:uiPriority w:val="99"/>
    <w:semiHidden/>
    <w:rsid w:val="003C7715"/>
    <w:rPr>
      <w:rFonts w:ascii="Calibri" w:hAnsi="Calibri"/>
      <w:color w:val="1E1E1E"/>
      <w:sz w:val="24"/>
    </w:rPr>
  </w:style>
  <w:style w:type="table" w:styleId="ColourfulGrid">
    <w:name w:val="Colorful Grid"/>
    <w:basedOn w:val="TableNormal"/>
    <w:uiPriority w:val="73"/>
    <w:semiHidden/>
    <w:unhideWhenUsed/>
    <w:rsid w:val="003C771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3C771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0F4E3" w:themeFill="accent1" w:themeFillTint="33"/>
    </w:tcPr>
    <w:tblStylePr w:type="firstRow">
      <w:rPr>
        <w:b/>
        <w:bCs/>
      </w:rPr>
      <w:tblPr/>
      <w:tcPr>
        <w:shd w:val="clear" w:color="auto" w:fill="A2E9C7" w:themeFill="accent1" w:themeFillTint="66"/>
      </w:tcPr>
    </w:tblStylePr>
    <w:tblStylePr w:type="lastRow">
      <w:rPr>
        <w:b/>
        <w:bCs/>
        <w:color w:val="000000" w:themeColor="text1"/>
      </w:rPr>
      <w:tblPr/>
      <w:tcPr>
        <w:shd w:val="clear" w:color="auto" w:fill="A2E9C7" w:themeFill="accent1" w:themeFillTint="66"/>
      </w:tcPr>
    </w:tblStylePr>
    <w:tblStylePr w:type="firstCol">
      <w:rPr>
        <w:color w:val="FFFFFF" w:themeColor="background1"/>
      </w:rPr>
      <w:tblPr/>
      <w:tcPr>
        <w:shd w:val="clear" w:color="auto" w:fill="208855" w:themeFill="accent1" w:themeFillShade="BF"/>
      </w:tcPr>
    </w:tblStylePr>
    <w:tblStylePr w:type="lastCol">
      <w:rPr>
        <w:color w:val="FFFFFF" w:themeColor="background1"/>
      </w:rPr>
      <w:tblPr/>
      <w:tcPr>
        <w:shd w:val="clear" w:color="auto" w:fill="208855" w:themeFill="accent1" w:themeFillShade="BF"/>
      </w:tcPr>
    </w:tblStylePr>
    <w:tblStylePr w:type="band1Vert">
      <w:tblPr/>
      <w:tcPr>
        <w:shd w:val="clear" w:color="auto" w:fill="8CE4B9" w:themeFill="accent1" w:themeFillTint="7F"/>
      </w:tcPr>
    </w:tblStylePr>
    <w:tblStylePr w:type="band1Horz">
      <w:tblPr/>
      <w:tcPr>
        <w:shd w:val="clear" w:color="auto" w:fill="8CE4B9" w:themeFill="accent1" w:themeFillTint="7F"/>
      </w:tcPr>
    </w:tblStylePr>
  </w:style>
  <w:style w:type="table" w:styleId="ColourfulGridAccent2">
    <w:name w:val="Colorful Grid Accent 2"/>
    <w:basedOn w:val="TableNormal"/>
    <w:uiPriority w:val="73"/>
    <w:semiHidden/>
    <w:unhideWhenUsed/>
    <w:rsid w:val="003C771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F7C9" w:themeFill="accent2" w:themeFillTint="33"/>
    </w:tcPr>
    <w:tblStylePr w:type="firstRow">
      <w:rPr>
        <w:b/>
        <w:bCs/>
      </w:rPr>
      <w:tblPr/>
      <w:tcPr>
        <w:shd w:val="clear" w:color="auto" w:fill="DCEF94" w:themeFill="accent2" w:themeFillTint="66"/>
      </w:tcPr>
    </w:tblStylePr>
    <w:tblStylePr w:type="lastRow">
      <w:rPr>
        <w:b/>
        <w:bCs/>
        <w:color w:val="000000" w:themeColor="text1"/>
      </w:rPr>
      <w:tblPr/>
      <w:tcPr>
        <w:shd w:val="clear" w:color="auto" w:fill="DCEF94" w:themeFill="accent2" w:themeFillTint="66"/>
      </w:tcPr>
    </w:tblStylePr>
    <w:tblStylePr w:type="firstCol">
      <w:rPr>
        <w:color w:val="FFFFFF" w:themeColor="background1"/>
      </w:rPr>
      <w:tblPr/>
      <w:tcPr>
        <w:shd w:val="clear" w:color="auto" w:fill="6D8613" w:themeFill="accent2" w:themeFillShade="BF"/>
      </w:tcPr>
    </w:tblStylePr>
    <w:tblStylePr w:type="lastCol">
      <w:rPr>
        <w:color w:val="FFFFFF" w:themeColor="background1"/>
      </w:rPr>
      <w:tblPr/>
      <w:tcPr>
        <w:shd w:val="clear" w:color="auto" w:fill="6D8613" w:themeFill="accent2" w:themeFillShade="BF"/>
      </w:tcPr>
    </w:tblStylePr>
    <w:tblStylePr w:type="band1Vert">
      <w:tblPr/>
      <w:tcPr>
        <w:shd w:val="clear" w:color="auto" w:fill="D3EB7A" w:themeFill="accent2" w:themeFillTint="7F"/>
      </w:tcPr>
    </w:tblStylePr>
    <w:tblStylePr w:type="band1Horz">
      <w:tblPr/>
      <w:tcPr>
        <w:shd w:val="clear" w:color="auto" w:fill="D3EB7A" w:themeFill="accent2" w:themeFillTint="7F"/>
      </w:tcPr>
    </w:tblStylePr>
  </w:style>
  <w:style w:type="table" w:styleId="ColourfulGridAccent3">
    <w:name w:val="Colorful Grid Accent 3"/>
    <w:basedOn w:val="TableNormal"/>
    <w:uiPriority w:val="73"/>
    <w:semiHidden/>
    <w:unhideWhenUsed/>
    <w:rsid w:val="003C771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E1D7" w:themeFill="accent3" w:themeFillTint="33"/>
    </w:tcPr>
    <w:tblStylePr w:type="firstRow">
      <w:rPr>
        <w:b/>
        <w:bCs/>
      </w:rPr>
      <w:tblPr/>
      <w:tcPr>
        <w:shd w:val="clear" w:color="auto" w:fill="F9C3B0" w:themeFill="accent3" w:themeFillTint="66"/>
      </w:tcPr>
    </w:tblStylePr>
    <w:tblStylePr w:type="lastRow">
      <w:rPr>
        <w:b/>
        <w:bCs/>
        <w:color w:val="000000" w:themeColor="text1"/>
      </w:rPr>
      <w:tblPr/>
      <w:tcPr>
        <w:shd w:val="clear" w:color="auto" w:fill="F9C3B0" w:themeFill="accent3" w:themeFillTint="66"/>
      </w:tcPr>
    </w:tblStylePr>
    <w:tblStylePr w:type="firstCol">
      <w:rPr>
        <w:color w:val="FFFFFF" w:themeColor="background1"/>
      </w:rPr>
      <w:tblPr/>
      <w:tcPr>
        <w:shd w:val="clear" w:color="auto" w:fill="CF4110" w:themeFill="accent3" w:themeFillShade="BF"/>
      </w:tcPr>
    </w:tblStylePr>
    <w:tblStylePr w:type="lastCol">
      <w:rPr>
        <w:color w:val="FFFFFF" w:themeColor="background1"/>
      </w:rPr>
      <w:tblPr/>
      <w:tcPr>
        <w:shd w:val="clear" w:color="auto" w:fill="CF4110" w:themeFill="accent3" w:themeFillShade="BF"/>
      </w:tcPr>
    </w:tblStylePr>
    <w:tblStylePr w:type="band1Vert">
      <w:tblPr/>
      <w:tcPr>
        <w:shd w:val="clear" w:color="auto" w:fill="F7B49D" w:themeFill="accent3" w:themeFillTint="7F"/>
      </w:tcPr>
    </w:tblStylePr>
    <w:tblStylePr w:type="band1Horz">
      <w:tblPr/>
      <w:tcPr>
        <w:shd w:val="clear" w:color="auto" w:fill="F7B49D" w:themeFill="accent3" w:themeFillTint="7F"/>
      </w:tcPr>
    </w:tblStylePr>
  </w:style>
  <w:style w:type="table" w:styleId="ColourfulGridAccent4">
    <w:name w:val="Colorful Grid Accent 4"/>
    <w:basedOn w:val="TableNormal"/>
    <w:uiPriority w:val="73"/>
    <w:semiHidden/>
    <w:unhideWhenUsed/>
    <w:rsid w:val="003C771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9DFF4" w:themeFill="accent4" w:themeFillTint="33"/>
    </w:tcPr>
    <w:tblStylePr w:type="firstRow">
      <w:rPr>
        <w:b/>
        <w:bCs/>
      </w:rPr>
      <w:tblPr/>
      <w:tcPr>
        <w:shd w:val="clear" w:color="auto" w:fill="D4BFEA" w:themeFill="accent4" w:themeFillTint="66"/>
      </w:tcPr>
    </w:tblStylePr>
    <w:tblStylePr w:type="lastRow">
      <w:rPr>
        <w:b/>
        <w:bCs/>
        <w:color w:val="000000" w:themeColor="text1"/>
      </w:rPr>
      <w:tblPr/>
      <w:tcPr>
        <w:shd w:val="clear" w:color="auto" w:fill="D4BFEA" w:themeFill="accent4" w:themeFillTint="66"/>
      </w:tcPr>
    </w:tblStylePr>
    <w:tblStylePr w:type="firstCol">
      <w:rPr>
        <w:color w:val="FFFFFF" w:themeColor="background1"/>
      </w:rPr>
      <w:tblPr/>
      <w:tcPr>
        <w:shd w:val="clear" w:color="auto" w:fill="6E37AA" w:themeFill="accent4" w:themeFillShade="BF"/>
      </w:tcPr>
    </w:tblStylePr>
    <w:tblStylePr w:type="lastCol">
      <w:rPr>
        <w:color w:val="FFFFFF" w:themeColor="background1"/>
      </w:rPr>
      <w:tblPr/>
      <w:tcPr>
        <w:shd w:val="clear" w:color="auto" w:fill="6E37AA" w:themeFill="accent4" w:themeFillShade="BF"/>
      </w:tcPr>
    </w:tblStylePr>
    <w:tblStylePr w:type="band1Vert">
      <w:tblPr/>
      <w:tcPr>
        <w:shd w:val="clear" w:color="auto" w:fill="C9B0E5" w:themeFill="accent4" w:themeFillTint="7F"/>
      </w:tcPr>
    </w:tblStylePr>
    <w:tblStylePr w:type="band1Horz">
      <w:tblPr/>
      <w:tcPr>
        <w:shd w:val="clear" w:color="auto" w:fill="C9B0E5" w:themeFill="accent4" w:themeFillTint="7F"/>
      </w:tcPr>
    </w:tblStylePr>
  </w:style>
  <w:style w:type="table" w:styleId="ColourfulGridAccent5">
    <w:name w:val="Colorful Grid Accent 5"/>
    <w:basedOn w:val="TableNormal"/>
    <w:uiPriority w:val="73"/>
    <w:semiHidden/>
    <w:unhideWhenUsed/>
    <w:rsid w:val="003C771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0F6FF" w:themeFill="accent5" w:themeFillTint="33"/>
    </w:tcPr>
    <w:tblStylePr w:type="firstRow">
      <w:rPr>
        <w:b/>
        <w:bCs/>
      </w:rPr>
      <w:tblPr/>
      <w:tcPr>
        <w:shd w:val="clear" w:color="auto" w:fill="82EEFF" w:themeFill="accent5" w:themeFillTint="66"/>
      </w:tcPr>
    </w:tblStylePr>
    <w:tblStylePr w:type="lastRow">
      <w:rPr>
        <w:b/>
        <w:bCs/>
        <w:color w:val="000000" w:themeColor="text1"/>
      </w:rPr>
      <w:tblPr/>
      <w:tcPr>
        <w:shd w:val="clear" w:color="auto" w:fill="82EEFF" w:themeFill="accent5" w:themeFillTint="66"/>
      </w:tcPr>
    </w:tblStylePr>
    <w:tblStylePr w:type="firstCol">
      <w:rPr>
        <w:color w:val="FFFFFF" w:themeColor="background1"/>
      </w:rPr>
      <w:tblPr/>
      <w:tcPr>
        <w:shd w:val="clear" w:color="auto" w:fill="008094" w:themeFill="accent5" w:themeFillShade="BF"/>
      </w:tcPr>
    </w:tblStylePr>
    <w:tblStylePr w:type="lastCol">
      <w:rPr>
        <w:color w:val="FFFFFF" w:themeColor="background1"/>
      </w:rPr>
      <w:tblPr/>
      <w:tcPr>
        <w:shd w:val="clear" w:color="auto" w:fill="008094" w:themeFill="accent5" w:themeFillShade="BF"/>
      </w:tcPr>
    </w:tblStylePr>
    <w:tblStylePr w:type="band1Vert">
      <w:tblPr/>
      <w:tcPr>
        <w:shd w:val="clear" w:color="auto" w:fill="63EAFF" w:themeFill="accent5" w:themeFillTint="7F"/>
      </w:tcPr>
    </w:tblStylePr>
    <w:tblStylePr w:type="band1Horz">
      <w:tblPr/>
      <w:tcPr>
        <w:shd w:val="clear" w:color="auto" w:fill="63EAFF" w:themeFill="accent5" w:themeFillTint="7F"/>
      </w:tcPr>
    </w:tblStylePr>
  </w:style>
  <w:style w:type="table" w:styleId="ColourfulGridAccent6">
    <w:name w:val="Colorful Grid Accent 6"/>
    <w:basedOn w:val="TableNormal"/>
    <w:uiPriority w:val="73"/>
    <w:semiHidden/>
    <w:unhideWhenUsed/>
    <w:rsid w:val="003C771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EE8CD" w:themeFill="accent6" w:themeFillTint="33"/>
    </w:tcPr>
    <w:tblStylePr w:type="firstRow">
      <w:rPr>
        <w:b/>
        <w:bCs/>
      </w:rPr>
      <w:tblPr/>
      <w:tcPr>
        <w:shd w:val="clear" w:color="auto" w:fill="FED19C" w:themeFill="accent6" w:themeFillTint="66"/>
      </w:tcPr>
    </w:tblStylePr>
    <w:tblStylePr w:type="lastRow">
      <w:rPr>
        <w:b/>
        <w:bCs/>
        <w:color w:val="000000" w:themeColor="text1"/>
      </w:rPr>
      <w:tblPr/>
      <w:tcPr>
        <w:shd w:val="clear" w:color="auto" w:fill="FED19C" w:themeFill="accent6" w:themeFillTint="66"/>
      </w:tcPr>
    </w:tblStylePr>
    <w:tblStylePr w:type="firstCol">
      <w:rPr>
        <w:color w:val="FFFFFF" w:themeColor="background1"/>
      </w:rPr>
      <w:tblPr/>
      <w:tcPr>
        <w:shd w:val="clear" w:color="auto" w:fill="C36B01" w:themeFill="accent6" w:themeFillShade="BF"/>
      </w:tcPr>
    </w:tblStylePr>
    <w:tblStylePr w:type="lastCol">
      <w:rPr>
        <w:color w:val="FFFFFF" w:themeColor="background1"/>
      </w:rPr>
      <w:tblPr/>
      <w:tcPr>
        <w:shd w:val="clear" w:color="auto" w:fill="C36B01" w:themeFill="accent6" w:themeFillShade="BF"/>
      </w:tcPr>
    </w:tblStylePr>
    <w:tblStylePr w:type="band1Vert">
      <w:tblPr/>
      <w:tcPr>
        <w:shd w:val="clear" w:color="auto" w:fill="FEC684" w:themeFill="accent6" w:themeFillTint="7F"/>
      </w:tcPr>
    </w:tblStylePr>
    <w:tblStylePr w:type="band1Horz">
      <w:tblPr/>
      <w:tcPr>
        <w:shd w:val="clear" w:color="auto" w:fill="FEC684" w:themeFill="accent6" w:themeFillTint="7F"/>
      </w:tcPr>
    </w:tblStylePr>
  </w:style>
  <w:style w:type="table" w:styleId="ColourfulList">
    <w:name w:val="Colorful List"/>
    <w:basedOn w:val="TableNormal"/>
    <w:uiPriority w:val="72"/>
    <w:semiHidden/>
    <w:unhideWhenUsed/>
    <w:rsid w:val="003C771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58F14" w:themeFill="accent2" w:themeFillShade="CC"/>
      </w:tcPr>
    </w:tblStylePr>
    <w:tblStylePr w:type="lastRow">
      <w:rPr>
        <w:b/>
        <w:bCs/>
        <w:color w:val="758F1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3C7715"/>
    <w:pPr>
      <w:spacing w:after="0" w:line="240" w:lineRule="auto"/>
    </w:pPr>
    <w:rPr>
      <w:color w:val="000000" w:themeColor="text1"/>
    </w:rPr>
    <w:tblPr>
      <w:tblStyleRowBandSize w:val="1"/>
      <w:tblStyleColBandSize w:val="1"/>
    </w:tblPr>
    <w:tcPr>
      <w:shd w:val="clear" w:color="auto" w:fill="E8F9F1" w:themeFill="accent1" w:themeFillTint="19"/>
    </w:tcPr>
    <w:tblStylePr w:type="firstRow">
      <w:rPr>
        <w:b/>
        <w:bCs/>
        <w:color w:val="FFFFFF" w:themeColor="background1"/>
      </w:rPr>
      <w:tblPr/>
      <w:tcPr>
        <w:tcBorders>
          <w:bottom w:val="single" w:sz="12" w:space="0" w:color="FFFFFF" w:themeColor="background1"/>
        </w:tcBorders>
        <w:shd w:val="clear" w:color="auto" w:fill="758F14" w:themeFill="accent2" w:themeFillShade="CC"/>
      </w:tcPr>
    </w:tblStylePr>
    <w:tblStylePr w:type="lastRow">
      <w:rPr>
        <w:b/>
        <w:bCs/>
        <w:color w:val="758F1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F1DC" w:themeFill="accent1" w:themeFillTint="3F"/>
      </w:tcPr>
    </w:tblStylePr>
    <w:tblStylePr w:type="band1Horz">
      <w:tblPr/>
      <w:tcPr>
        <w:shd w:val="clear" w:color="auto" w:fill="D0F4E3" w:themeFill="accent1" w:themeFillTint="33"/>
      </w:tcPr>
    </w:tblStylePr>
  </w:style>
  <w:style w:type="table" w:styleId="ColourfulListAccent2">
    <w:name w:val="Colorful List Accent 2"/>
    <w:basedOn w:val="TableNormal"/>
    <w:uiPriority w:val="72"/>
    <w:semiHidden/>
    <w:unhideWhenUsed/>
    <w:rsid w:val="003C7715"/>
    <w:pPr>
      <w:spacing w:after="0" w:line="240" w:lineRule="auto"/>
    </w:pPr>
    <w:rPr>
      <w:color w:val="000000" w:themeColor="text1"/>
    </w:rPr>
    <w:tblPr>
      <w:tblStyleRowBandSize w:val="1"/>
      <w:tblStyleColBandSize w:val="1"/>
    </w:tblPr>
    <w:tcPr>
      <w:shd w:val="clear" w:color="auto" w:fill="F6FBE4" w:themeFill="accent2" w:themeFillTint="19"/>
    </w:tcPr>
    <w:tblStylePr w:type="firstRow">
      <w:rPr>
        <w:b/>
        <w:bCs/>
        <w:color w:val="FFFFFF" w:themeColor="background1"/>
      </w:rPr>
      <w:tblPr/>
      <w:tcPr>
        <w:tcBorders>
          <w:bottom w:val="single" w:sz="12" w:space="0" w:color="FFFFFF" w:themeColor="background1"/>
        </w:tcBorders>
        <w:shd w:val="clear" w:color="auto" w:fill="758F14" w:themeFill="accent2" w:themeFillShade="CC"/>
      </w:tcPr>
    </w:tblStylePr>
    <w:tblStylePr w:type="lastRow">
      <w:rPr>
        <w:b/>
        <w:bCs/>
        <w:color w:val="758F1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5BD" w:themeFill="accent2" w:themeFillTint="3F"/>
      </w:tcPr>
    </w:tblStylePr>
    <w:tblStylePr w:type="band1Horz">
      <w:tblPr/>
      <w:tcPr>
        <w:shd w:val="clear" w:color="auto" w:fill="EDF7C9" w:themeFill="accent2" w:themeFillTint="33"/>
      </w:tcPr>
    </w:tblStylePr>
  </w:style>
  <w:style w:type="table" w:styleId="ColourfulListAccent3">
    <w:name w:val="Colorful List Accent 3"/>
    <w:basedOn w:val="TableNormal"/>
    <w:uiPriority w:val="72"/>
    <w:semiHidden/>
    <w:unhideWhenUsed/>
    <w:rsid w:val="003C7715"/>
    <w:pPr>
      <w:spacing w:after="0" w:line="240" w:lineRule="auto"/>
    </w:pPr>
    <w:rPr>
      <w:color w:val="000000" w:themeColor="text1"/>
    </w:rPr>
    <w:tblPr>
      <w:tblStyleRowBandSize w:val="1"/>
      <w:tblStyleColBandSize w:val="1"/>
    </w:tblPr>
    <w:tcPr>
      <w:shd w:val="clear" w:color="auto" w:fill="FDF0EB" w:themeFill="accent3" w:themeFillTint="19"/>
    </w:tcPr>
    <w:tblStylePr w:type="firstRow">
      <w:rPr>
        <w:b/>
        <w:bCs/>
        <w:color w:val="FFFFFF" w:themeColor="background1"/>
      </w:rPr>
      <w:tblPr/>
      <w:tcPr>
        <w:tcBorders>
          <w:bottom w:val="single" w:sz="12" w:space="0" w:color="FFFFFF" w:themeColor="background1"/>
        </w:tcBorders>
        <w:shd w:val="clear" w:color="auto" w:fill="763AB5" w:themeFill="accent4" w:themeFillShade="CC"/>
      </w:tcPr>
    </w:tblStylePr>
    <w:tblStylePr w:type="lastRow">
      <w:rPr>
        <w:b/>
        <w:bCs/>
        <w:color w:val="763AB5"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D9CE" w:themeFill="accent3" w:themeFillTint="3F"/>
      </w:tcPr>
    </w:tblStylePr>
    <w:tblStylePr w:type="band1Horz">
      <w:tblPr/>
      <w:tcPr>
        <w:shd w:val="clear" w:color="auto" w:fill="FCE1D7" w:themeFill="accent3" w:themeFillTint="33"/>
      </w:tcPr>
    </w:tblStylePr>
  </w:style>
  <w:style w:type="table" w:styleId="ColourfulListAccent4">
    <w:name w:val="Colorful List Accent 4"/>
    <w:basedOn w:val="TableNormal"/>
    <w:uiPriority w:val="72"/>
    <w:semiHidden/>
    <w:unhideWhenUsed/>
    <w:rsid w:val="003C7715"/>
    <w:pPr>
      <w:spacing w:after="0" w:line="240" w:lineRule="auto"/>
    </w:pPr>
    <w:rPr>
      <w:color w:val="000000" w:themeColor="text1"/>
    </w:rPr>
    <w:tblPr>
      <w:tblStyleRowBandSize w:val="1"/>
      <w:tblStyleColBandSize w:val="1"/>
    </w:tblPr>
    <w:tcPr>
      <w:shd w:val="clear" w:color="auto" w:fill="F4EFFA" w:themeFill="accent4" w:themeFillTint="19"/>
    </w:tcPr>
    <w:tblStylePr w:type="firstRow">
      <w:rPr>
        <w:b/>
        <w:bCs/>
        <w:color w:val="FFFFFF" w:themeColor="background1"/>
      </w:rPr>
      <w:tblPr/>
      <w:tcPr>
        <w:tcBorders>
          <w:bottom w:val="single" w:sz="12" w:space="0" w:color="FFFFFF" w:themeColor="background1"/>
        </w:tcBorders>
        <w:shd w:val="clear" w:color="auto" w:fill="DD4611" w:themeFill="accent3" w:themeFillShade="CC"/>
      </w:tcPr>
    </w:tblStylePr>
    <w:tblStylePr w:type="lastRow">
      <w:rPr>
        <w:b/>
        <w:bCs/>
        <w:color w:val="DD4611"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D7F2" w:themeFill="accent4" w:themeFillTint="3F"/>
      </w:tcPr>
    </w:tblStylePr>
    <w:tblStylePr w:type="band1Horz">
      <w:tblPr/>
      <w:tcPr>
        <w:shd w:val="clear" w:color="auto" w:fill="E9DFF4" w:themeFill="accent4" w:themeFillTint="33"/>
      </w:tcPr>
    </w:tblStylePr>
  </w:style>
  <w:style w:type="table" w:styleId="ColourfulListAccent5">
    <w:name w:val="Colorful List Accent 5"/>
    <w:basedOn w:val="TableNormal"/>
    <w:uiPriority w:val="72"/>
    <w:semiHidden/>
    <w:unhideWhenUsed/>
    <w:rsid w:val="003C7715"/>
    <w:pPr>
      <w:spacing w:after="0" w:line="240" w:lineRule="auto"/>
    </w:pPr>
    <w:rPr>
      <w:color w:val="000000" w:themeColor="text1"/>
    </w:rPr>
    <w:tblPr>
      <w:tblStyleRowBandSize w:val="1"/>
      <w:tblStyleColBandSize w:val="1"/>
    </w:tblPr>
    <w:tcPr>
      <w:shd w:val="clear" w:color="auto" w:fill="E0FBFF" w:themeFill="accent5" w:themeFillTint="19"/>
    </w:tcPr>
    <w:tblStylePr w:type="firstRow">
      <w:rPr>
        <w:b/>
        <w:bCs/>
        <w:color w:val="FFFFFF" w:themeColor="background1"/>
      </w:rPr>
      <w:tblPr/>
      <w:tcPr>
        <w:tcBorders>
          <w:bottom w:val="single" w:sz="12" w:space="0" w:color="FFFFFF" w:themeColor="background1"/>
        </w:tcBorders>
        <w:shd w:val="clear" w:color="auto" w:fill="D07201" w:themeFill="accent6" w:themeFillShade="CC"/>
      </w:tcPr>
    </w:tblStylePr>
    <w:tblStylePr w:type="lastRow">
      <w:rPr>
        <w:b/>
        <w:bCs/>
        <w:color w:val="D07201"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1F4FF" w:themeFill="accent5" w:themeFillTint="3F"/>
      </w:tcPr>
    </w:tblStylePr>
    <w:tblStylePr w:type="band1Horz">
      <w:tblPr/>
      <w:tcPr>
        <w:shd w:val="clear" w:color="auto" w:fill="C0F6FF" w:themeFill="accent5" w:themeFillTint="33"/>
      </w:tcPr>
    </w:tblStylePr>
  </w:style>
  <w:style w:type="table" w:styleId="ColourfulListAccent6">
    <w:name w:val="Colorful List Accent 6"/>
    <w:basedOn w:val="TableNormal"/>
    <w:uiPriority w:val="72"/>
    <w:semiHidden/>
    <w:unhideWhenUsed/>
    <w:rsid w:val="003C7715"/>
    <w:pPr>
      <w:spacing w:after="0" w:line="240" w:lineRule="auto"/>
    </w:pPr>
    <w:rPr>
      <w:color w:val="000000" w:themeColor="text1"/>
    </w:rPr>
    <w:tblPr>
      <w:tblStyleRowBandSize w:val="1"/>
      <w:tblStyleColBandSize w:val="1"/>
    </w:tblPr>
    <w:tcPr>
      <w:shd w:val="clear" w:color="auto" w:fill="FEF3E6" w:themeFill="accent6" w:themeFillTint="19"/>
    </w:tcPr>
    <w:tblStylePr w:type="firstRow">
      <w:rPr>
        <w:b/>
        <w:bCs/>
        <w:color w:val="FFFFFF" w:themeColor="background1"/>
      </w:rPr>
      <w:tblPr/>
      <w:tcPr>
        <w:tcBorders>
          <w:bottom w:val="single" w:sz="12" w:space="0" w:color="FFFFFF" w:themeColor="background1"/>
        </w:tcBorders>
        <w:shd w:val="clear" w:color="auto" w:fill="00899E" w:themeFill="accent5" w:themeFillShade="CC"/>
      </w:tcPr>
    </w:tblStylePr>
    <w:tblStylePr w:type="lastRow">
      <w:rPr>
        <w:b/>
        <w:bCs/>
        <w:color w:val="00899E"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E3C2" w:themeFill="accent6" w:themeFillTint="3F"/>
      </w:tcPr>
    </w:tblStylePr>
    <w:tblStylePr w:type="band1Horz">
      <w:tblPr/>
      <w:tcPr>
        <w:shd w:val="clear" w:color="auto" w:fill="FEE8CD" w:themeFill="accent6" w:themeFillTint="33"/>
      </w:tcPr>
    </w:tblStylePr>
  </w:style>
  <w:style w:type="table" w:styleId="ColourfulShading">
    <w:name w:val="Colorful Shading"/>
    <w:basedOn w:val="TableNormal"/>
    <w:uiPriority w:val="71"/>
    <w:semiHidden/>
    <w:unhideWhenUsed/>
    <w:rsid w:val="003C7715"/>
    <w:pPr>
      <w:spacing w:after="0" w:line="240" w:lineRule="auto"/>
    </w:pPr>
    <w:rPr>
      <w:color w:val="000000" w:themeColor="text1"/>
    </w:rPr>
    <w:tblPr>
      <w:tblStyleRowBandSize w:val="1"/>
      <w:tblStyleColBandSize w:val="1"/>
      <w:tblBorders>
        <w:top w:val="single" w:sz="24" w:space="0" w:color="93B41A"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3B41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3C7715"/>
    <w:pPr>
      <w:spacing w:after="0" w:line="240" w:lineRule="auto"/>
    </w:pPr>
    <w:rPr>
      <w:color w:val="000000" w:themeColor="text1"/>
    </w:rPr>
    <w:tblPr>
      <w:tblStyleRowBandSize w:val="1"/>
      <w:tblStyleColBandSize w:val="1"/>
      <w:tblBorders>
        <w:top w:val="single" w:sz="24" w:space="0" w:color="93B41A" w:themeColor="accent2"/>
        <w:left w:val="single" w:sz="4" w:space="0" w:color="2BB673" w:themeColor="accent1"/>
        <w:bottom w:val="single" w:sz="4" w:space="0" w:color="2BB673" w:themeColor="accent1"/>
        <w:right w:val="single" w:sz="4" w:space="0" w:color="2BB673" w:themeColor="accent1"/>
        <w:insideH w:val="single" w:sz="4" w:space="0" w:color="FFFFFF" w:themeColor="background1"/>
        <w:insideV w:val="single" w:sz="4" w:space="0" w:color="FFFFFF" w:themeColor="background1"/>
      </w:tblBorders>
    </w:tblPr>
    <w:tcPr>
      <w:shd w:val="clear" w:color="auto" w:fill="E8F9F1" w:themeFill="accent1" w:themeFillTint="19"/>
    </w:tcPr>
    <w:tblStylePr w:type="firstRow">
      <w:rPr>
        <w:b/>
        <w:bCs/>
      </w:rPr>
      <w:tblPr/>
      <w:tcPr>
        <w:tcBorders>
          <w:top w:val="nil"/>
          <w:left w:val="nil"/>
          <w:bottom w:val="single" w:sz="24" w:space="0" w:color="93B41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96D44" w:themeFill="accent1" w:themeFillShade="99"/>
      </w:tcPr>
    </w:tblStylePr>
    <w:tblStylePr w:type="firstCol">
      <w:rPr>
        <w:color w:val="FFFFFF" w:themeColor="background1"/>
      </w:rPr>
      <w:tblPr/>
      <w:tcPr>
        <w:tcBorders>
          <w:top w:val="nil"/>
          <w:left w:val="nil"/>
          <w:bottom w:val="nil"/>
          <w:right w:val="nil"/>
          <w:insideH w:val="single" w:sz="4" w:space="0" w:color="196D44" w:themeColor="accent1" w:themeShade="99"/>
          <w:insideV w:val="nil"/>
        </w:tcBorders>
        <w:shd w:val="clear" w:color="auto" w:fill="196D4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96D44" w:themeFill="accent1" w:themeFillShade="99"/>
      </w:tcPr>
    </w:tblStylePr>
    <w:tblStylePr w:type="band1Vert">
      <w:tblPr/>
      <w:tcPr>
        <w:shd w:val="clear" w:color="auto" w:fill="A2E9C7" w:themeFill="accent1" w:themeFillTint="66"/>
      </w:tcPr>
    </w:tblStylePr>
    <w:tblStylePr w:type="band1Horz">
      <w:tblPr/>
      <w:tcPr>
        <w:shd w:val="clear" w:color="auto" w:fill="8CE4B9"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3C7715"/>
    <w:pPr>
      <w:spacing w:after="0" w:line="240" w:lineRule="auto"/>
    </w:pPr>
    <w:rPr>
      <w:color w:val="000000" w:themeColor="text1"/>
    </w:rPr>
    <w:tblPr>
      <w:tblStyleRowBandSize w:val="1"/>
      <w:tblStyleColBandSize w:val="1"/>
      <w:tblBorders>
        <w:top w:val="single" w:sz="24" w:space="0" w:color="93B41A" w:themeColor="accent2"/>
        <w:left w:val="single" w:sz="4" w:space="0" w:color="93B41A" w:themeColor="accent2"/>
        <w:bottom w:val="single" w:sz="4" w:space="0" w:color="93B41A" w:themeColor="accent2"/>
        <w:right w:val="single" w:sz="4" w:space="0" w:color="93B41A" w:themeColor="accent2"/>
        <w:insideH w:val="single" w:sz="4" w:space="0" w:color="FFFFFF" w:themeColor="background1"/>
        <w:insideV w:val="single" w:sz="4" w:space="0" w:color="FFFFFF" w:themeColor="background1"/>
      </w:tblBorders>
    </w:tblPr>
    <w:tcPr>
      <w:shd w:val="clear" w:color="auto" w:fill="F6FBE4" w:themeFill="accent2" w:themeFillTint="19"/>
    </w:tcPr>
    <w:tblStylePr w:type="firstRow">
      <w:rPr>
        <w:b/>
        <w:bCs/>
      </w:rPr>
      <w:tblPr/>
      <w:tcPr>
        <w:tcBorders>
          <w:top w:val="nil"/>
          <w:left w:val="nil"/>
          <w:bottom w:val="single" w:sz="24" w:space="0" w:color="93B41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6B0F" w:themeFill="accent2" w:themeFillShade="99"/>
      </w:tcPr>
    </w:tblStylePr>
    <w:tblStylePr w:type="firstCol">
      <w:rPr>
        <w:color w:val="FFFFFF" w:themeColor="background1"/>
      </w:rPr>
      <w:tblPr/>
      <w:tcPr>
        <w:tcBorders>
          <w:top w:val="nil"/>
          <w:left w:val="nil"/>
          <w:bottom w:val="nil"/>
          <w:right w:val="nil"/>
          <w:insideH w:val="single" w:sz="4" w:space="0" w:color="576B0F" w:themeColor="accent2" w:themeShade="99"/>
          <w:insideV w:val="nil"/>
        </w:tcBorders>
        <w:shd w:val="clear" w:color="auto" w:fill="576B0F"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76B0F" w:themeFill="accent2" w:themeFillShade="99"/>
      </w:tcPr>
    </w:tblStylePr>
    <w:tblStylePr w:type="band1Vert">
      <w:tblPr/>
      <w:tcPr>
        <w:shd w:val="clear" w:color="auto" w:fill="DCEF94" w:themeFill="accent2" w:themeFillTint="66"/>
      </w:tcPr>
    </w:tblStylePr>
    <w:tblStylePr w:type="band1Horz">
      <w:tblPr/>
      <w:tcPr>
        <w:shd w:val="clear" w:color="auto" w:fill="D3EB7A"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3C7715"/>
    <w:pPr>
      <w:spacing w:after="0" w:line="240" w:lineRule="auto"/>
    </w:pPr>
    <w:rPr>
      <w:color w:val="000000" w:themeColor="text1"/>
    </w:rPr>
    <w:tblPr>
      <w:tblStyleRowBandSize w:val="1"/>
      <w:tblStyleColBandSize w:val="1"/>
      <w:tblBorders>
        <w:top w:val="single" w:sz="24" w:space="0" w:color="9561CC" w:themeColor="accent4"/>
        <w:left w:val="single" w:sz="4" w:space="0" w:color="F06A3B" w:themeColor="accent3"/>
        <w:bottom w:val="single" w:sz="4" w:space="0" w:color="F06A3B" w:themeColor="accent3"/>
        <w:right w:val="single" w:sz="4" w:space="0" w:color="F06A3B" w:themeColor="accent3"/>
        <w:insideH w:val="single" w:sz="4" w:space="0" w:color="FFFFFF" w:themeColor="background1"/>
        <w:insideV w:val="single" w:sz="4" w:space="0" w:color="FFFFFF" w:themeColor="background1"/>
      </w:tblBorders>
    </w:tblPr>
    <w:tcPr>
      <w:shd w:val="clear" w:color="auto" w:fill="FDF0EB" w:themeFill="accent3" w:themeFillTint="19"/>
    </w:tcPr>
    <w:tblStylePr w:type="firstRow">
      <w:rPr>
        <w:b/>
        <w:bCs/>
      </w:rPr>
      <w:tblPr/>
      <w:tcPr>
        <w:tcBorders>
          <w:top w:val="nil"/>
          <w:left w:val="nil"/>
          <w:bottom w:val="single" w:sz="24" w:space="0" w:color="9561C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6340C" w:themeFill="accent3" w:themeFillShade="99"/>
      </w:tcPr>
    </w:tblStylePr>
    <w:tblStylePr w:type="firstCol">
      <w:rPr>
        <w:color w:val="FFFFFF" w:themeColor="background1"/>
      </w:rPr>
      <w:tblPr/>
      <w:tcPr>
        <w:tcBorders>
          <w:top w:val="nil"/>
          <w:left w:val="nil"/>
          <w:bottom w:val="nil"/>
          <w:right w:val="nil"/>
          <w:insideH w:val="single" w:sz="4" w:space="0" w:color="A6340C" w:themeColor="accent3" w:themeShade="99"/>
          <w:insideV w:val="nil"/>
        </w:tcBorders>
        <w:shd w:val="clear" w:color="auto" w:fill="A6340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A6340C" w:themeFill="accent3" w:themeFillShade="99"/>
      </w:tcPr>
    </w:tblStylePr>
    <w:tblStylePr w:type="band1Vert">
      <w:tblPr/>
      <w:tcPr>
        <w:shd w:val="clear" w:color="auto" w:fill="F9C3B0" w:themeFill="accent3" w:themeFillTint="66"/>
      </w:tcPr>
    </w:tblStylePr>
    <w:tblStylePr w:type="band1Horz">
      <w:tblPr/>
      <w:tcPr>
        <w:shd w:val="clear" w:color="auto" w:fill="F7B49D" w:themeFill="accent3" w:themeFillTint="7F"/>
      </w:tcPr>
    </w:tblStylePr>
  </w:style>
  <w:style w:type="table" w:styleId="ColourfulShadingAccent4">
    <w:name w:val="Colorful Shading Accent 4"/>
    <w:basedOn w:val="TableNormal"/>
    <w:uiPriority w:val="71"/>
    <w:semiHidden/>
    <w:unhideWhenUsed/>
    <w:rsid w:val="003C7715"/>
    <w:pPr>
      <w:spacing w:after="0" w:line="240" w:lineRule="auto"/>
    </w:pPr>
    <w:rPr>
      <w:color w:val="000000" w:themeColor="text1"/>
    </w:rPr>
    <w:tblPr>
      <w:tblStyleRowBandSize w:val="1"/>
      <w:tblStyleColBandSize w:val="1"/>
      <w:tblBorders>
        <w:top w:val="single" w:sz="24" w:space="0" w:color="F06A3B" w:themeColor="accent3"/>
        <w:left w:val="single" w:sz="4" w:space="0" w:color="9561CC" w:themeColor="accent4"/>
        <w:bottom w:val="single" w:sz="4" w:space="0" w:color="9561CC" w:themeColor="accent4"/>
        <w:right w:val="single" w:sz="4" w:space="0" w:color="9561CC" w:themeColor="accent4"/>
        <w:insideH w:val="single" w:sz="4" w:space="0" w:color="FFFFFF" w:themeColor="background1"/>
        <w:insideV w:val="single" w:sz="4" w:space="0" w:color="FFFFFF" w:themeColor="background1"/>
      </w:tblBorders>
    </w:tblPr>
    <w:tcPr>
      <w:shd w:val="clear" w:color="auto" w:fill="F4EFFA" w:themeFill="accent4" w:themeFillTint="19"/>
    </w:tcPr>
    <w:tblStylePr w:type="firstRow">
      <w:rPr>
        <w:b/>
        <w:bCs/>
      </w:rPr>
      <w:tblPr/>
      <w:tcPr>
        <w:tcBorders>
          <w:top w:val="nil"/>
          <w:left w:val="nil"/>
          <w:bottom w:val="single" w:sz="24" w:space="0" w:color="F06A3B"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82C88" w:themeFill="accent4" w:themeFillShade="99"/>
      </w:tcPr>
    </w:tblStylePr>
    <w:tblStylePr w:type="firstCol">
      <w:rPr>
        <w:color w:val="FFFFFF" w:themeColor="background1"/>
      </w:rPr>
      <w:tblPr/>
      <w:tcPr>
        <w:tcBorders>
          <w:top w:val="nil"/>
          <w:left w:val="nil"/>
          <w:bottom w:val="nil"/>
          <w:right w:val="nil"/>
          <w:insideH w:val="single" w:sz="4" w:space="0" w:color="582C88" w:themeColor="accent4" w:themeShade="99"/>
          <w:insideV w:val="nil"/>
        </w:tcBorders>
        <w:shd w:val="clear" w:color="auto" w:fill="582C88"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82C88" w:themeFill="accent4" w:themeFillShade="99"/>
      </w:tcPr>
    </w:tblStylePr>
    <w:tblStylePr w:type="band1Vert">
      <w:tblPr/>
      <w:tcPr>
        <w:shd w:val="clear" w:color="auto" w:fill="D4BFEA" w:themeFill="accent4" w:themeFillTint="66"/>
      </w:tcPr>
    </w:tblStylePr>
    <w:tblStylePr w:type="band1Horz">
      <w:tblPr/>
      <w:tcPr>
        <w:shd w:val="clear" w:color="auto" w:fill="C9B0E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3C7715"/>
    <w:pPr>
      <w:spacing w:after="0" w:line="240" w:lineRule="auto"/>
    </w:pPr>
    <w:rPr>
      <w:color w:val="000000" w:themeColor="text1"/>
    </w:rPr>
    <w:tblPr>
      <w:tblStyleRowBandSize w:val="1"/>
      <w:tblStyleColBandSize w:val="1"/>
      <w:tblBorders>
        <w:top w:val="single" w:sz="24" w:space="0" w:color="FD8F0A" w:themeColor="accent6"/>
        <w:left w:val="single" w:sz="4" w:space="0" w:color="00ADC6" w:themeColor="accent5"/>
        <w:bottom w:val="single" w:sz="4" w:space="0" w:color="00ADC6" w:themeColor="accent5"/>
        <w:right w:val="single" w:sz="4" w:space="0" w:color="00ADC6" w:themeColor="accent5"/>
        <w:insideH w:val="single" w:sz="4" w:space="0" w:color="FFFFFF" w:themeColor="background1"/>
        <w:insideV w:val="single" w:sz="4" w:space="0" w:color="FFFFFF" w:themeColor="background1"/>
      </w:tblBorders>
    </w:tblPr>
    <w:tcPr>
      <w:shd w:val="clear" w:color="auto" w:fill="E0FBFF" w:themeFill="accent5" w:themeFillTint="19"/>
    </w:tcPr>
    <w:tblStylePr w:type="firstRow">
      <w:rPr>
        <w:b/>
        <w:bCs/>
      </w:rPr>
      <w:tblPr/>
      <w:tcPr>
        <w:tcBorders>
          <w:top w:val="nil"/>
          <w:left w:val="nil"/>
          <w:bottom w:val="single" w:sz="24" w:space="0" w:color="FD8F0A"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6" w:themeFill="accent5" w:themeFillShade="99"/>
      </w:tcPr>
    </w:tblStylePr>
    <w:tblStylePr w:type="firstCol">
      <w:rPr>
        <w:color w:val="FFFFFF" w:themeColor="background1"/>
      </w:rPr>
      <w:tblPr/>
      <w:tcPr>
        <w:tcBorders>
          <w:top w:val="nil"/>
          <w:left w:val="nil"/>
          <w:bottom w:val="nil"/>
          <w:right w:val="nil"/>
          <w:insideH w:val="single" w:sz="4" w:space="0" w:color="006776" w:themeColor="accent5" w:themeShade="99"/>
          <w:insideV w:val="nil"/>
        </w:tcBorders>
        <w:shd w:val="clear" w:color="auto" w:fill="006776"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6776" w:themeFill="accent5" w:themeFillShade="99"/>
      </w:tcPr>
    </w:tblStylePr>
    <w:tblStylePr w:type="band1Vert">
      <w:tblPr/>
      <w:tcPr>
        <w:shd w:val="clear" w:color="auto" w:fill="82EEFF" w:themeFill="accent5" w:themeFillTint="66"/>
      </w:tcPr>
    </w:tblStylePr>
    <w:tblStylePr w:type="band1Horz">
      <w:tblPr/>
      <w:tcPr>
        <w:shd w:val="clear" w:color="auto" w:fill="63EAFF"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3C7715"/>
    <w:pPr>
      <w:spacing w:after="0" w:line="240" w:lineRule="auto"/>
    </w:pPr>
    <w:rPr>
      <w:color w:val="000000" w:themeColor="text1"/>
    </w:rPr>
    <w:tblPr>
      <w:tblStyleRowBandSize w:val="1"/>
      <w:tblStyleColBandSize w:val="1"/>
      <w:tblBorders>
        <w:top w:val="single" w:sz="24" w:space="0" w:color="00ADC6" w:themeColor="accent5"/>
        <w:left w:val="single" w:sz="4" w:space="0" w:color="FD8F0A" w:themeColor="accent6"/>
        <w:bottom w:val="single" w:sz="4" w:space="0" w:color="FD8F0A" w:themeColor="accent6"/>
        <w:right w:val="single" w:sz="4" w:space="0" w:color="FD8F0A" w:themeColor="accent6"/>
        <w:insideH w:val="single" w:sz="4" w:space="0" w:color="FFFFFF" w:themeColor="background1"/>
        <w:insideV w:val="single" w:sz="4" w:space="0" w:color="FFFFFF" w:themeColor="background1"/>
      </w:tblBorders>
    </w:tblPr>
    <w:tcPr>
      <w:shd w:val="clear" w:color="auto" w:fill="FEF3E6" w:themeFill="accent6" w:themeFillTint="19"/>
    </w:tcPr>
    <w:tblStylePr w:type="firstRow">
      <w:rPr>
        <w:b/>
        <w:bCs/>
      </w:rPr>
      <w:tblPr/>
      <w:tcPr>
        <w:tcBorders>
          <w:top w:val="nil"/>
          <w:left w:val="nil"/>
          <w:bottom w:val="single" w:sz="24" w:space="0" w:color="00AD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C5501" w:themeFill="accent6" w:themeFillShade="99"/>
      </w:tcPr>
    </w:tblStylePr>
    <w:tblStylePr w:type="firstCol">
      <w:rPr>
        <w:color w:val="FFFFFF" w:themeColor="background1"/>
      </w:rPr>
      <w:tblPr/>
      <w:tcPr>
        <w:tcBorders>
          <w:top w:val="nil"/>
          <w:left w:val="nil"/>
          <w:bottom w:val="nil"/>
          <w:right w:val="nil"/>
          <w:insideH w:val="single" w:sz="4" w:space="0" w:color="9C5501" w:themeColor="accent6" w:themeShade="99"/>
          <w:insideV w:val="nil"/>
        </w:tcBorders>
        <w:shd w:val="clear" w:color="auto" w:fill="9C550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C5501" w:themeFill="accent6" w:themeFillShade="99"/>
      </w:tcPr>
    </w:tblStylePr>
    <w:tblStylePr w:type="band1Vert">
      <w:tblPr/>
      <w:tcPr>
        <w:shd w:val="clear" w:color="auto" w:fill="FED19C" w:themeFill="accent6" w:themeFillTint="66"/>
      </w:tcPr>
    </w:tblStylePr>
    <w:tblStylePr w:type="band1Horz">
      <w:tblPr/>
      <w:tcPr>
        <w:shd w:val="clear" w:color="auto" w:fill="FEC684"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3C7715"/>
    <w:rPr>
      <w:sz w:val="16"/>
      <w:szCs w:val="16"/>
    </w:rPr>
  </w:style>
  <w:style w:type="table" w:styleId="DarkList">
    <w:name w:val="Dark List"/>
    <w:basedOn w:val="TableNormal"/>
    <w:uiPriority w:val="70"/>
    <w:semiHidden/>
    <w:unhideWhenUsed/>
    <w:rsid w:val="003C771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3C7715"/>
    <w:pPr>
      <w:spacing w:after="0" w:line="240" w:lineRule="auto"/>
    </w:pPr>
    <w:rPr>
      <w:color w:val="FFFFFF" w:themeColor="background1"/>
    </w:rPr>
    <w:tblPr>
      <w:tblStyleRowBandSize w:val="1"/>
      <w:tblStyleColBandSize w:val="1"/>
    </w:tblPr>
    <w:tcPr>
      <w:shd w:val="clear" w:color="auto" w:fill="2BB67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55A3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0885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08855" w:themeFill="accent1" w:themeFillShade="BF"/>
      </w:tcPr>
    </w:tblStylePr>
    <w:tblStylePr w:type="band1Vert">
      <w:tblPr/>
      <w:tcPr>
        <w:tcBorders>
          <w:top w:val="nil"/>
          <w:left w:val="nil"/>
          <w:bottom w:val="nil"/>
          <w:right w:val="nil"/>
          <w:insideH w:val="nil"/>
          <w:insideV w:val="nil"/>
        </w:tcBorders>
        <w:shd w:val="clear" w:color="auto" w:fill="208855" w:themeFill="accent1" w:themeFillShade="BF"/>
      </w:tcPr>
    </w:tblStylePr>
    <w:tblStylePr w:type="band1Horz">
      <w:tblPr/>
      <w:tcPr>
        <w:tcBorders>
          <w:top w:val="nil"/>
          <w:left w:val="nil"/>
          <w:bottom w:val="nil"/>
          <w:right w:val="nil"/>
          <w:insideH w:val="nil"/>
          <w:insideV w:val="nil"/>
        </w:tcBorders>
        <w:shd w:val="clear" w:color="auto" w:fill="208855" w:themeFill="accent1" w:themeFillShade="BF"/>
      </w:tcPr>
    </w:tblStylePr>
  </w:style>
  <w:style w:type="table" w:styleId="DarkList-Accent2">
    <w:name w:val="Dark List Accent 2"/>
    <w:basedOn w:val="TableNormal"/>
    <w:uiPriority w:val="70"/>
    <w:semiHidden/>
    <w:unhideWhenUsed/>
    <w:rsid w:val="003C7715"/>
    <w:pPr>
      <w:spacing w:after="0" w:line="240" w:lineRule="auto"/>
    </w:pPr>
    <w:rPr>
      <w:color w:val="FFFFFF" w:themeColor="background1"/>
    </w:rPr>
    <w:tblPr>
      <w:tblStyleRowBandSize w:val="1"/>
      <w:tblStyleColBandSize w:val="1"/>
    </w:tblPr>
    <w:tcPr>
      <w:shd w:val="clear" w:color="auto" w:fill="93B41A"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859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D8613"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D8613" w:themeFill="accent2" w:themeFillShade="BF"/>
      </w:tcPr>
    </w:tblStylePr>
    <w:tblStylePr w:type="band1Vert">
      <w:tblPr/>
      <w:tcPr>
        <w:tcBorders>
          <w:top w:val="nil"/>
          <w:left w:val="nil"/>
          <w:bottom w:val="nil"/>
          <w:right w:val="nil"/>
          <w:insideH w:val="nil"/>
          <w:insideV w:val="nil"/>
        </w:tcBorders>
        <w:shd w:val="clear" w:color="auto" w:fill="6D8613" w:themeFill="accent2" w:themeFillShade="BF"/>
      </w:tcPr>
    </w:tblStylePr>
    <w:tblStylePr w:type="band1Horz">
      <w:tblPr/>
      <w:tcPr>
        <w:tcBorders>
          <w:top w:val="nil"/>
          <w:left w:val="nil"/>
          <w:bottom w:val="nil"/>
          <w:right w:val="nil"/>
          <w:insideH w:val="nil"/>
          <w:insideV w:val="nil"/>
        </w:tcBorders>
        <w:shd w:val="clear" w:color="auto" w:fill="6D8613" w:themeFill="accent2" w:themeFillShade="BF"/>
      </w:tcPr>
    </w:tblStylePr>
  </w:style>
  <w:style w:type="table" w:styleId="DarkList-Accent3">
    <w:name w:val="Dark List Accent 3"/>
    <w:basedOn w:val="TableNormal"/>
    <w:uiPriority w:val="70"/>
    <w:semiHidden/>
    <w:unhideWhenUsed/>
    <w:rsid w:val="003C7715"/>
    <w:pPr>
      <w:spacing w:after="0" w:line="240" w:lineRule="auto"/>
    </w:pPr>
    <w:rPr>
      <w:color w:val="FFFFFF" w:themeColor="background1"/>
    </w:rPr>
    <w:tblPr>
      <w:tblStyleRowBandSize w:val="1"/>
      <w:tblStyleColBandSize w:val="1"/>
    </w:tblPr>
    <w:tcPr>
      <w:shd w:val="clear" w:color="auto" w:fill="F06A3B"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A2B0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CF411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CF4110" w:themeFill="accent3" w:themeFillShade="BF"/>
      </w:tcPr>
    </w:tblStylePr>
    <w:tblStylePr w:type="band1Vert">
      <w:tblPr/>
      <w:tcPr>
        <w:tcBorders>
          <w:top w:val="nil"/>
          <w:left w:val="nil"/>
          <w:bottom w:val="nil"/>
          <w:right w:val="nil"/>
          <w:insideH w:val="nil"/>
          <w:insideV w:val="nil"/>
        </w:tcBorders>
        <w:shd w:val="clear" w:color="auto" w:fill="CF4110" w:themeFill="accent3" w:themeFillShade="BF"/>
      </w:tcPr>
    </w:tblStylePr>
    <w:tblStylePr w:type="band1Horz">
      <w:tblPr/>
      <w:tcPr>
        <w:tcBorders>
          <w:top w:val="nil"/>
          <w:left w:val="nil"/>
          <w:bottom w:val="nil"/>
          <w:right w:val="nil"/>
          <w:insideH w:val="nil"/>
          <w:insideV w:val="nil"/>
        </w:tcBorders>
        <w:shd w:val="clear" w:color="auto" w:fill="CF4110" w:themeFill="accent3" w:themeFillShade="BF"/>
      </w:tcPr>
    </w:tblStylePr>
  </w:style>
  <w:style w:type="table" w:styleId="DarkList-Accent4">
    <w:name w:val="Dark List Accent 4"/>
    <w:basedOn w:val="TableNormal"/>
    <w:uiPriority w:val="70"/>
    <w:semiHidden/>
    <w:unhideWhenUsed/>
    <w:rsid w:val="003C7715"/>
    <w:pPr>
      <w:spacing w:after="0" w:line="240" w:lineRule="auto"/>
    </w:pPr>
    <w:rPr>
      <w:color w:val="FFFFFF" w:themeColor="background1"/>
    </w:rPr>
    <w:tblPr>
      <w:tblStyleRowBandSize w:val="1"/>
      <w:tblStyleColBandSize w:val="1"/>
    </w:tblPr>
    <w:tcPr>
      <w:shd w:val="clear" w:color="auto" w:fill="9561C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9247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E37A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E37AA" w:themeFill="accent4" w:themeFillShade="BF"/>
      </w:tcPr>
    </w:tblStylePr>
    <w:tblStylePr w:type="band1Vert">
      <w:tblPr/>
      <w:tcPr>
        <w:tcBorders>
          <w:top w:val="nil"/>
          <w:left w:val="nil"/>
          <w:bottom w:val="nil"/>
          <w:right w:val="nil"/>
          <w:insideH w:val="nil"/>
          <w:insideV w:val="nil"/>
        </w:tcBorders>
        <w:shd w:val="clear" w:color="auto" w:fill="6E37AA" w:themeFill="accent4" w:themeFillShade="BF"/>
      </w:tcPr>
    </w:tblStylePr>
    <w:tblStylePr w:type="band1Horz">
      <w:tblPr/>
      <w:tcPr>
        <w:tcBorders>
          <w:top w:val="nil"/>
          <w:left w:val="nil"/>
          <w:bottom w:val="nil"/>
          <w:right w:val="nil"/>
          <w:insideH w:val="nil"/>
          <w:insideV w:val="nil"/>
        </w:tcBorders>
        <w:shd w:val="clear" w:color="auto" w:fill="6E37AA" w:themeFill="accent4" w:themeFillShade="BF"/>
      </w:tcPr>
    </w:tblStylePr>
  </w:style>
  <w:style w:type="table" w:styleId="DarkList-Accent5">
    <w:name w:val="Dark List Accent 5"/>
    <w:basedOn w:val="TableNormal"/>
    <w:uiPriority w:val="70"/>
    <w:semiHidden/>
    <w:unhideWhenUsed/>
    <w:rsid w:val="003C7715"/>
    <w:pPr>
      <w:spacing w:after="0" w:line="240" w:lineRule="auto"/>
    </w:pPr>
    <w:rPr>
      <w:color w:val="FFFFFF" w:themeColor="background1"/>
    </w:rPr>
    <w:tblPr>
      <w:tblStyleRowBandSize w:val="1"/>
      <w:tblStyleColBandSize w:val="1"/>
    </w:tblPr>
    <w:tcPr>
      <w:shd w:val="clear" w:color="auto" w:fill="00AD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8094"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8094" w:themeFill="accent5" w:themeFillShade="BF"/>
      </w:tcPr>
    </w:tblStylePr>
    <w:tblStylePr w:type="band1Vert">
      <w:tblPr/>
      <w:tcPr>
        <w:tcBorders>
          <w:top w:val="nil"/>
          <w:left w:val="nil"/>
          <w:bottom w:val="nil"/>
          <w:right w:val="nil"/>
          <w:insideH w:val="nil"/>
          <w:insideV w:val="nil"/>
        </w:tcBorders>
        <w:shd w:val="clear" w:color="auto" w:fill="008094" w:themeFill="accent5" w:themeFillShade="BF"/>
      </w:tcPr>
    </w:tblStylePr>
    <w:tblStylePr w:type="band1Horz">
      <w:tblPr/>
      <w:tcPr>
        <w:tcBorders>
          <w:top w:val="nil"/>
          <w:left w:val="nil"/>
          <w:bottom w:val="nil"/>
          <w:right w:val="nil"/>
          <w:insideH w:val="nil"/>
          <w:insideV w:val="nil"/>
        </w:tcBorders>
        <w:shd w:val="clear" w:color="auto" w:fill="008094" w:themeFill="accent5" w:themeFillShade="BF"/>
      </w:tcPr>
    </w:tblStylePr>
  </w:style>
  <w:style w:type="table" w:styleId="DarkList-Accent6">
    <w:name w:val="Dark List Accent 6"/>
    <w:basedOn w:val="TableNormal"/>
    <w:uiPriority w:val="70"/>
    <w:semiHidden/>
    <w:unhideWhenUsed/>
    <w:rsid w:val="003C7715"/>
    <w:pPr>
      <w:spacing w:after="0" w:line="240" w:lineRule="auto"/>
    </w:pPr>
    <w:rPr>
      <w:color w:val="FFFFFF" w:themeColor="background1"/>
    </w:rPr>
    <w:tblPr>
      <w:tblStyleRowBandSize w:val="1"/>
      <w:tblStyleColBandSize w:val="1"/>
    </w:tblPr>
    <w:tcPr>
      <w:shd w:val="clear" w:color="auto" w:fill="FD8F0A"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1470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C36B0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C36B01" w:themeFill="accent6" w:themeFillShade="BF"/>
      </w:tcPr>
    </w:tblStylePr>
    <w:tblStylePr w:type="band1Vert">
      <w:tblPr/>
      <w:tcPr>
        <w:tcBorders>
          <w:top w:val="nil"/>
          <w:left w:val="nil"/>
          <w:bottom w:val="nil"/>
          <w:right w:val="nil"/>
          <w:insideH w:val="nil"/>
          <w:insideV w:val="nil"/>
        </w:tcBorders>
        <w:shd w:val="clear" w:color="auto" w:fill="C36B01" w:themeFill="accent6" w:themeFillShade="BF"/>
      </w:tcPr>
    </w:tblStylePr>
    <w:tblStylePr w:type="band1Horz">
      <w:tblPr/>
      <w:tcPr>
        <w:tcBorders>
          <w:top w:val="nil"/>
          <w:left w:val="nil"/>
          <w:bottom w:val="nil"/>
          <w:right w:val="nil"/>
          <w:insideH w:val="nil"/>
          <w:insideV w:val="nil"/>
        </w:tcBorders>
        <w:shd w:val="clear" w:color="auto" w:fill="C36B01" w:themeFill="accent6" w:themeFillShade="BF"/>
      </w:tcPr>
    </w:tblStylePr>
  </w:style>
  <w:style w:type="paragraph" w:styleId="DocumentMap">
    <w:name w:val="Document Map"/>
    <w:basedOn w:val="Normal"/>
    <w:link w:val="DocumentMapChar"/>
    <w:uiPriority w:val="99"/>
    <w:semiHidden/>
    <w:unhideWhenUsed/>
    <w:rsid w:val="003C7715"/>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3C7715"/>
    <w:rPr>
      <w:rFonts w:ascii="Segoe UI" w:hAnsi="Segoe UI" w:cs="Segoe UI"/>
      <w:color w:val="1E1E1E"/>
      <w:sz w:val="16"/>
      <w:szCs w:val="16"/>
    </w:rPr>
  </w:style>
  <w:style w:type="table" w:styleId="GridTable1Light">
    <w:name w:val="Grid Table 1 Light"/>
    <w:basedOn w:val="TableNormal"/>
    <w:uiPriority w:val="46"/>
    <w:rsid w:val="003C771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3C7715"/>
    <w:pPr>
      <w:spacing w:after="0" w:line="240" w:lineRule="auto"/>
    </w:pPr>
    <w:tblPr>
      <w:tblStyleRowBandSize w:val="1"/>
      <w:tblStyleColBandSize w:val="1"/>
      <w:tblBorders>
        <w:top w:val="single" w:sz="4" w:space="0" w:color="A2E9C7" w:themeColor="accent1" w:themeTint="66"/>
        <w:left w:val="single" w:sz="4" w:space="0" w:color="A2E9C7" w:themeColor="accent1" w:themeTint="66"/>
        <w:bottom w:val="single" w:sz="4" w:space="0" w:color="A2E9C7" w:themeColor="accent1" w:themeTint="66"/>
        <w:right w:val="single" w:sz="4" w:space="0" w:color="A2E9C7" w:themeColor="accent1" w:themeTint="66"/>
        <w:insideH w:val="single" w:sz="4" w:space="0" w:color="A2E9C7" w:themeColor="accent1" w:themeTint="66"/>
        <w:insideV w:val="single" w:sz="4" w:space="0" w:color="A2E9C7" w:themeColor="accent1" w:themeTint="66"/>
      </w:tblBorders>
    </w:tblPr>
    <w:tblStylePr w:type="firstRow">
      <w:rPr>
        <w:b/>
        <w:bCs/>
      </w:rPr>
      <w:tblPr/>
      <w:tcPr>
        <w:tcBorders>
          <w:bottom w:val="single" w:sz="12" w:space="0" w:color="74DEAB" w:themeColor="accent1" w:themeTint="99"/>
        </w:tcBorders>
      </w:tcPr>
    </w:tblStylePr>
    <w:tblStylePr w:type="lastRow">
      <w:rPr>
        <w:b/>
        <w:bCs/>
      </w:rPr>
      <w:tblPr/>
      <w:tcPr>
        <w:tcBorders>
          <w:top w:val="double" w:sz="2" w:space="0" w:color="74DEA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3C7715"/>
    <w:pPr>
      <w:spacing w:after="0" w:line="240" w:lineRule="auto"/>
    </w:pPr>
    <w:tblPr>
      <w:tblStyleRowBandSize w:val="1"/>
      <w:tblStyleColBandSize w:val="1"/>
      <w:tblBorders>
        <w:top w:val="single" w:sz="4" w:space="0" w:color="DCEF94" w:themeColor="accent2" w:themeTint="66"/>
        <w:left w:val="single" w:sz="4" w:space="0" w:color="DCEF94" w:themeColor="accent2" w:themeTint="66"/>
        <w:bottom w:val="single" w:sz="4" w:space="0" w:color="DCEF94" w:themeColor="accent2" w:themeTint="66"/>
        <w:right w:val="single" w:sz="4" w:space="0" w:color="DCEF94" w:themeColor="accent2" w:themeTint="66"/>
        <w:insideH w:val="single" w:sz="4" w:space="0" w:color="DCEF94" w:themeColor="accent2" w:themeTint="66"/>
        <w:insideV w:val="single" w:sz="4" w:space="0" w:color="DCEF94" w:themeColor="accent2" w:themeTint="66"/>
      </w:tblBorders>
    </w:tblPr>
    <w:tblStylePr w:type="firstRow">
      <w:rPr>
        <w:b/>
        <w:bCs/>
      </w:rPr>
      <w:tblPr/>
      <w:tcPr>
        <w:tcBorders>
          <w:bottom w:val="single" w:sz="12" w:space="0" w:color="CAE85F" w:themeColor="accent2" w:themeTint="99"/>
        </w:tcBorders>
      </w:tcPr>
    </w:tblStylePr>
    <w:tblStylePr w:type="lastRow">
      <w:rPr>
        <w:b/>
        <w:bCs/>
      </w:rPr>
      <w:tblPr/>
      <w:tcPr>
        <w:tcBorders>
          <w:top w:val="double" w:sz="2" w:space="0" w:color="CAE85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3C7715"/>
    <w:pPr>
      <w:spacing w:after="0" w:line="240" w:lineRule="auto"/>
    </w:pPr>
    <w:tblPr>
      <w:tblStyleRowBandSize w:val="1"/>
      <w:tblStyleColBandSize w:val="1"/>
      <w:tblBorders>
        <w:top w:val="single" w:sz="4" w:space="0" w:color="F9C3B0" w:themeColor="accent3" w:themeTint="66"/>
        <w:left w:val="single" w:sz="4" w:space="0" w:color="F9C3B0" w:themeColor="accent3" w:themeTint="66"/>
        <w:bottom w:val="single" w:sz="4" w:space="0" w:color="F9C3B0" w:themeColor="accent3" w:themeTint="66"/>
        <w:right w:val="single" w:sz="4" w:space="0" w:color="F9C3B0" w:themeColor="accent3" w:themeTint="66"/>
        <w:insideH w:val="single" w:sz="4" w:space="0" w:color="F9C3B0" w:themeColor="accent3" w:themeTint="66"/>
        <w:insideV w:val="single" w:sz="4" w:space="0" w:color="F9C3B0" w:themeColor="accent3" w:themeTint="66"/>
      </w:tblBorders>
    </w:tblPr>
    <w:tblStylePr w:type="firstRow">
      <w:rPr>
        <w:b/>
        <w:bCs/>
      </w:rPr>
      <w:tblPr/>
      <w:tcPr>
        <w:tcBorders>
          <w:bottom w:val="single" w:sz="12" w:space="0" w:color="F6A589" w:themeColor="accent3" w:themeTint="99"/>
        </w:tcBorders>
      </w:tcPr>
    </w:tblStylePr>
    <w:tblStylePr w:type="lastRow">
      <w:rPr>
        <w:b/>
        <w:bCs/>
      </w:rPr>
      <w:tblPr/>
      <w:tcPr>
        <w:tcBorders>
          <w:top w:val="double" w:sz="2" w:space="0" w:color="F6A58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3C7715"/>
    <w:pPr>
      <w:spacing w:after="0" w:line="240" w:lineRule="auto"/>
    </w:pPr>
    <w:tblPr>
      <w:tblStyleRowBandSize w:val="1"/>
      <w:tblStyleColBandSize w:val="1"/>
      <w:tblBorders>
        <w:top w:val="single" w:sz="4" w:space="0" w:color="D4BFEA" w:themeColor="accent4" w:themeTint="66"/>
        <w:left w:val="single" w:sz="4" w:space="0" w:color="D4BFEA" w:themeColor="accent4" w:themeTint="66"/>
        <w:bottom w:val="single" w:sz="4" w:space="0" w:color="D4BFEA" w:themeColor="accent4" w:themeTint="66"/>
        <w:right w:val="single" w:sz="4" w:space="0" w:color="D4BFEA" w:themeColor="accent4" w:themeTint="66"/>
        <w:insideH w:val="single" w:sz="4" w:space="0" w:color="D4BFEA" w:themeColor="accent4" w:themeTint="66"/>
        <w:insideV w:val="single" w:sz="4" w:space="0" w:color="D4BFEA" w:themeColor="accent4" w:themeTint="66"/>
      </w:tblBorders>
    </w:tblPr>
    <w:tblStylePr w:type="firstRow">
      <w:rPr>
        <w:b/>
        <w:bCs/>
      </w:rPr>
      <w:tblPr/>
      <w:tcPr>
        <w:tcBorders>
          <w:bottom w:val="single" w:sz="12" w:space="0" w:color="BFA0E0" w:themeColor="accent4" w:themeTint="99"/>
        </w:tcBorders>
      </w:tcPr>
    </w:tblStylePr>
    <w:tblStylePr w:type="lastRow">
      <w:rPr>
        <w:b/>
        <w:bCs/>
      </w:rPr>
      <w:tblPr/>
      <w:tcPr>
        <w:tcBorders>
          <w:top w:val="double" w:sz="2" w:space="0" w:color="BFA0E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3C7715"/>
    <w:pPr>
      <w:spacing w:after="0" w:line="240" w:lineRule="auto"/>
    </w:pPr>
    <w:tblPr>
      <w:tblStyleRowBandSize w:val="1"/>
      <w:tblStyleColBandSize w:val="1"/>
      <w:tblBorders>
        <w:top w:val="single" w:sz="4" w:space="0" w:color="82EEFF" w:themeColor="accent5" w:themeTint="66"/>
        <w:left w:val="single" w:sz="4" w:space="0" w:color="82EEFF" w:themeColor="accent5" w:themeTint="66"/>
        <w:bottom w:val="single" w:sz="4" w:space="0" w:color="82EEFF" w:themeColor="accent5" w:themeTint="66"/>
        <w:right w:val="single" w:sz="4" w:space="0" w:color="82EEFF" w:themeColor="accent5" w:themeTint="66"/>
        <w:insideH w:val="single" w:sz="4" w:space="0" w:color="82EEFF" w:themeColor="accent5" w:themeTint="66"/>
        <w:insideV w:val="single" w:sz="4" w:space="0" w:color="82EEFF" w:themeColor="accent5" w:themeTint="66"/>
      </w:tblBorders>
    </w:tblPr>
    <w:tblStylePr w:type="firstRow">
      <w:rPr>
        <w:b/>
        <w:bCs/>
      </w:rPr>
      <w:tblPr/>
      <w:tcPr>
        <w:tcBorders>
          <w:bottom w:val="single" w:sz="12" w:space="0" w:color="43E6FF" w:themeColor="accent5" w:themeTint="99"/>
        </w:tcBorders>
      </w:tcPr>
    </w:tblStylePr>
    <w:tblStylePr w:type="lastRow">
      <w:rPr>
        <w:b/>
        <w:bCs/>
      </w:rPr>
      <w:tblPr/>
      <w:tcPr>
        <w:tcBorders>
          <w:top w:val="double" w:sz="2" w:space="0" w:color="43E6F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3C7715"/>
    <w:pPr>
      <w:spacing w:after="0" w:line="240" w:lineRule="auto"/>
    </w:pPr>
    <w:tblPr>
      <w:tblStyleRowBandSize w:val="1"/>
      <w:tblStyleColBandSize w:val="1"/>
      <w:tblBorders>
        <w:top w:val="single" w:sz="4" w:space="0" w:color="FED19C" w:themeColor="accent6" w:themeTint="66"/>
        <w:left w:val="single" w:sz="4" w:space="0" w:color="FED19C" w:themeColor="accent6" w:themeTint="66"/>
        <w:bottom w:val="single" w:sz="4" w:space="0" w:color="FED19C" w:themeColor="accent6" w:themeTint="66"/>
        <w:right w:val="single" w:sz="4" w:space="0" w:color="FED19C" w:themeColor="accent6" w:themeTint="66"/>
        <w:insideH w:val="single" w:sz="4" w:space="0" w:color="FED19C" w:themeColor="accent6" w:themeTint="66"/>
        <w:insideV w:val="single" w:sz="4" w:space="0" w:color="FED19C" w:themeColor="accent6" w:themeTint="66"/>
      </w:tblBorders>
    </w:tblPr>
    <w:tblStylePr w:type="firstRow">
      <w:rPr>
        <w:b/>
        <w:bCs/>
      </w:rPr>
      <w:tblPr/>
      <w:tcPr>
        <w:tcBorders>
          <w:bottom w:val="single" w:sz="12" w:space="0" w:color="FDBB6B" w:themeColor="accent6" w:themeTint="99"/>
        </w:tcBorders>
      </w:tcPr>
    </w:tblStylePr>
    <w:tblStylePr w:type="lastRow">
      <w:rPr>
        <w:b/>
        <w:bCs/>
      </w:rPr>
      <w:tblPr/>
      <w:tcPr>
        <w:tcBorders>
          <w:top w:val="double" w:sz="2" w:space="0" w:color="FDBB6B"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3C771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3C7715"/>
    <w:pPr>
      <w:spacing w:after="0" w:line="240" w:lineRule="auto"/>
    </w:pPr>
    <w:tblPr>
      <w:tblStyleRowBandSize w:val="1"/>
      <w:tblStyleColBandSize w:val="1"/>
      <w:tblBorders>
        <w:top w:val="single" w:sz="2" w:space="0" w:color="74DEAB" w:themeColor="accent1" w:themeTint="99"/>
        <w:bottom w:val="single" w:sz="2" w:space="0" w:color="74DEAB" w:themeColor="accent1" w:themeTint="99"/>
        <w:insideH w:val="single" w:sz="2" w:space="0" w:color="74DEAB" w:themeColor="accent1" w:themeTint="99"/>
        <w:insideV w:val="single" w:sz="2" w:space="0" w:color="74DEAB" w:themeColor="accent1" w:themeTint="99"/>
      </w:tblBorders>
    </w:tblPr>
    <w:tblStylePr w:type="firstRow">
      <w:rPr>
        <w:b/>
        <w:bCs/>
      </w:rPr>
      <w:tblPr/>
      <w:tcPr>
        <w:tcBorders>
          <w:top w:val="nil"/>
          <w:bottom w:val="single" w:sz="12" w:space="0" w:color="74DEAB" w:themeColor="accent1" w:themeTint="99"/>
          <w:insideH w:val="nil"/>
          <w:insideV w:val="nil"/>
        </w:tcBorders>
        <w:shd w:val="clear" w:color="auto" w:fill="FFFFFF" w:themeFill="background1"/>
      </w:tcPr>
    </w:tblStylePr>
    <w:tblStylePr w:type="lastRow">
      <w:rPr>
        <w:b/>
        <w:bCs/>
      </w:rPr>
      <w:tblPr/>
      <w:tcPr>
        <w:tcBorders>
          <w:top w:val="double" w:sz="2" w:space="0" w:color="74DEA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GridTable2-Accent2">
    <w:name w:val="Grid Table 2 Accent 2"/>
    <w:basedOn w:val="TableNormal"/>
    <w:uiPriority w:val="47"/>
    <w:rsid w:val="003C7715"/>
    <w:pPr>
      <w:spacing w:after="0" w:line="240" w:lineRule="auto"/>
    </w:pPr>
    <w:tblPr>
      <w:tblStyleRowBandSize w:val="1"/>
      <w:tblStyleColBandSize w:val="1"/>
      <w:tblBorders>
        <w:top w:val="single" w:sz="2" w:space="0" w:color="CAE85F" w:themeColor="accent2" w:themeTint="99"/>
        <w:bottom w:val="single" w:sz="2" w:space="0" w:color="CAE85F" w:themeColor="accent2" w:themeTint="99"/>
        <w:insideH w:val="single" w:sz="2" w:space="0" w:color="CAE85F" w:themeColor="accent2" w:themeTint="99"/>
        <w:insideV w:val="single" w:sz="2" w:space="0" w:color="CAE85F" w:themeColor="accent2" w:themeTint="99"/>
      </w:tblBorders>
    </w:tblPr>
    <w:tblStylePr w:type="firstRow">
      <w:rPr>
        <w:b/>
        <w:bCs/>
      </w:rPr>
      <w:tblPr/>
      <w:tcPr>
        <w:tcBorders>
          <w:top w:val="nil"/>
          <w:bottom w:val="single" w:sz="12" w:space="0" w:color="CAE85F" w:themeColor="accent2" w:themeTint="99"/>
          <w:insideH w:val="nil"/>
          <w:insideV w:val="nil"/>
        </w:tcBorders>
        <w:shd w:val="clear" w:color="auto" w:fill="FFFFFF" w:themeFill="background1"/>
      </w:tcPr>
    </w:tblStylePr>
    <w:tblStylePr w:type="lastRow">
      <w:rPr>
        <w:b/>
        <w:bCs/>
      </w:rPr>
      <w:tblPr/>
      <w:tcPr>
        <w:tcBorders>
          <w:top w:val="double" w:sz="2" w:space="0" w:color="CAE85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GridTable2-Accent3">
    <w:name w:val="Grid Table 2 Accent 3"/>
    <w:basedOn w:val="TableNormal"/>
    <w:uiPriority w:val="47"/>
    <w:rsid w:val="003C7715"/>
    <w:pPr>
      <w:spacing w:after="0" w:line="240" w:lineRule="auto"/>
    </w:pPr>
    <w:tblPr>
      <w:tblStyleRowBandSize w:val="1"/>
      <w:tblStyleColBandSize w:val="1"/>
      <w:tblBorders>
        <w:top w:val="single" w:sz="2" w:space="0" w:color="F6A589" w:themeColor="accent3" w:themeTint="99"/>
        <w:bottom w:val="single" w:sz="2" w:space="0" w:color="F6A589" w:themeColor="accent3" w:themeTint="99"/>
        <w:insideH w:val="single" w:sz="2" w:space="0" w:color="F6A589" w:themeColor="accent3" w:themeTint="99"/>
        <w:insideV w:val="single" w:sz="2" w:space="0" w:color="F6A589" w:themeColor="accent3" w:themeTint="99"/>
      </w:tblBorders>
    </w:tblPr>
    <w:tblStylePr w:type="firstRow">
      <w:rPr>
        <w:b/>
        <w:bCs/>
      </w:rPr>
      <w:tblPr/>
      <w:tcPr>
        <w:tcBorders>
          <w:top w:val="nil"/>
          <w:bottom w:val="single" w:sz="12" w:space="0" w:color="F6A589" w:themeColor="accent3" w:themeTint="99"/>
          <w:insideH w:val="nil"/>
          <w:insideV w:val="nil"/>
        </w:tcBorders>
        <w:shd w:val="clear" w:color="auto" w:fill="FFFFFF" w:themeFill="background1"/>
      </w:tcPr>
    </w:tblStylePr>
    <w:tblStylePr w:type="lastRow">
      <w:rPr>
        <w:b/>
        <w:bCs/>
      </w:rPr>
      <w:tblPr/>
      <w:tcPr>
        <w:tcBorders>
          <w:top w:val="double" w:sz="2" w:space="0" w:color="F6A58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GridTable2-Accent4">
    <w:name w:val="Grid Table 2 Accent 4"/>
    <w:basedOn w:val="TableNormal"/>
    <w:uiPriority w:val="47"/>
    <w:rsid w:val="003C7715"/>
    <w:pPr>
      <w:spacing w:after="0" w:line="240" w:lineRule="auto"/>
    </w:pPr>
    <w:tblPr>
      <w:tblStyleRowBandSize w:val="1"/>
      <w:tblStyleColBandSize w:val="1"/>
      <w:tblBorders>
        <w:top w:val="single" w:sz="2" w:space="0" w:color="BFA0E0" w:themeColor="accent4" w:themeTint="99"/>
        <w:bottom w:val="single" w:sz="2" w:space="0" w:color="BFA0E0" w:themeColor="accent4" w:themeTint="99"/>
        <w:insideH w:val="single" w:sz="2" w:space="0" w:color="BFA0E0" w:themeColor="accent4" w:themeTint="99"/>
        <w:insideV w:val="single" w:sz="2" w:space="0" w:color="BFA0E0" w:themeColor="accent4" w:themeTint="99"/>
      </w:tblBorders>
    </w:tblPr>
    <w:tblStylePr w:type="firstRow">
      <w:rPr>
        <w:b/>
        <w:bCs/>
      </w:rPr>
      <w:tblPr/>
      <w:tcPr>
        <w:tcBorders>
          <w:top w:val="nil"/>
          <w:bottom w:val="single" w:sz="12" w:space="0" w:color="BFA0E0" w:themeColor="accent4" w:themeTint="99"/>
          <w:insideH w:val="nil"/>
          <w:insideV w:val="nil"/>
        </w:tcBorders>
        <w:shd w:val="clear" w:color="auto" w:fill="FFFFFF" w:themeFill="background1"/>
      </w:tcPr>
    </w:tblStylePr>
    <w:tblStylePr w:type="lastRow">
      <w:rPr>
        <w:b/>
        <w:bCs/>
      </w:rPr>
      <w:tblPr/>
      <w:tcPr>
        <w:tcBorders>
          <w:top w:val="double" w:sz="2" w:space="0" w:color="BFA0E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GridTable2-Accent5">
    <w:name w:val="Grid Table 2 Accent 5"/>
    <w:basedOn w:val="TableNormal"/>
    <w:uiPriority w:val="47"/>
    <w:rsid w:val="003C7715"/>
    <w:pPr>
      <w:spacing w:after="0" w:line="240" w:lineRule="auto"/>
    </w:pPr>
    <w:tblPr>
      <w:tblStyleRowBandSize w:val="1"/>
      <w:tblStyleColBandSize w:val="1"/>
      <w:tblBorders>
        <w:top w:val="single" w:sz="2" w:space="0" w:color="43E6FF" w:themeColor="accent5" w:themeTint="99"/>
        <w:bottom w:val="single" w:sz="2" w:space="0" w:color="43E6FF" w:themeColor="accent5" w:themeTint="99"/>
        <w:insideH w:val="single" w:sz="2" w:space="0" w:color="43E6FF" w:themeColor="accent5" w:themeTint="99"/>
        <w:insideV w:val="single" w:sz="2" w:space="0" w:color="43E6FF" w:themeColor="accent5" w:themeTint="99"/>
      </w:tblBorders>
    </w:tblPr>
    <w:tblStylePr w:type="firstRow">
      <w:rPr>
        <w:b/>
        <w:bCs/>
      </w:rPr>
      <w:tblPr/>
      <w:tcPr>
        <w:tcBorders>
          <w:top w:val="nil"/>
          <w:bottom w:val="single" w:sz="12" w:space="0" w:color="43E6FF" w:themeColor="accent5" w:themeTint="99"/>
          <w:insideH w:val="nil"/>
          <w:insideV w:val="nil"/>
        </w:tcBorders>
        <w:shd w:val="clear" w:color="auto" w:fill="FFFFFF" w:themeFill="background1"/>
      </w:tcPr>
    </w:tblStylePr>
    <w:tblStylePr w:type="lastRow">
      <w:rPr>
        <w:b/>
        <w:bCs/>
      </w:rPr>
      <w:tblPr/>
      <w:tcPr>
        <w:tcBorders>
          <w:top w:val="double" w:sz="2" w:space="0" w:color="43E6F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GridTable2-Accent6">
    <w:name w:val="Grid Table 2 Accent 6"/>
    <w:basedOn w:val="TableNormal"/>
    <w:uiPriority w:val="47"/>
    <w:rsid w:val="003C7715"/>
    <w:pPr>
      <w:spacing w:after="0" w:line="240" w:lineRule="auto"/>
    </w:pPr>
    <w:tblPr>
      <w:tblStyleRowBandSize w:val="1"/>
      <w:tblStyleColBandSize w:val="1"/>
      <w:tblBorders>
        <w:top w:val="single" w:sz="2" w:space="0" w:color="FDBB6B" w:themeColor="accent6" w:themeTint="99"/>
        <w:bottom w:val="single" w:sz="2" w:space="0" w:color="FDBB6B" w:themeColor="accent6" w:themeTint="99"/>
        <w:insideH w:val="single" w:sz="2" w:space="0" w:color="FDBB6B" w:themeColor="accent6" w:themeTint="99"/>
        <w:insideV w:val="single" w:sz="2" w:space="0" w:color="FDBB6B" w:themeColor="accent6" w:themeTint="99"/>
      </w:tblBorders>
    </w:tblPr>
    <w:tblStylePr w:type="firstRow">
      <w:rPr>
        <w:b/>
        <w:bCs/>
      </w:rPr>
      <w:tblPr/>
      <w:tcPr>
        <w:tcBorders>
          <w:top w:val="nil"/>
          <w:bottom w:val="single" w:sz="12" w:space="0" w:color="FDBB6B" w:themeColor="accent6" w:themeTint="99"/>
          <w:insideH w:val="nil"/>
          <w:insideV w:val="nil"/>
        </w:tcBorders>
        <w:shd w:val="clear" w:color="auto" w:fill="FFFFFF" w:themeFill="background1"/>
      </w:tcPr>
    </w:tblStylePr>
    <w:tblStylePr w:type="lastRow">
      <w:rPr>
        <w:b/>
        <w:bCs/>
      </w:rPr>
      <w:tblPr/>
      <w:tcPr>
        <w:tcBorders>
          <w:top w:val="double" w:sz="2" w:space="0" w:color="FDBB6B"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GridTable3">
    <w:name w:val="Grid Table 3"/>
    <w:basedOn w:val="TableNormal"/>
    <w:uiPriority w:val="48"/>
    <w:rsid w:val="003C771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3C7715"/>
    <w:pPr>
      <w:spacing w:after="0" w:line="240" w:lineRule="auto"/>
    </w:pPr>
    <w:tblPr>
      <w:tblStyleRowBandSize w:val="1"/>
      <w:tblStyleColBandSize w:val="1"/>
      <w:tblBorders>
        <w:top w:val="single" w:sz="4" w:space="0" w:color="74DEAB" w:themeColor="accent1" w:themeTint="99"/>
        <w:left w:val="single" w:sz="4" w:space="0" w:color="74DEAB" w:themeColor="accent1" w:themeTint="99"/>
        <w:bottom w:val="single" w:sz="4" w:space="0" w:color="74DEAB" w:themeColor="accent1" w:themeTint="99"/>
        <w:right w:val="single" w:sz="4" w:space="0" w:color="74DEAB" w:themeColor="accent1" w:themeTint="99"/>
        <w:insideH w:val="single" w:sz="4" w:space="0" w:color="74DEAB" w:themeColor="accent1" w:themeTint="99"/>
        <w:insideV w:val="single" w:sz="4" w:space="0" w:color="74DEA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F4E3" w:themeFill="accent1" w:themeFillTint="33"/>
      </w:tcPr>
    </w:tblStylePr>
    <w:tblStylePr w:type="band1Horz">
      <w:tblPr/>
      <w:tcPr>
        <w:shd w:val="clear" w:color="auto" w:fill="D0F4E3" w:themeFill="accent1" w:themeFillTint="33"/>
      </w:tcPr>
    </w:tblStylePr>
    <w:tblStylePr w:type="neCell">
      <w:tblPr/>
      <w:tcPr>
        <w:tcBorders>
          <w:bottom w:val="single" w:sz="4" w:space="0" w:color="74DEAB" w:themeColor="accent1" w:themeTint="99"/>
        </w:tcBorders>
      </w:tcPr>
    </w:tblStylePr>
    <w:tblStylePr w:type="nwCell">
      <w:tblPr/>
      <w:tcPr>
        <w:tcBorders>
          <w:bottom w:val="single" w:sz="4" w:space="0" w:color="74DEAB" w:themeColor="accent1" w:themeTint="99"/>
        </w:tcBorders>
      </w:tcPr>
    </w:tblStylePr>
    <w:tblStylePr w:type="seCell">
      <w:tblPr/>
      <w:tcPr>
        <w:tcBorders>
          <w:top w:val="single" w:sz="4" w:space="0" w:color="74DEAB" w:themeColor="accent1" w:themeTint="99"/>
        </w:tcBorders>
      </w:tcPr>
    </w:tblStylePr>
    <w:tblStylePr w:type="swCell">
      <w:tblPr/>
      <w:tcPr>
        <w:tcBorders>
          <w:top w:val="single" w:sz="4" w:space="0" w:color="74DEAB" w:themeColor="accent1" w:themeTint="99"/>
        </w:tcBorders>
      </w:tcPr>
    </w:tblStylePr>
  </w:style>
  <w:style w:type="table" w:styleId="GridTable3-Accent2">
    <w:name w:val="Grid Table 3 Accent 2"/>
    <w:basedOn w:val="TableNormal"/>
    <w:uiPriority w:val="48"/>
    <w:rsid w:val="003C7715"/>
    <w:pPr>
      <w:spacing w:after="0" w:line="240" w:lineRule="auto"/>
    </w:pPr>
    <w:tblPr>
      <w:tblStyleRowBandSize w:val="1"/>
      <w:tblStyleColBandSize w:val="1"/>
      <w:tblBorders>
        <w:top w:val="single" w:sz="4" w:space="0" w:color="CAE85F" w:themeColor="accent2" w:themeTint="99"/>
        <w:left w:val="single" w:sz="4" w:space="0" w:color="CAE85F" w:themeColor="accent2" w:themeTint="99"/>
        <w:bottom w:val="single" w:sz="4" w:space="0" w:color="CAE85F" w:themeColor="accent2" w:themeTint="99"/>
        <w:right w:val="single" w:sz="4" w:space="0" w:color="CAE85F" w:themeColor="accent2" w:themeTint="99"/>
        <w:insideH w:val="single" w:sz="4" w:space="0" w:color="CAE85F" w:themeColor="accent2" w:themeTint="99"/>
        <w:insideV w:val="single" w:sz="4" w:space="0" w:color="CAE85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7C9" w:themeFill="accent2" w:themeFillTint="33"/>
      </w:tcPr>
    </w:tblStylePr>
    <w:tblStylePr w:type="band1Horz">
      <w:tblPr/>
      <w:tcPr>
        <w:shd w:val="clear" w:color="auto" w:fill="EDF7C9" w:themeFill="accent2" w:themeFillTint="33"/>
      </w:tcPr>
    </w:tblStylePr>
    <w:tblStylePr w:type="neCell">
      <w:tblPr/>
      <w:tcPr>
        <w:tcBorders>
          <w:bottom w:val="single" w:sz="4" w:space="0" w:color="CAE85F" w:themeColor="accent2" w:themeTint="99"/>
        </w:tcBorders>
      </w:tcPr>
    </w:tblStylePr>
    <w:tblStylePr w:type="nwCell">
      <w:tblPr/>
      <w:tcPr>
        <w:tcBorders>
          <w:bottom w:val="single" w:sz="4" w:space="0" w:color="CAE85F" w:themeColor="accent2" w:themeTint="99"/>
        </w:tcBorders>
      </w:tcPr>
    </w:tblStylePr>
    <w:tblStylePr w:type="seCell">
      <w:tblPr/>
      <w:tcPr>
        <w:tcBorders>
          <w:top w:val="single" w:sz="4" w:space="0" w:color="CAE85F" w:themeColor="accent2" w:themeTint="99"/>
        </w:tcBorders>
      </w:tcPr>
    </w:tblStylePr>
    <w:tblStylePr w:type="swCell">
      <w:tblPr/>
      <w:tcPr>
        <w:tcBorders>
          <w:top w:val="single" w:sz="4" w:space="0" w:color="CAE85F" w:themeColor="accent2" w:themeTint="99"/>
        </w:tcBorders>
      </w:tcPr>
    </w:tblStylePr>
  </w:style>
  <w:style w:type="table" w:styleId="GridTable3-Accent3">
    <w:name w:val="Grid Table 3 Accent 3"/>
    <w:basedOn w:val="TableNormal"/>
    <w:uiPriority w:val="48"/>
    <w:rsid w:val="003C7715"/>
    <w:pPr>
      <w:spacing w:after="0" w:line="240" w:lineRule="auto"/>
    </w:pPr>
    <w:tblPr>
      <w:tblStyleRowBandSize w:val="1"/>
      <w:tblStyleColBandSize w:val="1"/>
      <w:tblBorders>
        <w:top w:val="single" w:sz="4" w:space="0" w:color="F6A589" w:themeColor="accent3" w:themeTint="99"/>
        <w:left w:val="single" w:sz="4" w:space="0" w:color="F6A589" w:themeColor="accent3" w:themeTint="99"/>
        <w:bottom w:val="single" w:sz="4" w:space="0" w:color="F6A589" w:themeColor="accent3" w:themeTint="99"/>
        <w:right w:val="single" w:sz="4" w:space="0" w:color="F6A589" w:themeColor="accent3" w:themeTint="99"/>
        <w:insideH w:val="single" w:sz="4" w:space="0" w:color="F6A589" w:themeColor="accent3" w:themeTint="99"/>
        <w:insideV w:val="single" w:sz="4" w:space="0" w:color="F6A58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1D7" w:themeFill="accent3" w:themeFillTint="33"/>
      </w:tcPr>
    </w:tblStylePr>
    <w:tblStylePr w:type="band1Horz">
      <w:tblPr/>
      <w:tcPr>
        <w:shd w:val="clear" w:color="auto" w:fill="FCE1D7" w:themeFill="accent3" w:themeFillTint="33"/>
      </w:tcPr>
    </w:tblStylePr>
    <w:tblStylePr w:type="neCell">
      <w:tblPr/>
      <w:tcPr>
        <w:tcBorders>
          <w:bottom w:val="single" w:sz="4" w:space="0" w:color="F6A589" w:themeColor="accent3" w:themeTint="99"/>
        </w:tcBorders>
      </w:tcPr>
    </w:tblStylePr>
    <w:tblStylePr w:type="nwCell">
      <w:tblPr/>
      <w:tcPr>
        <w:tcBorders>
          <w:bottom w:val="single" w:sz="4" w:space="0" w:color="F6A589" w:themeColor="accent3" w:themeTint="99"/>
        </w:tcBorders>
      </w:tcPr>
    </w:tblStylePr>
    <w:tblStylePr w:type="seCell">
      <w:tblPr/>
      <w:tcPr>
        <w:tcBorders>
          <w:top w:val="single" w:sz="4" w:space="0" w:color="F6A589" w:themeColor="accent3" w:themeTint="99"/>
        </w:tcBorders>
      </w:tcPr>
    </w:tblStylePr>
    <w:tblStylePr w:type="swCell">
      <w:tblPr/>
      <w:tcPr>
        <w:tcBorders>
          <w:top w:val="single" w:sz="4" w:space="0" w:color="F6A589" w:themeColor="accent3" w:themeTint="99"/>
        </w:tcBorders>
      </w:tcPr>
    </w:tblStylePr>
  </w:style>
  <w:style w:type="table" w:styleId="GridTable3-Accent4">
    <w:name w:val="Grid Table 3 Accent 4"/>
    <w:basedOn w:val="TableNormal"/>
    <w:uiPriority w:val="48"/>
    <w:rsid w:val="003C7715"/>
    <w:pPr>
      <w:spacing w:after="0" w:line="240" w:lineRule="auto"/>
    </w:pPr>
    <w:tblPr>
      <w:tblStyleRowBandSize w:val="1"/>
      <w:tblStyleColBandSize w:val="1"/>
      <w:tblBorders>
        <w:top w:val="single" w:sz="4" w:space="0" w:color="BFA0E0" w:themeColor="accent4" w:themeTint="99"/>
        <w:left w:val="single" w:sz="4" w:space="0" w:color="BFA0E0" w:themeColor="accent4" w:themeTint="99"/>
        <w:bottom w:val="single" w:sz="4" w:space="0" w:color="BFA0E0" w:themeColor="accent4" w:themeTint="99"/>
        <w:right w:val="single" w:sz="4" w:space="0" w:color="BFA0E0" w:themeColor="accent4" w:themeTint="99"/>
        <w:insideH w:val="single" w:sz="4" w:space="0" w:color="BFA0E0" w:themeColor="accent4" w:themeTint="99"/>
        <w:insideV w:val="single" w:sz="4" w:space="0" w:color="BFA0E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DFF4" w:themeFill="accent4" w:themeFillTint="33"/>
      </w:tcPr>
    </w:tblStylePr>
    <w:tblStylePr w:type="band1Horz">
      <w:tblPr/>
      <w:tcPr>
        <w:shd w:val="clear" w:color="auto" w:fill="E9DFF4" w:themeFill="accent4" w:themeFillTint="33"/>
      </w:tcPr>
    </w:tblStylePr>
    <w:tblStylePr w:type="neCell">
      <w:tblPr/>
      <w:tcPr>
        <w:tcBorders>
          <w:bottom w:val="single" w:sz="4" w:space="0" w:color="BFA0E0" w:themeColor="accent4" w:themeTint="99"/>
        </w:tcBorders>
      </w:tcPr>
    </w:tblStylePr>
    <w:tblStylePr w:type="nwCell">
      <w:tblPr/>
      <w:tcPr>
        <w:tcBorders>
          <w:bottom w:val="single" w:sz="4" w:space="0" w:color="BFA0E0" w:themeColor="accent4" w:themeTint="99"/>
        </w:tcBorders>
      </w:tcPr>
    </w:tblStylePr>
    <w:tblStylePr w:type="seCell">
      <w:tblPr/>
      <w:tcPr>
        <w:tcBorders>
          <w:top w:val="single" w:sz="4" w:space="0" w:color="BFA0E0" w:themeColor="accent4" w:themeTint="99"/>
        </w:tcBorders>
      </w:tcPr>
    </w:tblStylePr>
    <w:tblStylePr w:type="swCell">
      <w:tblPr/>
      <w:tcPr>
        <w:tcBorders>
          <w:top w:val="single" w:sz="4" w:space="0" w:color="BFA0E0" w:themeColor="accent4" w:themeTint="99"/>
        </w:tcBorders>
      </w:tcPr>
    </w:tblStylePr>
  </w:style>
  <w:style w:type="table" w:styleId="GridTable3-Accent5">
    <w:name w:val="Grid Table 3 Accent 5"/>
    <w:basedOn w:val="TableNormal"/>
    <w:uiPriority w:val="48"/>
    <w:rsid w:val="003C7715"/>
    <w:pPr>
      <w:spacing w:after="0" w:line="240" w:lineRule="auto"/>
    </w:pPr>
    <w:tblPr>
      <w:tblStyleRowBandSize w:val="1"/>
      <w:tblStyleColBandSize w:val="1"/>
      <w:tblBorders>
        <w:top w:val="single" w:sz="4" w:space="0" w:color="43E6FF" w:themeColor="accent5" w:themeTint="99"/>
        <w:left w:val="single" w:sz="4" w:space="0" w:color="43E6FF" w:themeColor="accent5" w:themeTint="99"/>
        <w:bottom w:val="single" w:sz="4" w:space="0" w:color="43E6FF" w:themeColor="accent5" w:themeTint="99"/>
        <w:right w:val="single" w:sz="4" w:space="0" w:color="43E6FF" w:themeColor="accent5" w:themeTint="99"/>
        <w:insideH w:val="single" w:sz="4" w:space="0" w:color="43E6FF" w:themeColor="accent5" w:themeTint="99"/>
        <w:insideV w:val="single" w:sz="4" w:space="0" w:color="43E6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F6FF" w:themeFill="accent5" w:themeFillTint="33"/>
      </w:tcPr>
    </w:tblStylePr>
    <w:tblStylePr w:type="band1Horz">
      <w:tblPr/>
      <w:tcPr>
        <w:shd w:val="clear" w:color="auto" w:fill="C0F6FF" w:themeFill="accent5" w:themeFillTint="33"/>
      </w:tcPr>
    </w:tblStylePr>
    <w:tblStylePr w:type="neCell">
      <w:tblPr/>
      <w:tcPr>
        <w:tcBorders>
          <w:bottom w:val="single" w:sz="4" w:space="0" w:color="43E6FF" w:themeColor="accent5" w:themeTint="99"/>
        </w:tcBorders>
      </w:tcPr>
    </w:tblStylePr>
    <w:tblStylePr w:type="nwCell">
      <w:tblPr/>
      <w:tcPr>
        <w:tcBorders>
          <w:bottom w:val="single" w:sz="4" w:space="0" w:color="43E6FF" w:themeColor="accent5" w:themeTint="99"/>
        </w:tcBorders>
      </w:tcPr>
    </w:tblStylePr>
    <w:tblStylePr w:type="seCell">
      <w:tblPr/>
      <w:tcPr>
        <w:tcBorders>
          <w:top w:val="single" w:sz="4" w:space="0" w:color="43E6FF" w:themeColor="accent5" w:themeTint="99"/>
        </w:tcBorders>
      </w:tcPr>
    </w:tblStylePr>
    <w:tblStylePr w:type="swCell">
      <w:tblPr/>
      <w:tcPr>
        <w:tcBorders>
          <w:top w:val="single" w:sz="4" w:space="0" w:color="43E6FF" w:themeColor="accent5" w:themeTint="99"/>
        </w:tcBorders>
      </w:tcPr>
    </w:tblStylePr>
  </w:style>
  <w:style w:type="table" w:styleId="GridTable3-Accent6">
    <w:name w:val="Grid Table 3 Accent 6"/>
    <w:basedOn w:val="TableNormal"/>
    <w:uiPriority w:val="48"/>
    <w:rsid w:val="003C7715"/>
    <w:pPr>
      <w:spacing w:after="0" w:line="240" w:lineRule="auto"/>
    </w:pPr>
    <w:tblPr>
      <w:tblStyleRowBandSize w:val="1"/>
      <w:tblStyleColBandSize w:val="1"/>
      <w:tblBorders>
        <w:top w:val="single" w:sz="4" w:space="0" w:color="FDBB6B" w:themeColor="accent6" w:themeTint="99"/>
        <w:left w:val="single" w:sz="4" w:space="0" w:color="FDBB6B" w:themeColor="accent6" w:themeTint="99"/>
        <w:bottom w:val="single" w:sz="4" w:space="0" w:color="FDBB6B" w:themeColor="accent6" w:themeTint="99"/>
        <w:right w:val="single" w:sz="4" w:space="0" w:color="FDBB6B" w:themeColor="accent6" w:themeTint="99"/>
        <w:insideH w:val="single" w:sz="4" w:space="0" w:color="FDBB6B" w:themeColor="accent6" w:themeTint="99"/>
        <w:insideV w:val="single" w:sz="4" w:space="0" w:color="FDBB6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8CD" w:themeFill="accent6" w:themeFillTint="33"/>
      </w:tcPr>
    </w:tblStylePr>
    <w:tblStylePr w:type="band1Horz">
      <w:tblPr/>
      <w:tcPr>
        <w:shd w:val="clear" w:color="auto" w:fill="FEE8CD" w:themeFill="accent6" w:themeFillTint="33"/>
      </w:tcPr>
    </w:tblStylePr>
    <w:tblStylePr w:type="neCell">
      <w:tblPr/>
      <w:tcPr>
        <w:tcBorders>
          <w:bottom w:val="single" w:sz="4" w:space="0" w:color="FDBB6B" w:themeColor="accent6" w:themeTint="99"/>
        </w:tcBorders>
      </w:tcPr>
    </w:tblStylePr>
    <w:tblStylePr w:type="nwCell">
      <w:tblPr/>
      <w:tcPr>
        <w:tcBorders>
          <w:bottom w:val="single" w:sz="4" w:space="0" w:color="FDBB6B" w:themeColor="accent6" w:themeTint="99"/>
        </w:tcBorders>
      </w:tcPr>
    </w:tblStylePr>
    <w:tblStylePr w:type="seCell">
      <w:tblPr/>
      <w:tcPr>
        <w:tcBorders>
          <w:top w:val="single" w:sz="4" w:space="0" w:color="FDBB6B" w:themeColor="accent6" w:themeTint="99"/>
        </w:tcBorders>
      </w:tcPr>
    </w:tblStylePr>
    <w:tblStylePr w:type="swCell">
      <w:tblPr/>
      <w:tcPr>
        <w:tcBorders>
          <w:top w:val="single" w:sz="4" w:space="0" w:color="FDBB6B" w:themeColor="accent6" w:themeTint="99"/>
        </w:tcBorders>
      </w:tcPr>
    </w:tblStylePr>
  </w:style>
  <w:style w:type="table" w:styleId="GridTable4">
    <w:name w:val="Grid Table 4"/>
    <w:basedOn w:val="TableNormal"/>
    <w:uiPriority w:val="49"/>
    <w:rsid w:val="003C771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3C7715"/>
    <w:pPr>
      <w:spacing w:after="0" w:line="240" w:lineRule="auto"/>
    </w:pPr>
    <w:tblPr>
      <w:tblStyleRowBandSize w:val="1"/>
      <w:tblStyleColBandSize w:val="1"/>
      <w:tblBorders>
        <w:top w:val="single" w:sz="4" w:space="0" w:color="74DEAB" w:themeColor="accent1" w:themeTint="99"/>
        <w:left w:val="single" w:sz="4" w:space="0" w:color="74DEAB" w:themeColor="accent1" w:themeTint="99"/>
        <w:bottom w:val="single" w:sz="4" w:space="0" w:color="74DEAB" w:themeColor="accent1" w:themeTint="99"/>
        <w:right w:val="single" w:sz="4" w:space="0" w:color="74DEAB" w:themeColor="accent1" w:themeTint="99"/>
        <w:insideH w:val="single" w:sz="4" w:space="0" w:color="74DEAB" w:themeColor="accent1" w:themeTint="99"/>
        <w:insideV w:val="single" w:sz="4" w:space="0" w:color="74DEAB" w:themeColor="accent1" w:themeTint="99"/>
      </w:tblBorders>
    </w:tblPr>
    <w:tblStylePr w:type="firstRow">
      <w:rPr>
        <w:b/>
        <w:bCs/>
        <w:color w:val="FFFFFF" w:themeColor="background1"/>
      </w:rPr>
      <w:tblPr/>
      <w:tcPr>
        <w:tcBorders>
          <w:top w:val="single" w:sz="4" w:space="0" w:color="2BB673" w:themeColor="accent1"/>
          <w:left w:val="single" w:sz="4" w:space="0" w:color="2BB673" w:themeColor="accent1"/>
          <w:bottom w:val="single" w:sz="4" w:space="0" w:color="2BB673" w:themeColor="accent1"/>
          <w:right w:val="single" w:sz="4" w:space="0" w:color="2BB673" w:themeColor="accent1"/>
          <w:insideH w:val="nil"/>
          <w:insideV w:val="nil"/>
        </w:tcBorders>
        <w:shd w:val="clear" w:color="auto" w:fill="2BB673" w:themeFill="accent1"/>
      </w:tcPr>
    </w:tblStylePr>
    <w:tblStylePr w:type="lastRow">
      <w:rPr>
        <w:b/>
        <w:bCs/>
      </w:rPr>
      <w:tblPr/>
      <w:tcPr>
        <w:tcBorders>
          <w:top w:val="double" w:sz="4" w:space="0" w:color="2BB673" w:themeColor="accent1"/>
        </w:tcBorders>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GridTable4-Accent2">
    <w:name w:val="Grid Table 4 Accent 2"/>
    <w:basedOn w:val="TableNormal"/>
    <w:uiPriority w:val="49"/>
    <w:rsid w:val="003C7715"/>
    <w:pPr>
      <w:spacing w:after="0" w:line="240" w:lineRule="auto"/>
    </w:pPr>
    <w:tblPr>
      <w:tblStyleRowBandSize w:val="1"/>
      <w:tblStyleColBandSize w:val="1"/>
      <w:tblBorders>
        <w:top w:val="single" w:sz="4" w:space="0" w:color="CAE85F" w:themeColor="accent2" w:themeTint="99"/>
        <w:left w:val="single" w:sz="4" w:space="0" w:color="CAE85F" w:themeColor="accent2" w:themeTint="99"/>
        <w:bottom w:val="single" w:sz="4" w:space="0" w:color="CAE85F" w:themeColor="accent2" w:themeTint="99"/>
        <w:right w:val="single" w:sz="4" w:space="0" w:color="CAE85F" w:themeColor="accent2" w:themeTint="99"/>
        <w:insideH w:val="single" w:sz="4" w:space="0" w:color="CAE85F" w:themeColor="accent2" w:themeTint="99"/>
        <w:insideV w:val="single" w:sz="4" w:space="0" w:color="CAE85F" w:themeColor="accent2" w:themeTint="99"/>
      </w:tblBorders>
    </w:tblPr>
    <w:tblStylePr w:type="firstRow">
      <w:rPr>
        <w:b/>
        <w:bCs/>
        <w:color w:val="FFFFFF" w:themeColor="background1"/>
      </w:rPr>
      <w:tblPr/>
      <w:tcPr>
        <w:tcBorders>
          <w:top w:val="single" w:sz="4" w:space="0" w:color="93B41A" w:themeColor="accent2"/>
          <w:left w:val="single" w:sz="4" w:space="0" w:color="93B41A" w:themeColor="accent2"/>
          <w:bottom w:val="single" w:sz="4" w:space="0" w:color="93B41A" w:themeColor="accent2"/>
          <w:right w:val="single" w:sz="4" w:space="0" w:color="93B41A" w:themeColor="accent2"/>
          <w:insideH w:val="nil"/>
          <w:insideV w:val="nil"/>
        </w:tcBorders>
        <w:shd w:val="clear" w:color="auto" w:fill="93B41A" w:themeFill="accent2"/>
      </w:tcPr>
    </w:tblStylePr>
    <w:tblStylePr w:type="lastRow">
      <w:rPr>
        <w:b/>
        <w:bCs/>
      </w:rPr>
      <w:tblPr/>
      <w:tcPr>
        <w:tcBorders>
          <w:top w:val="double" w:sz="4" w:space="0" w:color="93B41A" w:themeColor="accent2"/>
        </w:tcBorders>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GridTable4-Accent3">
    <w:name w:val="Grid Table 4 Accent 3"/>
    <w:basedOn w:val="TableNormal"/>
    <w:uiPriority w:val="49"/>
    <w:rsid w:val="003C7715"/>
    <w:pPr>
      <w:spacing w:after="0" w:line="240" w:lineRule="auto"/>
    </w:pPr>
    <w:tblPr>
      <w:tblStyleRowBandSize w:val="1"/>
      <w:tblStyleColBandSize w:val="1"/>
      <w:tblBorders>
        <w:top w:val="single" w:sz="4" w:space="0" w:color="F6A589" w:themeColor="accent3" w:themeTint="99"/>
        <w:left w:val="single" w:sz="4" w:space="0" w:color="F6A589" w:themeColor="accent3" w:themeTint="99"/>
        <w:bottom w:val="single" w:sz="4" w:space="0" w:color="F6A589" w:themeColor="accent3" w:themeTint="99"/>
        <w:right w:val="single" w:sz="4" w:space="0" w:color="F6A589" w:themeColor="accent3" w:themeTint="99"/>
        <w:insideH w:val="single" w:sz="4" w:space="0" w:color="F6A589" w:themeColor="accent3" w:themeTint="99"/>
        <w:insideV w:val="single" w:sz="4" w:space="0" w:color="F6A589" w:themeColor="accent3" w:themeTint="99"/>
      </w:tblBorders>
    </w:tblPr>
    <w:tblStylePr w:type="firstRow">
      <w:rPr>
        <w:b/>
        <w:bCs/>
        <w:color w:val="FFFFFF" w:themeColor="background1"/>
      </w:rPr>
      <w:tblPr/>
      <w:tcPr>
        <w:tcBorders>
          <w:top w:val="single" w:sz="4" w:space="0" w:color="F06A3B" w:themeColor="accent3"/>
          <w:left w:val="single" w:sz="4" w:space="0" w:color="F06A3B" w:themeColor="accent3"/>
          <w:bottom w:val="single" w:sz="4" w:space="0" w:color="F06A3B" w:themeColor="accent3"/>
          <w:right w:val="single" w:sz="4" w:space="0" w:color="F06A3B" w:themeColor="accent3"/>
          <w:insideH w:val="nil"/>
          <w:insideV w:val="nil"/>
        </w:tcBorders>
        <w:shd w:val="clear" w:color="auto" w:fill="F06A3B" w:themeFill="accent3"/>
      </w:tcPr>
    </w:tblStylePr>
    <w:tblStylePr w:type="lastRow">
      <w:rPr>
        <w:b/>
        <w:bCs/>
      </w:rPr>
      <w:tblPr/>
      <w:tcPr>
        <w:tcBorders>
          <w:top w:val="double" w:sz="4" w:space="0" w:color="F06A3B" w:themeColor="accent3"/>
        </w:tcBorders>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GridTable4-Accent4">
    <w:name w:val="Grid Table 4 Accent 4"/>
    <w:basedOn w:val="TableNormal"/>
    <w:uiPriority w:val="49"/>
    <w:rsid w:val="003C7715"/>
    <w:pPr>
      <w:spacing w:after="0" w:line="240" w:lineRule="auto"/>
    </w:pPr>
    <w:tblPr>
      <w:tblStyleRowBandSize w:val="1"/>
      <w:tblStyleColBandSize w:val="1"/>
      <w:tblBorders>
        <w:top w:val="single" w:sz="4" w:space="0" w:color="BFA0E0" w:themeColor="accent4" w:themeTint="99"/>
        <w:left w:val="single" w:sz="4" w:space="0" w:color="BFA0E0" w:themeColor="accent4" w:themeTint="99"/>
        <w:bottom w:val="single" w:sz="4" w:space="0" w:color="BFA0E0" w:themeColor="accent4" w:themeTint="99"/>
        <w:right w:val="single" w:sz="4" w:space="0" w:color="BFA0E0" w:themeColor="accent4" w:themeTint="99"/>
        <w:insideH w:val="single" w:sz="4" w:space="0" w:color="BFA0E0" w:themeColor="accent4" w:themeTint="99"/>
        <w:insideV w:val="single" w:sz="4" w:space="0" w:color="BFA0E0" w:themeColor="accent4" w:themeTint="99"/>
      </w:tblBorders>
    </w:tblPr>
    <w:tblStylePr w:type="firstRow">
      <w:rPr>
        <w:b/>
        <w:bCs/>
        <w:color w:val="FFFFFF" w:themeColor="background1"/>
      </w:rPr>
      <w:tblPr/>
      <w:tcPr>
        <w:tcBorders>
          <w:top w:val="single" w:sz="4" w:space="0" w:color="9561CC" w:themeColor="accent4"/>
          <w:left w:val="single" w:sz="4" w:space="0" w:color="9561CC" w:themeColor="accent4"/>
          <w:bottom w:val="single" w:sz="4" w:space="0" w:color="9561CC" w:themeColor="accent4"/>
          <w:right w:val="single" w:sz="4" w:space="0" w:color="9561CC" w:themeColor="accent4"/>
          <w:insideH w:val="nil"/>
          <w:insideV w:val="nil"/>
        </w:tcBorders>
        <w:shd w:val="clear" w:color="auto" w:fill="9561CC" w:themeFill="accent4"/>
      </w:tcPr>
    </w:tblStylePr>
    <w:tblStylePr w:type="lastRow">
      <w:rPr>
        <w:b/>
        <w:bCs/>
      </w:rPr>
      <w:tblPr/>
      <w:tcPr>
        <w:tcBorders>
          <w:top w:val="double" w:sz="4" w:space="0" w:color="9561CC" w:themeColor="accent4"/>
        </w:tcBorders>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GridTable4-Accent5">
    <w:name w:val="Grid Table 4 Accent 5"/>
    <w:basedOn w:val="TableNormal"/>
    <w:uiPriority w:val="49"/>
    <w:rsid w:val="003C7715"/>
    <w:pPr>
      <w:spacing w:after="0" w:line="240" w:lineRule="auto"/>
    </w:pPr>
    <w:tblPr>
      <w:tblStyleRowBandSize w:val="1"/>
      <w:tblStyleColBandSize w:val="1"/>
      <w:tblBorders>
        <w:top w:val="single" w:sz="4" w:space="0" w:color="43E6FF" w:themeColor="accent5" w:themeTint="99"/>
        <w:left w:val="single" w:sz="4" w:space="0" w:color="43E6FF" w:themeColor="accent5" w:themeTint="99"/>
        <w:bottom w:val="single" w:sz="4" w:space="0" w:color="43E6FF" w:themeColor="accent5" w:themeTint="99"/>
        <w:right w:val="single" w:sz="4" w:space="0" w:color="43E6FF" w:themeColor="accent5" w:themeTint="99"/>
        <w:insideH w:val="single" w:sz="4" w:space="0" w:color="43E6FF" w:themeColor="accent5" w:themeTint="99"/>
        <w:insideV w:val="single" w:sz="4" w:space="0" w:color="43E6FF" w:themeColor="accent5" w:themeTint="99"/>
      </w:tblBorders>
    </w:tblPr>
    <w:tblStylePr w:type="firstRow">
      <w:rPr>
        <w:b/>
        <w:bCs/>
        <w:color w:val="FFFFFF" w:themeColor="background1"/>
      </w:rPr>
      <w:tblPr/>
      <w:tcPr>
        <w:tcBorders>
          <w:top w:val="single" w:sz="4" w:space="0" w:color="00ADC6" w:themeColor="accent5"/>
          <w:left w:val="single" w:sz="4" w:space="0" w:color="00ADC6" w:themeColor="accent5"/>
          <w:bottom w:val="single" w:sz="4" w:space="0" w:color="00ADC6" w:themeColor="accent5"/>
          <w:right w:val="single" w:sz="4" w:space="0" w:color="00ADC6" w:themeColor="accent5"/>
          <w:insideH w:val="nil"/>
          <w:insideV w:val="nil"/>
        </w:tcBorders>
        <w:shd w:val="clear" w:color="auto" w:fill="00ADC6" w:themeFill="accent5"/>
      </w:tcPr>
    </w:tblStylePr>
    <w:tblStylePr w:type="lastRow">
      <w:rPr>
        <w:b/>
        <w:bCs/>
      </w:rPr>
      <w:tblPr/>
      <w:tcPr>
        <w:tcBorders>
          <w:top w:val="double" w:sz="4" w:space="0" w:color="00ADC6" w:themeColor="accent5"/>
        </w:tcBorders>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GridTable4-Accent6">
    <w:name w:val="Grid Table 4 Accent 6"/>
    <w:basedOn w:val="TableNormal"/>
    <w:uiPriority w:val="49"/>
    <w:rsid w:val="003C7715"/>
    <w:pPr>
      <w:spacing w:after="0" w:line="240" w:lineRule="auto"/>
    </w:pPr>
    <w:tblPr>
      <w:tblStyleRowBandSize w:val="1"/>
      <w:tblStyleColBandSize w:val="1"/>
      <w:tblBorders>
        <w:top w:val="single" w:sz="4" w:space="0" w:color="FDBB6B" w:themeColor="accent6" w:themeTint="99"/>
        <w:left w:val="single" w:sz="4" w:space="0" w:color="FDBB6B" w:themeColor="accent6" w:themeTint="99"/>
        <w:bottom w:val="single" w:sz="4" w:space="0" w:color="FDBB6B" w:themeColor="accent6" w:themeTint="99"/>
        <w:right w:val="single" w:sz="4" w:space="0" w:color="FDBB6B" w:themeColor="accent6" w:themeTint="99"/>
        <w:insideH w:val="single" w:sz="4" w:space="0" w:color="FDBB6B" w:themeColor="accent6" w:themeTint="99"/>
        <w:insideV w:val="single" w:sz="4" w:space="0" w:color="FDBB6B" w:themeColor="accent6" w:themeTint="99"/>
      </w:tblBorders>
    </w:tblPr>
    <w:tblStylePr w:type="firstRow">
      <w:rPr>
        <w:b/>
        <w:bCs/>
        <w:color w:val="FFFFFF" w:themeColor="background1"/>
      </w:rPr>
      <w:tblPr/>
      <w:tcPr>
        <w:tcBorders>
          <w:top w:val="single" w:sz="4" w:space="0" w:color="FD8F0A" w:themeColor="accent6"/>
          <w:left w:val="single" w:sz="4" w:space="0" w:color="FD8F0A" w:themeColor="accent6"/>
          <w:bottom w:val="single" w:sz="4" w:space="0" w:color="FD8F0A" w:themeColor="accent6"/>
          <w:right w:val="single" w:sz="4" w:space="0" w:color="FD8F0A" w:themeColor="accent6"/>
          <w:insideH w:val="nil"/>
          <w:insideV w:val="nil"/>
        </w:tcBorders>
        <w:shd w:val="clear" w:color="auto" w:fill="FD8F0A" w:themeFill="accent6"/>
      </w:tcPr>
    </w:tblStylePr>
    <w:tblStylePr w:type="lastRow">
      <w:rPr>
        <w:b/>
        <w:bCs/>
      </w:rPr>
      <w:tblPr/>
      <w:tcPr>
        <w:tcBorders>
          <w:top w:val="double" w:sz="4" w:space="0" w:color="FD8F0A" w:themeColor="accent6"/>
        </w:tcBorders>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GridTable5Dark">
    <w:name w:val="Grid Table 5 Dark"/>
    <w:basedOn w:val="TableNormal"/>
    <w:uiPriority w:val="50"/>
    <w:rsid w:val="003C77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3C77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F4E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B67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B67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B67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B673" w:themeFill="accent1"/>
      </w:tcPr>
    </w:tblStylePr>
    <w:tblStylePr w:type="band1Vert">
      <w:tblPr/>
      <w:tcPr>
        <w:shd w:val="clear" w:color="auto" w:fill="A2E9C7" w:themeFill="accent1" w:themeFillTint="66"/>
      </w:tcPr>
    </w:tblStylePr>
    <w:tblStylePr w:type="band1Horz">
      <w:tblPr/>
      <w:tcPr>
        <w:shd w:val="clear" w:color="auto" w:fill="A2E9C7" w:themeFill="accent1" w:themeFillTint="66"/>
      </w:tcPr>
    </w:tblStylePr>
  </w:style>
  <w:style w:type="table" w:styleId="GridTable5Dark-Accent2">
    <w:name w:val="Grid Table 5 Dark Accent 2"/>
    <w:basedOn w:val="TableNormal"/>
    <w:uiPriority w:val="50"/>
    <w:rsid w:val="003C77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7C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3B41A"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3B41A"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3B41A"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3B41A" w:themeFill="accent2"/>
      </w:tcPr>
    </w:tblStylePr>
    <w:tblStylePr w:type="band1Vert">
      <w:tblPr/>
      <w:tcPr>
        <w:shd w:val="clear" w:color="auto" w:fill="DCEF94" w:themeFill="accent2" w:themeFillTint="66"/>
      </w:tcPr>
    </w:tblStylePr>
    <w:tblStylePr w:type="band1Horz">
      <w:tblPr/>
      <w:tcPr>
        <w:shd w:val="clear" w:color="auto" w:fill="DCEF94" w:themeFill="accent2" w:themeFillTint="66"/>
      </w:tcPr>
    </w:tblStylePr>
  </w:style>
  <w:style w:type="table" w:styleId="GridTable5Dark-Accent3">
    <w:name w:val="Grid Table 5 Dark Accent 3"/>
    <w:basedOn w:val="TableNormal"/>
    <w:uiPriority w:val="50"/>
    <w:rsid w:val="003C77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1D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6A3B"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6A3B"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6A3B"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6A3B" w:themeFill="accent3"/>
      </w:tcPr>
    </w:tblStylePr>
    <w:tblStylePr w:type="band1Vert">
      <w:tblPr/>
      <w:tcPr>
        <w:shd w:val="clear" w:color="auto" w:fill="F9C3B0" w:themeFill="accent3" w:themeFillTint="66"/>
      </w:tcPr>
    </w:tblStylePr>
    <w:tblStylePr w:type="band1Horz">
      <w:tblPr/>
      <w:tcPr>
        <w:shd w:val="clear" w:color="auto" w:fill="F9C3B0" w:themeFill="accent3" w:themeFillTint="66"/>
      </w:tcPr>
    </w:tblStylePr>
  </w:style>
  <w:style w:type="table" w:styleId="GridTable5Dark-Accent4">
    <w:name w:val="Grid Table 5 Dark Accent 4"/>
    <w:basedOn w:val="TableNormal"/>
    <w:uiPriority w:val="50"/>
    <w:rsid w:val="003C77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DF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561C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561C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561C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561CC" w:themeFill="accent4"/>
      </w:tcPr>
    </w:tblStylePr>
    <w:tblStylePr w:type="band1Vert">
      <w:tblPr/>
      <w:tcPr>
        <w:shd w:val="clear" w:color="auto" w:fill="D4BFEA" w:themeFill="accent4" w:themeFillTint="66"/>
      </w:tcPr>
    </w:tblStylePr>
    <w:tblStylePr w:type="band1Horz">
      <w:tblPr/>
      <w:tcPr>
        <w:shd w:val="clear" w:color="auto" w:fill="D4BFEA" w:themeFill="accent4" w:themeFillTint="66"/>
      </w:tcPr>
    </w:tblStylePr>
  </w:style>
  <w:style w:type="table" w:styleId="GridTable5Dark-Accent5">
    <w:name w:val="Grid Table 5 Dark Accent 5"/>
    <w:basedOn w:val="TableNormal"/>
    <w:uiPriority w:val="50"/>
    <w:rsid w:val="003C77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0F6F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D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D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D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DC6" w:themeFill="accent5"/>
      </w:tcPr>
    </w:tblStylePr>
    <w:tblStylePr w:type="band1Vert">
      <w:tblPr/>
      <w:tcPr>
        <w:shd w:val="clear" w:color="auto" w:fill="82EEFF" w:themeFill="accent5" w:themeFillTint="66"/>
      </w:tcPr>
    </w:tblStylePr>
    <w:tblStylePr w:type="band1Horz">
      <w:tblPr/>
      <w:tcPr>
        <w:shd w:val="clear" w:color="auto" w:fill="82EEFF" w:themeFill="accent5" w:themeFillTint="66"/>
      </w:tcPr>
    </w:tblStylePr>
  </w:style>
  <w:style w:type="table" w:styleId="GridTable5Dark-Accent6">
    <w:name w:val="Grid Table 5 Dark Accent 6"/>
    <w:basedOn w:val="TableNormal"/>
    <w:uiPriority w:val="50"/>
    <w:rsid w:val="003C77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E8C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D8F0A"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D8F0A"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D8F0A"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D8F0A" w:themeFill="accent6"/>
      </w:tcPr>
    </w:tblStylePr>
    <w:tblStylePr w:type="band1Vert">
      <w:tblPr/>
      <w:tcPr>
        <w:shd w:val="clear" w:color="auto" w:fill="FED19C" w:themeFill="accent6" w:themeFillTint="66"/>
      </w:tcPr>
    </w:tblStylePr>
    <w:tblStylePr w:type="band1Horz">
      <w:tblPr/>
      <w:tcPr>
        <w:shd w:val="clear" w:color="auto" w:fill="FED19C" w:themeFill="accent6" w:themeFillTint="66"/>
      </w:tcPr>
    </w:tblStylePr>
  </w:style>
  <w:style w:type="table" w:styleId="GridTable6Colourful">
    <w:name w:val="Grid Table 6 Colorful"/>
    <w:basedOn w:val="TableNormal"/>
    <w:uiPriority w:val="51"/>
    <w:rsid w:val="003C771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rsid w:val="003C7715"/>
    <w:pPr>
      <w:spacing w:after="0" w:line="240" w:lineRule="auto"/>
    </w:pPr>
    <w:rPr>
      <w:color w:val="208855" w:themeColor="accent1" w:themeShade="BF"/>
    </w:rPr>
    <w:tblPr>
      <w:tblStyleRowBandSize w:val="1"/>
      <w:tblStyleColBandSize w:val="1"/>
      <w:tblBorders>
        <w:top w:val="single" w:sz="4" w:space="0" w:color="74DEAB" w:themeColor="accent1" w:themeTint="99"/>
        <w:left w:val="single" w:sz="4" w:space="0" w:color="74DEAB" w:themeColor="accent1" w:themeTint="99"/>
        <w:bottom w:val="single" w:sz="4" w:space="0" w:color="74DEAB" w:themeColor="accent1" w:themeTint="99"/>
        <w:right w:val="single" w:sz="4" w:space="0" w:color="74DEAB" w:themeColor="accent1" w:themeTint="99"/>
        <w:insideH w:val="single" w:sz="4" w:space="0" w:color="74DEAB" w:themeColor="accent1" w:themeTint="99"/>
        <w:insideV w:val="single" w:sz="4" w:space="0" w:color="74DEAB" w:themeColor="accent1" w:themeTint="99"/>
      </w:tblBorders>
    </w:tblPr>
    <w:tblStylePr w:type="firstRow">
      <w:rPr>
        <w:b/>
        <w:bCs/>
      </w:rPr>
      <w:tblPr/>
      <w:tcPr>
        <w:tcBorders>
          <w:bottom w:val="single" w:sz="12" w:space="0" w:color="74DEAB" w:themeColor="accent1" w:themeTint="99"/>
        </w:tcBorders>
      </w:tcPr>
    </w:tblStylePr>
    <w:tblStylePr w:type="lastRow">
      <w:rPr>
        <w:b/>
        <w:bCs/>
      </w:rPr>
      <w:tblPr/>
      <w:tcPr>
        <w:tcBorders>
          <w:top w:val="double" w:sz="4" w:space="0" w:color="74DEAB" w:themeColor="accent1" w:themeTint="99"/>
        </w:tcBorders>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GridTable6ColourfulAccent2">
    <w:name w:val="Grid Table 6 Colorful Accent 2"/>
    <w:basedOn w:val="TableNormal"/>
    <w:uiPriority w:val="51"/>
    <w:rsid w:val="003C7715"/>
    <w:pPr>
      <w:spacing w:after="0" w:line="240" w:lineRule="auto"/>
    </w:pPr>
    <w:rPr>
      <w:color w:val="6D8613" w:themeColor="accent2" w:themeShade="BF"/>
    </w:rPr>
    <w:tblPr>
      <w:tblStyleRowBandSize w:val="1"/>
      <w:tblStyleColBandSize w:val="1"/>
      <w:tblBorders>
        <w:top w:val="single" w:sz="4" w:space="0" w:color="CAE85F" w:themeColor="accent2" w:themeTint="99"/>
        <w:left w:val="single" w:sz="4" w:space="0" w:color="CAE85F" w:themeColor="accent2" w:themeTint="99"/>
        <w:bottom w:val="single" w:sz="4" w:space="0" w:color="CAE85F" w:themeColor="accent2" w:themeTint="99"/>
        <w:right w:val="single" w:sz="4" w:space="0" w:color="CAE85F" w:themeColor="accent2" w:themeTint="99"/>
        <w:insideH w:val="single" w:sz="4" w:space="0" w:color="CAE85F" w:themeColor="accent2" w:themeTint="99"/>
        <w:insideV w:val="single" w:sz="4" w:space="0" w:color="CAE85F" w:themeColor="accent2" w:themeTint="99"/>
      </w:tblBorders>
    </w:tblPr>
    <w:tblStylePr w:type="firstRow">
      <w:rPr>
        <w:b/>
        <w:bCs/>
      </w:rPr>
      <w:tblPr/>
      <w:tcPr>
        <w:tcBorders>
          <w:bottom w:val="single" w:sz="12" w:space="0" w:color="CAE85F" w:themeColor="accent2" w:themeTint="99"/>
        </w:tcBorders>
      </w:tcPr>
    </w:tblStylePr>
    <w:tblStylePr w:type="lastRow">
      <w:rPr>
        <w:b/>
        <w:bCs/>
      </w:rPr>
      <w:tblPr/>
      <w:tcPr>
        <w:tcBorders>
          <w:top w:val="double" w:sz="4" w:space="0" w:color="CAE85F" w:themeColor="accent2" w:themeTint="99"/>
        </w:tcBorders>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GridTable6ColourfulAccent3">
    <w:name w:val="Grid Table 6 Colorful Accent 3"/>
    <w:basedOn w:val="TableNormal"/>
    <w:uiPriority w:val="51"/>
    <w:rsid w:val="003C7715"/>
    <w:pPr>
      <w:spacing w:after="0" w:line="240" w:lineRule="auto"/>
    </w:pPr>
    <w:rPr>
      <w:color w:val="CF4110" w:themeColor="accent3" w:themeShade="BF"/>
    </w:rPr>
    <w:tblPr>
      <w:tblStyleRowBandSize w:val="1"/>
      <w:tblStyleColBandSize w:val="1"/>
      <w:tblBorders>
        <w:top w:val="single" w:sz="4" w:space="0" w:color="F6A589" w:themeColor="accent3" w:themeTint="99"/>
        <w:left w:val="single" w:sz="4" w:space="0" w:color="F6A589" w:themeColor="accent3" w:themeTint="99"/>
        <w:bottom w:val="single" w:sz="4" w:space="0" w:color="F6A589" w:themeColor="accent3" w:themeTint="99"/>
        <w:right w:val="single" w:sz="4" w:space="0" w:color="F6A589" w:themeColor="accent3" w:themeTint="99"/>
        <w:insideH w:val="single" w:sz="4" w:space="0" w:color="F6A589" w:themeColor="accent3" w:themeTint="99"/>
        <w:insideV w:val="single" w:sz="4" w:space="0" w:color="F6A589" w:themeColor="accent3" w:themeTint="99"/>
      </w:tblBorders>
    </w:tblPr>
    <w:tblStylePr w:type="firstRow">
      <w:rPr>
        <w:b/>
        <w:bCs/>
      </w:rPr>
      <w:tblPr/>
      <w:tcPr>
        <w:tcBorders>
          <w:bottom w:val="single" w:sz="12" w:space="0" w:color="F6A589" w:themeColor="accent3" w:themeTint="99"/>
        </w:tcBorders>
      </w:tcPr>
    </w:tblStylePr>
    <w:tblStylePr w:type="lastRow">
      <w:rPr>
        <w:b/>
        <w:bCs/>
      </w:rPr>
      <w:tblPr/>
      <w:tcPr>
        <w:tcBorders>
          <w:top w:val="double" w:sz="4" w:space="0" w:color="F6A589" w:themeColor="accent3" w:themeTint="99"/>
        </w:tcBorders>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GridTable6ColourfulAccent4">
    <w:name w:val="Grid Table 6 Colorful Accent 4"/>
    <w:basedOn w:val="TableNormal"/>
    <w:uiPriority w:val="51"/>
    <w:rsid w:val="003C7715"/>
    <w:pPr>
      <w:spacing w:after="0" w:line="240" w:lineRule="auto"/>
    </w:pPr>
    <w:rPr>
      <w:color w:val="6E37AA" w:themeColor="accent4" w:themeShade="BF"/>
    </w:rPr>
    <w:tblPr>
      <w:tblStyleRowBandSize w:val="1"/>
      <w:tblStyleColBandSize w:val="1"/>
      <w:tblBorders>
        <w:top w:val="single" w:sz="4" w:space="0" w:color="BFA0E0" w:themeColor="accent4" w:themeTint="99"/>
        <w:left w:val="single" w:sz="4" w:space="0" w:color="BFA0E0" w:themeColor="accent4" w:themeTint="99"/>
        <w:bottom w:val="single" w:sz="4" w:space="0" w:color="BFA0E0" w:themeColor="accent4" w:themeTint="99"/>
        <w:right w:val="single" w:sz="4" w:space="0" w:color="BFA0E0" w:themeColor="accent4" w:themeTint="99"/>
        <w:insideH w:val="single" w:sz="4" w:space="0" w:color="BFA0E0" w:themeColor="accent4" w:themeTint="99"/>
        <w:insideV w:val="single" w:sz="4" w:space="0" w:color="BFA0E0" w:themeColor="accent4" w:themeTint="99"/>
      </w:tblBorders>
    </w:tblPr>
    <w:tblStylePr w:type="firstRow">
      <w:rPr>
        <w:b/>
        <w:bCs/>
      </w:rPr>
      <w:tblPr/>
      <w:tcPr>
        <w:tcBorders>
          <w:bottom w:val="single" w:sz="12" w:space="0" w:color="BFA0E0" w:themeColor="accent4" w:themeTint="99"/>
        </w:tcBorders>
      </w:tcPr>
    </w:tblStylePr>
    <w:tblStylePr w:type="lastRow">
      <w:rPr>
        <w:b/>
        <w:bCs/>
      </w:rPr>
      <w:tblPr/>
      <w:tcPr>
        <w:tcBorders>
          <w:top w:val="double" w:sz="4" w:space="0" w:color="BFA0E0" w:themeColor="accent4" w:themeTint="99"/>
        </w:tcBorders>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GridTable6ColourfulAccent5">
    <w:name w:val="Grid Table 6 Colorful Accent 5"/>
    <w:basedOn w:val="TableNormal"/>
    <w:uiPriority w:val="51"/>
    <w:rsid w:val="003C7715"/>
    <w:pPr>
      <w:spacing w:after="0" w:line="240" w:lineRule="auto"/>
    </w:pPr>
    <w:rPr>
      <w:color w:val="008094" w:themeColor="accent5" w:themeShade="BF"/>
    </w:rPr>
    <w:tblPr>
      <w:tblStyleRowBandSize w:val="1"/>
      <w:tblStyleColBandSize w:val="1"/>
      <w:tblBorders>
        <w:top w:val="single" w:sz="4" w:space="0" w:color="43E6FF" w:themeColor="accent5" w:themeTint="99"/>
        <w:left w:val="single" w:sz="4" w:space="0" w:color="43E6FF" w:themeColor="accent5" w:themeTint="99"/>
        <w:bottom w:val="single" w:sz="4" w:space="0" w:color="43E6FF" w:themeColor="accent5" w:themeTint="99"/>
        <w:right w:val="single" w:sz="4" w:space="0" w:color="43E6FF" w:themeColor="accent5" w:themeTint="99"/>
        <w:insideH w:val="single" w:sz="4" w:space="0" w:color="43E6FF" w:themeColor="accent5" w:themeTint="99"/>
        <w:insideV w:val="single" w:sz="4" w:space="0" w:color="43E6FF" w:themeColor="accent5" w:themeTint="99"/>
      </w:tblBorders>
    </w:tblPr>
    <w:tblStylePr w:type="firstRow">
      <w:rPr>
        <w:b/>
        <w:bCs/>
      </w:rPr>
      <w:tblPr/>
      <w:tcPr>
        <w:tcBorders>
          <w:bottom w:val="single" w:sz="12" w:space="0" w:color="43E6FF" w:themeColor="accent5" w:themeTint="99"/>
        </w:tcBorders>
      </w:tcPr>
    </w:tblStylePr>
    <w:tblStylePr w:type="lastRow">
      <w:rPr>
        <w:b/>
        <w:bCs/>
      </w:rPr>
      <w:tblPr/>
      <w:tcPr>
        <w:tcBorders>
          <w:top w:val="double" w:sz="4" w:space="0" w:color="43E6FF" w:themeColor="accent5" w:themeTint="99"/>
        </w:tcBorders>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GridTable6ColourfulAccent6">
    <w:name w:val="Grid Table 6 Colorful Accent 6"/>
    <w:basedOn w:val="TableNormal"/>
    <w:uiPriority w:val="51"/>
    <w:rsid w:val="003C7715"/>
    <w:pPr>
      <w:spacing w:after="0" w:line="240" w:lineRule="auto"/>
    </w:pPr>
    <w:rPr>
      <w:color w:val="C36B01" w:themeColor="accent6" w:themeShade="BF"/>
    </w:rPr>
    <w:tblPr>
      <w:tblStyleRowBandSize w:val="1"/>
      <w:tblStyleColBandSize w:val="1"/>
      <w:tblBorders>
        <w:top w:val="single" w:sz="4" w:space="0" w:color="FDBB6B" w:themeColor="accent6" w:themeTint="99"/>
        <w:left w:val="single" w:sz="4" w:space="0" w:color="FDBB6B" w:themeColor="accent6" w:themeTint="99"/>
        <w:bottom w:val="single" w:sz="4" w:space="0" w:color="FDBB6B" w:themeColor="accent6" w:themeTint="99"/>
        <w:right w:val="single" w:sz="4" w:space="0" w:color="FDBB6B" w:themeColor="accent6" w:themeTint="99"/>
        <w:insideH w:val="single" w:sz="4" w:space="0" w:color="FDBB6B" w:themeColor="accent6" w:themeTint="99"/>
        <w:insideV w:val="single" w:sz="4" w:space="0" w:color="FDBB6B" w:themeColor="accent6" w:themeTint="99"/>
      </w:tblBorders>
    </w:tblPr>
    <w:tblStylePr w:type="firstRow">
      <w:rPr>
        <w:b/>
        <w:bCs/>
      </w:rPr>
      <w:tblPr/>
      <w:tcPr>
        <w:tcBorders>
          <w:bottom w:val="single" w:sz="12" w:space="0" w:color="FDBB6B" w:themeColor="accent6" w:themeTint="99"/>
        </w:tcBorders>
      </w:tcPr>
    </w:tblStylePr>
    <w:tblStylePr w:type="lastRow">
      <w:rPr>
        <w:b/>
        <w:bCs/>
      </w:rPr>
      <w:tblPr/>
      <w:tcPr>
        <w:tcBorders>
          <w:top w:val="double" w:sz="4" w:space="0" w:color="FDBB6B" w:themeColor="accent6" w:themeTint="99"/>
        </w:tcBorders>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GridTable7Colourful">
    <w:name w:val="Grid Table 7 Colorful"/>
    <w:basedOn w:val="TableNormal"/>
    <w:uiPriority w:val="52"/>
    <w:rsid w:val="003C771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rsid w:val="003C7715"/>
    <w:pPr>
      <w:spacing w:after="0" w:line="240" w:lineRule="auto"/>
    </w:pPr>
    <w:rPr>
      <w:color w:val="208855" w:themeColor="accent1" w:themeShade="BF"/>
    </w:rPr>
    <w:tblPr>
      <w:tblStyleRowBandSize w:val="1"/>
      <w:tblStyleColBandSize w:val="1"/>
      <w:tblBorders>
        <w:top w:val="single" w:sz="4" w:space="0" w:color="74DEAB" w:themeColor="accent1" w:themeTint="99"/>
        <w:left w:val="single" w:sz="4" w:space="0" w:color="74DEAB" w:themeColor="accent1" w:themeTint="99"/>
        <w:bottom w:val="single" w:sz="4" w:space="0" w:color="74DEAB" w:themeColor="accent1" w:themeTint="99"/>
        <w:right w:val="single" w:sz="4" w:space="0" w:color="74DEAB" w:themeColor="accent1" w:themeTint="99"/>
        <w:insideH w:val="single" w:sz="4" w:space="0" w:color="74DEAB" w:themeColor="accent1" w:themeTint="99"/>
        <w:insideV w:val="single" w:sz="4" w:space="0" w:color="74DEA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F4E3" w:themeFill="accent1" w:themeFillTint="33"/>
      </w:tcPr>
    </w:tblStylePr>
    <w:tblStylePr w:type="band1Horz">
      <w:tblPr/>
      <w:tcPr>
        <w:shd w:val="clear" w:color="auto" w:fill="D0F4E3" w:themeFill="accent1" w:themeFillTint="33"/>
      </w:tcPr>
    </w:tblStylePr>
    <w:tblStylePr w:type="neCell">
      <w:tblPr/>
      <w:tcPr>
        <w:tcBorders>
          <w:bottom w:val="single" w:sz="4" w:space="0" w:color="74DEAB" w:themeColor="accent1" w:themeTint="99"/>
        </w:tcBorders>
      </w:tcPr>
    </w:tblStylePr>
    <w:tblStylePr w:type="nwCell">
      <w:tblPr/>
      <w:tcPr>
        <w:tcBorders>
          <w:bottom w:val="single" w:sz="4" w:space="0" w:color="74DEAB" w:themeColor="accent1" w:themeTint="99"/>
        </w:tcBorders>
      </w:tcPr>
    </w:tblStylePr>
    <w:tblStylePr w:type="seCell">
      <w:tblPr/>
      <w:tcPr>
        <w:tcBorders>
          <w:top w:val="single" w:sz="4" w:space="0" w:color="74DEAB" w:themeColor="accent1" w:themeTint="99"/>
        </w:tcBorders>
      </w:tcPr>
    </w:tblStylePr>
    <w:tblStylePr w:type="swCell">
      <w:tblPr/>
      <w:tcPr>
        <w:tcBorders>
          <w:top w:val="single" w:sz="4" w:space="0" w:color="74DEAB" w:themeColor="accent1" w:themeTint="99"/>
        </w:tcBorders>
      </w:tcPr>
    </w:tblStylePr>
  </w:style>
  <w:style w:type="table" w:styleId="GridTable7ColourfulAccent2">
    <w:name w:val="Grid Table 7 Colorful Accent 2"/>
    <w:basedOn w:val="TableNormal"/>
    <w:uiPriority w:val="52"/>
    <w:rsid w:val="003C7715"/>
    <w:pPr>
      <w:spacing w:after="0" w:line="240" w:lineRule="auto"/>
    </w:pPr>
    <w:rPr>
      <w:color w:val="6D8613" w:themeColor="accent2" w:themeShade="BF"/>
    </w:rPr>
    <w:tblPr>
      <w:tblStyleRowBandSize w:val="1"/>
      <w:tblStyleColBandSize w:val="1"/>
      <w:tblBorders>
        <w:top w:val="single" w:sz="4" w:space="0" w:color="CAE85F" w:themeColor="accent2" w:themeTint="99"/>
        <w:left w:val="single" w:sz="4" w:space="0" w:color="CAE85F" w:themeColor="accent2" w:themeTint="99"/>
        <w:bottom w:val="single" w:sz="4" w:space="0" w:color="CAE85F" w:themeColor="accent2" w:themeTint="99"/>
        <w:right w:val="single" w:sz="4" w:space="0" w:color="CAE85F" w:themeColor="accent2" w:themeTint="99"/>
        <w:insideH w:val="single" w:sz="4" w:space="0" w:color="CAE85F" w:themeColor="accent2" w:themeTint="99"/>
        <w:insideV w:val="single" w:sz="4" w:space="0" w:color="CAE85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7C9" w:themeFill="accent2" w:themeFillTint="33"/>
      </w:tcPr>
    </w:tblStylePr>
    <w:tblStylePr w:type="band1Horz">
      <w:tblPr/>
      <w:tcPr>
        <w:shd w:val="clear" w:color="auto" w:fill="EDF7C9" w:themeFill="accent2" w:themeFillTint="33"/>
      </w:tcPr>
    </w:tblStylePr>
    <w:tblStylePr w:type="neCell">
      <w:tblPr/>
      <w:tcPr>
        <w:tcBorders>
          <w:bottom w:val="single" w:sz="4" w:space="0" w:color="CAE85F" w:themeColor="accent2" w:themeTint="99"/>
        </w:tcBorders>
      </w:tcPr>
    </w:tblStylePr>
    <w:tblStylePr w:type="nwCell">
      <w:tblPr/>
      <w:tcPr>
        <w:tcBorders>
          <w:bottom w:val="single" w:sz="4" w:space="0" w:color="CAE85F" w:themeColor="accent2" w:themeTint="99"/>
        </w:tcBorders>
      </w:tcPr>
    </w:tblStylePr>
    <w:tblStylePr w:type="seCell">
      <w:tblPr/>
      <w:tcPr>
        <w:tcBorders>
          <w:top w:val="single" w:sz="4" w:space="0" w:color="CAE85F" w:themeColor="accent2" w:themeTint="99"/>
        </w:tcBorders>
      </w:tcPr>
    </w:tblStylePr>
    <w:tblStylePr w:type="swCell">
      <w:tblPr/>
      <w:tcPr>
        <w:tcBorders>
          <w:top w:val="single" w:sz="4" w:space="0" w:color="CAE85F" w:themeColor="accent2" w:themeTint="99"/>
        </w:tcBorders>
      </w:tcPr>
    </w:tblStylePr>
  </w:style>
  <w:style w:type="table" w:styleId="GridTable7ColourfulAccent3">
    <w:name w:val="Grid Table 7 Colorful Accent 3"/>
    <w:basedOn w:val="TableNormal"/>
    <w:uiPriority w:val="52"/>
    <w:rsid w:val="003C7715"/>
    <w:pPr>
      <w:spacing w:after="0" w:line="240" w:lineRule="auto"/>
    </w:pPr>
    <w:rPr>
      <w:color w:val="CF4110" w:themeColor="accent3" w:themeShade="BF"/>
    </w:rPr>
    <w:tblPr>
      <w:tblStyleRowBandSize w:val="1"/>
      <w:tblStyleColBandSize w:val="1"/>
      <w:tblBorders>
        <w:top w:val="single" w:sz="4" w:space="0" w:color="F6A589" w:themeColor="accent3" w:themeTint="99"/>
        <w:left w:val="single" w:sz="4" w:space="0" w:color="F6A589" w:themeColor="accent3" w:themeTint="99"/>
        <w:bottom w:val="single" w:sz="4" w:space="0" w:color="F6A589" w:themeColor="accent3" w:themeTint="99"/>
        <w:right w:val="single" w:sz="4" w:space="0" w:color="F6A589" w:themeColor="accent3" w:themeTint="99"/>
        <w:insideH w:val="single" w:sz="4" w:space="0" w:color="F6A589" w:themeColor="accent3" w:themeTint="99"/>
        <w:insideV w:val="single" w:sz="4" w:space="0" w:color="F6A58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1D7" w:themeFill="accent3" w:themeFillTint="33"/>
      </w:tcPr>
    </w:tblStylePr>
    <w:tblStylePr w:type="band1Horz">
      <w:tblPr/>
      <w:tcPr>
        <w:shd w:val="clear" w:color="auto" w:fill="FCE1D7" w:themeFill="accent3" w:themeFillTint="33"/>
      </w:tcPr>
    </w:tblStylePr>
    <w:tblStylePr w:type="neCell">
      <w:tblPr/>
      <w:tcPr>
        <w:tcBorders>
          <w:bottom w:val="single" w:sz="4" w:space="0" w:color="F6A589" w:themeColor="accent3" w:themeTint="99"/>
        </w:tcBorders>
      </w:tcPr>
    </w:tblStylePr>
    <w:tblStylePr w:type="nwCell">
      <w:tblPr/>
      <w:tcPr>
        <w:tcBorders>
          <w:bottom w:val="single" w:sz="4" w:space="0" w:color="F6A589" w:themeColor="accent3" w:themeTint="99"/>
        </w:tcBorders>
      </w:tcPr>
    </w:tblStylePr>
    <w:tblStylePr w:type="seCell">
      <w:tblPr/>
      <w:tcPr>
        <w:tcBorders>
          <w:top w:val="single" w:sz="4" w:space="0" w:color="F6A589" w:themeColor="accent3" w:themeTint="99"/>
        </w:tcBorders>
      </w:tcPr>
    </w:tblStylePr>
    <w:tblStylePr w:type="swCell">
      <w:tblPr/>
      <w:tcPr>
        <w:tcBorders>
          <w:top w:val="single" w:sz="4" w:space="0" w:color="F6A589" w:themeColor="accent3" w:themeTint="99"/>
        </w:tcBorders>
      </w:tcPr>
    </w:tblStylePr>
  </w:style>
  <w:style w:type="table" w:styleId="GridTable7ColourfulAccent4">
    <w:name w:val="Grid Table 7 Colorful Accent 4"/>
    <w:basedOn w:val="TableNormal"/>
    <w:uiPriority w:val="52"/>
    <w:rsid w:val="003C7715"/>
    <w:pPr>
      <w:spacing w:after="0" w:line="240" w:lineRule="auto"/>
    </w:pPr>
    <w:rPr>
      <w:color w:val="6E37AA" w:themeColor="accent4" w:themeShade="BF"/>
    </w:rPr>
    <w:tblPr>
      <w:tblStyleRowBandSize w:val="1"/>
      <w:tblStyleColBandSize w:val="1"/>
      <w:tblBorders>
        <w:top w:val="single" w:sz="4" w:space="0" w:color="BFA0E0" w:themeColor="accent4" w:themeTint="99"/>
        <w:left w:val="single" w:sz="4" w:space="0" w:color="BFA0E0" w:themeColor="accent4" w:themeTint="99"/>
        <w:bottom w:val="single" w:sz="4" w:space="0" w:color="BFA0E0" w:themeColor="accent4" w:themeTint="99"/>
        <w:right w:val="single" w:sz="4" w:space="0" w:color="BFA0E0" w:themeColor="accent4" w:themeTint="99"/>
        <w:insideH w:val="single" w:sz="4" w:space="0" w:color="BFA0E0" w:themeColor="accent4" w:themeTint="99"/>
        <w:insideV w:val="single" w:sz="4" w:space="0" w:color="BFA0E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DFF4" w:themeFill="accent4" w:themeFillTint="33"/>
      </w:tcPr>
    </w:tblStylePr>
    <w:tblStylePr w:type="band1Horz">
      <w:tblPr/>
      <w:tcPr>
        <w:shd w:val="clear" w:color="auto" w:fill="E9DFF4" w:themeFill="accent4" w:themeFillTint="33"/>
      </w:tcPr>
    </w:tblStylePr>
    <w:tblStylePr w:type="neCell">
      <w:tblPr/>
      <w:tcPr>
        <w:tcBorders>
          <w:bottom w:val="single" w:sz="4" w:space="0" w:color="BFA0E0" w:themeColor="accent4" w:themeTint="99"/>
        </w:tcBorders>
      </w:tcPr>
    </w:tblStylePr>
    <w:tblStylePr w:type="nwCell">
      <w:tblPr/>
      <w:tcPr>
        <w:tcBorders>
          <w:bottom w:val="single" w:sz="4" w:space="0" w:color="BFA0E0" w:themeColor="accent4" w:themeTint="99"/>
        </w:tcBorders>
      </w:tcPr>
    </w:tblStylePr>
    <w:tblStylePr w:type="seCell">
      <w:tblPr/>
      <w:tcPr>
        <w:tcBorders>
          <w:top w:val="single" w:sz="4" w:space="0" w:color="BFA0E0" w:themeColor="accent4" w:themeTint="99"/>
        </w:tcBorders>
      </w:tcPr>
    </w:tblStylePr>
    <w:tblStylePr w:type="swCell">
      <w:tblPr/>
      <w:tcPr>
        <w:tcBorders>
          <w:top w:val="single" w:sz="4" w:space="0" w:color="BFA0E0" w:themeColor="accent4" w:themeTint="99"/>
        </w:tcBorders>
      </w:tcPr>
    </w:tblStylePr>
  </w:style>
  <w:style w:type="table" w:styleId="GridTable7ColourfulAccent5">
    <w:name w:val="Grid Table 7 Colorful Accent 5"/>
    <w:basedOn w:val="TableNormal"/>
    <w:uiPriority w:val="52"/>
    <w:rsid w:val="003C7715"/>
    <w:pPr>
      <w:spacing w:after="0" w:line="240" w:lineRule="auto"/>
    </w:pPr>
    <w:rPr>
      <w:color w:val="008094" w:themeColor="accent5" w:themeShade="BF"/>
    </w:rPr>
    <w:tblPr>
      <w:tblStyleRowBandSize w:val="1"/>
      <w:tblStyleColBandSize w:val="1"/>
      <w:tblBorders>
        <w:top w:val="single" w:sz="4" w:space="0" w:color="43E6FF" w:themeColor="accent5" w:themeTint="99"/>
        <w:left w:val="single" w:sz="4" w:space="0" w:color="43E6FF" w:themeColor="accent5" w:themeTint="99"/>
        <w:bottom w:val="single" w:sz="4" w:space="0" w:color="43E6FF" w:themeColor="accent5" w:themeTint="99"/>
        <w:right w:val="single" w:sz="4" w:space="0" w:color="43E6FF" w:themeColor="accent5" w:themeTint="99"/>
        <w:insideH w:val="single" w:sz="4" w:space="0" w:color="43E6FF" w:themeColor="accent5" w:themeTint="99"/>
        <w:insideV w:val="single" w:sz="4" w:space="0" w:color="43E6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F6FF" w:themeFill="accent5" w:themeFillTint="33"/>
      </w:tcPr>
    </w:tblStylePr>
    <w:tblStylePr w:type="band1Horz">
      <w:tblPr/>
      <w:tcPr>
        <w:shd w:val="clear" w:color="auto" w:fill="C0F6FF" w:themeFill="accent5" w:themeFillTint="33"/>
      </w:tcPr>
    </w:tblStylePr>
    <w:tblStylePr w:type="neCell">
      <w:tblPr/>
      <w:tcPr>
        <w:tcBorders>
          <w:bottom w:val="single" w:sz="4" w:space="0" w:color="43E6FF" w:themeColor="accent5" w:themeTint="99"/>
        </w:tcBorders>
      </w:tcPr>
    </w:tblStylePr>
    <w:tblStylePr w:type="nwCell">
      <w:tblPr/>
      <w:tcPr>
        <w:tcBorders>
          <w:bottom w:val="single" w:sz="4" w:space="0" w:color="43E6FF" w:themeColor="accent5" w:themeTint="99"/>
        </w:tcBorders>
      </w:tcPr>
    </w:tblStylePr>
    <w:tblStylePr w:type="seCell">
      <w:tblPr/>
      <w:tcPr>
        <w:tcBorders>
          <w:top w:val="single" w:sz="4" w:space="0" w:color="43E6FF" w:themeColor="accent5" w:themeTint="99"/>
        </w:tcBorders>
      </w:tcPr>
    </w:tblStylePr>
    <w:tblStylePr w:type="swCell">
      <w:tblPr/>
      <w:tcPr>
        <w:tcBorders>
          <w:top w:val="single" w:sz="4" w:space="0" w:color="43E6FF" w:themeColor="accent5" w:themeTint="99"/>
        </w:tcBorders>
      </w:tcPr>
    </w:tblStylePr>
  </w:style>
  <w:style w:type="table" w:styleId="GridTable7ColourfulAccent6">
    <w:name w:val="Grid Table 7 Colorful Accent 6"/>
    <w:basedOn w:val="TableNormal"/>
    <w:uiPriority w:val="52"/>
    <w:rsid w:val="003C7715"/>
    <w:pPr>
      <w:spacing w:after="0" w:line="240" w:lineRule="auto"/>
    </w:pPr>
    <w:rPr>
      <w:color w:val="C36B01" w:themeColor="accent6" w:themeShade="BF"/>
    </w:rPr>
    <w:tblPr>
      <w:tblStyleRowBandSize w:val="1"/>
      <w:tblStyleColBandSize w:val="1"/>
      <w:tblBorders>
        <w:top w:val="single" w:sz="4" w:space="0" w:color="FDBB6B" w:themeColor="accent6" w:themeTint="99"/>
        <w:left w:val="single" w:sz="4" w:space="0" w:color="FDBB6B" w:themeColor="accent6" w:themeTint="99"/>
        <w:bottom w:val="single" w:sz="4" w:space="0" w:color="FDBB6B" w:themeColor="accent6" w:themeTint="99"/>
        <w:right w:val="single" w:sz="4" w:space="0" w:color="FDBB6B" w:themeColor="accent6" w:themeTint="99"/>
        <w:insideH w:val="single" w:sz="4" w:space="0" w:color="FDBB6B" w:themeColor="accent6" w:themeTint="99"/>
        <w:insideV w:val="single" w:sz="4" w:space="0" w:color="FDBB6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8CD" w:themeFill="accent6" w:themeFillTint="33"/>
      </w:tcPr>
    </w:tblStylePr>
    <w:tblStylePr w:type="band1Horz">
      <w:tblPr/>
      <w:tcPr>
        <w:shd w:val="clear" w:color="auto" w:fill="FEE8CD" w:themeFill="accent6" w:themeFillTint="33"/>
      </w:tcPr>
    </w:tblStylePr>
    <w:tblStylePr w:type="neCell">
      <w:tblPr/>
      <w:tcPr>
        <w:tcBorders>
          <w:bottom w:val="single" w:sz="4" w:space="0" w:color="FDBB6B" w:themeColor="accent6" w:themeTint="99"/>
        </w:tcBorders>
      </w:tcPr>
    </w:tblStylePr>
    <w:tblStylePr w:type="nwCell">
      <w:tblPr/>
      <w:tcPr>
        <w:tcBorders>
          <w:bottom w:val="single" w:sz="4" w:space="0" w:color="FDBB6B" w:themeColor="accent6" w:themeTint="99"/>
        </w:tcBorders>
      </w:tcPr>
    </w:tblStylePr>
    <w:tblStylePr w:type="seCell">
      <w:tblPr/>
      <w:tcPr>
        <w:tcBorders>
          <w:top w:val="single" w:sz="4" w:space="0" w:color="FDBB6B" w:themeColor="accent6" w:themeTint="99"/>
        </w:tcBorders>
      </w:tcPr>
    </w:tblStylePr>
    <w:tblStylePr w:type="swCell">
      <w:tblPr/>
      <w:tcPr>
        <w:tcBorders>
          <w:top w:val="single" w:sz="4" w:space="0" w:color="FDBB6B" w:themeColor="accent6" w:themeTint="99"/>
        </w:tcBorders>
      </w:tcPr>
    </w:tblStylePr>
  </w:style>
  <w:style w:type="character" w:styleId="HTMLAcronym">
    <w:name w:val="HTML Acronym"/>
    <w:basedOn w:val="DefaultParagraphFont"/>
    <w:uiPriority w:val="99"/>
    <w:semiHidden/>
    <w:unhideWhenUsed/>
    <w:rsid w:val="003C7715"/>
  </w:style>
  <w:style w:type="character" w:styleId="HTMLCite">
    <w:name w:val="HTML Cite"/>
    <w:basedOn w:val="DefaultParagraphFont"/>
    <w:uiPriority w:val="99"/>
    <w:semiHidden/>
    <w:unhideWhenUsed/>
    <w:rsid w:val="003C7715"/>
    <w:rPr>
      <w:i/>
      <w:iCs/>
    </w:rPr>
  </w:style>
  <w:style w:type="character" w:styleId="HTMLCode">
    <w:name w:val="HTML Code"/>
    <w:basedOn w:val="DefaultParagraphFont"/>
    <w:uiPriority w:val="99"/>
    <w:semiHidden/>
    <w:unhideWhenUsed/>
    <w:rsid w:val="003C7715"/>
    <w:rPr>
      <w:rFonts w:ascii="Consolas" w:hAnsi="Consolas"/>
      <w:sz w:val="20"/>
      <w:szCs w:val="20"/>
    </w:rPr>
  </w:style>
  <w:style w:type="character" w:styleId="HTMLDefinition">
    <w:name w:val="HTML Definition"/>
    <w:basedOn w:val="DefaultParagraphFont"/>
    <w:uiPriority w:val="99"/>
    <w:semiHidden/>
    <w:unhideWhenUsed/>
    <w:rsid w:val="003C7715"/>
    <w:rPr>
      <w:i/>
      <w:iCs/>
    </w:rPr>
  </w:style>
  <w:style w:type="character" w:styleId="HTMLKeyboard">
    <w:name w:val="HTML Keyboard"/>
    <w:basedOn w:val="DefaultParagraphFont"/>
    <w:uiPriority w:val="99"/>
    <w:semiHidden/>
    <w:unhideWhenUsed/>
    <w:rsid w:val="003C7715"/>
    <w:rPr>
      <w:rFonts w:ascii="Consolas" w:hAnsi="Consolas"/>
      <w:sz w:val="20"/>
      <w:szCs w:val="20"/>
    </w:rPr>
  </w:style>
  <w:style w:type="character" w:styleId="HTMLSample">
    <w:name w:val="HTML Sample"/>
    <w:basedOn w:val="DefaultParagraphFont"/>
    <w:uiPriority w:val="99"/>
    <w:semiHidden/>
    <w:unhideWhenUsed/>
    <w:rsid w:val="003C7715"/>
    <w:rPr>
      <w:rFonts w:ascii="Consolas" w:hAnsi="Consolas"/>
      <w:sz w:val="24"/>
      <w:szCs w:val="24"/>
    </w:rPr>
  </w:style>
  <w:style w:type="character" w:styleId="HTMLTypewriter">
    <w:name w:val="HTML Typewriter"/>
    <w:basedOn w:val="DefaultParagraphFont"/>
    <w:uiPriority w:val="99"/>
    <w:semiHidden/>
    <w:unhideWhenUsed/>
    <w:rsid w:val="003C7715"/>
    <w:rPr>
      <w:rFonts w:ascii="Consolas" w:hAnsi="Consolas"/>
      <w:sz w:val="20"/>
      <w:szCs w:val="20"/>
    </w:rPr>
  </w:style>
  <w:style w:type="character" w:styleId="HTMLVariable">
    <w:name w:val="HTML Variable"/>
    <w:basedOn w:val="DefaultParagraphFont"/>
    <w:uiPriority w:val="99"/>
    <w:semiHidden/>
    <w:unhideWhenUsed/>
    <w:rsid w:val="003C7715"/>
    <w:rPr>
      <w:i/>
      <w:iCs/>
    </w:rPr>
  </w:style>
  <w:style w:type="character" w:styleId="IntenseEmphasis">
    <w:name w:val="Intense Emphasis"/>
    <w:basedOn w:val="DefaultParagraphFont"/>
    <w:uiPriority w:val="21"/>
    <w:semiHidden/>
    <w:rsid w:val="003C7715"/>
    <w:rPr>
      <w:i/>
      <w:iCs/>
      <w:color w:val="2BB673" w:themeColor="accent1"/>
    </w:rPr>
  </w:style>
  <w:style w:type="paragraph" w:styleId="IntenseQuote">
    <w:name w:val="Intense Quote"/>
    <w:basedOn w:val="Normal"/>
    <w:next w:val="Normal"/>
    <w:link w:val="IntenseQuoteChar"/>
    <w:uiPriority w:val="30"/>
    <w:semiHidden/>
    <w:rsid w:val="003C7715"/>
    <w:pPr>
      <w:pBdr>
        <w:top w:val="single" w:sz="4" w:space="10" w:color="2BB673" w:themeColor="accent1"/>
        <w:bottom w:val="single" w:sz="4" w:space="10" w:color="2BB673" w:themeColor="accent1"/>
      </w:pBdr>
      <w:spacing w:before="360" w:after="360"/>
      <w:ind w:left="864" w:right="864"/>
      <w:jc w:val="center"/>
    </w:pPr>
    <w:rPr>
      <w:i/>
      <w:iCs/>
      <w:color w:val="2BB673" w:themeColor="accent1"/>
    </w:rPr>
  </w:style>
  <w:style w:type="character" w:customStyle="1" w:styleId="IntenseQuoteChar">
    <w:name w:val="Intense Quote Char"/>
    <w:basedOn w:val="DefaultParagraphFont"/>
    <w:link w:val="IntenseQuote"/>
    <w:uiPriority w:val="30"/>
    <w:semiHidden/>
    <w:rsid w:val="003C7715"/>
    <w:rPr>
      <w:rFonts w:ascii="Calibri" w:hAnsi="Calibri"/>
      <w:i/>
      <w:iCs/>
      <w:color w:val="2BB673" w:themeColor="accent1"/>
      <w:sz w:val="24"/>
    </w:rPr>
  </w:style>
  <w:style w:type="character" w:styleId="IntenseReference">
    <w:name w:val="Intense Reference"/>
    <w:basedOn w:val="DefaultParagraphFont"/>
    <w:uiPriority w:val="32"/>
    <w:semiHidden/>
    <w:rsid w:val="003C7715"/>
    <w:rPr>
      <w:b/>
      <w:bCs/>
      <w:smallCaps/>
      <w:color w:val="2BB673" w:themeColor="accent1"/>
      <w:spacing w:val="5"/>
    </w:rPr>
  </w:style>
  <w:style w:type="table" w:styleId="LightGrid">
    <w:name w:val="Light Grid"/>
    <w:basedOn w:val="TableNormal"/>
    <w:uiPriority w:val="62"/>
    <w:semiHidden/>
    <w:unhideWhenUsed/>
    <w:rsid w:val="003C771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3C7715"/>
    <w:pPr>
      <w:spacing w:after="0" w:line="240" w:lineRule="auto"/>
    </w:pPr>
    <w:tblPr>
      <w:tblStyleRowBandSize w:val="1"/>
      <w:tblStyleColBandSize w:val="1"/>
      <w:tblBorders>
        <w:top w:val="single" w:sz="8" w:space="0" w:color="2BB673" w:themeColor="accent1"/>
        <w:left w:val="single" w:sz="8" w:space="0" w:color="2BB673" w:themeColor="accent1"/>
        <w:bottom w:val="single" w:sz="8" w:space="0" w:color="2BB673" w:themeColor="accent1"/>
        <w:right w:val="single" w:sz="8" w:space="0" w:color="2BB673" w:themeColor="accent1"/>
        <w:insideH w:val="single" w:sz="8" w:space="0" w:color="2BB673" w:themeColor="accent1"/>
        <w:insideV w:val="single" w:sz="8" w:space="0" w:color="2BB67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BB673" w:themeColor="accent1"/>
          <w:left w:val="single" w:sz="8" w:space="0" w:color="2BB673" w:themeColor="accent1"/>
          <w:bottom w:val="single" w:sz="18" w:space="0" w:color="2BB673" w:themeColor="accent1"/>
          <w:right w:val="single" w:sz="8" w:space="0" w:color="2BB673" w:themeColor="accent1"/>
          <w:insideH w:val="nil"/>
          <w:insideV w:val="single" w:sz="8" w:space="0" w:color="2BB67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BB673" w:themeColor="accent1"/>
          <w:left w:val="single" w:sz="8" w:space="0" w:color="2BB673" w:themeColor="accent1"/>
          <w:bottom w:val="single" w:sz="8" w:space="0" w:color="2BB673" w:themeColor="accent1"/>
          <w:right w:val="single" w:sz="8" w:space="0" w:color="2BB673" w:themeColor="accent1"/>
          <w:insideH w:val="nil"/>
          <w:insideV w:val="single" w:sz="8" w:space="0" w:color="2BB67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BB673" w:themeColor="accent1"/>
          <w:left w:val="single" w:sz="8" w:space="0" w:color="2BB673" w:themeColor="accent1"/>
          <w:bottom w:val="single" w:sz="8" w:space="0" w:color="2BB673" w:themeColor="accent1"/>
          <w:right w:val="single" w:sz="8" w:space="0" w:color="2BB673" w:themeColor="accent1"/>
        </w:tcBorders>
      </w:tcPr>
    </w:tblStylePr>
    <w:tblStylePr w:type="band1Vert">
      <w:tblPr/>
      <w:tcPr>
        <w:tcBorders>
          <w:top w:val="single" w:sz="8" w:space="0" w:color="2BB673" w:themeColor="accent1"/>
          <w:left w:val="single" w:sz="8" w:space="0" w:color="2BB673" w:themeColor="accent1"/>
          <w:bottom w:val="single" w:sz="8" w:space="0" w:color="2BB673" w:themeColor="accent1"/>
          <w:right w:val="single" w:sz="8" w:space="0" w:color="2BB673" w:themeColor="accent1"/>
        </w:tcBorders>
        <w:shd w:val="clear" w:color="auto" w:fill="C5F1DC" w:themeFill="accent1" w:themeFillTint="3F"/>
      </w:tcPr>
    </w:tblStylePr>
    <w:tblStylePr w:type="band1Horz">
      <w:tblPr/>
      <w:tcPr>
        <w:tcBorders>
          <w:top w:val="single" w:sz="8" w:space="0" w:color="2BB673" w:themeColor="accent1"/>
          <w:left w:val="single" w:sz="8" w:space="0" w:color="2BB673" w:themeColor="accent1"/>
          <w:bottom w:val="single" w:sz="8" w:space="0" w:color="2BB673" w:themeColor="accent1"/>
          <w:right w:val="single" w:sz="8" w:space="0" w:color="2BB673" w:themeColor="accent1"/>
          <w:insideV w:val="single" w:sz="8" w:space="0" w:color="2BB673" w:themeColor="accent1"/>
        </w:tcBorders>
        <w:shd w:val="clear" w:color="auto" w:fill="C5F1DC" w:themeFill="accent1" w:themeFillTint="3F"/>
      </w:tcPr>
    </w:tblStylePr>
    <w:tblStylePr w:type="band2Horz">
      <w:tblPr/>
      <w:tcPr>
        <w:tcBorders>
          <w:top w:val="single" w:sz="8" w:space="0" w:color="2BB673" w:themeColor="accent1"/>
          <w:left w:val="single" w:sz="8" w:space="0" w:color="2BB673" w:themeColor="accent1"/>
          <w:bottom w:val="single" w:sz="8" w:space="0" w:color="2BB673" w:themeColor="accent1"/>
          <w:right w:val="single" w:sz="8" w:space="0" w:color="2BB673" w:themeColor="accent1"/>
          <w:insideV w:val="single" w:sz="8" w:space="0" w:color="2BB673" w:themeColor="accent1"/>
        </w:tcBorders>
      </w:tcPr>
    </w:tblStylePr>
  </w:style>
  <w:style w:type="table" w:styleId="LightGrid-Accent2">
    <w:name w:val="Light Grid Accent 2"/>
    <w:basedOn w:val="TableNormal"/>
    <w:uiPriority w:val="62"/>
    <w:semiHidden/>
    <w:unhideWhenUsed/>
    <w:rsid w:val="003C7715"/>
    <w:pPr>
      <w:spacing w:after="0" w:line="240" w:lineRule="auto"/>
    </w:pPr>
    <w:tblPr>
      <w:tblStyleRowBandSize w:val="1"/>
      <w:tblStyleColBandSize w:val="1"/>
      <w:tblBorders>
        <w:top w:val="single" w:sz="8" w:space="0" w:color="93B41A" w:themeColor="accent2"/>
        <w:left w:val="single" w:sz="8" w:space="0" w:color="93B41A" w:themeColor="accent2"/>
        <w:bottom w:val="single" w:sz="8" w:space="0" w:color="93B41A" w:themeColor="accent2"/>
        <w:right w:val="single" w:sz="8" w:space="0" w:color="93B41A" w:themeColor="accent2"/>
        <w:insideH w:val="single" w:sz="8" w:space="0" w:color="93B41A" w:themeColor="accent2"/>
        <w:insideV w:val="single" w:sz="8" w:space="0" w:color="93B41A"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3B41A" w:themeColor="accent2"/>
          <w:left w:val="single" w:sz="8" w:space="0" w:color="93B41A" w:themeColor="accent2"/>
          <w:bottom w:val="single" w:sz="18" w:space="0" w:color="93B41A" w:themeColor="accent2"/>
          <w:right w:val="single" w:sz="8" w:space="0" w:color="93B41A" w:themeColor="accent2"/>
          <w:insideH w:val="nil"/>
          <w:insideV w:val="single" w:sz="8" w:space="0" w:color="93B41A"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3B41A" w:themeColor="accent2"/>
          <w:left w:val="single" w:sz="8" w:space="0" w:color="93B41A" w:themeColor="accent2"/>
          <w:bottom w:val="single" w:sz="8" w:space="0" w:color="93B41A" w:themeColor="accent2"/>
          <w:right w:val="single" w:sz="8" w:space="0" w:color="93B41A" w:themeColor="accent2"/>
          <w:insideH w:val="nil"/>
          <w:insideV w:val="single" w:sz="8" w:space="0" w:color="93B41A"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3B41A" w:themeColor="accent2"/>
          <w:left w:val="single" w:sz="8" w:space="0" w:color="93B41A" w:themeColor="accent2"/>
          <w:bottom w:val="single" w:sz="8" w:space="0" w:color="93B41A" w:themeColor="accent2"/>
          <w:right w:val="single" w:sz="8" w:space="0" w:color="93B41A" w:themeColor="accent2"/>
        </w:tcBorders>
      </w:tcPr>
    </w:tblStylePr>
    <w:tblStylePr w:type="band1Vert">
      <w:tblPr/>
      <w:tcPr>
        <w:tcBorders>
          <w:top w:val="single" w:sz="8" w:space="0" w:color="93B41A" w:themeColor="accent2"/>
          <w:left w:val="single" w:sz="8" w:space="0" w:color="93B41A" w:themeColor="accent2"/>
          <w:bottom w:val="single" w:sz="8" w:space="0" w:color="93B41A" w:themeColor="accent2"/>
          <w:right w:val="single" w:sz="8" w:space="0" w:color="93B41A" w:themeColor="accent2"/>
        </w:tcBorders>
        <w:shd w:val="clear" w:color="auto" w:fill="E9F5BD" w:themeFill="accent2" w:themeFillTint="3F"/>
      </w:tcPr>
    </w:tblStylePr>
    <w:tblStylePr w:type="band1Horz">
      <w:tblPr/>
      <w:tcPr>
        <w:tcBorders>
          <w:top w:val="single" w:sz="8" w:space="0" w:color="93B41A" w:themeColor="accent2"/>
          <w:left w:val="single" w:sz="8" w:space="0" w:color="93B41A" w:themeColor="accent2"/>
          <w:bottom w:val="single" w:sz="8" w:space="0" w:color="93B41A" w:themeColor="accent2"/>
          <w:right w:val="single" w:sz="8" w:space="0" w:color="93B41A" w:themeColor="accent2"/>
          <w:insideV w:val="single" w:sz="8" w:space="0" w:color="93B41A" w:themeColor="accent2"/>
        </w:tcBorders>
        <w:shd w:val="clear" w:color="auto" w:fill="E9F5BD" w:themeFill="accent2" w:themeFillTint="3F"/>
      </w:tcPr>
    </w:tblStylePr>
    <w:tblStylePr w:type="band2Horz">
      <w:tblPr/>
      <w:tcPr>
        <w:tcBorders>
          <w:top w:val="single" w:sz="8" w:space="0" w:color="93B41A" w:themeColor="accent2"/>
          <w:left w:val="single" w:sz="8" w:space="0" w:color="93B41A" w:themeColor="accent2"/>
          <w:bottom w:val="single" w:sz="8" w:space="0" w:color="93B41A" w:themeColor="accent2"/>
          <w:right w:val="single" w:sz="8" w:space="0" w:color="93B41A" w:themeColor="accent2"/>
          <w:insideV w:val="single" w:sz="8" w:space="0" w:color="93B41A" w:themeColor="accent2"/>
        </w:tcBorders>
      </w:tcPr>
    </w:tblStylePr>
  </w:style>
  <w:style w:type="table" w:styleId="LightGrid-Accent3">
    <w:name w:val="Light Grid Accent 3"/>
    <w:basedOn w:val="TableNormal"/>
    <w:uiPriority w:val="62"/>
    <w:semiHidden/>
    <w:unhideWhenUsed/>
    <w:rsid w:val="003C7715"/>
    <w:pPr>
      <w:spacing w:after="0" w:line="240" w:lineRule="auto"/>
    </w:pPr>
    <w:tblPr>
      <w:tblStyleRowBandSize w:val="1"/>
      <w:tblStyleColBandSize w:val="1"/>
      <w:tblBorders>
        <w:top w:val="single" w:sz="8" w:space="0" w:color="F06A3B" w:themeColor="accent3"/>
        <w:left w:val="single" w:sz="8" w:space="0" w:color="F06A3B" w:themeColor="accent3"/>
        <w:bottom w:val="single" w:sz="8" w:space="0" w:color="F06A3B" w:themeColor="accent3"/>
        <w:right w:val="single" w:sz="8" w:space="0" w:color="F06A3B" w:themeColor="accent3"/>
        <w:insideH w:val="single" w:sz="8" w:space="0" w:color="F06A3B" w:themeColor="accent3"/>
        <w:insideV w:val="single" w:sz="8" w:space="0" w:color="F06A3B"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6A3B" w:themeColor="accent3"/>
          <w:left w:val="single" w:sz="8" w:space="0" w:color="F06A3B" w:themeColor="accent3"/>
          <w:bottom w:val="single" w:sz="18" w:space="0" w:color="F06A3B" w:themeColor="accent3"/>
          <w:right w:val="single" w:sz="8" w:space="0" w:color="F06A3B" w:themeColor="accent3"/>
          <w:insideH w:val="nil"/>
          <w:insideV w:val="single" w:sz="8" w:space="0" w:color="F06A3B"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6A3B" w:themeColor="accent3"/>
          <w:left w:val="single" w:sz="8" w:space="0" w:color="F06A3B" w:themeColor="accent3"/>
          <w:bottom w:val="single" w:sz="8" w:space="0" w:color="F06A3B" w:themeColor="accent3"/>
          <w:right w:val="single" w:sz="8" w:space="0" w:color="F06A3B" w:themeColor="accent3"/>
          <w:insideH w:val="nil"/>
          <w:insideV w:val="single" w:sz="8" w:space="0" w:color="F06A3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6A3B" w:themeColor="accent3"/>
          <w:left w:val="single" w:sz="8" w:space="0" w:color="F06A3B" w:themeColor="accent3"/>
          <w:bottom w:val="single" w:sz="8" w:space="0" w:color="F06A3B" w:themeColor="accent3"/>
          <w:right w:val="single" w:sz="8" w:space="0" w:color="F06A3B" w:themeColor="accent3"/>
        </w:tcBorders>
      </w:tcPr>
    </w:tblStylePr>
    <w:tblStylePr w:type="band1Vert">
      <w:tblPr/>
      <w:tcPr>
        <w:tcBorders>
          <w:top w:val="single" w:sz="8" w:space="0" w:color="F06A3B" w:themeColor="accent3"/>
          <w:left w:val="single" w:sz="8" w:space="0" w:color="F06A3B" w:themeColor="accent3"/>
          <w:bottom w:val="single" w:sz="8" w:space="0" w:color="F06A3B" w:themeColor="accent3"/>
          <w:right w:val="single" w:sz="8" w:space="0" w:color="F06A3B" w:themeColor="accent3"/>
        </w:tcBorders>
        <w:shd w:val="clear" w:color="auto" w:fill="FBD9CE" w:themeFill="accent3" w:themeFillTint="3F"/>
      </w:tcPr>
    </w:tblStylePr>
    <w:tblStylePr w:type="band1Horz">
      <w:tblPr/>
      <w:tcPr>
        <w:tcBorders>
          <w:top w:val="single" w:sz="8" w:space="0" w:color="F06A3B" w:themeColor="accent3"/>
          <w:left w:val="single" w:sz="8" w:space="0" w:color="F06A3B" w:themeColor="accent3"/>
          <w:bottom w:val="single" w:sz="8" w:space="0" w:color="F06A3B" w:themeColor="accent3"/>
          <w:right w:val="single" w:sz="8" w:space="0" w:color="F06A3B" w:themeColor="accent3"/>
          <w:insideV w:val="single" w:sz="8" w:space="0" w:color="F06A3B" w:themeColor="accent3"/>
        </w:tcBorders>
        <w:shd w:val="clear" w:color="auto" w:fill="FBD9CE" w:themeFill="accent3" w:themeFillTint="3F"/>
      </w:tcPr>
    </w:tblStylePr>
    <w:tblStylePr w:type="band2Horz">
      <w:tblPr/>
      <w:tcPr>
        <w:tcBorders>
          <w:top w:val="single" w:sz="8" w:space="0" w:color="F06A3B" w:themeColor="accent3"/>
          <w:left w:val="single" w:sz="8" w:space="0" w:color="F06A3B" w:themeColor="accent3"/>
          <w:bottom w:val="single" w:sz="8" w:space="0" w:color="F06A3B" w:themeColor="accent3"/>
          <w:right w:val="single" w:sz="8" w:space="0" w:color="F06A3B" w:themeColor="accent3"/>
          <w:insideV w:val="single" w:sz="8" w:space="0" w:color="F06A3B" w:themeColor="accent3"/>
        </w:tcBorders>
      </w:tcPr>
    </w:tblStylePr>
  </w:style>
  <w:style w:type="table" w:styleId="LightGrid-Accent4">
    <w:name w:val="Light Grid Accent 4"/>
    <w:basedOn w:val="TableNormal"/>
    <w:uiPriority w:val="62"/>
    <w:semiHidden/>
    <w:unhideWhenUsed/>
    <w:rsid w:val="003C7715"/>
    <w:pPr>
      <w:spacing w:after="0" w:line="240" w:lineRule="auto"/>
    </w:pPr>
    <w:tblPr>
      <w:tblStyleRowBandSize w:val="1"/>
      <w:tblStyleColBandSize w:val="1"/>
      <w:tblBorders>
        <w:top w:val="single" w:sz="8" w:space="0" w:color="9561CC" w:themeColor="accent4"/>
        <w:left w:val="single" w:sz="8" w:space="0" w:color="9561CC" w:themeColor="accent4"/>
        <w:bottom w:val="single" w:sz="8" w:space="0" w:color="9561CC" w:themeColor="accent4"/>
        <w:right w:val="single" w:sz="8" w:space="0" w:color="9561CC" w:themeColor="accent4"/>
        <w:insideH w:val="single" w:sz="8" w:space="0" w:color="9561CC" w:themeColor="accent4"/>
        <w:insideV w:val="single" w:sz="8" w:space="0" w:color="9561C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61CC" w:themeColor="accent4"/>
          <w:left w:val="single" w:sz="8" w:space="0" w:color="9561CC" w:themeColor="accent4"/>
          <w:bottom w:val="single" w:sz="18" w:space="0" w:color="9561CC" w:themeColor="accent4"/>
          <w:right w:val="single" w:sz="8" w:space="0" w:color="9561CC" w:themeColor="accent4"/>
          <w:insideH w:val="nil"/>
          <w:insideV w:val="single" w:sz="8" w:space="0" w:color="9561C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61CC" w:themeColor="accent4"/>
          <w:left w:val="single" w:sz="8" w:space="0" w:color="9561CC" w:themeColor="accent4"/>
          <w:bottom w:val="single" w:sz="8" w:space="0" w:color="9561CC" w:themeColor="accent4"/>
          <w:right w:val="single" w:sz="8" w:space="0" w:color="9561CC" w:themeColor="accent4"/>
          <w:insideH w:val="nil"/>
          <w:insideV w:val="single" w:sz="8" w:space="0" w:color="9561C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61CC" w:themeColor="accent4"/>
          <w:left w:val="single" w:sz="8" w:space="0" w:color="9561CC" w:themeColor="accent4"/>
          <w:bottom w:val="single" w:sz="8" w:space="0" w:color="9561CC" w:themeColor="accent4"/>
          <w:right w:val="single" w:sz="8" w:space="0" w:color="9561CC" w:themeColor="accent4"/>
        </w:tcBorders>
      </w:tcPr>
    </w:tblStylePr>
    <w:tblStylePr w:type="band1Vert">
      <w:tblPr/>
      <w:tcPr>
        <w:tcBorders>
          <w:top w:val="single" w:sz="8" w:space="0" w:color="9561CC" w:themeColor="accent4"/>
          <w:left w:val="single" w:sz="8" w:space="0" w:color="9561CC" w:themeColor="accent4"/>
          <w:bottom w:val="single" w:sz="8" w:space="0" w:color="9561CC" w:themeColor="accent4"/>
          <w:right w:val="single" w:sz="8" w:space="0" w:color="9561CC" w:themeColor="accent4"/>
        </w:tcBorders>
        <w:shd w:val="clear" w:color="auto" w:fill="E4D7F2" w:themeFill="accent4" w:themeFillTint="3F"/>
      </w:tcPr>
    </w:tblStylePr>
    <w:tblStylePr w:type="band1Horz">
      <w:tblPr/>
      <w:tcPr>
        <w:tcBorders>
          <w:top w:val="single" w:sz="8" w:space="0" w:color="9561CC" w:themeColor="accent4"/>
          <w:left w:val="single" w:sz="8" w:space="0" w:color="9561CC" w:themeColor="accent4"/>
          <w:bottom w:val="single" w:sz="8" w:space="0" w:color="9561CC" w:themeColor="accent4"/>
          <w:right w:val="single" w:sz="8" w:space="0" w:color="9561CC" w:themeColor="accent4"/>
          <w:insideV w:val="single" w:sz="8" w:space="0" w:color="9561CC" w:themeColor="accent4"/>
        </w:tcBorders>
        <w:shd w:val="clear" w:color="auto" w:fill="E4D7F2" w:themeFill="accent4" w:themeFillTint="3F"/>
      </w:tcPr>
    </w:tblStylePr>
    <w:tblStylePr w:type="band2Horz">
      <w:tblPr/>
      <w:tcPr>
        <w:tcBorders>
          <w:top w:val="single" w:sz="8" w:space="0" w:color="9561CC" w:themeColor="accent4"/>
          <w:left w:val="single" w:sz="8" w:space="0" w:color="9561CC" w:themeColor="accent4"/>
          <w:bottom w:val="single" w:sz="8" w:space="0" w:color="9561CC" w:themeColor="accent4"/>
          <w:right w:val="single" w:sz="8" w:space="0" w:color="9561CC" w:themeColor="accent4"/>
          <w:insideV w:val="single" w:sz="8" w:space="0" w:color="9561CC" w:themeColor="accent4"/>
        </w:tcBorders>
      </w:tcPr>
    </w:tblStylePr>
  </w:style>
  <w:style w:type="table" w:styleId="LightGrid-Accent5">
    <w:name w:val="Light Grid Accent 5"/>
    <w:basedOn w:val="TableNormal"/>
    <w:uiPriority w:val="62"/>
    <w:semiHidden/>
    <w:unhideWhenUsed/>
    <w:rsid w:val="003C7715"/>
    <w:pPr>
      <w:spacing w:after="0" w:line="240" w:lineRule="auto"/>
    </w:pPr>
    <w:tblPr>
      <w:tblStyleRowBandSize w:val="1"/>
      <w:tblStyleColBandSize w:val="1"/>
      <w:tblBorders>
        <w:top w:val="single" w:sz="8" w:space="0" w:color="00ADC6" w:themeColor="accent5"/>
        <w:left w:val="single" w:sz="8" w:space="0" w:color="00ADC6" w:themeColor="accent5"/>
        <w:bottom w:val="single" w:sz="8" w:space="0" w:color="00ADC6" w:themeColor="accent5"/>
        <w:right w:val="single" w:sz="8" w:space="0" w:color="00ADC6" w:themeColor="accent5"/>
        <w:insideH w:val="single" w:sz="8" w:space="0" w:color="00ADC6" w:themeColor="accent5"/>
        <w:insideV w:val="single" w:sz="8" w:space="0" w:color="00AD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C6" w:themeColor="accent5"/>
          <w:left w:val="single" w:sz="8" w:space="0" w:color="00ADC6" w:themeColor="accent5"/>
          <w:bottom w:val="single" w:sz="18" w:space="0" w:color="00ADC6" w:themeColor="accent5"/>
          <w:right w:val="single" w:sz="8" w:space="0" w:color="00ADC6" w:themeColor="accent5"/>
          <w:insideH w:val="nil"/>
          <w:insideV w:val="single" w:sz="8" w:space="0" w:color="00AD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C6" w:themeColor="accent5"/>
          <w:left w:val="single" w:sz="8" w:space="0" w:color="00ADC6" w:themeColor="accent5"/>
          <w:bottom w:val="single" w:sz="8" w:space="0" w:color="00ADC6" w:themeColor="accent5"/>
          <w:right w:val="single" w:sz="8" w:space="0" w:color="00ADC6" w:themeColor="accent5"/>
          <w:insideH w:val="nil"/>
          <w:insideV w:val="single" w:sz="8" w:space="0" w:color="00AD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C6" w:themeColor="accent5"/>
          <w:left w:val="single" w:sz="8" w:space="0" w:color="00ADC6" w:themeColor="accent5"/>
          <w:bottom w:val="single" w:sz="8" w:space="0" w:color="00ADC6" w:themeColor="accent5"/>
          <w:right w:val="single" w:sz="8" w:space="0" w:color="00ADC6" w:themeColor="accent5"/>
        </w:tcBorders>
      </w:tcPr>
    </w:tblStylePr>
    <w:tblStylePr w:type="band1Vert">
      <w:tblPr/>
      <w:tcPr>
        <w:tcBorders>
          <w:top w:val="single" w:sz="8" w:space="0" w:color="00ADC6" w:themeColor="accent5"/>
          <w:left w:val="single" w:sz="8" w:space="0" w:color="00ADC6" w:themeColor="accent5"/>
          <w:bottom w:val="single" w:sz="8" w:space="0" w:color="00ADC6" w:themeColor="accent5"/>
          <w:right w:val="single" w:sz="8" w:space="0" w:color="00ADC6" w:themeColor="accent5"/>
        </w:tcBorders>
        <w:shd w:val="clear" w:color="auto" w:fill="B1F4FF" w:themeFill="accent5" w:themeFillTint="3F"/>
      </w:tcPr>
    </w:tblStylePr>
    <w:tblStylePr w:type="band1Horz">
      <w:tblPr/>
      <w:tcPr>
        <w:tcBorders>
          <w:top w:val="single" w:sz="8" w:space="0" w:color="00ADC6" w:themeColor="accent5"/>
          <w:left w:val="single" w:sz="8" w:space="0" w:color="00ADC6" w:themeColor="accent5"/>
          <w:bottom w:val="single" w:sz="8" w:space="0" w:color="00ADC6" w:themeColor="accent5"/>
          <w:right w:val="single" w:sz="8" w:space="0" w:color="00ADC6" w:themeColor="accent5"/>
          <w:insideV w:val="single" w:sz="8" w:space="0" w:color="00ADC6" w:themeColor="accent5"/>
        </w:tcBorders>
        <w:shd w:val="clear" w:color="auto" w:fill="B1F4FF" w:themeFill="accent5" w:themeFillTint="3F"/>
      </w:tcPr>
    </w:tblStylePr>
    <w:tblStylePr w:type="band2Horz">
      <w:tblPr/>
      <w:tcPr>
        <w:tcBorders>
          <w:top w:val="single" w:sz="8" w:space="0" w:color="00ADC6" w:themeColor="accent5"/>
          <w:left w:val="single" w:sz="8" w:space="0" w:color="00ADC6" w:themeColor="accent5"/>
          <w:bottom w:val="single" w:sz="8" w:space="0" w:color="00ADC6" w:themeColor="accent5"/>
          <w:right w:val="single" w:sz="8" w:space="0" w:color="00ADC6" w:themeColor="accent5"/>
          <w:insideV w:val="single" w:sz="8" w:space="0" w:color="00ADC6" w:themeColor="accent5"/>
        </w:tcBorders>
      </w:tcPr>
    </w:tblStylePr>
  </w:style>
  <w:style w:type="table" w:styleId="LightGrid-Accent6">
    <w:name w:val="Light Grid Accent 6"/>
    <w:basedOn w:val="TableNormal"/>
    <w:uiPriority w:val="62"/>
    <w:semiHidden/>
    <w:unhideWhenUsed/>
    <w:rsid w:val="003C7715"/>
    <w:pPr>
      <w:spacing w:after="0" w:line="240" w:lineRule="auto"/>
    </w:pPr>
    <w:tblPr>
      <w:tblStyleRowBandSize w:val="1"/>
      <w:tblStyleColBandSize w:val="1"/>
      <w:tblBorders>
        <w:top w:val="single" w:sz="8" w:space="0" w:color="FD8F0A" w:themeColor="accent6"/>
        <w:left w:val="single" w:sz="8" w:space="0" w:color="FD8F0A" w:themeColor="accent6"/>
        <w:bottom w:val="single" w:sz="8" w:space="0" w:color="FD8F0A" w:themeColor="accent6"/>
        <w:right w:val="single" w:sz="8" w:space="0" w:color="FD8F0A" w:themeColor="accent6"/>
        <w:insideH w:val="single" w:sz="8" w:space="0" w:color="FD8F0A" w:themeColor="accent6"/>
        <w:insideV w:val="single" w:sz="8" w:space="0" w:color="FD8F0A"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D8F0A" w:themeColor="accent6"/>
          <w:left w:val="single" w:sz="8" w:space="0" w:color="FD8F0A" w:themeColor="accent6"/>
          <w:bottom w:val="single" w:sz="18" w:space="0" w:color="FD8F0A" w:themeColor="accent6"/>
          <w:right w:val="single" w:sz="8" w:space="0" w:color="FD8F0A" w:themeColor="accent6"/>
          <w:insideH w:val="nil"/>
          <w:insideV w:val="single" w:sz="8" w:space="0" w:color="FD8F0A"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D8F0A" w:themeColor="accent6"/>
          <w:left w:val="single" w:sz="8" w:space="0" w:color="FD8F0A" w:themeColor="accent6"/>
          <w:bottom w:val="single" w:sz="8" w:space="0" w:color="FD8F0A" w:themeColor="accent6"/>
          <w:right w:val="single" w:sz="8" w:space="0" w:color="FD8F0A" w:themeColor="accent6"/>
          <w:insideH w:val="nil"/>
          <w:insideV w:val="single" w:sz="8" w:space="0" w:color="FD8F0A"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D8F0A" w:themeColor="accent6"/>
          <w:left w:val="single" w:sz="8" w:space="0" w:color="FD8F0A" w:themeColor="accent6"/>
          <w:bottom w:val="single" w:sz="8" w:space="0" w:color="FD8F0A" w:themeColor="accent6"/>
          <w:right w:val="single" w:sz="8" w:space="0" w:color="FD8F0A" w:themeColor="accent6"/>
        </w:tcBorders>
      </w:tcPr>
    </w:tblStylePr>
    <w:tblStylePr w:type="band1Vert">
      <w:tblPr/>
      <w:tcPr>
        <w:tcBorders>
          <w:top w:val="single" w:sz="8" w:space="0" w:color="FD8F0A" w:themeColor="accent6"/>
          <w:left w:val="single" w:sz="8" w:space="0" w:color="FD8F0A" w:themeColor="accent6"/>
          <w:bottom w:val="single" w:sz="8" w:space="0" w:color="FD8F0A" w:themeColor="accent6"/>
          <w:right w:val="single" w:sz="8" w:space="0" w:color="FD8F0A" w:themeColor="accent6"/>
        </w:tcBorders>
        <w:shd w:val="clear" w:color="auto" w:fill="FEE3C2" w:themeFill="accent6" w:themeFillTint="3F"/>
      </w:tcPr>
    </w:tblStylePr>
    <w:tblStylePr w:type="band1Horz">
      <w:tblPr/>
      <w:tcPr>
        <w:tcBorders>
          <w:top w:val="single" w:sz="8" w:space="0" w:color="FD8F0A" w:themeColor="accent6"/>
          <w:left w:val="single" w:sz="8" w:space="0" w:color="FD8F0A" w:themeColor="accent6"/>
          <w:bottom w:val="single" w:sz="8" w:space="0" w:color="FD8F0A" w:themeColor="accent6"/>
          <w:right w:val="single" w:sz="8" w:space="0" w:color="FD8F0A" w:themeColor="accent6"/>
          <w:insideV w:val="single" w:sz="8" w:space="0" w:color="FD8F0A" w:themeColor="accent6"/>
        </w:tcBorders>
        <w:shd w:val="clear" w:color="auto" w:fill="FEE3C2" w:themeFill="accent6" w:themeFillTint="3F"/>
      </w:tcPr>
    </w:tblStylePr>
    <w:tblStylePr w:type="band2Horz">
      <w:tblPr/>
      <w:tcPr>
        <w:tcBorders>
          <w:top w:val="single" w:sz="8" w:space="0" w:color="FD8F0A" w:themeColor="accent6"/>
          <w:left w:val="single" w:sz="8" w:space="0" w:color="FD8F0A" w:themeColor="accent6"/>
          <w:bottom w:val="single" w:sz="8" w:space="0" w:color="FD8F0A" w:themeColor="accent6"/>
          <w:right w:val="single" w:sz="8" w:space="0" w:color="FD8F0A" w:themeColor="accent6"/>
          <w:insideV w:val="single" w:sz="8" w:space="0" w:color="FD8F0A" w:themeColor="accent6"/>
        </w:tcBorders>
      </w:tcPr>
    </w:tblStylePr>
  </w:style>
  <w:style w:type="table" w:styleId="LightList">
    <w:name w:val="Light List"/>
    <w:basedOn w:val="TableNormal"/>
    <w:uiPriority w:val="61"/>
    <w:semiHidden/>
    <w:unhideWhenUsed/>
    <w:rsid w:val="003C771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3C7715"/>
    <w:pPr>
      <w:spacing w:after="0" w:line="240" w:lineRule="auto"/>
    </w:pPr>
    <w:tblPr>
      <w:tblStyleRowBandSize w:val="1"/>
      <w:tblStyleColBandSize w:val="1"/>
      <w:tblBorders>
        <w:top w:val="single" w:sz="8" w:space="0" w:color="2BB673" w:themeColor="accent1"/>
        <w:left w:val="single" w:sz="8" w:space="0" w:color="2BB673" w:themeColor="accent1"/>
        <w:bottom w:val="single" w:sz="8" w:space="0" w:color="2BB673" w:themeColor="accent1"/>
        <w:right w:val="single" w:sz="8" w:space="0" w:color="2BB673" w:themeColor="accent1"/>
      </w:tblBorders>
    </w:tblPr>
    <w:tblStylePr w:type="firstRow">
      <w:pPr>
        <w:spacing w:before="0" w:after="0" w:line="240" w:lineRule="auto"/>
      </w:pPr>
      <w:rPr>
        <w:b/>
        <w:bCs/>
        <w:color w:val="FFFFFF" w:themeColor="background1"/>
      </w:rPr>
      <w:tblPr/>
      <w:tcPr>
        <w:shd w:val="clear" w:color="auto" w:fill="2BB673" w:themeFill="accent1"/>
      </w:tcPr>
    </w:tblStylePr>
    <w:tblStylePr w:type="lastRow">
      <w:pPr>
        <w:spacing w:before="0" w:after="0" w:line="240" w:lineRule="auto"/>
      </w:pPr>
      <w:rPr>
        <w:b/>
        <w:bCs/>
      </w:rPr>
      <w:tblPr/>
      <w:tcPr>
        <w:tcBorders>
          <w:top w:val="double" w:sz="6" w:space="0" w:color="2BB673" w:themeColor="accent1"/>
          <w:left w:val="single" w:sz="8" w:space="0" w:color="2BB673" w:themeColor="accent1"/>
          <w:bottom w:val="single" w:sz="8" w:space="0" w:color="2BB673" w:themeColor="accent1"/>
          <w:right w:val="single" w:sz="8" w:space="0" w:color="2BB673" w:themeColor="accent1"/>
        </w:tcBorders>
      </w:tcPr>
    </w:tblStylePr>
    <w:tblStylePr w:type="firstCol">
      <w:rPr>
        <w:b/>
        <w:bCs/>
      </w:rPr>
    </w:tblStylePr>
    <w:tblStylePr w:type="lastCol">
      <w:rPr>
        <w:b/>
        <w:bCs/>
      </w:rPr>
    </w:tblStylePr>
    <w:tblStylePr w:type="band1Vert">
      <w:tblPr/>
      <w:tcPr>
        <w:tcBorders>
          <w:top w:val="single" w:sz="8" w:space="0" w:color="2BB673" w:themeColor="accent1"/>
          <w:left w:val="single" w:sz="8" w:space="0" w:color="2BB673" w:themeColor="accent1"/>
          <w:bottom w:val="single" w:sz="8" w:space="0" w:color="2BB673" w:themeColor="accent1"/>
          <w:right w:val="single" w:sz="8" w:space="0" w:color="2BB673" w:themeColor="accent1"/>
        </w:tcBorders>
      </w:tcPr>
    </w:tblStylePr>
    <w:tblStylePr w:type="band1Horz">
      <w:tblPr/>
      <w:tcPr>
        <w:tcBorders>
          <w:top w:val="single" w:sz="8" w:space="0" w:color="2BB673" w:themeColor="accent1"/>
          <w:left w:val="single" w:sz="8" w:space="0" w:color="2BB673" w:themeColor="accent1"/>
          <w:bottom w:val="single" w:sz="8" w:space="0" w:color="2BB673" w:themeColor="accent1"/>
          <w:right w:val="single" w:sz="8" w:space="0" w:color="2BB673" w:themeColor="accent1"/>
        </w:tcBorders>
      </w:tcPr>
    </w:tblStylePr>
  </w:style>
  <w:style w:type="table" w:styleId="LightList-Accent2">
    <w:name w:val="Light List Accent 2"/>
    <w:basedOn w:val="TableNormal"/>
    <w:uiPriority w:val="61"/>
    <w:semiHidden/>
    <w:unhideWhenUsed/>
    <w:rsid w:val="003C7715"/>
    <w:pPr>
      <w:spacing w:after="0" w:line="240" w:lineRule="auto"/>
    </w:pPr>
    <w:tblPr>
      <w:tblStyleRowBandSize w:val="1"/>
      <w:tblStyleColBandSize w:val="1"/>
      <w:tblBorders>
        <w:top w:val="single" w:sz="8" w:space="0" w:color="93B41A" w:themeColor="accent2"/>
        <w:left w:val="single" w:sz="8" w:space="0" w:color="93B41A" w:themeColor="accent2"/>
        <w:bottom w:val="single" w:sz="8" w:space="0" w:color="93B41A" w:themeColor="accent2"/>
        <w:right w:val="single" w:sz="8" w:space="0" w:color="93B41A" w:themeColor="accent2"/>
      </w:tblBorders>
    </w:tblPr>
    <w:tblStylePr w:type="firstRow">
      <w:pPr>
        <w:spacing w:before="0" w:after="0" w:line="240" w:lineRule="auto"/>
      </w:pPr>
      <w:rPr>
        <w:b/>
        <w:bCs/>
        <w:color w:val="FFFFFF" w:themeColor="background1"/>
      </w:rPr>
      <w:tblPr/>
      <w:tcPr>
        <w:shd w:val="clear" w:color="auto" w:fill="93B41A" w:themeFill="accent2"/>
      </w:tcPr>
    </w:tblStylePr>
    <w:tblStylePr w:type="lastRow">
      <w:pPr>
        <w:spacing w:before="0" w:after="0" w:line="240" w:lineRule="auto"/>
      </w:pPr>
      <w:rPr>
        <w:b/>
        <w:bCs/>
      </w:rPr>
      <w:tblPr/>
      <w:tcPr>
        <w:tcBorders>
          <w:top w:val="double" w:sz="6" w:space="0" w:color="93B41A" w:themeColor="accent2"/>
          <w:left w:val="single" w:sz="8" w:space="0" w:color="93B41A" w:themeColor="accent2"/>
          <w:bottom w:val="single" w:sz="8" w:space="0" w:color="93B41A" w:themeColor="accent2"/>
          <w:right w:val="single" w:sz="8" w:space="0" w:color="93B41A" w:themeColor="accent2"/>
        </w:tcBorders>
      </w:tcPr>
    </w:tblStylePr>
    <w:tblStylePr w:type="firstCol">
      <w:rPr>
        <w:b/>
        <w:bCs/>
      </w:rPr>
    </w:tblStylePr>
    <w:tblStylePr w:type="lastCol">
      <w:rPr>
        <w:b/>
        <w:bCs/>
      </w:rPr>
    </w:tblStylePr>
    <w:tblStylePr w:type="band1Vert">
      <w:tblPr/>
      <w:tcPr>
        <w:tcBorders>
          <w:top w:val="single" w:sz="8" w:space="0" w:color="93B41A" w:themeColor="accent2"/>
          <w:left w:val="single" w:sz="8" w:space="0" w:color="93B41A" w:themeColor="accent2"/>
          <w:bottom w:val="single" w:sz="8" w:space="0" w:color="93B41A" w:themeColor="accent2"/>
          <w:right w:val="single" w:sz="8" w:space="0" w:color="93B41A" w:themeColor="accent2"/>
        </w:tcBorders>
      </w:tcPr>
    </w:tblStylePr>
    <w:tblStylePr w:type="band1Horz">
      <w:tblPr/>
      <w:tcPr>
        <w:tcBorders>
          <w:top w:val="single" w:sz="8" w:space="0" w:color="93B41A" w:themeColor="accent2"/>
          <w:left w:val="single" w:sz="8" w:space="0" w:color="93B41A" w:themeColor="accent2"/>
          <w:bottom w:val="single" w:sz="8" w:space="0" w:color="93B41A" w:themeColor="accent2"/>
          <w:right w:val="single" w:sz="8" w:space="0" w:color="93B41A" w:themeColor="accent2"/>
        </w:tcBorders>
      </w:tcPr>
    </w:tblStylePr>
  </w:style>
  <w:style w:type="table" w:styleId="LightList-Accent3">
    <w:name w:val="Light List Accent 3"/>
    <w:basedOn w:val="TableNormal"/>
    <w:uiPriority w:val="61"/>
    <w:semiHidden/>
    <w:unhideWhenUsed/>
    <w:rsid w:val="003C7715"/>
    <w:pPr>
      <w:spacing w:after="0" w:line="240" w:lineRule="auto"/>
    </w:pPr>
    <w:tblPr>
      <w:tblStyleRowBandSize w:val="1"/>
      <w:tblStyleColBandSize w:val="1"/>
      <w:tblBorders>
        <w:top w:val="single" w:sz="8" w:space="0" w:color="F06A3B" w:themeColor="accent3"/>
        <w:left w:val="single" w:sz="8" w:space="0" w:color="F06A3B" w:themeColor="accent3"/>
        <w:bottom w:val="single" w:sz="8" w:space="0" w:color="F06A3B" w:themeColor="accent3"/>
        <w:right w:val="single" w:sz="8" w:space="0" w:color="F06A3B" w:themeColor="accent3"/>
      </w:tblBorders>
    </w:tblPr>
    <w:tblStylePr w:type="firstRow">
      <w:pPr>
        <w:spacing w:before="0" w:after="0" w:line="240" w:lineRule="auto"/>
      </w:pPr>
      <w:rPr>
        <w:b/>
        <w:bCs/>
        <w:color w:val="FFFFFF" w:themeColor="background1"/>
      </w:rPr>
      <w:tblPr/>
      <w:tcPr>
        <w:shd w:val="clear" w:color="auto" w:fill="F06A3B" w:themeFill="accent3"/>
      </w:tcPr>
    </w:tblStylePr>
    <w:tblStylePr w:type="lastRow">
      <w:pPr>
        <w:spacing w:before="0" w:after="0" w:line="240" w:lineRule="auto"/>
      </w:pPr>
      <w:rPr>
        <w:b/>
        <w:bCs/>
      </w:rPr>
      <w:tblPr/>
      <w:tcPr>
        <w:tcBorders>
          <w:top w:val="double" w:sz="6" w:space="0" w:color="F06A3B" w:themeColor="accent3"/>
          <w:left w:val="single" w:sz="8" w:space="0" w:color="F06A3B" w:themeColor="accent3"/>
          <w:bottom w:val="single" w:sz="8" w:space="0" w:color="F06A3B" w:themeColor="accent3"/>
          <w:right w:val="single" w:sz="8" w:space="0" w:color="F06A3B" w:themeColor="accent3"/>
        </w:tcBorders>
      </w:tcPr>
    </w:tblStylePr>
    <w:tblStylePr w:type="firstCol">
      <w:rPr>
        <w:b/>
        <w:bCs/>
      </w:rPr>
    </w:tblStylePr>
    <w:tblStylePr w:type="lastCol">
      <w:rPr>
        <w:b/>
        <w:bCs/>
      </w:rPr>
    </w:tblStylePr>
    <w:tblStylePr w:type="band1Vert">
      <w:tblPr/>
      <w:tcPr>
        <w:tcBorders>
          <w:top w:val="single" w:sz="8" w:space="0" w:color="F06A3B" w:themeColor="accent3"/>
          <w:left w:val="single" w:sz="8" w:space="0" w:color="F06A3B" w:themeColor="accent3"/>
          <w:bottom w:val="single" w:sz="8" w:space="0" w:color="F06A3B" w:themeColor="accent3"/>
          <w:right w:val="single" w:sz="8" w:space="0" w:color="F06A3B" w:themeColor="accent3"/>
        </w:tcBorders>
      </w:tcPr>
    </w:tblStylePr>
    <w:tblStylePr w:type="band1Horz">
      <w:tblPr/>
      <w:tcPr>
        <w:tcBorders>
          <w:top w:val="single" w:sz="8" w:space="0" w:color="F06A3B" w:themeColor="accent3"/>
          <w:left w:val="single" w:sz="8" w:space="0" w:color="F06A3B" w:themeColor="accent3"/>
          <w:bottom w:val="single" w:sz="8" w:space="0" w:color="F06A3B" w:themeColor="accent3"/>
          <w:right w:val="single" w:sz="8" w:space="0" w:color="F06A3B" w:themeColor="accent3"/>
        </w:tcBorders>
      </w:tcPr>
    </w:tblStylePr>
  </w:style>
  <w:style w:type="table" w:styleId="LightList-Accent4">
    <w:name w:val="Light List Accent 4"/>
    <w:basedOn w:val="TableNormal"/>
    <w:uiPriority w:val="61"/>
    <w:semiHidden/>
    <w:unhideWhenUsed/>
    <w:rsid w:val="003C7715"/>
    <w:pPr>
      <w:spacing w:after="0" w:line="240" w:lineRule="auto"/>
    </w:pPr>
    <w:tblPr>
      <w:tblStyleRowBandSize w:val="1"/>
      <w:tblStyleColBandSize w:val="1"/>
      <w:tblBorders>
        <w:top w:val="single" w:sz="8" w:space="0" w:color="9561CC" w:themeColor="accent4"/>
        <w:left w:val="single" w:sz="8" w:space="0" w:color="9561CC" w:themeColor="accent4"/>
        <w:bottom w:val="single" w:sz="8" w:space="0" w:color="9561CC" w:themeColor="accent4"/>
        <w:right w:val="single" w:sz="8" w:space="0" w:color="9561CC" w:themeColor="accent4"/>
      </w:tblBorders>
    </w:tblPr>
    <w:tblStylePr w:type="firstRow">
      <w:pPr>
        <w:spacing w:before="0" w:after="0" w:line="240" w:lineRule="auto"/>
      </w:pPr>
      <w:rPr>
        <w:b/>
        <w:bCs/>
        <w:color w:val="FFFFFF" w:themeColor="background1"/>
      </w:rPr>
      <w:tblPr/>
      <w:tcPr>
        <w:shd w:val="clear" w:color="auto" w:fill="9561CC" w:themeFill="accent4"/>
      </w:tcPr>
    </w:tblStylePr>
    <w:tblStylePr w:type="lastRow">
      <w:pPr>
        <w:spacing w:before="0" w:after="0" w:line="240" w:lineRule="auto"/>
      </w:pPr>
      <w:rPr>
        <w:b/>
        <w:bCs/>
      </w:rPr>
      <w:tblPr/>
      <w:tcPr>
        <w:tcBorders>
          <w:top w:val="double" w:sz="6" w:space="0" w:color="9561CC" w:themeColor="accent4"/>
          <w:left w:val="single" w:sz="8" w:space="0" w:color="9561CC" w:themeColor="accent4"/>
          <w:bottom w:val="single" w:sz="8" w:space="0" w:color="9561CC" w:themeColor="accent4"/>
          <w:right w:val="single" w:sz="8" w:space="0" w:color="9561CC" w:themeColor="accent4"/>
        </w:tcBorders>
      </w:tcPr>
    </w:tblStylePr>
    <w:tblStylePr w:type="firstCol">
      <w:rPr>
        <w:b/>
        <w:bCs/>
      </w:rPr>
    </w:tblStylePr>
    <w:tblStylePr w:type="lastCol">
      <w:rPr>
        <w:b/>
        <w:bCs/>
      </w:rPr>
    </w:tblStylePr>
    <w:tblStylePr w:type="band1Vert">
      <w:tblPr/>
      <w:tcPr>
        <w:tcBorders>
          <w:top w:val="single" w:sz="8" w:space="0" w:color="9561CC" w:themeColor="accent4"/>
          <w:left w:val="single" w:sz="8" w:space="0" w:color="9561CC" w:themeColor="accent4"/>
          <w:bottom w:val="single" w:sz="8" w:space="0" w:color="9561CC" w:themeColor="accent4"/>
          <w:right w:val="single" w:sz="8" w:space="0" w:color="9561CC" w:themeColor="accent4"/>
        </w:tcBorders>
      </w:tcPr>
    </w:tblStylePr>
    <w:tblStylePr w:type="band1Horz">
      <w:tblPr/>
      <w:tcPr>
        <w:tcBorders>
          <w:top w:val="single" w:sz="8" w:space="0" w:color="9561CC" w:themeColor="accent4"/>
          <w:left w:val="single" w:sz="8" w:space="0" w:color="9561CC" w:themeColor="accent4"/>
          <w:bottom w:val="single" w:sz="8" w:space="0" w:color="9561CC" w:themeColor="accent4"/>
          <w:right w:val="single" w:sz="8" w:space="0" w:color="9561CC" w:themeColor="accent4"/>
        </w:tcBorders>
      </w:tcPr>
    </w:tblStylePr>
  </w:style>
  <w:style w:type="table" w:styleId="LightList-Accent5">
    <w:name w:val="Light List Accent 5"/>
    <w:basedOn w:val="TableNormal"/>
    <w:uiPriority w:val="61"/>
    <w:semiHidden/>
    <w:unhideWhenUsed/>
    <w:rsid w:val="003C7715"/>
    <w:pPr>
      <w:spacing w:after="0" w:line="240" w:lineRule="auto"/>
    </w:pPr>
    <w:tblPr>
      <w:tblStyleRowBandSize w:val="1"/>
      <w:tblStyleColBandSize w:val="1"/>
      <w:tblBorders>
        <w:top w:val="single" w:sz="8" w:space="0" w:color="00ADC6" w:themeColor="accent5"/>
        <w:left w:val="single" w:sz="8" w:space="0" w:color="00ADC6" w:themeColor="accent5"/>
        <w:bottom w:val="single" w:sz="8" w:space="0" w:color="00ADC6" w:themeColor="accent5"/>
        <w:right w:val="single" w:sz="8" w:space="0" w:color="00ADC6" w:themeColor="accent5"/>
      </w:tblBorders>
    </w:tblPr>
    <w:tblStylePr w:type="firstRow">
      <w:pPr>
        <w:spacing w:before="0" w:after="0" w:line="240" w:lineRule="auto"/>
      </w:pPr>
      <w:rPr>
        <w:b/>
        <w:bCs/>
        <w:color w:val="FFFFFF" w:themeColor="background1"/>
      </w:rPr>
      <w:tblPr/>
      <w:tcPr>
        <w:shd w:val="clear" w:color="auto" w:fill="00ADC6" w:themeFill="accent5"/>
      </w:tcPr>
    </w:tblStylePr>
    <w:tblStylePr w:type="lastRow">
      <w:pPr>
        <w:spacing w:before="0" w:after="0" w:line="240" w:lineRule="auto"/>
      </w:pPr>
      <w:rPr>
        <w:b/>
        <w:bCs/>
      </w:rPr>
      <w:tblPr/>
      <w:tcPr>
        <w:tcBorders>
          <w:top w:val="double" w:sz="6" w:space="0" w:color="00ADC6" w:themeColor="accent5"/>
          <w:left w:val="single" w:sz="8" w:space="0" w:color="00ADC6" w:themeColor="accent5"/>
          <w:bottom w:val="single" w:sz="8" w:space="0" w:color="00ADC6" w:themeColor="accent5"/>
          <w:right w:val="single" w:sz="8" w:space="0" w:color="00ADC6" w:themeColor="accent5"/>
        </w:tcBorders>
      </w:tcPr>
    </w:tblStylePr>
    <w:tblStylePr w:type="firstCol">
      <w:rPr>
        <w:b/>
        <w:bCs/>
      </w:rPr>
    </w:tblStylePr>
    <w:tblStylePr w:type="lastCol">
      <w:rPr>
        <w:b/>
        <w:bCs/>
      </w:rPr>
    </w:tblStylePr>
    <w:tblStylePr w:type="band1Vert">
      <w:tblPr/>
      <w:tcPr>
        <w:tcBorders>
          <w:top w:val="single" w:sz="8" w:space="0" w:color="00ADC6" w:themeColor="accent5"/>
          <w:left w:val="single" w:sz="8" w:space="0" w:color="00ADC6" w:themeColor="accent5"/>
          <w:bottom w:val="single" w:sz="8" w:space="0" w:color="00ADC6" w:themeColor="accent5"/>
          <w:right w:val="single" w:sz="8" w:space="0" w:color="00ADC6" w:themeColor="accent5"/>
        </w:tcBorders>
      </w:tcPr>
    </w:tblStylePr>
    <w:tblStylePr w:type="band1Horz">
      <w:tblPr/>
      <w:tcPr>
        <w:tcBorders>
          <w:top w:val="single" w:sz="8" w:space="0" w:color="00ADC6" w:themeColor="accent5"/>
          <w:left w:val="single" w:sz="8" w:space="0" w:color="00ADC6" w:themeColor="accent5"/>
          <w:bottom w:val="single" w:sz="8" w:space="0" w:color="00ADC6" w:themeColor="accent5"/>
          <w:right w:val="single" w:sz="8" w:space="0" w:color="00ADC6" w:themeColor="accent5"/>
        </w:tcBorders>
      </w:tcPr>
    </w:tblStylePr>
  </w:style>
  <w:style w:type="table" w:styleId="LightList-Accent6">
    <w:name w:val="Light List Accent 6"/>
    <w:basedOn w:val="TableNormal"/>
    <w:uiPriority w:val="61"/>
    <w:semiHidden/>
    <w:unhideWhenUsed/>
    <w:rsid w:val="003C7715"/>
    <w:pPr>
      <w:spacing w:after="0" w:line="240" w:lineRule="auto"/>
    </w:pPr>
    <w:tblPr>
      <w:tblStyleRowBandSize w:val="1"/>
      <w:tblStyleColBandSize w:val="1"/>
      <w:tblBorders>
        <w:top w:val="single" w:sz="8" w:space="0" w:color="FD8F0A" w:themeColor="accent6"/>
        <w:left w:val="single" w:sz="8" w:space="0" w:color="FD8F0A" w:themeColor="accent6"/>
        <w:bottom w:val="single" w:sz="8" w:space="0" w:color="FD8F0A" w:themeColor="accent6"/>
        <w:right w:val="single" w:sz="8" w:space="0" w:color="FD8F0A" w:themeColor="accent6"/>
      </w:tblBorders>
    </w:tblPr>
    <w:tblStylePr w:type="firstRow">
      <w:pPr>
        <w:spacing w:before="0" w:after="0" w:line="240" w:lineRule="auto"/>
      </w:pPr>
      <w:rPr>
        <w:b/>
        <w:bCs/>
        <w:color w:val="FFFFFF" w:themeColor="background1"/>
      </w:rPr>
      <w:tblPr/>
      <w:tcPr>
        <w:shd w:val="clear" w:color="auto" w:fill="FD8F0A" w:themeFill="accent6"/>
      </w:tcPr>
    </w:tblStylePr>
    <w:tblStylePr w:type="lastRow">
      <w:pPr>
        <w:spacing w:before="0" w:after="0" w:line="240" w:lineRule="auto"/>
      </w:pPr>
      <w:rPr>
        <w:b/>
        <w:bCs/>
      </w:rPr>
      <w:tblPr/>
      <w:tcPr>
        <w:tcBorders>
          <w:top w:val="double" w:sz="6" w:space="0" w:color="FD8F0A" w:themeColor="accent6"/>
          <w:left w:val="single" w:sz="8" w:space="0" w:color="FD8F0A" w:themeColor="accent6"/>
          <w:bottom w:val="single" w:sz="8" w:space="0" w:color="FD8F0A" w:themeColor="accent6"/>
          <w:right w:val="single" w:sz="8" w:space="0" w:color="FD8F0A" w:themeColor="accent6"/>
        </w:tcBorders>
      </w:tcPr>
    </w:tblStylePr>
    <w:tblStylePr w:type="firstCol">
      <w:rPr>
        <w:b/>
        <w:bCs/>
      </w:rPr>
    </w:tblStylePr>
    <w:tblStylePr w:type="lastCol">
      <w:rPr>
        <w:b/>
        <w:bCs/>
      </w:rPr>
    </w:tblStylePr>
    <w:tblStylePr w:type="band1Vert">
      <w:tblPr/>
      <w:tcPr>
        <w:tcBorders>
          <w:top w:val="single" w:sz="8" w:space="0" w:color="FD8F0A" w:themeColor="accent6"/>
          <w:left w:val="single" w:sz="8" w:space="0" w:color="FD8F0A" w:themeColor="accent6"/>
          <w:bottom w:val="single" w:sz="8" w:space="0" w:color="FD8F0A" w:themeColor="accent6"/>
          <w:right w:val="single" w:sz="8" w:space="0" w:color="FD8F0A" w:themeColor="accent6"/>
        </w:tcBorders>
      </w:tcPr>
    </w:tblStylePr>
    <w:tblStylePr w:type="band1Horz">
      <w:tblPr/>
      <w:tcPr>
        <w:tcBorders>
          <w:top w:val="single" w:sz="8" w:space="0" w:color="FD8F0A" w:themeColor="accent6"/>
          <w:left w:val="single" w:sz="8" w:space="0" w:color="FD8F0A" w:themeColor="accent6"/>
          <w:bottom w:val="single" w:sz="8" w:space="0" w:color="FD8F0A" w:themeColor="accent6"/>
          <w:right w:val="single" w:sz="8" w:space="0" w:color="FD8F0A" w:themeColor="accent6"/>
        </w:tcBorders>
      </w:tcPr>
    </w:tblStylePr>
  </w:style>
  <w:style w:type="table" w:styleId="LightShading">
    <w:name w:val="Light Shading"/>
    <w:basedOn w:val="TableNormal"/>
    <w:uiPriority w:val="60"/>
    <w:semiHidden/>
    <w:unhideWhenUsed/>
    <w:rsid w:val="003C771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3C7715"/>
    <w:pPr>
      <w:spacing w:after="0" w:line="240" w:lineRule="auto"/>
    </w:pPr>
    <w:rPr>
      <w:color w:val="208855" w:themeColor="accent1" w:themeShade="BF"/>
    </w:rPr>
    <w:tblPr>
      <w:tblStyleRowBandSize w:val="1"/>
      <w:tblStyleColBandSize w:val="1"/>
      <w:tblBorders>
        <w:top w:val="single" w:sz="8" w:space="0" w:color="2BB673" w:themeColor="accent1"/>
        <w:bottom w:val="single" w:sz="8" w:space="0" w:color="2BB673" w:themeColor="accent1"/>
      </w:tblBorders>
    </w:tblPr>
    <w:tblStylePr w:type="firstRow">
      <w:pPr>
        <w:spacing w:before="0" w:after="0" w:line="240" w:lineRule="auto"/>
      </w:pPr>
      <w:rPr>
        <w:b/>
        <w:bCs/>
      </w:rPr>
      <w:tblPr/>
      <w:tcPr>
        <w:tcBorders>
          <w:top w:val="single" w:sz="8" w:space="0" w:color="2BB673" w:themeColor="accent1"/>
          <w:left w:val="nil"/>
          <w:bottom w:val="single" w:sz="8" w:space="0" w:color="2BB673" w:themeColor="accent1"/>
          <w:right w:val="nil"/>
          <w:insideH w:val="nil"/>
          <w:insideV w:val="nil"/>
        </w:tcBorders>
      </w:tcPr>
    </w:tblStylePr>
    <w:tblStylePr w:type="lastRow">
      <w:pPr>
        <w:spacing w:before="0" w:after="0" w:line="240" w:lineRule="auto"/>
      </w:pPr>
      <w:rPr>
        <w:b/>
        <w:bCs/>
      </w:rPr>
      <w:tblPr/>
      <w:tcPr>
        <w:tcBorders>
          <w:top w:val="single" w:sz="8" w:space="0" w:color="2BB673" w:themeColor="accent1"/>
          <w:left w:val="nil"/>
          <w:bottom w:val="single" w:sz="8" w:space="0" w:color="2BB67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F1DC" w:themeFill="accent1" w:themeFillTint="3F"/>
      </w:tcPr>
    </w:tblStylePr>
    <w:tblStylePr w:type="band1Horz">
      <w:tblPr/>
      <w:tcPr>
        <w:tcBorders>
          <w:left w:val="nil"/>
          <w:right w:val="nil"/>
          <w:insideH w:val="nil"/>
          <w:insideV w:val="nil"/>
        </w:tcBorders>
        <w:shd w:val="clear" w:color="auto" w:fill="C5F1DC" w:themeFill="accent1" w:themeFillTint="3F"/>
      </w:tcPr>
    </w:tblStylePr>
  </w:style>
  <w:style w:type="table" w:styleId="LightShading-Accent2">
    <w:name w:val="Light Shading Accent 2"/>
    <w:basedOn w:val="TableNormal"/>
    <w:uiPriority w:val="60"/>
    <w:semiHidden/>
    <w:unhideWhenUsed/>
    <w:rsid w:val="003C7715"/>
    <w:pPr>
      <w:spacing w:after="0" w:line="240" w:lineRule="auto"/>
    </w:pPr>
    <w:rPr>
      <w:color w:val="6D8613" w:themeColor="accent2" w:themeShade="BF"/>
    </w:rPr>
    <w:tblPr>
      <w:tblStyleRowBandSize w:val="1"/>
      <w:tblStyleColBandSize w:val="1"/>
      <w:tblBorders>
        <w:top w:val="single" w:sz="8" w:space="0" w:color="93B41A" w:themeColor="accent2"/>
        <w:bottom w:val="single" w:sz="8" w:space="0" w:color="93B41A" w:themeColor="accent2"/>
      </w:tblBorders>
    </w:tblPr>
    <w:tblStylePr w:type="firstRow">
      <w:pPr>
        <w:spacing w:before="0" w:after="0" w:line="240" w:lineRule="auto"/>
      </w:pPr>
      <w:rPr>
        <w:b/>
        <w:bCs/>
      </w:rPr>
      <w:tblPr/>
      <w:tcPr>
        <w:tcBorders>
          <w:top w:val="single" w:sz="8" w:space="0" w:color="93B41A" w:themeColor="accent2"/>
          <w:left w:val="nil"/>
          <w:bottom w:val="single" w:sz="8" w:space="0" w:color="93B41A" w:themeColor="accent2"/>
          <w:right w:val="nil"/>
          <w:insideH w:val="nil"/>
          <w:insideV w:val="nil"/>
        </w:tcBorders>
      </w:tcPr>
    </w:tblStylePr>
    <w:tblStylePr w:type="lastRow">
      <w:pPr>
        <w:spacing w:before="0" w:after="0" w:line="240" w:lineRule="auto"/>
      </w:pPr>
      <w:rPr>
        <w:b/>
        <w:bCs/>
      </w:rPr>
      <w:tblPr/>
      <w:tcPr>
        <w:tcBorders>
          <w:top w:val="single" w:sz="8" w:space="0" w:color="93B41A" w:themeColor="accent2"/>
          <w:left w:val="nil"/>
          <w:bottom w:val="single" w:sz="8" w:space="0" w:color="93B41A"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5BD" w:themeFill="accent2" w:themeFillTint="3F"/>
      </w:tcPr>
    </w:tblStylePr>
    <w:tblStylePr w:type="band1Horz">
      <w:tblPr/>
      <w:tcPr>
        <w:tcBorders>
          <w:left w:val="nil"/>
          <w:right w:val="nil"/>
          <w:insideH w:val="nil"/>
          <w:insideV w:val="nil"/>
        </w:tcBorders>
        <w:shd w:val="clear" w:color="auto" w:fill="E9F5BD" w:themeFill="accent2" w:themeFillTint="3F"/>
      </w:tcPr>
    </w:tblStylePr>
  </w:style>
  <w:style w:type="table" w:styleId="LightShading-Accent3">
    <w:name w:val="Light Shading Accent 3"/>
    <w:basedOn w:val="TableNormal"/>
    <w:uiPriority w:val="60"/>
    <w:semiHidden/>
    <w:unhideWhenUsed/>
    <w:rsid w:val="003C7715"/>
    <w:pPr>
      <w:spacing w:after="0" w:line="240" w:lineRule="auto"/>
    </w:pPr>
    <w:rPr>
      <w:color w:val="CF4110" w:themeColor="accent3" w:themeShade="BF"/>
    </w:rPr>
    <w:tblPr>
      <w:tblStyleRowBandSize w:val="1"/>
      <w:tblStyleColBandSize w:val="1"/>
      <w:tblBorders>
        <w:top w:val="single" w:sz="8" w:space="0" w:color="F06A3B" w:themeColor="accent3"/>
        <w:bottom w:val="single" w:sz="8" w:space="0" w:color="F06A3B" w:themeColor="accent3"/>
      </w:tblBorders>
    </w:tblPr>
    <w:tblStylePr w:type="firstRow">
      <w:pPr>
        <w:spacing w:before="0" w:after="0" w:line="240" w:lineRule="auto"/>
      </w:pPr>
      <w:rPr>
        <w:b/>
        <w:bCs/>
      </w:rPr>
      <w:tblPr/>
      <w:tcPr>
        <w:tcBorders>
          <w:top w:val="single" w:sz="8" w:space="0" w:color="F06A3B" w:themeColor="accent3"/>
          <w:left w:val="nil"/>
          <w:bottom w:val="single" w:sz="8" w:space="0" w:color="F06A3B" w:themeColor="accent3"/>
          <w:right w:val="nil"/>
          <w:insideH w:val="nil"/>
          <w:insideV w:val="nil"/>
        </w:tcBorders>
      </w:tcPr>
    </w:tblStylePr>
    <w:tblStylePr w:type="lastRow">
      <w:pPr>
        <w:spacing w:before="0" w:after="0" w:line="240" w:lineRule="auto"/>
      </w:pPr>
      <w:rPr>
        <w:b/>
        <w:bCs/>
      </w:rPr>
      <w:tblPr/>
      <w:tcPr>
        <w:tcBorders>
          <w:top w:val="single" w:sz="8" w:space="0" w:color="F06A3B" w:themeColor="accent3"/>
          <w:left w:val="nil"/>
          <w:bottom w:val="single" w:sz="8" w:space="0" w:color="F06A3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D9CE" w:themeFill="accent3" w:themeFillTint="3F"/>
      </w:tcPr>
    </w:tblStylePr>
    <w:tblStylePr w:type="band1Horz">
      <w:tblPr/>
      <w:tcPr>
        <w:tcBorders>
          <w:left w:val="nil"/>
          <w:right w:val="nil"/>
          <w:insideH w:val="nil"/>
          <w:insideV w:val="nil"/>
        </w:tcBorders>
        <w:shd w:val="clear" w:color="auto" w:fill="FBD9CE" w:themeFill="accent3" w:themeFillTint="3F"/>
      </w:tcPr>
    </w:tblStylePr>
  </w:style>
  <w:style w:type="table" w:styleId="LightShading-Accent4">
    <w:name w:val="Light Shading Accent 4"/>
    <w:basedOn w:val="TableNormal"/>
    <w:uiPriority w:val="60"/>
    <w:semiHidden/>
    <w:unhideWhenUsed/>
    <w:rsid w:val="003C7715"/>
    <w:pPr>
      <w:spacing w:after="0" w:line="240" w:lineRule="auto"/>
    </w:pPr>
    <w:rPr>
      <w:color w:val="6E37AA" w:themeColor="accent4" w:themeShade="BF"/>
    </w:rPr>
    <w:tblPr>
      <w:tblStyleRowBandSize w:val="1"/>
      <w:tblStyleColBandSize w:val="1"/>
      <w:tblBorders>
        <w:top w:val="single" w:sz="8" w:space="0" w:color="9561CC" w:themeColor="accent4"/>
        <w:bottom w:val="single" w:sz="8" w:space="0" w:color="9561CC" w:themeColor="accent4"/>
      </w:tblBorders>
    </w:tblPr>
    <w:tblStylePr w:type="firstRow">
      <w:pPr>
        <w:spacing w:before="0" w:after="0" w:line="240" w:lineRule="auto"/>
      </w:pPr>
      <w:rPr>
        <w:b/>
        <w:bCs/>
      </w:rPr>
      <w:tblPr/>
      <w:tcPr>
        <w:tcBorders>
          <w:top w:val="single" w:sz="8" w:space="0" w:color="9561CC" w:themeColor="accent4"/>
          <w:left w:val="nil"/>
          <w:bottom w:val="single" w:sz="8" w:space="0" w:color="9561CC" w:themeColor="accent4"/>
          <w:right w:val="nil"/>
          <w:insideH w:val="nil"/>
          <w:insideV w:val="nil"/>
        </w:tcBorders>
      </w:tcPr>
    </w:tblStylePr>
    <w:tblStylePr w:type="lastRow">
      <w:pPr>
        <w:spacing w:before="0" w:after="0" w:line="240" w:lineRule="auto"/>
      </w:pPr>
      <w:rPr>
        <w:b/>
        <w:bCs/>
      </w:rPr>
      <w:tblPr/>
      <w:tcPr>
        <w:tcBorders>
          <w:top w:val="single" w:sz="8" w:space="0" w:color="9561CC" w:themeColor="accent4"/>
          <w:left w:val="nil"/>
          <w:bottom w:val="single" w:sz="8" w:space="0" w:color="9561C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D7F2" w:themeFill="accent4" w:themeFillTint="3F"/>
      </w:tcPr>
    </w:tblStylePr>
    <w:tblStylePr w:type="band1Horz">
      <w:tblPr/>
      <w:tcPr>
        <w:tcBorders>
          <w:left w:val="nil"/>
          <w:right w:val="nil"/>
          <w:insideH w:val="nil"/>
          <w:insideV w:val="nil"/>
        </w:tcBorders>
        <w:shd w:val="clear" w:color="auto" w:fill="E4D7F2" w:themeFill="accent4" w:themeFillTint="3F"/>
      </w:tcPr>
    </w:tblStylePr>
  </w:style>
  <w:style w:type="table" w:styleId="LightShading-Accent5">
    <w:name w:val="Light Shading Accent 5"/>
    <w:basedOn w:val="TableNormal"/>
    <w:uiPriority w:val="60"/>
    <w:semiHidden/>
    <w:unhideWhenUsed/>
    <w:rsid w:val="003C7715"/>
    <w:pPr>
      <w:spacing w:after="0" w:line="240" w:lineRule="auto"/>
    </w:pPr>
    <w:rPr>
      <w:color w:val="008094" w:themeColor="accent5" w:themeShade="BF"/>
    </w:rPr>
    <w:tblPr>
      <w:tblStyleRowBandSize w:val="1"/>
      <w:tblStyleColBandSize w:val="1"/>
      <w:tblBorders>
        <w:top w:val="single" w:sz="8" w:space="0" w:color="00ADC6" w:themeColor="accent5"/>
        <w:bottom w:val="single" w:sz="8" w:space="0" w:color="00ADC6" w:themeColor="accent5"/>
      </w:tblBorders>
    </w:tblPr>
    <w:tblStylePr w:type="firstRow">
      <w:pPr>
        <w:spacing w:before="0" w:after="0" w:line="240" w:lineRule="auto"/>
      </w:pPr>
      <w:rPr>
        <w:b/>
        <w:bCs/>
      </w:rPr>
      <w:tblPr/>
      <w:tcPr>
        <w:tcBorders>
          <w:top w:val="single" w:sz="8" w:space="0" w:color="00ADC6" w:themeColor="accent5"/>
          <w:left w:val="nil"/>
          <w:bottom w:val="single" w:sz="8" w:space="0" w:color="00ADC6" w:themeColor="accent5"/>
          <w:right w:val="nil"/>
          <w:insideH w:val="nil"/>
          <w:insideV w:val="nil"/>
        </w:tcBorders>
      </w:tcPr>
    </w:tblStylePr>
    <w:tblStylePr w:type="lastRow">
      <w:pPr>
        <w:spacing w:before="0" w:after="0" w:line="240" w:lineRule="auto"/>
      </w:pPr>
      <w:rPr>
        <w:b/>
        <w:bCs/>
      </w:rPr>
      <w:tblPr/>
      <w:tcPr>
        <w:tcBorders>
          <w:top w:val="single" w:sz="8" w:space="0" w:color="00ADC6" w:themeColor="accent5"/>
          <w:left w:val="nil"/>
          <w:bottom w:val="single" w:sz="8" w:space="0" w:color="00AD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1F4FF" w:themeFill="accent5" w:themeFillTint="3F"/>
      </w:tcPr>
    </w:tblStylePr>
    <w:tblStylePr w:type="band1Horz">
      <w:tblPr/>
      <w:tcPr>
        <w:tcBorders>
          <w:left w:val="nil"/>
          <w:right w:val="nil"/>
          <w:insideH w:val="nil"/>
          <w:insideV w:val="nil"/>
        </w:tcBorders>
        <w:shd w:val="clear" w:color="auto" w:fill="B1F4FF" w:themeFill="accent5" w:themeFillTint="3F"/>
      </w:tcPr>
    </w:tblStylePr>
  </w:style>
  <w:style w:type="table" w:styleId="LightShading-Accent6">
    <w:name w:val="Light Shading Accent 6"/>
    <w:basedOn w:val="TableNormal"/>
    <w:uiPriority w:val="60"/>
    <w:semiHidden/>
    <w:unhideWhenUsed/>
    <w:rsid w:val="003C7715"/>
    <w:pPr>
      <w:spacing w:after="0" w:line="240" w:lineRule="auto"/>
    </w:pPr>
    <w:rPr>
      <w:color w:val="C36B01" w:themeColor="accent6" w:themeShade="BF"/>
    </w:rPr>
    <w:tblPr>
      <w:tblStyleRowBandSize w:val="1"/>
      <w:tblStyleColBandSize w:val="1"/>
      <w:tblBorders>
        <w:top w:val="single" w:sz="8" w:space="0" w:color="FD8F0A" w:themeColor="accent6"/>
        <w:bottom w:val="single" w:sz="8" w:space="0" w:color="FD8F0A" w:themeColor="accent6"/>
      </w:tblBorders>
    </w:tblPr>
    <w:tblStylePr w:type="firstRow">
      <w:pPr>
        <w:spacing w:before="0" w:after="0" w:line="240" w:lineRule="auto"/>
      </w:pPr>
      <w:rPr>
        <w:b/>
        <w:bCs/>
      </w:rPr>
      <w:tblPr/>
      <w:tcPr>
        <w:tcBorders>
          <w:top w:val="single" w:sz="8" w:space="0" w:color="FD8F0A" w:themeColor="accent6"/>
          <w:left w:val="nil"/>
          <w:bottom w:val="single" w:sz="8" w:space="0" w:color="FD8F0A" w:themeColor="accent6"/>
          <w:right w:val="nil"/>
          <w:insideH w:val="nil"/>
          <w:insideV w:val="nil"/>
        </w:tcBorders>
      </w:tcPr>
    </w:tblStylePr>
    <w:tblStylePr w:type="lastRow">
      <w:pPr>
        <w:spacing w:before="0" w:after="0" w:line="240" w:lineRule="auto"/>
      </w:pPr>
      <w:rPr>
        <w:b/>
        <w:bCs/>
      </w:rPr>
      <w:tblPr/>
      <w:tcPr>
        <w:tcBorders>
          <w:top w:val="single" w:sz="8" w:space="0" w:color="FD8F0A" w:themeColor="accent6"/>
          <w:left w:val="nil"/>
          <w:bottom w:val="single" w:sz="8" w:space="0" w:color="FD8F0A"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E3C2" w:themeFill="accent6" w:themeFillTint="3F"/>
      </w:tcPr>
    </w:tblStylePr>
    <w:tblStylePr w:type="band1Horz">
      <w:tblPr/>
      <w:tcPr>
        <w:tcBorders>
          <w:left w:val="nil"/>
          <w:right w:val="nil"/>
          <w:insideH w:val="nil"/>
          <w:insideV w:val="nil"/>
        </w:tcBorders>
        <w:shd w:val="clear" w:color="auto" w:fill="FEE3C2" w:themeFill="accent6" w:themeFillTint="3F"/>
      </w:tcPr>
    </w:tblStylePr>
  </w:style>
  <w:style w:type="character" w:styleId="LineNumber">
    <w:name w:val="line number"/>
    <w:basedOn w:val="DefaultParagraphFont"/>
    <w:uiPriority w:val="99"/>
    <w:semiHidden/>
    <w:unhideWhenUsed/>
    <w:rsid w:val="003C7715"/>
  </w:style>
  <w:style w:type="paragraph" w:styleId="List">
    <w:name w:val="List"/>
    <w:basedOn w:val="Normal"/>
    <w:uiPriority w:val="99"/>
    <w:semiHidden/>
    <w:unhideWhenUsed/>
    <w:rsid w:val="003C7715"/>
    <w:pPr>
      <w:ind w:left="283" w:hanging="283"/>
      <w:contextualSpacing/>
    </w:pPr>
  </w:style>
  <w:style w:type="paragraph" w:styleId="List2">
    <w:name w:val="List 2"/>
    <w:basedOn w:val="Normal"/>
    <w:uiPriority w:val="99"/>
    <w:semiHidden/>
    <w:unhideWhenUsed/>
    <w:rsid w:val="003C7715"/>
    <w:pPr>
      <w:ind w:left="566" w:hanging="283"/>
      <w:contextualSpacing/>
    </w:pPr>
  </w:style>
  <w:style w:type="paragraph" w:styleId="List3">
    <w:name w:val="List 3"/>
    <w:basedOn w:val="Normal"/>
    <w:uiPriority w:val="99"/>
    <w:semiHidden/>
    <w:unhideWhenUsed/>
    <w:rsid w:val="003C7715"/>
    <w:pPr>
      <w:ind w:left="849" w:hanging="283"/>
      <w:contextualSpacing/>
    </w:pPr>
  </w:style>
  <w:style w:type="paragraph" w:styleId="List4">
    <w:name w:val="List 4"/>
    <w:basedOn w:val="Normal"/>
    <w:uiPriority w:val="99"/>
    <w:semiHidden/>
    <w:unhideWhenUsed/>
    <w:rsid w:val="003C7715"/>
    <w:pPr>
      <w:ind w:left="1132" w:hanging="283"/>
      <w:contextualSpacing/>
    </w:pPr>
  </w:style>
  <w:style w:type="paragraph" w:styleId="List5">
    <w:name w:val="List 5"/>
    <w:basedOn w:val="Normal"/>
    <w:uiPriority w:val="99"/>
    <w:semiHidden/>
    <w:unhideWhenUsed/>
    <w:rsid w:val="003C7715"/>
    <w:pPr>
      <w:ind w:left="1415" w:hanging="283"/>
      <w:contextualSpacing/>
    </w:pPr>
  </w:style>
  <w:style w:type="paragraph" w:styleId="ListBullet">
    <w:name w:val="List Bullet"/>
    <w:basedOn w:val="Normal"/>
    <w:uiPriority w:val="3"/>
    <w:semiHidden/>
    <w:unhideWhenUsed/>
    <w:rsid w:val="003C7715"/>
    <w:pPr>
      <w:numPr>
        <w:numId w:val="23"/>
      </w:numPr>
      <w:contextualSpacing/>
    </w:pPr>
  </w:style>
  <w:style w:type="paragraph" w:styleId="ListBullet2">
    <w:name w:val="List Bullet 2"/>
    <w:basedOn w:val="Normal"/>
    <w:uiPriority w:val="3"/>
    <w:semiHidden/>
    <w:unhideWhenUsed/>
    <w:rsid w:val="003C7715"/>
    <w:pPr>
      <w:numPr>
        <w:numId w:val="24"/>
      </w:numPr>
      <w:contextualSpacing/>
    </w:pPr>
  </w:style>
  <w:style w:type="paragraph" w:styleId="ListBullet3">
    <w:name w:val="List Bullet 3"/>
    <w:basedOn w:val="Normal"/>
    <w:uiPriority w:val="3"/>
    <w:semiHidden/>
    <w:unhideWhenUsed/>
    <w:rsid w:val="003C7715"/>
    <w:pPr>
      <w:numPr>
        <w:numId w:val="25"/>
      </w:numPr>
      <w:contextualSpacing/>
    </w:pPr>
  </w:style>
  <w:style w:type="paragraph" w:styleId="ListBullet4">
    <w:name w:val="List Bullet 4"/>
    <w:basedOn w:val="Normal"/>
    <w:uiPriority w:val="3"/>
    <w:semiHidden/>
    <w:unhideWhenUsed/>
    <w:rsid w:val="003C7715"/>
    <w:pPr>
      <w:numPr>
        <w:numId w:val="26"/>
      </w:numPr>
      <w:contextualSpacing/>
    </w:pPr>
  </w:style>
  <w:style w:type="paragraph" w:styleId="ListBullet5">
    <w:name w:val="List Bullet 5"/>
    <w:basedOn w:val="Normal"/>
    <w:uiPriority w:val="99"/>
    <w:semiHidden/>
    <w:rsid w:val="003C7715"/>
    <w:pPr>
      <w:numPr>
        <w:numId w:val="27"/>
      </w:numPr>
      <w:contextualSpacing/>
    </w:pPr>
  </w:style>
  <w:style w:type="paragraph" w:styleId="ListContinue">
    <w:name w:val="List Continue"/>
    <w:basedOn w:val="Normal"/>
    <w:uiPriority w:val="4"/>
    <w:semiHidden/>
    <w:unhideWhenUsed/>
    <w:rsid w:val="003C7715"/>
    <w:pPr>
      <w:spacing w:after="120"/>
      <w:ind w:left="283"/>
      <w:contextualSpacing/>
    </w:pPr>
  </w:style>
  <w:style w:type="paragraph" w:styleId="ListContinue2">
    <w:name w:val="List Continue 2"/>
    <w:basedOn w:val="Normal"/>
    <w:uiPriority w:val="4"/>
    <w:semiHidden/>
    <w:unhideWhenUsed/>
    <w:rsid w:val="003C7715"/>
    <w:pPr>
      <w:spacing w:after="120"/>
      <w:ind w:left="566"/>
      <w:contextualSpacing/>
    </w:pPr>
  </w:style>
  <w:style w:type="paragraph" w:styleId="ListContinue3">
    <w:name w:val="List Continue 3"/>
    <w:basedOn w:val="Normal"/>
    <w:uiPriority w:val="4"/>
    <w:semiHidden/>
    <w:unhideWhenUsed/>
    <w:rsid w:val="003C7715"/>
    <w:pPr>
      <w:spacing w:after="120"/>
      <w:ind w:left="849"/>
      <w:contextualSpacing/>
    </w:pPr>
  </w:style>
  <w:style w:type="paragraph" w:styleId="ListContinue4">
    <w:name w:val="List Continue 4"/>
    <w:basedOn w:val="Normal"/>
    <w:uiPriority w:val="4"/>
    <w:semiHidden/>
    <w:unhideWhenUsed/>
    <w:rsid w:val="003C7715"/>
    <w:pPr>
      <w:spacing w:after="120"/>
      <w:ind w:left="1132"/>
      <w:contextualSpacing/>
    </w:pPr>
  </w:style>
  <w:style w:type="paragraph" w:styleId="ListContinue5">
    <w:name w:val="List Continue 5"/>
    <w:basedOn w:val="Normal"/>
    <w:uiPriority w:val="99"/>
    <w:semiHidden/>
    <w:unhideWhenUsed/>
    <w:rsid w:val="003C7715"/>
    <w:pPr>
      <w:spacing w:after="120"/>
      <w:ind w:left="1415"/>
      <w:contextualSpacing/>
    </w:pPr>
  </w:style>
  <w:style w:type="paragraph" w:styleId="ListNumber">
    <w:name w:val="List Number"/>
    <w:basedOn w:val="Normal"/>
    <w:uiPriority w:val="5"/>
    <w:semiHidden/>
    <w:unhideWhenUsed/>
    <w:rsid w:val="003C7715"/>
    <w:pPr>
      <w:numPr>
        <w:numId w:val="28"/>
      </w:numPr>
      <w:contextualSpacing/>
    </w:pPr>
  </w:style>
  <w:style w:type="paragraph" w:styleId="ListNumber2">
    <w:name w:val="List Number 2"/>
    <w:basedOn w:val="Normal"/>
    <w:uiPriority w:val="5"/>
    <w:semiHidden/>
    <w:unhideWhenUsed/>
    <w:rsid w:val="003C7715"/>
    <w:pPr>
      <w:numPr>
        <w:numId w:val="29"/>
      </w:numPr>
      <w:contextualSpacing/>
    </w:pPr>
  </w:style>
  <w:style w:type="paragraph" w:styleId="ListNumber3">
    <w:name w:val="List Number 3"/>
    <w:basedOn w:val="Normal"/>
    <w:uiPriority w:val="5"/>
    <w:semiHidden/>
    <w:unhideWhenUsed/>
    <w:rsid w:val="003C7715"/>
    <w:pPr>
      <w:numPr>
        <w:numId w:val="30"/>
      </w:numPr>
      <w:contextualSpacing/>
    </w:pPr>
  </w:style>
  <w:style w:type="paragraph" w:styleId="ListNumber4">
    <w:name w:val="List Number 4"/>
    <w:basedOn w:val="Normal"/>
    <w:uiPriority w:val="97"/>
    <w:semiHidden/>
    <w:unhideWhenUsed/>
    <w:rsid w:val="003C7715"/>
    <w:pPr>
      <w:numPr>
        <w:numId w:val="7"/>
      </w:numPr>
      <w:contextualSpacing/>
    </w:pPr>
  </w:style>
  <w:style w:type="paragraph" w:styleId="ListNumber5">
    <w:name w:val="List Number 5"/>
    <w:basedOn w:val="Normal"/>
    <w:uiPriority w:val="99"/>
    <w:semiHidden/>
    <w:rsid w:val="003C7715"/>
    <w:pPr>
      <w:numPr>
        <w:numId w:val="31"/>
      </w:numPr>
      <w:contextualSpacing/>
    </w:pPr>
  </w:style>
  <w:style w:type="paragraph" w:styleId="ListParagraph">
    <w:name w:val="List Paragraph"/>
    <w:basedOn w:val="Normal"/>
    <w:uiPriority w:val="34"/>
    <w:qFormat/>
    <w:rsid w:val="003C7715"/>
    <w:pPr>
      <w:ind w:left="720"/>
      <w:contextualSpacing/>
    </w:pPr>
  </w:style>
  <w:style w:type="table" w:styleId="ListTable1Light">
    <w:name w:val="List Table 1 Light"/>
    <w:basedOn w:val="TableNormal"/>
    <w:uiPriority w:val="46"/>
    <w:rsid w:val="003C771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3C7715"/>
    <w:pPr>
      <w:spacing w:after="0" w:line="240" w:lineRule="auto"/>
    </w:pPr>
    <w:tblPr>
      <w:tblStyleRowBandSize w:val="1"/>
      <w:tblStyleColBandSize w:val="1"/>
    </w:tblPr>
    <w:tblStylePr w:type="firstRow">
      <w:rPr>
        <w:b/>
        <w:bCs/>
      </w:rPr>
      <w:tblPr/>
      <w:tcPr>
        <w:tcBorders>
          <w:bottom w:val="single" w:sz="4" w:space="0" w:color="74DEAB" w:themeColor="accent1" w:themeTint="99"/>
        </w:tcBorders>
      </w:tcPr>
    </w:tblStylePr>
    <w:tblStylePr w:type="lastRow">
      <w:rPr>
        <w:b/>
        <w:bCs/>
      </w:rPr>
      <w:tblPr/>
      <w:tcPr>
        <w:tcBorders>
          <w:top w:val="single" w:sz="4" w:space="0" w:color="74DEAB" w:themeColor="accent1" w:themeTint="99"/>
        </w:tcBorders>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ListTable1Light-Accent2">
    <w:name w:val="List Table 1 Light Accent 2"/>
    <w:basedOn w:val="TableNormal"/>
    <w:uiPriority w:val="46"/>
    <w:rsid w:val="003C7715"/>
    <w:pPr>
      <w:spacing w:after="0" w:line="240" w:lineRule="auto"/>
    </w:pPr>
    <w:tblPr>
      <w:tblStyleRowBandSize w:val="1"/>
      <w:tblStyleColBandSize w:val="1"/>
    </w:tblPr>
    <w:tblStylePr w:type="firstRow">
      <w:rPr>
        <w:b/>
        <w:bCs/>
      </w:rPr>
      <w:tblPr/>
      <w:tcPr>
        <w:tcBorders>
          <w:bottom w:val="single" w:sz="4" w:space="0" w:color="CAE85F" w:themeColor="accent2" w:themeTint="99"/>
        </w:tcBorders>
      </w:tcPr>
    </w:tblStylePr>
    <w:tblStylePr w:type="lastRow">
      <w:rPr>
        <w:b/>
        <w:bCs/>
      </w:rPr>
      <w:tblPr/>
      <w:tcPr>
        <w:tcBorders>
          <w:top w:val="single" w:sz="4" w:space="0" w:color="CAE85F" w:themeColor="accent2" w:themeTint="99"/>
        </w:tcBorders>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ListTable1Light-Accent3">
    <w:name w:val="List Table 1 Light Accent 3"/>
    <w:basedOn w:val="TableNormal"/>
    <w:uiPriority w:val="46"/>
    <w:rsid w:val="003C7715"/>
    <w:pPr>
      <w:spacing w:after="0" w:line="240" w:lineRule="auto"/>
    </w:pPr>
    <w:tblPr>
      <w:tblStyleRowBandSize w:val="1"/>
      <w:tblStyleColBandSize w:val="1"/>
    </w:tblPr>
    <w:tblStylePr w:type="firstRow">
      <w:rPr>
        <w:b/>
        <w:bCs/>
      </w:rPr>
      <w:tblPr/>
      <w:tcPr>
        <w:tcBorders>
          <w:bottom w:val="single" w:sz="4" w:space="0" w:color="F6A589" w:themeColor="accent3" w:themeTint="99"/>
        </w:tcBorders>
      </w:tcPr>
    </w:tblStylePr>
    <w:tblStylePr w:type="lastRow">
      <w:rPr>
        <w:b/>
        <w:bCs/>
      </w:rPr>
      <w:tblPr/>
      <w:tcPr>
        <w:tcBorders>
          <w:top w:val="single" w:sz="4" w:space="0" w:color="F6A589" w:themeColor="accent3" w:themeTint="99"/>
        </w:tcBorders>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ListTable1Light-Accent4">
    <w:name w:val="List Table 1 Light Accent 4"/>
    <w:basedOn w:val="TableNormal"/>
    <w:uiPriority w:val="46"/>
    <w:rsid w:val="003C7715"/>
    <w:pPr>
      <w:spacing w:after="0" w:line="240" w:lineRule="auto"/>
    </w:pPr>
    <w:tblPr>
      <w:tblStyleRowBandSize w:val="1"/>
      <w:tblStyleColBandSize w:val="1"/>
    </w:tblPr>
    <w:tblStylePr w:type="firstRow">
      <w:rPr>
        <w:b/>
        <w:bCs/>
      </w:rPr>
      <w:tblPr/>
      <w:tcPr>
        <w:tcBorders>
          <w:bottom w:val="single" w:sz="4" w:space="0" w:color="BFA0E0" w:themeColor="accent4" w:themeTint="99"/>
        </w:tcBorders>
      </w:tcPr>
    </w:tblStylePr>
    <w:tblStylePr w:type="lastRow">
      <w:rPr>
        <w:b/>
        <w:bCs/>
      </w:rPr>
      <w:tblPr/>
      <w:tcPr>
        <w:tcBorders>
          <w:top w:val="single" w:sz="4" w:space="0" w:color="BFA0E0" w:themeColor="accent4" w:themeTint="99"/>
        </w:tcBorders>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ListTable1Light-Accent5">
    <w:name w:val="List Table 1 Light Accent 5"/>
    <w:basedOn w:val="TableNormal"/>
    <w:uiPriority w:val="46"/>
    <w:rsid w:val="003C7715"/>
    <w:pPr>
      <w:spacing w:after="0" w:line="240" w:lineRule="auto"/>
    </w:pPr>
    <w:tblPr>
      <w:tblStyleRowBandSize w:val="1"/>
      <w:tblStyleColBandSize w:val="1"/>
    </w:tblPr>
    <w:tblStylePr w:type="firstRow">
      <w:rPr>
        <w:b/>
        <w:bCs/>
      </w:rPr>
      <w:tblPr/>
      <w:tcPr>
        <w:tcBorders>
          <w:bottom w:val="single" w:sz="4" w:space="0" w:color="43E6FF" w:themeColor="accent5" w:themeTint="99"/>
        </w:tcBorders>
      </w:tcPr>
    </w:tblStylePr>
    <w:tblStylePr w:type="lastRow">
      <w:rPr>
        <w:b/>
        <w:bCs/>
      </w:rPr>
      <w:tblPr/>
      <w:tcPr>
        <w:tcBorders>
          <w:top w:val="single" w:sz="4" w:space="0" w:color="43E6FF" w:themeColor="accent5" w:themeTint="99"/>
        </w:tcBorders>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ListTable1Light-Accent6">
    <w:name w:val="List Table 1 Light Accent 6"/>
    <w:basedOn w:val="TableNormal"/>
    <w:uiPriority w:val="46"/>
    <w:rsid w:val="003C7715"/>
    <w:pPr>
      <w:spacing w:after="0" w:line="240" w:lineRule="auto"/>
    </w:pPr>
    <w:tblPr>
      <w:tblStyleRowBandSize w:val="1"/>
      <w:tblStyleColBandSize w:val="1"/>
    </w:tblPr>
    <w:tblStylePr w:type="firstRow">
      <w:rPr>
        <w:b/>
        <w:bCs/>
      </w:rPr>
      <w:tblPr/>
      <w:tcPr>
        <w:tcBorders>
          <w:bottom w:val="single" w:sz="4" w:space="0" w:color="FDBB6B" w:themeColor="accent6" w:themeTint="99"/>
        </w:tcBorders>
      </w:tcPr>
    </w:tblStylePr>
    <w:tblStylePr w:type="lastRow">
      <w:rPr>
        <w:b/>
        <w:bCs/>
      </w:rPr>
      <w:tblPr/>
      <w:tcPr>
        <w:tcBorders>
          <w:top w:val="single" w:sz="4" w:space="0" w:color="FDBB6B" w:themeColor="accent6" w:themeTint="99"/>
        </w:tcBorders>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ListTable2">
    <w:name w:val="List Table 2"/>
    <w:basedOn w:val="TableNormal"/>
    <w:uiPriority w:val="47"/>
    <w:rsid w:val="003C771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3C7715"/>
    <w:pPr>
      <w:spacing w:after="0" w:line="240" w:lineRule="auto"/>
    </w:pPr>
    <w:tblPr>
      <w:tblStyleRowBandSize w:val="1"/>
      <w:tblStyleColBandSize w:val="1"/>
      <w:tblBorders>
        <w:top w:val="single" w:sz="4" w:space="0" w:color="74DEAB" w:themeColor="accent1" w:themeTint="99"/>
        <w:bottom w:val="single" w:sz="4" w:space="0" w:color="74DEAB" w:themeColor="accent1" w:themeTint="99"/>
        <w:insideH w:val="single" w:sz="4" w:space="0" w:color="74DEA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ListTable2-Accent2">
    <w:name w:val="List Table 2 Accent 2"/>
    <w:basedOn w:val="TableNormal"/>
    <w:uiPriority w:val="47"/>
    <w:rsid w:val="003C7715"/>
    <w:pPr>
      <w:spacing w:after="0" w:line="240" w:lineRule="auto"/>
    </w:pPr>
    <w:tblPr>
      <w:tblStyleRowBandSize w:val="1"/>
      <w:tblStyleColBandSize w:val="1"/>
      <w:tblBorders>
        <w:top w:val="single" w:sz="4" w:space="0" w:color="CAE85F" w:themeColor="accent2" w:themeTint="99"/>
        <w:bottom w:val="single" w:sz="4" w:space="0" w:color="CAE85F" w:themeColor="accent2" w:themeTint="99"/>
        <w:insideH w:val="single" w:sz="4" w:space="0" w:color="CAE85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ListTable2-Accent3">
    <w:name w:val="List Table 2 Accent 3"/>
    <w:basedOn w:val="TableNormal"/>
    <w:uiPriority w:val="47"/>
    <w:rsid w:val="003C7715"/>
    <w:pPr>
      <w:spacing w:after="0" w:line="240" w:lineRule="auto"/>
    </w:pPr>
    <w:tblPr>
      <w:tblStyleRowBandSize w:val="1"/>
      <w:tblStyleColBandSize w:val="1"/>
      <w:tblBorders>
        <w:top w:val="single" w:sz="4" w:space="0" w:color="F6A589" w:themeColor="accent3" w:themeTint="99"/>
        <w:bottom w:val="single" w:sz="4" w:space="0" w:color="F6A589" w:themeColor="accent3" w:themeTint="99"/>
        <w:insideH w:val="single" w:sz="4" w:space="0" w:color="F6A58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ListTable2-Accent4">
    <w:name w:val="List Table 2 Accent 4"/>
    <w:basedOn w:val="TableNormal"/>
    <w:uiPriority w:val="47"/>
    <w:rsid w:val="003C7715"/>
    <w:pPr>
      <w:spacing w:after="0" w:line="240" w:lineRule="auto"/>
    </w:pPr>
    <w:tblPr>
      <w:tblStyleRowBandSize w:val="1"/>
      <w:tblStyleColBandSize w:val="1"/>
      <w:tblBorders>
        <w:top w:val="single" w:sz="4" w:space="0" w:color="BFA0E0" w:themeColor="accent4" w:themeTint="99"/>
        <w:bottom w:val="single" w:sz="4" w:space="0" w:color="BFA0E0" w:themeColor="accent4" w:themeTint="99"/>
        <w:insideH w:val="single" w:sz="4" w:space="0" w:color="BFA0E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ListTable2-Accent5">
    <w:name w:val="List Table 2 Accent 5"/>
    <w:basedOn w:val="TableNormal"/>
    <w:uiPriority w:val="47"/>
    <w:rsid w:val="003C7715"/>
    <w:pPr>
      <w:spacing w:after="0" w:line="240" w:lineRule="auto"/>
    </w:pPr>
    <w:tblPr>
      <w:tblStyleRowBandSize w:val="1"/>
      <w:tblStyleColBandSize w:val="1"/>
      <w:tblBorders>
        <w:top w:val="single" w:sz="4" w:space="0" w:color="43E6FF" w:themeColor="accent5" w:themeTint="99"/>
        <w:bottom w:val="single" w:sz="4" w:space="0" w:color="43E6FF" w:themeColor="accent5" w:themeTint="99"/>
        <w:insideH w:val="single" w:sz="4" w:space="0" w:color="43E6F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ListTable2-Accent6">
    <w:name w:val="List Table 2 Accent 6"/>
    <w:basedOn w:val="TableNormal"/>
    <w:uiPriority w:val="47"/>
    <w:rsid w:val="003C7715"/>
    <w:pPr>
      <w:spacing w:after="0" w:line="240" w:lineRule="auto"/>
    </w:pPr>
    <w:tblPr>
      <w:tblStyleRowBandSize w:val="1"/>
      <w:tblStyleColBandSize w:val="1"/>
      <w:tblBorders>
        <w:top w:val="single" w:sz="4" w:space="0" w:color="FDBB6B" w:themeColor="accent6" w:themeTint="99"/>
        <w:bottom w:val="single" w:sz="4" w:space="0" w:color="FDBB6B" w:themeColor="accent6" w:themeTint="99"/>
        <w:insideH w:val="single" w:sz="4" w:space="0" w:color="FDBB6B"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ListTable3">
    <w:name w:val="List Table 3"/>
    <w:basedOn w:val="TableNormal"/>
    <w:uiPriority w:val="48"/>
    <w:rsid w:val="003C771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3C7715"/>
    <w:pPr>
      <w:spacing w:after="0" w:line="240" w:lineRule="auto"/>
    </w:pPr>
    <w:tblPr>
      <w:tblStyleRowBandSize w:val="1"/>
      <w:tblStyleColBandSize w:val="1"/>
      <w:tblBorders>
        <w:top w:val="single" w:sz="4" w:space="0" w:color="2BB673" w:themeColor="accent1"/>
        <w:left w:val="single" w:sz="4" w:space="0" w:color="2BB673" w:themeColor="accent1"/>
        <w:bottom w:val="single" w:sz="4" w:space="0" w:color="2BB673" w:themeColor="accent1"/>
        <w:right w:val="single" w:sz="4" w:space="0" w:color="2BB673" w:themeColor="accent1"/>
      </w:tblBorders>
    </w:tblPr>
    <w:tblStylePr w:type="firstRow">
      <w:rPr>
        <w:b/>
        <w:bCs/>
        <w:color w:val="FFFFFF" w:themeColor="background1"/>
      </w:rPr>
      <w:tblPr/>
      <w:tcPr>
        <w:shd w:val="clear" w:color="auto" w:fill="2BB673" w:themeFill="accent1"/>
      </w:tcPr>
    </w:tblStylePr>
    <w:tblStylePr w:type="lastRow">
      <w:rPr>
        <w:b/>
        <w:bCs/>
      </w:rPr>
      <w:tblPr/>
      <w:tcPr>
        <w:tcBorders>
          <w:top w:val="double" w:sz="4" w:space="0" w:color="2BB673"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BB673" w:themeColor="accent1"/>
          <w:right w:val="single" w:sz="4" w:space="0" w:color="2BB673" w:themeColor="accent1"/>
        </w:tcBorders>
      </w:tcPr>
    </w:tblStylePr>
    <w:tblStylePr w:type="band1Horz">
      <w:tblPr/>
      <w:tcPr>
        <w:tcBorders>
          <w:top w:val="single" w:sz="4" w:space="0" w:color="2BB673" w:themeColor="accent1"/>
          <w:bottom w:val="single" w:sz="4" w:space="0" w:color="2BB67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BB673" w:themeColor="accent1"/>
          <w:left w:val="nil"/>
        </w:tcBorders>
      </w:tcPr>
    </w:tblStylePr>
    <w:tblStylePr w:type="swCell">
      <w:tblPr/>
      <w:tcPr>
        <w:tcBorders>
          <w:top w:val="double" w:sz="4" w:space="0" w:color="2BB673" w:themeColor="accent1"/>
          <w:right w:val="nil"/>
        </w:tcBorders>
      </w:tcPr>
    </w:tblStylePr>
  </w:style>
  <w:style w:type="table" w:styleId="ListTable3-Accent2">
    <w:name w:val="List Table 3 Accent 2"/>
    <w:basedOn w:val="TableNormal"/>
    <w:uiPriority w:val="48"/>
    <w:rsid w:val="003C7715"/>
    <w:pPr>
      <w:spacing w:after="0" w:line="240" w:lineRule="auto"/>
    </w:pPr>
    <w:tblPr>
      <w:tblStyleRowBandSize w:val="1"/>
      <w:tblStyleColBandSize w:val="1"/>
      <w:tblBorders>
        <w:top w:val="single" w:sz="4" w:space="0" w:color="93B41A" w:themeColor="accent2"/>
        <w:left w:val="single" w:sz="4" w:space="0" w:color="93B41A" w:themeColor="accent2"/>
        <w:bottom w:val="single" w:sz="4" w:space="0" w:color="93B41A" w:themeColor="accent2"/>
        <w:right w:val="single" w:sz="4" w:space="0" w:color="93B41A" w:themeColor="accent2"/>
      </w:tblBorders>
    </w:tblPr>
    <w:tblStylePr w:type="firstRow">
      <w:rPr>
        <w:b/>
        <w:bCs/>
        <w:color w:val="FFFFFF" w:themeColor="background1"/>
      </w:rPr>
      <w:tblPr/>
      <w:tcPr>
        <w:shd w:val="clear" w:color="auto" w:fill="93B41A" w:themeFill="accent2"/>
      </w:tcPr>
    </w:tblStylePr>
    <w:tblStylePr w:type="lastRow">
      <w:rPr>
        <w:b/>
        <w:bCs/>
      </w:rPr>
      <w:tblPr/>
      <w:tcPr>
        <w:tcBorders>
          <w:top w:val="double" w:sz="4" w:space="0" w:color="93B41A"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3B41A" w:themeColor="accent2"/>
          <w:right w:val="single" w:sz="4" w:space="0" w:color="93B41A" w:themeColor="accent2"/>
        </w:tcBorders>
      </w:tcPr>
    </w:tblStylePr>
    <w:tblStylePr w:type="band1Horz">
      <w:tblPr/>
      <w:tcPr>
        <w:tcBorders>
          <w:top w:val="single" w:sz="4" w:space="0" w:color="93B41A" w:themeColor="accent2"/>
          <w:bottom w:val="single" w:sz="4" w:space="0" w:color="93B41A"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3B41A" w:themeColor="accent2"/>
          <w:left w:val="nil"/>
        </w:tcBorders>
      </w:tcPr>
    </w:tblStylePr>
    <w:tblStylePr w:type="swCell">
      <w:tblPr/>
      <w:tcPr>
        <w:tcBorders>
          <w:top w:val="double" w:sz="4" w:space="0" w:color="93B41A" w:themeColor="accent2"/>
          <w:right w:val="nil"/>
        </w:tcBorders>
      </w:tcPr>
    </w:tblStylePr>
  </w:style>
  <w:style w:type="table" w:styleId="ListTable3-Accent3">
    <w:name w:val="List Table 3 Accent 3"/>
    <w:basedOn w:val="TableNormal"/>
    <w:uiPriority w:val="48"/>
    <w:rsid w:val="003C7715"/>
    <w:pPr>
      <w:spacing w:after="0" w:line="240" w:lineRule="auto"/>
    </w:pPr>
    <w:tblPr>
      <w:tblStyleRowBandSize w:val="1"/>
      <w:tblStyleColBandSize w:val="1"/>
      <w:tblBorders>
        <w:top w:val="single" w:sz="4" w:space="0" w:color="F06A3B" w:themeColor="accent3"/>
        <w:left w:val="single" w:sz="4" w:space="0" w:color="F06A3B" w:themeColor="accent3"/>
        <w:bottom w:val="single" w:sz="4" w:space="0" w:color="F06A3B" w:themeColor="accent3"/>
        <w:right w:val="single" w:sz="4" w:space="0" w:color="F06A3B" w:themeColor="accent3"/>
      </w:tblBorders>
    </w:tblPr>
    <w:tblStylePr w:type="firstRow">
      <w:rPr>
        <w:b/>
        <w:bCs/>
        <w:color w:val="FFFFFF" w:themeColor="background1"/>
      </w:rPr>
      <w:tblPr/>
      <w:tcPr>
        <w:shd w:val="clear" w:color="auto" w:fill="F06A3B" w:themeFill="accent3"/>
      </w:tcPr>
    </w:tblStylePr>
    <w:tblStylePr w:type="lastRow">
      <w:rPr>
        <w:b/>
        <w:bCs/>
      </w:rPr>
      <w:tblPr/>
      <w:tcPr>
        <w:tcBorders>
          <w:top w:val="double" w:sz="4" w:space="0" w:color="F06A3B"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6A3B" w:themeColor="accent3"/>
          <w:right w:val="single" w:sz="4" w:space="0" w:color="F06A3B" w:themeColor="accent3"/>
        </w:tcBorders>
      </w:tcPr>
    </w:tblStylePr>
    <w:tblStylePr w:type="band1Horz">
      <w:tblPr/>
      <w:tcPr>
        <w:tcBorders>
          <w:top w:val="single" w:sz="4" w:space="0" w:color="F06A3B" w:themeColor="accent3"/>
          <w:bottom w:val="single" w:sz="4" w:space="0" w:color="F06A3B"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6A3B" w:themeColor="accent3"/>
          <w:left w:val="nil"/>
        </w:tcBorders>
      </w:tcPr>
    </w:tblStylePr>
    <w:tblStylePr w:type="swCell">
      <w:tblPr/>
      <w:tcPr>
        <w:tcBorders>
          <w:top w:val="double" w:sz="4" w:space="0" w:color="F06A3B" w:themeColor="accent3"/>
          <w:right w:val="nil"/>
        </w:tcBorders>
      </w:tcPr>
    </w:tblStylePr>
  </w:style>
  <w:style w:type="table" w:styleId="ListTable3-Accent4">
    <w:name w:val="List Table 3 Accent 4"/>
    <w:basedOn w:val="TableNormal"/>
    <w:uiPriority w:val="48"/>
    <w:rsid w:val="003C7715"/>
    <w:pPr>
      <w:spacing w:after="0" w:line="240" w:lineRule="auto"/>
    </w:pPr>
    <w:tblPr>
      <w:tblStyleRowBandSize w:val="1"/>
      <w:tblStyleColBandSize w:val="1"/>
      <w:tblBorders>
        <w:top w:val="single" w:sz="4" w:space="0" w:color="9561CC" w:themeColor="accent4"/>
        <w:left w:val="single" w:sz="4" w:space="0" w:color="9561CC" w:themeColor="accent4"/>
        <w:bottom w:val="single" w:sz="4" w:space="0" w:color="9561CC" w:themeColor="accent4"/>
        <w:right w:val="single" w:sz="4" w:space="0" w:color="9561CC" w:themeColor="accent4"/>
      </w:tblBorders>
    </w:tblPr>
    <w:tblStylePr w:type="firstRow">
      <w:rPr>
        <w:b/>
        <w:bCs/>
        <w:color w:val="FFFFFF" w:themeColor="background1"/>
      </w:rPr>
      <w:tblPr/>
      <w:tcPr>
        <w:shd w:val="clear" w:color="auto" w:fill="9561CC" w:themeFill="accent4"/>
      </w:tcPr>
    </w:tblStylePr>
    <w:tblStylePr w:type="lastRow">
      <w:rPr>
        <w:b/>
        <w:bCs/>
      </w:rPr>
      <w:tblPr/>
      <w:tcPr>
        <w:tcBorders>
          <w:top w:val="double" w:sz="4" w:space="0" w:color="9561C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561CC" w:themeColor="accent4"/>
          <w:right w:val="single" w:sz="4" w:space="0" w:color="9561CC" w:themeColor="accent4"/>
        </w:tcBorders>
      </w:tcPr>
    </w:tblStylePr>
    <w:tblStylePr w:type="band1Horz">
      <w:tblPr/>
      <w:tcPr>
        <w:tcBorders>
          <w:top w:val="single" w:sz="4" w:space="0" w:color="9561CC" w:themeColor="accent4"/>
          <w:bottom w:val="single" w:sz="4" w:space="0" w:color="9561C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561CC" w:themeColor="accent4"/>
          <w:left w:val="nil"/>
        </w:tcBorders>
      </w:tcPr>
    </w:tblStylePr>
    <w:tblStylePr w:type="swCell">
      <w:tblPr/>
      <w:tcPr>
        <w:tcBorders>
          <w:top w:val="double" w:sz="4" w:space="0" w:color="9561CC" w:themeColor="accent4"/>
          <w:right w:val="nil"/>
        </w:tcBorders>
      </w:tcPr>
    </w:tblStylePr>
  </w:style>
  <w:style w:type="table" w:styleId="ListTable3-Accent5">
    <w:name w:val="List Table 3 Accent 5"/>
    <w:basedOn w:val="TableNormal"/>
    <w:uiPriority w:val="48"/>
    <w:rsid w:val="003C7715"/>
    <w:pPr>
      <w:spacing w:after="0" w:line="240" w:lineRule="auto"/>
    </w:pPr>
    <w:tblPr>
      <w:tblStyleRowBandSize w:val="1"/>
      <w:tblStyleColBandSize w:val="1"/>
      <w:tblBorders>
        <w:top w:val="single" w:sz="4" w:space="0" w:color="00ADC6" w:themeColor="accent5"/>
        <w:left w:val="single" w:sz="4" w:space="0" w:color="00ADC6" w:themeColor="accent5"/>
        <w:bottom w:val="single" w:sz="4" w:space="0" w:color="00ADC6" w:themeColor="accent5"/>
        <w:right w:val="single" w:sz="4" w:space="0" w:color="00ADC6" w:themeColor="accent5"/>
      </w:tblBorders>
    </w:tblPr>
    <w:tblStylePr w:type="firstRow">
      <w:rPr>
        <w:b/>
        <w:bCs/>
        <w:color w:val="FFFFFF" w:themeColor="background1"/>
      </w:rPr>
      <w:tblPr/>
      <w:tcPr>
        <w:shd w:val="clear" w:color="auto" w:fill="00ADC6" w:themeFill="accent5"/>
      </w:tcPr>
    </w:tblStylePr>
    <w:tblStylePr w:type="lastRow">
      <w:rPr>
        <w:b/>
        <w:bCs/>
      </w:rPr>
      <w:tblPr/>
      <w:tcPr>
        <w:tcBorders>
          <w:top w:val="double" w:sz="4" w:space="0" w:color="00AD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DC6" w:themeColor="accent5"/>
          <w:right w:val="single" w:sz="4" w:space="0" w:color="00ADC6" w:themeColor="accent5"/>
        </w:tcBorders>
      </w:tcPr>
    </w:tblStylePr>
    <w:tblStylePr w:type="band1Horz">
      <w:tblPr/>
      <w:tcPr>
        <w:tcBorders>
          <w:top w:val="single" w:sz="4" w:space="0" w:color="00ADC6" w:themeColor="accent5"/>
          <w:bottom w:val="single" w:sz="4" w:space="0" w:color="00AD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DC6" w:themeColor="accent5"/>
          <w:left w:val="nil"/>
        </w:tcBorders>
      </w:tcPr>
    </w:tblStylePr>
    <w:tblStylePr w:type="swCell">
      <w:tblPr/>
      <w:tcPr>
        <w:tcBorders>
          <w:top w:val="double" w:sz="4" w:space="0" w:color="00ADC6" w:themeColor="accent5"/>
          <w:right w:val="nil"/>
        </w:tcBorders>
      </w:tcPr>
    </w:tblStylePr>
  </w:style>
  <w:style w:type="table" w:styleId="ListTable3-Accent6">
    <w:name w:val="List Table 3 Accent 6"/>
    <w:basedOn w:val="TableNormal"/>
    <w:uiPriority w:val="48"/>
    <w:rsid w:val="003C7715"/>
    <w:pPr>
      <w:spacing w:after="0" w:line="240" w:lineRule="auto"/>
    </w:pPr>
    <w:tblPr>
      <w:tblStyleRowBandSize w:val="1"/>
      <w:tblStyleColBandSize w:val="1"/>
      <w:tblBorders>
        <w:top w:val="single" w:sz="4" w:space="0" w:color="FD8F0A" w:themeColor="accent6"/>
        <w:left w:val="single" w:sz="4" w:space="0" w:color="FD8F0A" w:themeColor="accent6"/>
        <w:bottom w:val="single" w:sz="4" w:space="0" w:color="FD8F0A" w:themeColor="accent6"/>
        <w:right w:val="single" w:sz="4" w:space="0" w:color="FD8F0A" w:themeColor="accent6"/>
      </w:tblBorders>
    </w:tblPr>
    <w:tblStylePr w:type="firstRow">
      <w:rPr>
        <w:b/>
        <w:bCs/>
        <w:color w:val="FFFFFF" w:themeColor="background1"/>
      </w:rPr>
      <w:tblPr/>
      <w:tcPr>
        <w:shd w:val="clear" w:color="auto" w:fill="FD8F0A" w:themeFill="accent6"/>
      </w:tcPr>
    </w:tblStylePr>
    <w:tblStylePr w:type="lastRow">
      <w:rPr>
        <w:b/>
        <w:bCs/>
      </w:rPr>
      <w:tblPr/>
      <w:tcPr>
        <w:tcBorders>
          <w:top w:val="double" w:sz="4" w:space="0" w:color="FD8F0A"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D8F0A" w:themeColor="accent6"/>
          <w:right w:val="single" w:sz="4" w:space="0" w:color="FD8F0A" w:themeColor="accent6"/>
        </w:tcBorders>
      </w:tcPr>
    </w:tblStylePr>
    <w:tblStylePr w:type="band1Horz">
      <w:tblPr/>
      <w:tcPr>
        <w:tcBorders>
          <w:top w:val="single" w:sz="4" w:space="0" w:color="FD8F0A" w:themeColor="accent6"/>
          <w:bottom w:val="single" w:sz="4" w:space="0" w:color="FD8F0A"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D8F0A" w:themeColor="accent6"/>
          <w:left w:val="nil"/>
        </w:tcBorders>
      </w:tcPr>
    </w:tblStylePr>
    <w:tblStylePr w:type="swCell">
      <w:tblPr/>
      <w:tcPr>
        <w:tcBorders>
          <w:top w:val="double" w:sz="4" w:space="0" w:color="FD8F0A" w:themeColor="accent6"/>
          <w:right w:val="nil"/>
        </w:tcBorders>
      </w:tcPr>
    </w:tblStylePr>
  </w:style>
  <w:style w:type="table" w:styleId="ListTable4">
    <w:name w:val="List Table 4"/>
    <w:basedOn w:val="TableNormal"/>
    <w:uiPriority w:val="49"/>
    <w:rsid w:val="003C771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3C7715"/>
    <w:pPr>
      <w:spacing w:after="0" w:line="240" w:lineRule="auto"/>
    </w:pPr>
    <w:tblPr>
      <w:tblStyleRowBandSize w:val="1"/>
      <w:tblStyleColBandSize w:val="1"/>
      <w:tblBorders>
        <w:top w:val="single" w:sz="4" w:space="0" w:color="74DEAB" w:themeColor="accent1" w:themeTint="99"/>
        <w:left w:val="single" w:sz="4" w:space="0" w:color="74DEAB" w:themeColor="accent1" w:themeTint="99"/>
        <w:bottom w:val="single" w:sz="4" w:space="0" w:color="74DEAB" w:themeColor="accent1" w:themeTint="99"/>
        <w:right w:val="single" w:sz="4" w:space="0" w:color="74DEAB" w:themeColor="accent1" w:themeTint="99"/>
        <w:insideH w:val="single" w:sz="4" w:space="0" w:color="74DEAB" w:themeColor="accent1" w:themeTint="99"/>
      </w:tblBorders>
    </w:tblPr>
    <w:tblStylePr w:type="firstRow">
      <w:rPr>
        <w:b/>
        <w:bCs/>
        <w:color w:val="FFFFFF" w:themeColor="background1"/>
      </w:rPr>
      <w:tblPr/>
      <w:tcPr>
        <w:tcBorders>
          <w:top w:val="single" w:sz="4" w:space="0" w:color="2BB673" w:themeColor="accent1"/>
          <w:left w:val="single" w:sz="4" w:space="0" w:color="2BB673" w:themeColor="accent1"/>
          <w:bottom w:val="single" w:sz="4" w:space="0" w:color="2BB673" w:themeColor="accent1"/>
          <w:right w:val="single" w:sz="4" w:space="0" w:color="2BB673" w:themeColor="accent1"/>
          <w:insideH w:val="nil"/>
        </w:tcBorders>
        <w:shd w:val="clear" w:color="auto" w:fill="2BB673" w:themeFill="accent1"/>
      </w:tcPr>
    </w:tblStylePr>
    <w:tblStylePr w:type="lastRow">
      <w:rPr>
        <w:b/>
        <w:bCs/>
      </w:rPr>
      <w:tblPr/>
      <w:tcPr>
        <w:tcBorders>
          <w:top w:val="double" w:sz="4" w:space="0" w:color="74DEAB" w:themeColor="accent1" w:themeTint="99"/>
        </w:tcBorders>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ListTable4-Accent2">
    <w:name w:val="List Table 4 Accent 2"/>
    <w:basedOn w:val="TableNormal"/>
    <w:uiPriority w:val="49"/>
    <w:rsid w:val="003C7715"/>
    <w:pPr>
      <w:spacing w:after="0" w:line="240" w:lineRule="auto"/>
    </w:pPr>
    <w:tblPr>
      <w:tblStyleRowBandSize w:val="1"/>
      <w:tblStyleColBandSize w:val="1"/>
      <w:tblBorders>
        <w:top w:val="single" w:sz="4" w:space="0" w:color="CAE85F" w:themeColor="accent2" w:themeTint="99"/>
        <w:left w:val="single" w:sz="4" w:space="0" w:color="CAE85F" w:themeColor="accent2" w:themeTint="99"/>
        <w:bottom w:val="single" w:sz="4" w:space="0" w:color="CAE85F" w:themeColor="accent2" w:themeTint="99"/>
        <w:right w:val="single" w:sz="4" w:space="0" w:color="CAE85F" w:themeColor="accent2" w:themeTint="99"/>
        <w:insideH w:val="single" w:sz="4" w:space="0" w:color="CAE85F" w:themeColor="accent2" w:themeTint="99"/>
      </w:tblBorders>
    </w:tblPr>
    <w:tblStylePr w:type="firstRow">
      <w:rPr>
        <w:b/>
        <w:bCs/>
        <w:color w:val="FFFFFF" w:themeColor="background1"/>
      </w:rPr>
      <w:tblPr/>
      <w:tcPr>
        <w:tcBorders>
          <w:top w:val="single" w:sz="4" w:space="0" w:color="93B41A" w:themeColor="accent2"/>
          <w:left w:val="single" w:sz="4" w:space="0" w:color="93B41A" w:themeColor="accent2"/>
          <w:bottom w:val="single" w:sz="4" w:space="0" w:color="93B41A" w:themeColor="accent2"/>
          <w:right w:val="single" w:sz="4" w:space="0" w:color="93B41A" w:themeColor="accent2"/>
          <w:insideH w:val="nil"/>
        </w:tcBorders>
        <w:shd w:val="clear" w:color="auto" w:fill="93B41A" w:themeFill="accent2"/>
      </w:tcPr>
    </w:tblStylePr>
    <w:tblStylePr w:type="lastRow">
      <w:rPr>
        <w:b/>
        <w:bCs/>
      </w:rPr>
      <w:tblPr/>
      <w:tcPr>
        <w:tcBorders>
          <w:top w:val="double" w:sz="4" w:space="0" w:color="CAE85F" w:themeColor="accent2" w:themeTint="99"/>
        </w:tcBorders>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ListTable4-Accent3">
    <w:name w:val="List Table 4 Accent 3"/>
    <w:basedOn w:val="TableNormal"/>
    <w:uiPriority w:val="49"/>
    <w:rsid w:val="003C7715"/>
    <w:pPr>
      <w:spacing w:after="0" w:line="240" w:lineRule="auto"/>
    </w:pPr>
    <w:tblPr>
      <w:tblStyleRowBandSize w:val="1"/>
      <w:tblStyleColBandSize w:val="1"/>
      <w:tblBorders>
        <w:top w:val="single" w:sz="4" w:space="0" w:color="F6A589" w:themeColor="accent3" w:themeTint="99"/>
        <w:left w:val="single" w:sz="4" w:space="0" w:color="F6A589" w:themeColor="accent3" w:themeTint="99"/>
        <w:bottom w:val="single" w:sz="4" w:space="0" w:color="F6A589" w:themeColor="accent3" w:themeTint="99"/>
        <w:right w:val="single" w:sz="4" w:space="0" w:color="F6A589" w:themeColor="accent3" w:themeTint="99"/>
        <w:insideH w:val="single" w:sz="4" w:space="0" w:color="F6A589" w:themeColor="accent3" w:themeTint="99"/>
      </w:tblBorders>
    </w:tblPr>
    <w:tblStylePr w:type="firstRow">
      <w:rPr>
        <w:b/>
        <w:bCs/>
        <w:color w:val="FFFFFF" w:themeColor="background1"/>
      </w:rPr>
      <w:tblPr/>
      <w:tcPr>
        <w:tcBorders>
          <w:top w:val="single" w:sz="4" w:space="0" w:color="F06A3B" w:themeColor="accent3"/>
          <w:left w:val="single" w:sz="4" w:space="0" w:color="F06A3B" w:themeColor="accent3"/>
          <w:bottom w:val="single" w:sz="4" w:space="0" w:color="F06A3B" w:themeColor="accent3"/>
          <w:right w:val="single" w:sz="4" w:space="0" w:color="F06A3B" w:themeColor="accent3"/>
          <w:insideH w:val="nil"/>
        </w:tcBorders>
        <w:shd w:val="clear" w:color="auto" w:fill="F06A3B" w:themeFill="accent3"/>
      </w:tcPr>
    </w:tblStylePr>
    <w:tblStylePr w:type="lastRow">
      <w:rPr>
        <w:b/>
        <w:bCs/>
      </w:rPr>
      <w:tblPr/>
      <w:tcPr>
        <w:tcBorders>
          <w:top w:val="double" w:sz="4" w:space="0" w:color="F6A589" w:themeColor="accent3" w:themeTint="99"/>
        </w:tcBorders>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ListTable4-Accent4">
    <w:name w:val="List Table 4 Accent 4"/>
    <w:basedOn w:val="TableNormal"/>
    <w:uiPriority w:val="49"/>
    <w:rsid w:val="003C7715"/>
    <w:pPr>
      <w:spacing w:after="0" w:line="240" w:lineRule="auto"/>
    </w:pPr>
    <w:tblPr>
      <w:tblStyleRowBandSize w:val="1"/>
      <w:tblStyleColBandSize w:val="1"/>
      <w:tblBorders>
        <w:top w:val="single" w:sz="4" w:space="0" w:color="BFA0E0" w:themeColor="accent4" w:themeTint="99"/>
        <w:left w:val="single" w:sz="4" w:space="0" w:color="BFA0E0" w:themeColor="accent4" w:themeTint="99"/>
        <w:bottom w:val="single" w:sz="4" w:space="0" w:color="BFA0E0" w:themeColor="accent4" w:themeTint="99"/>
        <w:right w:val="single" w:sz="4" w:space="0" w:color="BFA0E0" w:themeColor="accent4" w:themeTint="99"/>
        <w:insideH w:val="single" w:sz="4" w:space="0" w:color="BFA0E0" w:themeColor="accent4" w:themeTint="99"/>
      </w:tblBorders>
    </w:tblPr>
    <w:tblStylePr w:type="firstRow">
      <w:rPr>
        <w:b/>
        <w:bCs/>
        <w:color w:val="FFFFFF" w:themeColor="background1"/>
      </w:rPr>
      <w:tblPr/>
      <w:tcPr>
        <w:tcBorders>
          <w:top w:val="single" w:sz="4" w:space="0" w:color="9561CC" w:themeColor="accent4"/>
          <w:left w:val="single" w:sz="4" w:space="0" w:color="9561CC" w:themeColor="accent4"/>
          <w:bottom w:val="single" w:sz="4" w:space="0" w:color="9561CC" w:themeColor="accent4"/>
          <w:right w:val="single" w:sz="4" w:space="0" w:color="9561CC" w:themeColor="accent4"/>
          <w:insideH w:val="nil"/>
        </w:tcBorders>
        <w:shd w:val="clear" w:color="auto" w:fill="9561CC" w:themeFill="accent4"/>
      </w:tcPr>
    </w:tblStylePr>
    <w:tblStylePr w:type="lastRow">
      <w:rPr>
        <w:b/>
        <w:bCs/>
      </w:rPr>
      <w:tblPr/>
      <w:tcPr>
        <w:tcBorders>
          <w:top w:val="double" w:sz="4" w:space="0" w:color="BFA0E0" w:themeColor="accent4" w:themeTint="99"/>
        </w:tcBorders>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ListTable4-Accent5">
    <w:name w:val="List Table 4 Accent 5"/>
    <w:basedOn w:val="TableNormal"/>
    <w:uiPriority w:val="49"/>
    <w:rsid w:val="003C7715"/>
    <w:pPr>
      <w:spacing w:after="0" w:line="240" w:lineRule="auto"/>
    </w:pPr>
    <w:tblPr>
      <w:tblStyleRowBandSize w:val="1"/>
      <w:tblStyleColBandSize w:val="1"/>
      <w:tblBorders>
        <w:top w:val="single" w:sz="4" w:space="0" w:color="43E6FF" w:themeColor="accent5" w:themeTint="99"/>
        <w:left w:val="single" w:sz="4" w:space="0" w:color="43E6FF" w:themeColor="accent5" w:themeTint="99"/>
        <w:bottom w:val="single" w:sz="4" w:space="0" w:color="43E6FF" w:themeColor="accent5" w:themeTint="99"/>
        <w:right w:val="single" w:sz="4" w:space="0" w:color="43E6FF" w:themeColor="accent5" w:themeTint="99"/>
        <w:insideH w:val="single" w:sz="4" w:space="0" w:color="43E6FF" w:themeColor="accent5" w:themeTint="99"/>
      </w:tblBorders>
    </w:tblPr>
    <w:tblStylePr w:type="firstRow">
      <w:rPr>
        <w:b/>
        <w:bCs/>
        <w:color w:val="FFFFFF" w:themeColor="background1"/>
      </w:rPr>
      <w:tblPr/>
      <w:tcPr>
        <w:tcBorders>
          <w:top w:val="single" w:sz="4" w:space="0" w:color="00ADC6" w:themeColor="accent5"/>
          <w:left w:val="single" w:sz="4" w:space="0" w:color="00ADC6" w:themeColor="accent5"/>
          <w:bottom w:val="single" w:sz="4" w:space="0" w:color="00ADC6" w:themeColor="accent5"/>
          <w:right w:val="single" w:sz="4" w:space="0" w:color="00ADC6" w:themeColor="accent5"/>
          <w:insideH w:val="nil"/>
        </w:tcBorders>
        <w:shd w:val="clear" w:color="auto" w:fill="00ADC6" w:themeFill="accent5"/>
      </w:tcPr>
    </w:tblStylePr>
    <w:tblStylePr w:type="lastRow">
      <w:rPr>
        <w:b/>
        <w:bCs/>
      </w:rPr>
      <w:tblPr/>
      <w:tcPr>
        <w:tcBorders>
          <w:top w:val="double" w:sz="4" w:space="0" w:color="43E6FF" w:themeColor="accent5" w:themeTint="99"/>
        </w:tcBorders>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ListTable4-Accent6">
    <w:name w:val="List Table 4 Accent 6"/>
    <w:basedOn w:val="TableNormal"/>
    <w:uiPriority w:val="49"/>
    <w:rsid w:val="003C7715"/>
    <w:pPr>
      <w:spacing w:after="0" w:line="240" w:lineRule="auto"/>
    </w:pPr>
    <w:tblPr>
      <w:tblStyleRowBandSize w:val="1"/>
      <w:tblStyleColBandSize w:val="1"/>
      <w:tblBorders>
        <w:top w:val="single" w:sz="4" w:space="0" w:color="FDBB6B" w:themeColor="accent6" w:themeTint="99"/>
        <w:left w:val="single" w:sz="4" w:space="0" w:color="FDBB6B" w:themeColor="accent6" w:themeTint="99"/>
        <w:bottom w:val="single" w:sz="4" w:space="0" w:color="FDBB6B" w:themeColor="accent6" w:themeTint="99"/>
        <w:right w:val="single" w:sz="4" w:space="0" w:color="FDBB6B" w:themeColor="accent6" w:themeTint="99"/>
        <w:insideH w:val="single" w:sz="4" w:space="0" w:color="FDBB6B" w:themeColor="accent6" w:themeTint="99"/>
      </w:tblBorders>
    </w:tblPr>
    <w:tblStylePr w:type="firstRow">
      <w:rPr>
        <w:b/>
        <w:bCs/>
        <w:color w:val="FFFFFF" w:themeColor="background1"/>
      </w:rPr>
      <w:tblPr/>
      <w:tcPr>
        <w:tcBorders>
          <w:top w:val="single" w:sz="4" w:space="0" w:color="FD8F0A" w:themeColor="accent6"/>
          <w:left w:val="single" w:sz="4" w:space="0" w:color="FD8F0A" w:themeColor="accent6"/>
          <w:bottom w:val="single" w:sz="4" w:space="0" w:color="FD8F0A" w:themeColor="accent6"/>
          <w:right w:val="single" w:sz="4" w:space="0" w:color="FD8F0A" w:themeColor="accent6"/>
          <w:insideH w:val="nil"/>
        </w:tcBorders>
        <w:shd w:val="clear" w:color="auto" w:fill="FD8F0A" w:themeFill="accent6"/>
      </w:tcPr>
    </w:tblStylePr>
    <w:tblStylePr w:type="lastRow">
      <w:rPr>
        <w:b/>
        <w:bCs/>
      </w:rPr>
      <w:tblPr/>
      <w:tcPr>
        <w:tcBorders>
          <w:top w:val="double" w:sz="4" w:space="0" w:color="FDBB6B" w:themeColor="accent6" w:themeTint="99"/>
        </w:tcBorders>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ListTable5Dark">
    <w:name w:val="List Table 5 Dark"/>
    <w:basedOn w:val="TableNormal"/>
    <w:uiPriority w:val="50"/>
    <w:rsid w:val="003C771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3C7715"/>
    <w:pPr>
      <w:spacing w:after="0" w:line="240" w:lineRule="auto"/>
    </w:pPr>
    <w:rPr>
      <w:color w:val="FFFFFF" w:themeColor="background1"/>
    </w:rPr>
    <w:tblPr>
      <w:tblStyleRowBandSize w:val="1"/>
      <w:tblStyleColBandSize w:val="1"/>
      <w:tblBorders>
        <w:top w:val="single" w:sz="24" w:space="0" w:color="2BB673" w:themeColor="accent1"/>
        <w:left w:val="single" w:sz="24" w:space="0" w:color="2BB673" w:themeColor="accent1"/>
        <w:bottom w:val="single" w:sz="24" w:space="0" w:color="2BB673" w:themeColor="accent1"/>
        <w:right w:val="single" w:sz="24" w:space="0" w:color="2BB673" w:themeColor="accent1"/>
      </w:tblBorders>
    </w:tblPr>
    <w:tcPr>
      <w:shd w:val="clear" w:color="auto" w:fill="2BB673"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3C7715"/>
    <w:pPr>
      <w:spacing w:after="0" w:line="240" w:lineRule="auto"/>
    </w:pPr>
    <w:rPr>
      <w:color w:val="FFFFFF" w:themeColor="background1"/>
    </w:rPr>
    <w:tblPr>
      <w:tblStyleRowBandSize w:val="1"/>
      <w:tblStyleColBandSize w:val="1"/>
      <w:tblBorders>
        <w:top w:val="single" w:sz="24" w:space="0" w:color="93B41A" w:themeColor="accent2"/>
        <w:left w:val="single" w:sz="24" w:space="0" w:color="93B41A" w:themeColor="accent2"/>
        <w:bottom w:val="single" w:sz="24" w:space="0" w:color="93B41A" w:themeColor="accent2"/>
        <w:right w:val="single" w:sz="24" w:space="0" w:color="93B41A" w:themeColor="accent2"/>
      </w:tblBorders>
    </w:tblPr>
    <w:tcPr>
      <w:shd w:val="clear" w:color="auto" w:fill="93B41A"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3C7715"/>
    <w:pPr>
      <w:spacing w:after="0" w:line="240" w:lineRule="auto"/>
    </w:pPr>
    <w:rPr>
      <w:color w:val="FFFFFF" w:themeColor="background1"/>
    </w:rPr>
    <w:tblPr>
      <w:tblStyleRowBandSize w:val="1"/>
      <w:tblStyleColBandSize w:val="1"/>
      <w:tblBorders>
        <w:top w:val="single" w:sz="24" w:space="0" w:color="F06A3B" w:themeColor="accent3"/>
        <w:left w:val="single" w:sz="24" w:space="0" w:color="F06A3B" w:themeColor="accent3"/>
        <w:bottom w:val="single" w:sz="24" w:space="0" w:color="F06A3B" w:themeColor="accent3"/>
        <w:right w:val="single" w:sz="24" w:space="0" w:color="F06A3B" w:themeColor="accent3"/>
      </w:tblBorders>
    </w:tblPr>
    <w:tcPr>
      <w:shd w:val="clear" w:color="auto" w:fill="F06A3B"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3C7715"/>
    <w:pPr>
      <w:spacing w:after="0" w:line="240" w:lineRule="auto"/>
    </w:pPr>
    <w:rPr>
      <w:color w:val="FFFFFF" w:themeColor="background1"/>
    </w:rPr>
    <w:tblPr>
      <w:tblStyleRowBandSize w:val="1"/>
      <w:tblStyleColBandSize w:val="1"/>
      <w:tblBorders>
        <w:top w:val="single" w:sz="24" w:space="0" w:color="9561CC" w:themeColor="accent4"/>
        <w:left w:val="single" w:sz="24" w:space="0" w:color="9561CC" w:themeColor="accent4"/>
        <w:bottom w:val="single" w:sz="24" w:space="0" w:color="9561CC" w:themeColor="accent4"/>
        <w:right w:val="single" w:sz="24" w:space="0" w:color="9561CC" w:themeColor="accent4"/>
      </w:tblBorders>
    </w:tblPr>
    <w:tcPr>
      <w:shd w:val="clear" w:color="auto" w:fill="9561C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3C7715"/>
    <w:pPr>
      <w:spacing w:after="0" w:line="240" w:lineRule="auto"/>
    </w:pPr>
    <w:rPr>
      <w:color w:val="FFFFFF" w:themeColor="background1"/>
    </w:rPr>
    <w:tblPr>
      <w:tblStyleRowBandSize w:val="1"/>
      <w:tblStyleColBandSize w:val="1"/>
      <w:tblBorders>
        <w:top w:val="single" w:sz="24" w:space="0" w:color="00ADC6" w:themeColor="accent5"/>
        <w:left w:val="single" w:sz="24" w:space="0" w:color="00ADC6" w:themeColor="accent5"/>
        <w:bottom w:val="single" w:sz="24" w:space="0" w:color="00ADC6" w:themeColor="accent5"/>
        <w:right w:val="single" w:sz="24" w:space="0" w:color="00ADC6" w:themeColor="accent5"/>
      </w:tblBorders>
    </w:tblPr>
    <w:tcPr>
      <w:shd w:val="clear" w:color="auto" w:fill="00AD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3C7715"/>
    <w:pPr>
      <w:spacing w:after="0" w:line="240" w:lineRule="auto"/>
    </w:pPr>
    <w:rPr>
      <w:color w:val="FFFFFF" w:themeColor="background1"/>
    </w:rPr>
    <w:tblPr>
      <w:tblStyleRowBandSize w:val="1"/>
      <w:tblStyleColBandSize w:val="1"/>
      <w:tblBorders>
        <w:top w:val="single" w:sz="24" w:space="0" w:color="FD8F0A" w:themeColor="accent6"/>
        <w:left w:val="single" w:sz="24" w:space="0" w:color="FD8F0A" w:themeColor="accent6"/>
        <w:bottom w:val="single" w:sz="24" w:space="0" w:color="FD8F0A" w:themeColor="accent6"/>
        <w:right w:val="single" w:sz="24" w:space="0" w:color="FD8F0A" w:themeColor="accent6"/>
      </w:tblBorders>
    </w:tblPr>
    <w:tcPr>
      <w:shd w:val="clear" w:color="auto" w:fill="FD8F0A"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rsid w:val="003C771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rsid w:val="003C7715"/>
    <w:pPr>
      <w:spacing w:after="0" w:line="240" w:lineRule="auto"/>
    </w:pPr>
    <w:rPr>
      <w:color w:val="208855" w:themeColor="accent1" w:themeShade="BF"/>
    </w:rPr>
    <w:tblPr>
      <w:tblStyleRowBandSize w:val="1"/>
      <w:tblStyleColBandSize w:val="1"/>
      <w:tblBorders>
        <w:top w:val="single" w:sz="4" w:space="0" w:color="2BB673" w:themeColor="accent1"/>
        <w:bottom w:val="single" w:sz="4" w:space="0" w:color="2BB673" w:themeColor="accent1"/>
      </w:tblBorders>
    </w:tblPr>
    <w:tblStylePr w:type="firstRow">
      <w:rPr>
        <w:b/>
        <w:bCs/>
      </w:rPr>
      <w:tblPr/>
      <w:tcPr>
        <w:tcBorders>
          <w:bottom w:val="single" w:sz="4" w:space="0" w:color="2BB673" w:themeColor="accent1"/>
        </w:tcBorders>
      </w:tcPr>
    </w:tblStylePr>
    <w:tblStylePr w:type="lastRow">
      <w:rPr>
        <w:b/>
        <w:bCs/>
      </w:rPr>
      <w:tblPr/>
      <w:tcPr>
        <w:tcBorders>
          <w:top w:val="double" w:sz="4" w:space="0" w:color="2BB673" w:themeColor="accent1"/>
        </w:tcBorders>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ListTable6ColourfulAccent2">
    <w:name w:val="List Table 6 Colorful Accent 2"/>
    <w:basedOn w:val="TableNormal"/>
    <w:uiPriority w:val="51"/>
    <w:rsid w:val="003C7715"/>
    <w:pPr>
      <w:spacing w:after="0" w:line="240" w:lineRule="auto"/>
    </w:pPr>
    <w:rPr>
      <w:color w:val="6D8613" w:themeColor="accent2" w:themeShade="BF"/>
    </w:rPr>
    <w:tblPr>
      <w:tblStyleRowBandSize w:val="1"/>
      <w:tblStyleColBandSize w:val="1"/>
      <w:tblBorders>
        <w:top w:val="single" w:sz="4" w:space="0" w:color="93B41A" w:themeColor="accent2"/>
        <w:bottom w:val="single" w:sz="4" w:space="0" w:color="93B41A" w:themeColor="accent2"/>
      </w:tblBorders>
    </w:tblPr>
    <w:tblStylePr w:type="firstRow">
      <w:rPr>
        <w:b/>
        <w:bCs/>
      </w:rPr>
      <w:tblPr/>
      <w:tcPr>
        <w:tcBorders>
          <w:bottom w:val="single" w:sz="4" w:space="0" w:color="93B41A" w:themeColor="accent2"/>
        </w:tcBorders>
      </w:tcPr>
    </w:tblStylePr>
    <w:tblStylePr w:type="lastRow">
      <w:rPr>
        <w:b/>
        <w:bCs/>
      </w:rPr>
      <w:tblPr/>
      <w:tcPr>
        <w:tcBorders>
          <w:top w:val="double" w:sz="4" w:space="0" w:color="93B41A" w:themeColor="accent2"/>
        </w:tcBorders>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ListTable6ColourfulAccent3">
    <w:name w:val="List Table 6 Colorful Accent 3"/>
    <w:basedOn w:val="TableNormal"/>
    <w:uiPriority w:val="51"/>
    <w:rsid w:val="003C7715"/>
    <w:pPr>
      <w:spacing w:after="0" w:line="240" w:lineRule="auto"/>
    </w:pPr>
    <w:rPr>
      <w:color w:val="CF4110" w:themeColor="accent3" w:themeShade="BF"/>
    </w:rPr>
    <w:tblPr>
      <w:tblStyleRowBandSize w:val="1"/>
      <w:tblStyleColBandSize w:val="1"/>
      <w:tblBorders>
        <w:top w:val="single" w:sz="4" w:space="0" w:color="F06A3B" w:themeColor="accent3"/>
        <w:bottom w:val="single" w:sz="4" w:space="0" w:color="F06A3B" w:themeColor="accent3"/>
      </w:tblBorders>
    </w:tblPr>
    <w:tblStylePr w:type="firstRow">
      <w:rPr>
        <w:b/>
        <w:bCs/>
      </w:rPr>
      <w:tblPr/>
      <w:tcPr>
        <w:tcBorders>
          <w:bottom w:val="single" w:sz="4" w:space="0" w:color="F06A3B" w:themeColor="accent3"/>
        </w:tcBorders>
      </w:tcPr>
    </w:tblStylePr>
    <w:tblStylePr w:type="lastRow">
      <w:rPr>
        <w:b/>
        <w:bCs/>
      </w:rPr>
      <w:tblPr/>
      <w:tcPr>
        <w:tcBorders>
          <w:top w:val="double" w:sz="4" w:space="0" w:color="F06A3B" w:themeColor="accent3"/>
        </w:tcBorders>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ListTable6ColourfulAccent4">
    <w:name w:val="List Table 6 Colorful Accent 4"/>
    <w:basedOn w:val="TableNormal"/>
    <w:uiPriority w:val="51"/>
    <w:rsid w:val="003C7715"/>
    <w:pPr>
      <w:spacing w:after="0" w:line="240" w:lineRule="auto"/>
    </w:pPr>
    <w:rPr>
      <w:color w:val="6E37AA" w:themeColor="accent4" w:themeShade="BF"/>
    </w:rPr>
    <w:tblPr>
      <w:tblStyleRowBandSize w:val="1"/>
      <w:tblStyleColBandSize w:val="1"/>
      <w:tblBorders>
        <w:top w:val="single" w:sz="4" w:space="0" w:color="9561CC" w:themeColor="accent4"/>
        <w:bottom w:val="single" w:sz="4" w:space="0" w:color="9561CC" w:themeColor="accent4"/>
      </w:tblBorders>
    </w:tblPr>
    <w:tblStylePr w:type="firstRow">
      <w:rPr>
        <w:b/>
        <w:bCs/>
      </w:rPr>
      <w:tblPr/>
      <w:tcPr>
        <w:tcBorders>
          <w:bottom w:val="single" w:sz="4" w:space="0" w:color="9561CC" w:themeColor="accent4"/>
        </w:tcBorders>
      </w:tcPr>
    </w:tblStylePr>
    <w:tblStylePr w:type="lastRow">
      <w:rPr>
        <w:b/>
        <w:bCs/>
      </w:rPr>
      <w:tblPr/>
      <w:tcPr>
        <w:tcBorders>
          <w:top w:val="double" w:sz="4" w:space="0" w:color="9561CC" w:themeColor="accent4"/>
        </w:tcBorders>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ListTable6ColourfulAccent5">
    <w:name w:val="List Table 6 Colorful Accent 5"/>
    <w:basedOn w:val="TableNormal"/>
    <w:uiPriority w:val="51"/>
    <w:rsid w:val="003C7715"/>
    <w:pPr>
      <w:spacing w:after="0" w:line="240" w:lineRule="auto"/>
    </w:pPr>
    <w:rPr>
      <w:color w:val="008094" w:themeColor="accent5" w:themeShade="BF"/>
    </w:rPr>
    <w:tblPr>
      <w:tblStyleRowBandSize w:val="1"/>
      <w:tblStyleColBandSize w:val="1"/>
      <w:tblBorders>
        <w:top w:val="single" w:sz="4" w:space="0" w:color="00ADC6" w:themeColor="accent5"/>
        <w:bottom w:val="single" w:sz="4" w:space="0" w:color="00ADC6" w:themeColor="accent5"/>
      </w:tblBorders>
    </w:tblPr>
    <w:tblStylePr w:type="firstRow">
      <w:rPr>
        <w:b/>
        <w:bCs/>
      </w:rPr>
      <w:tblPr/>
      <w:tcPr>
        <w:tcBorders>
          <w:bottom w:val="single" w:sz="4" w:space="0" w:color="00ADC6" w:themeColor="accent5"/>
        </w:tcBorders>
      </w:tcPr>
    </w:tblStylePr>
    <w:tblStylePr w:type="lastRow">
      <w:rPr>
        <w:b/>
        <w:bCs/>
      </w:rPr>
      <w:tblPr/>
      <w:tcPr>
        <w:tcBorders>
          <w:top w:val="double" w:sz="4" w:space="0" w:color="00ADC6" w:themeColor="accent5"/>
        </w:tcBorders>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ListTable6ColourfulAccent6">
    <w:name w:val="List Table 6 Colorful Accent 6"/>
    <w:basedOn w:val="TableNormal"/>
    <w:uiPriority w:val="51"/>
    <w:rsid w:val="003C7715"/>
    <w:pPr>
      <w:spacing w:after="0" w:line="240" w:lineRule="auto"/>
    </w:pPr>
    <w:rPr>
      <w:color w:val="C36B01" w:themeColor="accent6" w:themeShade="BF"/>
    </w:rPr>
    <w:tblPr>
      <w:tblStyleRowBandSize w:val="1"/>
      <w:tblStyleColBandSize w:val="1"/>
      <w:tblBorders>
        <w:top w:val="single" w:sz="4" w:space="0" w:color="FD8F0A" w:themeColor="accent6"/>
        <w:bottom w:val="single" w:sz="4" w:space="0" w:color="FD8F0A" w:themeColor="accent6"/>
      </w:tblBorders>
    </w:tblPr>
    <w:tblStylePr w:type="firstRow">
      <w:rPr>
        <w:b/>
        <w:bCs/>
      </w:rPr>
      <w:tblPr/>
      <w:tcPr>
        <w:tcBorders>
          <w:bottom w:val="single" w:sz="4" w:space="0" w:color="FD8F0A" w:themeColor="accent6"/>
        </w:tcBorders>
      </w:tcPr>
    </w:tblStylePr>
    <w:tblStylePr w:type="lastRow">
      <w:rPr>
        <w:b/>
        <w:bCs/>
      </w:rPr>
      <w:tblPr/>
      <w:tcPr>
        <w:tcBorders>
          <w:top w:val="double" w:sz="4" w:space="0" w:color="FD8F0A" w:themeColor="accent6"/>
        </w:tcBorders>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ListTable7Colourful">
    <w:name w:val="List Table 7 Colorful"/>
    <w:basedOn w:val="TableNormal"/>
    <w:uiPriority w:val="52"/>
    <w:rsid w:val="003C771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3C7715"/>
    <w:pPr>
      <w:spacing w:after="0" w:line="240" w:lineRule="auto"/>
    </w:pPr>
    <w:rPr>
      <w:color w:val="20885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BB673"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BB673"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BB673"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BB673" w:themeColor="accent1"/>
        </w:tcBorders>
        <w:shd w:val="clear" w:color="auto" w:fill="FFFFFF" w:themeFill="background1"/>
      </w:tcPr>
    </w:tblStylePr>
    <w:tblStylePr w:type="band1Vert">
      <w:tblPr/>
      <w:tcPr>
        <w:shd w:val="clear" w:color="auto" w:fill="D0F4E3" w:themeFill="accent1" w:themeFillTint="33"/>
      </w:tcPr>
    </w:tblStylePr>
    <w:tblStylePr w:type="band1Horz">
      <w:tblPr/>
      <w:tcPr>
        <w:shd w:val="clear" w:color="auto" w:fill="D0F4E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3C7715"/>
    <w:pPr>
      <w:spacing w:after="0" w:line="240" w:lineRule="auto"/>
    </w:pPr>
    <w:rPr>
      <w:color w:val="6D8613"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3B41A"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3B41A"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3B41A"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3B41A" w:themeColor="accent2"/>
        </w:tcBorders>
        <w:shd w:val="clear" w:color="auto" w:fill="FFFFFF" w:themeFill="background1"/>
      </w:tcPr>
    </w:tblStylePr>
    <w:tblStylePr w:type="band1Vert">
      <w:tblPr/>
      <w:tcPr>
        <w:shd w:val="clear" w:color="auto" w:fill="EDF7C9" w:themeFill="accent2" w:themeFillTint="33"/>
      </w:tcPr>
    </w:tblStylePr>
    <w:tblStylePr w:type="band1Horz">
      <w:tblPr/>
      <w:tcPr>
        <w:shd w:val="clear" w:color="auto" w:fill="EDF7C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3C7715"/>
    <w:pPr>
      <w:spacing w:after="0" w:line="240" w:lineRule="auto"/>
    </w:pPr>
    <w:rPr>
      <w:color w:val="CF4110"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6A3B"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6A3B"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6A3B"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6A3B" w:themeColor="accent3"/>
        </w:tcBorders>
        <w:shd w:val="clear" w:color="auto" w:fill="FFFFFF" w:themeFill="background1"/>
      </w:tcPr>
    </w:tblStylePr>
    <w:tblStylePr w:type="band1Vert">
      <w:tblPr/>
      <w:tcPr>
        <w:shd w:val="clear" w:color="auto" w:fill="FCE1D7" w:themeFill="accent3" w:themeFillTint="33"/>
      </w:tcPr>
    </w:tblStylePr>
    <w:tblStylePr w:type="band1Horz">
      <w:tblPr/>
      <w:tcPr>
        <w:shd w:val="clear" w:color="auto" w:fill="FCE1D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3C7715"/>
    <w:pPr>
      <w:spacing w:after="0" w:line="240" w:lineRule="auto"/>
    </w:pPr>
    <w:rPr>
      <w:color w:val="6E37A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561C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561C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561C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561CC" w:themeColor="accent4"/>
        </w:tcBorders>
        <w:shd w:val="clear" w:color="auto" w:fill="FFFFFF" w:themeFill="background1"/>
      </w:tcPr>
    </w:tblStylePr>
    <w:tblStylePr w:type="band1Vert">
      <w:tblPr/>
      <w:tcPr>
        <w:shd w:val="clear" w:color="auto" w:fill="E9DFF4" w:themeFill="accent4" w:themeFillTint="33"/>
      </w:tcPr>
    </w:tblStylePr>
    <w:tblStylePr w:type="band1Horz">
      <w:tblPr/>
      <w:tcPr>
        <w:shd w:val="clear" w:color="auto" w:fill="E9DF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3C7715"/>
    <w:pPr>
      <w:spacing w:after="0" w:line="240" w:lineRule="auto"/>
    </w:pPr>
    <w:rPr>
      <w:color w:val="008094"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D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D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D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DC6" w:themeColor="accent5"/>
        </w:tcBorders>
        <w:shd w:val="clear" w:color="auto" w:fill="FFFFFF" w:themeFill="background1"/>
      </w:tcPr>
    </w:tblStylePr>
    <w:tblStylePr w:type="band1Vert">
      <w:tblPr/>
      <w:tcPr>
        <w:shd w:val="clear" w:color="auto" w:fill="C0F6FF" w:themeFill="accent5" w:themeFillTint="33"/>
      </w:tcPr>
    </w:tblStylePr>
    <w:tblStylePr w:type="band1Horz">
      <w:tblPr/>
      <w:tcPr>
        <w:shd w:val="clear" w:color="auto" w:fill="C0F6F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rsid w:val="003C7715"/>
    <w:pPr>
      <w:spacing w:after="0" w:line="240" w:lineRule="auto"/>
    </w:pPr>
    <w:rPr>
      <w:color w:val="C36B01"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D8F0A"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D8F0A"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D8F0A"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D8F0A" w:themeColor="accent6"/>
        </w:tcBorders>
        <w:shd w:val="clear" w:color="auto" w:fill="FFFFFF" w:themeFill="background1"/>
      </w:tcPr>
    </w:tblStylePr>
    <w:tblStylePr w:type="band1Vert">
      <w:tblPr/>
      <w:tcPr>
        <w:shd w:val="clear" w:color="auto" w:fill="FEE8CD" w:themeFill="accent6" w:themeFillTint="33"/>
      </w:tcPr>
    </w:tblStylePr>
    <w:tblStylePr w:type="band1Horz">
      <w:tblPr/>
      <w:tcPr>
        <w:shd w:val="clear" w:color="auto" w:fill="FEE8CD"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3C7715"/>
    <w:pPr>
      <w:tabs>
        <w:tab w:val="left" w:pos="480"/>
        <w:tab w:val="left" w:pos="960"/>
        <w:tab w:val="left" w:pos="1440"/>
        <w:tab w:val="left" w:pos="1920"/>
        <w:tab w:val="left" w:pos="2400"/>
        <w:tab w:val="left" w:pos="2880"/>
        <w:tab w:val="left" w:pos="3360"/>
        <w:tab w:val="left" w:pos="3840"/>
        <w:tab w:val="left" w:pos="4320"/>
      </w:tabs>
      <w:spacing w:after="0" w:line="300" w:lineRule="atLeast"/>
    </w:pPr>
    <w:rPr>
      <w:rFonts w:ascii="Consolas" w:hAnsi="Consolas"/>
      <w:color w:val="1E1E1E"/>
      <w:sz w:val="20"/>
      <w:szCs w:val="20"/>
    </w:rPr>
  </w:style>
  <w:style w:type="character" w:customStyle="1" w:styleId="MacroTextChar">
    <w:name w:val="Macro Text Char"/>
    <w:basedOn w:val="DefaultParagraphFont"/>
    <w:link w:val="MacroText"/>
    <w:uiPriority w:val="99"/>
    <w:semiHidden/>
    <w:rsid w:val="003C7715"/>
    <w:rPr>
      <w:rFonts w:ascii="Consolas" w:hAnsi="Consolas"/>
      <w:color w:val="1E1E1E"/>
      <w:sz w:val="20"/>
      <w:szCs w:val="20"/>
    </w:rPr>
  </w:style>
  <w:style w:type="table" w:styleId="MediumGrid1">
    <w:name w:val="Medium Grid 1"/>
    <w:basedOn w:val="TableNormal"/>
    <w:uiPriority w:val="67"/>
    <w:semiHidden/>
    <w:unhideWhenUsed/>
    <w:rsid w:val="003C771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3C7715"/>
    <w:pPr>
      <w:spacing w:after="0" w:line="240" w:lineRule="auto"/>
    </w:pPr>
    <w:tblPr>
      <w:tblStyleRowBandSize w:val="1"/>
      <w:tblStyleColBandSize w:val="1"/>
      <w:tblBorders>
        <w:top w:val="single" w:sz="8" w:space="0" w:color="52D696" w:themeColor="accent1" w:themeTint="BF"/>
        <w:left w:val="single" w:sz="8" w:space="0" w:color="52D696" w:themeColor="accent1" w:themeTint="BF"/>
        <w:bottom w:val="single" w:sz="8" w:space="0" w:color="52D696" w:themeColor="accent1" w:themeTint="BF"/>
        <w:right w:val="single" w:sz="8" w:space="0" w:color="52D696" w:themeColor="accent1" w:themeTint="BF"/>
        <w:insideH w:val="single" w:sz="8" w:space="0" w:color="52D696" w:themeColor="accent1" w:themeTint="BF"/>
        <w:insideV w:val="single" w:sz="8" w:space="0" w:color="52D696" w:themeColor="accent1" w:themeTint="BF"/>
      </w:tblBorders>
    </w:tblPr>
    <w:tcPr>
      <w:shd w:val="clear" w:color="auto" w:fill="C5F1DC" w:themeFill="accent1" w:themeFillTint="3F"/>
    </w:tcPr>
    <w:tblStylePr w:type="firstRow">
      <w:rPr>
        <w:b/>
        <w:bCs/>
      </w:rPr>
    </w:tblStylePr>
    <w:tblStylePr w:type="lastRow">
      <w:rPr>
        <w:b/>
        <w:bCs/>
      </w:rPr>
      <w:tblPr/>
      <w:tcPr>
        <w:tcBorders>
          <w:top w:val="single" w:sz="18" w:space="0" w:color="52D696" w:themeColor="accent1" w:themeTint="BF"/>
        </w:tcBorders>
      </w:tcPr>
    </w:tblStylePr>
    <w:tblStylePr w:type="firstCol">
      <w:rPr>
        <w:b/>
        <w:bCs/>
      </w:rPr>
    </w:tblStylePr>
    <w:tblStylePr w:type="lastCol">
      <w:rPr>
        <w:b/>
        <w:bCs/>
      </w:rPr>
    </w:tblStylePr>
    <w:tblStylePr w:type="band1Vert">
      <w:tblPr/>
      <w:tcPr>
        <w:shd w:val="clear" w:color="auto" w:fill="8CE4B9" w:themeFill="accent1" w:themeFillTint="7F"/>
      </w:tcPr>
    </w:tblStylePr>
    <w:tblStylePr w:type="band1Horz">
      <w:tblPr/>
      <w:tcPr>
        <w:shd w:val="clear" w:color="auto" w:fill="8CE4B9" w:themeFill="accent1" w:themeFillTint="7F"/>
      </w:tcPr>
    </w:tblStylePr>
  </w:style>
  <w:style w:type="table" w:styleId="MediumGrid1-Accent2">
    <w:name w:val="Medium Grid 1 Accent 2"/>
    <w:basedOn w:val="TableNormal"/>
    <w:uiPriority w:val="67"/>
    <w:semiHidden/>
    <w:unhideWhenUsed/>
    <w:rsid w:val="003C7715"/>
    <w:pPr>
      <w:spacing w:after="0" w:line="240" w:lineRule="auto"/>
    </w:pPr>
    <w:tblPr>
      <w:tblStyleRowBandSize w:val="1"/>
      <w:tblStyleColBandSize w:val="1"/>
      <w:tblBorders>
        <w:top w:val="single" w:sz="8" w:space="0" w:color="BDE237" w:themeColor="accent2" w:themeTint="BF"/>
        <w:left w:val="single" w:sz="8" w:space="0" w:color="BDE237" w:themeColor="accent2" w:themeTint="BF"/>
        <w:bottom w:val="single" w:sz="8" w:space="0" w:color="BDE237" w:themeColor="accent2" w:themeTint="BF"/>
        <w:right w:val="single" w:sz="8" w:space="0" w:color="BDE237" w:themeColor="accent2" w:themeTint="BF"/>
        <w:insideH w:val="single" w:sz="8" w:space="0" w:color="BDE237" w:themeColor="accent2" w:themeTint="BF"/>
        <w:insideV w:val="single" w:sz="8" w:space="0" w:color="BDE237" w:themeColor="accent2" w:themeTint="BF"/>
      </w:tblBorders>
    </w:tblPr>
    <w:tcPr>
      <w:shd w:val="clear" w:color="auto" w:fill="E9F5BD" w:themeFill="accent2" w:themeFillTint="3F"/>
    </w:tcPr>
    <w:tblStylePr w:type="firstRow">
      <w:rPr>
        <w:b/>
        <w:bCs/>
      </w:rPr>
    </w:tblStylePr>
    <w:tblStylePr w:type="lastRow">
      <w:rPr>
        <w:b/>
        <w:bCs/>
      </w:rPr>
      <w:tblPr/>
      <w:tcPr>
        <w:tcBorders>
          <w:top w:val="single" w:sz="18" w:space="0" w:color="BDE237" w:themeColor="accent2" w:themeTint="BF"/>
        </w:tcBorders>
      </w:tcPr>
    </w:tblStylePr>
    <w:tblStylePr w:type="firstCol">
      <w:rPr>
        <w:b/>
        <w:bCs/>
      </w:rPr>
    </w:tblStylePr>
    <w:tblStylePr w:type="lastCol">
      <w:rPr>
        <w:b/>
        <w:bCs/>
      </w:rPr>
    </w:tblStylePr>
    <w:tblStylePr w:type="band1Vert">
      <w:tblPr/>
      <w:tcPr>
        <w:shd w:val="clear" w:color="auto" w:fill="D3EB7A" w:themeFill="accent2" w:themeFillTint="7F"/>
      </w:tcPr>
    </w:tblStylePr>
    <w:tblStylePr w:type="band1Horz">
      <w:tblPr/>
      <w:tcPr>
        <w:shd w:val="clear" w:color="auto" w:fill="D3EB7A" w:themeFill="accent2" w:themeFillTint="7F"/>
      </w:tcPr>
    </w:tblStylePr>
  </w:style>
  <w:style w:type="table" w:styleId="MediumGrid1-Accent3">
    <w:name w:val="Medium Grid 1 Accent 3"/>
    <w:basedOn w:val="TableNormal"/>
    <w:uiPriority w:val="67"/>
    <w:semiHidden/>
    <w:unhideWhenUsed/>
    <w:rsid w:val="003C7715"/>
    <w:pPr>
      <w:spacing w:after="0" w:line="240" w:lineRule="auto"/>
    </w:pPr>
    <w:tblPr>
      <w:tblStyleRowBandSize w:val="1"/>
      <w:tblStyleColBandSize w:val="1"/>
      <w:tblBorders>
        <w:top w:val="single" w:sz="8" w:space="0" w:color="F38F6B" w:themeColor="accent3" w:themeTint="BF"/>
        <w:left w:val="single" w:sz="8" w:space="0" w:color="F38F6B" w:themeColor="accent3" w:themeTint="BF"/>
        <w:bottom w:val="single" w:sz="8" w:space="0" w:color="F38F6B" w:themeColor="accent3" w:themeTint="BF"/>
        <w:right w:val="single" w:sz="8" w:space="0" w:color="F38F6B" w:themeColor="accent3" w:themeTint="BF"/>
        <w:insideH w:val="single" w:sz="8" w:space="0" w:color="F38F6B" w:themeColor="accent3" w:themeTint="BF"/>
        <w:insideV w:val="single" w:sz="8" w:space="0" w:color="F38F6B" w:themeColor="accent3" w:themeTint="BF"/>
      </w:tblBorders>
    </w:tblPr>
    <w:tcPr>
      <w:shd w:val="clear" w:color="auto" w:fill="FBD9CE" w:themeFill="accent3" w:themeFillTint="3F"/>
    </w:tcPr>
    <w:tblStylePr w:type="firstRow">
      <w:rPr>
        <w:b/>
        <w:bCs/>
      </w:rPr>
    </w:tblStylePr>
    <w:tblStylePr w:type="lastRow">
      <w:rPr>
        <w:b/>
        <w:bCs/>
      </w:rPr>
      <w:tblPr/>
      <w:tcPr>
        <w:tcBorders>
          <w:top w:val="single" w:sz="18" w:space="0" w:color="F38F6B" w:themeColor="accent3" w:themeTint="BF"/>
        </w:tcBorders>
      </w:tcPr>
    </w:tblStylePr>
    <w:tblStylePr w:type="firstCol">
      <w:rPr>
        <w:b/>
        <w:bCs/>
      </w:rPr>
    </w:tblStylePr>
    <w:tblStylePr w:type="lastCol">
      <w:rPr>
        <w:b/>
        <w:bCs/>
      </w:rPr>
    </w:tblStylePr>
    <w:tblStylePr w:type="band1Vert">
      <w:tblPr/>
      <w:tcPr>
        <w:shd w:val="clear" w:color="auto" w:fill="F7B49D" w:themeFill="accent3" w:themeFillTint="7F"/>
      </w:tcPr>
    </w:tblStylePr>
    <w:tblStylePr w:type="band1Horz">
      <w:tblPr/>
      <w:tcPr>
        <w:shd w:val="clear" w:color="auto" w:fill="F7B49D" w:themeFill="accent3" w:themeFillTint="7F"/>
      </w:tcPr>
    </w:tblStylePr>
  </w:style>
  <w:style w:type="table" w:styleId="MediumGrid1-Accent4">
    <w:name w:val="Medium Grid 1 Accent 4"/>
    <w:basedOn w:val="TableNormal"/>
    <w:uiPriority w:val="67"/>
    <w:semiHidden/>
    <w:unhideWhenUsed/>
    <w:rsid w:val="003C7715"/>
    <w:pPr>
      <w:spacing w:after="0" w:line="240" w:lineRule="auto"/>
    </w:pPr>
    <w:tblPr>
      <w:tblStyleRowBandSize w:val="1"/>
      <w:tblStyleColBandSize w:val="1"/>
      <w:tblBorders>
        <w:top w:val="single" w:sz="8" w:space="0" w:color="AF88D8" w:themeColor="accent4" w:themeTint="BF"/>
        <w:left w:val="single" w:sz="8" w:space="0" w:color="AF88D8" w:themeColor="accent4" w:themeTint="BF"/>
        <w:bottom w:val="single" w:sz="8" w:space="0" w:color="AF88D8" w:themeColor="accent4" w:themeTint="BF"/>
        <w:right w:val="single" w:sz="8" w:space="0" w:color="AF88D8" w:themeColor="accent4" w:themeTint="BF"/>
        <w:insideH w:val="single" w:sz="8" w:space="0" w:color="AF88D8" w:themeColor="accent4" w:themeTint="BF"/>
        <w:insideV w:val="single" w:sz="8" w:space="0" w:color="AF88D8" w:themeColor="accent4" w:themeTint="BF"/>
      </w:tblBorders>
    </w:tblPr>
    <w:tcPr>
      <w:shd w:val="clear" w:color="auto" w:fill="E4D7F2" w:themeFill="accent4" w:themeFillTint="3F"/>
    </w:tcPr>
    <w:tblStylePr w:type="firstRow">
      <w:rPr>
        <w:b/>
        <w:bCs/>
      </w:rPr>
    </w:tblStylePr>
    <w:tblStylePr w:type="lastRow">
      <w:rPr>
        <w:b/>
        <w:bCs/>
      </w:rPr>
      <w:tblPr/>
      <w:tcPr>
        <w:tcBorders>
          <w:top w:val="single" w:sz="18" w:space="0" w:color="AF88D8" w:themeColor="accent4" w:themeTint="BF"/>
        </w:tcBorders>
      </w:tcPr>
    </w:tblStylePr>
    <w:tblStylePr w:type="firstCol">
      <w:rPr>
        <w:b/>
        <w:bCs/>
      </w:rPr>
    </w:tblStylePr>
    <w:tblStylePr w:type="lastCol">
      <w:rPr>
        <w:b/>
        <w:bCs/>
      </w:rPr>
    </w:tblStylePr>
    <w:tblStylePr w:type="band1Vert">
      <w:tblPr/>
      <w:tcPr>
        <w:shd w:val="clear" w:color="auto" w:fill="C9B0E5" w:themeFill="accent4" w:themeFillTint="7F"/>
      </w:tcPr>
    </w:tblStylePr>
    <w:tblStylePr w:type="band1Horz">
      <w:tblPr/>
      <w:tcPr>
        <w:shd w:val="clear" w:color="auto" w:fill="C9B0E5" w:themeFill="accent4" w:themeFillTint="7F"/>
      </w:tcPr>
    </w:tblStylePr>
  </w:style>
  <w:style w:type="table" w:styleId="MediumGrid1-Accent5">
    <w:name w:val="Medium Grid 1 Accent 5"/>
    <w:basedOn w:val="TableNormal"/>
    <w:uiPriority w:val="67"/>
    <w:semiHidden/>
    <w:unhideWhenUsed/>
    <w:rsid w:val="003C7715"/>
    <w:pPr>
      <w:spacing w:after="0" w:line="240" w:lineRule="auto"/>
    </w:pPr>
    <w:tblPr>
      <w:tblStyleRowBandSize w:val="1"/>
      <w:tblStyleColBandSize w:val="1"/>
      <w:tblBorders>
        <w:top w:val="single" w:sz="8" w:space="0" w:color="15E0FF" w:themeColor="accent5" w:themeTint="BF"/>
        <w:left w:val="single" w:sz="8" w:space="0" w:color="15E0FF" w:themeColor="accent5" w:themeTint="BF"/>
        <w:bottom w:val="single" w:sz="8" w:space="0" w:color="15E0FF" w:themeColor="accent5" w:themeTint="BF"/>
        <w:right w:val="single" w:sz="8" w:space="0" w:color="15E0FF" w:themeColor="accent5" w:themeTint="BF"/>
        <w:insideH w:val="single" w:sz="8" w:space="0" w:color="15E0FF" w:themeColor="accent5" w:themeTint="BF"/>
        <w:insideV w:val="single" w:sz="8" w:space="0" w:color="15E0FF" w:themeColor="accent5" w:themeTint="BF"/>
      </w:tblBorders>
    </w:tblPr>
    <w:tcPr>
      <w:shd w:val="clear" w:color="auto" w:fill="B1F4FF" w:themeFill="accent5" w:themeFillTint="3F"/>
    </w:tcPr>
    <w:tblStylePr w:type="firstRow">
      <w:rPr>
        <w:b/>
        <w:bCs/>
      </w:rPr>
    </w:tblStylePr>
    <w:tblStylePr w:type="lastRow">
      <w:rPr>
        <w:b/>
        <w:bCs/>
      </w:rPr>
      <w:tblPr/>
      <w:tcPr>
        <w:tcBorders>
          <w:top w:val="single" w:sz="18" w:space="0" w:color="15E0FF" w:themeColor="accent5" w:themeTint="BF"/>
        </w:tcBorders>
      </w:tcPr>
    </w:tblStylePr>
    <w:tblStylePr w:type="firstCol">
      <w:rPr>
        <w:b/>
        <w:bCs/>
      </w:rPr>
    </w:tblStylePr>
    <w:tblStylePr w:type="lastCol">
      <w:rPr>
        <w:b/>
        <w:bCs/>
      </w:rPr>
    </w:tblStylePr>
    <w:tblStylePr w:type="band1Vert">
      <w:tblPr/>
      <w:tcPr>
        <w:shd w:val="clear" w:color="auto" w:fill="63EAFF" w:themeFill="accent5" w:themeFillTint="7F"/>
      </w:tcPr>
    </w:tblStylePr>
    <w:tblStylePr w:type="band1Horz">
      <w:tblPr/>
      <w:tcPr>
        <w:shd w:val="clear" w:color="auto" w:fill="63EAFF" w:themeFill="accent5" w:themeFillTint="7F"/>
      </w:tcPr>
    </w:tblStylePr>
  </w:style>
  <w:style w:type="table" w:styleId="MediumGrid1-Accent6">
    <w:name w:val="Medium Grid 1 Accent 6"/>
    <w:basedOn w:val="TableNormal"/>
    <w:uiPriority w:val="67"/>
    <w:semiHidden/>
    <w:unhideWhenUsed/>
    <w:rsid w:val="003C7715"/>
    <w:pPr>
      <w:spacing w:after="0" w:line="240" w:lineRule="auto"/>
    </w:pPr>
    <w:tblPr>
      <w:tblStyleRowBandSize w:val="1"/>
      <w:tblStyleColBandSize w:val="1"/>
      <w:tblBorders>
        <w:top w:val="single" w:sz="8" w:space="0" w:color="FDAA47" w:themeColor="accent6" w:themeTint="BF"/>
        <w:left w:val="single" w:sz="8" w:space="0" w:color="FDAA47" w:themeColor="accent6" w:themeTint="BF"/>
        <w:bottom w:val="single" w:sz="8" w:space="0" w:color="FDAA47" w:themeColor="accent6" w:themeTint="BF"/>
        <w:right w:val="single" w:sz="8" w:space="0" w:color="FDAA47" w:themeColor="accent6" w:themeTint="BF"/>
        <w:insideH w:val="single" w:sz="8" w:space="0" w:color="FDAA47" w:themeColor="accent6" w:themeTint="BF"/>
        <w:insideV w:val="single" w:sz="8" w:space="0" w:color="FDAA47" w:themeColor="accent6" w:themeTint="BF"/>
      </w:tblBorders>
    </w:tblPr>
    <w:tcPr>
      <w:shd w:val="clear" w:color="auto" w:fill="FEE3C2" w:themeFill="accent6" w:themeFillTint="3F"/>
    </w:tcPr>
    <w:tblStylePr w:type="firstRow">
      <w:rPr>
        <w:b/>
        <w:bCs/>
      </w:rPr>
    </w:tblStylePr>
    <w:tblStylePr w:type="lastRow">
      <w:rPr>
        <w:b/>
        <w:bCs/>
      </w:rPr>
      <w:tblPr/>
      <w:tcPr>
        <w:tcBorders>
          <w:top w:val="single" w:sz="18" w:space="0" w:color="FDAA47" w:themeColor="accent6" w:themeTint="BF"/>
        </w:tcBorders>
      </w:tcPr>
    </w:tblStylePr>
    <w:tblStylePr w:type="firstCol">
      <w:rPr>
        <w:b/>
        <w:bCs/>
      </w:rPr>
    </w:tblStylePr>
    <w:tblStylePr w:type="lastCol">
      <w:rPr>
        <w:b/>
        <w:bCs/>
      </w:rPr>
    </w:tblStylePr>
    <w:tblStylePr w:type="band1Vert">
      <w:tblPr/>
      <w:tcPr>
        <w:shd w:val="clear" w:color="auto" w:fill="FEC684" w:themeFill="accent6" w:themeFillTint="7F"/>
      </w:tcPr>
    </w:tblStylePr>
    <w:tblStylePr w:type="band1Horz">
      <w:tblPr/>
      <w:tcPr>
        <w:shd w:val="clear" w:color="auto" w:fill="FEC684" w:themeFill="accent6" w:themeFillTint="7F"/>
      </w:tcPr>
    </w:tblStylePr>
  </w:style>
  <w:style w:type="table" w:styleId="MediumGrid2">
    <w:name w:val="Medium Grid 2"/>
    <w:basedOn w:val="TableNormal"/>
    <w:uiPriority w:val="68"/>
    <w:semiHidden/>
    <w:unhideWhenUsed/>
    <w:rsid w:val="003C77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3C77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BB673" w:themeColor="accent1"/>
        <w:left w:val="single" w:sz="8" w:space="0" w:color="2BB673" w:themeColor="accent1"/>
        <w:bottom w:val="single" w:sz="8" w:space="0" w:color="2BB673" w:themeColor="accent1"/>
        <w:right w:val="single" w:sz="8" w:space="0" w:color="2BB673" w:themeColor="accent1"/>
        <w:insideH w:val="single" w:sz="8" w:space="0" w:color="2BB673" w:themeColor="accent1"/>
        <w:insideV w:val="single" w:sz="8" w:space="0" w:color="2BB673" w:themeColor="accent1"/>
      </w:tblBorders>
    </w:tblPr>
    <w:tcPr>
      <w:shd w:val="clear" w:color="auto" w:fill="C5F1DC" w:themeFill="accent1" w:themeFillTint="3F"/>
    </w:tcPr>
    <w:tblStylePr w:type="firstRow">
      <w:rPr>
        <w:b/>
        <w:bCs/>
        <w:color w:val="000000" w:themeColor="text1"/>
      </w:rPr>
      <w:tblPr/>
      <w:tcPr>
        <w:shd w:val="clear" w:color="auto" w:fill="E8F9F1"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0F4E3" w:themeFill="accent1" w:themeFillTint="33"/>
      </w:tcPr>
    </w:tblStylePr>
    <w:tblStylePr w:type="band1Vert">
      <w:tblPr/>
      <w:tcPr>
        <w:shd w:val="clear" w:color="auto" w:fill="8CE4B9" w:themeFill="accent1" w:themeFillTint="7F"/>
      </w:tcPr>
    </w:tblStylePr>
    <w:tblStylePr w:type="band1Horz">
      <w:tblPr/>
      <w:tcPr>
        <w:tcBorders>
          <w:insideH w:val="single" w:sz="6" w:space="0" w:color="2BB673" w:themeColor="accent1"/>
          <w:insideV w:val="single" w:sz="6" w:space="0" w:color="2BB673" w:themeColor="accent1"/>
        </w:tcBorders>
        <w:shd w:val="clear" w:color="auto" w:fill="8CE4B9"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3C77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3B41A" w:themeColor="accent2"/>
        <w:left w:val="single" w:sz="8" w:space="0" w:color="93B41A" w:themeColor="accent2"/>
        <w:bottom w:val="single" w:sz="8" w:space="0" w:color="93B41A" w:themeColor="accent2"/>
        <w:right w:val="single" w:sz="8" w:space="0" w:color="93B41A" w:themeColor="accent2"/>
        <w:insideH w:val="single" w:sz="8" w:space="0" w:color="93B41A" w:themeColor="accent2"/>
        <w:insideV w:val="single" w:sz="8" w:space="0" w:color="93B41A" w:themeColor="accent2"/>
      </w:tblBorders>
    </w:tblPr>
    <w:tcPr>
      <w:shd w:val="clear" w:color="auto" w:fill="E9F5BD" w:themeFill="accent2" w:themeFillTint="3F"/>
    </w:tcPr>
    <w:tblStylePr w:type="firstRow">
      <w:rPr>
        <w:b/>
        <w:bCs/>
        <w:color w:val="000000" w:themeColor="text1"/>
      </w:rPr>
      <w:tblPr/>
      <w:tcPr>
        <w:shd w:val="clear" w:color="auto" w:fill="F6FBE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F7C9" w:themeFill="accent2" w:themeFillTint="33"/>
      </w:tcPr>
    </w:tblStylePr>
    <w:tblStylePr w:type="band1Vert">
      <w:tblPr/>
      <w:tcPr>
        <w:shd w:val="clear" w:color="auto" w:fill="D3EB7A" w:themeFill="accent2" w:themeFillTint="7F"/>
      </w:tcPr>
    </w:tblStylePr>
    <w:tblStylePr w:type="band1Horz">
      <w:tblPr/>
      <w:tcPr>
        <w:tcBorders>
          <w:insideH w:val="single" w:sz="6" w:space="0" w:color="93B41A" w:themeColor="accent2"/>
          <w:insideV w:val="single" w:sz="6" w:space="0" w:color="93B41A" w:themeColor="accent2"/>
        </w:tcBorders>
        <w:shd w:val="clear" w:color="auto" w:fill="D3EB7A"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3C77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6A3B" w:themeColor="accent3"/>
        <w:left w:val="single" w:sz="8" w:space="0" w:color="F06A3B" w:themeColor="accent3"/>
        <w:bottom w:val="single" w:sz="8" w:space="0" w:color="F06A3B" w:themeColor="accent3"/>
        <w:right w:val="single" w:sz="8" w:space="0" w:color="F06A3B" w:themeColor="accent3"/>
        <w:insideH w:val="single" w:sz="8" w:space="0" w:color="F06A3B" w:themeColor="accent3"/>
        <w:insideV w:val="single" w:sz="8" w:space="0" w:color="F06A3B" w:themeColor="accent3"/>
      </w:tblBorders>
    </w:tblPr>
    <w:tcPr>
      <w:shd w:val="clear" w:color="auto" w:fill="FBD9CE" w:themeFill="accent3" w:themeFillTint="3F"/>
    </w:tcPr>
    <w:tblStylePr w:type="firstRow">
      <w:rPr>
        <w:b/>
        <w:bCs/>
        <w:color w:val="000000" w:themeColor="text1"/>
      </w:rPr>
      <w:tblPr/>
      <w:tcPr>
        <w:shd w:val="clear" w:color="auto" w:fill="FDF0E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1D7" w:themeFill="accent3" w:themeFillTint="33"/>
      </w:tcPr>
    </w:tblStylePr>
    <w:tblStylePr w:type="band1Vert">
      <w:tblPr/>
      <w:tcPr>
        <w:shd w:val="clear" w:color="auto" w:fill="F7B49D" w:themeFill="accent3" w:themeFillTint="7F"/>
      </w:tcPr>
    </w:tblStylePr>
    <w:tblStylePr w:type="band1Horz">
      <w:tblPr/>
      <w:tcPr>
        <w:tcBorders>
          <w:insideH w:val="single" w:sz="6" w:space="0" w:color="F06A3B" w:themeColor="accent3"/>
          <w:insideV w:val="single" w:sz="6" w:space="0" w:color="F06A3B" w:themeColor="accent3"/>
        </w:tcBorders>
        <w:shd w:val="clear" w:color="auto" w:fill="F7B49D"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3C77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561CC" w:themeColor="accent4"/>
        <w:left w:val="single" w:sz="8" w:space="0" w:color="9561CC" w:themeColor="accent4"/>
        <w:bottom w:val="single" w:sz="8" w:space="0" w:color="9561CC" w:themeColor="accent4"/>
        <w:right w:val="single" w:sz="8" w:space="0" w:color="9561CC" w:themeColor="accent4"/>
        <w:insideH w:val="single" w:sz="8" w:space="0" w:color="9561CC" w:themeColor="accent4"/>
        <w:insideV w:val="single" w:sz="8" w:space="0" w:color="9561CC" w:themeColor="accent4"/>
      </w:tblBorders>
    </w:tblPr>
    <w:tcPr>
      <w:shd w:val="clear" w:color="auto" w:fill="E4D7F2" w:themeFill="accent4" w:themeFillTint="3F"/>
    </w:tcPr>
    <w:tblStylePr w:type="firstRow">
      <w:rPr>
        <w:b/>
        <w:bCs/>
        <w:color w:val="000000" w:themeColor="text1"/>
      </w:rPr>
      <w:tblPr/>
      <w:tcPr>
        <w:shd w:val="clear" w:color="auto" w:fill="F4EFFA"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DFF4" w:themeFill="accent4" w:themeFillTint="33"/>
      </w:tcPr>
    </w:tblStylePr>
    <w:tblStylePr w:type="band1Vert">
      <w:tblPr/>
      <w:tcPr>
        <w:shd w:val="clear" w:color="auto" w:fill="C9B0E5" w:themeFill="accent4" w:themeFillTint="7F"/>
      </w:tcPr>
    </w:tblStylePr>
    <w:tblStylePr w:type="band1Horz">
      <w:tblPr/>
      <w:tcPr>
        <w:tcBorders>
          <w:insideH w:val="single" w:sz="6" w:space="0" w:color="9561CC" w:themeColor="accent4"/>
          <w:insideV w:val="single" w:sz="6" w:space="0" w:color="9561CC" w:themeColor="accent4"/>
        </w:tcBorders>
        <w:shd w:val="clear" w:color="auto" w:fill="C9B0E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3C77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DC6" w:themeColor="accent5"/>
        <w:left w:val="single" w:sz="8" w:space="0" w:color="00ADC6" w:themeColor="accent5"/>
        <w:bottom w:val="single" w:sz="8" w:space="0" w:color="00ADC6" w:themeColor="accent5"/>
        <w:right w:val="single" w:sz="8" w:space="0" w:color="00ADC6" w:themeColor="accent5"/>
        <w:insideH w:val="single" w:sz="8" w:space="0" w:color="00ADC6" w:themeColor="accent5"/>
        <w:insideV w:val="single" w:sz="8" w:space="0" w:color="00ADC6" w:themeColor="accent5"/>
      </w:tblBorders>
    </w:tblPr>
    <w:tcPr>
      <w:shd w:val="clear" w:color="auto" w:fill="B1F4FF" w:themeFill="accent5" w:themeFillTint="3F"/>
    </w:tcPr>
    <w:tblStylePr w:type="firstRow">
      <w:rPr>
        <w:b/>
        <w:bCs/>
        <w:color w:val="000000" w:themeColor="text1"/>
      </w:rPr>
      <w:tblPr/>
      <w:tcPr>
        <w:shd w:val="clear" w:color="auto" w:fill="E0FBF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0F6FF" w:themeFill="accent5" w:themeFillTint="33"/>
      </w:tcPr>
    </w:tblStylePr>
    <w:tblStylePr w:type="band1Vert">
      <w:tblPr/>
      <w:tcPr>
        <w:shd w:val="clear" w:color="auto" w:fill="63EAFF" w:themeFill="accent5" w:themeFillTint="7F"/>
      </w:tcPr>
    </w:tblStylePr>
    <w:tblStylePr w:type="band1Horz">
      <w:tblPr/>
      <w:tcPr>
        <w:tcBorders>
          <w:insideH w:val="single" w:sz="6" w:space="0" w:color="00ADC6" w:themeColor="accent5"/>
          <w:insideV w:val="single" w:sz="6" w:space="0" w:color="00ADC6" w:themeColor="accent5"/>
        </w:tcBorders>
        <w:shd w:val="clear" w:color="auto" w:fill="63EAF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3C77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D8F0A" w:themeColor="accent6"/>
        <w:left w:val="single" w:sz="8" w:space="0" w:color="FD8F0A" w:themeColor="accent6"/>
        <w:bottom w:val="single" w:sz="8" w:space="0" w:color="FD8F0A" w:themeColor="accent6"/>
        <w:right w:val="single" w:sz="8" w:space="0" w:color="FD8F0A" w:themeColor="accent6"/>
        <w:insideH w:val="single" w:sz="8" w:space="0" w:color="FD8F0A" w:themeColor="accent6"/>
        <w:insideV w:val="single" w:sz="8" w:space="0" w:color="FD8F0A" w:themeColor="accent6"/>
      </w:tblBorders>
    </w:tblPr>
    <w:tcPr>
      <w:shd w:val="clear" w:color="auto" w:fill="FEE3C2" w:themeFill="accent6" w:themeFillTint="3F"/>
    </w:tcPr>
    <w:tblStylePr w:type="firstRow">
      <w:rPr>
        <w:b/>
        <w:bCs/>
        <w:color w:val="000000" w:themeColor="text1"/>
      </w:rPr>
      <w:tblPr/>
      <w:tcPr>
        <w:shd w:val="clear" w:color="auto" w:fill="FEF3E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E8CD" w:themeFill="accent6" w:themeFillTint="33"/>
      </w:tcPr>
    </w:tblStylePr>
    <w:tblStylePr w:type="band1Vert">
      <w:tblPr/>
      <w:tcPr>
        <w:shd w:val="clear" w:color="auto" w:fill="FEC684" w:themeFill="accent6" w:themeFillTint="7F"/>
      </w:tcPr>
    </w:tblStylePr>
    <w:tblStylePr w:type="band1Horz">
      <w:tblPr/>
      <w:tcPr>
        <w:tcBorders>
          <w:insideH w:val="single" w:sz="6" w:space="0" w:color="FD8F0A" w:themeColor="accent6"/>
          <w:insideV w:val="single" w:sz="6" w:space="0" w:color="FD8F0A" w:themeColor="accent6"/>
        </w:tcBorders>
        <w:shd w:val="clear" w:color="auto" w:fill="FEC684"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3C771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3C771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5F1D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BB67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BB67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BB673"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BB673"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CE4B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CE4B9" w:themeFill="accent1" w:themeFillTint="7F"/>
      </w:tcPr>
    </w:tblStylePr>
  </w:style>
  <w:style w:type="table" w:styleId="MediumGrid3-Accent2">
    <w:name w:val="Medium Grid 3 Accent 2"/>
    <w:basedOn w:val="TableNormal"/>
    <w:uiPriority w:val="69"/>
    <w:semiHidden/>
    <w:unhideWhenUsed/>
    <w:rsid w:val="003C771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5BD"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3B41A"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3B41A"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3B41A"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3B41A"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3EB7A"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3EB7A" w:themeFill="accent2" w:themeFillTint="7F"/>
      </w:tcPr>
    </w:tblStylePr>
  </w:style>
  <w:style w:type="table" w:styleId="MediumGrid3-Accent3">
    <w:name w:val="Medium Grid 3 Accent 3"/>
    <w:basedOn w:val="TableNormal"/>
    <w:uiPriority w:val="69"/>
    <w:semiHidden/>
    <w:unhideWhenUsed/>
    <w:rsid w:val="003C771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D9C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6A3B"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6A3B"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6A3B"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6A3B"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B49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B49D" w:themeFill="accent3" w:themeFillTint="7F"/>
      </w:tcPr>
    </w:tblStylePr>
  </w:style>
  <w:style w:type="table" w:styleId="MediumGrid3-Accent4">
    <w:name w:val="Medium Grid 3 Accent 4"/>
    <w:basedOn w:val="TableNormal"/>
    <w:uiPriority w:val="69"/>
    <w:semiHidden/>
    <w:unhideWhenUsed/>
    <w:rsid w:val="003C771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D7F2"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561C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561C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561C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561C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9B0E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9B0E5" w:themeFill="accent4" w:themeFillTint="7F"/>
      </w:tcPr>
    </w:tblStylePr>
  </w:style>
  <w:style w:type="table" w:styleId="MediumGrid3-Accent5">
    <w:name w:val="Medium Grid 3 Accent 5"/>
    <w:basedOn w:val="TableNormal"/>
    <w:uiPriority w:val="69"/>
    <w:semiHidden/>
    <w:unhideWhenUsed/>
    <w:rsid w:val="003C771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1F4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3EA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3EAFF" w:themeFill="accent5" w:themeFillTint="7F"/>
      </w:tcPr>
    </w:tblStylePr>
  </w:style>
  <w:style w:type="table" w:styleId="MediumGrid3-Accent6">
    <w:name w:val="Medium Grid 3 Accent 6"/>
    <w:basedOn w:val="TableNormal"/>
    <w:uiPriority w:val="69"/>
    <w:semiHidden/>
    <w:unhideWhenUsed/>
    <w:rsid w:val="003C771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E3C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D8F0A"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D8F0A"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D8F0A"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D8F0A"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EC684"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EC684" w:themeFill="accent6" w:themeFillTint="7F"/>
      </w:tcPr>
    </w:tblStylePr>
  </w:style>
  <w:style w:type="table" w:styleId="MediumList1">
    <w:name w:val="Medium List 1"/>
    <w:basedOn w:val="TableNormal"/>
    <w:uiPriority w:val="65"/>
    <w:semiHidden/>
    <w:unhideWhenUsed/>
    <w:rsid w:val="003C771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26262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3C7715"/>
    <w:pPr>
      <w:spacing w:after="0" w:line="240" w:lineRule="auto"/>
    </w:pPr>
    <w:rPr>
      <w:color w:val="000000" w:themeColor="text1"/>
    </w:rPr>
    <w:tblPr>
      <w:tblStyleRowBandSize w:val="1"/>
      <w:tblStyleColBandSize w:val="1"/>
      <w:tblBorders>
        <w:top w:val="single" w:sz="8" w:space="0" w:color="2BB673" w:themeColor="accent1"/>
        <w:bottom w:val="single" w:sz="8" w:space="0" w:color="2BB673" w:themeColor="accent1"/>
      </w:tblBorders>
    </w:tblPr>
    <w:tblStylePr w:type="firstRow">
      <w:rPr>
        <w:rFonts w:asciiTheme="majorHAnsi" w:eastAsiaTheme="majorEastAsia" w:hAnsiTheme="majorHAnsi" w:cstheme="majorBidi"/>
      </w:rPr>
      <w:tblPr/>
      <w:tcPr>
        <w:tcBorders>
          <w:top w:val="nil"/>
          <w:bottom w:val="single" w:sz="8" w:space="0" w:color="2BB673" w:themeColor="accent1"/>
        </w:tcBorders>
      </w:tcPr>
    </w:tblStylePr>
    <w:tblStylePr w:type="lastRow">
      <w:rPr>
        <w:b/>
        <w:bCs/>
        <w:color w:val="262626" w:themeColor="text2"/>
      </w:rPr>
      <w:tblPr/>
      <w:tcPr>
        <w:tcBorders>
          <w:top w:val="single" w:sz="8" w:space="0" w:color="2BB673" w:themeColor="accent1"/>
          <w:bottom w:val="single" w:sz="8" w:space="0" w:color="2BB673" w:themeColor="accent1"/>
        </w:tcBorders>
      </w:tcPr>
    </w:tblStylePr>
    <w:tblStylePr w:type="firstCol">
      <w:rPr>
        <w:b/>
        <w:bCs/>
      </w:rPr>
    </w:tblStylePr>
    <w:tblStylePr w:type="lastCol">
      <w:rPr>
        <w:b/>
        <w:bCs/>
      </w:rPr>
      <w:tblPr/>
      <w:tcPr>
        <w:tcBorders>
          <w:top w:val="single" w:sz="8" w:space="0" w:color="2BB673" w:themeColor="accent1"/>
          <w:bottom w:val="single" w:sz="8" w:space="0" w:color="2BB673" w:themeColor="accent1"/>
        </w:tcBorders>
      </w:tcPr>
    </w:tblStylePr>
    <w:tblStylePr w:type="band1Vert">
      <w:tblPr/>
      <w:tcPr>
        <w:shd w:val="clear" w:color="auto" w:fill="C5F1DC" w:themeFill="accent1" w:themeFillTint="3F"/>
      </w:tcPr>
    </w:tblStylePr>
    <w:tblStylePr w:type="band1Horz">
      <w:tblPr/>
      <w:tcPr>
        <w:shd w:val="clear" w:color="auto" w:fill="C5F1DC" w:themeFill="accent1" w:themeFillTint="3F"/>
      </w:tcPr>
    </w:tblStylePr>
  </w:style>
  <w:style w:type="table" w:styleId="MediumList1-Accent2">
    <w:name w:val="Medium List 1 Accent 2"/>
    <w:basedOn w:val="TableNormal"/>
    <w:uiPriority w:val="65"/>
    <w:semiHidden/>
    <w:unhideWhenUsed/>
    <w:rsid w:val="003C7715"/>
    <w:pPr>
      <w:spacing w:after="0" w:line="240" w:lineRule="auto"/>
    </w:pPr>
    <w:rPr>
      <w:color w:val="000000" w:themeColor="text1"/>
    </w:rPr>
    <w:tblPr>
      <w:tblStyleRowBandSize w:val="1"/>
      <w:tblStyleColBandSize w:val="1"/>
      <w:tblBorders>
        <w:top w:val="single" w:sz="8" w:space="0" w:color="93B41A" w:themeColor="accent2"/>
        <w:bottom w:val="single" w:sz="8" w:space="0" w:color="93B41A" w:themeColor="accent2"/>
      </w:tblBorders>
    </w:tblPr>
    <w:tblStylePr w:type="firstRow">
      <w:rPr>
        <w:rFonts w:asciiTheme="majorHAnsi" w:eastAsiaTheme="majorEastAsia" w:hAnsiTheme="majorHAnsi" w:cstheme="majorBidi"/>
      </w:rPr>
      <w:tblPr/>
      <w:tcPr>
        <w:tcBorders>
          <w:top w:val="nil"/>
          <w:bottom w:val="single" w:sz="8" w:space="0" w:color="93B41A" w:themeColor="accent2"/>
        </w:tcBorders>
      </w:tcPr>
    </w:tblStylePr>
    <w:tblStylePr w:type="lastRow">
      <w:rPr>
        <w:b/>
        <w:bCs/>
        <w:color w:val="262626" w:themeColor="text2"/>
      </w:rPr>
      <w:tblPr/>
      <w:tcPr>
        <w:tcBorders>
          <w:top w:val="single" w:sz="8" w:space="0" w:color="93B41A" w:themeColor="accent2"/>
          <w:bottom w:val="single" w:sz="8" w:space="0" w:color="93B41A" w:themeColor="accent2"/>
        </w:tcBorders>
      </w:tcPr>
    </w:tblStylePr>
    <w:tblStylePr w:type="firstCol">
      <w:rPr>
        <w:b/>
        <w:bCs/>
      </w:rPr>
    </w:tblStylePr>
    <w:tblStylePr w:type="lastCol">
      <w:rPr>
        <w:b/>
        <w:bCs/>
      </w:rPr>
      <w:tblPr/>
      <w:tcPr>
        <w:tcBorders>
          <w:top w:val="single" w:sz="8" w:space="0" w:color="93B41A" w:themeColor="accent2"/>
          <w:bottom w:val="single" w:sz="8" w:space="0" w:color="93B41A" w:themeColor="accent2"/>
        </w:tcBorders>
      </w:tcPr>
    </w:tblStylePr>
    <w:tblStylePr w:type="band1Vert">
      <w:tblPr/>
      <w:tcPr>
        <w:shd w:val="clear" w:color="auto" w:fill="E9F5BD" w:themeFill="accent2" w:themeFillTint="3F"/>
      </w:tcPr>
    </w:tblStylePr>
    <w:tblStylePr w:type="band1Horz">
      <w:tblPr/>
      <w:tcPr>
        <w:shd w:val="clear" w:color="auto" w:fill="E9F5BD" w:themeFill="accent2" w:themeFillTint="3F"/>
      </w:tcPr>
    </w:tblStylePr>
  </w:style>
  <w:style w:type="table" w:styleId="MediumList1-Accent3">
    <w:name w:val="Medium List 1 Accent 3"/>
    <w:basedOn w:val="TableNormal"/>
    <w:uiPriority w:val="65"/>
    <w:semiHidden/>
    <w:unhideWhenUsed/>
    <w:rsid w:val="003C7715"/>
    <w:pPr>
      <w:spacing w:after="0" w:line="240" w:lineRule="auto"/>
    </w:pPr>
    <w:rPr>
      <w:color w:val="000000" w:themeColor="text1"/>
    </w:rPr>
    <w:tblPr>
      <w:tblStyleRowBandSize w:val="1"/>
      <w:tblStyleColBandSize w:val="1"/>
      <w:tblBorders>
        <w:top w:val="single" w:sz="8" w:space="0" w:color="F06A3B" w:themeColor="accent3"/>
        <w:bottom w:val="single" w:sz="8" w:space="0" w:color="F06A3B" w:themeColor="accent3"/>
      </w:tblBorders>
    </w:tblPr>
    <w:tblStylePr w:type="firstRow">
      <w:rPr>
        <w:rFonts w:asciiTheme="majorHAnsi" w:eastAsiaTheme="majorEastAsia" w:hAnsiTheme="majorHAnsi" w:cstheme="majorBidi"/>
      </w:rPr>
      <w:tblPr/>
      <w:tcPr>
        <w:tcBorders>
          <w:top w:val="nil"/>
          <w:bottom w:val="single" w:sz="8" w:space="0" w:color="F06A3B" w:themeColor="accent3"/>
        </w:tcBorders>
      </w:tcPr>
    </w:tblStylePr>
    <w:tblStylePr w:type="lastRow">
      <w:rPr>
        <w:b/>
        <w:bCs/>
        <w:color w:val="262626" w:themeColor="text2"/>
      </w:rPr>
      <w:tblPr/>
      <w:tcPr>
        <w:tcBorders>
          <w:top w:val="single" w:sz="8" w:space="0" w:color="F06A3B" w:themeColor="accent3"/>
          <w:bottom w:val="single" w:sz="8" w:space="0" w:color="F06A3B" w:themeColor="accent3"/>
        </w:tcBorders>
      </w:tcPr>
    </w:tblStylePr>
    <w:tblStylePr w:type="firstCol">
      <w:rPr>
        <w:b/>
        <w:bCs/>
      </w:rPr>
    </w:tblStylePr>
    <w:tblStylePr w:type="lastCol">
      <w:rPr>
        <w:b/>
        <w:bCs/>
      </w:rPr>
      <w:tblPr/>
      <w:tcPr>
        <w:tcBorders>
          <w:top w:val="single" w:sz="8" w:space="0" w:color="F06A3B" w:themeColor="accent3"/>
          <w:bottom w:val="single" w:sz="8" w:space="0" w:color="F06A3B" w:themeColor="accent3"/>
        </w:tcBorders>
      </w:tcPr>
    </w:tblStylePr>
    <w:tblStylePr w:type="band1Vert">
      <w:tblPr/>
      <w:tcPr>
        <w:shd w:val="clear" w:color="auto" w:fill="FBD9CE" w:themeFill="accent3" w:themeFillTint="3F"/>
      </w:tcPr>
    </w:tblStylePr>
    <w:tblStylePr w:type="band1Horz">
      <w:tblPr/>
      <w:tcPr>
        <w:shd w:val="clear" w:color="auto" w:fill="FBD9CE" w:themeFill="accent3" w:themeFillTint="3F"/>
      </w:tcPr>
    </w:tblStylePr>
  </w:style>
  <w:style w:type="table" w:styleId="MediumList1-Accent4">
    <w:name w:val="Medium List 1 Accent 4"/>
    <w:basedOn w:val="TableNormal"/>
    <w:uiPriority w:val="65"/>
    <w:semiHidden/>
    <w:unhideWhenUsed/>
    <w:rsid w:val="003C7715"/>
    <w:pPr>
      <w:spacing w:after="0" w:line="240" w:lineRule="auto"/>
    </w:pPr>
    <w:rPr>
      <w:color w:val="000000" w:themeColor="text1"/>
    </w:rPr>
    <w:tblPr>
      <w:tblStyleRowBandSize w:val="1"/>
      <w:tblStyleColBandSize w:val="1"/>
      <w:tblBorders>
        <w:top w:val="single" w:sz="8" w:space="0" w:color="9561CC" w:themeColor="accent4"/>
        <w:bottom w:val="single" w:sz="8" w:space="0" w:color="9561CC" w:themeColor="accent4"/>
      </w:tblBorders>
    </w:tblPr>
    <w:tblStylePr w:type="firstRow">
      <w:rPr>
        <w:rFonts w:asciiTheme="majorHAnsi" w:eastAsiaTheme="majorEastAsia" w:hAnsiTheme="majorHAnsi" w:cstheme="majorBidi"/>
      </w:rPr>
      <w:tblPr/>
      <w:tcPr>
        <w:tcBorders>
          <w:top w:val="nil"/>
          <w:bottom w:val="single" w:sz="8" w:space="0" w:color="9561CC" w:themeColor="accent4"/>
        </w:tcBorders>
      </w:tcPr>
    </w:tblStylePr>
    <w:tblStylePr w:type="lastRow">
      <w:rPr>
        <w:b/>
        <w:bCs/>
        <w:color w:val="262626" w:themeColor="text2"/>
      </w:rPr>
      <w:tblPr/>
      <w:tcPr>
        <w:tcBorders>
          <w:top w:val="single" w:sz="8" w:space="0" w:color="9561CC" w:themeColor="accent4"/>
          <w:bottom w:val="single" w:sz="8" w:space="0" w:color="9561CC" w:themeColor="accent4"/>
        </w:tcBorders>
      </w:tcPr>
    </w:tblStylePr>
    <w:tblStylePr w:type="firstCol">
      <w:rPr>
        <w:b/>
        <w:bCs/>
      </w:rPr>
    </w:tblStylePr>
    <w:tblStylePr w:type="lastCol">
      <w:rPr>
        <w:b/>
        <w:bCs/>
      </w:rPr>
      <w:tblPr/>
      <w:tcPr>
        <w:tcBorders>
          <w:top w:val="single" w:sz="8" w:space="0" w:color="9561CC" w:themeColor="accent4"/>
          <w:bottom w:val="single" w:sz="8" w:space="0" w:color="9561CC" w:themeColor="accent4"/>
        </w:tcBorders>
      </w:tcPr>
    </w:tblStylePr>
    <w:tblStylePr w:type="band1Vert">
      <w:tblPr/>
      <w:tcPr>
        <w:shd w:val="clear" w:color="auto" w:fill="E4D7F2" w:themeFill="accent4" w:themeFillTint="3F"/>
      </w:tcPr>
    </w:tblStylePr>
    <w:tblStylePr w:type="band1Horz">
      <w:tblPr/>
      <w:tcPr>
        <w:shd w:val="clear" w:color="auto" w:fill="E4D7F2" w:themeFill="accent4" w:themeFillTint="3F"/>
      </w:tcPr>
    </w:tblStylePr>
  </w:style>
  <w:style w:type="table" w:styleId="MediumList1-Accent5">
    <w:name w:val="Medium List 1 Accent 5"/>
    <w:basedOn w:val="TableNormal"/>
    <w:uiPriority w:val="65"/>
    <w:semiHidden/>
    <w:unhideWhenUsed/>
    <w:rsid w:val="003C7715"/>
    <w:pPr>
      <w:spacing w:after="0" w:line="240" w:lineRule="auto"/>
    </w:pPr>
    <w:rPr>
      <w:color w:val="000000" w:themeColor="text1"/>
    </w:rPr>
    <w:tblPr>
      <w:tblStyleRowBandSize w:val="1"/>
      <w:tblStyleColBandSize w:val="1"/>
      <w:tblBorders>
        <w:top w:val="single" w:sz="8" w:space="0" w:color="00ADC6" w:themeColor="accent5"/>
        <w:bottom w:val="single" w:sz="8" w:space="0" w:color="00ADC6" w:themeColor="accent5"/>
      </w:tblBorders>
    </w:tblPr>
    <w:tblStylePr w:type="firstRow">
      <w:rPr>
        <w:rFonts w:asciiTheme="majorHAnsi" w:eastAsiaTheme="majorEastAsia" w:hAnsiTheme="majorHAnsi" w:cstheme="majorBidi"/>
      </w:rPr>
      <w:tblPr/>
      <w:tcPr>
        <w:tcBorders>
          <w:top w:val="nil"/>
          <w:bottom w:val="single" w:sz="8" w:space="0" w:color="00ADC6" w:themeColor="accent5"/>
        </w:tcBorders>
      </w:tcPr>
    </w:tblStylePr>
    <w:tblStylePr w:type="lastRow">
      <w:rPr>
        <w:b/>
        <w:bCs/>
        <w:color w:val="262626" w:themeColor="text2"/>
      </w:rPr>
      <w:tblPr/>
      <w:tcPr>
        <w:tcBorders>
          <w:top w:val="single" w:sz="8" w:space="0" w:color="00ADC6" w:themeColor="accent5"/>
          <w:bottom w:val="single" w:sz="8" w:space="0" w:color="00ADC6" w:themeColor="accent5"/>
        </w:tcBorders>
      </w:tcPr>
    </w:tblStylePr>
    <w:tblStylePr w:type="firstCol">
      <w:rPr>
        <w:b/>
        <w:bCs/>
      </w:rPr>
    </w:tblStylePr>
    <w:tblStylePr w:type="lastCol">
      <w:rPr>
        <w:b/>
        <w:bCs/>
      </w:rPr>
      <w:tblPr/>
      <w:tcPr>
        <w:tcBorders>
          <w:top w:val="single" w:sz="8" w:space="0" w:color="00ADC6" w:themeColor="accent5"/>
          <w:bottom w:val="single" w:sz="8" w:space="0" w:color="00ADC6" w:themeColor="accent5"/>
        </w:tcBorders>
      </w:tcPr>
    </w:tblStylePr>
    <w:tblStylePr w:type="band1Vert">
      <w:tblPr/>
      <w:tcPr>
        <w:shd w:val="clear" w:color="auto" w:fill="B1F4FF" w:themeFill="accent5" w:themeFillTint="3F"/>
      </w:tcPr>
    </w:tblStylePr>
    <w:tblStylePr w:type="band1Horz">
      <w:tblPr/>
      <w:tcPr>
        <w:shd w:val="clear" w:color="auto" w:fill="B1F4FF" w:themeFill="accent5" w:themeFillTint="3F"/>
      </w:tcPr>
    </w:tblStylePr>
  </w:style>
  <w:style w:type="table" w:styleId="MediumList1-Accent6">
    <w:name w:val="Medium List 1 Accent 6"/>
    <w:basedOn w:val="TableNormal"/>
    <w:uiPriority w:val="65"/>
    <w:semiHidden/>
    <w:unhideWhenUsed/>
    <w:rsid w:val="003C7715"/>
    <w:pPr>
      <w:spacing w:after="0" w:line="240" w:lineRule="auto"/>
    </w:pPr>
    <w:rPr>
      <w:color w:val="000000" w:themeColor="text1"/>
    </w:rPr>
    <w:tblPr>
      <w:tblStyleRowBandSize w:val="1"/>
      <w:tblStyleColBandSize w:val="1"/>
      <w:tblBorders>
        <w:top w:val="single" w:sz="8" w:space="0" w:color="FD8F0A" w:themeColor="accent6"/>
        <w:bottom w:val="single" w:sz="8" w:space="0" w:color="FD8F0A" w:themeColor="accent6"/>
      </w:tblBorders>
    </w:tblPr>
    <w:tblStylePr w:type="firstRow">
      <w:rPr>
        <w:rFonts w:asciiTheme="majorHAnsi" w:eastAsiaTheme="majorEastAsia" w:hAnsiTheme="majorHAnsi" w:cstheme="majorBidi"/>
      </w:rPr>
      <w:tblPr/>
      <w:tcPr>
        <w:tcBorders>
          <w:top w:val="nil"/>
          <w:bottom w:val="single" w:sz="8" w:space="0" w:color="FD8F0A" w:themeColor="accent6"/>
        </w:tcBorders>
      </w:tcPr>
    </w:tblStylePr>
    <w:tblStylePr w:type="lastRow">
      <w:rPr>
        <w:b/>
        <w:bCs/>
        <w:color w:val="262626" w:themeColor="text2"/>
      </w:rPr>
      <w:tblPr/>
      <w:tcPr>
        <w:tcBorders>
          <w:top w:val="single" w:sz="8" w:space="0" w:color="FD8F0A" w:themeColor="accent6"/>
          <w:bottom w:val="single" w:sz="8" w:space="0" w:color="FD8F0A" w:themeColor="accent6"/>
        </w:tcBorders>
      </w:tcPr>
    </w:tblStylePr>
    <w:tblStylePr w:type="firstCol">
      <w:rPr>
        <w:b/>
        <w:bCs/>
      </w:rPr>
    </w:tblStylePr>
    <w:tblStylePr w:type="lastCol">
      <w:rPr>
        <w:b/>
        <w:bCs/>
      </w:rPr>
      <w:tblPr/>
      <w:tcPr>
        <w:tcBorders>
          <w:top w:val="single" w:sz="8" w:space="0" w:color="FD8F0A" w:themeColor="accent6"/>
          <w:bottom w:val="single" w:sz="8" w:space="0" w:color="FD8F0A" w:themeColor="accent6"/>
        </w:tcBorders>
      </w:tcPr>
    </w:tblStylePr>
    <w:tblStylePr w:type="band1Vert">
      <w:tblPr/>
      <w:tcPr>
        <w:shd w:val="clear" w:color="auto" w:fill="FEE3C2" w:themeFill="accent6" w:themeFillTint="3F"/>
      </w:tcPr>
    </w:tblStylePr>
    <w:tblStylePr w:type="band1Horz">
      <w:tblPr/>
      <w:tcPr>
        <w:shd w:val="clear" w:color="auto" w:fill="FEE3C2" w:themeFill="accent6" w:themeFillTint="3F"/>
      </w:tcPr>
    </w:tblStylePr>
  </w:style>
  <w:style w:type="table" w:styleId="MediumList2">
    <w:name w:val="Medium List 2"/>
    <w:basedOn w:val="TableNormal"/>
    <w:uiPriority w:val="66"/>
    <w:semiHidden/>
    <w:unhideWhenUsed/>
    <w:rsid w:val="003C77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3C77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BB673" w:themeColor="accent1"/>
        <w:left w:val="single" w:sz="8" w:space="0" w:color="2BB673" w:themeColor="accent1"/>
        <w:bottom w:val="single" w:sz="8" w:space="0" w:color="2BB673" w:themeColor="accent1"/>
        <w:right w:val="single" w:sz="8" w:space="0" w:color="2BB673" w:themeColor="accent1"/>
      </w:tblBorders>
    </w:tblPr>
    <w:tblStylePr w:type="firstRow">
      <w:rPr>
        <w:sz w:val="24"/>
        <w:szCs w:val="24"/>
      </w:rPr>
      <w:tblPr/>
      <w:tcPr>
        <w:tcBorders>
          <w:top w:val="nil"/>
          <w:left w:val="nil"/>
          <w:bottom w:val="single" w:sz="24" w:space="0" w:color="2BB673"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BB673" w:themeColor="accent1"/>
          <w:insideH w:val="nil"/>
          <w:insideV w:val="nil"/>
        </w:tcBorders>
        <w:shd w:val="clear" w:color="auto" w:fill="FFFFFF" w:themeFill="background1"/>
      </w:tcPr>
    </w:tblStylePr>
    <w:tblStylePr w:type="lastCol">
      <w:tblPr/>
      <w:tcPr>
        <w:tcBorders>
          <w:top w:val="nil"/>
          <w:left w:val="single" w:sz="8" w:space="0" w:color="2BB67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5F1DC" w:themeFill="accent1" w:themeFillTint="3F"/>
      </w:tcPr>
    </w:tblStylePr>
    <w:tblStylePr w:type="band1Horz">
      <w:tblPr/>
      <w:tcPr>
        <w:tcBorders>
          <w:top w:val="nil"/>
          <w:bottom w:val="nil"/>
          <w:insideH w:val="nil"/>
          <w:insideV w:val="nil"/>
        </w:tcBorders>
        <w:shd w:val="clear" w:color="auto" w:fill="C5F1D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3C77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3B41A" w:themeColor="accent2"/>
        <w:left w:val="single" w:sz="8" w:space="0" w:color="93B41A" w:themeColor="accent2"/>
        <w:bottom w:val="single" w:sz="8" w:space="0" w:color="93B41A" w:themeColor="accent2"/>
        <w:right w:val="single" w:sz="8" w:space="0" w:color="93B41A" w:themeColor="accent2"/>
      </w:tblBorders>
    </w:tblPr>
    <w:tblStylePr w:type="firstRow">
      <w:rPr>
        <w:sz w:val="24"/>
        <w:szCs w:val="24"/>
      </w:rPr>
      <w:tblPr/>
      <w:tcPr>
        <w:tcBorders>
          <w:top w:val="nil"/>
          <w:left w:val="nil"/>
          <w:bottom w:val="single" w:sz="24" w:space="0" w:color="93B41A"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3B41A" w:themeColor="accent2"/>
          <w:insideH w:val="nil"/>
          <w:insideV w:val="nil"/>
        </w:tcBorders>
        <w:shd w:val="clear" w:color="auto" w:fill="FFFFFF" w:themeFill="background1"/>
      </w:tcPr>
    </w:tblStylePr>
    <w:tblStylePr w:type="lastCol">
      <w:tblPr/>
      <w:tcPr>
        <w:tcBorders>
          <w:top w:val="nil"/>
          <w:left w:val="single" w:sz="8" w:space="0" w:color="93B41A"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5BD" w:themeFill="accent2" w:themeFillTint="3F"/>
      </w:tcPr>
    </w:tblStylePr>
    <w:tblStylePr w:type="band1Horz">
      <w:tblPr/>
      <w:tcPr>
        <w:tcBorders>
          <w:top w:val="nil"/>
          <w:bottom w:val="nil"/>
          <w:insideH w:val="nil"/>
          <w:insideV w:val="nil"/>
        </w:tcBorders>
        <w:shd w:val="clear" w:color="auto" w:fill="E9F5B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3C77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6A3B" w:themeColor="accent3"/>
        <w:left w:val="single" w:sz="8" w:space="0" w:color="F06A3B" w:themeColor="accent3"/>
        <w:bottom w:val="single" w:sz="8" w:space="0" w:color="F06A3B" w:themeColor="accent3"/>
        <w:right w:val="single" w:sz="8" w:space="0" w:color="F06A3B" w:themeColor="accent3"/>
      </w:tblBorders>
    </w:tblPr>
    <w:tblStylePr w:type="firstRow">
      <w:rPr>
        <w:sz w:val="24"/>
        <w:szCs w:val="24"/>
      </w:rPr>
      <w:tblPr/>
      <w:tcPr>
        <w:tcBorders>
          <w:top w:val="nil"/>
          <w:left w:val="nil"/>
          <w:bottom w:val="single" w:sz="24" w:space="0" w:color="F06A3B"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6A3B" w:themeColor="accent3"/>
          <w:insideH w:val="nil"/>
          <w:insideV w:val="nil"/>
        </w:tcBorders>
        <w:shd w:val="clear" w:color="auto" w:fill="FFFFFF" w:themeFill="background1"/>
      </w:tcPr>
    </w:tblStylePr>
    <w:tblStylePr w:type="lastCol">
      <w:tblPr/>
      <w:tcPr>
        <w:tcBorders>
          <w:top w:val="nil"/>
          <w:left w:val="single" w:sz="8" w:space="0" w:color="F06A3B"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D9CE" w:themeFill="accent3" w:themeFillTint="3F"/>
      </w:tcPr>
    </w:tblStylePr>
    <w:tblStylePr w:type="band1Horz">
      <w:tblPr/>
      <w:tcPr>
        <w:tcBorders>
          <w:top w:val="nil"/>
          <w:bottom w:val="nil"/>
          <w:insideH w:val="nil"/>
          <w:insideV w:val="nil"/>
        </w:tcBorders>
        <w:shd w:val="clear" w:color="auto" w:fill="FBD9C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3C77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561CC" w:themeColor="accent4"/>
        <w:left w:val="single" w:sz="8" w:space="0" w:color="9561CC" w:themeColor="accent4"/>
        <w:bottom w:val="single" w:sz="8" w:space="0" w:color="9561CC" w:themeColor="accent4"/>
        <w:right w:val="single" w:sz="8" w:space="0" w:color="9561CC" w:themeColor="accent4"/>
      </w:tblBorders>
    </w:tblPr>
    <w:tblStylePr w:type="firstRow">
      <w:rPr>
        <w:sz w:val="24"/>
        <w:szCs w:val="24"/>
      </w:rPr>
      <w:tblPr/>
      <w:tcPr>
        <w:tcBorders>
          <w:top w:val="nil"/>
          <w:left w:val="nil"/>
          <w:bottom w:val="single" w:sz="24" w:space="0" w:color="9561C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561CC" w:themeColor="accent4"/>
          <w:insideH w:val="nil"/>
          <w:insideV w:val="nil"/>
        </w:tcBorders>
        <w:shd w:val="clear" w:color="auto" w:fill="FFFFFF" w:themeFill="background1"/>
      </w:tcPr>
    </w:tblStylePr>
    <w:tblStylePr w:type="lastCol">
      <w:tblPr/>
      <w:tcPr>
        <w:tcBorders>
          <w:top w:val="nil"/>
          <w:left w:val="single" w:sz="8" w:space="0" w:color="9561C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D7F2" w:themeFill="accent4" w:themeFillTint="3F"/>
      </w:tcPr>
    </w:tblStylePr>
    <w:tblStylePr w:type="band1Horz">
      <w:tblPr/>
      <w:tcPr>
        <w:tcBorders>
          <w:top w:val="nil"/>
          <w:bottom w:val="nil"/>
          <w:insideH w:val="nil"/>
          <w:insideV w:val="nil"/>
        </w:tcBorders>
        <w:shd w:val="clear" w:color="auto" w:fill="E4D7F2"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3C77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DC6" w:themeColor="accent5"/>
        <w:left w:val="single" w:sz="8" w:space="0" w:color="00ADC6" w:themeColor="accent5"/>
        <w:bottom w:val="single" w:sz="8" w:space="0" w:color="00ADC6" w:themeColor="accent5"/>
        <w:right w:val="single" w:sz="8" w:space="0" w:color="00ADC6" w:themeColor="accent5"/>
      </w:tblBorders>
    </w:tblPr>
    <w:tblStylePr w:type="firstRow">
      <w:rPr>
        <w:sz w:val="24"/>
        <w:szCs w:val="24"/>
      </w:rPr>
      <w:tblPr/>
      <w:tcPr>
        <w:tcBorders>
          <w:top w:val="nil"/>
          <w:left w:val="nil"/>
          <w:bottom w:val="single" w:sz="24" w:space="0" w:color="00AD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C6" w:themeColor="accent5"/>
          <w:insideH w:val="nil"/>
          <w:insideV w:val="nil"/>
        </w:tcBorders>
        <w:shd w:val="clear" w:color="auto" w:fill="FFFFFF" w:themeFill="background1"/>
      </w:tcPr>
    </w:tblStylePr>
    <w:tblStylePr w:type="lastCol">
      <w:tblPr/>
      <w:tcPr>
        <w:tcBorders>
          <w:top w:val="nil"/>
          <w:left w:val="single" w:sz="8" w:space="0" w:color="00AD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1F4FF" w:themeFill="accent5" w:themeFillTint="3F"/>
      </w:tcPr>
    </w:tblStylePr>
    <w:tblStylePr w:type="band1Horz">
      <w:tblPr/>
      <w:tcPr>
        <w:tcBorders>
          <w:top w:val="nil"/>
          <w:bottom w:val="nil"/>
          <w:insideH w:val="nil"/>
          <w:insideV w:val="nil"/>
        </w:tcBorders>
        <w:shd w:val="clear" w:color="auto" w:fill="B1F4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3C771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D8F0A" w:themeColor="accent6"/>
        <w:left w:val="single" w:sz="8" w:space="0" w:color="FD8F0A" w:themeColor="accent6"/>
        <w:bottom w:val="single" w:sz="8" w:space="0" w:color="FD8F0A" w:themeColor="accent6"/>
        <w:right w:val="single" w:sz="8" w:space="0" w:color="FD8F0A" w:themeColor="accent6"/>
      </w:tblBorders>
    </w:tblPr>
    <w:tblStylePr w:type="firstRow">
      <w:rPr>
        <w:sz w:val="24"/>
        <w:szCs w:val="24"/>
      </w:rPr>
      <w:tblPr/>
      <w:tcPr>
        <w:tcBorders>
          <w:top w:val="nil"/>
          <w:left w:val="nil"/>
          <w:bottom w:val="single" w:sz="24" w:space="0" w:color="FD8F0A"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D8F0A" w:themeColor="accent6"/>
          <w:insideH w:val="nil"/>
          <w:insideV w:val="nil"/>
        </w:tcBorders>
        <w:shd w:val="clear" w:color="auto" w:fill="FFFFFF" w:themeFill="background1"/>
      </w:tcPr>
    </w:tblStylePr>
    <w:tblStylePr w:type="lastCol">
      <w:tblPr/>
      <w:tcPr>
        <w:tcBorders>
          <w:top w:val="nil"/>
          <w:left w:val="single" w:sz="8" w:space="0" w:color="FD8F0A"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E3C2" w:themeFill="accent6" w:themeFillTint="3F"/>
      </w:tcPr>
    </w:tblStylePr>
    <w:tblStylePr w:type="band1Horz">
      <w:tblPr/>
      <w:tcPr>
        <w:tcBorders>
          <w:top w:val="nil"/>
          <w:bottom w:val="nil"/>
          <w:insideH w:val="nil"/>
          <w:insideV w:val="nil"/>
        </w:tcBorders>
        <w:shd w:val="clear" w:color="auto" w:fill="FEE3C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3C771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3C7715"/>
    <w:pPr>
      <w:spacing w:after="0" w:line="240" w:lineRule="auto"/>
    </w:pPr>
    <w:tblPr>
      <w:tblStyleRowBandSize w:val="1"/>
      <w:tblStyleColBandSize w:val="1"/>
      <w:tblBorders>
        <w:top w:val="single" w:sz="8" w:space="0" w:color="52D696" w:themeColor="accent1" w:themeTint="BF"/>
        <w:left w:val="single" w:sz="8" w:space="0" w:color="52D696" w:themeColor="accent1" w:themeTint="BF"/>
        <w:bottom w:val="single" w:sz="8" w:space="0" w:color="52D696" w:themeColor="accent1" w:themeTint="BF"/>
        <w:right w:val="single" w:sz="8" w:space="0" w:color="52D696" w:themeColor="accent1" w:themeTint="BF"/>
        <w:insideH w:val="single" w:sz="8" w:space="0" w:color="52D696" w:themeColor="accent1" w:themeTint="BF"/>
      </w:tblBorders>
    </w:tblPr>
    <w:tblStylePr w:type="firstRow">
      <w:pPr>
        <w:spacing w:before="0" w:after="0" w:line="240" w:lineRule="auto"/>
      </w:pPr>
      <w:rPr>
        <w:b/>
        <w:bCs/>
        <w:color w:val="FFFFFF" w:themeColor="background1"/>
      </w:rPr>
      <w:tblPr/>
      <w:tcPr>
        <w:tcBorders>
          <w:top w:val="single" w:sz="8" w:space="0" w:color="52D696" w:themeColor="accent1" w:themeTint="BF"/>
          <w:left w:val="single" w:sz="8" w:space="0" w:color="52D696" w:themeColor="accent1" w:themeTint="BF"/>
          <w:bottom w:val="single" w:sz="8" w:space="0" w:color="52D696" w:themeColor="accent1" w:themeTint="BF"/>
          <w:right w:val="single" w:sz="8" w:space="0" w:color="52D696" w:themeColor="accent1" w:themeTint="BF"/>
          <w:insideH w:val="nil"/>
          <w:insideV w:val="nil"/>
        </w:tcBorders>
        <w:shd w:val="clear" w:color="auto" w:fill="2BB673" w:themeFill="accent1"/>
      </w:tcPr>
    </w:tblStylePr>
    <w:tblStylePr w:type="lastRow">
      <w:pPr>
        <w:spacing w:before="0" w:after="0" w:line="240" w:lineRule="auto"/>
      </w:pPr>
      <w:rPr>
        <w:b/>
        <w:bCs/>
      </w:rPr>
      <w:tblPr/>
      <w:tcPr>
        <w:tcBorders>
          <w:top w:val="double" w:sz="6" w:space="0" w:color="52D696" w:themeColor="accent1" w:themeTint="BF"/>
          <w:left w:val="single" w:sz="8" w:space="0" w:color="52D696" w:themeColor="accent1" w:themeTint="BF"/>
          <w:bottom w:val="single" w:sz="8" w:space="0" w:color="52D696" w:themeColor="accent1" w:themeTint="BF"/>
          <w:right w:val="single" w:sz="8" w:space="0" w:color="52D696" w:themeColor="accent1" w:themeTint="BF"/>
          <w:insideH w:val="nil"/>
          <w:insideV w:val="nil"/>
        </w:tcBorders>
      </w:tcPr>
    </w:tblStylePr>
    <w:tblStylePr w:type="firstCol">
      <w:rPr>
        <w:b/>
        <w:bCs/>
      </w:rPr>
    </w:tblStylePr>
    <w:tblStylePr w:type="lastCol">
      <w:rPr>
        <w:b/>
        <w:bCs/>
      </w:rPr>
    </w:tblStylePr>
    <w:tblStylePr w:type="band1Vert">
      <w:tblPr/>
      <w:tcPr>
        <w:shd w:val="clear" w:color="auto" w:fill="C5F1DC" w:themeFill="accent1" w:themeFillTint="3F"/>
      </w:tcPr>
    </w:tblStylePr>
    <w:tblStylePr w:type="band1Horz">
      <w:tblPr/>
      <w:tcPr>
        <w:tcBorders>
          <w:insideH w:val="nil"/>
          <w:insideV w:val="nil"/>
        </w:tcBorders>
        <w:shd w:val="clear" w:color="auto" w:fill="C5F1DC"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3C7715"/>
    <w:pPr>
      <w:spacing w:after="0" w:line="240" w:lineRule="auto"/>
    </w:pPr>
    <w:tblPr>
      <w:tblStyleRowBandSize w:val="1"/>
      <w:tblStyleColBandSize w:val="1"/>
      <w:tblBorders>
        <w:top w:val="single" w:sz="8" w:space="0" w:color="BDE237" w:themeColor="accent2" w:themeTint="BF"/>
        <w:left w:val="single" w:sz="8" w:space="0" w:color="BDE237" w:themeColor="accent2" w:themeTint="BF"/>
        <w:bottom w:val="single" w:sz="8" w:space="0" w:color="BDE237" w:themeColor="accent2" w:themeTint="BF"/>
        <w:right w:val="single" w:sz="8" w:space="0" w:color="BDE237" w:themeColor="accent2" w:themeTint="BF"/>
        <w:insideH w:val="single" w:sz="8" w:space="0" w:color="BDE237" w:themeColor="accent2" w:themeTint="BF"/>
      </w:tblBorders>
    </w:tblPr>
    <w:tblStylePr w:type="firstRow">
      <w:pPr>
        <w:spacing w:before="0" w:after="0" w:line="240" w:lineRule="auto"/>
      </w:pPr>
      <w:rPr>
        <w:b/>
        <w:bCs/>
        <w:color w:val="FFFFFF" w:themeColor="background1"/>
      </w:rPr>
      <w:tblPr/>
      <w:tcPr>
        <w:tcBorders>
          <w:top w:val="single" w:sz="8" w:space="0" w:color="BDE237" w:themeColor="accent2" w:themeTint="BF"/>
          <w:left w:val="single" w:sz="8" w:space="0" w:color="BDE237" w:themeColor="accent2" w:themeTint="BF"/>
          <w:bottom w:val="single" w:sz="8" w:space="0" w:color="BDE237" w:themeColor="accent2" w:themeTint="BF"/>
          <w:right w:val="single" w:sz="8" w:space="0" w:color="BDE237" w:themeColor="accent2" w:themeTint="BF"/>
          <w:insideH w:val="nil"/>
          <w:insideV w:val="nil"/>
        </w:tcBorders>
        <w:shd w:val="clear" w:color="auto" w:fill="93B41A" w:themeFill="accent2"/>
      </w:tcPr>
    </w:tblStylePr>
    <w:tblStylePr w:type="lastRow">
      <w:pPr>
        <w:spacing w:before="0" w:after="0" w:line="240" w:lineRule="auto"/>
      </w:pPr>
      <w:rPr>
        <w:b/>
        <w:bCs/>
      </w:rPr>
      <w:tblPr/>
      <w:tcPr>
        <w:tcBorders>
          <w:top w:val="double" w:sz="6" w:space="0" w:color="BDE237" w:themeColor="accent2" w:themeTint="BF"/>
          <w:left w:val="single" w:sz="8" w:space="0" w:color="BDE237" w:themeColor="accent2" w:themeTint="BF"/>
          <w:bottom w:val="single" w:sz="8" w:space="0" w:color="BDE237" w:themeColor="accent2" w:themeTint="BF"/>
          <w:right w:val="single" w:sz="8" w:space="0" w:color="BDE23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9F5BD" w:themeFill="accent2" w:themeFillTint="3F"/>
      </w:tcPr>
    </w:tblStylePr>
    <w:tblStylePr w:type="band1Horz">
      <w:tblPr/>
      <w:tcPr>
        <w:tcBorders>
          <w:insideH w:val="nil"/>
          <w:insideV w:val="nil"/>
        </w:tcBorders>
        <w:shd w:val="clear" w:color="auto" w:fill="E9F5BD"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3C7715"/>
    <w:pPr>
      <w:spacing w:after="0" w:line="240" w:lineRule="auto"/>
    </w:pPr>
    <w:tblPr>
      <w:tblStyleRowBandSize w:val="1"/>
      <w:tblStyleColBandSize w:val="1"/>
      <w:tblBorders>
        <w:top w:val="single" w:sz="8" w:space="0" w:color="F38F6B" w:themeColor="accent3" w:themeTint="BF"/>
        <w:left w:val="single" w:sz="8" w:space="0" w:color="F38F6B" w:themeColor="accent3" w:themeTint="BF"/>
        <w:bottom w:val="single" w:sz="8" w:space="0" w:color="F38F6B" w:themeColor="accent3" w:themeTint="BF"/>
        <w:right w:val="single" w:sz="8" w:space="0" w:color="F38F6B" w:themeColor="accent3" w:themeTint="BF"/>
        <w:insideH w:val="single" w:sz="8" w:space="0" w:color="F38F6B" w:themeColor="accent3" w:themeTint="BF"/>
      </w:tblBorders>
    </w:tblPr>
    <w:tblStylePr w:type="firstRow">
      <w:pPr>
        <w:spacing w:before="0" w:after="0" w:line="240" w:lineRule="auto"/>
      </w:pPr>
      <w:rPr>
        <w:b/>
        <w:bCs/>
        <w:color w:val="FFFFFF" w:themeColor="background1"/>
      </w:rPr>
      <w:tblPr/>
      <w:tcPr>
        <w:tcBorders>
          <w:top w:val="single" w:sz="8" w:space="0" w:color="F38F6B" w:themeColor="accent3" w:themeTint="BF"/>
          <w:left w:val="single" w:sz="8" w:space="0" w:color="F38F6B" w:themeColor="accent3" w:themeTint="BF"/>
          <w:bottom w:val="single" w:sz="8" w:space="0" w:color="F38F6B" w:themeColor="accent3" w:themeTint="BF"/>
          <w:right w:val="single" w:sz="8" w:space="0" w:color="F38F6B" w:themeColor="accent3" w:themeTint="BF"/>
          <w:insideH w:val="nil"/>
          <w:insideV w:val="nil"/>
        </w:tcBorders>
        <w:shd w:val="clear" w:color="auto" w:fill="F06A3B" w:themeFill="accent3"/>
      </w:tcPr>
    </w:tblStylePr>
    <w:tblStylePr w:type="lastRow">
      <w:pPr>
        <w:spacing w:before="0" w:after="0" w:line="240" w:lineRule="auto"/>
      </w:pPr>
      <w:rPr>
        <w:b/>
        <w:bCs/>
      </w:rPr>
      <w:tblPr/>
      <w:tcPr>
        <w:tcBorders>
          <w:top w:val="double" w:sz="6" w:space="0" w:color="F38F6B" w:themeColor="accent3" w:themeTint="BF"/>
          <w:left w:val="single" w:sz="8" w:space="0" w:color="F38F6B" w:themeColor="accent3" w:themeTint="BF"/>
          <w:bottom w:val="single" w:sz="8" w:space="0" w:color="F38F6B" w:themeColor="accent3" w:themeTint="BF"/>
          <w:right w:val="single" w:sz="8" w:space="0" w:color="F38F6B" w:themeColor="accent3" w:themeTint="BF"/>
          <w:insideH w:val="nil"/>
          <w:insideV w:val="nil"/>
        </w:tcBorders>
      </w:tcPr>
    </w:tblStylePr>
    <w:tblStylePr w:type="firstCol">
      <w:rPr>
        <w:b/>
        <w:bCs/>
      </w:rPr>
    </w:tblStylePr>
    <w:tblStylePr w:type="lastCol">
      <w:rPr>
        <w:b/>
        <w:bCs/>
      </w:rPr>
    </w:tblStylePr>
    <w:tblStylePr w:type="band1Vert">
      <w:tblPr/>
      <w:tcPr>
        <w:shd w:val="clear" w:color="auto" w:fill="FBD9CE" w:themeFill="accent3" w:themeFillTint="3F"/>
      </w:tcPr>
    </w:tblStylePr>
    <w:tblStylePr w:type="band1Horz">
      <w:tblPr/>
      <w:tcPr>
        <w:tcBorders>
          <w:insideH w:val="nil"/>
          <w:insideV w:val="nil"/>
        </w:tcBorders>
        <w:shd w:val="clear" w:color="auto" w:fill="FBD9C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3C7715"/>
    <w:pPr>
      <w:spacing w:after="0" w:line="240" w:lineRule="auto"/>
    </w:pPr>
    <w:tblPr>
      <w:tblStyleRowBandSize w:val="1"/>
      <w:tblStyleColBandSize w:val="1"/>
      <w:tblBorders>
        <w:top w:val="single" w:sz="8" w:space="0" w:color="AF88D8" w:themeColor="accent4" w:themeTint="BF"/>
        <w:left w:val="single" w:sz="8" w:space="0" w:color="AF88D8" w:themeColor="accent4" w:themeTint="BF"/>
        <w:bottom w:val="single" w:sz="8" w:space="0" w:color="AF88D8" w:themeColor="accent4" w:themeTint="BF"/>
        <w:right w:val="single" w:sz="8" w:space="0" w:color="AF88D8" w:themeColor="accent4" w:themeTint="BF"/>
        <w:insideH w:val="single" w:sz="8" w:space="0" w:color="AF88D8" w:themeColor="accent4" w:themeTint="BF"/>
      </w:tblBorders>
    </w:tblPr>
    <w:tblStylePr w:type="firstRow">
      <w:pPr>
        <w:spacing w:before="0" w:after="0" w:line="240" w:lineRule="auto"/>
      </w:pPr>
      <w:rPr>
        <w:b/>
        <w:bCs/>
        <w:color w:val="FFFFFF" w:themeColor="background1"/>
      </w:rPr>
      <w:tblPr/>
      <w:tcPr>
        <w:tcBorders>
          <w:top w:val="single" w:sz="8" w:space="0" w:color="AF88D8" w:themeColor="accent4" w:themeTint="BF"/>
          <w:left w:val="single" w:sz="8" w:space="0" w:color="AF88D8" w:themeColor="accent4" w:themeTint="BF"/>
          <w:bottom w:val="single" w:sz="8" w:space="0" w:color="AF88D8" w:themeColor="accent4" w:themeTint="BF"/>
          <w:right w:val="single" w:sz="8" w:space="0" w:color="AF88D8" w:themeColor="accent4" w:themeTint="BF"/>
          <w:insideH w:val="nil"/>
          <w:insideV w:val="nil"/>
        </w:tcBorders>
        <w:shd w:val="clear" w:color="auto" w:fill="9561CC" w:themeFill="accent4"/>
      </w:tcPr>
    </w:tblStylePr>
    <w:tblStylePr w:type="lastRow">
      <w:pPr>
        <w:spacing w:before="0" w:after="0" w:line="240" w:lineRule="auto"/>
      </w:pPr>
      <w:rPr>
        <w:b/>
        <w:bCs/>
      </w:rPr>
      <w:tblPr/>
      <w:tcPr>
        <w:tcBorders>
          <w:top w:val="double" w:sz="6" w:space="0" w:color="AF88D8" w:themeColor="accent4" w:themeTint="BF"/>
          <w:left w:val="single" w:sz="8" w:space="0" w:color="AF88D8" w:themeColor="accent4" w:themeTint="BF"/>
          <w:bottom w:val="single" w:sz="8" w:space="0" w:color="AF88D8" w:themeColor="accent4" w:themeTint="BF"/>
          <w:right w:val="single" w:sz="8" w:space="0" w:color="AF88D8" w:themeColor="accent4" w:themeTint="BF"/>
          <w:insideH w:val="nil"/>
          <w:insideV w:val="nil"/>
        </w:tcBorders>
      </w:tcPr>
    </w:tblStylePr>
    <w:tblStylePr w:type="firstCol">
      <w:rPr>
        <w:b/>
        <w:bCs/>
      </w:rPr>
    </w:tblStylePr>
    <w:tblStylePr w:type="lastCol">
      <w:rPr>
        <w:b/>
        <w:bCs/>
      </w:rPr>
    </w:tblStylePr>
    <w:tblStylePr w:type="band1Vert">
      <w:tblPr/>
      <w:tcPr>
        <w:shd w:val="clear" w:color="auto" w:fill="E4D7F2" w:themeFill="accent4" w:themeFillTint="3F"/>
      </w:tcPr>
    </w:tblStylePr>
    <w:tblStylePr w:type="band1Horz">
      <w:tblPr/>
      <w:tcPr>
        <w:tcBorders>
          <w:insideH w:val="nil"/>
          <w:insideV w:val="nil"/>
        </w:tcBorders>
        <w:shd w:val="clear" w:color="auto" w:fill="E4D7F2"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3C7715"/>
    <w:pPr>
      <w:spacing w:after="0" w:line="240" w:lineRule="auto"/>
    </w:pPr>
    <w:tblPr>
      <w:tblStyleRowBandSize w:val="1"/>
      <w:tblStyleColBandSize w:val="1"/>
      <w:tblBorders>
        <w:top w:val="single" w:sz="8" w:space="0" w:color="15E0FF" w:themeColor="accent5" w:themeTint="BF"/>
        <w:left w:val="single" w:sz="8" w:space="0" w:color="15E0FF" w:themeColor="accent5" w:themeTint="BF"/>
        <w:bottom w:val="single" w:sz="8" w:space="0" w:color="15E0FF" w:themeColor="accent5" w:themeTint="BF"/>
        <w:right w:val="single" w:sz="8" w:space="0" w:color="15E0FF" w:themeColor="accent5" w:themeTint="BF"/>
        <w:insideH w:val="single" w:sz="8" w:space="0" w:color="15E0FF" w:themeColor="accent5" w:themeTint="BF"/>
      </w:tblBorders>
    </w:tblPr>
    <w:tblStylePr w:type="firstRow">
      <w:pPr>
        <w:spacing w:before="0" w:after="0" w:line="240" w:lineRule="auto"/>
      </w:pPr>
      <w:rPr>
        <w:b/>
        <w:bCs/>
        <w:color w:val="FFFFFF" w:themeColor="background1"/>
      </w:rPr>
      <w:tblPr/>
      <w:tcPr>
        <w:tcBorders>
          <w:top w:val="single" w:sz="8" w:space="0" w:color="15E0FF" w:themeColor="accent5" w:themeTint="BF"/>
          <w:left w:val="single" w:sz="8" w:space="0" w:color="15E0FF" w:themeColor="accent5" w:themeTint="BF"/>
          <w:bottom w:val="single" w:sz="8" w:space="0" w:color="15E0FF" w:themeColor="accent5" w:themeTint="BF"/>
          <w:right w:val="single" w:sz="8" w:space="0" w:color="15E0FF" w:themeColor="accent5" w:themeTint="BF"/>
          <w:insideH w:val="nil"/>
          <w:insideV w:val="nil"/>
        </w:tcBorders>
        <w:shd w:val="clear" w:color="auto" w:fill="00ADC6" w:themeFill="accent5"/>
      </w:tcPr>
    </w:tblStylePr>
    <w:tblStylePr w:type="lastRow">
      <w:pPr>
        <w:spacing w:before="0" w:after="0" w:line="240" w:lineRule="auto"/>
      </w:pPr>
      <w:rPr>
        <w:b/>
        <w:bCs/>
      </w:rPr>
      <w:tblPr/>
      <w:tcPr>
        <w:tcBorders>
          <w:top w:val="double" w:sz="6" w:space="0" w:color="15E0FF" w:themeColor="accent5" w:themeTint="BF"/>
          <w:left w:val="single" w:sz="8" w:space="0" w:color="15E0FF" w:themeColor="accent5" w:themeTint="BF"/>
          <w:bottom w:val="single" w:sz="8" w:space="0" w:color="15E0FF" w:themeColor="accent5" w:themeTint="BF"/>
          <w:right w:val="single" w:sz="8" w:space="0" w:color="15E0FF" w:themeColor="accent5" w:themeTint="BF"/>
          <w:insideH w:val="nil"/>
          <w:insideV w:val="nil"/>
        </w:tcBorders>
      </w:tcPr>
    </w:tblStylePr>
    <w:tblStylePr w:type="firstCol">
      <w:rPr>
        <w:b/>
        <w:bCs/>
      </w:rPr>
    </w:tblStylePr>
    <w:tblStylePr w:type="lastCol">
      <w:rPr>
        <w:b/>
        <w:bCs/>
      </w:rPr>
    </w:tblStylePr>
    <w:tblStylePr w:type="band1Vert">
      <w:tblPr/>
      <w:tcPr>
        <w:shd w:val="clear" w:color="auto" w:fill="B1F4FF" w:themeFill="accent5" w:themeFillTint="3F"/>
      </w:tcPr>
    </w:tblStylePr>
    <w:tblStylePr w:type="band1Horz">
      <w:tblPr/>
      <w:tcPr>
        <w:tcBorders>
          <w:insideH w:val="nil"/>
          <w:insideV w:val="nil"/>
        </w:tcBorders>
        <w:shd w:val="clear" w:color="auto" w:fill="B1F4F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3C7715"/>
    <w:pPr>
      <w:spacing w:after="0" w:line="240" w:lineRule="auto"/>
    </w:pPr>
    <w:tblPr>
      <w:tblStyleRowBandSize w:val="1"/>
      <w:tblStyleColBandSize w:val="1"/>
      <w:tblBorders>
        <w:top w:val="single" w:sz="8" w:space="0" w:color="FDAA47" w:themeColor="accent6" w:themeTint="BF"/>
        <w:left w:val="single" w:sz="8" w:space="0" w:color="FDAA47" w:themeColor="accent6" w:themeTint="BF"/>
        <w:bottom w:val="single" w:sz="8" w:space="0" w:color="FDAA47" w:themeColor="accent6" w:themeTint="BF"/>
        <w:right w:val="single" w:sz="8" w:space="0" w:color="FDAA47" w:themeColor="accent6" w:themeTint="BF"/>
        <w:insideH w:val="single" w:sz="8" w:space="0" w:color="FDAA47" w:themeColor="accent6" w:themeTint="BF"/>
      </w:tblBorders>
    </w:tblPr>
    <w:tblStylePr w:type="firstRow">
      <w:pPr>
        <w:spacing w:before="0" w:after="0" w:line="240" w:lineRule="auto"/>
      </w:pPr>
      <w:rPr>
        <w:b/>
        <w:bCs/>
        <w:color w:val="FFFFFF" w:themeColor="background1"/>
      </w:rPr>
      <w:tblPr/>
      <w:tcPr>
        <w:tcBorders>
          <w:top w:val="single" w:sz="8" w:space="0" w:color="FDAA47" w:themeColor="accent6" w:themeTint="BF"/>
          <w:left w:val="single" w:sz="8" w:space="0" w:color="FDAA47" w:themeColor="accent6" w:themeTint="BF"/>
          <w:bottom w:val="single" w:sz="8" w:space="0" w:color="FDAA47" w:themeColor="accent6" w:themeTint="BF"/>
          <w:right w:val="single" w:sz="8" w:space="0" w:color="FDAA47" w:themeColor="accent6" w:themeTint="BF"/>
          <w:insideH w:val="nil"/>
          <w:insideV w:val="nil"/>
        </w:tcBorders>
        <w:shd w:val="clear" w:color="auto" w:fill="FD8F0A" w:themeFill="accent6"/>
      </w:tcPr>
    </w:tblStylePr>
    <w:tblStylePr w:type="lastRow">
      <w:pPr>
        <w:spacing w:before="0" w:after="0" w:line="240" w:lineRule="auto"/>
      </w:pPr>
      <w:rPr>
        <w:b/>
        <w:bCs/>
      </w:rPr>
      <w:tblPr/>
      <w:tcPr>
        <w:tcBorders>
          <w:top w:val="double" w:sz="6" w:space="0" w:color="FDAA47" w:themeColor="accent6" w:themeTint="BF"/>
          <w:left w:val="single" w:sz="8" w:space="0" w:color="FDAA47" w:themeColor="accent6" w:themeTint="BF"/>
          <w:bottom w:val="single" w:sz="8" w:space="0" w:color="FDAA47" w:themeColor="accent6" w:themeTint="BF"/>
          <w:right w:val="single" w:sz="8" w:space="0" w:color="FDAA47" w:themeColor="accent6" w:themeTint="BF"/>
          <w:insideH w:val="nil"/>
          <w:insideV w:val="nil"/>
        </w:tcBorders>
      </w:tcPr>
    </w:tblStylePr>
    <w:tblStylePr w:type="firstCol">
      <w:rPr>
        <w:b/>
        <w:bCs/>
      </w:rPr>
    </w:tblStylePr>
    <w:tblStylePr w:type="lastCol">
      <w:rPr>
        <w:b/>
        <w:bCs/>
      </w:rPr>
    </w:tblStylePr>
    <w:tblStylePr w:type="band1Vert">
      <w:tblPr/>
      <w:tcPr>
        <w:shd w:val="clear" w:color="auto" w:fill="FEE3C2" w:themeFill="accent6" w:themeFillTint="3F"/>
      </w:tcPr>
    </w:tblStylePr>
    <w:tblStylePr w:type="band1Horz">
      <w:tblPr/>
      <w:tcPr>
        <w:tcBorders>
          <w:insideH w:val="nil"/>
          <w:insideV w:val="nil"/>
        </w:tcBorders>
        <w:shd w:val="clear" w:color="auto" w:fill="FEE3C2"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3C771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3C771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BB67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BB673" w:themeFill="accent1"/>
      </w:tcPr>
    </w:tblStylePr>
    <w:tblStylePr w:type="lastCol">
      <w:rPr>
        <w:b/>
        <w:bCs/>
        <w:color w:val="FFFFFF" w:themeColor="background1"/>
      </w:rPr>
      <w:tblPr/>
      <w:tcPr>
        <w:tcBorders>
          <w:left w:val="nil"/>
          <w:right w:val="nil"/>
          <w:insideH w:val="nil"/>
          <w:insideV w:val="nil"/>
        </w:tcBorders>
        <w:shd w:val="clear" w:color="auto" w:fill="2BB67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3C771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3B41A"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3B41A" w:themeFill="accent2"/>
      </w:tcPr>
    </w:tblStylePr>
    <w:tblStylePr w:type="lastCol">
      <w:rPr>
        <w:b/>
        <w:bCs/>
        <w:color w:val="FFFFFF" w:themeColor="background1"/>
      </w:rPr>
      <w:tblPr/>
      <w:tcPr>
        <w:tcBorders>
          <w:left w:val="nil"/>
          <w:right w:val="nil"/>
          <w:insideH w:val="nil"/>
          <w:insideV w:val="nil"/>
        </w:tcBorders>
        <w:shd w:val="clear" w:color="auto" w:fill="93B41A"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3C771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6A3B"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6A3B" w:themeFill="accent3"/>
      </w:tcPr>
    </w:tblStylePr>
    <w:tblStylePr w:type="lastCol">
      <w:rPr>
        <w:b/>
        <w:bCs/>
        <w:color w:val="FFFFFF" w:themeColor="background1"/>
      </w:rPr>
      <w:tblPr/>
      <w:tcPr>
        <w:tcBorders>
          <w:left w:val="nil"/>
          <w:right w:val="nil"/>
          <w:insideH w:val="nil"/>
          <w:insideV w:val="nil"/>
        </w:tcBorders>
        <w:shd w:val="clear" w:color="auto" w:fill="F06A3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3C771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561C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561CC" w:themeFill="accent4"/>
      </w:tcPr>
    </w:tblStylePr>
    <w:tblStylePr w:type="lastCol">
      <w:rPr>
        <w:b/>
        <w:bCs/>
        <w:color w:val="FFFFFF" w:themeColor="background1"/>
      </w:rPr>
      <w:tblPr/>
      <w:tcPr>
        <w:tcBorders>
          <w:left w:val="nil"/>
          <w:right w:val="nil"/>
          <w:insideH w:val="nil"/>
          <w:insideV w:val="nil"/>
        </w:tcBorders>
        <w:shd w:val="clear" w:color="auto" w:fill="9561C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3C771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ADC6" w:themeFill="accent5"/>
      </w:tcPr>
    </w:tblStylePr>
    <w:tblStylePr w:type="lastCol">
      <w:rPr>
        <w:b/>
        <w:bCs/>
        <w:color w:val="FFFFFF" w:themeColor="background1"/>
      </w:rPr>
      <w:tblPr/>
      <w:tcPr>
        <w:tcBorders>
          <w:left w:val="nil"/>
          <w:right w:val="nil"/>
          <w:insideH w:val="nil"/>
          <w:insideV w:val="nil"/>
        </w:tcBorders>
        <w:shd w:val="clear" w:color="auto" w:fill="00AD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3C771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D8F0A"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D8F0A" w:themeFill="accent6"/>
      </w:tcPr>
    </w:tblStylePr>
    <w:tblStylePr w:type="lastCol">
      <w:rPr>
        <w:b/>
        <w:bCs/>
        <w:color w:val="FFFFFF" w:themeColor="background1"/>
      </w:rPr>
      <w:tblPr/>
      <w:tcPr>
        <w:tcBorders>
          <w:left w:val="nil"/>
          <w:right w:val="nil"/>
          <w:insideH w:val="nil"/>
          <w:insideV w:val="nil"/>
        </w:tcBorders>
        <w:shd w:val="clear" w:color="auto" w:fill="FD8F0A"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3C771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3C7715"/>
    <w:rPr>
      <w:rFonts w:asciiTheme="majorHAnsi" w:eastAsiaTheme="majorEastAsia" w:hAnsiTheme="majorHAnsi" w:cstheme="majorBidi"/>
      <w:color w:val="1E1E1E"/>
      <w:sz w:val="24"/>
      <w:szCs w:val="24"/>
      <w:shd w:val="pct20" w:color="auto" w:fill="auto"/>
    </w:rPr>
  </w:style>
  <w:style w:type="paragraph" w:styleId="NoSpacing">
    <w:name w:val="No Spacing"/>
    <w:uiPriority w:val="1"/>
    <w:semiHidden/>
    <w:rsid w:val="003C7715"/>
    <w:pPr>
      <w:spacing w:after="0" w:line="240" w:lineRule="auto"/>
    </w:pPr>
    <w:rPr>
      <w:rFonts w:ascii="Calibri" w:hAnsi="Calibri"/>
      <w:color w:val="1E1E1E"/>
      <w:sz w:val="24"/>
    </w:rPr>
  </w:style>
  <w:style w:type="paragraph" w:styleId="NormalIndent">
    <w:name w:val="Normal Indent"/>
    <w:basedOn w:val="Normal"/>
    <w:uiPriority w:val="99"/>
    <w:semiHidden/>
    <w:unhideWhenUsed/>
    <w:rsid w:val="003C7715"/>
    <w:pPr>
      <w:ind w:left="720"/>
    </w:pPr>
  </w:style>
  <w:style w:type="paragraph" w:styleId="NoteHeading">
    <w:name w:val="Note Heading"/>
    <w:basedOn w:val="Normal"/>
    <w:next w:val="Normal"/>
    <w:link w:val="NoteHeadingChar"/>
    <w:uiPriority w:val="99"/>
    <w:semiHidden/>
    <w:unhideWhenUsed/>
    <w:rsid w:val="003C7715"/>
    <w:pPr>
      <w:spacing w:after="0" w:line="240" w:lineRule="auto"/>
    </w:pPr>
  </w:style>
  <w:style w:type="character" w:customStyle="1" w:styleId="NoteHeadingChar">
    <w:name w:val="Note Heading Char"/>
    <w:basedOn w:val="DefaultParagraphFont"/>
    <w:link w:val="NoteHeading"/>
    <w:uiPriority w:val="99"/>
    <w:semiHidden/>
    <w:rsid w:val="003C7715"/>
    <w:rPr>
      <w:rFonts w:ascii="Calibri" w:hAnsi="Calibri"/>
      <w:color w:val="1E1E1E"/>
      <w:sz w:val="24"/>
    </w:rPr>
  </w:style>
  <w:style w:type="character" w:styleId="PlaceholderText">
    <w:name w:val="Placeholder Text"/>
    <w:basedOn w:val="DefaultParagraphFont"/>
    <w:uiPriority w:val="99"/>
    <w:semiHidden/>
    <w:rsid w:val="003C7715"/>
    <w:rPr>
      <w:color w:val="808080"/>
    </w:rPr>
  </w:style>
  <w:style w:type="table" w:styleId="PlainTable1">
    <w:name w:val="Plain Table 1"/>
    <w:basedOn w:val="TableNormal"/>
    <w:uiPriority w:val="41"/>
    <w:rsid w:val="003C771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3C771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3C771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C771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3C771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3C771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3C7715"/>
    <w:rPr>
      <w:rFonts w:ascii="Consolas" w:hAnsi="Consolas"/>
      <w:color w:val="1E1E1E"/>
      <w:sz w:val="21"/>
      <w:szCs w:val="21"/>
    </w:rPr>
  </w:style>
  <w:style w:type="paragraph" w:styleId="Quote">
    <w:name w:val="Quote"/>
    <w:basedOn w:val="Normal"/>
    <w:next w:val="Normal"/>
    <w:link w:val="QuoteChar"/>
    <w:uiPriority w:val="29"/>
    <w:semiHidden/>
    <w:rsid w:val="003C771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3C7715"/>
    <w:rPr>
      <w:rFonts w:ascii="Calibri" w:hAnsi="Calibri"/>
      <w:i/>
      <w:iCs/>
      <w:color w:val="404040" w:themeColor="text1" w:themeTint="BF"/>
      <w:sz w:val="24"/>
    </w:rPr>
  </w:style>
  <w:style w:type="paragraph" w:styleId="Salutation">
    <w:name w:val="Salutation"/>
    <w:basedOn w:val="Normal"/>
    <w:next w:val="Normal"/>
    <w:link w:val="SalutationChar"/>
    <w:uiPriority w:val="99"/>
    <w:semiHidden/>
    <w:unhideWhenUsed/>
    <w:rsid w:val="003C7715"/>
  </w:style>
  <w:style w:type="character" w:customStyle="1" w:styleId="SalutationChar">
    <w:name w:val="Salutation Char"/>
    <w:basedOn w:val="DefaultParagraphFont"/>
    <w:link w:val="Salutation"/>
    <w:uiPriority w:val="99"/>
    <w:semiHidden/>
    <w:rsid w:val="003C7715"/>
    <w:rPr>
      <w:rFonts w:ascii="Calibri" w:hAnsi="Calibri"/>
      <w:color w:val="1E1E1E"/>
      <w:sz w:val="24"/>
    </w:rPr>
  </w:style>
  <w:style w:type="paragraph" w:styleId="Signature">
    <w:name w:val="Signature"/>
    <w:basedOn w:val="Normal"/>
    <w:link w:val="SignatureChar"/>
    <w:uiPriority w:val="99"/>
    <w:semiHidden/>
    <w:unhideWhenUsed/>
    <w:rsid w:val="003C7715"/>
    <w:pPr>
      <w:spacing w:after="0" w:line="240" w:lineRule="auto"/>
      <w:ind w:left="4252"/>
    </w:pPr>
  </w:style>
  <w:style w:type="character" w:customStyle="1" w:styleId="SignatureChar">
    <w:name w:val="Signature Char"/>
    <w:basedOn w:val="DefaultParagraphFont"/>
    <w:link w:val="Signature"/>
    <w:uiPriority w:val="99"/>
    <w:semiHidden/>
    <w:rsid w:val="003C7715"/>
    <w:rPr>
      <w:rFonts w:ascii="Calibri" w:hAnsi="Calibri"/>
      <w:color w:val="1E1E1E"/>
      <w:sz w:val="24"/>
    </w:rPr>
  </w:style>
  <w:style w:type="character" w:styleId="Strong">
    <w:name w:val="Strong"/>
    <w:basedOn w:val="DefaultParagraphFont"/>
    <w:uiPriority w:val="22"/>
    <w:qFormat/>
    <w:rsid w:val="003C7715"/>
    <w:rPr>
      <w:b/>
      <w:bCs/>
    </w:rPr>
  </w:style>
  <w:style w:type="paragraph" w:styleId="Subtitle">
    <w:name w:val="Subtitle"/>
    <w:basedOn w:val="Normal"/>
    <w:next w:val="Normal"/>
    <w:link w:val="SubtitleChar"/>
    <w:uiPriority w:val="11"/>
    <w:semiHidden/>
    <w:rsid w:val="003C7715"/>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semiHidden/>
    <w:rsid w:val="003C7715"/>
    <w:rPr>
      <w:rFonts w:eastAsiaTheme="minorEastAsia"/>
      <w:color w:val="5A5A5A" w:themeColor="text1" w:themeTint="A5"/>
      <w:spacing w:val="15"/>
    </w:rPr>
  </w:style>
  <w:style w:type="character" w:styleId="SubtleEmphasis">
    <w:name w:val="Subtle Emphasis"/>
    <w:basedOn w:val="DefaultParagraphFont"/>
    <w:uiPriority w:val="19"/>
    <w:semiHidden/>
    <w:rsid w:val="003C7715"/>
    <w:rPr>
      <w:i/>
      <w:iCs/>
      <w:color w:val="404040" w:themeColor="text1" w:themeTint="BF"/>
    </w:rPr>
  </w:style>
  <w:style w:type="character" w:styleId="SubtleReference">
    <w:name w:val="Subtle Reference"/>
    <w:basedOn w:val="DefaultParagraphFont"/>
    <w:uiPriority w:val="31"/>
    <w:semiHidden/>
    <w:rsid w:val="003C7715"/>
    <w:rPr>
      <w:smallCaps/>
      <w:color w:val="5A5A5A" w:themeColor="text1" w:themeTint="A5"/>
    </w:rPr>
  </w:style>
  <w:style w:type="table" w:styleId="Table3Deffects1">
    <w:name w:val="Table 3D effects 1"/>
    <w:basedOn w:val="TableNormal"/>
    <w:uiPriority w:val="99"/>
    <w:semiHidden/>
    <w:unhideWhenUsed/>
    <w:rsid w:val="003C7715"/>
    <w:pPr>
      <w:spacing w:after="160" w:line="30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C7715"/>
    <w:pPr>
      <w:spacing w:after="160" w:line="30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C7715"/>
    <w:pPr>
      <w:spacing w:after="160" w:line="30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C7715"/>
    <w:pPr>
      <w:spacing w:after="160" w:line="30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C7715"/>
    <w:pPr>
      <w:spacing w:after="160" w:line="30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C7715"/>
    <w:pPr>
      <w:spacing w:after="160" w:line="30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C7715"/>
    <w:pPr>
      <w:spacing w:after="160" w:line="30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3C7715"/>
    <w:pPr>
      <w:spacing w:after="160" w:line="30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3C7715"/>
    <w:pPr>
      <w:spacing w:after="160" w:line="30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3C7715"/>
    <w:pPr>
      <w:spacing w:after="160" w:line="30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C7715"/>
    <w:pPr>
      <w:spacing w:after="160" w:line="30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C7715"/>
    <w:pPr>
      <w:spacing w:after="160" w:line="30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C7715"/>
    <w:pPr>
      <w:spacing w:after="160" w:line="30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C7715"/>
    <w:pPr>
      <w:spacing w:after="160" w:line="30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7715"/>
    <w:pPr>
      <w:spacing w:after="160" w:line="30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C7715"/>
    <w:pPr>
      <w:spacing w:after="160" w:line="30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C7715"/>
    <w:pPr>
      <w:spacing w:after="160" w:line="30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C7715"/>
    <w:pPr>
      <w:spacing w:after="160"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C7715"/>
    <w:pPr>
      <w:spacing w:after="160" w:line="30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C7715"/>
    <w:pPr>
      <w:spacing w:after="160" w:line="30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C7715"/>
    <w:pPr>
      <w:spacing w:after="160" w:line="30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C7715"/>
    <w:pPr>
      <w:spacing w:after="160" w:line="30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C7715"/>
    <w:pPr>
      <w:spacing w:after="160" w:line="30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C7715"/>
    <w:pPr>
      <w:spacing w:after="160" w:line="30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C7715"/>
    <w:pPr>
      <w:spacing w:after="160" w:line="30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3C771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3C7715"/>
    <w:pPr>
      <w:spacing w:after="160" w:line="30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C7715"/>
    <w:pPr>
      <w:spacing w:after="160" w:line="30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C7715"/>
    <w:pPr>
      <w:spacing w:after="160" w:line="30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C7715"/>
    <w:pPr>
      <w:spacing w:after="160" w:line="30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C7715"/>
    <w:pPr>
      <w:spacing w:after="160" w:line="30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C7715"/>
    <w:pPr>
      <w:spacing w:after="160" w:line="30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C7715"/>
    <w:pPr>
      <w:spacing w:after="160" w:line="30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C7715"/>
    <w:pPr>
      <w:spacing w:after="160" w:line="30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C7715"/>
    <w:pPr>
      <w:spacing w:after="160"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C7715"/>
    <w:pPr>
      <w:spacing w:after="160" w:line="30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C7715"/>
    <w:pPr>
      <w:spacing w:after="160" w:line="30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C7715"/>
    <w:pPr>
      <w:spacing w:after="160" w:line="30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C7715"/>
    <w:pPr>
      <w:spacing w:after="160" w:line="30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C7715"/>
    <w:pPr>
      <w:spacing w:after="160" w:line="30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C7715"/>
    <w:pPr>
      <w:spacing w:after="160"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C7715"/>
    <w:pPr>
      <w:spacing w:after="160" w:line="30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C7715"/>
    <w:pPr>
      <w:spacing w:after="160" w:line="30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C7715"/>
    <w:pPr>
      <w:spacing w:after="160" w:line="30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odyText1">
    <w:name w:val="Body Text1"/>
    <w:basedOn w:val="Normal"/>
    <w:uiPriority w:val="2"/>
    <w:rsid w:val="00B61EA3"/>
    <w:rPr>
      <w:rFonts w:eastAsia="Times New Roman" w:cs="Times New Roman"/>
    </w:rPr>
  </w:style>
  <w:style w:type="paragraph" w:customStyle="1" w:styleId="Listcheckbox">
    <w:name w:val="List check box"/>
    <w:basedOn w:val="BodyText"/>
    <w:uiPriority w:val="3"/>
    <w:rsid w:val="00906A63"/>
    <w:pPr>
      <w:tabs>
        <w:tab w:val="num" w:pos="567"/>
      </w:tabs>
      <w:spacing w:after="200" w:line="276" w:lineRule="auto"/>
      <w:ind w:left="567" w:hanging="567"/>
    </w:pPr>
    <w:rPr>
      <w:rFonts w:asciiTheme="minorHAnsi" w:hAnsiTheme="minorHAnsi"/>
      <w:color w:val="auto"/>
      <w:sz w:val="22"/>
    </w:rPr>
  </w:style>
  <w:style w:type="paragraph" w:styleId="Revision">
    <w:name w:val="Revision"/>
    <w:hidden/>
    <w:uiPriority w:val="99"/>
    <w:semiHidden/>
    <w:rsid w:val="00E172CA"/>
    <w:pPr>
      <w:spacing w:after="0" w:line="240" w:lineRule="auto"/>
    </w:pPr>
    <w:rPr>
      <w:rFonts w:ascii="Calibri" w:hAnsi="Calibri"/>
      <w:color w:val="1E1E1E"/>
      <w:sz w:val="24"/>
    </w:rPr>
  </w:style>
  <w:style w:type="character" w:styleId="UnresolvedMention">
    <w:name w:val="Unresolved Mention"/>
    <w:basedOn w:val="DefaultParagraphFont"/>
    <w:uiPriority w:val="99"/>
    <w:semiHidden/>
    <w:unhideWhenUsed/>
    <w:rsid w:val="00083E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989918">
      <w:bodyDiv w:val="1"/>
      <w:marLeft w:val="0"/>
      <w:marRight w:val="0"/>
      <w:marTop w:val="0"/>
      <w:marBottom w:val="0"/>
      <w:divBdr>
        <w:top w:val="none" w:sz="0" w:space="0" w:color="auto"/>
        <w:left w:val="none" w:sz="0" w:space="0" w:color="auto"/>
        <w:bottom w:val="none" w:sz="0" w:space="0" w:color="auto"/>
        <w:right w:val="none" w:sz="0" w:space="0" w:color="auto"/>
      </w:divBdr>
      <w:divsChild>
        <w:div w:id="1665818975">
          <w:marLeft w:val="0"/>
          <w:marRight w:val="0"/>
          <w:marTop w:val="0"/>
          <w:marBottom w:val="0"/>
          <w:divBdr>
            <w:top w:val="none" w:sz="0" w:space="0" w:color="auto"/>
            <w:left w:val="none" w:sz="0" w:space="0" w:color="auto"/>
            <w:bottom w:val="none" w:sz="0" w:space="0" w:color="auto"/>
            <w:right w:val="none" w:sz="0" w:space="0" w:color="auto"/>
          </w:divBdr>
          <w:divsChild>
            <w:div w:id="2141798914">
              <w:marLeft w:val="0"/>
              <w:marRight w:val="0"/>
              <w:marTop w:val="0"/>
              <w:marBottom w:val="0"/>
              <w:divBdr>
                <w:top w:val="none" w:sz="0" w:space="0" w:color="auto"/>
                <w:left w:val="none" w:sz="0" w:space="0" w:color="auto"/>
                <w:bottom w:val="none" w:sz="0" w:space="0" w:color="auto"/>
                <w:right w:val="none" w:sz="0" w:space="0" w:color="auto"/>
              </w:divBdr>
              <w:divsChild>
                <w:div w:id="246690933">
                  <w:marLeft w:val="0"/>
                  <w:marRight w:val="0"/>
                  <w:marTop w:val="105"/>
                  <w:marBottom w:val="0"/>
                  <w:divBdr>
                    <w:top w:val="none" w:sz="0" w:space="0" w:color="auto"/>
                    <w:left w:val="none" w:sz="0" w:space="0" w:color="auto"/>
                    <w:bottom w:val="none" w:sz="0" w:space="0" w:color="auto"/>
                    <w:right w:val="none" w:sz="0" w:space="0" w:color="auto"/>
                  </w:divBdr>
                  <w:divsChild>
                    <w:div w:id="1050808191">
                      <w:marLeft w:val="450"/>
                      <w:marRight w:val="225"/>
                      <w:marTop w:val="0"/>
                      <w:marBottom w:val="0"/>
                      <w:divBdr>
                        <w:top w:val="none" w:sz="0" w:space="0" w:color="auto"/>
                        <w:left w:val="none" w:sz="0" w:space="0" w:color="auto"/>
                        <w:bottom w:val="none" w:sz="0" w:space="0" w:color="auto"/>
                        <w:right w:val="none" w:sz="0" w:space="0" w:color="auto"/>
                      </w:divBdr>
                      <w:divsChild>
                        <w:div w:id="221403958">
                          <w:marLeft w:val="0"/>
                          <w:marRight w:val="0"/>
                          <w:marTop w:val="0"/>
                          <w:marBottom w:val="600"/>
                          <w:divBdr>
                            <w:top w:val="single" w:sz="6" w:space="0" w:color="314664"/>
                            <w:left w:val="single" w:sz="6" w:space="0" w:color="314664"/>
                            <w:bottom w:val="single" w:sz="6" w:space="0" w:color="314664"/>
                            <w:right w:val="single" w:sz="6" w:space="0" w:color="314664"/>
                          </w:divBdr>
                          <w:divsChild>
                            <w:div w:id="1641811989">
                              <w:marLeft w:val="0"/>
                              <w:marRight w:val="0"/>
                              <w:marTop w:val="0"/>
                              <w:marBottom w:val="0"/>
                              <w:divBdr>
                                <w:top w:val="none" w:sz="0" w:space="0" w:color="auto"/>
                                <w:left w:val="none" w:sz="0" w:space="0" w:color="auto"/>
                                <w:bottom w:val="none" w:sz="0" w:space="0" w:color="auto"/>
                                <w:right w:val="none" w:sz="0" w:space="0" w:color="auto"/>
                              </w:divBdr>
                              <w:divsChild>
                                <w:div w:id="279147624">
                                  <w:marLeft w:val="0"/>
                                  <w:marRight w:val="0"/>
                                  <w:marTop w:val="0"/>
                                  <w:marBottom w:val="0"/>
                                  <w:divBdr>
                                    <w:top w:val="none" w:sz="0" w:space="0" w:color="auto"/>
                                    <w:left w:val="none" w:sz="0" w:space="0" w:color="auto"/>
                                    <w:bottom w:val="none" w:sz="0" w:space="0" w:color="auto"/>
                                    <w:right w:val="none" w:sz="0" w:space="0" w:color="auto"/>
                                  </w:divBdr>
                                  <w:divsChild>
                                    <w:div w:id="1954284281">
                                      <w:marLeft w:val="0"/>
                                      <w:marRight w:val="0"/>
                                      <w:marTop w:val="0"/>
                                      <w:marBottom w:val="0"/>
                                      <w:divBdr>
                                        <w:top w:val="none" w:sz="0" w:space="0" w:color="auto"/>
                                        <w:left w:val="none" w:sz="0" w:space="0" w:color="auto"/>
                                        <w:bottom w:val="none" w:sz="0" w:space="0" w:color="auto"/>
                                        <w:right w:val="none" w:sz="0" w:space="0" w:color="auto"/>
                                      </w:divBdr>
                                      <w:divsChild>
                                        <w:div w:id="2003388297">
                                          <w:marLeft w:val="0"/>
                                          <w:marRight w:val="0"/>
                                          <w:marTop w:val="0"/>
                                          <w:marBottom w:val="0"/>
                                          <w:divBdr>
                                            <w:top w:val="none" w:sz="0" w:space="0" w:color="auto"/>
                                            <w:left w:val="none" w:sz="0" w:space="0" w:color="auto"/>
                                            <w:bottom w:val="none" w:sz="0" w:space="0" w:color="auto"/>
                                            <w:right w:val="none" w:sz="0" w:space="0" w:color="auto"/>
                                          </w:divBdr>
                                          <w:divsChild>
                                            <w:div w:id="464084441">
                                              <w:marLeft w:val="0"/>
                                              <w:marRight w:val="0"/>
                                              <w:marTop w:val="0"/>
                                              <w:marBottom w:val="0"/>
                                              <w:divBdr>
                                                <w:top w:val="none" w:sz="0" w:space="0" w:color="auto"/>
                                                <w:left w:val="none" w:sz="0" w:space="0" w:color="auto"/>
                                                <w:bottom w:val="none" w:sz="0" w:space="0" w:color="auto"/>
                                                <w:right w:val="none" w:sz="0" w:space="0" w:color="auto"/>
                                              </w:divBdr>
                                              <w:divsChild>
                                                <w:div w:id="20783941">
                                                  <w:marLeft w:val="0"/>
                                                  <w:marRight w:val="0"/>
                                                  <w:marTop w:val="0"/>
                                                  <w:marBottom w:val="0"/>
                                                  <w:divBdr>
                                                    <w:top w:val="none" w:sz="0" w:space="0" w:color="auto"/>
                                                    <w:left w:val="none" w:sz="0" w:space="0" w:color="auto"/>
                                                    <w:bottom w:val="none" w:sz="0" w:space="0" w:color="auto"/>
                                                    <w:right w:val="none" w:sz="0" w:space="0" w:color="auto"/>
                                                  </w:divBdr>
                                                  <w:divsChild>
                                                    <w:div w:id="506946373">
                                                      <w:marLeft w:val="0"/>
                                                      <w:marRight w:val="0"/>
                                                      <w:marTop w:val="0"/>
                                                      <w:marBottom w:val="0"/>
                                                      <w:divBdr>
                                                        <w:top w:val="none" w:sz="0" w:space="0" w:color="auto"/>
                                                        <w:left w:val="none" w:sz="0" w:space="0" w:color="auto"/>
                                                        <w:bottom w:val="none" w:sz="0" w:space="0" w:color="auto"/>
                                                        <w:right w:val="none" w:sz="0" w:space="0" w:color="auto"/>
                                                      </w:divBdr>
                                                      <w:divsChild>
                                                        <w:div w:id="1894384190">
                                                          <w:marLeft w:val="0"/>
                                                          <w:marRight w:val="0"/>
                                                          <w:marTop w:val="0"/>
                                                          <w:marBottom w:val="0"/>
                                                          <w:divBdr>
                                                            <w:top w:val="none" w:sz="0" w:space="0" w:color="auto"/>
                                                            <w:left w:val="none" w:sz="0" w:space="0" w:color="auto"/>
                                                            <w:bottom w:val="none" w:sz="0" w:space="0" w:color="auto"/>
                                                            <w:right w:val="none" w:sz="0" w:space="0" w:color="auto"/>
                                                          </w:divBdr>
                                                          <w:divsChild>
                                                            <w:div w:id="117921941">
                                                              <w:marLeft w:val="0"/>
                                                              <w:marRight w:val="0"/>
                                                              <w:marTop w:val="83"/>
                                                              <w:marBottom w:val="0"/>
                                                              <w:divBdr>
                                                                <w:top w:val="none" w:sz="0" w:space="0" w:color="auto"/>
                                                                <w:left w:val="none" w:sz="0" w:space="0" w:color="auto"/>
                                                                <w:bottom w:val="none" w:sz="0" w:space="0" w:color="auto"/>
                                                                <w:right w:val="none" w:sz="0" w:space="0" w:color="auto"/>
                                                              </w:divBdr>
                                                              <w:divsChild>
                                                                <w:div w:id="118113198">
                                                                  <w:marLeft w:val="0"/>
                                                                  <w:marRight w:val="0"/>
                                                                  <w:marTop w:val="0"/>
                                                                  <w:marBottom w:val="0"/>
                                                                  <w:divBdr>
                                                                    <w:top w:val="none" w:sz="0" w:space="0" w:color="auto"/>
                                                                    <w:left w:val="none" w:sz="0" w:space="0" w:color="auto"/>
                                                                    <w:bottom w:val="none" w:sz="0" w:space="0" w:color="auto"/>
                                                                    <w:right w:val="none" w:sz="0" w:space="0" w:color="auto"/>
                                                                  </w:divBdr>
                                                                  <w:divsChild>
                                                                    <w:div w:id="1318150578">
                                                                      <w:marLeft w:val="0"/>
                                                                      <w:marRight w:val="0"/>
                                                                      <w:marTop w:val="83"/>
                                                                      <w:marBottom w:val="0"/>
                                                                      <w:divBdr>
                                                                        <w:top w:val="none" w:sz="0" w:space="0" w:color="auto"/>
                                                                        <w:left w:val="none" w:sz="0" w:space="0" w:color="auto"/>
                                                                        <w:bottom w:val="none" w:sz="0" w:space="0" w:color="auto"/>
                                                                        <w:right w:val="none" w:sz="0" w:space="0" w:color="auto"/>
                                                                      </w:divBdr>
                                                                      <w:divsChild>
                                                                        <w:div w:id="472604939">
                                                                          <w:marLeft w:val="0"/>
                                                                          <w:marRight w:val="0"/>
                                                                          <w:marTop w:val="0"/>
                                                                          <w:marBottom w:val="0"/>
                                                                          <w:divBdr>
                                                                            <w:top w:val="none" w:sz="0" w:space="0" w:color="auto"/>
                                                                            <w:left w:val="none" w:sz="0" w:space="0" w:color="auto"/>
                                                                            <w:bottom w:val="none" w:sz="0" w:space="0" w:color="auto"/>
                                                                            <w:right w:val="none" w:sz="0" w:space="0" w:color="auto"/>
                                                                          </w:divBdr>
                                                                          <w:divsChild>
                                                                            <w:div w:id="540094101">
                                                                              <w:marLeft w:val="0"/>
                                                                              <w:marRight w:val="0"/>
                                                                              <w:marTop w:val="83"/>
                                                                              <w:marBottom w:val="0"/>
                                                                              <w:divBdr>
                                                                                <w:top w:val="none" w:sz="0" w:space="0" w:color="auto"/>
                                                                                <w:left w:val="none" w:sz="0" w:space="0" w:color="auto"/>
                                                                                <w:bottom w:val="none" w:sz="0" w:space="0" w:color="auto"/>
                                                                                <w:right w:val="none" w:sz="0" w:space="0" w:color="auto"/>
                                                                              </w:divBdr>
                                                                            </w:div>
                                                                          </w:divsChild>
                                                                        </w:div>
                                                                        <w:div w:id="1234315712">
                                                                          <w:marLeft w:val="0"/>
                                                                          <w:marRight w:val="0"/>
                                                                          <w:marTop w:val="0"/>
                                                                          <w:marBottom w:val="0"/>
                                                                          <w:divBdr>
                                                                            <w:top w:val="none" w:sz="0" w:space="0" w:color="auto"/>
                                                                            <w:left w:val="none" w:sz="0" w:space="0" w:color="auto"/>
                                                                            <w:bottom w:val="none" w:sz="0" w:space="0" w:color="auto"/>
                                                                            <w:right w:val="none" w:sz="0" w:space="0" w:color="auto"/>
                                                                          </w:divBdr>
                                                                          <w:divsChild>
                                                                            <w:div w:id="396904071">
                                                                              <w:marLeft w:val="0"/>
                                                                              <w:marRight w:val="0"/>
                                                                              <w:marTop w:val="83"/>
                                                                              <w:marBottom w:val="0"/>
                                                                              <w:divBdr>
                                                                                <w:top w:val="none" w:sz="0" w:space="0" w:color="auto"/>
                                                                                <w:left w:val="none" w:sz="0" w:space="0" w:color="auto"/>
                                                                                <w:bottom w:val="none" w:sz="0" w:space="0" w:color="auto"/>
                                                                                <w:right w:val="none" w:sz="0" w:space="0" w:color="auto"/>
                                                                              </w:divBdr>
                                                                            </w:div>
                                                                          </w:divsChild>
                                                                        </w:div>
                                                                        <w:div w:id="1801338793">
                                                                          <w:marLeft w:val="0"/>
                                                                          <w:marRight w:val="0"/>
                                                                          <w:marTop w:val="0"/>
                                                                          <w:marBottom w:val="0"/>
                                                                          <w:divBdr>
                                                                            <w:top w:val="none" w:sz="0" w:space="0" w:color="auto"/>
                                                                            <w:left w:val="none" w:sz="0" w:space="0" w:color="auto"/>
                                                                            <w:bottom w:val="none" w:sz="0" w:space="0" w:color="auto"/>
                                                                            <w:right w:val="none" w:sz="0" w:space="0" w:color="auto"/>
                                                                          </w:divBdr>
                                                                          <w:divsChild>
                                                                            <w:div w:id="809442172">
                                                                              <w:marLeft w:val="0"/>
                                                                              <w:marRight w:val="0"/>
                                                                              <w:marTop w:val="83"/>
                                                                              <w:marBottom w:val="0"/>
                                                                              <w:divBdr>
                                                                                <w:top w:val="none" w:sz="0" w:space="0" w:color="auto"/>
                                                                                <w:left w:val="none" w:sz="0" w:space="0" w:color="auto"/>
                                                                                <w:bottom w:val="none" w:sz="0" w:space="0" w:color="auto"/>
                                                                                <w:right w:val="none" w:sz="0" w:space="0" w:color="auto"/>
                                                                              </w:divBdr>
                                                                            </w:div>
                                                                          </w:divsChild>
                                                                        </w:div>
                                                                        <w:div w:id="1908762633">
                                                                          <w:marLeft w:val="0"/>
                                                                          <w:marRight w:val="0"/>
                                                                          <w:marTop w:val="0"/>
                                                                          <w:marBottom w:val="0"/>
                                                                          <w:divBdr>
                                                                            <w:top w:val="none" w:sz="0" w:space="0" w:color="auto"/>
                                                                            <w:left w:val="none" w:sz="0" w:space="0" w:color="auto"/>
                                                                            <w:bottom w:val="none" w:sz="0" w:space="0" w:color="auto"/>
                                                                            <w:right w:val="none" w:sz="0" w:space="0" w:color="auto"/>
                                                                          </w:divBdr>
                                                                          <w:divsChild>
                                                                            <w:div w:id="1675186945">
                                                                              <w:marLeft w:val="0"/>
                                                                              <w:marRight w:val="0"/>
                                                                              <w:marTop w:val="8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8644756">
      <w:bodyDiv w:val="1"/>
      <w:marLeft w:val="0"/>
      <w:marRight w:val="0"/>
      <w:marTop w:val="0"/>
      <w:marBottom w:val="0"/>
      <w:divBdr>
        <w:top w:val="none" w:sz="0" w:space="0" w:color="auto"/>
        <w:left w:val="none" w:sz="0" w:space="0" w:color="auto"/>
        <w:bottom w:val="none" w:sz="0" w:space="0" w:color="auto"/>
        <w:right w:val="none" w:sz="0" w:space="0" w:color="auto"/>
      </w:divBdr>
    </w:div>
    <w:div w:id="503207667">
      <w:bodyDiv w:val="1"/>
      <w:marLeft w:val="0"/>
      <w:marRight w:val="0"/>
      <w:marTop w:val="0"/>
      <w:marBottom w:val="0"/>
      <w:divBdr>
        <w:top w:val="none" w:sz="0" w:space="0" w:color="auto"/>
        <w:left w:val="none" w:sz="0" w:space="0" w:color="auto"/>
        <w:bottom w:val="none" w:sz="0" w:space="0" w:color="auto"/>
        <w:right w:val="none" w:sz="0" w:space="0" w:color="auto"/>
      </w:divBdr>
      <w:divsChild>
        <w:div w:id="1259100380">
          <w:marLeft w:val="0"/>
          <w:marRight w:val="0"/>
          <w:marTop w:val="0"/>
          <w:marBottom w:val="0"/>
          <w:divBdr>
            <w:top w:val="none" w:sz="0" w:space="0" w:color="auto"/>
            <w:left w:val="none" w:sz="0" w:space="0" w:color="auto"/>
            <w:bottom w:val="none" w:sz="0" w:space="0" w:color="auto"/>
            <w:right w:val="none" w:sz="0" w:space="0" w:color="auto"/>
          </w:divBdr>
          <w:divsChild>
            <w:div w:id="789400353">
              <w:marLeft w:val="0"/>
              <w:marRight w:val="0"/>
              <w:marTop w:val="0"/>
              <w:marBottom w:val="0"/>
              <w:divBdr>
                <w:top w:val="none" w:sz="0" w:space="0" w:color="auto"/>
                <w:left w:val="none" w:sz="0" w:space="0" w:color="auto"/>
                <w:bottom w:val="none" w:sz="0" w:space="0" w:color="auto"/>
                <w:right w:val="none" w:sz="0" w:space="0" w:color="auto"/>
              </w:divBdr>
              <w:divsChild>
                <w:div w:id="473258395">
                  <w:marLeft w:val="0"/>
                  <w:marRight w:val="0"/>
                  <w:marTop w:val="105"/>
                  <w:marBottom w:val="0"/>
                  <w:divBdr>
                    <w:top w:val="none" w:sz="0" w:space="0" w:color="auto"/>
                    <w:left w:val="none" w:sz="0" w:space="0" w:color="auto"/>
                    <w:bottom w:val="none" w:sz="0" w:space="0" w:color="auto"/>
                    <w:right w:val="none" w:sz="0" w:space="0" w:color="auto"/>
                  </w:divBdr>
                  <w:divsChild>
                    <w:div w:id="25568856">
                      <w:marLeft w:val="450"/>
                      <w:marRight w:val="225"/>
                      <w:marTop w:val="0"/>
                      <w:marBottom w:val="0"/>
                      <w:divBdr>
                        <w:top w:val="none" w:sz="0" w:space="0" w:color="auto"/>
                        <w:left w:val="none" w:sz="0" w:space="0" w:color="auto"/>
                        <w:bottom w:val="none" w:sz="0" w:space="0" w:color="auto"/>
                        <w:right w:val="none" w:sz="0" w:space="0" w:color="auto"/>
                      </w:divBdr>
                      <w:divsChild>
                        <w:div w:id="1078139395">
                          <w:marLeft w:val="0"/>
                          <w:marRight w:val="0"/>
                          <w:marTop w:val="0"/>
                          <w:marBottom w:val="600"/>
                          <w:divBdr>
                            <w:top w:val="single" w:sz="6" w:space="0" w:color="314664"/>
                            <w:left w:val="single" w:sz="6" w:space="0" w:color="314664"/>
                            <w:bottom w:val="single" w:sz="6" w:space="0" w:color="314664"/>
                            <w:right w:val="single" w:sz="6" w:space="0" w:color="314664"/>
                          </w:divBdr>
                          <w:divsChild>
                            <w:div w:id="303392950">
                              <w:marLeft w:val="0"/>
                              <w:marRight w:val="0"/>
                              <w:marTop w:val="0"/>
                              <w:marBottom w:val="0"/>
                              <w:divBdr>
                                <w:top w:val="none" w:sz="0" w:space="0" w:color="auto"/>
                                <w:left w:val="none" w:sz="0" w:space="0" w:color="auto"/>
                                <w:bottom w:val="none" w:sz="0" w:space="0" w:color="auto"/>
                                <w:right w:val="none" w:sz="0" w:space="0" w:color="auto"/>
                              </w:divBdr>
                              <w:divsChild>
                                <w:div w:id="456725042">
                                  <w:marLeft w:val="0"/>
                                  <w:marRight w:val="0"/>
                                  <w:marTop w:val="0"/>
                                  <w:marBottom w:val="0"/>
                                  <w:divBdr>
                                    <w:top w:val="none" w:sz="0" w:space="0" w:color="auto"/>
                                    <w:left w:val="none" w:sz="0" w:space="0" w:color="auto"/>
                                    <w:bottom w:val="none" w:sz="0" w:space="0" w:color="auto"/>
                                    <w:right w:val="none" w:sz="0" w:space="0" w:color="auto"/>
                                  </w:divBdr>
                                  <w:divsChild>
                                    <w:div w:id="1526215320">
                                      <w:marLeft w:val="0"/>
                                      <w:marRight w:val="0"/>
                                      <w:marTop w:val="0"/>
                                      <w:marBottom w:val="0"/>
                                      <w:divBdr>
                                        <w:top w:val="none" w:sz="0" w:space="0" w:color="auto"/>
                                        <w:left w:val="none" w:sz="0" w:space="0" w:color="auto"/>
                                        <w:bottom w:val="none" w:sz="0" w:space="0" w:color="auto"/>
                                        <w:right w:val="none" w:sz="0" w:space="0" w:color="auto"/>
                                      </w:divBdr>
                                      <w:divsChild>
                                        <w:div w:id="794058974">
                                          <w:marLeft w:val="0"/>
                                          <w:marRight w:val="0"/>
                                          <w:marTop w:val="0"/>
                                          <w:marBottom w:val="0"/>
                                          <w:divBdr>
                                            <w:top w:val="none" w:sz="0" w:space="0" w:color="auto"/>
                                            <w:left w:val="none" w:sz="0" w:space="0" w:color="auto"/>
                                            <w:bottom w:val="none" w:sz="0" w:space="0" w:color="auto"/>
                                            <w:right w:val="none" w:sz="0" w:space="0" w:color="auto"/>
                                          </w:divBdr>
                                          <w:divsChild>
                                            <w:div w:id="400831473">
                                              <w:marLeft w:val="0"/>
                                              <w:marRight w:val="0"/>
                                              <w:marTop w:val="0"/>
                                              <w:marBottom w:val="0"/>
                                              <w:divBdr>
                                                <w:top w:val="none" w:sz="0" w:space="0" w:color="auto"/>
                                                <w:left w:val="none" w:sz="0" w:space="0" w:color="auto"/>
                                                <w:bottom w:val="none" w:sz="0" w:space="0" w:color="auto"/>
                                                <w:right w:val="none" w:sz="0" w:space="0" w:color="auto"/>
                                              </w:divBdr>
                                              <w:divsChild>
                                                <w:div w:id="441268832">
                                                  <w:marLeft w:val="0"/>
                                                  <w:marRight w:val="0"/>
                                                  <w:marTop w:val="0"/>
                                                  <w:marBottom w:val="0"/>
                                                  <w:divBdr>
                                                    <w:top w:val="none" w:sz="0" w:space="0" w:color="auto"/>
                                                    <w:left w:val="none" w:sz="0" w:space="0" w:color="auto"/>
                                                    <w:bottom w:val="none" w:sz="0" w:space="0" w:color="auto"/>
                                                    <w:right w:val="none" w:sz="0" w:space="0" w:color="auto"/>
                                                  </w:divBdr>
                                                  <w:divsChild>
                                                    <w:div w:id="1801612813">
                                                      <w:marLeft w:val="0"/>
                                                      <w:marRight w:val="0"/>
                                                      <w:marTop w:val="0"/>
                                                      <w:marBottom w:val="0"/>
                                                      <w:divBdr>
                                                        <w:top w:val="none" w:sz="0" w:space="0" w:color="auto"/>
                                                        <w:left w:val="none" w:sz="0" w:space="0" w:color="auto"/>
                                                        <w:bottom w:val="none" w:sz="0" w:space="0" w:color="auto"/>
                                                        <w:right w:val="none" w:sz="0" w:space="0" w:color="auto"/>
                                                      </w:divBdr>
                                                      <w:divsChild>
                                                        <w:div w:id="1712077134">
                                                          <w:marLeft w:val="0"/>
                                                          <w:marRight w:val="0"/>
                                                          <w:marTop w:val="0"/>
                                                          <w:marBottom w:val="0"/>
                                                          <w:divBdr>
                                                            <w:top w:val="none" w:sz="0" w:space="0" w:color="auto"/>
                                                            <w:left w:val="none" w:sz="0" w:space="0" w:color="auto"/>
                                                            <w:bottom w:val="none" w:sz="0" w:space="0" w:color="auto"/>
                                                            <w:right w:val="none" w:sz="0" w:space="0" w:color="auto"/>
                                                          </w:divBdr>
                                                          <w:divsChild>
                                                            <w:div w:id="1116682003">
                                                              <w:marLeft w:val="0"/>
                                                              <w:marRight w:val="0"/>
                                                              <w:marTop w:val="83"/>
                                                              <w:marBottom w:val="0"/>
                                                              <w:divBdr>
                                                                <w:top w:val="none" w:sz="0" w:space="0" w:color="auto"/>
                                                                <w:left w:val="none" w:sz="0" w:space="0" w:color="auto"/>
                                                                <w:bottom w:val="none" w:sz="0" w:space="0" w:color="auto"/>
                                                                <w:right w:val="none" w:sz="0" w:space="0" w:color="auto"/>
                                                              </w:divBdr>
                                                              <w:divsChild>
                                                                <w:div w:id="1759407183">
                                                                  <w:marLeft w:val="0"/>
                                                                  <w:marRight w:val="0"/>
                                                                  <w:marTop w:val="0"/>
                                                                  <w:marBottom w:val="0"/>
                                                                  <w:divBdr>
                                                                    <w:top w:val="none" w:sz="0" w:space="0" w:color="auto"/>
                                                                    <w:left w:val="none" w:sz="0" w:space="0" w:color="auto"/>
                                                                    <w:bottom w:val="none" w:sz="0" w:space="0" w:color="auto"/>
                                                                    <w:right w:val="none" w:sz="0" w:space="0" w:color="auto"/>
                                                                  </w:divBdr>
                                                                  <w:divsChild>
                                                                    <w:div w:id="112601230">
                                                                      <w:marLeft w:val="0"/>
                                                                      <w:marRight w:val="0"/>
                                                                      <w:marTop w:val="83"/>
                                                                      <w:marBottom w:val="0"/>
                                                                      <w:divBdr>
                                                                        <w:top w:val="none" w:sz="0" w:space="0" w:color="auto"/>
                                                                        <w:left w:val="none" w:sz="0" w:space="0" w:color="auto"/>
                                                                        <w:bottom w:val="none" w:sz="0" w:space="0" w:color="auto"/>
                                                                        <w:right w:val="none" w:sz="0" w:space="0" w:color="auto"/>
                                                                      </w:divBdr>
                                                                      <w:divsChild>
                                                                        <w:div w:id="1451244137">
                                                                          <w:marLeft w:val="0"/>
                                                                          <w:marRight w:val="0"/>
                                                                          <w:marTop w:val="0"/>
                                                                          <w:marBottom w:val="0"/>
                                                                          <w:divBdr>
                                                                            <w:top w:val="none" w:sz="0" w:space="0" w:color="auto"/>
                                                                            <w:left w:val="none" w:sz="0" w:space="0" w:color="auto"/>
                                                                            <w:bottom w:val="none" w:sz="0" w:space="0" w:color="auto"/>
                                                                            <w:right w:val="none" w:sz="0" w:space="0" w:color="auto"/>
                                                                          </w:divBdr>
                                                                          <w:divsChild>
                                                                            <w:div w:id="1131745940">
                                                                              <w:marLeft w:val="0"/>
                                                                              <w:marRight w:val="0"/>
                                                                              <w:marTop w:val="83"/>
                                                                              <w:marBottom w:val="0"/>
                                                                              <w:divBdr>
                                                                                <w:top w:val="none" w:sz="0" w:space="0" w:color="auto"/>
                                                                                <w:left w:val="none" w:sz="0" w:space="0" w:color="auto"/>
                                                                                <w:bottom w:val="none" w:sz="0" w:space="0" w:color="auto"/>
                                                                                <w:right w:val="none" w:sz="0" w:space="0" w:color="auto"/>
                                                                              </w:divBdr>
                                                                            </w:div>
                                                                          </w:divsChild>
                                                                        </w:div>
                                                                        <w:div w:id="1969973601">
                                                                          <w:marLeft w:val="0"/>
                                                                          <w:marRight w:val="0"/>
                                                                          <w:marTop w:val="0"/>
                                                                          <w:marBottom w:val="0"/>
                                                                          <w:divBdr>
                                                                            <w:top w:val="none" w:sz="0" w:space="0" w:color="auto"/>
                                                                            <w:left w:val="none" w:sz="0" w:space="0" w:color="auto"/>
                                                                            <w:bottom w:val="none" w:sz="0" w:space="0" w:color="auto"/>
                                                                            <w:right w:val="none" w:sz="0" w:space="0" w:color="auto"/>
                                                                          </w:divBdr>
                                                                          <w:divsChild>
                                                                            <w:div w:id="1820226194">
                                                                              <w:marLeft w:val="0"/>
                                                                              <w:marRight w:val="0"/>
                                                                              <w:marTop w:val="83"/>
                                                                              <w:marBottom w:val="0"/>
                                                                              <w:divBdr>
                                                                                <w:top w:val="none" w:sz="0" w:space="0" w:color="auto"/>
                                                                                <w:left w:val="none" w:sz="0" w:space="0" w:color="auto"/>
                                                                                <w:bottom w:val="none" w:sz="0" w:space="0" w:color="auto"/>
                                                                                <w:right w:val="none" w:sz="0" w:space="0" w:color="auto"/>
                                                                              </w:divBdr>
                                                                            </w:div>
                                                                          </w:divsChild>
                                                                        </w:div>
                                                                        <w:div w:id="1404330862">
                                                                          <w:marLeft w:val="0"/>
                                                                          <w:marRight w:val="0"/>
                                                                          <w:marTop w:val="0"/>
                                                                          <w:marBottom w:val="0"/>
                                                                          <w:divBdr>
                                                                            <w:top w:val="none" w:sz="0" w:space="0" w:color="auto"/>
                                                                            <w:left w:val="none" w:sz="0" w:space="0" w:color="auto"/>
                                                                            <w:bottom w:val="none" w:sz="0" w:space="0" w:color="auto"/>
                                                                            <w:right w:val="none" w:sz="0" w:space="0" w:color="auto"/>
                                                                          </w:divBdr>
                                                                          <w:divsChild>
                                                                            <w:div w:id="1536887197">
                                                                              <w:marLeft w:val="0"/>
                                                                              <w:marRight w:val="0"/>
                                                                              <w:marTop w:val="83"/>
                                                                              <w:marBottom w:val="0"/>
                                                                              <w:divBdr>
                                                                                <w:top w:val="none" w:sz="0" w:space="0" w:color="auto"/>
                                                                                <w:left w:val="none" w:sz="0" w:space="0" w:color="auto"/>
                                                                                <w:bottom w:val="none" w:sz="0" w:space="0" w:color="auto"/>
                                                                                <w:right w:val="none" w:sz="0" w:space="0" w:color="auto"/>
                                                                              </w:divBdr>
                                                                            </w:div>
                                                                          </w:divsChild>
                                                                        </w:div>
                                                                        <w:div w:id="593363748">
                                                                          <w:marLeft w:val="0"/>
                                                                          <w:marRight w:val="0"/>
                                                                          <w:marTop w:val="0"/>
                                                                          <w:marBottom w:val="0"/>
                                                                          <w:divBdr>
                                                                            <w:top w:val="none" w:sz="0" w:space="0" w:color="auto"/>
                                                                            <w:left w:val="none" w:sz="0" w:space="0" w:color="auto"/>
                                                                            <w:bottom w:val="none" w:sz="0" w:space="0" w:color="auto"/>
                                                                            <w:right w:val="none" w:sz="0" w:space="0" w:color="auto"/>
                                                                          </w:divBdr>
                                                                          <w:divsChild>
                                                                            <w:div w:id="687173037">
                                                                              <w:marLeft w:val="0"/>
                                                                              <w:marRight w:val="0"/>
                                                                              <w:marTop w:val="8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6086047">
      <w:bodyDiv w:val="1"/>
      <w:marLeft w:val="0"/>
      <w:marRight w:val="0"/>
      <w:marTop w:val="0"/>
      <w:marBottom w:val="0"/>
      <w:divBdr>
        <w:top w:val="none" w:sz="0" w:space="0" w:color="auto"/>
        <w:left w:val="none" w:sz="0" w:space="0" w:color="auto"/>
        <w:bottom w:val="none" w:sz="0" w:space="0" w:color="auto"/>
        <w:right w:val="none" w:sz="0" w:space="0" w:color="auto"/>
      </w:divBdr>
    </w:div>
    <w:div w:id="736590857">
      <w:bodyDiv w:val="1"/>
      <w:marLeft w:val="0"/>
      <w:marRight w:val="0"/>
      <w:marTop w:val="0"/>
      <w:marBottom w:val="0"/>
      <w:divBdr>
        <w:top w:val="none" w:sz="0" w:space="0" w:color="auto"/>
        <w:left w:val="none" w:sz="0" w:space="0" w:color="auto"/>
        <w:bottom w:val="none" w:sz="0" w:space="0" w:color="auto"/>
        <w:right w:val="none" w:sz="0" w:space="0" w:color="auto"/>
      </w:divBdr>
    </w:div>
    <w:div w:id="769739616">
      <w:bodyDiv w:val="1"/>
      <w:marLeft w:val="0"/>
      <w:marRight w:val="0"/>
      <w:marTop w:val="0"/>
      <w:marBottom w:val="0"/>
      <w:divBdr>
        <w:top w:val="none" w:sz="0" w:space="0" w:color="auto"/>
        <w:left w:val="none" w:sz="0" w:space="0" w:color="auto"/>
        <w:bottom w:val="none" w:sz="0" w:space="0" w:color="auto"/>
        <w:right w:val="none" w:sz="0" w:space="0" w:color="auto"/>
      </w:divBdr>
    </w:div>
    <w:div w:id="1253275576">
      <w:bodyDiv w:val="1"/>
      <w:marLeft w:val="0"/>
      <w:marRight w:val="0"/>
      <w:marTop w:val="0"/>
      <w:marBottom w:val="0"/>
      <w:divBdr>
        <w:top w:val="none" w:sz="0" w:space="0" w:color="auto"/>
        <w:left w:val="none" w:sz="0" w:space="0" w:color="auto"/>
        <w:bottom w:val="none" w:sz="0" w:space="0" w:color="auto"/>
        <w:right w:val="none" w:sz="0" w:space="0" w:color="auto"/>
      </w:divBdr>
      <w:divsChild>
        <w:div w:id="1467240916">
          <w:marLeft w:val="0"/>
          <w:marRight w:val="0"/>
          <w:marTop w:val="0"/>
          <w:marBottom w:val="0"/>
          <w:divBdr>
            <w:top w:val="none" w:sz="0" w:space="0" w:color="auto"/>
            <w:left w:val="none" w:sz="0" w:space="0" w:color="auto"/>
            <w:bottom w:val="none" w:sz="0" w:space="0" w:color="auto"/>
            <w:right w:val="none" w:sz="0" w:space="0" w:color="auto"/>
          </w:divBdr>
          <w:divsChild>
            <w:div w:id="502665112">
              <w:marLeft w:val="0"/>
              <w:marRight w:val="0"/>
              <w:marTop w:val="0"/>
              <w:marBottom w:val="0"/>
              <w:divBdr>
                <w:top w:val="none" w:sz="0" w:space="0" w:color="auto"/>
                <w:left w:val="none" w:sz="0" w:space="0" w:color="auto"/>
                <w:bottom w:val="none" w:sz="0" w:space="0" w:color="auto"/>
                <w:right w:val="none" w:sz="0" w:space="0" w:color="auto"/>
              </w:divBdr>
              <w:divsChild>
                <w:div w:id="1504200713">
                  <w:marLeft w:val="0"/>
                  <w:marRight w:val="0"/>
                  <w:marTop w:val="0"/>
                  <w:marBottom w:val="0"/>
                  <w:divBdr>
                    <w:top w:val="none" w:sz="0" w:space="0" w:color="auto"/>
                    <w:left w:val="none" w:sz="0" w:space="0" w:color="auto"/>
                    <w:bottom w:val="none" w:sz="0" w:space="0" w:color="auto"/>
                    <w:right w:val="none" w:sz="0" w:space="0" w:color="auto"/>
                  </w:divBdr>
                  <w:divsChild>
                    <w:div w:id="189283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948350">
      <w:bodyDiv w:val="1"/>
      <w:marLeft w:val="0"/>
      <w:marRight w:val="0"/>
      <w:marTop w:val="0"/>
      <w:marBottom w:val="0"/>
      <w:divBdr>
        <w:top w:val="none" w:sz="0" w:space="0" w:color="auto"/>
        <w:left w:val="none" w:sz="0" w:space="0" w:color="auto"/>
        <w:bottom w:val="none" w:sz="0" w:space="0" w:color="auto"/>
        <w:right w:val="none" w:sz="0" w:space="0" w:color="auto"/>
      </w:divBdr>
      <w:divsChild>
        <w:div w:id="203714900">
          <w:marLeft w:val="0"/>
          <w:marRight w:val="0"/>
          <w:marTop w:val="0"/>
          <w:marBottom w:val="0"/>
          <w:divBdr>
            <w:top w:val="none" w:sz="0" w:space="0" w:color="auto"/>
            <w:left w:val="none" w:sz="0" w:space="0" w:color="auto"/>
            <w:bottom w:val="none" w:sz="0" w:space="0" w:color="auto"/>
            <w:right w:val="none" w:sz="0" w:space="0" w:color="auto"/>
          </w:divBdr>
          <w:divsChild>
            <w:div w:id="1052265801">
              <w:marLeft w:val="0"/>
              <w:marRight w:val="0"/>
              <w:marTop w:val="0"/>
              <w:marBottom w:val="0"/>
              <w:divBdr>
                <w:top w:val="none" w:sz="0" w:space="0" w:color="auto"/>
                <w:left w:val="none" w:sz="0" w:space="0" w:color="auto"/>
                <w:bottom w:val="none" w:sz="0" w:space="0" w:color="auto"/>
                <w:right w:val="none" w:sz="0" w:space="0" w:color="auto"/>
              </w:divBdr>
              <w:divsChild>
                <w:div w:id="675501827">
                  <w:marLeft w:val="-450"/>
                  <w:marRight w:val="-450"/>
                  <w:marTop w:val="0"/>
                  <w:marBottom w:val="0"/>
                  <w:divBdr>
                    <w:top w:val="none" w:sz="0" w:space="0" w:color="auto"/>
                    <w:left w:val="none" w:sz="0" w:space="0" w:color="auto"/>
                    <w:bottom w:val="none" w:sz="0" w:space="0" w:color="auto"/>
                    <w:right w:val="none" w:sz="0" w:space="0" w:color="auto"/>
                  </w:divBdr>
                  <w:divsChild>
                    <w:div w:id="2008970936">
                      <w:marLeft w:val="0"/>
                      <w:marRight w:val="0"/>
                      <w:marTop w:val="0"/>
                      <w:marBottom w:val="0"/>
                      <w:divBdr>
                        <w:top w:val="none" w:sz="0" w:space="0" w:color="auto"/>
                        <w:left w:val="none" w:sz="0" w:space="0" w:color="auto"/>
                        <w:bottom w:val="none" w:sz="0" w:space="0" w:color="auto"/>
                        <w:right w:val="none" w:sz="0" w:space="0" w:color="auto"/>
                      </w:divBdr>
                      <w:divsChild>
                        <w:div w:id="92090858">
                          <w:marLeft w:val="0"/>
                          <w:marRight w:val="0"/>
                          <w:marTop w:val="0"/>
                          <w:marBottom w:val="0"/>
                          <w:divBdr>
                            <w:top w:val="none" w:sz="0" w:space="0" w:color="auto"/>
                            <w:left w:val="none" w:sz="0" w:space="0" w:color="auto"/>
                            <w:bottom w:val="none" w:sz="0" w:space="0" w:color="auto"/>
                            <w:right w:val="none" w:sz="0" w:space="0" w:color="auto"/>
                          </w:divBdr>
                          <w:divsChild>
                            <w:div w:id="317345250">
                              <w:marLeft w:val="-450"/>
                              <w:marRight w:val="-450"/>
                              <w:marTop w:val="0"/>
                              <w:marBottom w:val="0"/>
                              <w:divBdr>
                                <w:top w:val="none" w:sz="0" w:space="0" w:color="auto"/>
                                <w:left w:val="none" w:sz="0" w:space="0" w:color="auto"/>
                                <w:bottom w:val="none" w:sz="0" w:space="0" w:color="auto"/>
                                <w:right w:val="none" w:sz="0" w:space="0" w:color="auto"/>
                              </w:divBdr>
                              <w:divsChild>
                                <w:div w:id="1533231502">
                                  <w:marLeft w:val="0"/>
                                  <w:marRight w:val="0"/>
                                  <w:marTop w:val="0"/>
                                  <w:marBottom w:val="0"/>
                                  <w:divBdr>
                                    <w:top w:val="none" w:sz="0" w:space="0" w:color="auto"/>
                                    <w:left w:val="none" w:sz="0" w:space="0" w:color="auto"/>
                                    <w:bottom w:val="none" w:sz="0" w:space="0" w:color="auto"/>
                                    <w:right w:val="none" w:sz="0" w:space="0" w:color="auto"/>
                                  </w:divBdr>
                                  <w:divsChild>
                                    <w:div w:id="1723138928">
                                      <w:marLeft w:val="0"/>
                                      <w:marRight w:val="0"/>
                                      <w:marTop w:val="0"/>
                                      <w:marBottom w:val="0"/>
                                      <w:divBdr>
                                        <w:top w:val="none" w:sz="0" w:space="0" w:color="auto"/>
                                        <w:left w:val="none" w:sz="0" w:space="0" w:color="auto"/>
                                        <w:bottom w:val="none" w:sz="0" w:space="0" w:color="auto"/>
                                        <w:right w:val="none" w:sz="0" w:space="0" w:color="auto"/>
                                      </w:divBdr>
                                      <w:divsChild>
                                        <w:div w:id="1723216722">
                                          <w:marLeft w:val="0"/>
                                          <w:marRight w:val="0"/>
                                          <w:marTop w:val="0"/>
                                          <w:marBottom w:val="0"/>
                                          <w:divBdr>
                                            <w:top w:val="none" w:sz="0" w:space="0" w:color="auto"/>
                                            <w:left w:val="none" w:sz="0" w:space="0" w:color="auto"/>
                                            <w:bottom w:val="none" w:sz="0" w:space="0" w:color="auto"/>
                                            <w:right w:val="none" w:sz="0" w:space="0" w:color="auto"/>
                                          </w:divBdr>
                                          <w:divsChild>
                                            <w:div w:id="181764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1654556">
      <w:bodyDiv w:val="1"/>
      <w:marLeft w:val="0"/>
      <w:marRight w:val="0"/>
      <w:marTop w:val="0"/>
      <w:marBottom w:val="0"/>
      <w:divBdr>
        <w:top w:val="none" w:sz="0" w:space="0" w:color="auto"/>
        <w:left w:val="none" w:sz="0" w:space="0" w:color="auto"/>
        <w:bottom w:val="none" w:sz="0" w:space="0" w:color="auto"/>
        <w:right w:val="none" w:sz="0" w:space="0" w:color="auto"/>
      </w:divBdr>
      <w:divsChild>
        <w:div w:id="1049037166">
          <w:marLeft w:val="0"/>
          <w:marRight w:val="0"/>
          <w:marTop w:val="0"/>
          <w:marBottom w:val="0"/>
          <w:divBdr>
            <w:top w:val="none" w:sz="0" w:space="0" w:color="auto"/>
            <w:left w:val="none" w:sz="0" w:space="0" w:color="auto"/>
            <w:bottom w:val="none" w:sz="0" w:space="0" w:color="auto"/>
            <w:right w:val="none" w:sz="0" w:space="0" w:color="auto"/>
          </w:divBdr>
          <w:divsChild>
            <w:div w:id="1663510095">
              <w:marLeft w:val="0"/>
              <w:marRight w:val="0"/>
              <w:marTop w:val="0"/>
              <w:marBottom w:val="0"/>
              <w:divBdr>
                <w:top w:val="none" w:sz="0" w:space="0" w:color="auto"/>
                <w:left w:val="none" w:sz="0" w:space="0" w:color="auto"/>
                <w:bottom w:val="none" w:sz="0" w:space="0" w:color="auto"/>
                <w:right w:val="none" w:sz="0" w:space="0" w:color="auto"/>
              </w:divBdr>
              <w:divsChild>
                <w:div w:id="1907062471">
                  <w:marLeft w:val="0"/>
                  <w:marRight w:val="0"/>
                  <w:marTop w:val="105"/>
                  <w:marBottom w:val="0"/>
                  <w:divBdr>
                    <w:top w:val="none" w:sz="0" w:space="0" w:color="auto"/>
                    <w:left w:val="none" w:sz="0" w:space="0" w:color="auto"/>
                    <w:bottom w:val="none" w:sz="0" w:space="0" w:color="auto"/>
                    <w:right w:val="none" w:sz="0" w:space="0" w:color="auto"/>
                  </w:divBdr>
                  <w:divsChild>
                    <w:div w:id="1444418481">
                      <w:marLeft w:val="450"/>
                      <w:marRight w:val="225"/>
                      <w:marTop w:val="0"/>
                      <w:marBottom w:val="0"/>
                      <w:divBdr>
                        <w:top w:val="none" w:sz="0" w:space="0" w:color="auto"/>
                        <w:left w:val="none" w:sz="0" w:space="0" w:color="auto"/>
                        <w:bottom w:val="none" w:sz="0" w:space="0" w:color="auto"/>
                        <w:right w:val="none" w:sz="0" w:space="0" w:color="auto"/>
                      </w:divBdr>
                      <w:divsChild>
                        <w:div w:id="1726834344">
                          <w:marLeft w:val="0"/>
                          <w:marRight w:val="0"/>
                          <w:marTop w:val="0"/>
                          <w:marBottom w:val="600"/>
                          <w:divBdr>
                            <w:top w:val="single" w:sz="6" w:space="0" w:color="314664"/>
                            <w:left w:val="single" w:sz="6" w:space="0" w:color="314664"/>
                            <w:bottom w:val="single" w:sz="6" w:space="0" w:color="314664"/>
                            <w:right w:val="single" w:sz="6" w:space="0" w:color="314664"/>
                          </w:divBdr>
                          <w:divsChild>
                            <w:div w:id="1198851669">
                              <w:marLeft w:val="0"/>
                              <w:marRight w:val="0"/>
                              <w:marTop w:val="0"/>
                              <w:marBottom w:val="0"/>
                              <w:divBdr>
                                <w:top w:val="none" w:sz="0" w:space="0" w:color="auto"/>
                                <w:left w:val="none" w:sz="0" w:space="0" w:color="auto"/>
                                <w:bottom w:val="none" w:sz="0" w:space="0" w:color="auto"/>
                                <w:right w:val="none" w:sz="0" w:space="0" w:color="auto"/>
                              </w:divBdr>
                              <w:divsChild>
                                <w:div w:id="1311518758">
                                  <w:marLeft w:val="0"/>
                                  <w:marRight w:val="0"/>
                                  <w:marTop w:val="0"/>
                                  <w:marBottom w:val="0"/>
                                  <w:divBdr>
                                    <w:top w:val="none" w:sz="0" w:space="0" w:color="auto"/>
                                    <w:left w:val="none" w:sz="0" w:space="0" w:color="auto"/>
                                    <w:bottom w:val="none" w:sz="0" w:space="0" w:color="auto"/>
                                    <w:right w:val="none" w:sz="0" w:space="0" w:color="auto"/>
                                  </w:divBdr>
                                  <w:divsChild>
                                    <w:div w:id="156581344">
                                      <w:marLeft w:val="0"/>
                                      <w:marRight w:val="0"/>
                                      <w:marTop w:val="0"/>
                                      <w:marBottom w:val="0"/>
                                      <w:divBdr>
                                        <w:top w:val="none" w:sz="0" w:space="0" w:color="auto"/>
                                        <w:left w:val="none" w:sz="0" w:space="0" w:color="auto"/>
                                        <w:bottom w:val="none" w:sz="0" w:space="0" w:color="auto"/>
                                        <w:right w:val="none" w:sz="0" w:space="0" w:color="auto"/>
                                      </w:divBdr>
                                      <w:divsChild>
                                        <w:div w:id="831217798">
                                          <w:marLeft w:val="0"/>
                                          <w:marRight w:val="0"/>
                                          <w:marTop w:val="0"/>
                                          <w:marBottom w:val="0"/>
                                          <w:divBdr>
                                            <w:top w:val="none" w:sz="0" w:space="0" w:color="auto"/>
                                            <w:left w:val="none" w:sz="0" w:space="0" w:color="auto"/>
                                            <w:bottom w:val="none" w:sz="0" w:space="0" w:color="auto"/>
                                            <w:right w:val="none" w:sz="0" w:space="0" w:color="auto"/>
                                          </w:divBdr>
                                          <w:divsChild>
                                            <w:div w:id="1475878678">
                                              <w:marLeft w:val="0"/>
                                              <w:marRight w:val="0"/>
                                              <w:marTop w:val="0"/>
                                              <w:marBottom w:val="0"/>
                                              <w:divBdr>
                                                <w:top w:val="none" w:sz="0" w:space="0" w:color="auto"/>
                                                <w:left w:val="none" w:sz="0" w:space="0" w:color="auto"/>
                                                <w:bottom w:val="none" w:sz="0" w:space="0" w:color="auto"/>
                                                <w:right w:val="none" w:sz="0" w:space="0" w:color="auto"/>
                                              </w:divBdr>
                                              <w:divsChild>
                                                <w:div w:id="886532379">
                                                  <w:marLeft w:val="0"/>
                                                  <w:marRight w:val="0"/>
                                                  <w:marTop w:val="0"/>
                                                  <w:marBottom w:val="0"/>
                                                  <w:divBdr>
                                                    <w:top w:val="none" w:sz="0" w:space="0" w:color="auto"/>
                                                    <w:left w:val="none" w:sz="0" w:space="0" w:color="auto"/>
                                                    <w:bottom w:val="none" w:sz="0" w:space="0" w:color="auto"/>
                                                    <w:right w:val="none" w:sz="0" w:space="0" w:color="auto"/>
                                                  </w:divBdr>
                                                  <w:divsChild>
                                                    <w:div w:id="857041038">
                                                      <w:marLeft w:val="0"/>
                                                      <w:marRight w:val="0"/>
                                                      <w:marTop w:val="0"/>
                                                      <w:marBottom w:val="0"/>
                                                      <w:divBdr>
                                                        <w:top w:val="none" w:sz="0" w:space="0" w:color="auto"/>
                                                        <w:left w:val="none" w:sz="0" w:space="0" w:color="auto"/>
                                                        <w:bottom w:val="none" w:sz="0" w:space="0" w:color="auto"/>
                                                        <w:right w:val="none" w:sz="0" w:space="0" w:color="auto"/>
                                                      </w:divBdr>
                                                      <w:divsChild>
                                                        <w:div w:id="2068070526">
                                                          <w:marLeft w:val="0"/>
                                                          <w:marRight w:val="0"/>
                                                          <w:marTop w:val="0"/>
                                                          <w:marBottom w:val="0"/>
                                                          <w:divBdr>
                                                            <w:top w:val="none" w:sz="0" w:space="0" w:color="auto"/>
                                                            <w:left w:val="none" w:sz="0" w:space="0" w:color="auto"/>
                                                            <w:bottom w:val="none" w:sz="0" w:space="0" w:color="auto"/>
                                                            <w:right w:val="none" w:sz="0" w:space="0" w:color="auto"/>
                                                          </w:divBdr>
                                                          <w:divsChild>
                                                            <w:div w:id="758259247">
                                                              <w:marLeft w:val="0"/>
                                                              <w:marRight w:val="0"/>
                                                              <w:marTop w:val="0"/>
                                                              <w:marBottom w:val="0"/>
                                                              <w:divBdr>
                                                                <w:top w:val="none" w:sz="0" w:space="0" w:color="auto"/>
                                                                <w:left w:val="none" w:sz="0" w:space="0" w:color="auto"/>
                                                                <w:bottom w:val="none" w:sz="0" w:space="0" w:color="auto"/>
                                                                <w:right w:val="none" w:sz="0" w:space="0" w:color="auto"/>
                                                              </w:divBdr>
                                                              <w:divsChild>
                                                                <w:div w:id="1705325803">
                                                                  <w:marLeft w:val="0"/>
                                                                  <w:marRight w:val="0"/>
                                                                  <w:marTop w:val="83"/>
                                                                  <w:marBottom w:val="0"/>
                                                                  <w:divBdr>
                                                                    <w:top w:val="none" w:sz="0" w:space="0" w:color="auto"/>
                                                                    <w:left w:val="none" w:sz="0" w:space="0" w:color="auto"/>
                                                                    <w:bottom w:val="none" w:sz="0" w:space="0" w:color="auto"/>
                                                                    <w:right w:val="none" w:sz="0" w:space="0" w:color="auto"/>
                                                                  </w:divBdr>
                                                                  <w:divsChild>
                                                                    <w:div w:id="57628277">
                                                                      <w:marLeft w:val="0"/>
                                                                      <w:marRight w:val="0"/>
                                                                      <w:marTop w:val="0"/>
                                                                      <w:marBottom w:val="0"/>
                                                                      <w:divBdr>
                                                                        <w:top w:val="none" w:sz="0" w:space="0" w:color="auto"/>
                                                                        <w:left w:val="none" w:sz="0" w:space="0" w:color="auto"/>
                                                                        <w:bottom w:val="none" w:sz="0" w:space="0" w:color="auto"/>
                                                                        <w:right w:val="none" w:sz="0" w:space="0" w:color="auto"/>
                                                                      </w:divBdr>
                                                                      <w:divsChild>
                                                                        <w:div w:id="230510334">
                                                                          <w:marLeft w:val="0"/>
                                                                          <w:marRight w:val="0"/>
                                                                          <w:marTop w:val="83"/>
                                                                          <w:marBottom w:val="0"/>
                                                                          <w:divBdr>
                                                                            <w:top w:val="none" w:sz="0" w:space="0" w:color="auto"/>
                                                                            <w:left w:val="none" w:sz="0" w:space="0" w:color="auto"/>
                                                                            <w:bottom w:val="none" w:sz="0" w:space="0" w:color="auto"/>
                                                                            <w:right w:val="none" w:sz="0" w:space="0" w:color="auto"/>
                                                                          </w:divBdr>
                                                                          <w:divsChild>
                                                                            <w:div w:id="294027036">
                                                                              <w:marLeft w:val="0"/>
                                                                              <w:marRight w:val="0"/>
                                                                              <w:marTop w:val="0"/>
                                                                              <w:marBottom w:val="0"/>
                                                                              <w:divBdr>
                                                                                <w:top w:val="none" w:sz="0" w:space="0" w:color="auto"/>
                                                                                <w:left w:val="none" w:sz="0" w:space="0" w:color="auto"/>
                                                                                <w:bottom w:val="none" w:sz="0" w:space="0" w:color="auto"/>
                                                                                <w:right w:val="none" w:sz="0" w:space="0" w:color="auto"/>
                                                                              </w:divBdr>
                                                                              <w:divsChild>
                                                                                <w:div w:id="1483038300">
                                                                                  <w:marLeft w:val="0"/>
                                                                                  <w:marRight w:val="0"/>
                                                                                  <w:marTop w:val="8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6476985">
      <w:bodyDiv w:val="1"/>
      <w:marLeft w:val="0"/>
      <w:marRight w:val="0"/>
      <w:marTop w:val="0"/>
      <w:marBottom w:val="0"/>
      <w:divBdr>
        <w:top w:val="none" w:sz="0" w:space="0" w:color="auto"/>
        <w:left w:val="none" w:sz="0" w:space="0" w:color="auto"/>
        <w:bottom w:val="none" w:sz="0" w:space="0" w:color="auto"/>
        <w:right w:val="none" w:sz="0" w:space="0" w:color="auto"/>
      </w:divBdr>
    </w:div>
    <w:div w:id="1817069097">
      <w:bodyDiv w:val="1"/>
      <w:marLeft w:val="0"/>
      <w:marRight w:val="0"/>
      <w:marTop w:val="0"/>
      <w:marBottom w:val="0"/>
      <w:divBdr>
        <w:top w:val="none" w:sz="0" w:space="0" w:color="auto"/>
        <w:left w:val="none" w:sz="0" w:space="0" w:color="auto"/>
        <w:bottom w:val="none" w:sz="0" w:space="0" w:color="auto"/>
        <w:right w:val="none" w:sz="0" w:space="0" w:color="auto"/>
      </w:divBdr>
      <w:divsChild>
        <w:div w:id="1412584844">
          <w:marLeft w:val="0"/>
          <w:marRight w:val="0"/>
          <w:marTop w:val="0"/>
          <w:marBottom w:val="0"/>
          <w:divBdr>
            <w:top w:val="none" w:sz="0" w:space="0" w:color="auto"/>
            <w:left w:val="none" w:sz="0" w:space="0" w:color="auto"/>
            <w:bottom w:val="none" w:sz="0" w:space="0" w:color="auto"/>
            <w:right w:val="none" w:sz="0" w:space="0" w:color="auto"/>
          </w:divBdr>
          <w:divsChild>
            <w:div w:id="1982730390">
              <w:marLeft w:val="0"/>
              <w:marRight w:val="0"/>
              <w:marTop w:val="0"/>
              <w:marBottom w:val="0"/>
              <w:divBdr>
                <w:top w:val="none" w:sz="0" w:space="0" w:color="auto"/>
                <w:left w:val="none" w:sz="0" w:space="0" w:color="auto"/>
                <w:bottom w:val="none" w:sz="0" w:space="0" w:color="auto"/>
                <w:right w:val="none" w:sz="0" w:space="0" w:color="auto"/>
              </w:divBdr>
              <w:divsChild>
                <w:div w:id="66542368">
                  <w:marLeft w:val="0"/>
                  <w:marRight w:val="0"/>
                  <w:marTop w:val="105"/>
                  <w:marBottom w:val="0"/>
                  <w:divBdr>
                    <w:top w:val="none" w:sz="0" w:space="0" w:color="auto"/>
                    <w:left w:val="none" w:sz="0" w:space="0" w:color="auto"/>
                    <w:bottom w:val="none" w:sz="0" w:space="0" w:color="auto"/>
                    <w:right w:val="none" w:sz="0" w:space="0" w:color="auto"/>
                  </w:divBdr>
                  <w:divsChild>
                    <w:div w:id="596059359">
                      <w:marLeft w:val="450"/>
                      <w:marRight w:val="225"/>
                      <w:marTop w:val="0"/>
                      <w:marBottom w:val="0"/>
                      <w:divBdr>
                        <w:top w:val="none" w:sz="0" w:space="0" w:color="auto"/>
                        <w:left w:val="none" w:sz="0" w:space="0" w:color="auto"/>
                        <w:bottom w:val="none" w:sz="0" w:space="0" w:color="auto"/>
                        <w:right w:val="none" w:sz="0" w:space="0" w:color="auto"/>
                      </w:divBdr>
                      <w:divsChild>
                        <w:div w:id="1179155959">
                          <w:marLeft w:val="0"/>
                          <w:marRight w:val="0"/>
                          <w:marTop w:val="0"/>
                          <w:marBottom w:val="600"/>
                          <w:divBdr>
                            <w:top w:val="single" w:sz="6" w:space="0" w:color="314664"/>
                            <w:left w:val="single" w:sz="6" w:space="0" w:color="314664"/>
                            <w:bottom w:val="single" w:sz="6" w:space="0" w:color="314664"/>
                            <w:right w:val="single" w:sz="6" w:space="0" w:color="314664"/>
                          </w:divBdr>
                          <w:divsChild>
                            <w:div w:id="467163921">
                              <w:marLeft w:val="0"/>
                              <w:marRight w:val="0"/>
                              <w:marTop w:val="0"/>
                              <w:marBottom w:val="0"/>
                              <w:divBdr>
                                <w:top w:val="none" w:sz="0" w:space="0" w:color="auto"/>
                                <w:left w:val="none" w:sz="0" w:space="0" w:color="auto"/>
                                <w:bottom w:val="none" w:sz="0" w:space="0" w:color="auto"/>
                                <w:right w:val="none" w:sz="0" w:space="0" w:color="auto"/>
                              </w:divBdr>
                              <w:divsChild>
                                <w:div w:id="2021616735">
                                  <w:marLeft w:val="0"/>
                                  <w:marRight w:val="0"/>
                                  <w:marTop w:val="0"/>
                                  <w:marBottom w:val="0"/>
                                  <w:divBdr>
                                    <w:top w:val="none" w:sz="0" w:space="0" w:color="auto"/>
                                    <w:left w:val="none" w:sz="0" w:space="0" w:color="auto"/>
                                    <w:bottom w:val="none" w:sz="0" w:space="0" w:color="auto"/>
                                    <w:right w:val="none" w:sz="0" w:space="0" w:color="auto"/>
                                  </w:divBdr>
                                  <w:divsChild>
                                    <w:div w:id="1134954576">
                                      <w:marLeft w:val="0"/>
                                      <w:marRight w:val="0"/>
                                      <w:marTop w:val="0"/>
                                      <w:marBottom w:val="0"/>
                                      <w:divBdr>
                                        <w:top w:val="none" w:sz="0" w:space="0" w:color="auto"/>
                                        <w:left w:val="none" w:sz="0" w:space="0" w:color="auto"/>
                                        <w:bottom w:val="none" w:sz="0" w:space="0" w:color="auto"/>
                                        <w:right w:val="none" w:sz="0" w:space="0" w:color="auto"/>
                                      </w:divBdr>
                                      <w:divsChild>
                                        <w:div w:id="1384913116">
                                          <w:marLeft w:val="0"/>
                                          <w:marRight w:val="0"/>
                                          <w:marTop w:val="0"/>
                                          <w:marBottom w:val="0"/>
                                          <w:divBdr>
                                            <w:top w:val="none" w:sz="0" w:space="0" w:color="auto"/>
                                            <w:left w:val="none" w:sz="0" w:space="0" w:color="auto"/>
                                            <w:bottom w:val="none" w:sz="0" w:space="0" w:color="auto"/>
                                            <w:right w:val="none" w:sz="0" w:space="0" w:color="auto"/>
                                          </w:divBdr>
                                          <w:divsChild>
                                            <w:div w:id="139931690">
                                              <w:marLeft w:val="0"/>
                                              <w:marRight w:val="0"/>
                                              <w:marTop w:val="0"/>
                                              <w:marBottom w:val="0"/>
                                              <w:divBdr>
                                                <w:top w:val="none" w:sz="0" w:space="0" w:color="auto"/>
                                                <w:left w:val="none" w:sz="0" w:space="0" w:color="auto"/>
                                                <w:bottom w:val="none" w:sz="0" w:space="0" w:color="auto"/>
                                                <w:right w:val="none" w:sz="0" w:space="0" w:color="auto"/>
                                              </w:divBdr>
                                              <w:divsChild>
                                                <w:div w:id="1161042372">
                                                  <w:marLeft w:val="0"/>
                                                  <w:marRight w:val="0"/>
                                                  <w:marTop w:val="0"/>
                                                  <w:marBottom w:val="0"/>
                                                  <w:divBdr>
                                                    <w:top w:val="none" w:sz="0" w:space="0" w:color="auto"/>
                                                    <w:left w:val="none" w:sz="0" w:space="0" w:color="auto"/>
                                                    <w:bottom w:val="none" w:sz="0" w:space="0" w:color="auto"/>
                                                    <w:right w:val="none" w:sz="0" w:space="0" w:color="auto"/>
                                                  </w:divBdr>
                                                  <w:divsChild>
                                                    <w:div w:id="1831366332">
                                                      <w:marLeft w:val="0"/>
                                                      <w:marRight w:val="0"/>
                                                      <w:marTop w:val="0"/>
                                                      <w:marBottom w:val="0"/>
                                                      <w:divBdr>
                                                        <w:top w:val="none" w:sz="0" w:space="0" w:color="auto"/>
                                                        <w:left w:val="none" w:sz="0" w:space="0" w:color="auto"/>
                                                        <w:bottom w:val="none" w:sz="0" w:space="0" w:color="auto"/>
                                                        <w:right w:val="none" w:sz="0" w:space="0" w:color="auto"/>
                                                      </w:divBdr>
                                                      <w:divsChild>
                                                        <w:div w:id="622616665">
                                                          <w:marLeft w:val="0"/>
                                                          <w:marRight w:val="0"/>
                                                          <w:marTop w:val="0"/>
                                                          <w:marBottom w:val="0"/>
                                                          <w:divBdr>
                                                            <w:top w:val="none" w:sz="0" w:space="0" w:color="auto"/>
                                                            <w:left w:val="none" w:sz="0" w:space="0" w:color="auto"/>
                                                            <w:bottom w:val="none" w:sz="0" w:space="0" w:color="auto"/>
                                                            <w:right w:val="none" w:sz="0" w:space="0" w:color="auto"/>
                                                          </w:divBdr>
                                                          <w:divsChild>
                                                            <w:div w:id="1552569277">
                                                              <w:marLeft w:val="0"/>
                                                              <w:marRight w:val="0"/>
                                                              <w:marTop w:val="83"/>
                                                              <w:marBottom w:val="0"/>
                                                              <w:divBdr>
                                                                <w:top w:val="none" w:sz="0" w:space="0" w:color="auto"/>
                                                                <w:left w:val="none" w:sz="0" w:space="0" w:color="auto"/>
                                                                <w:bottom w:val="none" w:sz="0" w:space="0" w:color="auto"/>
                                                                <w:right w:val="none" w:sz="0" w:space="0" w:color="auto"/>
                                                              </w:divBdr>
                                                              <w:divsChild>
                                                                <w:div w:id="1444615685">
                                                                  <w:marLeft w:val="0"/>
                                                                  <w:marRight w:val="0"/>
                                                                  <w:marTop w:val="0"/>
                                                                  <w:marBottom w:val="0"/>
                                                                  <w:divBdr>
                                                                    <w:top w:val="none" w:sz="0" w:space="0" w:color="auto"/>
                                                                    <w:left w:val="none" w:sz="0" w:space="0" w:color="auto"/>
                                                                    <w:bottom w:val="none" w:sz="0" w:space="0" w:color="auto"/>
                                                                    <w:right w:val="none" w:sz="0" w:space="0" w:color="auto"/>
                                                                  </w:divBdr>
                                                                  <w:divsChild>
                                                                    <w:div w:id="1056317151">
                                                                      <w:marLeft w:val="0"/>
                                                                      <w:marRight w:val="0"/>
                                                                      <w:marTop w:val="83"/>
                                                                      <w:marBottom w:val="0"/>
                                                                      <w:divBdr>
                                                                        <w:top w:val="none" w:sz="0" w:space="0" w:color="auto"/>
                                                                        <w:left w:val="none" w:sz="0" w:space="0" w:color="auto"/>
                                                                        <w:bottom w:val="none" w:sz="0" w:space="0" w:color="auto"/>
                                                                        <w:right w:val="none" w:sz="0" w:space="0" w:color="auto"/>
                                                                      </w:divBdr>
                                                                      <w:divsChild>
                                                                        <w:div w:id="822742662">
                                                                          <w:marLeft w:val="0"/>
                                                                          <w:marRight w:val="0"/>
                                                                          <w:marTop w:val="0"/>
                                                                          <w:marBottom w:val="0"/>
                                                                          <w:divBdr>
                                                                            <w:top w:val="none" w:sz="0" w:space="0" w:color="auto"/>
                                                                            <w:left w:val="none" w:sz="0" w:space="0" w:color="auto"/>
                                                                            <w:bottom w:val="none" w:sz="0" w:space="0" w:color="auto"/>
                                                                            <w:right w:val="none" w:sz="0" w:space="0" w:color="auto"/>
                                                                          </w:divBdr>
                                                                          <w:divsChild>
                                                                            <w:div w:id="1308559195">
                                                                              <w:marLeft w:val="0"/>
                                                                              <w:marRight w:val="0"/>
                                                                              <w:marTop w:val="8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0336736">
      <w:bodyDiv w:val="1"/>
      <w:marLeft w:val="0"/>
      <w:marRight w:val="0"/>
      <w:marTop w:val="0"/>
      <w:marBottom w:val="0"/>
      <w:divBdr>
        <w:top w:val="none" w:sz="0" w:space="0" w:color="auto"/>
        <w:left w:val="none" w:sz="0" w:space="0" w:color="auto"/>
        <w:bottom w:val="none" w:sz="0" w:space="0" w:color="auto"/>
        <w:right w:val="none" w:sz="0" w:space="0" w:color="auto"/>
      </w:divBdr>
      <w:divsChild>
        <w:div w:id="778793381">
          <w:marLeft w:val="0"/>
          <w:marRight w:val="0"/>
          <w:marTop w:val="0"/>
          <w:marBottom w:val="0"/>
          <w:divBdr>
            <w:top w:val="none" w:sz="0" w:space="0" w:color="auto"/>
            <w:left w:val="none" w:sz="0" w:space="0" w:color="auto"/>
            <w:bottom w:val="none" w:sz="0" w:space="0" w:color="auto"/>
            <w:right w:val="none" w:sz="0" w:space="0" w:color="auto"/>
          </w:divBdr>
          <w:divsChild>
            <w:div w:id="1281763902">
              <w:marLeft w:val="0"/>
              <w:marRight w:val="0"/>
              <w:marTop w:val="0"/>
              <w:marBottom w:val="0"/>
              <w:divBdr>
                <w:top w:val="none" w:sz="0" w:space="0" w:color="auto"/>
                <w:left w:val="none" w:sz="0" w:space="0" w:color="auto"/>
                <w:bottom w:val="none" w:sz="0" w:space="0" w:color="auto"/>
                <w:right w:val="none" w:sz="0" w:space="0" w:color="auto"/>
              </w:divBdr>
              <w:divsChild>
                <w:div w:id="1721711479">
                  <w:marLeft w:val="-450"/>
                  <w:marRight w:val="-450"/>
                  <w:marTop w:val="0"/>
                  <w:marBottom w:val="0"/>
                  <w:divBdr>
                    <w:top w:val="none" w:sz="0" w:space="0" w:color="auto"/>
                    <w:left w:val="none" w:sz="0" w:space="0" w:color="auto"/>
                    <w:bottom w:val="none" w:sz="0" w:space="0" w:color="auto"/>
                    <w:right w:val="none" w:sz="0" w:space="0" w:color="auto"/>
                  </w:divBdr>
                  <w:divsChild>
                    <w:div w:id="81341813">
                      <w:marLeft w:val="0"/>
                      <w:marRight w:val="0"/>
                      <w:marTop w:val="0"/>
                      <w:marBottom w:val="0"/>
                      <w:divBdr>
                        <w:top w:val="none" w:sz="0" w:space="0" w:color="auto"/>
                        <w:left w:val="none" w:sz="0" w:space="0" w:color="auto"/>
                        <w:bottom w:val="none" w:sz="0" w:space="0" w:color="auto"/>
                        <w:right w:val="none" w:sz="0" w:space="0" w:color="auto"/>
                      </w:divBdr>
                      <w:divsChild>
                        <w:div w:id="2078091891">
                          <w:marLeft w:val="0"/>
                          <w:marRight w:val="0"/>
                          <w:marTop w:val="0"/>
                          <w:marBottom w:val="0"/>
                          <w:divBdr>
                            <w:top w:val="none" w:sz="0" w:space="0" w:color="auto"/>
                            <w:left w:val="none" w:sz="0" w:space="0" w:color="auto"/>
                            <w:bottom w:val="none" w:sz="0" w:space="0" w:color="auto"/>
                            <w:right w:val="none" w:sz="0" w:space="0" w:color="auto"/>
                          </w:divBdr>
                          <w:divsChild>
                            <w:div w:id="1936474296">
                              <w:marLeft w:val="-450"/>
                              <w:marRight w:val="-450"/>
                              <w:marTop w:val="0"/>
                              <w:marBottom w:val="0"/>
                              <w:divBdr>
                                <w:top w:val="none" w:sz="0" w:space="0" w:color="auto"/>
                                <w:left w:val="none" w:sz="0" w:space="0" w:color="auto"/>
                                <w:bottom w:val="none" w:sz="0" w:space="0" w:color="auto"/>
                                <w:right w:val="none" w:sz="0" w:space="0" w:color="auto"/>
                              </w:divBdr>
                              <w:divsChild>
                                <w:div w:id="1356731123">
                                  <w:marLeft w:val="0"/>
                                  <w:marRight w:val="0"/>
                                  <w:marTop w:val="0"/>
                                  <w:marBottom w:val="0"/>
                                  <w:divBdr>
                                    <w:top w:val="none" w:sz="0" w:space="0" w:color="auto"/>
                                    <w:left w:val="none" w:sz="0" w:space="0" w:color="auto"/>
                                    <w:bottom w:val="none" w:sz="0" w:space="0" w:color="auto"/>
                                    <w:right w:val="none" w:sz="0" w:space="0" w:color="auto"/>
                                  </w:divBdr>
                                  <w:divsChild>
                                    <w:div w:id="1655137312">
                                      <w:marLeft w:val="0"/>
                                      <w:marRight w:val="0"/>
                                      <w:marTop w:val="0"/>
                                      <w:marBottom w:val="0"/>
                                      <w:divBdr>
                                        <w:top w:val="none" w:sz="0" w:space="0" w:color="auto"/>
                                        <w:left w:val="none" w:sz="0" w:space="0" w:color="auto"/>
                                        <w:bottom w:val="none" w:sz="0" w:space="0" w:color="auto"/>
                                        <w:right w:val="none" w:sz="0" w:space="0" w:color="auto"/>
                                      </w:divBdr>
                                      <w:divsChild>
                                        <w:div w:id="942346787">
                                          <w:marLeft w:val="0"/>
                                          <w:marRight w:val="0"/>
                                          <w:marTop w:val="0"/>
                                          <w:marBottom w:val="0"/>
                                          <w:divBdr>
                                            <w:top w:val="none" w:sz="0" w:space="0" w:color="auto"/>
                                            <w:left w:val="none" w:sz="0" w:space="0" w:color="auto"/>
                                            <w:bottom w:val="none" w:sz="0" w:space="0" w:color="auto"/>
                                            <w:right w:val="none" w:sz="0" w:space="0" w:color="auto"/>
                                          </w:divBdr>
                                          <w:divsChild>
                                            <w:div w:id="119164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0776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mbudsman.parliament.nz/resources/substantial-collation-or-research-guide-section-18f-oia-and-section-17f-lgoima" TargetMode="External"/><Relationship Id="rId13" Type="http://schemas.openxmlformats.org/officeDocument/2006/relationships/hyperlink" Target="https://www.ombudsman.parliament.nz/resources/publicly-available-information-guide-section-18d-oia-and-section-17d-lgoima" TargetMode="External"/><Relationship Id="rId18" Type="http://schemas.openxmlformats.org/officeDocument/2006/relationships/hyperlink" Target="https://www.ombudsman.parliament.nz/resources/requests-documents-concerning-governments-proposed-mixed-ownership-programme"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ombudsman.parliament.nz/resources/request-draft-briefings-incoming-government" TargetMode="External"/><Relationship Id="rId7" Type="http://schemas.openxmlformats.org/officeDocument/2006/relationships/endnotes" Target="endnotes.xml"/><Relationship Id="rId12" Type="http://schemas.openxmlformats.org/officeDocument/2006/relationships/hyperlink" Target="https://www.ombudsman.parliament.nz/resources/publicly-available-information-guide-section-18d-oia-and-section-17d-lgoima" TargetMode="External"/><Relationship Id="rId17" Type="http://schemas.openxmlformats.org/officeDocument/2006/relationships/hyperlink" Target="https://www.ombudsman.parliament.nz/resources/request-treasury-costings-interest-free-student-loans-policy" TargetMode="External"/><Relationship Id="rId25" Type="http://schemas.openxmlformats.org/officeDocument/2006/relationships/hyperlink" Target="https://www.ombudsman.parliament.nz/resources" TargetMode="External"/><Relationship Id="rId2" Type="http://schemas.openxmlformats.org/officeDocument/2006/relationships/numbering" Target="numbering.xml"/><Relationship Id="rId16" Type="http://schemas.openxmlformats.org/officeDocument/2006/relationships/hyperlink" Target="https://www.ombudsman.parliament.nz/resources/requests-briefings-incoming-minister" TargetMode="External"/><Relationship Id="rId20" Type="http://schemas.openxmlformats.org/officeDocument/2006/relationships/hyperlink" Target="https://www.ombudsman.parliament.nz/resources/requests-briefings-incoming-minister"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mbudsman.parliament.nz/resources/proactive-release-good-practices-proactive-release-official-information" TargetMode="External"/><Relationship Id="rId24" Type="http://schemas.openxmlformats.org/officeDocument/2006/relationships/hyperlink" Target="https://www.ombudsman.parliament.nz/resources/official-information-act-guides-and-resources" TargetMode="External"/><Relationship Id="rId5" Type="http://schemas.openxmlformats.org/officeDocument/2006/relationships/webSettings" Target="webSettings.xml"/><Relationship Id="rId15" Type="http://schemas.openxmlformats.org/officeDocument/2006/relationships/hyperlink" Target="https://www.ombudsman.parliament.nz/resources/request-document-related-coalition-negotiations-between-labour-and-new-zealand-first" TargetMode="External"/><Relationship Id="rId23" Type="http://schemas.openxmlformats.org/officeDocument/2006/relationships/hyperlink" Target="https://www.ombudsman.parliament.nz/get-help-agencies" TargetMode="External"/><Relationship Id="rId28" Type="http://schemas.openxmlformats.org/officeDocument/2006/relationships/header" Target="header2.xml"/><Relationship Id="rId10" Type="http://schemas.openxmlformats.org/officeDocument/2006/relationships/image" Target="media/image1.jpeg"/><Relationship Id="rId19" Type="http://schemas.openxmlformats.org/officeDocument/2006/relationships/hyperlink" Target="https://www.ombudsman.parliament.nz/resources/request-document-related-coalition-negotiations-between-labour-and-new-zealand-first"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ombudsman.parliament.nz/resources/charging-guide-charging-official-information-under-oia-and-lgoima" TargetMode="External"/><Relationship Id="rId14" Type="http://schemas.openxmlformats.org/officeDocument/2006/relationships/hyperlink" Target="https://www.ombudsman.parliament.nz/resources/dealing-oia-requests-involving-ministers-guide-transfer-consultation-and-notification" TargetMode="External"/><Relationship Id="rId22" Type="http://schemas.openxmlformats.org/officeDocument/2006/relationships/hyperlink" Target="https://www.ombudsman.parliament.nz/resources/request-dhb-financial-reporting-data" TargetMode="External"/><Relationship Id="rId27" Type="http://schemas.openxmlformats.org/officeDocument/2006/relationships/footer" Target="footer1.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archives.govt.nz/manage-information/how-to-manage-your-information/disposal" TargetMode="External"/><Relationship Id="rId3" Type="http://schemas.openxmlformats.org/officeDocument/2006/relationships/hyperlink" Target="https://www.ombudsman.parliament.nz/resources/substantial-collation-or-research-guide-section-18f-oia-and-section-17f-lgoima" TargetMode="External"/><Relationship Id="rId7" Type="http://schemas.openxmlformats.org/officeDocument/2006/relationships/hyperlink" Target="https://www.dpmc.govt.nz/our-business-units/cabinet-office/supporting-work-cabinet/cabinet-manual" TargetMode="External"/><Relationship Id="rId12" Type="http://schemas.openxmlformats.org/officeDocument/2006/relationships/hyperlink" Target="https://www.dpmc.govt.nz/our-business-units/cabinet-office/supporting-work-cabinet/cabinet-manual" TargetMode="External"/><Relationship Id="rId2" Type="http://schemas.openxmlformats.org/officeDocument/2006/relationships/hyperlink" Target="https://www.dpmc.govt.nz/our-business-units/cabinet-office/supporting-work-cabinet/cabinet-manual" TargetMode="External"/><Relationship Id="rId1" Type="http://schemas.openxmlformats.org/officeDocument/2006/relationships/hyperlink" Target="http://www.legislation.govt.nz/act/public/2005/0040/latest/DLM345529.html" TargetMode="External"/><Relationship Id="rId6" Type="http://schemas.openxmlformats.org/officeDocument/2006/relationships/hyperlink" Target="https://www.archives.govt.nz/manage-information/how-to-manage-your-information/digital" TargetMode="External"/><Relationship Id="rId11" Type="http://schemas.openxmlformats.org/officeDocument/2006/relationships/hyperlink" Target="https://www.dpmc.govt.nz/our-business-units/cabinet-office/supporting-work-cabinet/cabinet-manual" TargetMode="External"/><Relationship Id="rId5" Type="http://schemas.openxmlformats.org/officeDocument/2006/relationships/hyperlink" Target="https://www.ombudsman.parliament.nz/resources/request-all-phone-messages-sent-and-received" TargetMode="External"/><Relationship Id="rId10" Type="http://schemas.openxmlformats.org/officeDocument/2006/relationships/hyperlink" Target="https://www.dpmc.govt.nz/our-business-units/cabinet-office/supporting-work-cabinet/cabinet-manual" TargetMode="External"/><Relationship Id="rId4" Type="http://schemas.openxmlformats.org/officeDocument/2006/relationships/hyperlink" Target="https://www.ombudsman.parliament.nz/resources/oia-ministers-and-agencies-guide-processing-official-information-requests" TargetMode="External"/><Relationship Id="rId9" Type="http://schemas.openxmlformats.org/officeDocument/2006/relationships/hyperlink" Target="https://www.dpmc.govt.nz/our-business-units/cabinet-office/supporting-work-cabinet/cabinet-manua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OTO Theme">
  <a:themeElements>
    <a:clrScheme name="OOTO Colours">
      <a:dk1>
        <a:srgbClr val="000000"/>
      </a:dk1>
      <a:lt1>
        <a:srgbClr val="FFFFFF"/>
      </a:lt1>
      <a:dk2>
        <a:srgbClr val="262626"/>
      </a:dk2>
      <a:lt2>
        <a:srgbClr val="F2F2F2"/>
      </a:lt2>
      <a:accent1>
        <a:srgbClr val="2BB673"/>
      </a:accent1>
      <a:accent2>
        <a:srgbClr val="93B41A"/>
      </a:accent2>
      <a:accent3>
        <a:srgbClr val="F06A3B"/>
      </a:accent3>
      <a:accent4>
        <a:srgbClr val="9561CC"/>
      </a:accent4>
      <a:accent5>
        <a:srgbClr val="00ADC6"/>
      </a:accent5>
      <a:accent6>
        <a:srgbClr val="FD8F0A"/>
      </a:accent6>
      <a:hlink>
        <a:srgbClr val="0D6AB8"/>
      </a:hlink>
      <a:folHlink>
        <a:srgbClr val="3C98E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5E3C49-D2BC-4D8E-BC12-D897AD44F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5014</Words>
  <Characters>28583</Characters>
  <Application>Microsoft Office Word</Application>
  <DocSecurity>0</DocSecurity>
  <Lines>238</Lines>
  <Paragraphs>67</Paragraphs>
  <ScaleCrop>false</ScaleCrop>
  <Company/>
  <LinksUpToDate>false</LinksUpToDate>
  <CharactersWithSpaces>33530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2026-09-15T01:25:00Z</dcterms:created>
  <dcterms:modified xsi:type="dcterms:W3CDTF">2026-09-15T01:25:00Z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67d216-400b-4799-8a06-22bb06804922_Enabled">
    <vt:lpwstr>true</vt:lpwstr>
  </property>
  <property fmtid="{D5CDD505-2E9C-101B-9397-08002B2CF9AE}" pid="3" name="MSIP_Label_6a67d216-400b-4799-8a06-22bb06804922_SetDate">
    <vt:lpwstr>2026-09-15T01:25:17Z</vt:lpwstr>
  </property>
  <property fmtid="{D5CDD505-2E9C-101B-9397-08002B2CF9AE}" pid="4" name="MSIP_Label_6a67d216-400b-4799-8a06-22bb06804922_Method">
    <vt:lpwstr>Standard</vt:lpwstr>
  </property>
  <property fmtid="{D5CDD505-2E9C-101B-9397-08002B2CF9AE}" pid="5" name="MSIP_Label_6a67d216-400b-4799-8a06-22bb06804922_Name">
    <vt:lpwstr>Unlabelled</vt:lpwstr>
  </property>
  <property fmtid="{D5CDD505-2E9C-101B-9397-08002B2CF9AE}" pid="6" name="MSIP_Label_6a67d216-400b-4799-8a06-22bb06804922_SiteId">
    <vt:lpwstr>d7313039-86b2-4d25-9be8-abe2799c2315</vt:lpwstr>
  </property>
  <property fmtid="{D5CDD505-2E9C-101B-9397-08002B2CF9AE}" pid="7" name="MSIP_Label_6a67d216-400b-4799-8a06-22bb06804922_ActionId">
    <vt:lpwstr>e00f0984-9896-464a-aa90-cf7206ec9a8b</vt:lpwstr>
  </property>
  <property fmtid="{D5CDD505-2E9C-101B-9397-08002B2CF9AE}" pid="8" name="MSIP_Label_6a67d216-400b-4799-8a06-22bb06804922_ContentBits">
    <vt:lpwstr>0</vt:lpwstr>
  </property>
  <property fmtid="{D5CDD505-2E9C-101B-9397-08002B2CF9AE}" pid="9" name="MSIP_Label_6a67d216-400b-4799-8a06-22bb06804922_Tag">
    <vt:lpwstr>10, 3, 0, 1</vt:lpwstr>
  </property>
</Properties>
</file>