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noborders"/>
        <w:tblpPr w:leftFromText="181" w:rightFromText="181" w:vertAnchor="page" w:horzAnchor="margin" w:tblpX="1" w:tblpY="852"/>
        <w:tblOverlap w:val="never"/>
        <w:tblW w:w="9617" w:type="dxa"/>
        <w:tblInd w:w="0" w:type="dxa"/>
        <w:tblLayout w:type="fixed"/>
        <w:tblCellMar>
          <w:top w:w="0" w:type="dxa"/>
          <w:left w:w="0" w:type="dxa"/>
          <w:bottom w:w="0" w:type="dxa"/>
          <w:right w:w="0" w:type="dxa"/>
        </w:tblCellMar>
        <w:tblLook w:val="04A0" w:firstRow="1" w:lastRow="0" w:firstColumn="1" w:lastColumn="0" w:noHBand="0" w:noVBand="1"/>
        <w:tblCaption w:val="Table for formatting purposes"/>
      </w:tblPr>
      <w:tblGrid>
        <w:gridCol w:w="4201"/>
        <w:gridCol w:w="1077"/>
        <w:gridCol w:w="4339"/>
      </w:tblGrid>
      <w:tr w:rsidR="00470157" w14:paraId="58D2062E" w14:textId="77777777" w:rsidTr="00A0543F">
        <w:trPr>
          <w:trHeight w:hRule="exact" w:val="805"/>
        </w:trPr>
        <w:tc>
          <w:tcPr>
            <w:tcW w:w="9617" w:type="dxa"/>
            <w:gridSpan w:val="3"/>
            <w:tcMar>
              <w:top w:w="0" w:type="dxa"/>
            </w:tcMar>
            <w:vAlign w:val="bottom"/>
          </w:tcPr>
          <w:p w14:paraId="349BD1F2" w14:textId="5BC80786" w:rsidR="00654430" w:rsidRPr="00654430" w:rsidRDefault="00654430" w:rsidP="00A0543F">
            <w:pPr>
              <w:pStyle w:val="DL-contact"/>
            </w:pPr>
          </w:p>
        </w:tc>
      </w:tr>
      <w:tr w:rsidR="00470157" w14:paraId="28E74015" w14:textId="77777777" w:rsidTr="00A0543F">
        <w:trPr>
          <w:trHeight w:hRule="exact" w:val="709"/>
        </w:trPr>
        <w:tc>
          <w:tcPr>
            <w:tcW w:w="9617" w:type="dxa"/>
            <w:gridSpan w:val="3"/>
          </w:tcPr>
          <w:p w14:paraId="0C4407AD" w14:textId="079C8918" w:rsidR="00470157" w:rsidRDefault="00FE39D7" w:rsidP="00A0543F">
            <w:pPr>
              <w:pStyle w:val="DL-date"/>
            </w:pPr>
            <w:r>
              <w:t>6 May</w:t>
            </w:r>
            <w:r w:rsidR="007D5932">
              <w:t xml:space="preserve"> 2026</w:t>
            </w:r>
          </w:p>
        </w:tc>
      </w:tr>
      <w:tr w:rsidR="0015216F" w:rsidRPr="007A4719" w14:paraId="0F661BAD" w14:textId="77777777" w:rsidTr="00A0543F">
        <w:trPr>
          <w:trHeight w:hRule="exact" w:val="1848"/>
        </w:trPr>
        <w:tc>
          <w:tcPr>
            <w:tcW w:w="4201" w:type="dxa"/>
            <w:vAlign w:val="center"/>
          </w:tcPr>
          <w:p w14:paraId="5E0EA684" w14:textId="77777777" w:rsidR="007D5932" w:rsidRDefault="007D5932" w:rsidP="00A0543F">
            <w:pPr>
              <w:pStyle w:val="DL-addresslines"/>
            </w:pPr>
            <w:r>
              <w:t>Mr Miles Anderson</w:t>
            </w:r>
          </w:p>
          <w:p w14:paraId="724329E6" w14:textId="77777777" w:rsidR="007D5932" w:rsidRDefault="007D5932" w:rsidP="00A0543F">
            <w:pPr>
              <w:pStyle w:val="DL-addresslines"/>
            </w:pPr>
            <w:r>
              <w:t>Chair</w:t>
            </w:r>
          </w:p>
          <w:p w14:paraId="0BA75728" w14:textId="6D946DBF" w:rsidR="0015216F" w:rsidRDefault="007D5932" w:rsidP="00A0543F">
            <w:pPr>
              <w:pStyle w:val="DL-addresslines"/>
            </w:pPr>
            <w:r>
              <w:t>Primary Production Committee</w:t>
            </w:r>
          </w:p>
          <w:p w14:paraId="4A921D00" w14:textId="5BD0A8E8" w:rsidR="007D5932" w:rsidRPr="007A4719" w:rsidRDefault="007D5932" w:rsidP="00A0543F">
            <w:pPr>
              <w:pStyle w:val="DL-addresslines"/>
            </w:pPr>
          </w:p>
        </w:tc>
        <w:tc>
          <w:tcPr>
            <w:tcW w:w="1077" w:type="dxa"/>
            <w:tcBorders>
              <w:left w:val="nil"/>
            </w:tcBorders>
            <w:vAlign w:val="center"/>
          </w:tcPr>
          <w:p w14:paraId="626F6BC1" w14:textId="77777777" w:rsidR="0015216F" w:rsidRPr="007A4719" w:rsidRDefault="0015216F" w:rsidP="00A0543F">
            <w:pPr>
              <w:pStyle w:val="DL-addresslines"/>
            </w:pPr>
          </w:p>
        </w:tc>
        <w:tc>
          <w:tcPr>
            <w:tcW w:w="4339" w:type="dxa"/>
            <w:vAlign w:val="center"/>
          </w:tcPr>
          <w:p w14:paraId="6785B463" w14:textId="77777777" w:rsidR="0015216F" w:rsidRPr="007A4719" w:rsidRDefault="0015216F" w:rsidP="00A0543F">
            <w:pPr>
              <w:pStyle w:val="DL-addresslines"/>
            </w:pPr>
          </w:p>
        </w:tc>
      </w:tr>
    </w:tbl>
    <w:p w14:paraId="5B4069ED" w14:textId="23D8CEB4" w:rsidR="00345A5D" w:rsidRDefault="00345A5D" w:rsidP="00E7745F">
      <w:pPr>
        <w:pStyle w:val="DL-salutation"/>
      </w:pPr>
      <w:r>
        <w:t>Dear</w:t>
      </w:r>
      <w:r w:rsidR="007D5932">
        <w:t xml:space="preserve"> Chair</w:t>
      </w:r>
    </w:p>
    <w:p w14:paraId="512C9E23" w14:textId="793D7096" w:rsidR="00345A5D" w:rsidRDefault="007D5932" w:rsidP="00225598">
      <w:pPr>
        <w:pStyle w:val="Heading1"/>
      </w:pPr>
      <w:r>
        <w:t>Ombudsman’s comments on Fisheries Amendment Bill</w:t>
      </w:r>
    </w:p>
    <w:p w14:paraId="37BB73EA" w14:textId="0EB33363" w:rsidR="004F567F" w:rsidRDefault="007D5932" w:rsidP="00673EEE">
      <w:pPr>
        <w:pStyle w:val="BodyText"/>
      </w:pPr>
      <w:r>
        <w:t>Thank you for the opportunity to submit on the Fisheries Amendment Bill (the Bill).</w:t>
      </w:r>
    </w:p>
    <w:p w14:paraId="42D70763" w14:textId="7A3FD81C" w:rsidR="007D5932" w:rsidRDefault="007D5932" w:rsidP="00673EEE">
      <w:pPr>
        <w:pStyle w:val="BodyText"/>
      </w:pPr>
      <w:r>
        <w:t>My staff were consulted by the Ministry for Primary Industries on certain aspects of the policy papers underpinning the Bill</w:t>
      </w:r>
      <w:r w:rsidR="00410BB8">
        <w:t xml:space="preserve"> as they developed</w:t>
      </w:r>
      <w:r>
        <w:t xml:space="preserve">, </w:t>
      </w:r>
      <w:r w:rsidR="00410BB8">
        <w:t>where</w:t>
      </w:r>
      <w:r>
        <w:t xml:space="preserve"> </w:t>
      </w:r>
      <w:r w:rsidR="00410BB8">
        <w:t>they</w:t>
      </w:r>
      <w:r>
        <w:t xml:space="preserve"> </w:t>
      </w:r>
      <w:r w:rsidR="00C17067">
        <w:t>appeared likely to</w:t>
      </w:r>
      <w:r>
        <w:t xml:space="preserve"> impact on the application of the Official Information Act 1982 (OIA) to certain information</w:t>
      </w:r>
      <w:r w:rsidR="005B132A">
        <w:t xml:space="preserve">, including on-board camera </w:t>
      </w:r>
      <w:r w:rsidR="00410BB8">
        <w:t>footage (‘camera recordings’)</w:t>
      </w:r>
      <w:r w:rsidR="005B132A">
        <w:t xml:space="preserve"> and catch and position reporting data</w:t>
      </w:r>
      <w:r>
        <w:t>.</w:t>
      </w:r>
    </w:p>
    <w:p w14:paraId="5FB0D78C" w14:textId="58322D09" w:rsidR="007D5932" w:rsidRDefault="007D5932" w:rsidP="00673EEE">
      <w:pPr>
        <w:pStyle w:val="BodyText"/>
      </w:pPr>
      <w:r>
        <w:t xml:space="preserve">Having now reviewed the Bill in its entirety, I wish to reiterate some of the observations made to the Ministry, </w:t>
      </w:r>
      <w:proofErr w:type="gramStart"/>
      <w:r>
        <w:t>and also</w:t>
      </w:r>
      <w:proofErr w:type="gramEnd"/>
      <w:r>
        <w:t xml:space="preserve"> to provide comments on aspects of the Bill that I have not seen previously. </w:t>
      </w:r>
    </w:p>
    <w:p w14:paraId="6C8310A3" w14:textId="2045F387" w:rsidR="007D5932" w:rsidRDefault="007D5932" w:rsidP="007D5932">
      <w:pPr>
        <w:pStyle w:val="Heading2"/>
      </w:pPr>
      <w:r>
        <w:t>Proposed carveout from the OIA</w:t>
      </w:r>
      <w:r w:rsidR="00F1584D">
        <w:t xml:space="preserve"> and </w:t>
      </w:r>
      <w:r w:rsidR="0030388D">
        <w:t xml:space="preserve">statutory </w:t>
      </w:r>
      <w:r w:rsidR="00F1584D">
        <w:t>secrecy obligations</w:t>
      </w:r>
    </w:p>
    <w:p w14:paraId="1F2D5554" w14:textId="061B98C4" w:rsidR="007D5932" w:rsidRDefault="003A4BE0" w:rsidP="00673EEE">
      <w:pPr>
        <w:pStyle w:val="BodyText"/>
      </w:pPr>
      <w:r>
        <w:t>Subpart 5 of the Bill proposes an array of new legislative measures. Clause 57 of the Bill proposes the insertion of new sections 227B to 227H which will, in the round:</w:t>
      </w:r>
    </w:p>
    <w:p w14:paraId="25F48EF1" w14:textId="29E1C0D0" w:rsidR="00384CF4" w:rsidRDefault="00D63CE0" w:rsidP="00384CF4">
      <w:pPr>
        <w:pStyle w:val="Bullet1"/>
      </w:pPr>
      <w:r>
        <w:t xml:space="preserve">Permanently </w:t>
      </w:r>
      <w:r w:rsidR="005B132A">
        <w:t>remove on-board camera recordings from the scope of</w:t>
      </w:r>
      <w:r w:rsidR="00C0566F">
        <w:t xml:space="preserve"> the OIA;</w:t>
      </w:r>
      <w:r w:rsidR="006152B8">
        <w:rPr>
          <w:rStyle w:val="FootnoteReference"/>
        </w:rPr>
        <w:footnoteReference w:id="2"/>
      </w:r>
      <w:r w:rsidR="00C0566F">
        <w:t xml:space="preserve"> </w:t>
      </w:r>
    </w:p>
    <w:p w14:paraId="79443C74" w14:textId="3D083A53" w:rsidR="002E0138" w:rsidRDefault="00D63CE0" w:rsidP="00384CF4">
      <w:pPr>
        <w:pStyle w:val="Bullet1"/>
      </w:pPr>
      <w:r>
        <w:t>P</w:t>
      </w:r>
      <w:r w:rsidR="003A4BE0">
        <w:t xml:space="preserve">rohibit the chief executive of the Ministry from disclosing </w:t>
      </w:r>
      <w:r w:rsidR="00C0566F">
        <w:t>camera recordings</w:t>
      </w:r>
      <w:r w:rsidR="003A4BE0">
        <w:t>,</w:t>
      </w:r>
      <w:r w:rsidR="00D4681C">
        <w:rPr>
          <w:rStyle w:val="FootnoteReference"/>
        </w:rPr>
        <w:footnoteReference w:id="3"/>
      </w:r>
      <w:r w:rsidR="003A4BE0">
        <w:t xml:space="preserve"> except </w:t>
      </w:r>
      <w:r w:rsidR="0030388D">
        <w:t>in certain limited circumstances (mainly for law or regulatory enforcement</w:t>
      </w:r>
      <w:r w:rsidR="009E0990">
        <w:t xml:space="preserve"> purposes, or to the owner or operator of the vessel in question</w:t>
      </w:r>
      <w:r w:rsidR="0030388D">
        <w:t>).</w:t>
      </w:r>
      <w:r w:rsidR="00D4681C">
        <w:rPr>
          <w:rStyle w:val="FootnoteReference"/>
        </w:rPr>
        <w:footnoteReference w:id="4"/>
      </w:r>
      <w:r w:rsidR="0030388D">
        <w:t xml:space="preserve"> Even where disclosure </w:t>
      </w:r>
      <w:r w:rsidR="00D4681C">
        <w:t>appears to be</w:t>
      </w:r>
      <w:r w:rsidR="0030388D">
        <w:t xml:space="preserve"> permitted, </w:t>
      </w:r>
      <w:r w:rsidR="00C0566F">
        <w:t xml:space="preserve">the </w:t>
      </w:r>
      <w:r w:rsidR="002E0138">
        <w:t>chief executive</w:t>
      </w:r>
      <w:r w:rsidR="00C0566F">
        <w:t xml:space="preserve"> must</w:t>
      </w:r>
      <w:r w:rsidR="0030388D">
        <w:t xml:space="preserve"> first</w:t>
      </w:r>
      <w:r w:rsidR="002E0138">
        <w:t>:</w:t>
      </w:r>
      <w:r w:rsidR="00D4681C">
        <w:rPr>
          <w:rStyle w:val="FootnoteReference"/>
        </w:rPr>
        <w:footnoteReference w:id="5"/>
      </w:r>
    </w:p>
    <w:p w14:paraId="1E9591C3" w14:textId="6532D48A" w:rsidR="002E0138" w:rsidRDefault="002E0138" w:rsidP="0030388D">
      <w:pPr>
        <w:pStyle w:val="Bullet2"/>
      </w:pPr>
      <w:r>
        <w:t>ha</w:t>
      </w:r>
      <w:r w:rsidR="00C0566F">
        <w:t>ve</w:t>
      </w:r>
      <w:r>
        <w:t xml:space="preserve"> regard to the privacy of natural persons </w:t>
      </w:r>
      <w:r w:rsidR="00C17067">
        <w:t>shown in the footage</w:t>
      </w:r>
      <w:r w:rsidR="00975D39">
        <w:t>,</w:t>
      </w:r>
      <w:r>
        <w:t xml:space="preserve"> the commercial position of the supplier, as well as any other relevant </w:t>
      </w:r>
      <w:proofErr w:type="gramStart"/>
      <w:r>
        <w:t>considerations;</w:t>
      </w:r>
      <w:proofErr w:type="gramEnd"/>
    </w:p>
    <w:p w14:paraId="4805CE62" w14:textId="662C6917" w:rsidR="002E0138" w:rsidRDefault="00C0566F" w:rsidP="004A0384">
      <w:pPr>
        <w:pStyle w:val="Bullet2"/>
      </w:pPr>
      <w:r>
        <w:t>be</w:t>
      </w:r>
      <w:r w:rsidR="002E0138">
        <w:t xml:space="preserve"> satisfied that</w:t>
      </w:r>
      <w:r w:rsidR="0030388D">
        <w:t xml:space="preserve"> </w:t>
      </w:r>
      <w:r w:rsidR="00C17067">
        <w:t>the request could not be satisfied by providing</w:t>
      </w:r>
      <w:r w:rsidR="002E0138">
        <w:t xml:space="preserve"> the information in another format (</w:t>
      </w:r>
      <w:proofErr w:type="spellStart"/>
      <w:r w:rsidR="002E0138">
        <w:t>eg</w:t>
      </w:r>
      <w:proofErr w:type="spellEnd"/>
      <w:r w:rsidR="002E0138">
        <w:t xml:space="preserve"> </w:t>
      </w:r>
      <w:r w:rsidR="00EB3AB2">
        <w:t xml:space="preserve">a </w:t>
      </w:r>
      <w:r w:rsidR="002E0138">
        <w:t>written summary</w:t>
      </w:r>
      <w:r w:rsidR="00C17067">
        <w:t xml:space="preserve"> only</w:t>
      </w:r>
      <w:r w:rsidR="002E0138">
        <w:t>)</w:t>
      </w:r>
      <w:r w:rsidR="0030388D">
        <w:t xml:space="preserve"> and that, h</w:t>
      </w:r>
      <w:r w:rsidR="002E0138">
        <w:t>aving regard to the circumstances, disclosure is reasonable.</w:t>
      </w:r>
    </w:p>
    <w:p w14:paraId="11782AD2" w14:textId="05BF7DA4" w:rsidR="002E0138" w:rsidRDefault="002E0138" w:rsidP="002E0138">
      <w:pPr>
        <w:pStyle w:val="Bullet1"/>
      </w:pPr>
      <w:r>
        <w:lastRenderedPageBreak/>
        <w:t>In disclosing footage, the chief executive of the Ministry may impose conditions on the use, storage</w:t>
      </w:r>
      <w:r w:rsidR="00C0566F">
        <w:t>,</w:t>
      </w:r>
      <w:r>
        <w:t xml:space="preserve"> and destruction of camera recordings</w:t>
      </w:r>
      <w:r w:rsidR="00C0566F">
        <w:t>.</w:t>
      </w:r>
      <w:r w:rsidR="00D4681C">
        <w:rPr>
          <w:rStyle w:val="FootnoteReference"/>
        </w:rPr>
        <w:footnoteReference w:id="6"/>
      </w:r>
      <w:r w:rsidR="00C0566F">
        <w:t xml:space="preserve"> Such conditions are binding on the Crown and its employees, </w:t>
      </w:r>
      <w:r w:rsidR="0030388D">
        <w:t>as well as</w:t>
      </w:r>
      <w:r w:rsidR="00EB3AB2">
        <w:t xml:space="preserve"> </w:t>
      </w:r>
      <w:r w:rsidR="00C0566F">
        <w:t>any other party who receives the footage.</w:t>
      </w:r>
      <w:r w:rsidR="00D4681C">
        <w:rPr>
          <w:rStyle w:val="FootnoteReference"/>
        </w:rPr>
        <w:footnoteReference w:id="7"/>
      </w:r>
      <w:r w:rsidR="00C0566F">
        <w:t xml:space="preserve"> Non-compliance with the conditions is an offence under the</w:t>
      </w:r>
      <w:r w:rsidR="0030388D">
        <w:t xml:space="preserve"> principal</w:t>
      </w:r>
      <w:r w:rsidR="00C0566F">
        <w:t xml:space="preserve"> Act</w:t>
      </w:r>
      <w:r w:rsidR="0030388D">
        <w:t>,</w:t>
      </w:r>
      <w:r w:rsidR="00C0566F">
        <w:t xml:space="preserve"> and</w:t>
      </w:r>
      <w:r w:rsidR="00CB1E63">
        <w:t xml:space="preserve"> the non-compliant party</w:t>
      </w:r>
      <w:r w:rsidR="00C0566F">
        <w:t xml:space="preserve"> is liable on conviction to a fine not exceeding $50,000.</w:t>
      </w:r>
      <w:r w:rsidR="00D4681C">
        <w:rPr>
          <w:rStyle w:val="FootnoteReference"/>
        </w:rPr>
        <w:footnoteReference w:id="8"/>
      </w:r>
    </w:p>
    <w:p w14:paraId="0F3B03DF" w14:textId="3502EDD0" w:rsidR="00C0566F" w:rsidRDefault="00C0566F" w:rsidP="002E0138">
      <w:pPr>
        <w:pStyle w:val="Bullet1"/>
      </w:pPr>
      <w:r>
        <w:t>The Crown or any other person is protected from civil or criminal proceedings if it discloses footage in good faith pursuant to the proposed new section 227D.</w:t>
      </w:r>
      <w:r w:rsidR="00D4681C">
        <w:rPr>
          <w:rStyle w:val="FootnoteReference"/>
        </w:rPr>
        <w:footnoteReference w:id="9"/>
      </w:r>
    </w:p>
    <w:p w14:paraId="0A393EB4" w14:textId="1407CB0A" w:rsidR="0058099E" w:rsidRDefault="0058099E" w:rsidP="0058099E">
      <w:pPr>
        <w:pStyle w:val="Bullet1"/>
        <w:numPr>
          <w:ilvl w:val="0"/>
          <w:numId w:val="0"/>
        </w:numPr>
      </w:pPr>
      <w:r>
        <w:t>I understand the</w:t>
      </w:r>
      <w:r w:rsidR="0030388D">
        <w:t xml:space="preserve"> </w:t>
      </w:r>
      <w:r w:rsidR="0038161B">
        <w:t xml:space="preserve">public </w:t>
      </w:r>
      <w:r>
        <w:t xml:space="preserve">policy reason behind these proposed clauses is to limit the risk that </w:t>
      </w:r>
      <w:r w:rsidR="0030388D">
        <w:t>fishing operators</w:t>
      </w:r>
      <w:r>
        <w:t xml:space="preserve"> would be inhibited from providing</w:t>
      </w:r>
      <w:r w:rsidR="00FE39D7">
        <w:t xml:space="preserve"> camera recordings </w:t>
      </w:r>
      <w:r w:rsidR="00CB1E63">
        <w:t>or other</w:t>
      </w:r>
      <w:r w:rsidR="00FE39D7">
        <w:t xml:space="preserve"> meaningful</w:t>
      </w:r>
      <w:r>
        <w:t xml:space="preserve"> information</w:t>
      </w:r>
      <w:r w:rsidR="00FE39D7">
        <w:t>, including information</w:t>
      </w:r>
      <w:r>
        <w:t xml:space="preserve"> </w:t>
      </w:r>
      <w:r w:rsidR="00FE39D7">
        <w:t xml:space="preserve">about adverse interactions with protected species, </w:t>
      </w:r>
      <w:r>
        <w:t>to the Ministry</w:t>
      </w:r>
      <w:r w:rsidR="0030388D">
        <w:rPr>
          <w:rFonts w:cs="Calibri"/>
        </w:rPr>
        <w:t>—</w:t>
      </w:r>
      <w:r>
        <w:t>notwithstanding their statutory obligations to do so</w:t>
      </w:r>
      <w:r w:rsidR="0030388D">
        <w:rPr>
          <w:rFonts w:cs="Calibri"/>
        </w:rPr>
        <w:t>—</w:t>
      </w:r>
      <w:r>
        <w:t xml:space="preserve">out of fear that adverse publicity of such footage </w:t>
      </w:r>
      <w:r w:rsidR="00C17067">
        <w:t xml:space="preserve">under the OIA </w:t>
      </w:r>
      <w:r>
        <w:t xml:space="preserve">would detrimentally impact </w:t>
      </w:r>
      <w:r w:rsidR="00C17067">
        <w:t xml:space="preserve">themselves as operators, or </w:t>
      </w:r>
      <w:r>
        <w:t>the fishing industry</w:t>
      </w:r>
      <w:r w:rsidR="00C17067">
        <w:t xml:space="preserve"> more widely</w:t>
      </w:r>
      <w:r>
        <w:t xml:space="preserve">. </w:t>
      </w:r>
    </w:p>
    <w:p w14:paraId="4006A7B4" w14:textId="50BBF468" w:rsidR="0038161B" w:rsidRDefault="0038161B" w:rsidP="0038161B">
      <w:pPr>
        <w:pStyle w:val="Heading2"/>
      </w:pPr>
      <w:r>
        <w:t>Ombudsman’s observations on the proposed carve-outs</w:t>
      </w:r>
    </w:p>
    <w:p w14:paraId="3EC0F034" w14:textId="77777777" w:rsidR="00C17067" w:rsidRDefault="0058099E" w:rsidP="0058099E">
      <w:pPr>
        <w:pStyle w:val="BodyText"/>
      </w:pPr>
      <w:r w:rsidRPr="0058099E">
        <w:t>I</w:t>
      </w:r>
      <w:r w:rsidR="0038161B">
        <w:t xml:space="preserve">t appears to me </w:t>
      </w:r>
      <w:r w:rsidRPr="0058099E">
        <w:t xml:space="preserve">that the draft Bill </w:t>
      </w:r>
      <w:r w:rsidR="00C17067">
        <w:t>goes</w:t>
      </w:r>
      <w:r w:rsidRPr="0058099E">
        <w:t xml:space="preserve"> much further than is necessary to achieve the stated public policy aim. </w:t>
      </w:r>
    </w:p>
    <w:p w14:paraId="660CD5BA" w14:textId="74285C4E" w:rsidR="009E0990" w:rsidRDefault="00384CF4" w:rsidP="0058099E">
      <w:pPr>
        <w:pStyle w:val="BodyText"/>
      </w:pPr>
      <w:r>
        <w:t>The array of protective measures for such information</w:t>
      </w:r>
      <w:r w:rsidR="00CB1E63">
        <w:t xml:space="preserve"> proposed in the Bill</w:t>
      </w:r>
      <w:r>
        <w:rPr>
          <w:rFonts w:cs="Calibri"/>
        </w:rPr>
        <w:t>—</w:t>
      </w:r>
      <w:r>
        <w:t xml:space="preserve">including </w:t>
      </w:r>
      <w:r w:rsidR="005B132A">
        <w:t>removal of camera recordings from the scope</w:t>
      </w:r>
      <w:r w:rsidR="009E0990">
        <w:t xml:space="preserve"> of the OIA</w:t>
      </w:r>
      <w:r w:rsidR="005B132A">
        <w:t>,</w:t>
      </w:r>
      <w:r w:rsidR="009E0990">
        <w:t xml:space="preserve"> </w:t>
      </w:r>
      <w:r w:rsidR="00D2009C">
        <w:t xml:space="preserve">but also </w:t>
      </w:r>
      <w:r>
        <w:t>bespoke provisions criminalising unauthorised disclosure</w:t>
      </w:r>
      <w:r w:rsidR="00C17067">
        <w:t xml:space="preserve"> of such footage</w:t>
      </w:r>
      <w:r>
        <w:t xml:space="preserve"> caveats on disclosure to other government agencies </w:t>
      </w:r>
      <w:r w:rsidR="009E0990">
        <w:t xml:space="preserve">even where that disclosure is </w:t>
      </w:r>
      <w:r>
        <w:t xml:space="preserve">for </w:t>
      </w:r>
      <w:r w:rsidR="00C17067">
        <w:t xml:space="preserve">a </w:t>
      </w:r>
      <w:r>
        <w:t>proper purpose</w:t>
      </w:r>
      <w:r w:rsidR="005B132A">
        <w:t>,</w:t>
      </w:r>
      <w:r>
        <w:t xml:space="preserve"> and</w:t>
      </w:r>
      <w:r w:rsidR="00C17067">
        <w:t xml:space="preserve"> the imposition of</w:t>
      </w:r>
      <w:r>
        <w:t xml:space="preserve"> binding conditions </w:t>
      </w:r>
      <w:r w:rsidR="006E0C03">
        <w:t>as well as</w:t>
      </w:r>
      <w:r>
        <w:t xml:space="preserve"> punitive measures for non-compliance</w:t>
      </w:r>
      <w:r>
        <w:rPr>
          <w:rFonts w:cs="Calibri"/>
        </w:rPr>
        <w:t>—</w:t>
      </w:r>
      <w:r>
        <w:t>are quite extraordinary</w:t>
      </w:r>
      <w:r w:rsidR="00DD0FB7">
        <w:t>, and go well</w:t>
      </w:r>
      <w:r w:rsidR="00D2009C">
        <w:t xml:space="preserve"> beyond the protections afforded to </w:t>
      </w:r>
      <w:r w:rsidR="00DD0FB7">
        <w:t xml:space="preserve">information provided to </w:t>
      </w:r>
      <w:r w:rsidR="00D2009C">
        <w:t xml:space="preserve">other regulators. By way of example, I note: </w:t>
      </w:r>
    </w:p>
    <w:p w14:paraId="41E84C4C" w14:textId="77777777" w:rsidR="00D2009C" w:rsidRPr="0038161B" w:rsidRDefault="00D2009C" w:rsidP="00D2009C">
      <w:pPr>
        <w:pStyle w:val="Bullet1"/>
      </w:pPr>
      <w:r w:rsidRPr="0038161B">
        <w:t xml:space="preserve">Section 130 of the Deposit Takers Act 2023 provides that the Reserve Bank may make an order prohibiting the publication or communication of certain information, including information was provided or obtained in connection to an inquiry, investigation, or other proceeding of the Bank under that Act. However, such an order must not exceed 3 years (section 130(4) of the Act), and the OIA will re-apply to the information at the end of the prohibition period. </w:t>
      </w:r>
    </w:p>
    <w:p w14:paraId="07C3E2D1" w14:textId="08991618" w:rsidR="00D2009C" w:rsidRPr="0038161B" w:rsidRDefault="00D2009C" w:rsidP="00D2009C">
      <w:pPr>
        <w:pStyle w:val="Bullet1"/>
      </w:pPr>
      <w:r w:rsidRPr="0038161B">
        <w:t xml:space="preserve">Section 44 of the Financial Markets Authority Act 2011 provides that the </w:t>
      </w:r>
      <w:r w:rsidR="00FE39D7">
        <w:t>Financial Markets Authority</w:t>
      </w:r>
      <w:r w:rsidRPr="0038161B">
        <w:t xml:space="preserve"> may, at its own initiative or on application of any person, make an order prohibiting the publication or communication of information received in performing its functions, including information provided by informants. However, such an order only exists, at most, for the duration of the investigation, inquiry, or proceeding in question, and at its conclusion the OIA reapplies to the information at issue. </w:t>
      </w:r>
    </w:p>
    <w:p w14:paraId="00E1324A" w14:textId="77777777" w:rsidR="00D2009C" w:rsidRDefault="00D2009C" w:rsidP="00D2009C">
      <w:pPr>
        <w:pStyle w:val="Bullet1"/>
      </w:pPr>
      <w:r>
        <w:t>Section 198 of the Civil Aviation Act 2023 permits the Minister to make an order prohibiting the publication or communication of information obtained by the Ministry while investigating whether to grant an authorisation for international carriage by air. However, any such order lapses no later than 20 working days after the Minister determines the matter, or when an application is withdrawn by the applicant, and the OIA re-applies to that information.</w:t>
      </w:r>
    </w:p>
    <w:p w14:paraId="35170A10" w14:textId="2CEFFEAA" w:rsidR="00EB3AB2" w:rsidRPr="00EB3AB2" w:rsidRDefault="00CB1E63" w:rsidP="0058099E">
      <w:pPr>
        <w:pStyle w:val="BodyText"/>
      </w:pPr>
      <w:r>
        <w:t>In this context, the</w:t>
      </w:r>
      <w:r w:rsidR="00D2009C">
        <w:t xml:space="preserve"> proposed </w:t>
      </w:r>
      <w:r w:rsidR="00C3246A">
        <w:t xml:space="preserve">array of protections afforded to camera recordings under the Bill </w:t>
      </w:r>
      <w:r w:rsidR="009E0990">
        <w:t xml:space="preserve">appears to </w:t>
      </w:r>
      <w:r w:rsidR="00D2009C">
        <w:t>be</w:t>
      </w:r>
      <w:r w:rsidR="00384CF4">
        <w:t xml:space="preserve"> </w:t>
      </w:r>
      <w:r w:rsidR="006E0C03">
        <w:t xml:space="preserve">an </w:t>
      </w:r>
      <w:r w:rsidR="00C3246A">
        <w:t>extraordinary</w:t>
      </w:r>
      <w:r w:rsidR="00384CF4">
        <w:t xml:space="preserve"> </w:t>
      </w:r>
      <w:r w:rsidR="0058099E" w:rsidRPr="0058099E">
        <w:t>interference with the rights of New Zealanders</w:t>
      </w:r>
      <w:r w:rsidR="00A8690D">
        <w:t xml:space="preserve">. </w:t>
      </w:r>
      <w:r w:rsidR="0058099E" w:rsidRPr="0058099E">
        <w:t>This is because:</w:t>
      </w:r>
    </w:p>
    <w:p w14:paraId="44F1664D" w14:textId="1919FD38" w:rsidR="00EB3AB2" w:rsidRDefault="004D2B8B" w:rsidP="00264A20">
      <w:pPr>
        <w:pStyle w:val="Bullet1"/>
      </w:pPr>
      <w:r w:rsidRPr="00EB3AB2">
        <w:t>The OIA</w:t>
      </w:r>
      <w:r>
        <w:t xml:space="preserve"> has long been</w:t>
      </w:r>
      <w:r w:rsidRPr="00EB3AB2">
        <w:t xml:space="preserve"> recognised </w:t>
      </w:r>
      <w:r>
        <w:t xml:space="preserve">by the </w:t>
      </w:r>
      <w:r w:rsidR="00E724AC">
        <w:t>courts</w:t>
      </w:r>
      <w:r>
        <w:t xml:space="preserve"> </w:t>
      </w:r>
      <w:r w:rsidRPr="00EB3AB2">
        <w:t>as being constitutional in nature</w:t>
      </w:r>
      <w:r>
        <w:t>,</w:t>
      </w:r>
      <w:r>
        <w:rPr>
          <w:rStyle w:val="FootnoteReference"/>
        </w:rPr>
        <w:footnoteReference w:id="10"/>
      </w:r>
      <w:r>
        <w:t xml:space="preserve"> and the </w:t>
      </w:r>
      <w:r w:rsidR="00EB3AB2" w:rsidRPr="00EB3AB2">
        <w:t xml:space="preserve">ability to request information under the OIA is one of the ways individuals may exercise their freedom to seek and receive information, enshrined in section 14 of the New Zealand Bill of Rights Act 1990. </w:t>
      </w:r>
      <w:r w:rsidR="00A8690D">
        <w:t xml:space="preserve">As a constitutional </w:t>
      </w:r>
      <w:r>
        <w:t>mechanism</w:t>
      </w:r>
      <w:r w:rsidR="00A8690D">
        <w:t xml:space="preserve"> reflecting fundamental human rights, the OIA should not be departed from lightly.</w:t>
      </w:r>
      <w:r>
        <w:t xml:space="preserve"> </w:t>
      </w:r>
      <w:r w:rsidR="00E724AC">
        <w:t>The Legislation Design and Advisory Committee observes that the OIA should apply to information held by government agencies ‘</w:t>
      </w:r>
      <w:r w:rsidR="00E724AC" w:rsidRPr="00E724AC">
        <w:rPr>
          <w:i/>
          <w:iCs/>
        </w:rPr>
        <w:t xml:space="preserve">unless there are compelling reasons for </w:t>
      </w:r>
      <w:r w:rsidR="00E724AC">
        <w:rPr>
          <w:i/>
          <w:iCs/>
        </w:rPr>
        <w:t>[it]</w:t>
      </w:r>
      <w:r w:rsidR="00E724AC" w:rsidRPr="00E724AC">
        <w:rPr>
          <w:i/>
          <w:iCs/>
        </w:rPr>
        <w:t xml:space="preserve"> not to’</w:t>
      </w:r>
      <w:r w:rsidR="00E724AC">
        <w:t>.</w:t>
      </w:r>
      <w:r w:rsidR="00E724AC">
        <w:rPr>
          <w:rStyle w:val="FootnoteReference"/>
        </w:rPr>
        <w:footnoteReference w:id="11"/>
      </w:r>
      <w:r w:rsidR="00E724AC">
        <w:t xml:space="preserve"> </w:t>
      </w:r>
      <w:r w:rsidR="006E42C4">
        <w:t xml:space="preserve">In circumstances where the OIA already </w:t>
      </w:r>
      <w:r w:rsidR="00FE39D7">
        <w:t xml:space="preserve">protects </w:t>
      </w:r>
      <w:r w:rsidR="006E42C4">
        <w:t>the relevant interests</w:t>
      </w:r>
      <w:r w:rsidR="006E42C4">
        <w:rPr>
          <w:rFonts w:cs="Calibri"/>
        </w:rPr>
        <w:t xml:space="preserve">, </w:t>
      </w:r>
      <w:r w:rsidR="006E42C4">
        <w:t>only</w:t>
      </w:r>
      <w:r>
        <w:t xml:space="preserve"> an extraordinary </w:t>
      </w:r>
      <w:r w:rsidR="006E0C03">
        <w:t xml:space="preserve">harm to </w:t>
      </w:r>
      <w:r w:rsidR="006E42C4">
        <w:t>those</w:t>
      </w:r>
      <w:r w:rsidR="006E0C03">
        <w:t xml:space="preserve"> interest</w:t>
      </w:r>
      <w:r w:rsidR="006E42C4">
        <w:t>s</w:t>
      </w:r>
      <w:r>
        <w:t xml:space="preserve"> would justify a permanent </w:t>
      </w:r>
      <w:r w:rsidR="00E724AC">
        <w:t xml:space="preserve">exclusion of information from the scope </w:t>
      </w:r>
      <w:r>
        <w:t>of the OIA.</w:t>
      </w:r>
    </w:p>
    <w:p w14:paraId="486AA8B2" w14:textId="399D6A20" w:rsidR="002232D2" w:rsidRDefault="004D2B8B" w:rsidP="002232D2">
      <w:pPr>
        <w:pStyle w:val="Bullet1"/>
      </w:pPr>
      <w:r>
        <w:t>In</w:t>
      </w:r>
      <w:r w:rsidR="009510FC">
        <w:t xml:space="preserve"> </w:t>
      </w:r>
      <w:r w:rsidR="00A8690D">
        <w:t>the case of on-board camera footage, the</w:t>
      </w:r>
      <w:r w:rsidR="002232D2">
        <w:t xml:space="preserve"> OIA already provides mechanisms to withhold information where </w:t>
      </w:r>
      <w:r>
        <w:t>it</w:t>
      </w:r>
      <w:r w:rsidR="002232D2">
        <w:t xml:space="preserve"> is in the public interest to do so</w:t>
      </w:r>
      <w:r w:rsidR="006E3DE1">
        <w:t>:</w:t>
      </w:r>
    </w:p>
    <w:p w14:paraId="638E4D82" w14:textId="1629B0D5" w:rsidR="002232D2" w:rsidRDefault="002232D2" w:rsidP="009E0990">
      <w:pPr>
        <w:pStyle w:val="Bullet2"/>
      </w:pPr>
      <w:r w:rsidRPr="008A40EB">
        <w:t>Section 9(2)(</w:t>
      </w:r>
      <w:proofErr w:type="spellStart"/>
      <w:r w:rsidRPr="008A40EB">
        <w:t>ba</w:t>
      </w:r>
      <w:proofErr w:type="spellEnd"/>
      <w:r w:rsidRPr="008A40EB">
        <w:t xml:space="preserve">) of the </w:t>
      </w:r>
      <w:proofErr w:type="spellStart"/>
      <w:r w:rsidRPr="008A40EB">
        <w:t>OIA</w:t>
      </w:r>
      <w:proofErr w:type="spellEnd"/>
      <w:r w:rsidR="00956FB9">
        <w:t xml:space="preserve"> </w:t>
      </w:r>
      <w:r w:rsidR="006E3DE1">
        <w:t>protects</w:t>
      </w:r>
      <w:r w:rsidR="00956FB9">
        <w:t xml:space="preserve"> material </w:t>
      </w:r>
      <w:r w:rsidR="008A40EB">
        <w:t>held confidentially</w:t>
      </w:r>
      <w:r w:rsidR="00A8690D">
        <w:t xml:space="preserve"> by government agencies</w:t>
      </w:r>
      <w:r w:rsidR="008A40EB">
        <w:t xml:space="preserve">, including footage and </w:t>
      </w:r>
      <w:r w:rsidR="006E42C4">
        <w:t>data</w:t>
      </w:r>
      <w:r w:rsidR="008A40EB">
        <w:t xml:space="preserve"> </w:t>
      </w:r>
      <w:r w:rsidR="00956FB9">
        <w:t>that</w:t>
      </w:r>
      <w:r>
        <w:t xml:space="preserve"> fishing operators </w:t>
      </w:r>
      <w:r w:rsidR="00DD0FB7">
        <w:t xml:space="preserve">are compelled by law to </w:t>
      </w:r>
      <w:r>
        <w:t>supply</w:t>
      </w:r>
      <w:r w:rsidR="00956FB9">
        <w:t xml:space="preserve"> to</w:t>
      </w:r>
      <w:r>
        <w:t xml:space="preserve"> the Ministry</w:t>
      </w:r>
      <w:r w:rsidR="00DD0FB7">
        <w:t xml:space="preserve">, where its disclosure would </w:t>
      </w:r>
      <w:r w:rsidR="006E42C4">
        <w:t xml:space="preserve">be likely to </w:t>
      </w:r>
      <w:r w:rsidR="00DD0FB7">
        <w:t xml:space="preserve">prejudice </w:t>
      </w:r>
      <w:r w:rsidR="006E0C03">
        <w:t xml:space="preserve">the </w:t>
      </w:r>
      <w:r w:rsidR="00DD0FB7">
        <w:t xml:space="preserve">future supply </w:t>
      </w:r>
      <w:r w:rsidR="006E0C03">
        <w:t xml:space="preserve">of same or similar information, </w:t>
      </w:r>
      <w:r w:rsidR="00DD0FB7">
        <w:t xml:space="preserve">or would </w:t>
      </w:r>
      <w:r w:rsidR="006E42C4">
        <w:t xml:space="preserve">be likely </w:t>
      </w:r>
      <w:r w:rsidR="00DD0FB7">
        <w:t xml:space="preserve">otherwise </w:t>
      </w:r>
      <w:r w:rsidR="006E42C4">
        <w:t xml:space="preserve">to </w:t>
      </w:r>
      <w:r w:rsidR="00DD0FB7">
        <w:t>prejudice the public interest</w:t>
      </w:r>
      <w:r>
        <w:t>.</w:t>
      </w:r>
      <w:r w:rsidR="0071668A">
        <w:rPr>
          <w:rStyle w:val="FootnoteReference"/>
        </w:rPr>
        <w:footnoteReference w:id="12"/>
      </w:r>
      <w:r>
        <w:t xml:space="preserve"> </w:t>
      </w:r>
      <w:r w:rsidR="00956FB9" w:rsidRPr="00A8690D">
        <w:rPr>
          <w:rFonts w:cs="Calibri"/>
          <w:sz w:val="23"/>
          <w:szCs w:val="23"/>
        </w:rPr>
        <w:t>The need to protect on this basis is subject to the public interest test.</w:t>
      </w:r>
    </w:p>
    <w:p w14:paraId="72DF673A" w14:textId="0BF55926" w:rsidR="002232D2" w:rsidRDefault="00956FB9" w:rsidP="006E3DE1">
      <w:pPr>
        <w:pStyle w:val="Bullet2"/>
      </w:pPr>
      <w:r w:rsidRPr="00956FB9">
        <w:t xml:space="preserve">There may also be other reasons why it is necessary, on a case-by-case basis, to withhold </w:t>
      </w:r>
      <w:r w:rsidR="00CB1E63">
        <w:t>camera recordings</w:t>
      </w:r>
      <w:r w:rsidRPr="00956FB9">
        <w:t xml:space="preserve">. This </w:t>
      </w:r>
      <w:r w:rsidR="004D2B8B">
        <w:t>may</w:t>
      </w:r>
      <w:r w:rsidRPr="00956FB9">
        <w:t xml:space="preserve"> include the need to protect the privacy of individuals shown in the footage;</w:t>
      </w:r>
      <w:r>
        <w:rPr>
          <w:rStyle w:val="FootnoteReference"/>
        </w:rPr>
        <w:footnoteReference w:id="13"/>
      </w:r>
      <w:r w:rsidRPr="00956FB9">
        <w:t xml:space="preserve"> where disclosure </w:t>
      </w:r>
      <w:r w:rsidR="003C34C5">
        <w:t xml:space="preserve">of camera </w:t>
      </w:r>
      <w:r w:rsidR="00C11D71">
        <w:t>recordings</w:t>
      </w:r>
      <w:r w:rsidR="003C34C5">
        <w:t xml:space="preserve"> </w:t>
      </w:r>
      <w:r w:rsidRPr="00956FB9">
        <w:t>would be likely to prejudice an operator’s commercial position (for instance, by revealing where they undertake their fishing activities or how they configure</w:t>
      </w:r>
      <w:r w:rsidRPr="00956FB9">
        <w:rPr>
          <w:rFonts w:cs="Calibri"/>
          <w:sz w:val="23"/>
          <w:szCs w:val="23"/>
        </w:rPr>
        <w:t xml:space="preserve"> </w:t>
      </w:r>
      <w:r w:rsidRPr="00956FB9">
        <w:t>their equipment);</w:t>
      </w:r>
      <w:r>
        <w:rPr>
          <w:rStyle w:val="FootnoteReference"/>
        </w:rPr>
        <w:footnoteReference w:id="14"/>
      </w:r>
      <w:r w:rsidRPr="00956FB9">
        <w:t xml:space="preserve"> or to prevent the disclosure or use of official information for improper gain or improper advantage.</w:t>
      </w:r>
      <w:r>
        <w:rPr>
          <w:rStyle w:val="FootnoteReference"/>
        </w:rPr>
        <w:footnoteReference w:id="15"/>
      </w:r>
      <w:r w:rsidRPr="00956FB9">
        <w:t xml:space="preserve"> These reasons are subject to the public interest test.</w:t>
      </w:r>
    </w:p>
    <w:p w14:paraId="60C2A311" w14:textId="79F7140C" w:rsidR="002232D2" w:rsidRPr="002232D2" w:rsidRDefault="002232D2" w:rsidP="002232D2">
      <w:pPr>
        <w:pStyle w:val="Bullet2"/>
      </w:pPr>
      <w:r w:rsidRPr="002232D2">
        <w:t xml:space="preserve">Withholding </w:t>
      </w:r>
      <w:r w:rsidR="00C11D71">
        <w:t>camera recordings</w:t>
      </w:r>
      <w:r w:rsidRPr="002232D2">
        <w:t xml:space="preserve"> also </w:t>
      </w:r>
      <w:r w:rsidR="004D2B8B" w:rsidRPr="002232D2">
        <w:t xml:space="preserve">may </w:t>
      </w:r>
      <w:r w:rsidRPr="002232D2">
        <w:t xml:space="preserve">be justified where </w:t>
      </w:r>
      <w:r w:rsidR="006A3D3A">
        <w:t>doing so</w:t>
      </w:r>
      <w:r w:rsidRPr="002232D2">
        <w:t xml:space="preserve"> is necessary to protect the maintenance of the law,</w:t>
      </w:r>
      <w:r w:rsidR="00527CFF">
        <w:rPr>
          <w:rStyle w:val="FootnoteReference"/>
        </w:rPr>
        <w:footnoteReference w:id="16"/>
      </w:r>
      <w:r w:rsidRPr="002232D2">
        <w:t xml:space="preserve"> including where court proceedings are in train or are reasonably in contemplation. This ground is not subject to the public interest test. It</w:t>
      </w:r>
      <w:r w:rsidR="00527CFF">
        <w:t>s application</w:t>
      </w:r>
      <w:r w:rsidRPr="002232D2">
        <w:t xml:space="preserve"> is often time-limited, and the need to withhold on this basis may disappear at the conclusion of an investigation or prosecution</w:t>
      </w:r>
      <w:r w:rsidR="00B74FFC">
        <w:t>.</w:t>
      </w:r>
      <w:r>
        <w:t xml:space="preserve"> </w:t>
      </w:r>
    </w:p>
    <w:p w14:paraId="1921456E" w14:textId="543504A4" w:rsidR="009E6594" w:rsidRDefault="006E0C03" w:rsidP="008A40EB">
      <w:pPr>
        <w:pStyle w:val="Bullet1"/>
      </w:pPr>
      <w:r>
        <w:t>In addition,</w:t>
      </w:r>
      <w:r w:rsidR="009E6594">
        <w:t xml:space="preserve"> I </w:t>
      </w:r>
      <w:r w:rsidR="003E2D32">
        <w:t>observe</w:t>
      </w:r>
      <w:r w:rsidR="009E6594">
        <w:t>:</w:t>
      </w:r>
    </w:p>
    <w:p w14:paraId="0C2D1FB5" w14:textId="3A2B09FD" w:rsidR="009E6594" w:rsidRDefault="009E6594" w:rsidP="009E6594">
      <w:pPr>
        <w:pStyle w:val="Bullet2"/>
      </w:pPr>
      <w:r>
        <w:t>T</w:t>
      </w:r>
      <w:r w:rsidR="006E0C03">
        <w:t>he</w:t>
      </w:r>
      <w:r w:rsidR="008A40EB">
        <w:t xml:space="preserve"> OIA</w:t>
      </w:r>
      <w:r>
        <w:t xml:space="preserve"> a</w:t>
      </w:r>
      <w:r w:rsidR="006E0C03">
        <w:t>lready p</w:t>
      </w:r>
      <w:r w:rsidR="00527CFF">
        <w:t>ermits the release of o</w:t>
      </w:r>
      <w:r w:rsidR="004D2B8B">
        <w:t>fficial</w:t>
      </w:r>
      <w:r w:rsidR="008A40EB">
        <w:t xml:space="preserve"> information subject to conditions on the </w:t>
      </w:r>
      <w:r w:rsidR="008A40EB" w:rsidRPr="008A40EB">
        <w:t>use, communication, or publication of information</w:t>
      </w:r>
      <w:r w:rsidR="008A40EB">
        <w:t>. While the ability to impose such conditions is not express</w:t>
      </w:r>
      <w:r w:rsidR="00527CFF">
        <w:t>ly provided for in the OIA</w:t>
      </w:r>
      <w:r w:rsidR="005102CB">
        <w:t>,</w:t>
      </w:r>
      <w:r w:rsidR="00A061A4">
        <w:t xml:space="preserve"> it is implicitly </w:t>
      </w:r>
      <w:r w:rsidR="005102CB">
        <w:t>contemplated</w:t>
      </w:r>
      <w:r w:rsidR="008A40EB">
        <w:t xml:space="preserve">, </w:t>
      </w:r>
      <w:r w:rsidR="00A061A4">
        <w:t xml:space="preserve">as </w:t>
      </w:r>
      <w:r w:rsidR="0071668A">
        <w:t xml:space="preserve">the </w:t>
      </w:r>
      <w:r w:rsidR="008A40EB">
        <w:t>parties upon whom conditions are imposed may ask the Ombudsman to review those conditions under the OIA</w:t>
      </w:r>
      <w:r w:rsidR="006E42C4">
        <w:t>;</w:t>
      </w:r>
      <w:r w:rsidR="008A40EB">
        <w:rPr>
          <w:rStyle w:val="FootnoteReference"/>
        </w:rPr>
        <w:footnoteReference w:id="17"/>
      </w:r>
    </w:p>
    <w:p w14:paraId="5D939FF6" w14:textId="1816BC63" w:rsidR="00357664" w:rsidRDefault="009E6594" w:rsidP="009E6594">
      <w:pPr>
        <w:pStyle w:val="Bullet2"/>
      </w:pPr>
      <w:r>
        <w:t>The OIA already p</w:t>
      </w:r>
      <w:r w:rsidR="00B74FFC">
        <w:t>rotect</w:t>
      </w:r>
      <w:r w:rsidR="00527CFF">
        <w:t>s</w:t>
      </w:r>
      <w:r w:rsidR="00B74FFC">
        <w:t xml:space="preserve"> </w:t>
      </w:r>
      <w:r w:rsidR="008A40EB">
        <w:t>the Crown from liability for disclosure made pursuant to the OIA</w:t>
      </w:r>
      <w:r w:rsidR="0071668A">
        <w:t xml:space="preserve">, where </w:t>
      </w:r>
      <w:r w:rsidR="00527CFF">
        <w:t>that disclosure</w:t>
      </w:r>
      <w:r w:rsidR="0071668A">
        <w:t xml:space="preserve"> is done</w:t>
      </w:r>
      <w:r w:rsidR="00527CFF">
        <w:t xml:space="preserve"> pursuant to a request and</w:t>
      </w:r>
      <w:r w:rsidR="0071668A">
        <w:t xml:space="preserve"> in good faith</w:t>
      </w:r>
      <w:r w:rsidR="00357664">
        <w:t>.</w:t>
      </w:r>
      <w:r w:rsidR="008A40EB">
        <w:rPr>
          <w:rStyle w:val="FootnoteReference"/>
        </w:rPr>
        <w:footnoteReference w:id="18"/>
      </w:r>
    </w:p>
    <w:p w14:paraId="5904C106" w14:textId="26FD9725" w:rsidR="002232D2" w:rsidRDefault="009E6594" w:rsidP="009E6594">
      <w:pPr>
        <w:pStyle w:val="Bullet2"/>
      </w:pPr>
      <w:r>
        <w:t>Conversely, u</w:t>
      </w:r>
      <w:r w:rsidR="00B74FFC">
        <w:t>nauthorised disclosure of official information is already prohibited under the Summary Offences Act 1981,</w:t>
      </w:r>
      <w:r w:rsidR="00B74FFC">
        <w:rPr>
          <w:rStyle w:val="FootnoteReference"/>
        </w:rPr>
        <w:footnoteReference w:id="19"/>
      </w:r>
      <w:r w:rsidR="00B74FFC">
        <w:t xml:space="preserve"> and corrupt use of official information is criminalised under the Crimes Act 1961.</w:t>
      </w:r>
      <w:r w:rsidR="00B74FFC">
        <w:rPr>
          <w:rStyle w:val="FootnoteReference"/>
        </w:rPr>
        <w:footnoteReference w:id="20"/>
      </w:r>
    </w:p>
    <w:p w14:paraId="2C92CBA2" w14:textId="7AACD443" w:rsidR="009510FC" w:rsidRDefault="009510FC" w:rsidP="009E6594">
      <w:pPr>
        <w:pStyle w:val="Bullet2"/>
      </w:pPr>
      <w:r>
        <w:t>Section 8 of the Fisheries Act states the legislation is intended to ‘</w:t>
      </w:r>
      <w:r w:rsidRPr="0071668A">
        <w:rPr>
          <w:i/>
          <w:iCs/>
        </w:rPr>
        <w:t>provide for the utilisation of fisheries resources while ensuring sustainability</w:t>
      </w:r>
      <w:r>
        <w:rPr>
          <w:i/>
          <w:iCs/>
        </w:rPr>
        <w:t>’.</w:t>
      </w:r>
      <w:r w:rsidRPr="0071668A">
        <w:rPr>
          <w:rStyle w:val="FootnoteReference"/>
        </w:rPr>
        <w:footnoteReference w:id="21"/>
      </w:r>
      <w:r>
        <w:t xml:space="preserve"> </w:t>
      </w:r>
      <w:r w:rsidR="00527CFF">
        <w:t>The Act recognises the strong public interest</w:t>
      </w:r>
      <w:r w:rsidR="009E6594">
        <w:t>s</w:t>
      </w:r>
      <w:r>
        <w:t xml:space="preserve"> both </w:t>
      </w:r>
      <w:r w:rsidR="006E0C03">
        <w:t xml:space="preserve">in </w:t>
      </w:r>
      <w:r w:rsidR="004D2B8B">
        <w:t xml:space="preserve">the </w:t>
      </w:r>
      <w:r>
        <w:t>proper utilisation of the fishing resource</w:t>
      </w:r>
      <w:r w:rsidR="004D2B8B">
        <w:t>,</w:t>
      </w:r>
      <w:r>
        <w:t xml:space="preserve"> and in ensuring </w:t>
      </w:r>
      <w:r w:rsidR="00FD08B0">
        <w:t>the</w:t>
      </w:r>
      <w:r>
        <w:t xml:space="preserve"> </w:t>
      </w:r>
      <w:r w:rsidR="004D2B8B">
        <w:t xml:space="preserve">intergenerational </w:t>
      </w:r>
      <w:r>
        <w:t>sustainability</w:t>
      </w:r>
      <w:r w:rsidR="00FD08B0">
        <w:t xml:space="preserve"> of the resource</w:t>
      </w:r>
      <w:r>
        <w:t xml:space="preserve">. Precluding the public even from </w:t>
      </w:r>
      <w:r w:rsidRPr="009510FC">
        <w:rPr>
          <w:i/>
          <w:iCs/>
        </w:rPr>
        <w:t>requesting</w:t>
      </w:r>
      <w:r>
        <w:t xml:space="preserve"> on-board camera footage means </w:t>
      </w:r>
      <w:r w:rsidR="005102CB">
        <w:t>that the</w:t>
      </w:r>
      <w:r w:rsidR="00527CFF">
        <w:t xml:space="preserve"> public</w:t>
      </w:r>
      <w:r>
        <w:t xml:space="preserve"> </w:t>
      </w:r>
      <w:r w:rsidR="00F86054">
        <w:t>cannot assure itself</w:t>
      </w:r>
      <w:r w:rsidR="00430E6F">
        <w:rPr>
          <w:rFonts w:cs="Calibri"/>
        </w:rPr>
        <w:t>—</w:t>
      </w:r>
      <w:r w:rsidR="00F86054">
        <w:t>either</w:t>
      </w:r>
      <w:r w:rsidR="004D2B8B">
        <w:t xml:space="preserve"> </w:t>
      </w:r>
      <w:r w:rsidR="00430E6F">
        <w:t>through</w:t>
      </w:r>
      <w:r w:rsidR="004D2B8B">
        <w:t xml:space="preserve"> release </w:t>
      </w:r>
      <w:r w:rsidR="00527CFF">
        <w:t>of information</w:t>
      </w:r>
      <w:r w:rsidR="00946EA6">
        <w:t xml:space="preserve"> (including through the requester viewing it under conditions)</w:t>
      </w:r>
      <w:r w:rsidR="00430E6F">
        <w:t xml:space="preserve">, </w:t>
      </w:r>
      <w:r w:rsidR="004D2B8B">
        <w:t xml:space="preserve">or through </w:t>
      </w:r>
      <w:r w:rsidR="00430E6F">
        <w:t>the opinion of</w:t>
      </w:r>
      <w:r>
        <w:t xml:space="preserve"> the Ombudsman </w:t>
      </w:r>
      <w:r w:rsidR="00430E6F">
        <w:t xml:space="preserve">that </w:t>
      </w:r>
      <w:r w:rsidR="005102CB">
        <w:t xml:space="preserve">withholding it is justified because </w:t>
      </w:r>
      <w:r w:rsidR="00430E6F">
        <w:t xml:space="preserve">the public interest </w:t>
      </w:r>
      <w:r w:rsidR="00946EA6">
        <w:t xml:space="preserve">in disclosure of the raw footage </w:t>
      </w:r>
      <w:r w:rsidR="00430E6F">
        <w:t xml:space="preserve">does not outweigh the need to protect </w:t>
      </w:r>
      <w:r w:rsidR="00946EA6">
        <w:t>it</w:t>
      </w:r>
      <w:r w:rsidR="00430E6F">
        <w:rPr>
          <w:rFonts w:cs="Calibri"/>
        </w:rPr>
        <w:t>—</w:t>
      </w:r>
      <w:r w:rsidR="00FD08B0">
        <w:t xml:space="preserve">that </w:t>
      </w:r>
      <w:r w:rsidR="00946EA6">
        <w:t>the</w:t>
      </w:r>
      <w:r w:rsidR="00F91740">
        <w:t xml:space="preserve"> summary of the incident or event published by the Ministry under its current policy settings sufficiently reflects </w:t>
      </w:r>
      <w:r w:rsidR="00946EA6">
        <w:t xml:space="preserve">the </w:t>
      </w:r>
      <w:r w:rsidR="00F91740">
        <w:t>reality</w:t>
      </w:r>
      <w:r w:rsidR="00946EA6">
        <w:t xml:space="preserve"> of the event</w:t>
      </w:r>
      <w:r w:rsidR="00FD08B0">
        <w:t>.</w:t>
      </w:r>
      <w:r w:rsidR="00F91740">
        <w:rPr>
          <w:rStyle w:val="FootnoteReference"/>
        </w:rPr>
        <w:footnoteReference w:id="22"/>
      </w:r>
      <w:r w:rsidR="003C34C5">
        <w:t xml:space="preserve"> The public </w:t>
      </w:r>
      <w:r w:rsidR="00675E07">
        <w:t xml:space="preserve">is </w:t>
      </w:r>
      <w:r w:rsidR="00B76952">
        <w:t xml:space="preserve">thereby </w:t>
      </w:r>
      <w:r w:rsidR="00675E07">
        <w:t>deprived of</w:t>
      </w:r>
      <w:r w:rsidR="003C34C5">
        <w:t xml:space="preserve"> an opportunity</w:t>
      </w:r>
      <w:r w:rsidR="005102CB">
        <w:t xml:space="preserve"> to</w:t>
      </w:r>
      <w:r w:rsidR="003C34C5">
        <w:t xml:space="preserve"> </w:t>
      </w:r>
      <w:r w:rsidR="005102CB">
        <w:t xml:space="preserve">satisfy itself that </w:t>
      </w:r>
      <w:r w:rsidR="00463345" w:rsidRPr="00D42103">
        <w:t xml:space="preserve">the Act is working as intended </w:t>
      </w:r>
      <w:r w:rsidR="00463345">
        <w:t xml:space="preserve">and that </w:t>
      </w:r>
      <w:r w:rsidR="00BE04B3">
        <w:t>t</w:t>
      </w:r>
      <w:r w:rsidR="00463345" w:rsidRPr="00D42103">
        <w:t>he Ministry is properly discharging its regulatory functions under the Act.</w:t>
      </w:r>
    </w:p>
    <w:p w14:paraId="084F33AA" w14:textId="7A3C0DB2" w:rsidR="00FE08A6" w:rsidRDefault="00FE08A6" w:rsidP="009E6594">
      <w:pPr>
        <w:pStyle w:val="Bullet2"/>
      </w:pPr>
      <w:r>
        <w:t xml:space="preserve">The Crown is already the </w:t>
      </w:r>
      <w:r w:rsidR="003E2D32">
        <w:t>final</w:t>
      </w:r>
      <w:r>
        <w:t xml:space="preserve"> arbiter of what is </w:t>
      </w:r>
      <w:r w:rsidR="008673C2">
        <w:t xml:space="preserve">ultimately </w:t>
      </w:r>
      <w:r>
        <w:t xml:space="preserve">released under the OIA. Even if an Ombudsman were to investigate the </w:t>
      </w:r>
      <w:r w:rsidR="008673C2">
        <w:t xml:space="preserve">Ministry’s </w:t>
      </w:r>
      <w:r>
        <w:t xml:space="preserve">withholding of </w:t>
      </w:r>
      <w:r w:rsidR="00463345">
        <w:t xml:space="preserve">camera recordings </w:t>
      </w:r>
      <w:r w:rsidR="008673C2">
        <w:t>on complaint</w:t>
      </w:r>
      <w:r>
        <w:t xml:space="preserve"> under the OIA</w:t>
      </w:r>
      <w:r w:rsidR="00F86054">
        <w:t xml:space="preserve"> </w:t>
      </w:r>
      <w:r w:rsidR="00463345">
        <w:t xml:space="preserve">and </w:t>
      </w:r>
      <w:r w:rsidR="0030499F">
        <w:t xml:space="preserve">was </w:t>
      </w:r>
      <w:r w:rsidR="008673C2">
        <w:t>inclined to recommend release of it</w:t>
      </w:r>
      <w:r>
        <w:t>:</w:t>
      </w:r>
    </w:p>
    <w:p w14:paraId="2CD03ADF" w14:textId="09D401B7" w:rsidR="00FE08A6" w:rsidRDefault="00FE08A6" w:rsidP="009E6594">
      <w:pPr>
        <w:pStyle w:val="Bullet3"/>
      </w:pPr>
      <w:r>
        <w:t>If the government believes that disclosure would prejudice the maintenance of the law, the Attorney-General may certify that the making available of the footage would be likely to prejudice the prevention, investigation</w:t>
      </w:r>
      <w:r w:rsidR="00946EA6">
        <w:t>,</w:t>
      </w:r>
      <w:r>
        <w:t xml:space="preserve"> or detection of offences, and thereby preclude the Ombudsman from recommending its release, pursuant to section 31(b) of the </w:t>
      </w:r>
      <w:proofErr w:type="gramStart"/>
      <w:r>
        <w:t>OIA;</w:t>
      </w:r>
      <w:proofErr w:type="gramEnd"/>
    </w:p>
    <w:p w14:paraId="4FACABC9" w14:textId="587779EB" w:rsidR="00FE08A6" w:rsidRPr="00EB3AB2" w:rsidRDefault="00FE08A6" w:rsidP="009E6594">
      <w:pPr>
        <w:pStyle w:val="Bullet3"/>
      </w:pPr>
      <w:r>
        <w:t xml:space="preserve">If the Ombudsman </w:t>
      </w:r>
      <w:r w:rsidR="008673C2">
        <w:t xml:space="preserve">ultimately </w:t>
      </w:r>
      <w:r>
        <w:t>recommend</w:t>
      </w:r>
      <w:r w:rsidR="00946EA6">
        <w:t>s</w:t>
      </w:r>
      <w:r>
        <w:t xml:space="preserve"> release of information</w:t>
      </w:r>
      <w:r w:rsidR="00946EA6">
        <w:t xml:space="preserve">, including camera </w:t>
      </w:r>
      <w:r w:rsidR="00463345">
        <w:t>recordings</w:t>
      </w:r>
      <w:r>
        <w:t xml:space="preserve">, the Minister may ask Cabinet to resolve that the Governor-General, by Order in Council, direct </w:t>
      </w:r>
      <w:r w:rsidR="008673C2">
        <w:t>t</w:t>
      </w:r>
      <w:r>
        <w:t>he Ministry not to follow the Ombudsman’s recommendation, pursuant to section 32</w:t>
      </w:r>
      <w:r w:rsidR="008673C2">
        <w:t>(1)(a)</w:t>
      </w:r>
      <w:r>
        <w:t xml:space="preserve"> of the OIA. </w:t>
      </w:r>
    </w:p>
    <w:p w14:paraId="010DF7A6" w14:textId="77777777" w:rsidR="008673C2" w:rsidRDefault="0071668A" w:rsidP="0071668A">
      <w:pPr>
        <w:pStyle w:val="BodyText"/>
      </w:pPr>
      <w:r>
        <w:t xml:space="preserve">In </w:t>
      </w:r>
      <w:r w:rsidR="009510FC">
        <w:t>the circumstances set out above,</w:t>
      </w:r>
      <w:r>
        <w:t xml:space="preserve"> </w:t>
      </w:r>
      <w:r w:rsidR="008673C2">
        <w:t xml:space="preserve">the </w:t>
      </w:r>
      <w:r>
        <w:t xml:space="preserve">blanket carve-out </w:t>
      </w:r>
      <w:r w:rsidR="008673C2">
        <w:t xml:space="preserve">from the OIA </w:t>
      </w:r>
      <w:r>
        <w:t xml:space="preserve">and </w:t>
      </w:r>
      <w:r w:rsidR="008673C2">
        <w:t xml:space="preserve">other </w:t>
      </w:r>
      <w:r>
        <w:t>express prohibition</w:t>
      </w:r>
      <w:r w:rsidR="008673C2">
        <w:t>s</w:t>
      </w:r>
      <w:r>
        <w:t xml:space="preserve"> from disclosure appear unnecessary and excessive. </w:t>
      </w:r>
    </w:p>
    <w:p w14:paraId="7AEB49DA" w14:textId="74DB3654" w:rsidR="00541164" w:rsidRDefault="009510FC" w:rsidP="0071668A">
      <w:pPr>
        <w:pStyle w:val="BodyText"/>
      </w:pPr>
      <w:r>
        <w:t xml:space="preserve">I therefore suggest the Committee consider </w:t>
      </w:r>
      <w:r w:rsidR="00FD08B0">
        <w:t xml:space="preserve">recommending the </w:t>
      </w:r>
      <w:r w:rsidR="004D2B8B">
        <w:t>removing</w:t>
      </w:r>
      <w:r>
        <w:t xml:space="preserve"> </w:t>
      </w:r>
      <w:r w:rsidR="00FD08B0">
        <w:t xml:space="preserve">of </w:t>
      </w:r>
      <w:r w:rsidR="008673C2">
        <w:t>these clauses</w:t>
      </w:r>
      <w:r>
        <w:t xml:space="preserve">. </w:t>
      </w:r>
      <w:r w:rsidR="00541164">
        <w:t xml:space="preserve">The OIA </w:t>
      </w:r>
      <w:r w:rsidR="008673C2">
        <w:t xml:space="preserve">has proven itself capable of </w:t>
      </w:r>
      <w:r w:rsidR="00946EA6">
        <w:t>affording</w:t>
      </w:r>
      <w:r w:rsidR="00541164">
        <w:t xml:space="preserve"> sufficient protection </w:t>
      </w:r>
      <w:r w:rsidR="008673C2">
        <w:t>to</w:t>
      </w:r>
      <w:r w:rsidR="00541164">
        <w:t xml:space="preserve"> </w:t>
      </w:r>
      <w:r w:rsidR="008D216B">
        <w:t xml:space="preserve">such </w:t>
      </w:r>
      <w:r w:rsidR="00541164">
        <w:t xml:space="preserve">information where it warrants protection, </w:t>
      </w:r>
      <w:r w:rsidR="00463345">
        <w:t xml:space="preserve">particularly where </w:t>
      </w:r>
      <w:r w:rsidR="00333242">
        <w:t>the</w:t>
      </w:r>
      <w:r w:rsidR="00463345">
        <w:t xml:space="preserve"> Ministry</w:t>
      </w:r>
      <w:r w:rsidR="0030499F">
        <w:t xml:space="preserve"> otherwise</w:t>
      </w:r>
      <w:r w:rsidR="00463345">
        <w:t xml:space="preserve"> has a regime for </w:t>
      </w:r>
      <w:r w:rsidR="00333242">
        <w:t>release</w:t>
      </w:r>
      <w:r w:rsidR="00463345">
        <w:t xml:space="preserve"> of information</w:t>
      </w:r>
      <w:r w:rsidR="00541164">
        <w:rPr>
          <w:rFonts w:cs="Calibri"/>
        </w:rPr>
        <w:t>—</w:t>
      </w:r>
      <w:r w:rsidR="00541164">
        <w:t xml:space="preserve">including information </w:t>
      </w:r>
      <w:r w:rsidR="00946EA6">
        <w:t xml:space="preserve">in reports on </w:t>
      </w:r>
      <w:r w:rsidR="00541164">
        <w:t>about adverse species interactions</w:t>
      </w:r>
      <w:r w:rsidR="00541164">
        <w:rPr>
          <w:rFonts w:cs="Calibri"/>
        </w:rPr>
        <w:t>—</w:t>
      </w:r>
      <w:r w:rsidR="00463345">
        <w:rPr>
          <w:rFonts w:cs="Calibri"/>
        </w:rPr>
        <w:t>which appears</w:t>
      </w:r>
      <w:r w:rsidR="00541164">
        <w:t xml:space="preserve"> to meet in the public interest in all but the </w:t>
      </w:r>
      <w:r w:rsidR="00FD08B0">
        <w:t xml:space="preserve">most </w:t>
      </w:r>
      <w:r w:rsidR="00541164">
        <w:t xml:space="preserve">extraordinary </w:t>
      </w:r>
      <w:r w:rsidR="00C35362">
        <w:t xml:space="preserve">(and, thus far, </w:t>
      </w:r>
      <w:r w:rsidR="00946EA6">
        <w:t xml:space="preserve">solely </w:t>
      </w:r>
      <w:r w:rsidR="00C35362">
        <w:t xml:space="preserve">theoretical) </w:t>
      </w:r>
      <w:r w:rsidR="00541164">
        <w:t xml:space="preserve">cases. </w:t>
      </w:r>
      <w:r w:rsidR="00CC7FC7">
        <w:t>The fact is that</w:t>
      </w:r>
      <w:r w:rsidR="00A54BDC">
        <w:t>,</w:t>
      </w:r>
      <w:r w:rsidR="00CC7FC7">
        <w:t xml:space="preserve"> while this regime has been in existence, there have been only a handful of complaints under the OIA, and the Ombudsmen have not </w:t>
      </w:r>
      <w:r w:rsidR="008A5B78">
        <w:t>been required</w:t>
      </w:r>
      <w:r w:rsidR="00CC7FC7">
        <w:t xml:space="preserve"> to recommend the release of any camera recording</w:t>
      </w:r>
      <w:r w:rsidR="008A5B78">
        <w:t xml:space="preserve"> in full</w:t>
      </w:r>
      <w:r w:rsidR="00CC7FC7">
        <w:t>.</w:t>
      </w:r>
    </w:p>
    <w:p w14:paraId="7D80FB9A" w14:textId="787BD5B6" w:rsidR="00C35362" w:rsidRDefault="00C35362" w:rsidP="00C35362">
      <w:pPr>
        <w:pStyle w:val="BodyText"/>
      </w:pPr>
      <w:r>
        <w:t xml:space="preserve">I have already made it clear to the Ministry and Minister that, if the fishing industry </w:t>
      </w:r>
      <w:r w:rsidR="00946EA6">
        <w:t>needs</w:t>
      </w:r>
      <w:r>
        <w:t xml:space="preserve"> an</w:t>
      </w:r>
      <w:r w:rsidR="00C54CCC">
        <w:t xml:space="preserve"> additional</w:t>
      </w:r>
      <w:r>
        <w:t xml:space="preserve"> assurance that priva</w:t>
      </w:r>
      <w:r w:rsidR="00FD08B0">
        <w:t>te</w:t>
      </w:r>
      <w:r>
        <w:t xml:space="preserve"> or commercially sensitive material will be afforded proper protection under the OIA, I </w:t>
      </w:r>
      <w:r w:rsidR="00946EA6">
        <w:t xml:space="preserve">am prepared </w:t>
      </w:r>
      <w:r>
        <w:t xml:space="preserve">to publish </w:t>
      </w:r>
      <w:r w:rsidR="00C54CCC">
        <w:t>guidance material</w:t>
      </w:r>
      <w:r>
        <w:t xml:space="preserve"> to that effect, explaining how the OIA applies to such information and what grounds are available to protect information</w:t>
      </w:r>
      <w:r w:rsidR="00946EA6">
        <w:t xml:space="preserve">. I have already </w:t>
      </w:r>
      <w:r w:rsidR="00A50231">
        <w:t xml:space="preserve">socialised an early version of </w:t>
      </w:r>
      <w:r w:rsidR="00C54CCC">
        <w:t>such guidance</w:t>
      </w:r>
      <w:r w:rsidR="00A50231">
        <w:t xml:space="preserve"> with the Ministry during discussions on the policy underpinning the Bill</w:t>
      </w:r>
      <w:r>
        <w:t>.</w:t>
      </w:r>
      <w:r w:rsidR="00C54CCC">
        <w:t xml:space="preserve"> I have </w:t>
      </w:r>
      <w:r w:rsidR="00C54CCC" w:rsidRPr="00C54CCC">
        <w:rPr>
          <w:b/>
          <w:bCs/>
        </w:rPr>
        <w:t>appended</w:t>
      </w:r>
      <w:r w:rsidR="00C54CCC">
        <w:t xml:space="preserve"> some thoughts on the possible contents of such guidance</w:t>
      </w:r>
      <w:r w:rsidR="00C50094">
        <w:t>, should the OIA continue to apply to camera recordings.</w:t>
      </w:r>
    </w:p>
    <w:p w14:paraId="397575C7" w14:textId="7A5AE1C5" w:rsidR="00C35362" w:rsidRDefault="00C35362" w:rsidP="0071668A">
      <w:pPr>
        <w:pStyle w:val="BodyText"/>
      </w:pPr>
      <w:r>
        <w:t>By</w:t>
      </w:r>
      <w:r w:rsidR="00D446C1">
        <w:t xml:space="preserve"> affording</w:t>
      </w:r>
      <w:r>
        <w:t xml:space="preserve"> absolute protection to </w:t>
      </w:r>
      <w:r w:rsidRPr="00D446C1">
        <w:rPr>
          <w:b/>
          <w:bCs/>
          <w:i/>
          <w:iCs/>
        </w:rPr>
        <w:t>all</w:t>
      </w:r>
      <w:r>
        <w:t xml:space="preserve"> </w:t>
      </w:r>
      <w:r w:rsidR="00C50094">
        <w:t>camera recordings</w:t>
      </w:r>
      <w:r>
        <w:rPr>
          <w:rFonts w:cs="Calibri"/>
        </w:rPr>
        <w:t>—</w:t>
      </w:r>
      <w:r w:rsidR="00C50094">
        <w:t>including</w:t>
      </w:r>
      <w:r w:rsidR="00C54CCC">
        <w:t xml:space="preserve"> the</w:t>
      </w:r>
      <w:r>
        <w:t xml:space="preserve"> footage the OIA </w:t>
      </w:r>
      <w:r w:rsidR="00C54CCC">
        <w:t xml:space="preserve">already </w:t>
      </w:r>
      <w:r>
        <w:t>protect</w:t>
      </w:r>
      <w:r w:rsidR="00C54CCC">
        <w:t xml:space="preserve">s </w:t>
      </w:r>
      <w:r w:rsidR="00304E0C">
        <w:t>but also</w:t>
      </w:r>
      <w:r w:rsidR="00C54CCC">
        <w:t xml:space="preserve"> footage that the</w:t>
      </w:r>
      <w:r w:rsidR="00C50094">
        <w:t xml:space="preserve"> on-board camera footage</w:t>
      </w:r>
      <w:r w:rsidR="00C54CCC">
        <w:t xml:space="preserve"> OIA would </w:t>
      </w:r>
      <w:r w:rsidR="00C54CCC" w:rsidRPr="00C54CCC">
        <w:rPr>
          <w:b/>
          <w:bCs/>
          <w:i/>
          <w:iCs/>
        </w:rPr>
        <w:t>not</w:t>
      </w:r>
      <w:r w:rsidR="00C54CCC">
        <w:t xml:space="preserve"> protect because its release is in the public interest</w:t>
      </w:r>
      <w:r>
        <w:rPr>
          <w:rFonts w:cs="Calibri"/>
        </w:rPr>
        <w:t>—</w:t>
      </w:r>
      <w:r w:rsidR="0072319E">
        <w:rPr>
          <w:rFonts w:cs="Calibri"/>
        </w:rPr>
        <w:t xml:space="preserve">the </w:t>
      </w:r>
      <w:r w:rsidR="00541164">
        <w:t xml:space="preserve">Bill </w:t>
      </w:r>
      <w:r w:rsidR="00D446C1">
        <w:t xml:space="preserve">will </w:t>
      </w:r>
      <w:r>
        <w:t xml:space="preserve">achieve </w:t>
      </w:r>
      <w:r w:rsidR="0072319E">
        <w:t xml:space="preserve">nothing more than preventing the public from </w:t>
      </w:r>
      <w:r w:rsidR="00304E0C">
        <w:t xml:space="preserve">assessing </w:t>
      </w:r>
      <w:r w:rsidR="0072319E">
        <w:t>the</w:t>
      </w:r>
      <w:r w:rsidR="00541164">
        <w:t xml:space="preserve"> most </w:t>
      </w:r>
      <w:r w:rsidR="00A50231">
        <w:t xml:space="preserve">manifest of regulatory failures by the Ministry </w:t>
      </w:r>
      <w:r w:rsidR="00304E0C">
        <w:t>and/or</w:t>
      </w:r>
      <w:r w:rsidR="00A50231">
        <w:t xml:space="preserve"> the most egregious </w:t>
      </w:r>
      <w:r w:rsidR="00541164">
        <w:t>breaches of the law</w:t>
      </w:r>
      <w:r w:rsidR="00D446C1">
        <w:t xml:space="preserve"> by the fishing industry</w:t>
      </w:r>
      <w:r w:rsidR="00541164">
        <w:t>.</w:t>
      </w:r>
      <w:r w:rsidR="00D446C1">
        <w:t xml:space="preserve"> This appears to run contrary to the purposes of the OIA, </w:t>
      </w:r>
      <w:r w:rsidR="0072319E">
        <w:t xml:space="preserve">as well as </w:t>
      </w:r>
      <w:r w:rsidR="00D446C1">
        <w:t>the purposes of the Fisheries Ac</w:t>
      </w:r>
      <w:r w:rsidR="0072319E">
        <w:t>t noted above.</w:t>
      </w:r>
      <w:r w:rsidR="00304E0C">
        <w:t xml:space="preserve"> </w:t>
      </w:r>
    </w:p>
    <w:p w14:paraId="286CC5D5" w14:textId="33B4466F" w:rsidR="009510FC" w:rsidRDefault="009510FC" w:rsidP="0071668A">
      <w:pPr>
        <w:pStyle w:val="BodyText"/>
      </w:pPr>
      <w:r>
        <w:t xml:space="preserve">If the Committee considers it necessary </w:t>
      </w:r>
      <w:r w:rsidR="008043C5">
        <w:t xml:space="preserve">for the legislation </w:t>
      </w:r>
      <w:r>
        <w:t xml:space="preserve">to </w:t>
      </w:r>
      <w:r w:rsidR="0072319E">
        <w:t xml:space="preserve">provide </w:t>
      </w:r>
      <w:r w:rsidR="003943E2">
        <w:t>more concrete</w:t>
      </w:r>
      <w:r w:rsidR="0072319E">
        <w:t xml:space="preserve"> </w:t>
      </w:r>
      <w:r w:rsidR="003943E2">
        <w:t>assurances</w:t>
      </w:r>
      <w:r w:rsidR="0072319E">
        <w:t xml:space="preserve"> to </w:t>
      </w:r>
      <w:r w:rsidR="003943E2">
        <w:t>the fishing industry about when and how</w:t>
      </w:r>
      <w:r w:rsidR="0072319E">
        <w:t xml:space="preserve"> that their </w:t>
      </w:r>
      <w:r w:rsidR="003943E2">
        <w:t xml:space="preserve">camera </w:t>
      </w:r>
      <w:r w:rsidR="0072319E">
        <w:t>footage is protected</w:t>
      </w:r>
      <w:r w:rsidR="003943E2">
        <w:rPr>
          <w:rFonts w:cs="Calibri"/>
        </w:rPr>
        <w:t>—</w:t>
      </w:r>
      <w:r w:rsidR="0072319E">
        <w:t xml:space="preserve">including by ensuring that </w:t>
      </w:r>
      <w:r w:rsidR="003943E2">
        <w:t xml:space="preserve">any </w:t>
      </w:r>
      <w:r>
        <w:t xml:space="preserve">conditions </w:t>
      </w:r>
      <w:r w:rsidR="003943E2">
        <w:t xml:space="preserve">imposed </w:t>
      </w:r>
      <w:r w:rsidR="00A50231">
        <w:t xml:space="preserve">by the Ministry </w:t>
      </w:r>
      <w:r>
        <w:t>on the</w:t>
      </w:r>
      <w:r w:rsidR="00A50231">
        <w:t xml:space="preserve"> subsequent</w:t>
      </w:r>
      <w:r>
        <w:t xml:space="preserve"> use</w:t>
      </w:r>
      <w:r w:rsidR="00D2009C">
        <w:t xml:space="preserve">, communication, or publication of footage </w:t>
      </w:r>
      <w:r w:rsidR="00A50231">
        <w:t xml:space="preserve">released under the OIA </w:t>
      </w:r>
      <w:r w:rsidR="0072319E">
        <w:t>are sufficiently</w:t>
      </w:r>
      <w:r w:rsidR="00D2009C">
        <w:t xml:space="preserve"> enforceable</w:t>
      </w:r>
      <w:r w:rsidR="003943E2">
        <w:rPr>
          <w:rFonts w:cs="Calibri"/>
        </w:rPr>
        <w:t>—</w:t>
      </w:r>
      <w:r w:rsidR="00D2009C">
        <w:t xml:space="preserve">section 227E(5) and F(3) </w:t>
      </w:r>
      <w:r w:rsidR="0072319E">
        <w:t xml:space="preserve">could be modified to </w:t>
      </w:r>
      <w:r w:rsidR="00304E0C">
        <w:t>give effect to conditional release</w:t>
      </w:r>
      <w:r w:rsidR="0072319E">
        <w:t xml:space="preserve"> </w:t>
      </w:r>
      <w:r w:rsidR="00D2009C">
        <w:t>under the OIA</w:t>
      </w:r>
      <w:r w:rsidR="00304E0C">
        <w:t xml:space="preserve">, by making </w:t>
      </w:r>
      <w:r w:rsidR="008043C5">
        <w:t>such</w:t>
      </w:r>
      <w:r w:rsidR="00304E0C">
        <w:t xml:space="preserve"> conditions enforceable</w:t>
      </w:r>
      <w:r w:rsidR="00D2009C">
        <w:t>.</w:t>
      </w:r>
      <w:r w:rsidR="0072319E">
        <w:t xml:space="preserve"> </w:t>
      </w:r>
      <w:r w:rsidR="00A50231">
        <w:t xml:space="preserve">This </w:t>
      </w:r>
      <w:r w:rsidR="0072319E">
        <w:t xml:space="preserve">may strike </w:t>
      </w:r>
      <w:r w:rsidR="003943E2">
        <w:t>a more appropriate</w:t>
      </w:r>
      <w:r w:rsidR="0072319E">
        <w:t xml:space="preserve"> balance between protection of </w:t>
      </w:r>
      <w:r w:rsidR="003943E2">
        <w:t xml:space="preserve">the fishers’ interests in </w:t>
      </w:r>
      <w:r w:rsidR="00C54CCC">
        <w:t>camera recordings</w:t>
      </w:r>
      <w:r w:rsidR="0072319E">
        <w:t xml:space="preserve"> while also providing a sufficient assurance to the public that </w:t>
      </w:r>
      <w:r w:rsidR="00A50231">
        <w:t>New Zealand’s fisheries resource is being managed appropriately</w:t>
      </w:r>
      <w:r w:rsidR="008043C5">
        <w:t>,</w:t>
      </w:r>
      <w:r w:rsidR="00A50231">
        <w:t xml:space="preserve"> and that its protected species are, in fact, being protected.</w:t>
      </w:r>
    </w:p>
    <w:p w14:paraId="02DECF3E" w14:textId="1087AB2F" w:rsidR="00FD5602" w:rsidRDefault="00FD5602" w:rsidP="0071668A">
      <w:pPr>
        <w:pStyle w:val="BodyText"/>
      </w:pPr>
      <w:r>
        <w:t>Thank you for considering my submission. I would like to speak to it, should the opportunity arise.</w:t>
      </w:r>
    </w:p>
    <w:p w14:paraId="2D5AB1A0" w14:textId="77777777" w:rsidR="00C64423" w:rsidRDefault="00185EFA" w:rsidP="00C64423">
      <w:pPr>
        <w:pStyle w:val="DL-closing"/>
      </w:pPr>
      <w:r>
        <w:t>Yours sincerely</w:t>
      </w:r>
    </w:p>
    <w:p w14:paraId="0B5D03E5" w14:textId="77777777" w:rsidR="00824C06" w:rsidRDefault="00824C06" w:rsidP="0014247B">
      <w:pPr>
        <w:pStyle w:val="Whitespace"/>
      </w:pPr>
    </w:p>
    <w:p w14:paraId="0A6B2796" w14:textId="61D212CB" w:rsidR="00824C06" w:rsidRDefault="00692AED" w:rsidP="00824C06">
      <w:pPr>
        <w:pStyle w:val="Singlespacedparagraph"/>
      </w:pPr>
      <w:r>
        <w:rPr>
          <w:noProof/>
        </w:rPr>
        <w:drawing>
          <wp:inline distT="0" distB="0" distL="0" distR="0" wp14:anchorId="5327EC35" wp14:editId="3D9D8DC3">
            <wp:extent cx="2216150" cy="844550"/>
            <wp:effectExtent l="0" t="0" r="0" b="0"/>
            <wp:docPr id="1699894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6150" cy="844550"/>
                    </a:xfrm>
                    <a:prstGeom prst="rect">
                      <a:avLst/>
                    </a:prstGeom>
                    <a:noFill/>
                    <a:ln>
                      <a:noFill/>
                    </a:ln>
                  </pic:spPr>
                </pic:pic>
              </a:graphicData>
            </a:graphic>
          </wp:inline>
        </w:drawing>
      </w:r>
    </w:p>
    <w:p w14:paraId="4BDA4C3B" w14:textId="77777777" w:rsidR="00824C06" w:rsidRDefault="00824C06" w:rsidP="0014247B">
      <w:pPr>
        <w:pStyle w:val="Whitespace"/>
      </w:pPr>
    </w:p>
    <w:p w14:paraId="10AB49C1" w14:textId="7FB3126B" w:rsidR="00C64423" w:rsidRPr="00D065BD" w:rsidRDefault="00FD5602" w:rsidP="00C64423">
      <w:pPr>
        <w:pStyle w:val="DL-closingname"/>
      </w:pPr>
      <w:r>
        <w:t>John Allen</w:t>
      </w:r>
    </w:p>
    <w:p w14:paraId="16392E2F" w14:textId="5EA847F2" w:rsidR="00C64423" w:rsidRDefault="00FD5602" w:rsidP="00C64423">
      <w:pPr>
        <w:pStyle w:val="DL-closingposition"/>
      </w:pPr>
      <w:r>
        <w:t>Chief Ombudsman</w:t>
      </w:r>
    </w:p>
    <w:p w14:paraId="2D6A18E2" w14:textId="3C6B52D0" w:rsidR="00D42103" w:rsidRDefault="00D42103" w:rsidP="00C64423">
      <w:pPr>
        <w:pStyle w:val="DL-closingposition"/>
      </w:pPr>
      <w:r>
        <w:t xml:space="preserve">Appendix: </w:t>
      </w:r>
      <w:r>
        <w:tab/>
      </w:r>
      <w:r w:rsidR="009A6C5C" w:rsidRPr="009A6C5C">
        <w:t xml:space="preserve">Outline of how the OIA will apply to </w:t>
      </w:r>
      <w:r w:rsidR="009A6C5C">
        <w:t>on-board camera recordings</w:t>
      </w:r>
    </w:p>
    <w:p w14:paraId="5CEF6D3E" w14:textId="77777777" w:rsidR="00D42103" w:rsidRDefault="00D42103">
      <w:pPr>
        <w:spacing w:after="200" w:line="240" w:lineRule="atLeast"/>
      </w:pPr>
      <w:r>
        <w:br w:type="page"/>
      </w:r>
    </w:p>
    <w:p w14:paraId="0C07D381" w14:textId="16A90BD0" w:rsidR="00D42103" w:rsidRDefault="00D42103" w:rsidP="00D42103">
      <w:pPr>
        <w:pStyle w:val="HeadingAppendix"/>
      </w:pPr>
      <w:r>
        <w:t xml:space="preserve">Outline of how the OIA will apply to on-board camera </w:t>
      </w:r>
      <w:r w:rsidR="009A6C5C">
        <w:t>recordings</w:t>
      </w:r>
    </w:p>
    <w:p w14:paraId="546DF66C" w14:textId="77777777" w:rsidR="00D42103" w:rsidRPr="00D42103" w:rsidRDefault="00D42103" w:rsidP="00E04F84">
      <w:pPr>
        <w:pStyle w:val="Heading2"/>
      </w:pPr>
      <w:r w:rsidRPr="00D42103">
        <w:t xml:space="preserve">The regulatory framework </w:t>
      </w:r>
    </w:p>
    <w:p w14:paraId="199377C9" w14:textId="37F2B6C6" w:rsidR="00D42103" w:rsidRPr="00D42103" w:rsidRDefault="00D42103" w:rsidP="00D42103">
      <w:pPr>
        <w:pStyle w:val="BodyText"/>
      </w:pPr>
      <w:r w:rsidRPr="00D42103">
        <w:t>The Ministry of Primary Industries (Ministry) administers the Fisheries Act 1996 (the Fisheries Act) and its regulations. The Act intends to strike a balance between providing commercial, recreational, and customary fishers access to public resources while also ensuring that New Zealand’s fish stocks are managed sustainably, including through imposing total allowable catch quota, mandatory reporting of catch and bycatch, and placement of fisheries observers on vessels. More recently, the Ministry introduced a digital monitoring regime for commercial fishing vessels, including electronic catch and position reporting, and on-board cameras. On-board camera footage</w:t>
      </w:r>
      <w:r w:rsidR="00B76952">
        <w:t xml:space="preserve"> (‘camera recordings’</w:t>
      </w:r>
      <w:r w:rsidR="00E941E7">
        <w:t xml:space="preserve">) </w:t>
      </w:r>
      <w:r w:rsidRPr="00D42103">
        <w:t xml:space="preserve">collected by the Ministry primarily will be used to verify commercial fishing operators’ self-reporting of their catch. The footage could include any bycatch events, as well as incidental and unintended interactions with seabirds and marine mammals. </w:t>
      </w:r>
    </w:p>
    <w:p w14:paraId="496718BC" w14:textId="77777777" w:rsidR="00D42103" w:rsidRPr="00D42103" w:rsidRDefault="00D42103" w:rsidP="00D42103">
      <w:pPr>
        <w:pStyle w:val="Heading2"/>
      </w:pPr>
      <w:r w:rsidRPr="00D42103">
        <w:t xml:space="preserve">Video footage and the Official Information Act </w:t>
      </w:r>
    </w:p>
    <w:p w14:paraId="2985F955" w14:textId="43A991CB" w:rsidR="00D42103" w:rsidRDefault="00D42103" w:rsidP="00D42103">
      <w:pPr>
        <w:pStyle w:val="BodyText"/>
      </w:pPr>
      <w:r w:rsidRPr="00D42103">
        <w:t xml:space="preserve">The OIA applies to information held by public sector agencies, including the Ministry. The OIA applies to any </w:t>
      </w:r>
      <w:r w:rsidR="00B76952">
        <w:t>camera recordings</w:t>
      </w:r>
      <w:r w:rsidR="00E04F84">
        <w:t xml:space="preserve"> and</w:t>
      </w:r>
      <w:r w:rsidRPr="00D42103">
        <w:t xml:space="preserve"> associated data provided by fishing operators to the Ministry.</w:t>
      </w:r>
    </w:p>
    <w:p w14:paraId="3DCEBCBC" w14:textId="77777777" w:rsidR="00D42103" w:rsidRPr="00D42103" w:rsidRDefault="00D42103" w:rsidP="00D42103">
      <w:pPr>
        <w:pStyle w:val="BodyText"/>
      </w:pPr>
      <w:r w:rsidRPr="00D42103">
        <w:rPr>
          <w:b/>
          <w:bCs/>
        </w:rPr>
        <w:t xml:space="preserve">Protection of footage </w:t>
      </w:r>
    </w:p>
    <w:p w14:paraId="3F2B4C97" w14:textId="77777777" w:rsidR="00D42103" w:rsidRPr="00D42103" w:rsidRDefault="00D42103" w:rsidP="00D42103">
      <w:pPr>
        <w:pStyle w:val="Heading3"/>
      </w:pPr>
      <w:r w:rsidRPr="00D42103">
        <w:t>Obligation of confidence – section 9(</w:t>
      </w:r>
      <w:proofErr w:type="gramStart"/>
      <w:r w:rsidRPr="00D42103">
        <w:t>2)(</w:t>
      </w:r>
      <w:proofErr w:type="spellStart"/>
      <w:proofErr w:type="gramEnd"/>
      <w:r w:rsidRPr="00D42103">
        <w:t>ba</w:t>
      </w:r>
      <w:proofErr w:type="spellEnd"/>
      <w:r w:rsidRPr="00D42103">
        <w:t>)(</w:t>
      </w:r>
      <w:proofErr w:type="spellStart"/>
      <w:r w:rsidRPr="00D42103">
        <w:t>i</w:t>
      </w:r>
      <w:proofErr w:type="spellEnd"/>
      <w:r w:rsidRPr="00D42103">
        <w:t xml:space="preserve">) of the </w:t>
      </w:r>
      <w:proofErr w:type="spellStart"/>
      <w:r w:rsidRPr="00D42103">
        <w:t>OIA</w:t>
      </w:r>
      <w:proofErr w:type="spellEnd"/>
      <w:r w:rsidRPr="00D42103">
        <w:t xml:space="preserve"> </w:t>
      </w:r>
    </w:p>
    <w:p w14:paraId="7B2623F4" w14:textId="63B31A70" w:rsidR="00D42103" w:rsidRPr="00D42103" w:rsidRDefault="00D42103" w:rsidP="00D42103">
      <w:pPr>
        <w:pStyle w:val="BodyText"/>
      </w:pPr>
      <w:r w:rsidRPr="00D42103">
        <w:t xml:space="preserve">Fishing operators are under legal obligations to supply the Ministry with </w:t>
      </w:r>
      <w:r w:rsidR="00B76952">
        <w:t xml:space="preserve">camera recordings </w:t>
      </w:r>
      <w:r w:rsidRPr="00D42103">
        <w:t xml:space="preserve">and information about catch, by-catch, and protected species interactions. The Ministry may come to hold thousands of hours of </w:t>
      </w:r>
      <w:r w:rsidR="00B76952">
        <w:t>camera recordings</w:t>
      </w:r>
      <w:r w:rsidRPr="00D42103">
        <w:t xml:space="preserve">, and it would be challenging for officials to review all footage against what was reported. To meaningfully use the information it holds, the Ministry is reliant on accurate self-reporting by fishing operators. </w:t>
      </w:r>
    </w:p>
    <w:p w14:paraId="013E4573" w14:textId="22BF7760" w:rsidR="00D42103" w:rsidRPr="00D42103" w:rsidRDefault="00D42103" w:rsidP="00D42103">
      <w:pPr>
        <w:pStyle w:val="BodyText"/>
      </w:pPr>
      <w:r w:rsidRPr="00D42103">
        <w:t>In these circumstances, section</w:t>
      </w:r>
      <w:r w:rsidR="0011107E">
        <w:t>s</w:t>
      </w:r>
      <w:r w:rsidRPr="00D42103">
        <w:t xml:space="preserve"> 9(</w:t>
      </w:r>
      <w:proofErr w:type="gramStart"/>
      <w:r w:rsidRPr="00D42103">
        <w:t>2)(</w:t>
      </w:r>
      <w:proofErr w:type="spellStart"/>
      <w:proofErr w:type="gramEnd"/>
      <w:r w:rsidRPr="00D42103">
        <w:t>ba</w:t>
      </w:r>
      <w:proofErr w:type="spellEnd"/>
      <w:r w:rsidRPr="00D42103">
        <w:t>)(</w:t>
      </w:r>
      <w:proofErr w:type="spellStart"/>
      <w:r w:rsidRPr="00D42103">
        <w:t>i</w:t>
      </w:r>
      <w:proofErr w:type="spellEnd"/>
      <w:r w:rsidRPr="00D42103">
        <w:t>)</w:t>
      </w:r>
      <w:r w:rsidR="004B57AB">
        <w:t xml:space="preserve"> </w:t>
      </w:r>
      <w:r w:rsidRPr="00D42103">
        <w:t xml:space="preserve">of the </w:t>
      </w:r>
      <w:proofErr w:type="spellStart"/>
      <w:r w:rsidRPr="00D42103">
        <w:t>OIA</w:t>
      </w:r>
      <w:proofErr w:type="spellEnd"/>
      <w:r w:rsidRPr="00D42103">
        <w:t xml:space="preserve"> appears to be relevant. If the Ministry routinely released on-board camera footage, fishing operators may be inhibited from providing the Ministry with </w:t>
      </w:r>
      <w:r w:rsidR="00B76952">
        <w:t xml:space="preserve">footage or with </w:t>
      </w:r>
      <w:r w:rsidRPr="00D42103">
        <w:t xml:space="preserve">accurate information about what the footage reveals. This in turn would undermine the usefulness of </w:t>
      </w:r>
      <w:r w:rsidR="00463345">
        <w:t xml:space="preserve">camera recordings </w:t>
      </w:r>
      <w:r w:rsidRPr="00D42103">
        <w:t xml:space="preserve">as a fisheries management tool. </w:t>
      </w:r>
    </w:p>
    <w:p w14:paraId="4CFAFF5A" w14:textId="1EA64196" w:rsidR="00D42103" w:rsidRPr="00D42103" w:rsidRDefault="00D42103" w:rsidP="00D42103">
      <w:pPr>
        <w:pStyle w:val="BodyText"/>
      </w:pPr>
      <w:r w:rsidRPr="00D42103">
        <w:t>Section</w:t>
      </w:r>
      <w:r w:rsidR="00C12969">
        <w:t>s</w:t>
      </w:r>
      <w:r w:rsidRPr="00D42103">
        <w:t xml:space="preserve"> 9(</w:t>
      </w:r>
      <w:proofErr w:type="gramStart"/>
      <w:r w:rsidRPr="00D42103">
        <w:t>2)(</w:t>
      </w:r>
      <w:proofErr w:type="spellStart"/>
      <w:proofErr w:type="gramEnd"/>
      <w:r w:rsidRPr="00D42103">
        <w:t>ba</w:t>
      </w:r>
      <w:proofErr w:type="spellEnd"/>
      <w:r w:rsidRPr="00D42103">
        <w:t>)(</w:t>
      </w:r>
      <w:proofErr w:type="spellStart"/>
      <w:r w:rsidRPr="00D42103">
        <w:t>i</w:t>
      </w:r>
      <w:proofErr w:type="spellEnd"/>
      <w:r w:rsidRPr="00D42103">
        <w:t xml:space="preserve">) of the </w:t>
      </w:r>
      <w:proofErr w:type="spellStart"/>
      <w:r w:rsidRPr="00D42103">
        <w:t>OIA</w:t>
      </w:r>
      <w:proofErr w:type="spellEnd"/>
      <w:r w:rsidRPr="00D42103">
        <w:t xml:space="preserve"> </w:t>
      </w:r>
      <w:r w:rsidR="00A41F28">
        <w:t>are</w:t>
      </w:r>
      <w:r w:rsidRPr="00D42103">
        <w:t xml:space="preserve"> subject to the public interest test. </w:t>
      </w:r>
    </w:p>
    <w:p w14:paraId="1113AD68" w14:textId="5228E9B0" w:rsidR="00D42103" w:rsidRDefault="00D42103" w:rsidP="00D42103">
      <w:pPr>
        <w:pStyle w:val="Heading3"/>
      </w:pPr>
      <w:r w:rsidRPr="00D42103">
        <w:t>Other withholding grounds – sections 9(2)(a), 9(2)(b), 9(2)(k</w:t>
      </w:r>
      <w:r>
        <w:t>) of the OIA</w:t>
      </w:r>
    </w:p>
    <w:p w14:paraId="585A8615" w14:textId="48BF46E0" w:rsidR="00D42103" w:rsidRDefault="00D42103" w:rsidP="00D42103">
      <w:pPr>
        <w:pStyle w:val="BodyText"/>
      </w:pPr>
      <w:r w:rsidRPr="00D42103">
        <w:t xml:space="preserve">There may also be other reasons why it is necessary, on a case-by-case basis, to withhold </w:t>
      </w:r>
      <w:r w:rsidR="004B57AB">
        <w:t xml:space="preserve">parts of </w:t>
      </w:r>
      <w:r w:rsidR="00463345">
        <w:t>camera recordings</w:t>
      </w:r>
      <w:r w:rsidRPr="00D42103">
        <w:t>. This can include the need to protect the privacy of individuals shown in the footage</w:t>
      </w:r>
      <w:r w:rsidR="004B57AB">
        <w:t xml:space="preserve"> where they are visible</w:t>
      </w:r>
      <w:r w:rsidRPr="00D42103">
        <w:t>;</w:t>
      </w:r>
      <w:r w:rsidR="004B57AB">
        <w:rPr>
          <w:rStyle w:val="FootnoteReference"/>
        </w:rPr>
        <w:footnoteReference w:id="23"/>
      </w:r>
      <w:r w:rsidRPr="00D42103">
        <w:t xml:space="preserve"> where disclosure would be likely to prejudice an operator’s commercial position (for instance, by revealing where they undertake their fishing activities or how they configure</w:t>
      </w:r>
      <w:r>
        <w:t xml:space="preserve"> </w:t>
      </w:r>
      <w:r w:rsidRPr="00D42103">
        <w:t>their equipment);</w:t>
      </w:r>
      <w:r w:rsidR="004B57AB">
        <w:rPr>
          <w:rStyle w:val="FootnoteReference"/>
        </w:rPr>
        <w:footnoteReference w:id="24"/>
      </w:r>
      <w:r w:rsidRPr="00D42103">
        <w:t xml:space="preserve"> or to prevent the disclosure or use of official information for improper gain or improper advantage.</w:t>
      </w:r>
      <w:r w:rsidR="004B57AB">
        <w:rPr>
          <w:rStyle w:val="FootnoteReference"/>
        </w:rPr>
        <w:footnoteReference w:id="25"/>
      </w:r>
      <w:r w:rsidRPr="00D42103">
        <w:t xml:space="preserve"> These reasons are subject to the public interest test.</w:t>
      </w:r>
    </w:p>
    <w:p w14:paraId="5148AE87" w14:textId="77777777" w:rsidR="00D42103" w:rsidRPr="00D42103" w:rsidRDefault="00D42103" w:rsidP="00D42103">
      <w:pPr>
        <w:pStyle w:val="Heading3"/>
      </w:pPr>
      <w:r w:rsidRPr="00D42103">
        <w:t xml:space="preserve">Maintenance of the law – section 6(c) of the OIA </w:t>
      </w:r>
    </w:p>
    <w:p w14:paraId="6C5C4D21" w14:textId="77777777" w:rsidR="00D42103" w:rsidRPr="00D42103" w:rsidRDefault="00D42103" w:rsidP="00D42103">
      <w:pPr>
        <w:pStyle w:val="BodyText"/>
      </w:pPr>
      <w:r w:rsidRPr="00D42103">
        <w:t xml:space="preserve">Withholding footage may also be justified where it is necessary to protect the maintenance of the law, including where court proceedings are in train or are reasonably in contemplation. This ground is not subject to the public interest test. It is often time-limited, and the need to withhold on this basis may disappear at the conclusion of an investigation or prosecution. </w:t>
      </w:r>
    </w:p>
    <w:p w14:paraId="2C07CDE5" w14:textId="77777777" w:rsidR="00D42103" w:rsidRPr="00D42103" w:rsidRDefault="00D42103" w:rsidP="00D42103">
      <w:pPr>
        <w:pStyle w:val="Heading2"/>
      </w:pPr>
      <w:r w:rsidRPr="00D42103">
        <w:t xml:space="preserve">Public interest in disclosure </w:t>
      </w:r>
    </w:p>
    <w:p w14:paraId="7DE79C46" w14:textId="5C283682" w:rsidR="00D42103" w:rsidRPr="00D42103" w:rsidRDefault="00D42103" w:rsidP="004B57AB">
      <w:pPr>
        <w:pStyle w:val="BodyText"/>
      </w:pPr>
      <w:r w:rsidRPr="00D42103">
        <w:t>The purpose of the Fisheries Act is to ‘</w:t>
      </w:r>
      <w:r w:rsidRPr="00D42103">
        <w:rPr>
          <w:i/>
          <w:iCs/>
        </w:rPr>
        <w:t>provide for the utilisation of fisheries resources while ensuring sustainability</w:t>
      </w:r>
      <w:r w:rsidRPr="00D42103">
        <w:t>.’</w:t>
      </w:r>
      <w:r w:rsidR="004B57AB">
        <w:t xml:space="preserve"> </w:t>
      </w:r>
      <w:r w:rsidRPr="00D42103">
        <w:rPr>
          <w:b/>
          <w:bCs/>
          <w:i/>
          <w:iCs/>
        </w:rPr>
        <w:t>Utilisation</w:t>
      </w:r>
      <w:r w:rsidRPr="00D42103">
        <w:rPr>
          <w:b/>
          <w:bCs/>
        </w:rPr>
        <w:t xml:space="preserve"> </w:t>
      </w:r>
      <w:r w:rsidR="004B57AB">
        <w:t>is defined as</w:t>
      </w:r>
      <w:r w:rsidRPr="00D42103">
        <w:t xml:space="preserve"> ‘</w:t>
      </w:r>
      <w:r w:rsidRPr="00D42103">
        <w:rPr>
          <w:i/>
          <w:iCs/>
        </w:rPr>
        <w:t>conserving, using, enhancing, and developing fisheries resources to enable people to provide for their social, economic, and cultural well-being</w:t>
      </w:r>
      <w:r w:rsidRPr="00D42103">
        <w:t xml:space="preserve">’. </w:t>
      </w:r>
      <w:r w:rsidRPr="00D42103">
        <w:rPr>
          <w:b/>
          <w:bCs/>
          <w:i/>
          <w:iCs/>
        </w:rPr>
        <w:t>Ensuring sustainability</w:t>
      </w:r>
      <w:r w:rsidRPr="00D42103">
        <w:rPr>
          <w:b/>
          <w:bCs/>
        </w:rPr>
        <w:t xml:space="preserve"> </w:t>
      </w:r>
      <w:r w:rsidR="004B57AB">
        <w:t>is defined as</w:t>
      </w:r>
      <w:r w:rsidRPr="00D42103">
        <w:t xml:space="preserve"> ‘</w:t>
      </w:r>
      <w:r w:rsidRPr="00D42103">
        <w:rPr>
          <w:i/>
          <w:iCs/>
        </w:rPr>
        <w:t>maintaining the potential of fisheries resources to meet the reasonably foreseeable needs of future generations; and avoiding, remedying, or mitigating any adverse effects of fishing on the aquatic environment</w:t>
      </w:r>
      <w:r w:rsidRPr="00D42103">
        <w:t xml:space="preserve">’. </w:t>
      </w:r>
    </w:p>
    <w:p w14:paraId="3963176D" w14:textId="4B727F6C" w:rsidR="00D42103" w:rsidRPr="00D42103" w:rsidRDefault="00D42103" w:rsidP="00D42103">
      <w:pPr>
        <w:pStyle w:val="BodyText"/>
      </w:pPr>
      <w:r w:rsidRPr="00D42103">
        <w:t>There is a public interest in release of information to provide transparency that the Act is working as intended, and to promote the accountability of the Ministry and demonstrate the Ministry is properly discharging its regulatory functions under the Act.</w:t>
      </w:r>
      <w:r w:rsidR="00C50094">
        <w:rPr>
          <w:rStyle w:val="FootnoteReference"/>
        </w:rPr>
        <w:footnoteReference w:id="26"/>
      </w:r>
      <w:r w:rsidRPr="00D42103">
        <w:t xml:space="preserve"> </w:t>
      </w:r>
    </w:p>
    <w:p w14:paraId="574BE19B" w14:textId="29867CF4" w:rsidR="00D42103" w:rsidRDefault="00D42103" w:rsidP="00D42103">
      <w:pPr>
        <w:pStyle w:val="BodyText"/>
      </w:pPr>
      <w:r w:rsidRPr="00D42103">
        <w:t>The question under the OIA, however, is not whether a public interest in disclosure exists, but whether it outweighs the need to withhold the information requested.</w:t>
      </w:r>
    </w:p>
    <w:p w14:paraId="03DEDC88" w14:textId="77777777" w:rsidR="00D42103" w:rsidRPr="00D42103" w:rsidRDefault="00D42103" w:rsidP="00D42103">
      <w:pPr>
        <w:pStyle w:val="Heading2"/>
      </w:pPr>
      <w:r w:rsidRPr="00D42103">
        <w:t xml:space="preserve">The public interest may be met in other ways </w:t>
      </w:r>
    </w:p>
    <w:p w14:paraId="17BEEDDA" w14:textId="462CED5D" w:rsidR="00D42103" w:rsidRPr="00D42103" w:rsidRDefault="00D42103" w:rsidP="00D42103">
      <w:pPr>
        <w:pStyle w:val="BodyText"/>
      </w:pPr>
      <w:r w:rsidRPr="00D42103">
        <w:t>The OIA recognises that where requested information is contained in a ‘</w:t>
      </w:r>
      <w:r w:rsidRPr="00D42103">
        <w:rPr>
          <w:i/>
          <w:iCs/>
        </w:rPr>
        <w:t>document’</w:t>
      </w:r>
      <w:r w:rsidRPr="00D42103">
        <w:t>,</w:t>
      </w:r>
      <w:r w:rsidR="00C50094">
        <w:rPr>
          <w:rStyle w:val="FootnoteReference"/>
        </w:rPr>
        <w:footnoteReference w:id="27"/>
      </w:r>
      <w:r w:rsidRPr="00D42103">
        <w:t xml:space="preserve"> there are </w:t>
      </w:r>
      <w:proofErr w:type="gramStart"/>
      <w:r w:rsidRPr="00D42103">
        <w:t>a</w:t>
      </w:r>
      <w:r w:rsidR="00CF0DAA">
        <w:t xml:space="preserve"> </w:t>
      </w:r>
      <w:r w:rsidRPr="00D42103">
        <w:t>number of</w:t>
      </w:r>
      <w:proofErr w:type="gramEnd"/>
      <w:r w:rsidRPr="00D42103">
        <w:t xml:space="preserve"> ways an agency can make that information available.</w:t>
      </w:r>
      <w:r w:rsidR="00C50094">
        <w:rPr>
          <w:rStyle w:val="FootnoteReference"/>
        </w:rPr>
        <w:footnoteReference w:id="28"/>
      </w:r>
      <w:r w:rsidRPr="00D42103">
        <w:t xml:space="preserve"> </w:t>
      </w:r>
    </w:p>
    <w:p w14:paraId="12B790A0" w14:textId="4BF5C7A7" w:rsidR="00D42103" w:rsidRPr="00D42103" w:rsidRDefault="00D42103" w:rsidP="00D42103">
      <w:pPr>
        <w:pStyle w:val="BodyText"/>
      </w:pPr>
      <w:r w:rsidRPr="00D42103">
        <w:t xml:space="preserve">The Ministry’s published guidance material, entitled </w:t>
      </w:r>
      <w:r w:rsidRPr="00D42103">
        <w:rPr>
          <w:i/>
          <w:iCs/>
        </w:rPr>
        <w:t>Guidelines for the Release of Fisheries information</w:t>
      </w:r>
      <w:r w:rsidRPr="00D42103">
        <w:t>,</w:t>
      </w:r>
      <w:r w:rsidR="00282301">
        <w:rPr>
          <w:rStyle w:val="FootnoteReference"/>
        </w:rPr>
        <w:footnoteReference w:id="29"/>
      </w:r>
      <w:r w:rsidRPr="00D42103">
        <w:t xml:space="preserve"> indicates that when the Ministry receives a request for footage, it: </w:t>
      </w:r>
    </w:p>
    <w:p w14:paraId="27340818" w14:textId="07E4DD4D" w:rsidR="00D42103" w:rsidRPr="00D42103" w:rsidRDefault="00D42103" w:rsidP="00D42103">
      <w:pPr>
        <w:pStyle w:val="Bullet1"/>
      </w:pPr>
      <w:proofErr w:type="gramStart"/>
      <w:r w:rsidRPr="00D42103">
        <w:t>generally</w:t>
      </w:r>
      <w:proofErr w:type="gramEnd"/>
      <w:r w:rsidRPr="00D42103">
        <w:t xml:space="preserve"> will be able to release summary information of the footage; </w:t>
      </w:r>
    </w:p>
    <w:p w14:paraId="12273C84" w14:textId="17F76569" w:rsidR="00D42103" w:rsidRPr="00D42103" w:rsidRDefault="00D42103" w:rsidP="00D42103">
      <w:pPr>
        <w:pStyle w:val="Bullet1"/>
      </w:pPr>
      <w:r w:rsidRPr="00D42103">
        <w:t xml:space="preserve">may release still photos of an incident; and/or </w:t>
      </w:r>
    </w:p>
    <w:p w14:paraId="0649457C" w14:textId="0043741C" w:rsidR="00D42103" w:rsidRPr="00D42103" w:rsidRDefault="00D42103" w:rsidP="00D42103">
      <w:pPr>
        <w:pStyle w:val="Bullet1"/>
      </w:pPr>
      <w:r w:rsidRPr="00D42103">
        <w:t xml:space="preserve">may allow a requester to inspect footage at a Ministry office. </w:t>
      </w:r>
    </w:p>
    <w:p w14:paraId="0309A4AD" w14:textId="693300C1" w:rsidR="00D42103" w:rsidRDefault="00D42103" w:rsidP="00D42103">
      <w:pPr>
        <w:pStyle w:val="BodyText"/>
      </w:pPr>
      <w:r w:rsidRPr="00D42103">
        <w:t>Disclosure of this information by the Ministry may be sufficient to meet the public interest in release. Accordingly, there may be good reason to withhold a copy of the video footage itself.</w:t>
      </w:r>
      <w:r w:rsidR="00C50094">
        <w:rPr>
          <w:rStyle w:val="FootnoteReference"/>
        </w:rPr>
        <w:footnoteReference w:id="30"/>
      </w:r>
    </w:p>
    <w:p w14:paraId="10708E5A" w14:textId="5C2DED77" w:rsidR="00C57D2E" w:rsidRDefault="009B609D" w:rsidP="00D302D7">
      <w:pPr>
        <w:pStyle w:val="Bullet1"/>
        <w:numPr>
          <w:ilvl w:val="0"/>
          <w:numId w:val="0"/>
        </w:numPr>
      </w:pPr>
      <w:r>
        <w:t>Only in</w:t>
      </w:r>
      <w:r w:rsidR="00D302D7" w:rsidRPr="00D302D7">
        <w:t xml:space="preserve"> </w:t>
      </w:r>
      <w:r w:rsidR="00CF0DAA">
        <w:t xml:space="preserve">the worst </w:t>
      </w:r>
      <w:r w:rsidR="00D302D7" w:rsidRPr="00D302D7">
        <w:t xml:space="preserve">cases, </w:t>
      </w:r>
      <w:r w:rsidR="00CF0DAA">
        <w:t>involving the most egregious regulatory failures or outrageous fishing operator behaviour,</w:t>
      </w:r>
      <w:r w:rsidR="00D302D7" w:rsidRPr="00D302D7">
        <w:t xml:space="preserve"> </w:t>
      </w:r>
      <w:r w:rsidR="00C57D2E">
        <w:t>would</w:t>
      </w:r>
      <w:r>
        <w:t xml:space="preserve"> the</w:t>
      </w:r>
      <w:r w:rsidR="00D302D7" w:rsidRPr="003409B5">
        <w:t xml:space="preserve"> public interest </w:t>
      </w:r>
      <w:r w:rsidR="00CF0DAA">
        <w:t>require release of the camera recording in full</w:t>
      </w:r>
      <w:r w:rsidR="00D616D3">
        <w:t>,</w:t>
      </w:r>
      <w:r w:rsidR="00CF0DAA">
        <w:t xml:space="preserve"> rather than the release of a written summary, still photos, and / or facilitating a viewing.</w:t>
      </w:r>
      <w:r w:rsidR="00C57D2E" w:rsidRPr="00C57D2E">
        <w:t xml:space="preserve"> </w:t>
      </w:r>
    </w:p>
    <w:p w14:paraId="1B2D298D" w14:textId="218076AA" w:rsidR="00D302D7" w:rsidRDefault="00C57D2E" w:rsidP="00D302D7">
      <w:pPr>
        <w:pStyle w:val="Bullet1"/>
        <w:numPr>
          <w:ilvl w:val="0"/>
          <w:numId w:val="0"/>
        </w:numPr>
      </w:pPr>
      <w:r>
        <w:t>For illustrative purposes, a visualisation of this</w:t>
      </w:r>
      <w:r w:rsidR="00E941E7">
        <w:t xml:space="preserve"> advice</w:t>
      </w:r>
      <w:r>
        <w:t xml:space="preserve"> is as follows:</w:t>
      </w:r>
    </w:p>
    <w:p w14:paraId="46D84996" w14:textId="5C28D922" w:rsidR="00787BF3" w:rsidRPr="00E941E7" w:rsidRDefault="00E941E7" w:rsidP="00E941E7">
      <w:pPr>
        <w:pStyle w:val="Bullet1"/>
        <w:numPr>
          <w:ilvl w:val="0"/>
          <w:numId w:val="0"/>
        </w:numPr>
        <w:rPr>
          <w:rFonts w:cs="Calibri"/>
          <w:noProof/>
        </w:rPr>
      </w:pPr>
      <w:r w:rsidRPr="00E941E7">
        <w:rPr>
          <w:rFonts w:cs="Calibri"/>
          <w:noProof/>
        </w:rPr>
        <w:drawing>
          <wp:inline distT="0" distB="0" distL="0" distR="0" wp14:anchorId="37A7C412" wp14:editId="7FF3D013">
            <wp:extent cx="6083935" cy="4923155"/>
            <wp:effectExtent l="0" t="0" r="0" b="0"/>
            <wp:docPr id="4089673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3935" cy="4923155"/>
                    </a:xfrm>
                    <a:prstGeom prst="rect">
                      <a:avLst/>
                    </a:prstGeom>
                    <a:noFill/>
                    <a:ln>
                      <a:noFill/>
                    </a:ln>
                  </pic:spPr>
                </pic:pic>
              </a:graphicData>
            </a:graphic>
          </wp:inline>
        </w:drawing>
      </w:r>
    </w:p>
    <w:sectPr w:rsidR="00787BF3" w:rsidRPr="00E941E7" w:rsidSect="00FE45B8">
      <w:headerReference w:type="default" r:id="rId10"/>
      <w:footerReference w:type="default" r:id="rId11"/>
      <w:headerReference w:type="first" r:id="rId12"/>
      <w:footerReference w:type="first" r:id="rId13"/>
      <w:endnotePr>
        <w:numFmt w:val="decimal"/>
      </w:endnotePr>
      <w:pgSz w:w="11906" w:h="16838" w:code="9"/>
      <w:pgMar w:top="1724" w:right="1021" w:bottom="1418"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80C1B" w14:textId="77777777" w:rsidR="00C467CB" w:rsidRPr="00D45126" w:rsidRDefault="00C467CB" w:rsidP="00554FCD">
      <w:pPr>
        <w:spacing w:after="0" w:line="240" w:lineRule="auto"/>
        <w:rPr>
          <w:color w:val="4D4D4D"/>
        </w:rPr>
      </w:pPr>
      <w:r w:rsidRPr="00D45126">
        <w:rPr>
          <w:color w:val="4D4D4D"/>
        </w:rPr>
        <w:separator/>
      </w:r>
    </w:p>
  </w:endnote>
  <w:endnote w:type="continuationSeparator" w:id="0">
    <w:p w14:paraId="2A19F3C3" w14:textId="77777777" w:rsidR="00C467CB" w:rsidRPr="00D45126" w:rsidRDefault="00C467CB" w:rsidP="00554FCD">
      <w:pPr>
        <w:spacing w:after="0" w:line="240" w:lineRule="auto"/>
        <w:rPr>
          <w:color w:val="4D4D4D"/>
        </w:rPr>
      </w:pPr>
      <w:r w:rsidRPr="00D45126">
        <w:rPr>
          <w:color w:val="4D4D4D"/>
        </w:rPr>
        <w:continuationSeparator/>
      </w:r>
    </w:p>
  </w:endnote>
  <w:endnote w:type="continuationNotice" w:id="1">
    <w:p w14:paraId="3BAB9C57" w14:textId="77777777" w:rsidR="00C467CB" w:rsidRDefault="00C467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BB47" w14:textId="77777777" w:rsidR="003830A5" w:rsidRPr="0059155D" w:rsidRDefault="003830A5" w:rsidP="00C87AA9">
    <w:pPr>
      <w:pStyle w:val="Footerline"/>
    </w:pPr>
  </w:p>
  <w:p w14:paraId="220A8D9A" w14:textId="77777777" w:rsidR="003830A5" w:rsidRPr="0059155D" w:rsidRDefault="003830A5" w:rsidP="00C87AA9">
    <w:pPr>
      <w:pStyle w:val="Footerline"/>
    </w:pPr>
  </w:p>
  <w:p w14:paraId="09E71BB3" w14:textId="77777777" w:rsidR="003830A5" w:rsidRPr="005533D8" w:rsidRDefault="003830A5" w:rsidP="00C87AA9">
    <w:pPr>
      <w:pStyle w:val="Footer"/>
    </w:pPr>
    <w:r>
      <w:t xml:space="preserve">Page </w:t>
    </w:r>
    <w:r w:rsidR="006C060D" w:rsidRPr="00A32286">
      <w:rPr>
        <w:rStyle w:val="PageNumber"/>
      </w:rPr>
      <w:fldChar w:fldCharType="begin"/>
    </w:r>
    <w:r w:rsidRPr="00A32286">
      <w:rPr>
        <w:rStyle w:val="PageNumber"/>
      </w:rPr>
      <w:instrText xml:space="preserve"> PAGE   \* MERGEFORMAT </w:instrText>
    </w:r>
    <w:r w:rsidR="006C060D" w:rsidRPr="00A32286">
      <w:rPr>
        <w:rStyle w:val="PageNumber"/>
      </w:rPr>
      <w:fldChar w:fldCharType="separate"/>
    </w:r>
    <w:r w:rsidR="00FE0E4F">
      <w:rPr>
        <w:rStyle w:val="PageNumber"/>
        <w:noProof/>
      </w:rPr>
      <w:t>2</w:t>
    </w:r>
    <w:r w:rsidR="006C060D" w:rsidRPr="00A32286">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FAE4" w14:textId="77777777" w:rsidR="007D5932" w:rsidRDefault="007D5932">
    <w:pPr>
      <w:pStyle w:val="Footer"/>
    </w:pPr>
    <w:r>
      <w:rPr>
        <w:noProof/>
        <w:lang w:eastAsia="en-NZ"/>
      </w:rPr>
      <w:drawing>
        <wp:anchor distT="0" distB="0" distL="114300" distR="114300" simplePos="0" relativeHeight="251661312" behindDoc="1" locked="0" layoutInCell="1" allowOverlap="1" wp14:anchorId="035AB69A" wp14:editId="4A1BE725">
          <wp:simplePos x="0" y="0"/>
          <wp:positionH relativeFrom="page">
            <wp:posOffset>813435</wp:posOffset>
          </wp:positionH>
          <wp:positionV relativeFrom="page">
            <wp:posOffset>9843770</wp:posOffset>
          </wp:positionV>
          <wp:extent cx="6066000" cy="4140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066000" cy="41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B468A" w14:textId="77777777" w:rsidR="00C467CB" w:rsidRPr="00D45126" w:rsidRDefault="00C467CB" w:rsidP="006C1C4D">
      <w:pPr>
        <w:spacing w:after="0" w:line="240" w:lineRule="auto"/>
        <w:rPr>
          <w:color w:val="4D4D4D"/>
        </w:rPr>
      </w:pPr>
      <w:r w:rsidRPr="00D45126">
        <w:rPr>
          <w:color w:val="4D4D4D"/>
        </w:rPr>
        <w:separator/>
      </w:r>
    </w:p>
  </w:footnote>
  <w:footnote w:type="continuationSeparator" w:id="0">
    <w:p w14:paraId="268BDC9C" w14:textId="77777777" w:rsidR="00C467CB" w:rsidRPr="00C14083" w:rsidRDefault="00C467CB" w:rsidP="00554FCD">
      <w:pPr>
        <w:spacing w:after="0" w:line="240" w:lineRule="auto"/>
        <w:rPr>
          <w:color w:val="4D4D4D"/>
        </w:rPr>
      </w:pPr>
      <w:r w:rsidRPr="00C14083">
        <w:rPr>
          <w:color w:val="4D4D4D"/>
        </w:rPr>
        <w:continuationSeparator/>
      </w:r>
    </w:p>
  </w:footnote>
  <w:footnote w:type="continuationNotice" w:id="1">
    <w:p w14:paraId="7C3ED984" w14:textId="77777777" w:rsidR="00C467CB" w:rsidRDefault="00C467CB">
      <w:pPr>
        <w:spacing w:after="0" w:line="240" w:lineRule="auto"/>
      </w:pPr>
    </w:p>
  </w:footnote>
  <w:footnote w:id="2">
    <w:p w14:paraId="0D3D4249" w14:textId="7BBAC620" w:rsidR="006152B8" w:rsidRDefault="006152B8">
      <w:pPr>
        <w:pStyle w:val="FootnoteText"/>
      </w:pPr>
      <w:r>
        <w:rPr>
          <w:rStyle w:val="FootnoteReference"/>
        </w:rPr>
        <w:footnoteRef/>
      </w:r>
      <w:r>
        <w:t xml:space="preserve"> </w:t>
      </w:r>
      <w:r>
        <w:tab/>
        <w:t>Proposed new section 227H.</w:t>
      </w:r>
    </w:p>
  </w:footnote>
  <w:footnote w:id="3">
    <w:p w14:paraId="1ABC1A73" w14:textId="6C7DF497" w:rsidR="00D4681C" w:rsidRDefault="00D4681C">
      <w:pPr>
        <w:pStyle w:val="FootnoteText"/>
      </w:pPr>
      <w:r>
        <w:rPr>
          <w:rStyle w:val="FootnoteReference"/>
        </w:rPr>
        <w:footnoteRef/>
      </w:r>
      <w:r>
        <w:t xml:space="preserve"> </w:t>
      </w:r>
      <w:r>
        <w:tab/>
        <w:t>Proposed new section 227C.</w:t>
      </w:r>
    </w:p>
  </w:footnote>
  <w:footnote w:id="4">
    <w:p w14:paraId="796D9C81" w14:textId="195BC42A" w:rsidR="00D4681C" w:rsidRDefault="00D4681C">
      <w:pPr>
        <w:pStyle w:val="FootnoteText"/>
      </w:pPr>
      <w:r>
        <w:rPr>
          <w:rStyle w:val="FootnoteReference"/>
        </w:rPr>
        <w:footnoteRef/>
      </w:r>
      <w:r>
        <w:t xml:space="preserve"> </w:t>
      </w:r>
      <w:r>
        <w:tab/>
        <w:t>Proposed new section 227D.</w:t>
      </w:r>
    </w:p>
  </w:footnote>
  <w:footnote w:id="5">
    <w:p w14:paraId="49D7020C" w14:textId="15495547" w:rsidR="00D4681C" w:rsidRDefault="00D4681C">
      <w:pPr>
        <w:pStyle w:val="FootnoteText"/>
      </w:pPr>
      <w:r>
        <w:rPr>
          <w:rStyle w:val="FootnoteReference"/>
        </w:rPr>
        <w:footnoteRef/>
      </w:r>
      <w:r>
        <w:t xml:space="preserve"> </w:t>
      </w:r>
      <w:r>
        <w:tab/>
        <w:t>Proposed new section 227</w:t>
      </w:r>
      <w:proofErr w:type="gramStart"/>
      <w:r>
        <w:t>D(</w:t>
      </w:r>
      <w:proofErr w:type="gramEnd"/>
      <w:r>
        <w:t>2) and (3).</w:t>
      </w:r>
    </w:p>
  </w:footnote>
  <w:footnote w:id="6">
    <w:p w14:paraId="4EC9FFF9" w14:textId="14B34DEF" w:rsidR="00D4681C" w:rsidRDefault="00D4681C">
      <w:pPr>
        <w:pStyle w:val="FootnoteText"/>
      </w:pPr>
      <w:r>
        <w:rPr>
          <w:rStyle w:val="FootnoteReference"/>
        </w:rPr>
        <w:footnoteRef/>
      </w:r>
      <w:r>
        <w:t xml:space="preserve"> </w:t>
      </w:r>
      <w:r>
        <w:tab/>
        <w:t>Proposed new section 227E and F.</w:t>
      </w:r>
    </w:p>
  </w:footnote>
  <w:footnote w:id="7">
    <w:p w14:paraId="23830B57" w14:textId="1F101478" w:rsidR="00D4681C" w:rsidRDefault="00D4681C">
      <w:pPr>
        <w:pStyle w:val="FootnoteText"/>
      </w:pPr>
      <w:r>
        <w:rPr>
          <w:rStyle w:val="FootnoteReference"/>
        </w:rPr>
        <w:footnoteRef/>
      </w:r>
      <w:r>
        <w:t xml:space="preserve"> </w:t>
      </w:r>
      <w:r>
        <w:tab/>
        <w:t>Proposed new section 227</w:t>
      </w:r>
      <w:proofErr w:type="gramStart"/>
      <w:r>
        <w:t>E(</w:t>
      </w:r>
      <w:proofErr w:type="gramEnd"/>
      <w:r>
        <w:t>3) and (4).</w:t>
      </w:r>
    </w:p>
  </w:footnote>
  <w:footnote w:id="8">
    <w:p w14:paraId="3555BFE3" w14:textId="57034F38" w:rsidR="00D4681C" w:rsidRDefault="00D4681C">
      <w:pPr>
        <w:pStyle w:val="FootnoteText"/>
      </w:pPr>
      <w:r>
        <w:rPr>
          <w:rStyle w:val="FootnoteReference"/>
        </w:rPr>
        <w:footnoteRef/>
      </w:r>
      <w:r>
        <w:t xml:space="preserve"> </w:t>
      </w:r>
      <w:r>
        <w:tab/>
        <w:t>Proposed new section 227</w:t>
      </w:r>
      <w:proofErr w:type="gramStart"/>
      <w:r>
        <w:t>E(</w:t>
      </w:r>
      <w:proofErr w:type="gramEnd"/>
      <w:r>
        <w:t>5) and 227F(3).</w:t>
      </w:r>
    </w:p>
  </w:footnote>
  <w:footnote w:id="9">
    <w:p w14:paraId="4C6A0F91" w14:textId="50E76C03" w:rsidR="00D4681C" w:rsidRDefault="00D4681C">
      <w:pPr>
        <w:pStyle w:val="FootnoteText"/>
      </w:pPr>
      <w:r>
        <w:rPr>
          <w:rStyle w:val="FootnoteReference"/>
        </w:rPr>
        <w:footnoteRef/>
      </w:r>
      <w:r>
        <w:t xml:space="preserve"> </w:t>
      </w:r>
      <w:r>
        <w:tab/>
        <w:t>Proposed new section 227G.</w:t>
      </w:r>
    </w:p>
  </w:footnote>
  <w:footnote w:id="10">
    <w:p w14:paraId="04BBCA8A" w14:textId="77777777" w:rsidR="004D2B8B" w:rsidRDefault="004D2B8B" w:rsidP="004D2B8B">
      <w:pPr>
        <w:pStyle w:val="FootnoteText"/>
      </w:pPr>
      <w:r>
        <w:rPr>
          <w:rStyle w:val="FootnoteReference"/>
        </w:rPr>
        <w:footnoteRef/>
      </w:r>
      <w:r>
        <w:t xml:space="preserve"> </w:t>
      </w:r>
      <w:r>
        <w:tab/>
      </w:r>
      <w:r w:rsidRPr="00EB3AB2">
        <w:t xml:space="preserve">Most recently in </w:t>
      </w:r>
      <w:r w:rsidRPr="00EB3AB2">
        <w:rPr>
          <w:i/>
          <w:iCs/>
        </w:rPr>
        <w:t xml:space="preserve">Kelsey v </w:t>
      </w:r>
      <w:proofErr w:type="spellStart"/>
      <w:r w:rsidRPr="00EB3AB2">
        <w:rPr>
          <w:i/>
          <w:iCs/>
        </w:rPr>
        <w:t>Mnister</w:t>
      </w:r>
      <w:proofErr w:type="spellEnd"/>
      <w:r w:rsidRPr="00EB3AB2">
        <w:rPr>
          <w:i/>
          <w:iCs/>
        </w:rPr>
        <w:t xml:space="preserve"> of Trade </w:t>
      </w:r>
      <w:r w:rsidRPr="00EB3AB2">
        <w:t xml:space="preserve">[2015] </w:t>
      </w:r>
      <w:proofErr w:type="spellStart"/>
      <w:r w:rsidRPr="00EB3AB2">
        <w:t>NZHC</w:t>
      </w:r>
      <w:proofErr w:type="spellEnd"/>
      <w:r w:rsidRPr="00EB3AB2">
        <w:t xml:space="preserve"> 2497. </w:t>
      </w:r>
    </w:p>
  </w:footnote>
  <w:footnote w:id="11">
    <w:p w14:paraId="08F3D616" w14:textId="1DC14089" w:rsidR="00E724AC" w:rsidRDefault="00E724AC">
      <w:pPr>
        <w:pStyle w:val="FootnoteText"/>
      </w:pPr>
      <w:r>
        <w:rPr>
          <w:rStyle w:val="FootnoteReference"/>
        </w:rPr>
        <w:footnoteRef/>
      </w:r>
      <w:r>
        <w:t xml:space="preserve"> </w:t>
      </w:r>
      <w:r>
        <w:tab/>
        <w:t xml:space="preserve">Legislative Design and Advisory Committee, </w:t>
      </w:r>
      <w:r w:rsidRPr="00E724AC">
        <w:rPr>
          <w:i/>
          <w:iCs/>
        </w:rPr>
        <w:t>Legislation Guidelines 2021 edition</w:t>
      </w:r>
      <w:r>
        <w:t xml:space="preserve">, available at: </w:t>
      </w:r>
      <w:hyperlink r:id="rId1" w:history="1">
        <w:r w:rsidRPr="004B5CE4">
          <w:rPr>
            <w:rStyle w:val="Hyperlink"/>
          </w:rPr>
          <w:t>https://www.ldac.org.nz/guidelines/legislation-guidelines-2021-edition</w:t>
        </w:r>
      </w:hyperlink>
      <w:r>
        <w:t xml:space="preserve"> </w:t>
      </w:r>
    </w:p>
  </w:footnote>
  <w:footnote w:id="12">
    <w:p w14:paraId="7E4A9751" w14:textId="3D00E928" w:rsidR="0071668A" w:rsidRDefault="0071668A">
      <w:pPr>
        <w:pStyle w:val="FootnoteText"/>
      </w:pPr>
      <w:r>
        <w:rPr>
          <w:rStyle w:val="FootnoteReference"/>
        </w:rPr>
        <w:footnoteRef/>
      </w:r>
      <w:r>
        <w:t xml:space="preserve"> </w:t>
      </w:r>
      <w:r>
        <w:tab/>
        <w:t xml:space="preserve">The Ministry inevitably will come to hold thousands of hours of on-board footage, and it would be challenging for officials to review all footage against what was reported. To meaningfully use the information it holds, the Ministry therefore </w:t>
      </w:r>
      <w:r w:rsidR="00DD0FB7">
        <w:t>is and would continue to be</w:t>
      </w:r>
      <w:r>
        <w:t xml:space="preserve"> reliant on accurate self-reporting by fishing operators to identify incidents or </w:t>
      </w:r>
      <w:r w:rsidR="00DD0FB7">
        <w:t xml:space="preserve">adverse </w:t>
      </w:r>
      <w:r>
        <w:t xml:space="preserve">interactions with protected species. </w:t>
      </w:r>
      <w:r w:rsidR="006A3D3A">
        <w:t>Were</w:t>
      </w:r>
      <w:r>
        <w:t xml:space="preserve"> the Ministry </w:t>
      </w:r>
      <w:r w:rsidR="006A3D3A">
        <w:t>to routinely</w:t>
      </w:r>
      <w:r>
        <w:t xml:space="preserve"> released such footage, fishing operators may be inhibited from providing the Ministry with accurate information about what the footage reveals. This in turn would undermine the usefulness of on-board camera footage as a fisheries management tool.</w:t>
      </w:r>
    </w:p>
  </w:footnote>
  <w:footnote w:id="13">
    <w:p w14:paraId="58162A5C" w14:textId="0AF214DA" w:rsidR="00956FB9" w:rsidRDefault="00956FB9">
      <w:pPr>
        <w:pStyle w:val="FootnoteText"/>
      </w:pPr>
      <w:r>
        <w:rPr>
          <w:rStyle w:val="FootnoteReference"/>
        </w:rPr>
        <w:footnoteRef/>
      </w:r>
      <w:r>
        <w:t xml:space="preserve"> </w:t>
      </w:r>
      <w:r>
        <w:tab/>
        <w:t>Section 9(2)(a) of the OIA.</w:t>
      </w:r>
    </w:p>
  </w:footnote>
  <w:footnote w:id="14">
    <w:p w14:paraId="67D309BB" w14:textId="6112F072" w:rsidR="00956FB9" w:rsidRDefault="00956FB9">
      <w:pPr>
        <w:pStyle w:val="FootnoteText"/>
      </w:pPr>
      <w:r>
        <w:rPr>
          <w:rStyle w:val="FootnoteReference"/>
        </w:rPr>
        <w:footnoteRef/>
      </w:r>
      <w:r>
        <w:t xml:space="preserve"> </w:t>
      </w:r>
      <w:r>
        <w:tab/>
        <w:t>Section 9(2)(b)(ii) of the OIA.</w:t>
      </w:r>
    </w:p>
  </w:footnote>
  <w:footnote w:id="15">
    <w:p w14:paraId="45D913DB" w14:textId="0D46BCE2" w:rsidR="00956FB9" w:rsidRDefault="00956FB9">
      <w:pPr>
        <w:pStyle w:val="FootnoteText"/>
      </w:pPr>
      <w:r>
        <w:rPr>
          <w:rStyle w:val="FootnoteReference"/>
        </w:rPr>
        <w:footnoteRef/>
      </w:r>
      <w:r>
        <w:t xml:space="preserve"> </w:t>
      </w:r>
      <w:r>
        <w:tab/>
      </w:r>
      <w:r w:rsidRPr="00956FB9">
        <w:t>Section 9(2)(k) of the OIA.</w:t>
      </w:r>
    </w:p>
  </w:footnote>
  <w:footnote w:id="16">
    <w:p w14:paraId="47DF5C0E" w14:textId="2A1BD6FF" w:rsidR="00527CFF" w:rsidRDefault="00527CFF">
      <w:pPr>
        <w:pStyle w:val="FootnoteText"/>
      </w:pPr>
      <w:r>
        <w:rPr>
          <w:rStyle w:val="FootnoteReference"/>
        </w:rPr>
        <w:footnoteRef/>
      </w:r>
      <w:r>
        <w:t xml:space="preserve"> </w:t>
      </w:r>
      <w:r>
        <w:tab/>
        <w:t>Section 6(c) of the OIA.</w:t>
      </w:r>
    </w:p>
  </w:footnote>
  <w:footnote w:id="17">
    <w:p w14:paraId="10F50630" w14:textId="7DF58BD0" w:rsidR="008A40EB" w:rsidRDefault="008A40EB">
      <w:pPr>
        <w:pStyle w:val="FootnoteText"/>
      </w:pPr>
      <w:r>
        <w:rPr>
          <w:rStyle w:val="FootnoteReference"/>
        </w:rPr>
        <w:footnoteRef/>
      </w:r>
      <w:r>
        <w:t xml:space="preserve"> </w:t>
      </w:r>
      <w:r>
        <w:tab/>
        <w:t>Section 28(1)(c) of the OIA.</w:t>
      </w:r>
    </w:p>
  </w:footnote>
  <w:footnote w:id="18">
    <w:p w14:paraId="25772600" w14:textId="34C58B06" w:rsidR="008A40EB" w:rsidRDefault="008A40EB">
      <w:pPr>
        <w:pStyle w:val="FootnoteText"/>
      </w:pPr>
      <w:r>
        <w:rPr>
          <w:rStyle w:val="FootnoteReference"/>
        </w:rPr>
        <w:footnoteRef/>
      </w:r>
      <w:r>
        <w:t xml:space="preserve"> </w:t>
      </w:r>
      <w:r>
        <w:tab/>
        <w:t>Section 48 of the OIA.</w:t>
      </w:r>
    </w:p>
  </w:footnote>
  <w:footnote w:id="19">
    <w:p w14:paraId="66CD65BD" w14:textId="085FC5B9" w:rsidR="00B74FFC" w:rsidRDefault="00B74FFC">
      <w:pPr>
        <w:pStyle w:val="FootnoteText"/>
      </w:pPr>
      <w:r>
        <w:rPr>
          <w:rStyle w:val="FootnoteReference"/>
        </w:rPr>
        <w:footnoteRef/>
      </w:r>
      <w:r>
        <w:t xml:space="preserve"> </w:t>
      </w:r>
      <w:r>
        <w:tab/>
        <w:t>Section 20A of the Summary Offences Act.</w:t>
      </w:r>
    </w:p>
  </w:footnote>
  <w:footnote w:id="20">
    <w:p w14:paraId="3C418B95" w14:textId="31E9DCA5" w:rsidR="00B74FFC" w:rsidRDefault="00B74FFC">
      <w:pPr>
        <w:pStyle w:val="FootnoteText"/>
      </w:pPr>
      <w:r>
        <w:rPr>
          <w:rStyle w:val="FootnoteReference"/>
        </w:rPr>
        <w:footnoteRef/>
      </w:r>
      <w:r>
        <w:t xml:space="preserve"> </w:t>
      </w:r>
      <w:r>
        <w:tab/>
        <w:t>Section 105A of the Crimes Act.</w:t>
      </w:r>
    </w:p>
  </w:footnote>
  <w:footnote w:id="21">
    <w:p w14:paraId="172117B7" w14:textId="18E98368" w:rsidR="009510FC" w:rsidRDefault="009510FC" w:rsidP="009510FC">
      <w:pPr>
        <w:pStyle w:val="FootnoteText"/>
      </w:pPr>
      <w:r>
        <w:rPr>
          <w:rStyle w:val="FootnoteReference"/>
        </w:rPr>
        <w:footnoteRef/>
      </w:r>
      <w:r>
        <w:t xml:space="preserve"> </w:t>
      </w:r>
      <w:r>
        <w:tab/>
      </w:r>
      <w:r w:rsidRPr="0071668A">
        <w:t xml:space="preserve">Section 8 of the Fisheries Act. </w:t>
      </w:r>
      <w:r w:rsidR="00FD08B0">
        <w:t>U</w:t>
      </w:r>
      <w:r>
        <w:rPr>
          <w:b/>
          <w:bCs/>
        </w:rPr>
        <w:t>tilisation</w:t>
      </w:r>
      <w:r w:rsidRPr="0071668A">
        <w:rPr>
          <w:b/>
          <w:bCs/>
        </w:rPr>
        <w:t xml:space="preserve"> </w:t>
      </w:r>
      <w:r>
        <w:t>is defined as</w:t>
      </w:r>
      <w:r w:rsidRPr="0071668A">
        <w:t xml:space="preserve"> ‘</w:t>
      </w:r>
      <w:r w:rsidRPr="0071668A">
        <w:rPr>
          <w:i/>
          <w:iCs/>
        </w:rPr>
        <w:t>conserving, using, enhancing, and developing fisheries resources to enable people to provide for their social, economic, and cultural well-being</w:t>
      </w:r>
      <w:r w:rsidRPr="0071668A">
        <w:t xml:space="preserve">’. </w:t>
      </w:r>
      <w:r w:rsidRPr="0071668A">
        <w:rPr>
          <w:b/>
          <w:bCs/>
        </w:rPr>
        <w:t xml:space="preserve">Ensuring sustainability </w:t>
      </w:r>
      <w:r>
        <w:t>is defined as</w:t>
      </w:r>
      <w:r w:rsidRPr="0071668A">
        <w:t xml:space="preserve"> ‘</w:t>
      </w:r>
      <w:r w:rsidRPr="0071668A">
        <w:rPr>
          <w:i/>
          <w:iCs/>
        </w:rPr>
        <w:t>maintaining the potential of fisheries resources to meet the reasonably foreseeable needs of future generations; and avoiding, remedying, or mitigating any adverse effects of fishing on the aquatic environment</w:t>
      </w:r>
      <w:r w:rsidRPr="0071668A">
        <w:t>’.</w:t>
      </w:r>
      <w:r w:rsidRPr="009510FC">
        <w:t xml:space="preserve"> </w:t>
      </w:r>
    </w:p>
  </w:footnote>
  <w:footnote w:id="22">
    <w:p w14:paraId="7DB348C2" w14:textId="64FB964D" w:rsidR="00F91740" w:rsidRPr="00F91740" w:rsidRDefault="00F91740">
      <w:pPr>
        <w:pStyle w:val="FootnoteText"/>
      </w:pPr>
      <w:r>
        <w:rPr>
          <w:rStyle w:val="FootnoteReference"/>
        </w:rPr>
        <w:footnoteRef/>
      </w:r>
      <w:r>
        <w:t xml:space="preserve"> </w:t>
      </w:r>
      <w:r>
        <w:tab/>
        <w:t xml:space="preserve">Ministry for Primary Industries, </w:t>
      </w:r>
      <w:r w:rsidRPr="00F91740">
        <w:rPr>
          <w:i/>
          <w:iCs/>
        </w:rPr>
        <w:t>On-board cameras for commercial fishing vessels</w:t>
      </w:r>
      <w:r>
        <w:t xml:space="preserve">, available at: </w:t>
      </w:r>
      <w:hyperlink r:id="rId2" w:history="1">
        <w:r w:rsidRPr="00BF637C">
          <w:rPr>
            <w:rStyle w:val="Hyperlink"/>
          </w:rPr>
          <w:t>https://www.mpi.govt.nz/fishing-aquaculture/commercial-fishing/digital-monitoring-of-commercial-fishing/on-board-cameras-for-commercial-fishing-vessels</w:t>
        </w:r>
      </w:hyperlink>
      <w:r>
        <w:t xml:space="preserve">. </w:t>
      </w:r>
    </w:p>
  </w:footnote>
  <w:footnote w:id="23">
    <w:p w14:paraId="7FD71DBD" w14:textId="348A87BE" w:rsidR="004B57AB" w:rsidRDefault="004B57AB">
      <w:pPr>
        <w:pStyle w:val="FootnoteText"/>
      </w:pPr>
      <w:r>
        <w:rPr>
          <w:rStyle w:val="FootnoteReference"/>
        </w:rPr>
        <w:footnoteRef/>
      </w:r>
      <w:r>
        <w:t xml:space="preserve"> </w:t>
      </w:r>
      <w:r>
        <w:tab/>
        <w:t>Section 9(2)(a) of the OIA.</w:t>
      </w:r>
    </w:p>
  </w:footnote>
  <w:footnote w:id="24">
    <w:p w14:paraId="58B51103" w14:textId="76E8B8C0" w:rsidR="004B57AB" w:rsidRDefault="004B57AB">
      <w:pPr>
        <w:pStyle w:val="FootnoteText"/>
      </w:pPr>
      <w:r>
        <w:rPr>
          <w:rStyle w:val="FootnoteReference"/>
        </w:rPr>
        <w:footnoteRef/>
      </w:r>
      <w:r>
        <w:t xml:space="preserve"> </w:t>
      </w:r>
      <w:r>
        <w:tab/>
        <w:t>Section 9(2)(b) of the OIA</w:t>
      </w:r>
    </w:p>
  </w:footnote>
  <w:footnote w:id="25">
    <w:p w14:paraId="67DDFE18" w14:textId="6162A893" w:rsidR="004B57AB" w:rsidRDefault="004B57AB">
      <w:pPr>
        <w:pStyle w:val="FootnoteText"/>
      </w:pPr>
      <w:r>
        <w:rPr>
          <w:rStyle w:val="FootnoteReference"/>
        </w:rPr>
        <w:footnoteRef/>
      </w:r>
      <w:r>
        <w:t xml:space="preserve"> </w:t>
      </w:r>
      <w:r>
        <w:tab/>
        <w:t>Section 9(2)(k) of the OIA.</w:t>
      </w:r>
    </w:p>
  </w:footnote>
  <w:footnote w:id="26">
    <w:p w14:paraId="028F3CB6" w14:textId="2CF06031" w:rsidR="00C50094" w:rsidRDefault="00C50094">
      <w:pPr>
        <w:pStyle w:val="FootnoteText"/>
      </w:pPr>
      <w:r>
        <w:rPr>
          <w:rStyle w:val="FootnoteReference"/>
        </w:rPr>
        <w:footnoteRef/>
      </w:r>
      <w:r>
        <w:t xml:space="preserve"> </w:t>
      </w:r>
      <w:r>
        <w:tab/>
      </w:r>
      <w:r w:rsidRPr="00C50094">
        <w:t xml:space="preserve">For more information on the public interest, see our guide </w:t>
      </w:r>
      <w:r w:rsidRPr="00C50094">
        <w:rPr>
          <w:i/>
          <w:iCs/>
        </w:rPr>
        <w:t>Public interest</w:t>
      </w:r>
      <w:r w:rsidRPr="00C50094">
        <w:t xml:space="preserve">, June 2017, available at: </w:t>
      </w:r>
      <w:hyperlink r:id="rId3" w:history="1">
        <w:r w:rsidRPr="003721A5">
          <w:rPr>
            <w:rStyle w:val="Hyperlink"/>
          </w:rPr>
          <w:t>http://www.ombudsman.parliament.nz/system/paperclip/document_files/document_files/1991/original/public_interest_june_2017.pdf?1498081531</w:t>
        </w:r>
      </w:hyperlink>
      <w:r w:rsidRPr="00C50094">
        <w:t>.</w:t>
      </w:r>
      <w:r>
        <w:t xml:space="preserve"> </w:t>
      </w:r>
      <w:r w:rsidRPr="00C50094">
        <w:t xml:space="preserve">  </w:t>
      </w:r>
    </w:p>
  </w:footnote>
  <w:footnote w:id="27">
    <w:p w14:paraId="72837BA9" w14:textId="13886DC5" w:rsidR="00C50094" w:rsidRDefault="00C50094">
      <w:pPr>
        <w:pStyle w:val="FootnoteText"/>
      </w:pPr>
      <w:r>
        <w:rPr>
          <w:rStyle w:val="FootnoteReference"/>
        </w:rPr>
        <w:footnoteRef/>
      </w:r>
      <w:r>
        <w:t xml:space="preserve"> </w:t>
      </w:r>
      <w:r>
        <w:tab/>
      </w:r>
      <w:r w:rsidRPr="00C50094">
        <w:t>The definition of ‘document’ in section 2 of the OIA includes: any information recorded or stored on a computer or other device as well as any information derived from such; and any ‘</w:t>
      </w:r>
      <w:r w:rsidRPr="00C50094">
        <w:rPr>
          <w:i/>
          <w:iCs/>
        </w:rPr>
        <w:t>photograph, film, negative, tape, or other device in which visual images are embodied</w:t>
      </w:r>
      <w:r w:rsidRPr="00C50094">
        <w:t xml:space="preserve">’ </w:t>
      </w:r>
      <w:proofErr w:type="gramStart"/>
      <w:r w:rsidRPr="00C50094">
        <w:t>so as to</w:t>
      </w:r>
      <w:proofErr w:type="gramEnd"/>
      <w:r w:rsidRPr="00C50094">
        <w:t xml:space="preserve"> be capable of being reproduced.  </w:t>
      </w:r>
    </w:p>
  </w:footnote>
  <w:footnote w:id="28">
    <w:p w14:paraId="693489CE" w14:textId="76F68E29" w:rsidR="00C50094" w:rsidRDefault="00C50094">
      <w:pPr>
        <w:pStyle w:val="FootnoteText"/>
      </w:pPr>
      <w:r>
        <w:rPr>
          <w:rStyle w:val="FootnoteReference"/>
        </w:rPr>
        <w:footnoteRef/>
      </w:r>
      <w:r>
        <w:t xml:space="preserve"> </w:t>
      </w:r>
      <w:r>
        <w:tab/>
      </w:r>
      <w:r w:rsidRPr="00C50094">
        <w:t>For more information, see the section ‘</w:t>
      </w:r>
      <w:r w:rsidRPr="00C50094">
        <w:rPr>
          <w:i/>
          <w:iCs/>
        </w:rPr>
        <w:t>Deciding how to release information</w:t>
      </w:r>
      <w:r w:rsidRPr="00C50094">
        <w:t xml:space="preserve">’ in the Ombudsman’s guide, </w:t>
      </w:r>
      <w:r w:rsidRPr="00C50094">
        <w:rPr>
          <w:i/>
          <w:iCs/>
        </w:rPr>
        <w:t>The OIA for Ministers and agencies</w:t>
      </w:r>
      <w:r w:rsidRPr="00C50094">
        <w:t xml:space="preserve">, 14 May 2019, available at: </w:t>
      </w:r>
      <w:hyperlink r:id="rId4" w:history="1">
        <w:r w:rsidRPr="003721A5">
          <w:rPr>
            <w:rStyle w:val="Hyperlink"/>
          </w:rPr>
          <w:t>https://www.ombudsman.parliament.nz/resources/oia-ministers-and-agencies-guide-processing-official-information-requests</w:t>
        </w:r>
      </w:hyperlink>
      <w:r>
        <w:t xml:space="preserve">. </w:t>
      </w:r>
      <w:r w:rsidRPr="00C50094">
        <w:t xml:space="preserve">  </w:t>
      </w:r>
    </w:p>
  </w:footnote>
  <w:footnote w:id="29">
    <w:p w14:paraId="2EF92870" w14:textId="79BED0E8" w:rsidR="00282301" w:rsidRDefault="00282301">
      <w:pPr>
        <w:pStyle w:val="FootnoteText"/>
      </w:pPr>
      <w:r>
        <w:rPr>
          <w:rStyle w:val="FootnoteReference"/>
        </w:rPr>
        <w:footnoteRef/>
      </w:r>
      <w:r>
        <w:t xml:space="preserve"> </w:t>
      </w:r>
      <w:r>
        <w:tab/>
      </w:r>
      <w:r w:rsidRPr="00282301">
        <w:t xml:space="preserve">Ministry for Primary Industries, </w:t>
      </w:r>
      <w:r w:rsidRPr="00282301">
        <w:rPr>
          <w:i/>
          <w:iCs/>
        </w:rPr>
        <w:t>Guidelines for the Release of Fisheries Information</w:t>
      </w:r>
      <w:r w:rsidRPr="00282301">
        <w:t xml:space="preserve">, May 2023, available at: </w:t>
      </w:r>
      <w:hyperlink r:id="rId5" w:history="1">
        <w:r w:rsidRPr="003721A5">
          <w:rPr>
            <w:rStyle w:val="Hyperlink"/>
          </w:rPr>
          <w:t>https://www.mpi.govt.nz/dmsdocument/34803-Guidelines-for-Release-of-Fisheries-Information</w:t>
        </w:r>
      </w:hyperlink>
      <w:r>
        <w:t xml:space="preserve">. </w:t>
      </w:r>
      <w:r w:rsidRPr="00282301">
        <w:t xml:space="preserve">  </w:t>
      </w:r>
    </w:p>
  </w:footnote>
  <w:footnote w:id="30">
    <w:p w14:paraId="3595DBD7" w14:textId="0B6B7184" w:rsidR="00C50094" w:rsidRDefault="00C50094">
      <w:pPr>
        <w:pStyle w:val="FootnoteText"/>
      </w:pPr>
      <w:r>
        <w:rPr>
          <w:rStyle w:val="FootnoteReference"/>
        </w:rPr>
        <w:footnoteRef/>
      </w:r>
      <w:r>
        <w:t xml:space="preserve"> </w:t>
      </w:r>
      <w:r>
        <w:tab/>
      </w:r>
      <w:r w:rsidRPr="00C50094">
        <w:t xml:space="preserve">Section 16(2) of the OIA states that where a requester has specified how they wish to receive information, the agency must make it available in that way unless doing so would, among other things, prejudice the interests protected by sections 6, 7 or 9 of the OIA (and, in respect of interests protected by section 9, there is no countervailing public interest).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28F0" w14:textId="77777777" w:rsidR="003830A5" w:rsidRDefault="003830A5" w:rsidP="00C87AA9">
    <w:pPr>
      <w:pStyle w:val="Header"/>
      <w:tabs>
        <w:tab w:val="right" w:pos="9321"/>
      </w:tabs>
      <w:rPr>
        <w:rStyle w:val="PageNumber"/>
      </w:rPr>
    </w:pPr>
    <w:r>
      <w:t xml:space="preserve">Office of the Ombudsman | </w:t>
    </w:r>
    <w:r w:rsidRPr="00DD54DF">
      <w:t>Tari o te Kaitiaki Mana Tangata</w:t>
    </w:r>
  </w:p>
  <w:p w14:paraId="63905CEC" w14:textId="77777777" w:rsidR="003830A5" w:rsidRPr="00661EC9" w:rsidRDefault="003830A5" w:rsidP="00C87AA9">
    <w:pPr>
      <w:pStyle w:val="Headerline"/>
      <w:rPr>
        <w:szCs w:val="2"/>
      </w:rPr>
    </w:pPr>
  </w:p>
  <w:p w14:paraId="3449AC7E" w14:textId="77777777" w:rsidR="003830A5" w:rsidRPr="00B33F0E" w:rsidRDefault="003830A5" w:rsidP="00C87AA9">
    <w:pPr>
      <w:pStyle w:val="Header"/>
      <w:rPr>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D1B4" w14:textId="77777777" w:rsidR="007D5932" w:rsidRDefault="007D5932">
    <w:pPr>
      <w:pStyle w:val="Header"/>
    </w:pPr>
    <w:r>
      <w:rPr>
        <w:noProof/>
        <w:lang w:eastAsia="en-NZ"/>
      </w:rPr>
      <w:drawing>
        <wp:anchor distT="0" distB="0" distL="114300" distR="114300" simplePos="0" relativeHeight="251659264" behindDoc="0" locked="0" layoutInCell="1" allowOverlap="1" wp14:anchorId="6A08D4DF" wp14:editId="6FDB6625">
          <wp:simplePos x="0" y="0"/>
          <wp:positionH relativeFrom="page">
            <wp:align>right</wp:align>
          </wp:positionH>
          <wp:positionV relativeFrom="page">
            <wp:posOffset>0</wp:posOffset>
          </wp:positionV>
          <wp:extent cx="3486150" cy="2571750"/>
          <wp:effectExtent l="0" t="0" r="0" b="0"/>
          <wp:wrapNone/>
          <wp:docPr id="2" name="Picture 0" title="The Ombudsman logo—features the word Ombudsman in bold font with the text ‘Fairness for all’ in a smaller font-size below. A graphic of a fern furls into the ‘O’ helping to form the first letter of the word Ombud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irst page logo-july2015.tif"/>
                  <pic:cNvPicPr/>
                </pic:nvPicPr>
                <pic:blipFill>
                  <a:blip r:embed="rId1"/>
                  <a:stretch>
                    <a:fillRect/>
                  </a:stretch>
                </pic:blipFill>
                <pic:spPr>
                  <a:xfrm>
                    <a:off x="0" y="0"/>
                    <a:ext cx="3486150" cy="2571750"/>
                  </a:xfrm>
                  <a:prstGeom prst="rect">
                    <a:avLst/>
                  </a:prstGeom>
                </pic:spPr>
              </pic:pic>
            </a:graphicData>
          </a:graphic>
        </wp:anchor>
      </w:drawing>
    </w:r>
  </w:p>
  <w:p w14:paraId="06CFB96A" w14:textId="77777777" w:rsidR="007D5932" w:rsidRDefault="007D5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F207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2" w15:restartNumberingAfterBreak="0">
    <w:nsid w:val="02941AB8"/>
    <w:multiLevelType w:val="hybridMultilevel"/>
    <w:tmpl w:val="80EEC2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2416F2"/>
    <w:multiLevelType w:val="multilevel"/>
    <w:tmpl w:val="7DEC49D8"/>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6"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7"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8"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9"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10"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1"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3"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4" w15:restartNumberingAfterBreak="0">
    <w:nsid w:val="3BBD0D8D"/>
    <w:multiLevelType w:val="multilevel"/>
    <w:tmpl w:val="07FEE126"/>
    <w:lvl w:ilvl="0">
      <w:start w:val="1"/>
      <w:numFmt w:val="none"/>
      <w:suff w:val="nothing"/>
      <w:lvlText w:val=""/>
      <w:lvlJc w:val="left"/>
      <w:pPr>
        <w:ind w:left="357" w:firstLine="0"/>
      </w:pPr>
      <w:rPr>
        <w:rFonts w:hint="default"/>
      </w:rPr>
    </w:lvl>
    <w:lvl w:ilvl="1">
      <w:start w:val="1"/>
      <w:numFmt w:val="none"/>
      <w:suff w:val="nothing"/>
      <w:lvlText w:val=""/>
      <w:lvlJc w:val="left"/>
      <w:pPr>
        <w:ind w:left="714" w:firstLine="0"/>
      </w:pPr>
      <w:rPr>
        <w:rFonts w:hint="default"/>
      </w:rPr>
    </w:lvl>
    <w:lvl w:ilvl="2">
      <w:start w:val="1"/>
      <w:numFmt w:val="none"/>
      <w:suff w:val="nothing"/>
      <w:lvlText w:val=""/>
      <w:lvlJc w:val="left"/>
      <w:pPr>
        <w:ind w:left="1072" w:firstLine="0"/>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5"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6"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8" w15:restartNumberingAfterBreak="0">
    <w:nsid w:val="5F465289"/>
    <w:multiLevelType w:val="multilevel"/>
    <w:tmpl w:val="906E30B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20"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D540EC5"/>
    <w:multiLevelType w:val="multilevel"/>
    <w:tmpl w:val="E190D37E"/>
    <w:lvl w:ilvl="0">
      <w:start w:val="1"/>
      <w:numFmt w:val="none"/>
      <w:suff w:val="nothing"/>
      <w:lvlText w:val=""/>
      <w:lvlJc w:val="left"/>
      <w:pPr>
        <w:ind w:left="567" w:firstLine="0"/>
      </w:pPr>
      <w:rPr>
        <w:rFonts w:hint="default"/>
      </w:rPr>
    </w:lvl>
    <w:lvl w:ilvl="1">
      <w:start w:val="1"/>
      <w:numFmt w:val="none"/>
      <w:suff w:val="space"/>
      <w:lvlText w:val=""/>
      <w:lvlJc w:val="left"/>
      <w:pPr>
        <w:ind w:left="1134" w:firstLine="0"/>
      </w:pPr>
      <w:rPr>
        <w:rFonts w:hint="default"/>
      </w:rPr>
    </w:lvl>
    <w:lvl w:ilvl="2">
      <w:start w:val="1"/>
      <w:numFmt w:val="none"/>
      <w:suff w:val="nothing"/>
      <w:lvlText w:val=""/>
      <w:lvlJc w:val="left"/>
      <w:pPr>
        <w:ind w:left="1701" w:firstLine="0"/>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22"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3"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5"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16cid:durableId="865141715">
    <w:abstractNumId w:val="18"/>
  </w:num>
  <w:num w:numId="2" w16cid:durableId="119420024">
    <w:abstractNumId w:val="4"/>
  </w:num>
  <w:num w:numId="3" w16cid:durableId="1322386567">
    <w:abstractNumId w:val="11"/>
  </w:num>
  <w:num w:numId="4" w16cid:durableId="32578571">
    <w:abstractNumId w:val="20"/>
  </w:num>
  <w:num w:numId="5" w16cid:durableId="1894153385">
    <w:abstractNumId w:val="26"/>
  </w:num>
  <w:num w:numId="6" w16cid:durableId="661735684">
    <w:abstractNumId w:val="25"/>
  </w:num>
  <w:num w:numId="7" w16cid:durableId="1307127835">
    <w:abstractNumId w:val="16"/>
  </w:num>
  <w:num w:numId="8" w16cid:durableId="1551068727">
    <w:abstractNumId w:val="8"/>
  </w:num>
  <w:num w:numId="9" w16cid:durableId="1745029640">
    <w:abstractNumId w:val="6"/>
  </w:num>
  <w:num w:numId="10" w16cid:durableId="1713113492">
    <w:abstractNumId w:val="23"/>
  </w:num>
  <w:num w:numId="11" w16cid:durableId="1492023810">
    <w:abstractNumId w:val="13"/>
  </w:num>
  <w:num w:numId="12" w16cid:durableId="1243102145">
    <w:abstractNumId w:val="27"/>
  </w:num>
  <w:num w:numId="13" w16cid:durableId="1672547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8057372">
    <w:abstractNumId w:val="15"/>
  </w:num>
  <w:num w:numId="15" w16cid:durableId="2048333848">
    <w:abstractNumId w:val="24"/>
  </w:num>
  <w:num w:numId="16" w16cid:durableId="1274631632">
    <w:abstractNumId w:val="10"/>
  </w:num>
  <w:num w:numId="17" w16cid:durableId="1999112731">
    <w:abstractNumId w:val="21"/>
  </w:num>
  <w:num w:numId="18" w16cid:durableId="1114059063">
    <w:abstractNumId w:val="5"/>
  </w:num>
  <w:num w:numId="19" w16cid:durableId="1992557653">
    <w:abstractNumId w:val="22"/>
  </w:num>
  <w:num w:numId="20" w16cid:durableId="1708943201">
    <w:abstractNumId w:val="17"/>
  </w:num>
  <w:num w:numId="21" w16cid:durableId="1690132877">
    <w:abstractNumId w:val="7"/>
  </w:num>
  <w:num w:numId="22" w16cid:durableId="576403923">
    <w:abstractNumId w:val="9"/>
  </w:num>
  <w:num w:numId="23" w16cid:durableId="1788158964">
    <w:abstractNumId w:val="19"/>
  </w:num>
  <w:num w:numId="24" w16cid:durableId="34744406">
    <w:abstractNumId w:val="1"/>
  </w:num>
  <w:num w:numId="25" w16cid:durableId="1628050632">
    <w:abstractNumId w:val="14"/>
  </w:num>
  <w:num w:numId="26" w16cid:durableId="1351371529">
    <w:abstractNumId w:val="12"/>
  </w:num>
  <w:num w:numId="27" w16cid:durableId="976490325">
    <w:abstractNumId w:val="6"/>
  </w:num>
  <w:num w:numId="28" w16cid:durableId="1504466424">
    <w:abstractNumId w:val="8"/>
  </w:num>
  <w:num w:numId="29" w16cid:durableId="987200262">
    <w:abstractNumId w:val="24"/>
  </w:num>
  <w:num w:numId="30" w16cid:durableId="2117090979">
    <w:abstractNumId w:val="0"/>
  </w:num>
  <w:num w:numId="31" w16cid:durableId="712343002">
    <w:abstractNumId w:val="24"/>
  </w:num>
  <w:num w:numId="32" w16cid:durableId="1434979489">
    <w:abstractNumId w:val="24"/>
  </w:num>
  <w:num w:numId="33" w16cid:durableId="436097642">
    <w:abstractNumId w:val="2"/>
  </w:num>
  <w:num w:numId="34" w16cid:durableId="1057558441">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drawingGridHorizontalSpacing w:val="120"/>
  <w:displayHorizontalDrawingGridEvery w:val="2"/>
  <w:characterSpacingControl w:val="doNotCompress"/>
  <w:savePreviewPicture/>
  <w:hdrShapeDefaults>
    <o:shapedefaults v:ext="edit" spidmax="2050" fillcolor="none [3204]" strokecolor="none [3204]">
      <v:fill color="none [3204]"/>
      <v:stroke color="none [3204]" weight="3pt"/>
      <v:shadow type="perspective" color="none [1604]" opacity=".5" offset="1pt" offset2="-1pt"/>
    </o:shapedefaults>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sfirstTb" w:val="True"/>
    <w:docVar w:name="IsInTable" w:val="True"/>
    <w:docVar w:name="OOTOTemplate" w:val="OOTO General\Letter.dotm"/>
    <w:docVar w:name="ShowLogo" w:val="True"/>
  </w:docVars>
  <w:rsids>
    <w:rsidRoot w:val="007D5932"/>
    <w:rsid w:val="000018C2"/>
    <w:rsid w:val="00001AC4"/>
    <w:rsid w:val="000024B9"/>
    <w:rsid w:val="00002BCB"/>
    <w:rsid w:val="00002E2B"/>
    <w:rsid w:val="00006030"/>
    <w:rsid w:val="0000771B"/>
    <w:rsid w:val="0001330D"/>
    <w:rsid w:val="00013374"/>
    <w:rsid w:val="00013791"/>
    <w:rsid w:val="00013B28"/>
    <w:rsid w:val="000208FD"/>
    <w:rsid w:val="00021382"/>
    <w:rsid w:val="00024EC6"/>
    <w:rsid w:val="00024F53"/>
    <w:rsid w:val="000267B0"/>
    <w:rsid w:val="00026A3B"/>
    <w:rsid w:val="000312D0"/>
    <w:rsid w:val="000328E9"/>
    <w:rsid w:val="00032A75"/>
    <w:rsid w:val="00035821"/>
    <w:rsid w:val="00036BC6"/>
    <w:rsid w:val="0003734B"/>
    <w:rsid w:val="00041615"/>
    <w:rsid w:val="00042CA5"/>
    <w:rsid w:val="00045FD7"/>
    <w:rsid w:val="00047301"/>
    <w:rsid w:val="00050123"/>
    <w:rsid w:val="00050252"/>
    <w:rsid w:val="00051727"/>
    <w:rsid w:val="00053114"/>
    <w:rsid w:val="00054E4E"/>
    <w:rsid w:val="00057C4D"/>
    <w:rsid w:val="00060D58"/>
    <w:rsid w:val="00065881"/>
    <w:rsid w:val="00065B24"/>
    <w:rsid w:val="00066BB6"/>
    <w:rsid w:val="00067415"/>
    <w:rsid w:val="000674B8"/>
    <w:rsid w:val="00070EA6"/>
    <w:rsid w:val="0007177A"/>
    <w:rsid w:val="00075590"/>
    <w:rsid w:val="00077ADE"/>
    <w:rsid w:val="000822C8"/>
    <w:rsid w:val="00082841"/>
    <w:rsid w:val="00083C71"/>
    <w:rsid w:val="000903AB"/>
    <w:rsid w:val="00091B6C"/>
    <w:rsid w:val="000929F9"/>
    <w:rsid w:val="00093C9D"/>
    <w:rsid w:val="000965C4"/>
    <w:rsid w:val="00097E3A"/>
    <w:rsid w:val="000A03FF"/>
    <w:rsid w:val="000A09F8"/>
    <w:rsid w:val="000A1AD7"/>
    <w:rsid w:val="000A34FF"/>
    <w:rsid w:val="000A4D08"/>
    <w:rsid w:val="000A56A9"/>
    <w:rsid w:val="000A6D5B"/>
    <w:rsid w:val="000B0B3D"/>
    <w:rsid w:val="000B0CE5"/>
    <w:rsid w:val="000B0F95"/>
    <w:rsid w:val="000B43C3"/>
    <w:rsid w:val="000C487C"/>
    <w:rsid w:val="000C6407"/>
    <w:rsid w:val="000C7F2F"/>
    <w:rsid w:val="000D2571"/>
    <w:rsid w:val="000D4757"/>
    <w:rsid w:val="000D6125"/>
    <w:rsid w:val="000D6DA5"/>
    <w:rsid w:val="000D6FA6"/>
    <w:rsid w:val="000D6FD1"/>
    <w:rsid w:val="000E0B59"/>
    <w:rsid w:val="000E2563"/>
    <w:rsid w:val="000E2C2F"/>
    <w:rsid w:val="000E531A"/>
    <w:rsid w:val="000E64C5"/>
    <w:rsid w:val="000E6826"/>
    <w:rsid w:val="000E7F49"/>
    <w:rsid w:val="000E7F5F"/>
    <w:rsid w:val="000F098C"/>
    <w:rsid w:val="000F2672"/>
    <w:rsid w:val="000F32C4"/>
    <w:rsid w:val="000F457C"/>
    <w:rsid w:val="000F4A8C"/>
    <w:rsid w:val="000F5D79"/>
    <w:rsid w:val="000F7114"/>
    <w:rsid w:val="00100A7E"/>
    <w:rsid w:val="0010219A"/>
    <w:rsid w:val="001042D6"/>
    <w:rsid w:val="00106CB7"/>
    <w:rsid w:val="0011107E"/>
    <w:rsid w:val="001138D9"/>
    <w:rsid w:val="001142CC"/>
    <w:rsid w:val="00114C6B"/>
    <w:rsid w:val="00116242"/>
    <w:rsid w:val="00123761"/>
    <w:rsid w:val="00124AD1"/>
    <w:rsid w:val="00124D4C"/>
    <w:rsid w:val="00124EF0"/>
    <w:rsid w:val="00131F69"/>
    <w:rsid w:val="001339E3"/>
    <w:rsid w:val="00134987"/>
    <w:rsid w:val="00134AD8"/>
    <w:rsid w:val="00135CA0"/>
    <w:rsid w:val="00140996"/>
    <w:rsid w:val="00140DAC"/>
    <w:rsid w:val="0014247B"/>
    <w:rsid w:val="0014724A"/>
    <w:rsid w:val="00150AD4"/>
    <w:rsid w:val="00151F5B"/>
    <w:rsid w:val="0015216F"/>
    <w:rsid w:val="00152B5D"/>
    <w:rsid w:val="001534B7"/>
    <w:rsid w:val="001535C0"/>
    <w:rsid w:val="001556D8"/>
    <w:rsid w:val="00157058"/>
    <w:rsid w:val="00157E61"/>
    <w:rsid w:val="00160E82"/>
    <w:rsid w:val="001614A9"/>
    <w:rsid w:val="0016150C"/>
    <w:rsid w:val="00164BB6"/>
    <w:rsid w:val="00166496"/>
    <w:rsid w:val="00166C30"/>
    <w:rsid w:val="001702ED"/>
    <w:rsid w:val="00173403"/>
    <w:rsid w:val="001753BE"/>
    <w:rsid w:val="0017697D"/>
    <w:rsid w:val="001803F6"/>
    <w:rsid w:val="00180A6A"/>
    <w:rsid w:val="00181985"/>
    <w:rsid w:val="001822E3"/>
    <w:rsid w:val="00185DD7"/>
    <w:rsid w:val="00185EFA"/>
    <w:rsid w:val="00186A52"/>
    <w:rsid w:val="001872A2"/>
    <w:rsid w:val="00190A34"/>
    <w:rsid w:val="001922D6"/>
    <w:rsid w:val="00194280"/>
    <w:rsid w:val="001944D8"/>
    <w:rsid w:val="001960D2"/>
    <w:rsid w:val="00196695"/>
    <w:rsid w:val="001A33E7"/>
    <w:rsid w:val="001A4C19"/>
    <w:rsid w:val="001A58D5"/>
    <w:rsid w:val="001B0F3B"/>
    <w:rsid w:val="001B2B62"/>
    <w:rsid w:val="001C5615"/>
    <w:rsid w:val="001C6CF7"/>
    <w:rsid w:val="001D22A6"/>
    <w:rsid w:val="001D485B"/>
    <w:rsid w:val="001D6D7E"/>
    <w:rsid w:val="001D7C6B"/>
    <w:rsid w:val="001E067E"/>
    <w:rsid w:val="001E16D0"/>
    <w:rsid w:val="001E24C9"/>
    <w:rsid w:val="001E4209"/>
    <w:rsid w:val="001F0B73"/>
    <w:rsid w:val="001F0C1C"/>
    <w:rsid w:val="001F12AF"/>
    <w:rsid w:val="001F14C5"/>
    <w:rsid w:val="001F1B59"/>
    <w:rsid w:val="001F20AE"/>
    <w:rsid w:val="001F22B8"/>
    <w:rsid w:val="001F30AF"/>
    <w:rsid w:val="001F6AB8"/>
    <w:rsid w:val="00205104"/>
    <w:rsid w:val="00205556"/>
    <w:rsid w:val="0021064F"/>
    <w:rsid w:val="00211A8F"/>
    <w:rsid w:val="00214179"/>
    <w:rsid w:val="002161AE"/>
    <w:rsid w:val="00216BA0"/>
    <w:rsid w:val="00216EB8"/>
    <w:rsid w:val="00217F95"/>
    <w:rsid w:val="002220F9"/>
    <w:rsid w:val="00222C75"/>
    <w:rsid w:val="00222EA0"/>
    <w:rsid w:val="002232D2"/>
    <w:rsid w:val="00224421"/>
    <w:rsid w:val="00225598"/>
    <w:rsid w:val="0023071A"/>
    <w:rsid w:val="00230CBA"/>
    <w:rsid w:val="00230D1B"/>
    <w:rsid w:val="00230FF4"/>
    <w:rsid w:val="00234FF1"/>
    <w:rsid w:val="0023585A"/>
    <w:rsid w:val="002400BF"/>
    <w:rsid w:val="0024195D"/>
    <w:rsid w:val="002424FD"/>
    <w:rsid w:val="0024270D"/>
    <w:rsid w:val="00243DA6"/>
    <w:rsid w:val="0024417B"/>
    <w:rsid w:val="002444F5"/>
    <w:rsid w:val="00245ACC"/>
    <w:rsid w:val="002461B7"/>
    <w:rsid w:val="00246817"/>
    <w:rsid w:val="00251456"/>
    <w:rsid w:val="00253466"/>
    <w:rsid w:val="002638F1"/>
    <w:rsid w:val="00266D63"/>
    <w:rsid w:val="00267EC6"/>
    <w:rsid w:val="0027214C"/>
    <w:rsid w:val="002728BB"/>
    <w:rsid w:val="00275D9F"/>
    <w:rsid w:val="002819FD"/>
    <w:rsid w:val="00282301"/>
    <w:rsid w:val="002827E6"/>
    <w:rsid w:val="00283493"/>
    <w:rsid w:val="00283CAD"/>
    <w:rsid w:val="002841A8"/>
    <w:rsid w:val="002875E4"/>
    <w:rsid w:val="0029341F"/>
    <w:rsid w:val="00295101"/>
    <w:rsid w:val="00296963"/>
    <w:rsid w:val="002A1D84"/>
    <w:rsid w:val="002A3296"/>
    <w:rsid w:val="002A3917"/>
    <w:rsid w:val="002A3CF1"/>
    <w:rsid w:val="002A6752"/>
    <w:rsid w:val="002A698D"/>
    <w:rsid w:val="002B031A"/>
    <w:rsid w:val="002B0E1C"/>
    <w:rsid w:val="002B2566"/>
    <w:rsid w:val="002B319F"/>
    <w:rsid w:val="002B5274"/>
    <w:rsid w:val="002B6A20"/>
    <w:rsid w:val="002C069E"/>
    <w:rsid w:val="002C11F6"/>
    <w:rsid w:val="002C2B79"/>
    <w:rsid w:val="002C2CF6"/>
    <w:rsid w:val="002C4624"/>
    <w:rsid w:val="002C6076"/>
    <w:rsid w:val="002C64FF"/>
    <w:rsid w:val="002D00DA"/>
    <w:rsid w:val="002D09E7"/>
    <w:rsid w:val="002D2580"/>
    <w:rsid w:val="002D35D7"/>
    <w:rsid w:val="002D4A7A"/>
    <w:rsid w:val="002D5E04"/>
    <w:rsid w:val="002D6E92"/>
    <w:rsid w:val="002E0138"/>
    <w:rsid w:val="002E24B7"/>
    <w:rsid w:val="002E2E8D"/>
    <w:rsid w:val="002E485E"/>
    <w:rsid w:val="002E6678"/>
    <w:rsid w:val="002E7905"/>
    <w:rsid w:val="002E7C6B"/>
    <w:rsid w:val="002F6B08"/>
    <w:rsid w:val="003002CA"/>
    <w:rsid w:val="0030321F"/>
    <w:rsid w:val="0030388D"/>
    <w:rsid w:val="0030499F"/>
    <w:rsid w:val="00304E0C"/>
    <w:rsid w:val="00310607"/>
    <w:rsid w:val="00310D7C"/>
    <w:rsid w:val="00311D3A"/>
    <w:rsid w:val="00317D8B"/>
    <w:rsid w:val="00320C71"/>
    <w:rsid w:val="00321D36"/>
    <w:rsid w:val="00324E53"/>
    <w:rsid w:val="00330FEA"/>
    <w:rsid w:val="00333242"/>
    <w:rsid w:val="00335571"/>
    <w:rsid w:val="00336ACD"/>
    <w:rsid w:val="003374ED"/>
    <w:rsid w:val="00337764"/>
    <w:rsid w:val="00337DC5"/>
    <w:rsid w:val="003409B5"/>
    <w:rsid w:val="0034212F"/>
    <w:rsid w:val="003433A7"/>
    <w:rsid w:val="00344794"/>
    <w:rsid w:val="00345A5D"/>
    <w:rsid w:val="0034712E"/>
    <w:rsid w:val="00350140"/>
    <w:rsid w:val="00350CBA"/>
    <w:rsid w:val="003516B6"/>
    <w:rsid w:val="00353543"/>
    <w:rsid w:val="00354FE8"/>
    <w:rsid w:val="003550A3"/>
    <w:rsid w:val="003562FE"/>
    <w:rsid w:val="00356A73"/>
    <w:rsid w:val="00357664"/>
    <w:rsid w:val="00357A42"/>
    <w:rsid w:val="0036073D"/>
    <w:rsid w:val="0036078D"/>
    <w:rsid w:val="003612FC"/>
    <w:rsid w:val="00361F09"/>
    <w:rsid w:val="003621D8"/>
    <w:rsid w:val="00362618"/>
    <w:rsid w:val="003637A8"/>
    <w:rsid w:val="003650C9"/>
    <w:rsid w:val="00365418"/>
    <w:rsid w:val="003667CC"/>
    <w:rsid w:val="00370C93"/>
    <w:rsid w:val="00371B5E"/>
    <w:rsid w:val="00373DCE"/>
    <w:rsid w:val="003745C6"/>
    <w:rsid w:val="00374A3B"/>
    <w:rsid w:val="00380FE6"/>
    <w:rsid w:val="0038161B"/>
    <w:rsid w:val="00381FBC"/>
    <w:rsid w:val="003830A5"/>
    <w:rsid w:val="00383460"/>
    <w:rsid w:val="00384857"/>
    <w:rsid w:val="00384CF4"/>
    <w:rsid w:val="00385792"/>
    <w:rsid w:val="00385BCC"/>
    <w:rsid w:val="00385F42"/>
    <w:rsid w:val="0038755B"/>
    <w:rsid w:val="003879CD"/>
    <w:rsid w:val="00391638"/>
    <w:rsid w:val="00392967"/>
    <w:rsid w:val="003943E2"/>
    <w:rsid w:val="00394EDE"/>
    <w:rsid w:val="00395985"/>
    <w:rsid w:val="00396770"/>
    <w:rsid w:val="003A1465"/>
    <w:rsid w:val="003A15CE"/>
    <w:rsid w:val="003A1E6E"/>
    <w:rsid w:val="003A4539"/>
    <w:rsid w:val="003A4BE0"/>
    <w:rsid w:val="003A4EB3"/>
    <w:rsid w:val="003A6BA0"/>
    <w:rsid w:val="003A6EC5"/>
    <w:rsid w:val="003A703A"/>
    <w:rsid w:val="003B0C93"/>
    <w:rsid w:val="003B3270"/>
    <w:rsid w:val="003B3573"/>
    <w:rsid w:val="003B46E7"/>
    <w:rsid w:val="003B4B62"/>
    <w:rsid w:val="003B70B4"/>
    <w:rsid w:val="003C0912"/>
    <w:rsid w:val="003C0B68"/>
    <w:rsid w:val="003C2059"/>
    <w:rsid w:val="003C34C5"/>
    <w:rsid w:val="003C554E"/>
    <w:rsid w:val="003D139D"/>
    <w:rsid w:val="003D15A7"/>
    <w:rsid w:val="003D5640"/>
    <w:rsid w:val="003E20B4"/>
    <w:rsid w:val="003E2D32"/>
    <w:rsid w:val="003E3EF1"/>
    <w:rsid w:val="003E433B"/>
    <w:rsid w:val="003E4400"/>
    <w:rsid w:val="003E51DA"/>
    <w:rsid w:val="003E6107"/>
    <w:rsid w:val="003F0012"/>
    <w:rsid w:val="003F0032"/>
    <w:rsid w:val="003F1963"/>
    <w:rsid w:val="003F3280"/>
    <w:rsid w:val="003F68D8"/>
    <w:rsid w:val="003F6FD0"/>
    <w:rsid w:val="003F7B31"/>
    <w:rsid w:val="0040258A"/>
    <w:rsid w:val="00404C91"/>
    <w:rsid w:val="00405E1E"/>
    <w:rsid w:val="00406000"/>
    <w:rsid w:val="004061BA"/>
    <w:rsid w:val="00406C23"/>
    <w:rsid w:val="00410181"/>
    <w:rsid w:val="00410BB8"/>
    <w:rsid w:val="0041118F"/>
    <w:rsid w:val="00411A78"/>
    <w:rsid w:val="00412BCA"/>
    <w:rsid w:val="00413958"/>
    <w:rsid w:val="004146A6"/>
    <w:rsid w:val="004213E5"/>
    <w:rsid w:val="004248F0"/>
    <w:rsid w:val="00424DBC"/>
    <w:rsid w:val="004302DE"/>
    <w:rsid w:val="00430E6F"/>
    <w:rsid w:val="00431860"/>
    <w:rsid w:val="00432955"/>
    <w:rsid w:val="00432979"/>
    <w:rsid w:val="00433038"/>
    <w:rsid w:val="004331E7"/>
    <w:rsid w:val="00433F89"/>
    <w:rsid w:val="00436D7E"/>
    <w:rsid w:val="00441E0B"/>
    <w:rsid w:val="00442610"/>
    <w:rsid w:val="0045077E"/>
    <w:rsid w:val="00450913"/>
    <w:rsid w:val="00451DE6"/>
    <w:rsid w:val="004524E7"/>
    <w:rsid w:val="00452B6D"/>
    <w:rsid w:val="00463345"/>
    <w:rsid w:val="00464BD8"/>
    <w:rsid w:val="00466E32"/>
    <w:rsid w:val="00470157"/>
    <w:rsid w:val="0047123A"/>
    <w:rsid w:val="00473B73"/>
    <w:rsid w:val="00483527"/>
    <w:rsid w:val="0048562F"/>
    <w:rsid w:val="004924BB"/>
    <w:rsid w:val="0049307E"/>
    <w:rsid w:val="0049579B"/>
    <w:rsid w:val="00495E5F"/>
    <w:rsid w:val="004972A6"/>
    <w:rsid w:val="00497D4B"/>
    <w:rsid w:val="004A18E4"/>
    <w:rsid w:val="004A2B8E"/>
    <w:rsid w:val="004A3DD0"/>
    <w:rsid w:val="004A5E3E"/>
    <w:rsid w:val="004A60D8"/>
    <w:rsid w:val="004A62E1"/>
    <w:rsid w:val="004A717A"/>
    <w:rsid w:val="004A77CC"/>
    <w:rsid w:val="004A7C66"/>
    <w:rsid w:val="004B073A"/>
    <w:rsid w:val="004B3108"/>
    <w:rsid w:val="004B57AB"/>
    <w:rsid w:val="004B6762"/>
    <w:rsid w:val="004B6BC7"/>
    <w:rsid w:val="004B788C"/>
    <w:rsid w:val="004C346F"/>
    <w:rsid w:val="004C54E9"/>
    <w:rsid w:val="004C599C"/>
    <w:rsid w:val="004C6BF7"/>
    <w:rsid w:val="004C748E"/>
    <w:rsid w:val="004D13FC"/>
    <w:rsid w:val="004D1A6E"/>
    <w:rsid w:val="004D2B8B"/>
    <w:rsid w:val="004D2F24"/>
    <w:rsid w:val="004D5F25"/>
    <w:rsid w:val="004D5F5F"/>
    <w:rsid w:val="004D6360"/>
    <w:rsid w:val="004D730D"/>
    <w:rsid w:val="004D74C0"/>
    <w:rsid w:val="004E04CC"/>
    <w:rsid w:val="004E1E04"/>
    <w:rsid w:val="004E36C2"/>
    <w:rsid w:val="004E37DF"/>
    <w:rsid w:val="004E613D"/>
    <w:rsid w:val="004F0BF6"/>
    <w:rsid w:val="004F0CB3"/>
    <w:rsid w:val="004F143B"/>
    <w:rsid w:val="004F1A72"/>
    <w:rsid w:val="004F429D"/>
    <w:rsid w:val="004F567F"/>
    <w:rsid w:val="005000D2"/>
    <w:rsid w:val="00503E51"/>
    <w:rsid w:val="00504327"/>
    <w:rsid w:val="00505588"/>
    <w:rsid w:val="00506C9B"/>
    <w:rsid w:val="005102CB"/>
    <w:rsid w:val="005102D8"/>
    <w:rsid w:val="00514C1F"/>
    <w:rsid w:val="00515585"/>
    <w:rsid w:val="00515C43"/>
    <w:rsid w:val="00517AD4"/>
    <w:rsid w:val="00517C80"/>
    <w:rsid w:val="0052003F"/>
    <w:rsid w:val="00521456"/>
    <w:rsid w:val="00521BA3"/>
    <w:rsid w:val="005221CD"/>
    <w:rsid w:val="00522A73"/>
    <w:rsid w:val="0052364D"/>
    <w:rsid w:val="00525F0A"/>
    <w:rsid w:val="005266B5"/>
    <w:rsid w:val="00527CFF"/>
    <w:rsid w:val="00532F63"/>
    <w:rsid w:val="00533D6F"/>
    <w:rsid w:val="005360C8"/>
    <w:rsid w:val="005403AB"/>
    <w:rsid w:val="00540599"/>
    <w:rsid w:val="005409E7"/>
    <w:rsid w:val="00541099"/>
    <w:rsid w:val="00541164"/>
    <w:rsid w:val="00544AA2"/>
    <w:rsid w:val="00545B65"/>
    <w:rsid w:val="005534AE"/>
    <w:rsid w:val="00554FCD"/>
    <w:rsid w:val="00560A5E"/>
    <w:rsid w:val="00561701"/>
    <w:rsid w:val="005661BE"/>
    <w:rsid w:val="005671A5"/>
    <w:rsid w:val="00570439"/>
    <w:rsid w:val="00570CA3"/>
    <w:rsid w:val="00571B73"/>
    <w:rsid w:val="005758E8"/>
    <w:rsid w:val="00575EE6"/>
    <w:rsid w:val="00576A4B"/>
    <w:rsid w:val="005772F4"/>
    <w:rsid w:val="005804D9"/>
    <w:rsid w:val="0058099E"/>
    <w:rsid w:val="005820EE"/>
    <w:rsid w:val="005830DE"/>
    <w:rsid w:val="00585B6A"/>
    <w:rsid w:val="00586836"/>
    <w:rsid w:val="00586CCB"/>
    <w:rsid w:val="00594673"/>
    <w:rsid w:val="0059695A"/>
    <w:rsid w:val="005A01BB"/>
    <w:rsid w:val="005A1D8F"/>
    <w:rsid w:val="005A2A96"/>
    <w:rsid w:val="005A2E1B"/>
    <w:rsid w:val="005A6672"/>
    <w:rsid w:val="005A7708"/>
    <w:rsid w:val="005B1169"/>
    <w:rsid w:val="005B132A"/>
    <w:rsid w:val="005B1A71"/>
    <w:rsid w:val="005B5509"/>
    <w:rsid w:val="005B6F6A"/>
    <w:rsid w:val="005C20A2"/>
    <w:rsid w:val="005C2E83"/>
    <w:rsid w:val="005C34EA"/>
    <w:rsid w:val="005C4413"/>
    <w:rsid w:val="005C5CE5"/>
    <w:rsid w:val="005C5FF5"/>
    <w:rsid w:val="005C6692"/>
    <w:rsid w:val="005D4B7D"/>
    <w:rsid w:val="005D525E"/>
    <w:rsid w:val="005D6545"/>
    <w:rsid w:val="005D6B99"/>
    <w:rsid w:val="005E2932"/>
    <w:rsid w:val="005E673A"/>
    <w:rsid w:val="005F1945"/>
    <w:rsid w:val="005F1EE4"/>
    <w:rsid w:val="005F3598"/>
    <w:rsid w:val="005F43B4"/>
    <w:rsid w:val="005F4CEF"/>
    <w:rsid w:val="005F4EB2"/>
    <w:rsid w:val="005F5F0F"/>
    <w:rsid w:val="005F6385"/>
    <w:rsid w:val="005F70F0"/>
    <w:rsid w:val="005F763D"/>
    <w:rsid w:val="0060241A"/>
    <w:rsid w:val="00604BDC"/>
    <w:rsid w:val="00604C9A"/>
    <w:rsid w:val="006077BF"/>
    <w:rsid w:val="00610D50"/>
    <w:rsid w:val="00610FD3"/>
    <w:rsid w:val="00611625"/>
    <w:rsid w:val="006152B8"/>
    <w:rsid w:val="006155B4"/>
    <w:rsid w:val="006157AD"/>
    <w:rsid w:val="00616CEE"/>
    <w:rsid w:val="006207AF"/>
    <w:rsid w:val="00621513"/>
    <w:rsid w:val="00621F0C"/>
    <w:rsid w:val="0062408B"/>
    <w:rsid w:val="0062506B"/>
    <w:rsid w:val="006250CE"/>
    <w:rsid w:val="006259EA"/>
    <w:rsid w:val="006342AC"/>
    <w:rsid w:val="006358D2"/>
    <w:rsid w:val="00635C2F"/>
    <w:rsid w:val="00635EEF"/>
    <w:rsid w:val="006415C1"/>
    <w:rsid w:val="00643891"/>
    <w:rsid w:val="00644612"/>
    <w:rsid w:val="00644B46"/>
    <w:rsid w:val="0064708D"/>
    <w:rsid w:val="006530C4"/>
    <w:rsid w:val="00653DB6"/>
    <w:rsid w:val="00653F3C"/>
    <w:rsid w:val="00654430"/>
    <w:rsid w:val="00654CA9"/>
    <w:rsid w:val="006553BA"/>
    <w:rsid w:val="00661DD0"/>
    <w:rsid w:val="0066218C"/>
    <w:rsid w:val="00663205"/>
    <w:rsid w:val="006675B5"/>
    <w:rsid w:val="0067015F"/>
    <w:rsid w:val="0067318E"/>
    <w:rsid w:val="00673EEE"/>
    <w:rsid w:val="00675D6B"/>
    <w:rsid w:val="00675E07"/>
    <w:rsid w:val="00677A3A"/>
    <w:rsid w:val="0068004A"/>
    <w:rsid w:val="00681279"/>
    <w:rsid w:val="006820B3"/>
    <w:rsid w:val="0068424A"/>
    <w:rsid w:val="0068704F"/>
    <w:rsid w:val="00691335"/>
    <w:rsid w:val="00692AED"/>
    <w:rsid w:val="00693B27"/>
    <w:rsid w:val="0069586D"/>
    <w:rsid w:val="00696B75"/>
    <w:rsid w:val="006A06FA"/>
    <w:rsid w:val="006A12AA"/>
    <w:rsid w:val="006A3D3A"/>
    <w:rsid w:val="006A5545"/>
    <w:rsid w:val="006A5CB2"/>
    <w:rsid w:val="006B22B7"/>
    <w:rsid w:val="006B2725"/>
    <w:rsid w:val="006B2CA9"/>
    <w:rsid w:val="006B3EC0"/>
    <w:rsid w:val="006B58D3"/>
    <w:rsid w:val="006B5FF2"/>
    <w:rsid w:val="006B72A6"/>
    <w:rsid w:val="006B7685"/>
    <w:rsid w:val="006C060D"/>
    <w:rsid w:val="006C0B8C"/>
    <w:rsid w:val="006C1C4D"/>
    <w:rsid w:val="006C2750"/>
    <w:rsid w:val="006C3811"/>
    <w:rsid w:val="006C4AE6"/>
    <w:rsid w:val="006C50D2"/>
    <w:rsid w:val="006C5B30"/>
    <w:rsid w:val="006C5B54"/>
    <w:rsid w:val="006C7E0F"/>
    <w:rsid w:val="006D1417"/>
    <w:rsid w:val="006D17A0"/>
    <w:rsid w:val="006D2120"/>
    <w:rsid w:val="006D2495"/>
    <w:rsid w:val="006D6B2D"/>
    <w:rsid w:val="006E0C03"/>
    <w:rsid w:val="006E3DE1"/>
    <w:rsid w:val="006E42C4"/>
    <w:rsid w:val="006E5E11"/>
    <w:rsid w:val="006E7D0E"/>
    <w:rsid w:val="006F1A3F"/>
    <w:rsid w:val="006F1C9F"/>
    <w:rsid w:val="006F1F17"/>
    <w:rsid w:val="006F4965"/>
    <w:rsid w:val="006F68B8"/>
    <w:rsid w:val="006F744C"/>
    <w:rsid w:val="00700E7B"/>
    <w:rsid w:val="007012C8"/>
    <w:rsid w:val="00701BB0"/>
    <w:rsid w:val="00703C65"/>
    <w:rsid w:val="00705F2D"/>
    <w:rsid w:val="00710CB9"/>
    <w:rsid w:val="00712C05"/>
    <w:rsid w:val="00713520"/>
    <w:rsid w:val="00714679"/>
    <w:rsid w:val="0071668A"/>
    <w:rsid w:val="00717A58"/>
    <w:rsid w:val="0072319E"/>
    <w:rsid w:val="00724D1B"/>
    <w:rsid w:val="0072665E"/>
    <w:rsid w:val="0072762A"/>
    <w:rsid w:val="0073197D"/>
    <w:rsid w:val="007332F7"/>
    <w:rsid w:val="00733DAC"/>
    <w:rsid w:val="0073434D"/>
    <w:rsid w:val="00734AE6"/>
    <w:rsid w:val="00734E9C"/>
    <w:rsid w:val="007354DC"/>
    <w:rsid w:val="00736F2F"/>
    <w:rsid w:val="0073772C"/>
    <w:rsid w:val="00737CBF"/>
    <w:rsid w:val="00737DEF"/>
    <w:rsid w:val="00737E4A"/>
    <w:rsid w:val="00743E91"/>
    <w:rsid w:val="00744163"/>
    <w:rsid w:val="00744E08"/>
    <w:rsid w:val="00750868"/>
    <w:rsid w:val="00751A3D"/>
    <w:rsid w:val="00751FE5"/>
    <w:rsid w:val="007539DA"/>
    <w:rsid w:val="00754087"/>
    <w:rsid w:val="00755324"/>
    <w:rsid w:val="00756E0D"/>
    <w:rsid w:val="00763D2B"/>
    <w:rsid w:val="0076589F"/>
    <w:rsid w:val="00773694"/>
    <w:rsid w:val="00777730"/>
    <w:rsid w:val="00777829"/>
    <w:rsid w:val="0078036A"/>
    <w:rsid w:val="00787BF3"/>
    <w:rsid w:val="00787E5C"/>
    <w:rsid w:val="00790E93"/>
    <w:rsid w:val="007924AF"/>
    <w:rsid w:val="00794B93"/>
    <w:rsid w:val="007A0D14"/>
    <w:rsid w:val="007A2249"/>
    <w:rsid w:val="007A4719"/>
    <w:rsid w:val="007A6586"/>
    <w:rsid w:val="007A74A0"/>
    <w:rsid w:val="007B0B16"/>
    <w:rsid w:val="007B0C44"/>
    <w:rsid w:val="007B238E"/>
    <w:rsid w:val="007B24BC"/>
    <w:rsid w:val="007B4F3B"/>
    <w:rsid w:val="007C0B8D"/>
    <w:rsid w:val="007C3A33"/>
    <w:rsid w:val="007C3BDA"/>
    <w:rsid w:val="007C4715"/>
    <w:rsid w:val="007C4C80"/>
    <w:rsid w:val="007C679B"/>
    <w:rsid w:val="007D0C24"/>
    <w:rsid w:val="007D0E09"/>
    <w:rsid w:val="007D1339"/>
    <w:rsid w:val="007D13C1"/>
    <w:rsid w:val="007D4405"/>
    <w:rsid w:val="007D46DF"/>
    <w:rsid w:val="007D5932"/>
    <w:rsid w:val="007E212A"/>
    <w:rsid w:val="007E553F"/>
    <w:rsid w:val="007E5BB5"/>
    <w:rsid w:val="007F0235"/>
    <w:rsid w:val="007F23F8"/>
    <w:rsid w:val="007F70EF"/>
    <w:rsid w:val="007F76DE"/>
    <w:rsid w:val="00800219"/>
    <w:rsid w:val="00802414"/>
    <w:rsid w:val="00802521"/>
    <w:rsid w:val="00802C62"/>
    <w:rsid w:val="008043C5"/>
    <w:rsid w:val="00812059"/>
    <w:rsid w:val="00812748"/>
    <w:rsid w:val="00812CB6"/>
    <w:rsid w:val="00820131"/>
    <w:rsid w:val="008221A8"/>
    <w:rsid w:val="00824C06"/>
    <w:rsid w:val="00825420"/>
    <w:rsid w:val="00825A0D"/>
    <w:rsid w:val="00825D06"/>
    <w:rsid w:val="00830680"/>
    <w:rsid w:val="00830F6A"/>
    <w:rsid w:val="00832CA1"/>
    <w:rsid w:val="00833D7C"/>
    <w:rsid w:val="00836CC9"/>
    <w:rsid w:val="00837EA6"/>
    <w:rsid w:val="0084019A"/>
    <w:rsid w:val="00842447"/>
    <w:rsid w:val="008429D3"/>
    <w:rsid w:val="0084415A"/>
    <w:rsid w:val="008462E6"/>
    <w:rsid w:val="00846D79"/>
    <w:rsid w:val="008475F6"/>
    <w:rsid w:val="00851B4A"/>
    <w:rsid w:val="00853A5A"/>
    <w:rsid w:val="00857DCA"/>
    <w:rsid w:val="00860A75"/>
    <w:rsid w:val="00860B01"/>
    <w:rsid w:val="00861BDA"/>
    <w:rsid w:val="00861D39"/>
    <w:rsid w:val="0086257D"/>
    <w:rsid w:val="00865795"/>
    <w:rsid w:val="00866BE8"/>
    <w:rsid w:val="008673C2"/>
    <w:rsid w:val="00867CEC"/>
    <w:rsid w:val="00867E58"/>
    <w:rsid w:val="00872599"/>
    <w:rsid w:val="00872DC4"/>
    <w:rsid w:val="00877A57"/>
    <w:rsid w:val="008824E7"/>
    <w:rsid w:val="00884716"/>
    <w:rsid w:val="00884938"/>
    <w:rsid w:val="00891CE3"/>
    <w:rsid w:val="0089256C"/>
    <w:rsid w:val="00895A13"/>
    <w:rsid w:val="0089791A"/>
    <w:rsid w:val="00897BAB"/>
    <w:rsid w:val="008A0D94"/>
    <w:rsid w:val="008A224C"/>
    <w:rsid w:val="008A2D55"/>
    <w:rsid w:val="008A40EB"/>
    <w:rsid w:val="008A5B45"/>
    <w:rsid w:val="008A5B78"/>
    <w:rsid w:val="008A7DAD"/>
    <w:rsid w:val="008B06CD"/>
    <w:rsid w:val="008B0D20"/>
    <w:rsid w:val="008B1687"/>
    <w:rsid w:val="008B1A1F"/>
    <w:rsid w:val="008B1BCF"/>
    <w:rsid w:val="008B2A5E"/>
    <w:rsid w:val="008B4AAA"/>
    <w:rsid w:val="008B5695"/>
    <w:rsid w:val="008B6875"/>
    <w:rsid w:val="008B6C31"/>
    <w:rsid w:val="008B6DA6"/>
    <w:rsid w:val="008B76D2"/>
    <w:rsid w:val="008C3437"/>
    <w:rsid w:val="008C5117"/>
    <w:rsid w:val="008C6D6F"/>
    <w:rsid w:val="008D216B"/>
    <w:rsid w:val="008D2D01"/>
    <w:rsid w:val="008D5A0B"/>
    <w:rsid w:val="008D5AF3"/>
    <w:rsid w:val="008D5E10"/>
    <w:rsid w:val="008D7890"/>
    <w:rsid w:val="008E0636"/>
    <w:rsid w:val="008E1EF0"/>
    <w:rsid w:val="008E3B3C"/>
    <w:rsid w:val="008E566C"/>
    <w:rsid w:val="008E6C86"/>
    <w:rsid w:val="008E7646"/>
    <w:rsid w:val="008F17E0"/>
    <w:rsid w:val="008F3394"/>
    <w:rsid w:val="008F469D"/>
    <w:rsid w:val="008F614F"/>
    <w:rsid w:val="008F64D4"/>
    <w:rsid w:val="008F746D"/>
    <w:rsid w:val="009016A4"/>
    <w:rsid w:val="00903849"/>
    <w:rsid w:val="00903FCC"/>
    <w:rsid w:val="00906FA8"/>
    <w:rsid w:val="009135B5"/>
    <w:rsid w:val="009203C6"/>
    <w:rsid w:val="00921067"/>
    <w:rsid w:val="00921E03"/>
    <w:rsid w:val="00923ED7"/>
    <w:rsid w:val="0092445C"/>
    <w:rsid w:val="00924681"/>
    <w:rsid w:val="00925CF9"/>
    <w:rsid w:val="0092797D"/>
    <w:rsid w:val="00934519"/>
    <w:rsid w:val="00934B3A"/>
    <w:rsid w:val="009351BF"/>
    <w:rsid w:val="0093534C"/>
    <w:rsid w:val="00935540"/>
    <w:rsid w:val="00940EA5"/>
    <w:rsid w:val="00942397"/>
    <w:rsid w:val="0094240A"/>
    <w:rsid w:val="009438B5"/>
    <w:rsid w:val="00944B48"/>
    <w:rsid w:val="009453CE"/>
    <w:rsid w:val="00946D1C"/>
    <w:rsid w:val="00946EA6"/>
    <w:rsid w:val="00950411"/>
    <w:rsid w:val="009510FC"/>
    <w:rsid w:val="009549B1"/>
    <w:rsid w:val="0095696E"/>
    <w:rsid w:val="00956FB9"/>
    <w:rsid w:val="009639D4"/>
    <w:rsid w:val="00967A71"/>
    <w:rsid w:val="00971D0C"/>
    <w:rsid w:val="00975D39"/>
    <w:rsid w:val="009779D9"/>
    <w:rsid w:val="009815C4"/>
    <w:rsid w:val="00981CC3"/>
    <w:rsid w:val="00986696"/>
    <w:rsid w:val="00987676"/>
    <w:rsid w:val="00991F34"/>
    <w:rsid w:val="00994CBB"/>
    <w:rsid w:val="00995832"/>
    <w:rsid w:val="009A0FE0"/>
    <w:rsid w:val="009A6C5C"/>
    <w:rsid w:val="009A7254"/>
    <w:rsid w:val="009B02A1"/>
    <w:rsid w:val="009B1EA4"/>
    <w:rsid w:val="009B2834"/>
    <w:rsid w:val="009B3015"/>
    <w:rsid w:val="009B3821"/>
    <w:rsid w:val="009B46C9"/>
    <w:rsid w:val="009B609D"/>
    <w:rsid w:val="009B677C"/>
    <w:rsid w:val="009C103F"/>
    <w:rsid w:val="009C1083"/>
    <w:rsid w:val="009C1890"/>
    <w:rsid w:val="009C22E0"/>
    <w:rsid w:val="009C2E7D"/>
    <w:rsid w:val="009C33B1"/>
    <w:rsid w:val="009C375B"/>
    <w:rsid w:val="009C4723"/>
    <w:rsid w:val="009C758F"/>
    <w:rsid w:val="009C7A73"/>
    <w:rsid w:val="009D1068"/>
    <w:rsid w:val="009D2800"/>
    <w:rsid w:val="009D3AD7"/>
    <w:rsid w:val="009D6948"/>
    <w:rsid w:val="009E0990"/>
    <w:rsid w:val="009E0F65"/>
    <w:rsid w:val="009E1285"/>
    <w:rsid w:val="009E2150"/>
    <w:rsid w:val="009E491C"/>
    <w:rsid w:val="009E4BBD"/>
    <w:rsid w:val="009E6594"/>
    <w:rsid w:val="009E78E3"/>
    <w:rsid w:val="009F2185"/>
    <w:rsid w:val="009F68AD"/>
    <w:rsid w:val="009F7F03"/>
    <w:rsid w:val="00A0185D"/>
    <w:rsid w:val="00A01B68"/>
    <w:rsid w:val="00A02F36"/>
    <w:rsid w:val="00A0543F"/>
    <w:rsid w:val="00A061A4"/>
    <w:rsid w:val="00A110CF"/>
    <w:rsid w:val="00A13DA1"/>
    <w:rsid w:val="00A14DEB"/>
    <w:rsid w:val="00A17860"/>
    <w:rsid w:val="00A23242"/>
    <w:rsid w:val="00A265C6"/>
    <w:rsid w:val="00A30994"/>
    <w:rsid w:val="00A311C3"/>
    <w:rsid w:val="00A34057"/>
    <w:rsid w:val="00A340EF"/>
    <w:rsid w:val="00A341F3"/>
    <w:rsid w:val="00A34706"/>
    <w:rsid w:val="00A34A6D"/>
    <w:rsid w:val="00A36CD0"/>
    <w:rsid w:val="00A4087E"/>
    <w:rsid w:val="00A41F28"/>
    <w:rsid w:val="00A429D1"/>
    <w:rsid w:val="00A442D7"/>
    <w:rsid w:val="00A44BB3"/>
    <w:rsid w:val="00A45C75"/>
    <w:rsid w:val="00A46C2F"/>
    <w:rsid w:val="00A479DB"/>
    <w:rsid w:val="00A47F79"/>
    <w:rsid w:val="00A50231"/>
    <w:rsid w:val="00A52B12"/>
    <w:rsid w:val="00A52E02"/>
    <w:rsid w:val="00A5469F"/>
    <w:rsid w:val="00A54BDC"/>
    <w:rsid w:val="00A54FB9"/>
    <w:rsid w:val="00A563FD"/>
    <w:rsid w:val="00A64FB1"/>
    <w:rsid w:val="00A6506D"/>
    <w:rsid w:val="00A66569"/>
    <w:rsid w:val="00A7093F"/>
    <w:rsid w:val="00A7125E"/>
    <w:rsid w:val="00A71BEC"/>
    <w:rsid w:val="00A736AA"/>
    <w:rsid w:val="00A742BB"/>
    <w:rsid w:val="00A74B87"/>
    <w:rsid w:val="00A75A9B"/>
    <w:rsid w:val="00A800F7"/>
    <w:rsid w:val="00A80669"/>
    <w:rsid w:val="00A822F0"/>
    <w:rsid w:val="00A83F11"/>
    <w:rsid w:val="00A8690D"/>
    <w:rsid w:val="00A9274A"/>
    <w:rsid w:val="00A93962"/>
    <w:rsid w:val="00A94CBB"/>
    <w:rsid w:val="00AA0EE6"/>
    <w:rsid w:val="00AA2CE0"/>
    <w:rsid w:val="00AA31F6"/>
    <w:rsid w:val="00AA34B5"/>
    <w:rsid w:val="00AA5265"/>
    <w:rsid w:val="00AA5D1E"/>
    <w:rsid w:val="00AA7176"/>
    <w:rsid w:val="00AA73B6"/>
    <w:rsid w:val="00AA7474"/>
    <w:rsid w:val="00AB3608"/>
    <w:rsid w:val="00AB6894"/>
    <w:rsid w:val="00AC0259"/>
    <w:rsid w:val="00AC0A48"/>
    <w:rsid w:val="00AC3455"/>
    <w:rsid w:val="00AC4448"/>
    <w:rsid w:val="00AC4BF4"/>
    <w:rsid w:val="00AC7F7D"/>
    <w:rsid w:val="00AD230F"/>
    <w:rsid w:val="00AD27AE"/>
    <w:rsid w:val="00AD2CF5"/>
    <w:rsid w:val="00AD2EBA"/>
    <w:rsid w:val="00AD442D"/>
    <w:rsid w:val="00AD6A30"/>
    <w:rsid w:val="00AE3FED"/>
    <w:rsid w:val="00AE4CEF"/>
    <w:rsid w:val="00AE4F25"/>
    <w:rsid w:val="00AE6215"/>
    <w:rsid w:val="00AF4643"/>
    <w:rsid w:val="00B0176D"/>
    <w:rsid w:val="00B05081"/>
    <w:rsid w:val="00B06BDC"/>
    <w:rsid w:val="00B11D76"/>
    <w:rsid w:val="00B12F2E"/>
    <w:rsid w:val="00B15375"/>
    <w:rsid w:val="00B163F1"/>
    <w:rsid w:val="00B16B71"/>
    <w:rsid w:val="00B170E0"/>
    <w:rsid w:val="00B177D6"/>
    <w:rsid w:val="00B21104"/>
    <w:rsid w:val="00B2207A"/>
    <w:rsid w:val="00B23A92"/>
    <w:rsid w:val="00B23F89"/>
    <w:rsid w:val="00B245AB"/>
    <w:rsid w:val="00B27E90"/>
    <w:rsid w:val="00B3033C"/>
    <w:rsid w:val="00B30A50"/>
    <w:rsid w:val="00B31C12"/>
    <w:rsid w:val="00B331A2"/>
    <w:rsid w:val="00B335C8"/>
    <w:rsid w:val="00B35C03"/>
    <w:rsid w:val="00B36F00"/>
    <w:rsid w:val="00B37B6B"/>
    <w:rsid w:val="00B403EE"/>
    <w:rsid w:val="00B40B34"/>
    <w:rsid w:val="00B40E8C"/>
    <w:rsid w:val="00B42F1A"/>
    <w:rsid w:val="00B43720"/>
    <w:rsid w:val="00B46674"/>
    <w:rsid w:val="00B51967"/>
    <w:rsid w:val="00B52654"/>
    <w:rsid w:val="00B5369E"/>
    <w:rsid w:val="00B53C50"/>
    <w:rsid w:val="00B54EDA"/>
    <w:rsid w:val="00B57709"/>
    <w:rsid w:val="00B57902"/>
    <w:rsid w:val="00B57EFA"/>
    <w:rsid w:val="00B61DDE"/>
    <w:rsid w:val="00B62EC1"/>
    <w:rsid w:val="00B641D2"/>
    <w:rsid w:val="00B6660D"/>
    <w:rsid w:val="00B66B5D"/>
    <w:rsid w:val="00B66DA1"/>
    <w:rsid w:val="00B66DB1"/>
    <w:rsid w:val="00B67EE8"/>
    <w:rsid w:val="00B703B6"/>
    <w:rsid w:val="00B7053B"/>
    <w:rsid w:val="00B70E9D"/>
    <w:rsid w:val="00B732D1"/>
    <w:rsid w:val="00B74962"/>
    <w:rsid w:val="00B74FFC"/>
    <w:rsid w:val="00B76433"/>
    <w:rsid w:val="00B76952"/>
    <w:rsid w:val="00B80984"/>
    <w:rsid w:val="00B84178"/>
    <w:rsid w:val="00B877C9"/>
    <w:rsid w:val="00B9008C"/>
    <w:rsid w:val="00B90999"/>
    <w:rsid w:val="00B942D1"/>
    <w:rsid w:val="00B943B4"/>
    <w:rsid w:val="00BA1A56"/>
    <w:rsid w:val="00BA207F"/>
    <w:rsid w:val="00BA6C67"/>
    <w:rsid w:val="00BA755A"/>
    <w:rsid w:val="00BA758A"/>
    <w:rsid w:val="00BB0FF8"/>
    <w:rsid w:val="00BB1A2F"/>
    <w:rsid w:val="00BB1A72"/>
    <w:rsid w:val="00BB3757"/>
    <w:rsid w:val="00BB6A5E"/>
    <w:rsid w:val="00BB7099"/>
    <w:rsid w:val="00BB7C00"/>
    <w:rsid w:val="00BC05D9"/>
    <w:rsid w:val="00BC1291"/>
    <w:rsid w:val="00BD1F69"/>
    <w:rsid w:val="00BD54DB"/>
    <w:rsid w:val="00BD6BD7"/>
    <w:rsid w:val="00BE04B3"/>
    <w:rsid w:val="00BE2311"/>
    <w:rsid w:val="00BE2763"/>
    <w:rsid w:val="00BE43A7"/>
    <w:rsid w:val="00BE7E64"/>
    <w:rsid w:val="00BF11EB"/>
    <w:rsid w:val="00BF3ACA"/>
    <w:rsid w:val="00BF3C8C"/>
    <w:rsid w:val="00BF4854"/>
    <w:rsid w:val="00BF6434"/>
    <w:rsid w:val="00BF76D9"/>
    <w:rsid w:val="00C018BE"/>
    <w:rsid w:val="00C0566F"/>
    <w:rsid w:val="00C1126E"/>
    <w:rsid w:val="00C1154E"/>
    <w:rsid w:val="00C11D71"/>
    <w:rsid w:val="00C12935"/>
    <w:rsid w:val="00C12969"/>
    <w:rsid w:val="00C14083"/>
    <w:rsid w:val="00C17067"/>
    <w:rsid w:val="00C1755D"/>
    <w:rsid w:val="00C20FD4"/>
    <w:rsid w:val="00C217A8"/>
    <w:rsid w:val="00C21E2A"/>
    <w:rsid w:val="00C25130"/>
    <w:rsid w:val="00C261B9"/>
    <w:rsid w:val="00C3246A"/>
    <w:rsid w:val="00C32CA7"/>
    <w:rsid w:val="00C33653"/>
    <w:rsid w:val="00C33861"/>
    <w:rsid w:val="00C35362"/>
    <w:rsid w:val="00C35659"/>
    <w:rsid w:val="00C35D02"/>
    <w:rsid w:val="00C368DF"/>
    <w:rsid w:val="00C4225E"/>
    <w:rsid w:val="00C428FD"/>
    <w:rsid w:val="00C43107"/>
    <w:rsid w:val="00C444E3"/>
    <w:rsid w:val="00C45B15"/>
    <w:rsid w:val="00C467CB"/>
    <w:rsid w:val="00C46D82"/>
    <w:rsid w:val="00C47FFA"/>
    <w:rsid w:val="00C50094"/>
    <w:rsid w:val="00C52B4C"/>
    <w:rsid w:val="00C53E61"/>
    <w:rsid w:val="00C54CCC"/>
    <w:rsid w:val="00C56640"/>
    <w:rsid w:val="00C57D2E"/>
    <w:rsid w:val="00C57D9E"/>
    <w:rsid w:val="00C63D25"/>
    <w:rsid w:val="00C64274"/>
    <w:rsid w:val="00C64423"/>
    <w:rsid w:val="00C678A4"/>
    <w:rsid w:val="00C711A6"/>
    <w:rsid w:val="00C72B74"/>
    <w:rsid w:val="00C72DEC"/>
    <w:rsid w:val="00C731DE"/>
    <w:rsid w:val="00C7744C"/>
    <w:rsid w:val="00C802EA"/>
    <w:rsid w:val="00C80876"/>
    <w:rsid w:val="00C81796"/>
    <w:rsid w:val="00C86393"/>
    <w:rsid w:val="00C87AA9"/>
    <w:rsid w:val="00C87D78"/>
    <w:rsid w:val="00C9094F"/>
    <w:rsid w:val="00C90F39"/>
    <w:rsid w:val="00C9368A"/>
    <w:rsid w:val="00C95483"/>
    <w:rsid w:val="00C955CE"/>
    <w:rsid w:val="00CA4D71"/>
    <w:rsid w:val="00CA5599"/>
    <w:rsid w:val="00CA62A2"/>
    <w:rsid w:val="00CA69F0"/>
    <w:rsid w:val="00CB1E63"/>
    <w:rsid w:val="00CB2FC2"/>
    <w:rsid w:val="00CB3F78"/>
    <w:rsid w:val="00CB422F"/>
    <w:rsid w:val="00CB4D36"/>
    <w:rsid w:val="00CC2369"/>
    <w:rsid w:val="00CC2487"/>
    <w:rsid w:val="00CC3391"/>
    <w:rsid w:val="00CC4342"/>
    <w:rsid w:val="00CC5FDB"/>
    <w:rsid w:val="00CC642D"/>
    <w:rsid w:val="00CC712E"/>
    <w:rsid w:val="00CC730E"/>
    <w:rsid w:val="00CC7FC7"/>
    <w:rsid w:val="00CD2688"/>
    <w:rsid w:val="00CD52D6"/>
    <w:rsid w:val="00CD5BC4"/>
    <w:rsid w:val="00CD7106"/>
    <w:rsid w:val="00CD7F6E"/>
    <w:rsid w:val="00CE1C7F"/>
    <w:rsid w:val="00CE4A63"/>
    <w:rsid w:val="00CE5BDF"/>
    <w:rsid w:val="00CE7A83"/>
    <w:rsid w:val="00CE7E8C"/>
    <w:rsid w:val="00CF0DAA"/>
    <w:rsid w:val="00CF16BC"/>
    <w:rsid w:val="00CF3069"/>
    <w:rsid w:val="00CF6AA2"/>
    <w:rsid w:val="00D00F9C"/>
    <w:rsid w:val="00D025AF"/>
    <w:rsid w:val="00D02730"/>
    <w:rsid w:val="00D027AB"/>
    <w:rsid w:val="00D034B7"/>
    <w:rsid w:val="00D037CD"/>
    <w:rsid w:val="00D044F7"/>
    <w:rsid w:val="00D05C0E"/>
    <w:rsid w:val="00D065BD"/>
    <w:rsid w:val="00D1177A"/>
    <w:rsid w:val="00D121FE"/>
    <w:rsid w:val="00D12E5E"/>
    <w:rsid w:val="00D12F64"/>
    <w:rsid w:val="00D137EC"/>
    <w:rsid w:val="00D15AA4"/>
    <w:rsid w:val="00D1601F"/>
    <w:rsid w:val="00D2009C"/>
    <w:rsid w:val="00D20B6B"/>
    <w:rsid w:val="00D22ED8"/>
    <w:rsid w:val="00D23927"/>
    <w:rsid w:val="00D2674D"/>
    <w:rsid w:val="00D268E7"/>
    <w:rsid w:val="00D27096"/>
    <w:rsid w:val="00D271D3"/>
    <w:rsid w:val="00D302D7"/>
    <w:rsid w:val="00D31D2A"/>
    <w:rsid w:val="00D338A1"/>
    <w:rsid w:val="00D345E7"/>
    <w:rsid w:val="00D34A1C"/>
    <w:rsid w:val="00D36BDA"/>
    <w:rsid w:val="00D376EB"/>
    <w:rsid w:val="00D42103"/>
    <w:rsid w:val="00D426C9"/>
    <w:rsid w:val="00D42CE7"/>
    <w:rsid w:val="00D446C1"/>
    <w:rsid w:val="00D44CB1"/>
    <w:rsid w:val="00D45126"/>
    <w:rsid w:val="00D4681C"/>
    <w:rsid w:val="00D5065D"/>
    <w:rsid w:val="00D5198A"/>
    <w:rsid w:val="00D51BAC"/>
    <w:rsid w:val="00D55771"/>
    <w:rsid w:val="00D577FD"/>
    <w:rsid w:val="00D616D3"/>
    <w:rsid w:val="00D61F80"/>
    <w:rsid w:val="00D63CE0"/>
    <w:rsid w:val="00D6426A"/>
    <w:rsid w:val="00D65718"/>
    <w:rsid w:val="00D663CA"/>
    <w:rsid w:val="00D664DF"/>
    <w:rsid w:val="00D71297"/>
    <w:rsid w:val="00D715B6"/>
    <w:rsid w:val="00D72FFF"/>
    <w:rsid w:val="00D81236"/>
    <w:rsid w:val="00D82A56"/>
    <w:rsid w:val="00D82DAE"/>
    <w:rsid w:val="00D83B20"/>
    <w:rsid w:val="00D877DB"/>
    <w:rsid w:val="00D901D8"/>
    <w:rsid w:val="00D91F07"/>
    <w:rsid w:val="00D933EF"/>
    <w:rsid w:val="00D94354"/>
    <w:rsid w:val="00D94F68"/>
    <w:rsid w:val="00DA0A8D"/>
    <w:rsid w:val="00DA1214"/>
    <w:rsid w:val="00DA1AD8"/>
    <w:rsid w:val="00DA1B9D"/>
    <w:rsid w:val="00DA3433"/>
    <w:rsid w:val="00DA45D8"/>
    <w:rsid w:val="00DB191E"/>
    <w:rsid w:val="00DB1954"/>
    <w:rsid w:val="00DB2762"/>
    <w:rsid w:val="00DB346F"/>
    <w:rsid w:val="00DB3A86"/>
    <w:rsid w:val="00DB4ABD"/>
    <w:rsid w:val="00DB6474"/>
    <w:rsid w:val="00DC0572"/>
    <w:rsid w:val="00DC0972"/>
    <w:rsid w:val="00DC26E4"/>
    <w:rsid w:val="00DC2992"/>
    <w:rsid w:val="00DC4035"/>
    <w:rsid w:val="00DC5A71"/>
    <w:rsid w:val="00DC5A76"/>
    <w:rsid w:val="00DC5C7C"/>
    <w:rsid w:val="00DC6EF4"/>
    <w:rsid w:val="00DD0FB7"/>
    <w:rsid w:val="00DD25BC"/>
    <w:rsid w:val="00DD2DE8"/>
    <w:rsid w:val="00DD361C"/>
    <w:rsid w:val="00DD3B93"/>
    <w:rsid w:val="00DD54DF"/>
    <w:rsid w:val="00DD57DC"/>
    <w:rsid w:val="00DD7CC2"/>
    <w:rsid w:val="00DE1680"/>
    <w:rsid w:val="00DE17A1"/>
    <w:rsid w:val="00DE1F5C"/>
    <w:rsid w:val="00DE28BA"/>
    <w:rsid w:val="00DE2C0F"/>
    <w:rsid w:val="00DE45F8"/>
    <w:rsid w:val="00DF25F5"/>
    <w:rsid w:val="00DF3D11"/>
    <w:rsid w:val="00DF430D"/>
    <w:rsid w:val="00DF43A2"/>
    <w:rsid w:val="00DF4BF0"/>
    <w:rsid w:val="00DF4DB6"/>
    <w:rsid w:val="00E0253F"/>
    <w:rsid w:val="00E03E0D"/>
    <w:rsid w:val="00E04F84"/>
    <w:rsid w:val="00E0663C"/>
    <w:rsid w:val="00E10937"/>
    <w:rsid w:val="00E11DFC"/>
    <w:rsid w:val="00E148C8"/>
    <w:rsid w:val="00E150C5"/>
    <w:rsid w:val="00E152D2"/>
    <w:rsid w:val="00E15AAC"/>
    <w:rsid w:val="00E16241"/>
    <w:rsid w:val="00E171C9"/>
    <w:rsid w:val="00E20F11"/>
    <w:rsid w:val="00E21032"/>
    <w:rsid w:val="00E23393"/>
    <w:rsid w:val="00E257EA"/>
    <w:rsid w:val="00E30785"/>
    <w:rsid w:val="00E350CB"/>
    <w:rsid w:val="00E355AD"/>
    <w:rsid w:val="00E3564B"/>
    <w:rsid w:val="00E378A9"/>
    <w:rsid w:val="00E4339E"/>
    <w:rsid w:val="00E52C64"/>
    <w:rsid w:val="00E52D88"/>
    <w:rsid w:val="00E54CD0"/>
    <w:rsid w:val="00E57F1D"/>
    <w:rsid w:val="00E60001"/>
    <w:rsid w:val="00E6173A"/>
    <w:rsid w:val="00E65D9F"/>
    <w:rsid w:val="00E70337"/>
    <w:rsid w:val="00E70C42"/>
    <w:rsid w:val="00E71A71"/>
    <w:rsid w:val="00E724AC"/>
    <w:rsid w:val="00E741C8"/>
    <w:rsid w:val="00E7745F"/>
    <w:rsid w:val="00E779A8"/>
    <w:rsid w:val="00E77C38"/>
    <w:rsid w:val="00E83D31"/>
    <w:rsid w:val="00E850BC"/>
    <w:rsid w:val="00E858AF"/>
    <w:rsid w:val="00E85A54"/>
    <w:rsid w:val="00E863E8"/>
    <w:rsid w:val="00E86A30"/>
    <w:rsid w:val="00E92A07"/>
    <w:rsid w:val="00E93E11"/>
    <w:rsid w:val="00E93F11"/>
    <w:rsid w:val="00E941E7"/>
    <w:rsid w:val="00E94844"/>
    <w:rsid w:val="00E9499F"/>
    <w:rsid w:val="00E95771"/>
    <w:rsid w:val="00E96424"/>
    <w:rsid w:val="00E96EFD"/>
    <w:rsid w:val="00E97FD1"/>
    <w:rsid w:val="00EA00FF"/>
    <w:rsid w:val="00EA01C2"/>
    <w:rsid w:val="00EA0AA2"/>
    <w:rsid w:val="00EA14B1"/>
    <w:rsid w:val="00EA1B23"/>
    <w:rsid w:val="00EA20E5"/>
    <w:rsid w:val="00EA216C"/>
    <w:rsid w:val="00EA2D8C"/>
    <w:rsid w:val="00EA3585"/>
    <w:rsid w:val="00EA36BA"/>
    <w:rsid w:val="00EA3A23"/>
    <w:rsid w:val="00EA3CA8"/>
    <w:rsid w:val="00EA5AA7"/>
    <w:rsid w:val="00EA67E8"/>
    <w:rsid w:val="00EA6F27"/>
    <w:rsid w:val="00EB163C"/>
    <w:rsid w:val="00EB3AB2"/>
    <w:rsid w:val="00EB4832"/>
    <w:rsid w:val="00EB5686"/>
    <w:rsid w:val="00EC0268"/>
    <w:rsid w:val="00EC2BAC"/>
    <w:rsid w:val="00EC622D"/>
    <w:rsid w:val="00EC70DD"/>
    <w:rsid w:val="00EC7472"/>
    <w:rsid w:val="00ED0181"/>
    <w:rsid w:val="00ED0504"/>
    <w:rsid w:val="00ED0692"/>
    <w:rsid w:val="00ED1313"/>
    <w:rsid w:val="00ED1747"/>
    <w:rsid w:val="00ED2358"/>
    <w:rsid w:val="00ED5AE1"/>
    <w:rsid w:val="00EE015C"/>
    <w:rsid w:val="00EE0FD2"/>
    <w:rsid w:val="00EE153D"/>
    <w:rsid w:val="00EE15A1"/>
    <w:rsid w:val="00EE2B2B"/>
    <w:rsid w:val="00EE4BA0"/>
    <w:rsid w:val="00EE7902"/>
    <w:rsid w:val="00EF0FCD"/>
    <w:rsid w:val="00EF13A7"/>
    <w:rsid w:val="00EF1DF3"/>
    <w:rsid w:val="00EF27FB"/>
    <w:rsid w:val="00EF2E6F"/>
    <w:rsid w:val="00EF4786"/>
    <w:rsid w:val="00EF4E61"/>
    <w:rsid w:val="00F01864"/>
    <w:rsid w:val="00F037C3"/>
    <w:rsid w:val="00F04A11"/>
    <w:rsid w:val="00F11373"/>
    <w:rsid w:val="00F114A1"/>
    <w:rsid w:val="00F12892"/>
    <w:rsid w:val="00F12913"/>
    <w:rsid w:val="00F14418"/>
    <w:rsid w:val="00F148B2"/>
    <w:rsid w:val="00F15398"/>
    <w:rsid w:val="00F1584D"/>
    <w:rsid w:val="00F15F18"/>
    <w:rsid w:val="00F169F2"/>
    <w:rsid w:val="00F16AA7"/>
    <w:rsid w:val="00F16C09"/>
    <w:rsid w:val="00F2307D"/>
    <w:rsid w:val="00F247BC"/>
    <w:rsid w:val="00F255EE"/>
    <w:rsid w:val="00F25E26"/>
    <w:rsid w:val="00F30782"/>
    <w:rsid w:val="00F31305"/>
    <w:rsid w:val="00F342C7"/>
    <w:rsid w:val="00F4048A"/>
    <w:rsid w:val="00F429C1"/>
    <w:rsid w:val="00F45701"/>
    <w:rsid w:val="00F4637E"/>
    <w:rsid w:val="00F46FF8"/>
    <w:rsid w:val="00F504C7"/>
    <w:rsid w:val="00F50D5B"/>
    <w:rsid w:val="00F51761"/>
    <w:rsid w:val="00F5561B"/>
    <w:rsid w:val="00F55965"/>
    <w:rsid w:val="00F55B0F"/>
    <w:rsid w:val="00F56A71"/>
    <w:rsid w:val="00F57DBF"/>
    <w:rsid w:val="00F61196"/>
    <w:rsid w:val="00F647D6"/>
    <w:rsid w:val="00F6795C"/>
    <w:rsid w:val="00F7045F"/>
    <w:rsid w:val="00F75721"/>
    <w:rsid w:val="00F75E07"/>
    <w:rsid w:val="00F7647F"/>
    <w:rsid w:val="00F77137"/>
    <w:rsid w:val="00F777F8"/>
    <w:rsid w:val="00F7784D"/>
    <w:rsid w:val="00F77E56"/>
    <w:rsid w:val="00F8132B"/>
    <w:rsid w:val="00F8160E"/>
    <w:rsid w:val="00F817BB"/>
    <w:rsid w:val="00F82B2D"/>
    <w:rsid w:val="00F83614"/>
    <w:rsid w:val="00F86054"/>
    <w:rsid w:val="00F90E72"/>
    <w:rsid w:val="00F9151D"/>
    <w:rsid w:val="00F91740"/>
    <w:rsid w:val="00F919A6"/>
    <w:rsid w:val="00F931D7"/>
    <w:rsid w:val="00F95E8E"/>
    <w:rsid w:val="00F96FEC"/>
    <w:rsid w:val="00F9779F"/>
    <w:rsid w:val="00FA206A"/>
    <w:rsid w:val="00FA28E8"/>
    <w:rsid w:val="00FA3979"/>
    <w:rsid w:val="00FA59D2"/>
    <w:rsid w:val="00FA7226"/>
    <w:rsid w:val="00FA7F15"/>
    <w:rsid w:val="00FB41D2"/>
    <w:rsid w:val="00FB717A"/>
    <w:rsid w:val="00FC07DB"/>
    <w:rsid w:val="00FC0F56"/>
    <w:rsid w:val="00FC3268"/>
    <w:rsid w:val="00FC76F3"/>
    <w:rsid w:val="00FC7E58"/>
    <w:rsid w:val="00FD08B0"/>
    <w:rsid w:val="00FD0C8E"/>
    <w:rsid w:val="00FD5602"/>
    <w:rsid w:val="00FD5F27"/>
    <w:rsid w:val="00FD662A"/>
    <w:rsid w:val="00FD6991"/>
    <w:rsid w:val="00FE08A6"/>
    <w:rsid w:val="00FE0E4F"/>
    <w:rsid w:val="00FE2804"/>
    <w:rsid w:val="00FE39D7"/>
    <w:rsid w:val="00FE45B8"/>
    <w:rsid w:val="00FE5F38"/>
    <w:rsid w:val="00FF20DE"/>
    <w:rsid w:val="00FF306C"/>
    <w:rsid w:val="00FF50FD"/>
    <w:rsid w:val="00FF5447"/>
    <w:rsid w:val="00FF584F"/>
    <w:rsid w:val="00FF67FA"/>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fillcolor="none [3204]" strokecolor="none [3204]">
      <v:fill color="none [3204]"/>
      <v:stroke color="none [3204]" weight="3pt"/>
      <v:shadow type="perspective" color="none [1604]" opacity=".5" offset="1pt" offset2="-1pt"/>
    </o:shapedefaults>
    <o:shapelayout v:ext="edit">
      <o:idmap v:ext="edit" data="2"/>
    </o:shapelayout>
  </w:shapeDefaults>
  <w:decimalSymbol w:val="."/>
  <w:listSeparator w:val=","/>
  <w14:docId w14:val="56C8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40" w:lineRule="atLeast"/>
      </w:pPr>
    </w:pPrDefault>
  </w:docDefaults>
  <w:latentStyles w:defLockedState="0" w:defUIPriority="99" w:defSemiHidden="0" w:defUnhideWhenUsed="0" w:defQFormat="0" w:count="376">
    <w:lsdException w:name="Normal" w:uiPriority="9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8" w:unhideWhenUsed="1"/>
    <w:lsdException w:name="toc 2" w:semiHidden="1" w:uiPriority="8" w:unhideWhenUsed="1"/>
    <w:lsdException w:name="toc 3" w:semiHidden="1" w:uiPriority="8" w:unhideWhenUsed="1"/>
    <w:lsdException w:name="toc 4" w:semiHidden="1" w:uiPriority="8"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lsdException w:name="FollowedHyperlink" w:semiHidden="1" w:unhideWhenUsed="1"/>
    <w:lsdException w:name="Strong" w:semiHidden="1"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FD6991"/>
    <w:pPr>
      <w:spacing w:after="160" w:line="300" w:lineRule="atLeast"/>
    </w:pPr>
    <w:rPr>
      <w:rFonts w:ascii="Calibri" w:hAnsi="Calibri"/>
      <w:color w:val="1E1E1E"/>
      <w:sz w:val="24"/>
    </w:rPr>
  </w:style>
  <w:style w:type="paragraph" w:styleId="Heading1">
    <w:name w:val="heading 1"/>
    <w:basedOn w:val="Normalcolour"/>
    <w:link w:val="Heading1Char"/>
    <w:uiPriority w:val="1"/>
    <w:qFormat/>
    <w:rsid w:val="00B37B6B"/>
    <w:pPr>
      <w:keepNext/>
      <w:keepLines/>
      <w:numPr>
        <w:numId w:val="14"/>
      </w:numPr>
      <w:spacing w:after="100"/>
      <w:ind w:right="284"/>
      <w:contextualSpacing/>
      <w:outlineLvl w:val="0"/>
    </w:pPr>
    <w:rPr>
      <w:rFonts w:eastAsiaTheme="majorEastAsia" w:cstheme="majorBidi"/>
      <w:b/>
      <w:bCs/>
      <w:sz w:val="26"/>
      <w:szCs w:val="28"/>
    </w:rPr>
  </w:style>
  <w:style w:type="paragraph" w:styleId="Heading2">
    <w:name w:val="heading 2"/>
    <w:basedOn w:val="Normalcolour"/>
    <w:next w:val="BodyText"/>
    <w:link w:val="Heading2Char"/>
    <w:uiPriority w:val="1"/>
    <w:qFormat/>
    <w:rsid w:val="00166496"/>
    <w:pPr>
      <w:keepNext/>
      <w:keepLines/>
      <w:numPr>
        <w:ilvl w:val="1"/>
        <w:numId w:val="14"/>
      </w:numPr>
      <w:spacing w:before="320" w:after="80" w:line="240" w:lineRule="auto"/>
      <w:ind w:right="284"/>
      <w:outlineLvl w:val="1"/>
    </w:pPr>
    <w:rPr>
      <w:rFonts w:eastAsiaTheme="majorEastAsia" w:cstheme="majorBidi"/>
      <w:b/>
      <w:bCs/>
      <w:szCs w:val="26"/>
    </w:rPr>
  </w:style>
  <w:style w:type="paragraph" w:styleId="Heading3">
    <w:name w:val="heading 3"/>
    <w:basedOn w:val="Normalcolour"/>
    <w:next w:val="BodyText"/>
    <w:link w:val="Heading3Char"/>
    <w:uiPriority w:val="1"/>
    <w:qFormat/>
    <w:rsid w:val="00CE7E8C"/>
    <w:pPr>
      <w:keepNext/>
      <w:keepLines/>
      <w:numPr>
        <w:ilvl w:val="2"/>
        <w:numId w:val="14"/>
      </w:numPr>
      <w:spacing w:before="280" w:after="60" w:line="240" w:lineRule="auto"/>
      <w:ind w:right="284"/>
      <w:outlineLvl w:val="2"/>
    </w:pPr>
    <w:rPr>
      <w:rFonts w:eastAsiaTheme="majorEastAsia" w:cstheme="majorBidi"/>
      <w:b/>
      <w:bCs/>
      <w:sz w:val="22"/>
    </w:rPr>
  </w:style>
  <w:style w:type="paragraph" w:styleId="Heading4">
    <w:name w:val="heading 4"/>
    <w:basedOn w:val="Normal"/>
    <w:next w:val="BodyText"/>
    <w:link w:val="Heading4Char"/>
    <w:uiPriority w:val="1"/>
    <w:qFormat/>
    <w:rsid w:val="00CE7E8C"/>
    <w:pPr>
      <w:keepNext/>
      <w:keepLines/>
      <w:numPr>
        <w:ilvl w:val="3"/>
        <w:numId w:val="14"/>
      </w:numPr>
      <w:spacing w:before="240" w:after="60" w:line="240" w:lineRule="auto"/>
      <w:ind w:right="284"/>
      <w:outlineLvl w:val="3"/>
    </w:pPr>
    <w:rPr>
      <w:rFonts w:eastAsiaTheme="majorEastAsia" w:cstheme="majorBidi"/>
      <w:b/>
      <w:bCs/>
      <w:iCs/>
      <w:caps/>
      <w:sz w:val="20"/>
    </w:rPr>
  </w:style>
  <w:style w:type="paragraph" w:styleId="Heading5">
    <w:name w:val="heading 5"/>
    <w:basedOn w:val="Normal"/>
    <w:next w:val="BodyText"/>
    <w:link w:val="Heading5Char"/>
    <w:uiPriority w:val="1"/>
    <w:semiHidden/>
    <w:qFormat/>
    <w:rsid w:val="00AC7F7D"/>
    <w:pPr>
      <w:keepNext/>
      <w:keepLines/>
      <w:numPr>
        <w:ilvl w:val="4"/>
        <w:numId w:val="14"/>
      </w:numPr>
      <w:spacing w:before="360" w:after="60"/>
      <w:ind w:right="284"/>
      <w:outlineLvl w:val="4"/>
    </w:pPr>
    <w:rPr>
      <w:rFonts w:eastAsiaTheme="majorEastAsia" w:cstheme="majorBidi"/>
      <w:b/>
      <w:caps/>
    </w:rPr>
  </w:style>
  <w:style w:type="paragraph" w:styleId="Heading6">
    <w:name w:val="heading 6"/>
    <w:basedOn w:val="Normal"/>
    <w:next w:val="Normal"/>
    <w:link w:val="Heading6Char"/>
    <w:uiPriority w:val="13"/>
    <w:semiHidden/>
    <w:qFormat/>
    <w:rsid w:val="00EC70DD"/>
    <w:pPr>
      <w:keepNext/>
      <w:keepLines/>
      <w:numPr>
        <w:ilvl w:val="5"/>
        <w:numId w:val="14"/>
      </w:numPr>
      <w:spacing w:before="200" w:after="0"/>
      <w:outlineLvl w:val="5"/>
    </w:pPr>
    <w:rPr>
      <w:rFonts w:asciiTheme="majorHAnsi" w:eastAsiaTheme="majorEastAsia" w:hAnsiTheme="majorHAnsi" w:cstheme="majorBidi"/>
      <w:i/>
      <w:iCs/>
      <w:color w:val="155A39" w:themeColor="accent1" w:themeShade="7F"/>
    </w:rPr>
  </w:style>
  <w:style w:type="paragraph" w:styleId="Heading7">
    <w:name w:val="heading 7"/>
    <w:basedOn w:val="Normal"/>
    <w:next w:val="Normal"/>
    <w:link w:val="Heading7Char"/>
    <w:uiPriority w:val="13"/>
    <w:semiHidden/>
    <w:qFormat/>
    <w:rsid w:val="00EC70DD"/>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3"/>
    <w:semiHidden/>
    <w:qFormat/>
    <w:rsid w:val="00EC70DD"/>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13"/>
    <w:semiHidden/>
    <w:qFormat/>
    <w:rsid w:val="00EC70DD"/>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3650C9"/>
    <w:rPr>
      <w:vertAlign w:val="superscript"/>
    </w:rPr>
  </w:style>
  <w:style w:type="paragraph" w:styleId="ListBullet">
    <w:name w:val="List Bullet"/>
    <w:basedOn w:val="Normal"/>
    <w:uiPriority w:val="3"/>
    <w:semiHidden/>
    <w:rsid w:val="00230CBA"/>
    <w:pPr>
      <w:numPr>
        <w:numId w:val="2"/>
      </w:numPr>
      <w:tabs>
        <w:tab w:val="clear" w:pos="567"/>
        <w:tab w:val="num" w:pos="360"/>
      </w:tabs>
      <w:ind w:left="0" w:firstLine="0"/>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B37B6B"/>
    <w:rPr>
      <w:rFonts w:ascii="Calibri" w:eastAsiaTheme="majorEastAsia" w:hAnsi="Calibri" w:cstheme="majorBidi"/>
      <w:b/>
      <w:bCs/>
      <w:color w:val="1E1E1E"/>
      <w:sz w:val="26"/>
      <w:szCs w:val="28"/>
    </w:rPr>
  </w:style>
  <w:style w:type="character" w:customStyle="1" w:styleId="Heading2Char">
    <w:name w:val="Heading 2 Char"/>
    <w:basedOn w:val="DefaultParagraphFont"/>
    <w:link w:val="Heading2"/>
    <w:uiPriority w:val="1"/>
    <w:rsid w:val="00166496"/>
    <w:rPr>
      <w:rFonts w:ascii="Calibri" w:eastAsiaTheme="majorEastAsia" w:hAnsi="Calibri" w:cstheme="majorBidi"/>
      <w:b/>
      <w:bCs/>
      <w:color w:val="1E1E1E"/>
      <w:sz w:val="24"/>
      <w:szCs w:val="26"/>
    </w:rPr>
  </w:style>
  <w:style w:type="character" w:customStyle="1" w:styleId="Heading3Char">
    <w:name w:val="Heading 3 Char"/>
    <w:basedOn w:val="DefaultParagraphFont"/>
    <w:link w:val="Heading3"/>
    <w:uiPriority w:val="1"/>
    <w:rsid w:val="00CE7E8C"/>
    <w:rPr>
      <w:rFonts w:ascii="Calibri" w:eastAsiaTheme="majorEastAsia" w:hAnsi="Calibri" w:cstheme="majorBidi"/>
      <w:b/>
      <w:bCs/>
      <w:color w:val="1E1E1E"/>
    </w:rPr>
  </w:style>
  <w:style w:type="character" w:customStyle="1" w:styleId="Heading4Char">
    <w:name w:val="Heading 4 Char"/>
    <w:basedOn w:val="DefaultParagraphFont"/>
    <w:link w:val="Heading4"/>
    <w:uiPriority w:val="1"/>
    <w:rsid w:val="00CE7E8C"/>
    <w:rPr>
      <w:rFonts w:ascii="Calibri" w:eastAsiaTheme="majorEastAsia" w:hAnsi="Calibri" w:cstheme="majorBidi"/>
      <w:b/>
      <w:bCs/>
      <w:iCs/>
      <w:caps/>
      <w:color w:val="1E1E1E"/>
      <w:sz w:val="20"/>
    </w:rPr>
  </w:style>
  <w:style w:type="character" w:customStyle="1" w:styleId="Heading5Char">
    <w:name w:val="Heading 5 Char"/>
    <w:basedOn w:val="DefaultParagraphFont"/>
    <w:link w:val="Heading5"/>
    <w:uiPriority w:val="1"/>
    <w:semiHidden/>
    <w:rsid w:val="0062408B"/>
    <w:rPr>
      <w:rFonts w:ascii="Calibri" w:eastAsiaTheme="majorEastAsia" w:hAnsi="Calibri" w:cstheme="majorBidi"/>
      <w:b/>
      <w:caps/>
      <w:color w:val="1E1E1E"/>
      <w:sz w:val="24"/>
    </w:rPr>
  </w:style>
  <w:style w:type="character" w:customStyle="1" w:styleId="Heading6Char">
    <w:name w:val="Heading 6 Char"/>
    <w:basedOn w:val="DefaultParagraphFont"/>
    <w:link w:val="Heading6"/>
    <w:uiPriority w:val="13"/>
    <w:semiHidden/>
    <w:rsid w:val="006259EA"/>
    <w:rPr>
      <w:rFonts w:asciiTheme="majorHAnsi" w:eastAsiaTheme="majorEastAsia" w:hAnsiTheme="majorHAnsi" w:cstheme="majorBidi"/>
      <w:i/>
      <w:iCs/>
      <w:color w:val="155A39" w:themeColor="accent1" w:themeShade="7F"/>
      <w:sz w:val="24"/>
    </w:rPr>
  </w:style>
  <w:style w:type="character" w:customStyle="1" w:styleId="Heading7Char">
    <w:name w:val="Heading 7 Char"/>
    <w:basedOn w:val="DefaultParagraphFont"/>
    <w:link w:val="Heading7"/>
    <w:uiPriority w:val="13"/>
    <w:semiHidden/>
    <w:rsid w:val="006259EA"/>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13"/>
    <w:semiHidden/>
    <w:rsid w:val="006259E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13"/>
    <w:semiHidden/>
    <w:rsid w:val="006259EA"/>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7F23F8"/>
    <w:pPr>
      <w:ind w:left="567" w:right="567"/>
    </w:pPr>
    <w:rPr>
      <w:i/>
      <w:color w:val="4D4D4D"/>
    </w:rPr>
  </w:style>
  <w:style w:type="paragraph" w:styleId="Caption">
    <w:name w:val="caption"/>
    <w:basedOn w:val="Normal"/>
    <w:next w:val="BodyText"/>
    <w:uiPriority w:val="2"/>
    <w:semiHidden/>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
    <w:next w:val="Normal"/>
    <w:uiPriority w:val="39"/>
    <w:semiHidden/>
    <w:rsid w:val="00EA3CA8"/>
    <w:pPr>
      <w:tabs>
        <w:tab w:val="right" w:leader="underscore" w:pos="9299"/>
      </w:tabs>
      <w:spacing w:before="200" w:after="0"/>
      <w:ind w:right="425"/>
    </w:pPr>
    <w:rPr>
      <w:b/>
      <w:sz w:val="26"/>
    </w:rPr>
  </w:style>
  <w:style w:type="paragraph" w:styleId="TOC2">
    <w:name w:val="toc 2"/>
    <w:basedOn w:val="Normal"/>
    <w:next w:val="Normal"/>
    <w:uiPriority w:val="39"/>
    <w:semiHidden/>
    <w:rsid w:val="00EA3CA8"/>
    <w:pPr>
      <w:tabs>
        <w:tab w:val="right" w:leader="underscore" w:pos="9299"/>
      </w:tabs>
      <w:spacing w:after="0"/>
      <w:ind w:right="425"/>
    </w:pPr>
  </w:style>
  <w:style w:type="paragraph" w:styleId="TOC3">
    <w:name w:val="toc 3"/>
    <w:basedOn w:val="Normal"/>
    <w:next w:val="Normal"/>
    <w:uiPriority w:val="39"/>
    <w:semiHidden/>
    <w:rsid w:val="00EA3CA8"/>
    <w:pPr>
      <w:tabs>
        <w:tab w:val="right" w:leader="underscore" w:pos="9299"/>
      </w:tabs>
      <w:spacing w:after="0"/>
      <w:ind w:left="284" w:right="425"/>
    </w:pPr>
  </w:style>
  <w:style w:type="paragraph" w:styleId="TOC4">
    <w:name w:val="toc 4"/>
    <w:basedOn w:val="Normal"/>
    <w:next w:val="Normal"/>
    <w:uiPriority w:val="39"/>
    <w:semiHidden/>
    <w:rsid w:val="00751A3D"/>
    <w:pPr>
      <w:tabs>
        <w:tab w:val="right" w:leader="underscore" w:pos="9299"/>
      </w:tabs>
      <w:spacing w:after="0"/>
      <w:ind w:left="567" w:right="425"/>
    </w:pPr>
  </w:style>
  <w:style w:type="paragraph" w:styleId="TOC5">
    <w:name w:val="toc 5"/>
    <w:basedOn w:val="Normal"/>
    <w:next w:val="Normal"/>
    <w:uiPriority w:val="39"/>
    <w:semiHidden/>
    <w:rsid w:val="00EA3CA8"/>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semiHidden/>
    <w:rsid w:val="00EA3CA8"/>
    <w:pPr>
      <w:spacing w:before="600" w:after="140"/>
    </w:pPr>
    <w:rPr>
      <w:b w:val="0"/>
      <w:sz w:val="38"/>
    </w:rPr>
  </w:style>
  <w:style w:type="paragraph" w:styleId="BodyText">
    <w:name w:val="Body Text"/>
    <w:basedOn w:val="Normal"/>
    <w:link w:val="BodyTextChar"/>
    <w:uiPriority w:val="2"/>
    <w:rsid w:val="00C7744C"/>
  </w:style>
  <w:style w:type="character" w:customStyle="1" w:styleId="BodyTextChar">
    <w:name w:val="Body Text Char"/>
    <w:basedOn w:val="DefaultParagraphFont"/>
    <w:link w:val="BodyText"/>
    <w:uiPriority w:val="2"/>
    <w:rsid w:val="005804D9"/>
    <w:rPr>
      <w:rFonts w:ascii="Calibri" w:hAnsi="Calibri"/>
      <w:color w:val="1E1E1E"/>
      <w:sz w:val="24"/>
    </w:rPr>
  </w:style>
  <w:style w:type="paragraph" w:styleId="CommentText">
    <w:name w:val="annotation text"/>
    <w:basedOn w:val="Normal"/>
    <w:link w:val="CommentTextChar"/>
    <w:uiPriority w:val="13"/>
    <w:semiHidden/>
    <w:rsid w:val="00002E2B"/>
    <w:pPr>
      <w:spacing w:line="240" w:lineRule="auto"/>
    </w:pPr>
    <w:rPr>
      <w:sz w:val="22"/>
      <w:szCs w:val="20"/>
    </w:rPr>
  </w:style>
  <w:style w:type="character" w:customStyle="1" w:styleId="CommentTextChar">
    <w:name w:val="Comment Text Char"/>
    <w:basedOn w:val="DefaultParagraphFont"/>
    <w:link w:val="CommentText"/>
    <w:uiPriority w:val="13"/>
    <w:semiHidden/>
    <w:rsid w:val="006259EA"/>
    <w:rPr>
      <w:rFonts w:ascii="Calibri" w:hAnsi="Calibri"/>
      <w:color w:val="1E1E1E"/>
      <w:szCs w:val="20"/>
    </w:rPr>
  </w:style>
  <w:style w:type="paragraph" w:styleId="CommentSubject">
    <w:name w:val="annotation subject"/>
    <w:basedOn w:val="CommentText"/>
    <w:next w:val="CommentText"/>
    <w:link w:val="CommentSubjectChar"/>
    <w:uiPriority w:val="13"/>
    <w:semiHidden/>
    <w:rsid w:val="00EC70DD"/>
    <w:rPr>
      <w:b/>
      <w:bCs/>
    </w:rPr>
  </w:style>
  <w:style w:type="character" w:customStyle="1" w:styleId="CommentSubjectChar">
    <w:name w:val="Comment Subject Char"/>
    <w:basedOn w:val="CommentTextChar"/>
    <w:link w:val="CommentSubject"/>
    <w:uiPriority w:val="13"/>
    <w:semiHidden/>
    <w:rsid w:val="006259EA"/>
    <w:rPr>
      <w:rFonts w:ascii="Calibri" w:hAnsi="Calibri"/>
      <w:b/>
      <w:bCs/>
      <w:color w:val="1E1E1E"/>
      <w:szCs w:val="20"/>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532F63"/>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532F63"/>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E96EFD"/>
    <w:pPr>
      <w:spacing w:after="0" w:line="240" w:lineRule="auto"/>
      <w:jc w:val="right"/>
    </w:pPr>
    <w:rPr>
      <w:color w:val="696969"/>
      <w:sz w:val="20"/>
    </w:rPr>
  </w:style>
  <w:style w:type="character" w:customStyle="1" w:styleId="FooterChar">
    <w:name w:val="Footer Char"/>
    <w:basedOn w:val="DefaultParagraphFont"/>
    <w:link w:val="Footer"/>
    <w:uiPriority w:val="10"/>
    <w:rsid w:val="00E96EFD"/>
    <w:rPr>
      <w:rFonts w:ascii="Calibri" w:hAnsi="Calibri"/>
      <w:color w:val="696969"/>
      <w:sz w:val="20"/>
    </w:rPr>
  </w:style>
  <w:style w:type="paragraph" w:styleId="FootnoteText">
    <w:name w:val="footnote text"/>
    <w:basedOn w:val="Normal"/>
    <w:link w:val="FootnoteTextChar"/>
    <w:uiPriority w:val="7"/>
    <w:rsid w:val="00DA121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DA1214"/>
    <w:rPr>
      <w:rFonts w:ascii="Calibri" w:hAnsi="Calibri"/>
      <w:color w:val="4D4D4D"/>
      <w:sz w:val="20"/>
      <w:szCs w:val="20"/>
    </w:rPr>
  </w:style>
  <w:style w:type="paragraph" w:styleId="Header">
    <w:name w:val="header"/>
    <w:basedOn w:val="Normal"/>
    <w:link w:val="HeaderChar"/>
    <w:rsid w:val="004F0CB3"/>
    <w:pPr>
      <w:tabs>
        <w:tab w:val="right" w:pos="9526"/>
      </w:tabs>
      <w:spacing w:after="0" w:line="240" w:lineRule="auto"/>
    </w:pPr>
    <w:rPr>
      <w:color w:val="696969"/>
      <w:sz w:val="20"/>
    </w:rPr>
  </w:style>
  <w:style w:type="character" w:customStyle="1" w:styleId="HeaderChar">
    <w:name w:val="Header Char"/>
    <w:basedOn w:val="DefaultParagraphFont"/>
    <w:link w:val="Header"/>
    <w:rsid w:val="004F0CB3"/>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A34A6D"/>
    <w:pPr>
      <w:spacing w:after="0"/>
      <w:ind w:left="220" w:hanging="220"/>
    </w:pPr>
    <w:rPr>
      <w:szCs w:val="18"/>
    </w:rPr>
  </w:style>
  <w:style w:type="paragraph" w:styleId="Index2">
    <w:name w:val="index 2"/>
    <w:basedOn w:val="Normal"/>
    <w:uiPriority w:val="99"/>
    <w:semiHidden/>
    <w:rsid w:val="00A34A6D"/>
    <w:pPr>
      <w:spacing w:after="0"/>
      <w:ind w:left="440" w:hanging="220"/>
    </w:pPr>
    <w:rPr>
      <w:szCs w:val="18"/>
    </w:rPr>
  </w:style>
  <w:style w:type="paragraph" w:styleId="Index3">
    <w:name w:val="index 3"/>
    <w:basedOn w:val="Normal"/>
    <w:uiPriority w:val="99"/>
    <w:semiHidden/>
    <w:rsid w:val="00A34A6D"/>
    <w:pPr>
      <w:spacing w:after="0"/>
      <w:ind w:left="660" w:hanging="220"/>
    </w:pPr>
    <w:rPr>
      <w:szCs w:val="18"/>
    </w:rPr>
  </w:style>
  <w:style w:type="paragraph" w:styleId="Index4">
    <w:name w:val="index 4"/>
    <w:basedOn w:val="Normal"/>
    <w:uiPriority w:val="99"/>
    <w:semiHidden/>
    <w:rsid w:val="00A34A6D"/>
    <w:pPr>
      <w:spacing w:after="0"/>
      <w:ind w:left="880" w:hanging="220"/>
    </w:pPr>
    <w:rPr>
      <w:szCs w:val="18"/>
    </w:rPr>
  </w:style>
  <w:style w:type="paragraph" w:styleId="Index5">
    <w:name w:val="index 5"/>
    <w:basedOn w:val="Normal"/>
    <w:uiPriority w:val="99"/>
    <w:semiHidden/>
    <w:rsid w:val="00A34A6D"/>
    <w:pPr>
      <w:spacing w:after="0"/>
      <w:ind w:left="1100" w:hanging="220"/>
    </w:pPr>
    <w:rPr>
      <w:szCs w:val="18"/>
    </w:rPr>
  </w:style>
  <w:style w:type="paragraph" w:styleId="Index6">
    <w:name w:val="index 6"/>
    <w:basedOn w:val="Normal"/>
    <w:uiPriority w:val="99"/>
    <w:semiHidden/>
    <w:rsid w:val="00A34A6D"/>
    <w:pPr>
      <w:spacing w:after="0"/>
      <w:ind w:left="1320" w:hanging="220"/>
    </w:pPr>
    <w:rPr>
      <w:szCs w:val="18"/>
    </w:rPr>
  </w:style>
  <w:style w:type="paragraph" w:styleId="Index7">
    <w:name w:val="index 7"/>
    <w:basedOn w:val="Normal"/>
    <w:uiPriority w:val="99"/>
    <w:semiHidden/>
    <w:rsid w:val="00A34A6D"/>
    <w:pPr>
      <w:spacing w:after="0"/>
      <w:ind w:left="1540" w:hanging="220"/>
    </w:pPr>
    <w:rPr>
      <w:szCs w:val="18"/>
    </w:rPr>
  </w:style>
  <w:style w:type="paragraph" w:styleId="Index8">
    <w:name w:val="index 8"/>
    <w:basedOn w:val="Normal"/>
    <w:uiPriority w:val="99"/>
    <w:semiHidden/>
    <w:rsid w:val="00A34A6D"/>
    <w:pPr>
      <w:spacing w:after="0"/>
      <w:ind w:left="1760" w:hanging="220"/>
    </w:pPr>
    <w:rPr>
      <w:szCs w:val="18"/>
    </w:rPr>
  </w:style>
  <w:style w:type="paragraph" w:styleId="Index9">
    <w:name w:val="index 9"/>
    <w:basedOn w:val="Normal"/>
    <w:uiPriority w:val="99"/>
    <w:semiHidden/>
    <w:rsid w:val="00A34A6D"/>
    <w:pPr>
      <w:spacing w:after="0"/>
      <w:ind w:left="1980" w:hanging="220"/>
    </w:pPr>
    <w:rPr>
      <w:szCs w:val="18"/>
    </w:rPr>
  </w:style>
  <w:style w:type="paragraph" w:styleId="IndexHeading">
    <w:name w:val="index heading"/>
    <w:basedOn w:val="Normal"/>
    <w:next w:val="Index1"/>
    <w:uiPriority w:val="1"/>
    <w:semiHidden/>
    <w:rsid w:val="00A34A6D"/>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230CBA"/>
    <w:pPr>
      <w:numPr>
        <w:ilvl w:val="1"/>
        <w:numId w:val="2"/>
      </w:numPr>
    </w:pPr>
  </w:style>
  <w:style w:type="paragraph" w:styleId="ListBullet3">
    <w:name w:val="List Bullet 3"/>
    <w:basedOn w:val="Normal"/>
    <w:uiPriority w:val="3"/>
    <w:semiHidden/>
    <w:rsid w:val="00230CBA"/>
    <w:pPr>
      <w:numPr>
        <w:ilvl w:val="2"/>
        <w:numId w:val="2"/>
      </w:numPr>
    </w:pPr>
  </w:style>
  <w:style w:type="paragraph" w:styleId="ListBullet4">
    <w:name w:val="List Bullet 4"/>
    <w:basedOn w:val="Normal"/>
    <w:uiPriority w:val="3"/>
    <w:semiHidden/>
    <w:rsid w:val="00230CBA"/>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473B73"/>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0F098C"/>
    <w:pPr>
      <w:spacing w:after="0"/>
      <w:ind w:left="220" w:hanging="220"/>
    </w:pPr>
  </w:style>
  <w:style w:type="paragraph" w:styleId="TableofFigures">
    <w:name w:val="table of figures"/>
    <w:basedOn w:val="Normal"/>
    <w:next w:val="BodyText"/>
    <w:uiPriority w:val="8"/>
    <w:semiHidden/>
    <w:rsid w:val="007354DC"/>
    <w:pPr>
      <w:tabs>
        <w:tab w:val="right" w:leader="underscore" w:pos="9299"/>
      </w:tabs>
      <w:spacing w:after="0"/>
      <w:ind w:right="425"/>
    </w:pPr>
  </w:style>
  <w:style w:type="paragraph" w:styleId="TOAHeading">
    <w:name w:val="toa heading"/>
    <w:basedOn w:val="Normal"/>
    <w:next w:val="Normal"/>
    <w:uiPriority w:val="9"/>
    <w:semiHidden/>
    <w:rsid w:val="00EC70DD"/>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qFormat/>
    <w:rsid w:val="00345A5D"/>
  </w:style>
  <w:style w:type="character" w:styleId="PageNumber">
    <w:name w:val="page number"/>
    <w:basedOn w:val="DefaultParagraphFont"/>
    <w:rsid w:val="00EA3CA8"/>
    <w:rPr>
      <w:b/>
      <w:color w:val="1E1E1E"/>
      <w:sz w:val="20"/>
    </w:rPr>
  </w:style>
  <w:style w:type="paragraph" w:customStyle="1" w:styleId="Heading1line">
    <w:name w:val="Heading 1 line"/>
    <w:basedOn w:val="Normal"/>
    <w:next w:val="BodyText"/>
    <w:uiPriority w:val="1"/>
    <w:semiHidden/>
    <w:rsid w:val="000A03FF"/>
    <w:pPr>
      <w:pBdr>
        <w:bottom w:val="single" w:sz="4" w:space="1" w:color="696969"/>
      </w:pBdr>
      <w:spacing w:before="200" w:line="240" w:lineRule="auto"/>
    </w:pPr>
    <w:rPr>
      <w:color w:val="696969"/>
    </w:rPr>
  </w:style>
  <w:style w:type="table" w:styleId="TableGrid">
    <w:name w:val="Table Grid"/>
    <w:basedOn w:val="TableNormal"/>
    <w:uiPriority w:val="59"/>
    <w:rsid w:val="00751A3D"/>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14724A"/>
    <w:pPr>
      <w:keepNext/>
      <w:spacing w:before="60" w:after="60" w:line="240" w:lineRule="auto"/>
    </w:pPr>
    <w:rPr>
      <w:color w:val="FFFFFF" w:themeColor="background1"/>
    </w:rPr>
  </w:style>
  <w:style w:type="paragraph" w:customStyle="1" w:styleId="Listoutline1-1">
    <w:name w:val="List outline 1 - 1."/>
    <w:basedOn w:val="BodyText"/>
    <w:uiPriority w:val="6"/>
    <w:semiHidden/>
    <w:rsid w:val="005000D2"/>
    <w:pPr>
      <w:numPr>
        <w:numId w:val="3"/>
      </w:numPr>
    </w:pPr>
  </w:style>
  <w:style w:type="paragraph" w:customStyle="1" w:styleId="Listoutline2-11">
    <w:name w:val="List outline 2 - 1.1"/>
    <w:basedOn w:val="Normal"/>
    <w:uiPriority w:val="6"/>
    <w:semiHidden/>
    <w:rsid w:val="001E24C9"/>
    <w:pPr>
      <w:numPr>
        <w:ilvl w:val="1"/>
        <w:numId w:val="3"/>
      </w:numPr>
    </w:pPr>
  </w:style>
  <w:style w:type="paragraph" w:customStyle="1" w:styleId="Listoutline3-111">
    <w:name w:val="List outline 3 - 1.1.1"/>
    <w:basedOn w:val="Normal"/>
    <w:uiPriority w:val="6"/>
    <w:semiHidden/>
    <w:rsid w:val="001E24C9"/>
    <w:pPr>
      <w:numPr>
        <w:ilvl w:val="2"/>
        <w:numId w:val="3"/>
      </w:numPr>
    </w:pPr>
  </w:style>
  <w:style w:type="paragraph" w:customStyle="1" w:styleId="Listoutline4-a">
    <w:name w:val="List outline 4 - a."/>
    <w:basedOn w:val="Normal"/>
    <w:uiPriority w:val="6"/>
    <w:semiHidden/>
    <w:rsid w:val="001E24C9"/>
    <w:pPr>
      <w:numPr>
        <w:ilvl w:val="3"/>
        <w:numId w:val="3"/>
      </w:numPr>
    </w:pPr>
  </w:style>
  <w:style w:type="character" w:styleId="Hyperlink">
    <w:name w:val="Hyperlink"/>
    <w:basedOn w:val="DefaultParagraphFont"/>
    <w:uiPriority w:val="2"/>
    <w:rsid w:val="00EA3CA8"/>
    <w:rPr>
      <w:color w:val="0D6AB8"/>
      <w:u w:val="single"/>
    </w:rPr>
  </w:style>
  <w:style w:type="paragraph" w:customStyle="1" w:styleId="Heading2-Start">
    <w:name w:val="Heading 2 - Start"/>
    <w:basedOn w:val="Heading2"/>
    <w:next w:val="BodyText"/>
    <w:uiPriority w:val="1"/>
    <w:semiHidden/>
    <w:qFormat/>
    <w:rsid w:val="00C4225E"/>
    <w:pPr>
      <w:spacing w:before="200"/>
    </w:pPr>
  </w:style>
  <w:style w:type="paragraph" w:customStyle="1" w:styleId="Quotationparagraphbefore">
    <w:name w:val="Quotation (paragraph before)"/>
    <w:basedOn w:val="Normal"/>
    <w:next w:val="Quotationseparateparagraph"/>
    <w:uiPriority w:val="6"/>
    <w:rsid w:val="007F23F8"/>
    <w:pPr>
      <w:spacing w:after="120"/>
    </w:pPr>
  </w:style>
  <w:style w:type="character" w:styleId="Emphasis">
    <w:name w:val="Emphasis"/>
    <w:uiPriority w:val="2"/>
    <w:rsid w:val="002C64FF"/>
    <w:rPr>
      <w:rFonts w:ascii="Calibri" w:hAnsi="Calibri"/>
      <w:b/>
      <w:bCs/>
      <w:iCs/>
      <w:spacing w:val="0"/>
      <w:lang w:val="en-NZ"/>
    </w:rPr>
  </w:style>
  <w:style w:type="paragraph" w:customStyle="1" w:styleId="Boxsmalltext">
    <w:name w:val="Box small text"/>
    <w:basedOn w:val="Normalcolour"/>
    <w:uiPriority w:val="2"/>
    <w:rsid w:val="00EA3CA8"/>
  </w:style>
  <w:style w:type="paragraph" w:customStyle="1" w:styleId="Boxlargetext">
    <w:name w:val="Box large text"/>
    <w:basedOn w:val="Boxsmalltext"/>
    <w:uiPriority w:val="2"/>
    <w:qFormat/>
    <w:rsid w:val="00EA3CA8"/>
    <w:pPr>
      <w:spacing w:line="320" w:lineRule="atLeast"/>
    </w:pPr>
    <w:rPr>
      <w:sz w:val="26"/>
    </w:rPr>
  </w:style>
  <w:style w:type="paragraph" w:customStyle="1" w:styleId="Listoutline5-i">
    <w:name w:val="List outline 5 - i."/>
    <w:basedOn w:val="Normal"/>
    <w:uiPriority w:val="6"/>
    <w:semiHidden/>
    <w:rsid w:val="001E24C9"/>
    <w:pPr>
      <w:numPr>
        <w:ilvl w:val="4"/>
        <w:numId w:val="3"/>
      </w:numPr>
    </w:pPr>
  </w:style>
  <w:style w:type="character" w:styleId="EndnoteReference">
    <w:name w:val="endnote reference"/>
    <w:basedOn w:val="DefaultParagraphFont"/>
    <w:uiPriority w:val="7"/>
    <w:rsid w:val="003650C9"/>
    <w:rPr>
      <w:vertAlign w:val="superscript"/>
    </w:rPr>
  </w:style>
  <w:style w:type="paragraph" w:customStyle="1" w:styleId="HeadingAppendix">
    <w:name w:val="Heading Appendix"/>
    <w:basedOn w:val="Normalcolour"/>
    <w:next w:val="BodyText"/>
    <w:uiPriority w:val="1"/>
    <w:rsid w:val="00091B6C"/>
    <w:pPr>
      <w:keepNext/>
      <w:pageBreakBefore/>
      <w:numPr>
        <w:numId w:val="4"/>
      </w:numPr>
      <w:spacing w:after="100" w:line="240" w:lineRule="auto"/>
      <w:ind w:right="284"/>
      <w:outlineLvl w:val="0"/>
    </w:pPr>
    <w:rPr>
      <w:b/>
      <w:sz w:val="26"/>
    </w:rPr>
  </w:style>
  <w:style w:type="table" w:customStyle="1" w:styleId="TableGridnoborders">
    <w:name w:val="Table Grid (no borders)"/>
    <w:basedOn w:val="TableNormal"/>
    <w:uiPriority w:val="99"/>
    <w:rsid w:val="00CB2FC2"/>
    <w:rPr>
      <w:rFonts w:ascii="Calibri" w:hAnsi="Calibri"/>
      <w:sz w:val="24"/>
    </w:rPr>
    <w:tblPr>
      <w:tblInd w:w="113" w:type="dxa"/>
      <w:tblCellMar>
        <w:top w:w="28" w:type="dxa"/>
        <w:bottom w:w="28" w:type="dxa"/>
      </w:tblCellMar>
    </w:tblPr>
    <w:tcPr>
      <w:shd w:val="clear" w:color="auto" w:fill="auto"/>
    </w:tcPr>
  </w:style>
  <w:style w:type="paragraph" w:customStyle="1" w:styleId="Heading1-Sub">
    <w:name w:val="Heading 1 - Sub"/>
    <w:basedOn w:val="Normal"/>
    <w:uiPriority w:val="1"/>
    <w:semiHidden/>
    <w:qFormat/>
    <w:rsid w:val="00B877C9"/>
    <w:pPr>
      <w:tabs>
        <w:tab w:val="left" w:pos="2268"/>
      </w:tabs>
      <w:spacing w:after="0"/>
      <w:ind w:left="2268" w:hanging="2268"/>
    </w:pPr>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7F23F8"/>
    <w:rPr>
      <w:i/>
    </w:rPr>
  </w:style>
  <w:style w:type="character" w:customStyle="1" w:styleId="Heading1-Subnonboldtext">
    <w:name w:val="Heading 1 - Sub (non bold text)"/>
    <w:basedOn w:val="DefaultParagraphFont"/>
    <w:uiPriority w:val="1"/>
    <w:semiHidden/>
    <w:rsid w:val="003A4539"/>
    <w:rPr>
      <w:b/>
    </w:rPr>
  </w:style>
  <w:style w:type="paragraph" w:customStyle="1" w:styleId="Tablebodytext">
    <w:name w:val="Table body text"/>
    <w:basedOn w:val="BodyText"/>
    <w:uiPriority w:val="2"/>
    <w:rsid w:val="0014724A"/>
    <w:pPr>
      <w:spacing w:before="120" w:after="120"/>
    </w:pPr>
    <w:rPr>
      <w:sz w:val="22"/>
    </w:rPr>
  </w:style>
  <w:style w:type="paragraph" w:customStyle="1" w:styleId="Tablesinglespacedparagraph">
    <w:name w:val="Table single spaced paragraph"/>
    <w:basedOn w:val="BodyText"/>
    <w:uiPriority w:val="2"/>
    <w:rsid w:val="005360C8"/>
    <w:pPr>
      <w:spacing w:before="40" w:after="40"/>
    </w:pPr>
    <w:rPr>
      <w:sz w:val="22"/>
    </w:rPr>
  </w:style>
  <w:style w:type="table" w:customStyle="1" w:styleId="TableBox">
    <w:name w:val="Table Box"/>
    <w:basedOn w:val="TableNormal"/>
    <w:uiPriority w:val="99"/>
    <w:rsid w:val="00751A3D"/>
    <w:rPr>
      <w:rFonts w:ascii="Calibri" w:hAnsi="Calibri"/>
      <w:sz w:val="24"/>
    </w:rPr>
    <w:tblPr>
      <w:tblCellMar>
        <w:top w:w="142" w:type="dxa"/>
        <w:left w:w="284" w:type="dxa"/>
        <w:bottom w:w="142" w:type="dxa"/>
        <w:right w:w="284" w:type="dxa"/>
      </w:tblCellMar>
    </w:tblPr>
    <w:tcPr>
      <w:shd w:val="clear" w:color="auto" w:fill="D3D3D3"/>
    </w:tcPr>
  </w:style>
  <w:style w:type="character" w:styleId="FollowedHyperlink">
    <w:name w:val="FollowedHyperlink"/>
    <w:basedOn w:val="DefaultParagraphFont"/>
    <w:uiPriority w:val="2"/>
    <w:rsid w:val="004D1A6E"/>
    <w:rPr>
      <w:color w:val="3C98E7"/>
      <w:u w:val="single"/>
    </w:rPr>
  </w:style>
  <w:style w:type="paragraph" w:customStyle="1" w:styleId="Headingboxtextinbody">
    <w:name w:val="Heading box text (in body)"/>
    <w:basedOn w:val="Normalcolour"/>
    <w:uiPriority w:val="1"/>
    <w:rsid w:val="00EA3CA8"/>
    <w:pPr>
      <w:spacing w:before="360" w:after="60" w:line="320" w:lineRule="atLeast"/>
    </w:pPr>
    <w:rPr>
      <w:b/>
      <w:sz w:val="26"/>
    </w:rPr>
  </w:style>
  <w:style w:type="paragraph" w:customStyle="1" w:styleId="Headingboxtexttop">
    <w:name w:val="Heading box text (top)"/>
    <w:basedOn w:val="Normalcolour"/>
    <w:uiPriority w:val="1"/>
    <w:rsid w:val="00EA3CA8"/>
    <w:pPr>
      <w:spacing w:after="60" w:line="320" w:lineRule="atLeast"/>
      <w:contextualSpacing/>
    </w:pPr>
    <w:rPr>
      <w:b/>
      <w:sz w:val="26"/>
    </w:rPr>
  </w:style>
  <w:style w:type="paragraph" w:customStyle="1" w:styleId="Singlespacedparagraph">
    <w:name w:val="Single spaced paragraph"/>
    <w:basedOn w:val="BodyText"/>
    <w:uiPriority w:val="2"/>
    <w:rsid w:val="006C5B54"/>
    <w:pPr>
      <w:spacing w:after="0"/>
    </w:pPr>
  </w:style>
  <w:style w:type="paragraph" w:customStyle="1" w:styleId="DL-ourref">
    <w:name w:val="DL - our ref"/>
    <w:basedOn w:val="Singlespacedparagraph"/>
    <w:next w:val="DL-date"/>
    <w:uiPriority w:val="12"/>
    <w:rsid w:val="00654430"/>
    <w:pPr>
      <w:tabs>
        <w:tab w:val="left" w:pos="1134"/>
      </w:tabs>
    </w:pPr>
  </w:style>
  <w:style w:type="paragraph" w:customStyle="1" w:styleId="DL-addresslines">
    <w:name w:val="DL - address lines"/>
    <w:basedOn w:val="Singlespacedparagraph"/>
    <w:uiPriority w:val="12"/>
    <w:rsid w:val="00561701"/>
    <w:pPr>
      <w:spacing w:line="240" w:lineRule="exact"/>
    </w:pPr>
  </w:style>
  <w:style w:type="paragraph" w:customStyle="1" w:styleId="DL-salutation">
    <w:name w:val="DL - salutation"/>
    <w:basedOn w:val="Singlespacedparagraph"/>
    <w:next w:val="Heading1"/>
    <w:uiPriority w:val="12"/>
    <w:rsid w:val="00E7745F"/>
    <w:pPr>
      <w:spacing w:before="600" w:after="200"/>
    </w:pPr>
  </w:style>
  <w:style w:type="paragraph" w:customStyle="1" w:styleId="DL-closing">
    <w:name w:val="DL - closing"/>
    <w:basedOn w:val="Singlespacedparagraph"/>
    <w:uiPriority w:val="12"/>
    <w:rsid w:val="00C87AA9"/>
    <w:pPr>
      <w:spacing w:before="240"/>
    </w:pPr>
  </w:style>
  <w:style w:type="paragraph" w:customStyle="1" w:styleId="DL-closingname">
    <w:name w:val="DL - closing name"/>
    <w:basedOn w:val="Singlespacedparagraph"/>
    <w:uiPriority w:val="12"/>
    <w:rsid w:val="000E7F49"/>
  </w:style>
  <w:style w:type="paragraph" w:customStyle="1" w:styleId="DL-closingposition">
    <w:name w:val="DL - closing position"/>
    <w:basedOn w:val="Singlespacedparagraph"/>
    <w:uiPriority w:val="12"/>
    <w:rsid w:val="0014247B"/>
  </w:style>
  <w:style w:type="paragraph" w:customStyle="1" w:styleId="DL-enclosure">
    <w:name w:val="DL - enclosure"/>
    <w:basedOn w:val="Singlespacedparagraph"/>
    <w:uiPriority w:val="12"/>
    <w:rsid w:val="0014247B"/>
    <w:pPr>
      <w:tabs>
        <w:tab w:val="left" w:pos="709"/>
      </w:tabs>
      <w:spacing w:before="120"/>
    </w:pPr>
  </w:style>
  <w:style w:type="paragraph" w:customStyle="1" w:styleId="DL-date">
    <w:name w:val="DL - date"/>
    <w:basedOn w:val="Singlespacedparagraph"/>
    <w:next w:val="DL-addresslines"/>
    <w:uiPriority w:val="12"/>
    <w:rsid w:val="0015216F"/>
    <w:pPr>
      <w:spacing w:before="70"/>
    </w:pPr>
  </w:style>
  <w:style w:type="paragraph" w:customStyle="1" w:styleId="DL-freephonetextline">
    <w:name w:val="DL - freephone text line"/>
    <w:basedOn w:val="Singlespacedparagraph"/>
    <w:uiPriority w:val="98"/>
    <w:semiHidden/>
    <w:rsid w:val="00B42F1A"/>
    <w:pPr>
      <w:spacing w:before="340" w:after="600"/>
      <w:jc w:val="right"/>
    </w:pPr>
    <w:rPr>
      <w:sz w:val="17"/>
    </w:rPr>
  </w:style>
  <w:style w:type="paragraph" w:customStyle="1" w:styleId="Footerline">
    <w:name w:val="Footer line"/>
    <w:basedOn w:val="Footer"/>
    <w:next w:val="Footer"/>
    <w:uiPriority w:val="10"/>
    <w:rsid w:val="001F30AF"/>
    <w:pPr>
      <w:pBdr>
        <w:top w:val="single" w:sz="4" w:space="5" w:color="696969"/>
      </w:pBdr>
      <w:ind w:left="23" w:right="23"/>
    </w:pPr>
    <w:rPr>
      <w:sz w:val="2"/>
    </w:rPr>
  </w:style>
  <w:style w:type="paragraph" w:customStyle="1" w:styleId="Headerline">
    <w:name w:val="Header line"/>
    <w:basedOn w:val="Header"/>
    <w:rsid w:val="001F30AF"/>
    <w:pPr>
      <w:pBdr>
        <w:bottom w:val="single" w:sz="4" w:space="5" w:color="696969"/>
      </w:pBdr>
      <w:ind w:left="23" w:right="23"/>
    </w:pPr>
    <w:rPr>
      <w:sz w:val="2"/>
    </w:rPr>
  </w:style>
  <w:style w:type="paragraph" w:customStyle="1" w:styleId="Legindent1">
    <w:name w:val="Leg indent 1"/>
    <w:basedOn w:val="Normal"/>
    <w:uiPriority w:val="9"/>
    <w:semiHidden/>
    <w:rsid w:val="00DF43A2"/>
    <w:pPr>
      <w:ind w:left="851"/>
    </w:pPr>
  </w:style>
  <w:style w:type="paragraph" w:customStyle="1" w:styleId="Legindent2">
    <w:name w:val="Leg indent 2"/>
    <w:basedOn w:val="Normal"/>
    <w:uiPriority w:val="9"/>
    <w:semiHidden/>
    <w:rsid w:val="00DF43A2"/>
    <w:pPr>
      <w:ind w:left="1559"/>
    </w:pPr>
  </w:style>
  <w:style w:type="paragraph" w:customStyle="1" w:styleId="Legindent3">
    <w:name w:val="Leg indent 3"/>
    <w:basedOn w:val="Normal"/>
    <w:uiPriority w:val="9"/>
    <w:semiHidden/>
    <w:rsid w:val="00DF43A2"/>
    <w:pPr>
      <w:ind w:left="2268"/>
    </w:pPr>
  </w:style>
  <w:style w:type="paragraph" w:customStyle="1" w:styleId="QLegindent1">
    <w:name w:val="QLeg indent 1"/>
    <w:basedOn w:val="Normal"/>
    <w:uiPriority w:val="2"/>
    <w:semiHidden/>
    <w:rsid w:val="00DF43A2"/>
    <w:pPr>
      <w:ind w:left="1985" w:right="567"/>
    </w:pPr>
    <w:rPr>
      <w:i/>
      <w:color w:val="4D4D4D"/>
    </w:rPr>
  </w:style>
  <w:style w:type="paragraph" w:customStyle="1" w:styleId="QLegindent2">
    <w:name w:val="QLeg indent 2"/>
    <w:basedOn w:val="Normal"/>
    <w:uiPriority w:val="2"/>
    <w:semiHidden/>
    <w:rsid w:val="00DF43A2"/>
    <w:pPr>
      <w:ind w:left="2693" w:right="567"/>
    </w:pPr>
    <w:rPr>
      <w:i/>
      <w:color w:val="4D4D4D"/>
    </w:rPr>
  </w:style>
  <w:style w:type="paragraph" w:customStyle="1" w:styleId="QLegindent3">
    <w:name w:val="QLeg indent 3"/>
    <w:basedOn w:val="Normal"/>
    <w:uiPriority w:val="2"/>
    <w:semiHidden/>
    <w:rsid w:val="00DF43A2"/>
    <w:pPr>
      <w:ind w:left="3402" w:right="567"/>
    </w:pPr>
    <w:rPr>
      <w:i/>
      <w:color w:val="4D4D4D"/>
    </w:rPr>
  </w:style>
  <w:style w:type="paragraph" w:customStyle="1" w:styleId="Legstyle-1">
    <w:name w:val="Leg style - (1)"/>
    <w:basedOn w:val="Normal"/>
    <w:uiPriority w:val="9"/>
    <w:semiHidden/>
    <w:rsid w:val="00DF43A2"/>
    <w:pPr>
      <w:tabs>
        <w:tab w:val="left" w:pos="851"/>
      </w:tabs>
      <w:ind w:left="851" w:hanging="851"/>
    </w:pPr>
  </w:style>
  <w:style w:type="paragraph" w:customStyle="1" w:styleId="Legstyle-a">
    <w:name w:val="Leg style - (a)"/>
    <w:basedOn w:val="Normal"/>
    <w:uiPriority w:val="9"/>
    <w:semiHidden/>
    <w:rsid w:val="00DF43A2"/>
    <w:pPr>
      <w:tabs>
        <w:tab w:val="left" w:pos="1559"/>
      </w:tabs>
      <w:ind w:left="1560" w:hanging="709"/>
    </w:pPr>
  </w:style>
  <w:style w:type="paragraph" w:customStyle="1" w:styleId="Legstyle-i">
    <w:name w:val="Leg style - (i)"/>
    <w:basedOn w:val="Normal"/>
    <w:uiPriority w:val="9"/>
    <w:semiHidden/>
    <w:rsid w:val="00DF43A2"/>
    <w:pPr>
      <w:tabs>
        <w:tab w:val="left" w:pos="2268"/>
      </w:tabs>
      <w:ind w:left="2268" w:hanging="709"/>
    </w:pPr>
  </w:style>
  <w:style w:type="paragraph" w:customStyle="1" w:styleId="Legstyle-10">
    <w:name w:val="Leg style - 1"/>
    <w:basedOn w:val="Normal"/>
    <w:uiPriority w:val="9"/>
    <w:semiHidden/>
    <w:rsid w:val="00DF43A2"/>
    <w:pPr>
      <w:tabs>
        <w:tab w:val="left" w:pos="851"/>
      </w:tabs>
      <w:ind w:left="851" w:hanging="851"/>
    </w:pPr>
    <w:rPr>
      <w:b/>
    </w:rPr>
  </w:style>
  <w:style w:type="paragraph" w:customStyle="1" w:styleId="QLegstyle-1">
    <w:name w:val="QLeg style - (1)"/>
    <w:basedOn w:val="Normal"/>
    <w:uiPriority w:val="2"/>
    <w:semiHidden/>
    <w:rsid w:val="00DF43A2"/>
    <w:pPr>
      <w:tabs>
        <w:tab w:val="left" w:pos="1985"/>
      </w:tabs>
      <w:ind w:left="1985" w:right="567" w:hanging="851"/>
    </w:pPr>
    <w:rPr>
      <w:i/>
      <w:color w:val="4D4D4D"/>
    </w:rPr>
  </w:style>
  <w:style w:type="paragraph" w:customStyle="1" w:styleId="QLegstyle-a">
    <w:name w:val="QLeg style - (a)"/>
    <w:basedOn w:val="Normal"/>
    <w:uiPriority w:val="2"/>
    <w:semiHidden/>
    <w:rsid w:val="00DF43A2"/>
    <w:pPr>
      <w:tabs>
        <w:tab w:val="left" w:pos="2693"/>
      </w:tabs>
      <w:ind w:left="2694" w:right="567" w:hanging="709"/>
    </w:pPr>
    <w:rPr>
      <w:i/>
      <w:color w:val="4D4D4D"/>
    </w:rPr>
  </w:style>
  <w:style w:type="paragraph" w:customStyle="1" w:styleId="QLegstyle-i">
    <w:name w:val="QLeg style - (i)"/>
    <w:basedOn w:val="Normal"/>
    <w:uiPriority w:val="2"/>
    <w:semiHidden/>
    <w:rsid w:val="00DF43A2"/>
    <w:pPr>
      <w:tabs>
        <w:tab w:val="left" w:pos="3402"/>
      </w:tabs>
      <w:ind w:left="3402" w:right="567" w:hanging="709"/>
    </w:pPr>
    <w:rPr>
      <w:i/>
      <w:color w:val="4D4D4D"/>
    </w:rPr>
  </w:style>
  <w:style w:type="paragraph" w:customStyle="1" w:styleId="QLegstyle-10">
    <w:name w:val="QLeg style - 1"/>
    <w:basedOn w:val="Normal"/>
    <w:uiPriority w:val="2"/>
    <w:semiHidden/>
    <w:rsid w:val="00DF43A2"/>
    <w:pPr>
      <w:tabs>
        <w:tab w:val="left" w:pos="1985"/>
      </w:tabs>
      <w:ind w:left="1985" w:right="567" w:hanging="851"/>
    </w:pPr>
    <w:rPr>
      <w:b/>
      <w:i/>
      <w:color w:val="4D4D4D"/>
    </w:rPr>
  </w:style>
  <w:style w:type="paragraph" w:customStyle="1" w:styleId="Guidelines">
    <w:name w:val="Guidelines"/>
    <w:basedOn w:val="Normal"/>
    <w:next w:val="BodyText"/>
    <w:uiPriority w:val="2"/>
    <w:rsid w:val="00483527"/>
    <w:rPr>
      <w:color w:val="00B050"/>
    </w:rPr>
  </w:style>
  <w:style w:type="paragraph" w:customStyle="1" w:styleId="QIndent1">
    <w:name w:val="QIndent 1"/>
    <w:basedOn w:val="Normal"/>
    <w:uiPriority w:val="6"/>
    <w:rsid w:val="007F23F8"/>
    <w:pPr>
      <w:ind w:left="1134" w:right="567"/>
    </w:pPr>
    <w:rPr>
      <w:i/>
      <w:color w:val="4D4D4D"/>
    </w:rPr>
  </w:style>
  <w:style w:type="paragraph" w:customStyle="1" w:styleId="QIndent2">
    <w:name w:val="QIndent 2"/>
    <w:basedOn w:val="Normal"/>
    <w:uiPriority w:val="6"/>
    <w:rsid w:val="007F23F8"/>
    <w:pPr>
      <w:ind w:left="1701" w:right="567"/>
    </w:pPr>
    <w:rPr>
      <w:i/>
      <w:color w:val="4D4D4D"/>
    </w:rPr>
  </w:style>
  <w:style w:type="paragraph" w:customStyle="1" w:styleId="QIndent3">
    <w:name w:val="QIndent 3"/>
    <w:basedOn w:val="Normal"/>
    <w:uiPriority w:val="6"/>
    <w:rsid w:val="007F23F8"/>
    <w:pPr>
      <w:ind w:left="2268" w:right="567"/>
    </w:pPr>
    <w:rPr>
      <w:i/>
      <w:color w:val="4D4D4D"/>
    </w:rPr>
  </w:style>
  <w:style w:type="paragraph" w:customStyle="1" w:styleId="QListalpha">
    <w:name w:val="QList alpha"/>
    <w:basedOn w:val="Normal"/>
    <w:uiPriority w:val="6"/>
    <w:rsid w:val="007F23F8"/>
    <w:pPr>
      <w:numPr>
        <w:numId w:val="10"/>
      </w:numPr>
      <w:ind w:right="567"/>
    </w:pPr>
    <w:rPr>
      <w:i/>
      <w:color w:val="4D4D4D"/>
    </w:rPr>
  </w:style>
  <w:style w:type="paragraph" w:customStyle="1" w:styleId="QListbullet">
    <w:name w:val="QList bullet"/>
    <w:basedOn w:val="Normal"/>
    <w:uiPriority w:val="6"/>
    <w:rsid w:val="007F23F8"/>
    <w:pPr>
      <w:numPr>
        <w:numId w:val="11"/>
      </w:numPr>
      <w:ind w:right="567"/>
    </w:pPr>
    <w:rPr>
      <w:i/>
      <w:color w:val="4D4D4D"/>
    </w:rPr>
  </w:style>
  <w:style w:type="paragraph" w:customStyle="1" w:styleId="QListnumber">
    <w:name w:val="QList number"/>
    <w:basedOn w:val="Normal"/>
    <w:uiPriority w:val="6"/>
    <w:rsid w:val="007F23F8"/>
    <w:pPr>
      <w:numPr>
        <w:numId w:val="12"/>
      </w:numPr>
      <w:ind w:right="567"/>
    </w:pPr>
    <w:rPr>
      <w:i/>
      <w:color w:val="4D4D4D"/>
    </w:rPr>
  </w:style>
  <w:style w:type="paragraph" w:customStyle="1" w:styleId="QListroman">
    <w:name w:val="QList roman"/>
    <w:basedOn w:val="Normal"/>
    <w:uiPriority w:val="6"/>
    <w:rsid w:val="007F23F8"/>
    <w:pPr>
      <w:numPr>
        <w:numId w:val="13"/>
      </w:numPr>
      <w:ind w:right="567"/>
    </w:pPr>
    <w:rPr>
      <w:rFonts w:eastAsia="Times New Roman" w:cs="Times New Roman"/>
      <w:i/>
      <w:color w:val="4D4D4D"/>
      <w:szCs w:val="20"/>
    </w:rPr>
  </w:style>
  <w:style w:type="paragraph" w:customStyle="1" w:styleId="Indent1">
    <w:name w:val="Indent 1"/>
    <w:basedOn w:val="Normal"/>
    <w:uiPriority w:val="4"/>
    <w:rsid w:val="004C54E9"/>
    <w:pPr>
      <w:ind w:left="567"/>
    </w:pPr>
  </w:style>
  <w:style w:type="paragraph" w:customStyle="1" w:styleId="Indent2">
    <w:name w:val="Indent 2"/>
    <w:basedOn w:val="Normal"/>
    <w:uiPriority w:val="4"/>
    <w:rsid w:val="004C54E9"/>
    <w:pPr>
      <w:ind w:left="1134"/>
    </w:pPr>
  </w:style>
  <w:style w:type="paragraph" w:customStyle="1" w:styleId="Indent3">
    <w:name w:val="Indent 3"/>
    <w:basedOn w:val="Normal"/>
    <w:uiPriority w:val="4"/>
    <w:rsid w:val="004C54E9"/>
    <w:pPr>
      <w:ind w:left="1701"/>
    </w:pPr>
  </w:style>
  <w:style w:type="paragraph" w:customStyle="1" w:styleId="Indent4">
    <w:name w:val="Indent 4"/>
    <w:basedOn w:val="Normal"/>
    <w:uiPriority w:val="4"/>
    <w:rsid w:val="004C54E9"/>
    <w:pPr>
      <w:ind w:left="2268"/>
    </w:pPr>
  </w:style>
  <w:style w:type="paragraph" w:customStyle="1" w:styleId="Bullet1">
    <w:name w:val="Bullet 1"/>
    <w:basedOn w:val="Normal"/>
    <w:uiPriority w:val="2"/>
    <w:rsid w:val="00A34A6D"/>
    <w:pPr>
      <w:numPr>
        <w:numId w:val="15"/>
      </w:numPr>
    </w:pPr>
  </w:style>
  <w:style w:type="paragraph" w:customStyle="1" w:styleId="Bullet2">
    <w:name w:val="Bullet 2"/>
    <w:basedOn w:val="Normal"/>
    <w:uiPriority w:val="2"/>
    <w:rsid w:val="00A34A6D"/>
    <w:pPr>
      <w:numPr>
        <w:ilvl w:val="1"/>
        <w:numId w:val="15"/>
      </w:numPr>
    </w:pPr>
  </w:style>
  <w:style w:type="paragraph" w:customStyle="1" w:styleId="Bullet3">
    <w:name w:val="Bullet 3"/>
    <w:basedOn w:val="Normal"/>
    <w:uiPriority w:val="2"/>
    <w:rsid w:val="00A34A6D"/>
    <w:pPr>
      <w:numPr>
        <w:ilvl w:val="2"/>
        <w:numId w:val="15"/>
      </w:numPr>
    </w:pPr>
  </w:style>
  <w:style w:type="paragraph" w:customStyle="1" w:styleId="Bullet4">
    <w:name w:val="Bullet 4"/>
    <w:basedOn w:val="Normal"/>
    <w:uiPriority w:val="2"/>
    <w:rsid w:val="00A34A6D"/>
    <w:pPr>
      <w:numPr>
        <w:ilvl w:val="3"/>
        <w:numId w:val="15"/>
      </w:numPr>
    </w:pPr>
  </w:style>
  <w:style w:type="paragraph" w:customStyle="1" w:styleId="Number1">
    <w:name w:val="Number 1"/>
    <w:basedOn w:val="Normal"/>
    <w:uiPriority w:val="5"/>
    <w:rsid w:val="00A34A6D"/>
    <w:pPr>
      <w:numPr>
        <w:numId w:val="20"/>
      </w:numPr>
    </w:pPr>
  </w:style>
  <w:style w:type="paragraph" w:customStyle="1" w:styleId="Number2">
    <w:name w:val="Number 2"/>
    <w:basedOn w:val="Normal"/>
    <w:uiPriority w:val="5"/>
    <w:rsid w:val="00A34A6D"/>
    <w:pPr>
      <w:numPr>
        <w:ilvl w:val="1"/>
        <w:numId w:val="20"/>
      </w:numPr>
    </w:pPr>
  </w:style>
  <w:style w:type="paragraph" w:customStyle="1" w:styleId="Number3">
    <w:name w:val="Number 3"/>
    <w:basedOn w:val="Normal"/>
    <w:uiPriority w:val="5"/>
    <w:rsid w:val="00A34A6D"/>
    <w:pPr>
      <w:numPr>
        <w:ilvl w:val="2"/>
        <w:numId w:val="20"/>
      </w:numPr>
    </w:pPr>
  </w:style>
  <w:style w:type="paragraph" w:customStyle="1" w:styleId="Number-1">
    <w:name w:val="Number - 1."/>
    <w:basedOn w:val="BodyText"/>
    <w:uiPriority w:val="5"/>
    <w:rsid w:val="00A34A6D"/>
    <w:pPr>
      <w:numPr>
        <w:numId w:val="18"/>
      </w:numPr>
    </w:pPr>
  </w:style>
  <w:style w:type="paragraph" w:customStyle="1" w:styleId="Number-11">
    <w:name w:val="Number - 1.1"/>
    <w:basedOn w:val="Normal"/>
    <w:uiPriority w:val="5"/>
    <w:rsid w:val="00A34A6D"/>
    <w:pPr>
      <w:numPr>
        <w:ilvl w:val="1"/>
        <w:numId w:val="18"/>
      </w:numPr>
    </w:pPr>
  </w:style>
  <w:style w:type="paragraph" w:customStyle="1" w:styleId="Number-111">
    <w:name w:val="Number - 1.1.1"/>
    <w:basedOn w:val="Normal"/>
    <w:uiPriority w:val="5"/>
    <w:rsid w:val="00A34A6D"/>
    <w:pPr>
      <w:numPr>
        <w:ilvl w:val="2"/>
        <w:numId w:val="18"/>
      </w:numPr>
    </w:pPr>
  </w:style>
  <w:style w:type="paragraph" w:customStyle="1" w:styleId="Number-a">
    <w:name w:val="Number - a."/>
    <w:basedOn w:val="Normal"/>
    <w:uiPriority w:val="5"/>
    <w:rsid w:val="00A34A6D"/>
    <w:pPr>
      <w:numPr>
        <w:numId w:val="19"/>
      </w:numPr>
    </w:pPr>
  </w:style>
  <w:style w:type="paragraph" w:customStyle="1" w:styleId="Number-i">
    <w:name w:val="Number - i."/>
    <w:basedOn w:val="Normal"/>
    <w:uiPriority w:val="5"/>
    <w:rsid w:val="00A34A6D"/>
    <w:pPr>
      <w:numPr>
        <w:ilvl w:val="1"/>
        <w:numId w:val="19"/>
      </w:numPr>
    </w:pPr>
  </w:style>
  <w:style w:type="paragraph" w:customStyle="1" w:styleId="Tableheading">
    <w:name w:val="Table heading"/>
    <w:basedOn w:val="Tablebodytext"/>
    <w:next w:val="Tablebodytext"/>
    <w:uiPriority w:val="2"/>
    <w:rsid w:val="00F55B0F"/>
    <w:pPr>
      <w:keepNext/>
      <w:spacing w:after="60"/>
    </w:pPr>
    <w:rPr>
      <w:b/>
    </w:rPr>
  </w:style>
  <w:style w:type="paragraph" w:customStyle="1" w:styleId="TableBullet1">
    <w:name w:val="Table Bullet 1"/>
    <w:basedOn w:val="Normal"/>
    <w:uiPriority w:val="2"/>
    <w:rsid w:val="00A34A6D"/>
    <w:pPr>
      <w:numPr>
        <w:numId w:val="23"/>
      </w:numPr>
      <w:spacing w:before="120" w:after="120"/>
    </w:pPr>
    <w:rPr>
      <w:sz w:val="22"/>
    </w:rPr>
  </w:style>
  <w:style w:type="paragraph" w:customStyle="1" w:styleId="TableBullet2">
    <w:name w:val="Table Bullet 2"/>
    <w:basedOn w:val="Normal"/>
    <w:uiPriority w:val="2"/>
    <w:rsid w:val="00A34A6D"/>
    <w:pPr>
      <w:numPr>
        <w:ilvl w:val="1"/>
        <w:numId w:val="23"/>
      </w:numPr>
      <w:spacing w:before="120" w:after="120"/>
    </w:pPr>
    <w:rPr>
      <w:sz w:val="22"/>
    </w:rPr>
  </w:style>
  <w:style w:type="paragraph" w:customStyle="1" w:styleId="TableBullet3">
    <w:name w:val="Table Bullet 3"/>
    <w:basedOn w:val="Normal"/>
    <w:uiPriority w:val="2"/>
    <w:rsid w:val="00A34A6D"/>
    <w:pPr>
      <w:numPr>
        <w:ilvl w:val="2"/>
        <w:numId w:val="23"/>
      </w:numPr>
      <w:spacing w:before="120" w:after="120"/>
    </w:pPr>
    <w:rPr>
      <w:sz w:val="22"/>
    </w:rPr>
  </w:style>
  <w:style w:type="paragraph" w:customStyle="1" w:styleId="TableIndent1">
    <w:name w:val="Table Indent 1"/>
    <w:basedOn w:val="Normal"/>
    <w:uiPriority w:val="2"/>
    <w:rsid w:val="004C54E9"/>
    <w:pPr>
      <w:spacing w:before="120" w:after="120"/>
      <w:ind w:left="357"/>
    </w:pPr>
    <w:rPr>
      <w:sz w:val="22"/>
    </w:rPr>
  </w:style>
  <w:style w:type="paragraph" w:customStyle="1" w:styleId="TableIndent2">
    <w:name w:val="Table Indent 2"/>
    <w:basedOn w:val="Normal"/>
    <w:uiPriority w:val="2"/>
    <w:rsid w:val="004C54E9"/>
    <w:pPr>
      <w:spacing w:before="120" w:after="120"/>
      <w:ind w:left="714"/>
    </w:pPr>
    <w:rPr>
      <w:sz w:val="22"/>
    </w:rPr>
  </w:style>
  <w:style w:type="paragraph" w:customStyle="1" w:styleId="TableIndent3">
    <w:name w:val="Table Indent 3"/>
    <w:basedOn w:val="Normal"/>
    <w:uiPriority w:val="2"/>
    <w:rsid w:val="004C54E9"/>
    <w:pPr>
      <w:spacing w:before="120" w:after="120"/>
      <w:ind w:left="1072"/>
    </w:pPr>
    <w:rPr>
      <w:sz w:val="22"/>
    </w:rPr>
  </w:style>
  <w:style w:type="paragraph" w:customStyle="1" w:styleId="TableNumber1">
    <w:name w:val="Table Number 1."/>
    <w:basedOn w:val="Normal"/>
    <w:uiPriority w:val="2"/>
    <w:rsid w:val="00A34A6D"/>
    <w:pPr>
      <w:numPr>
        <w:numId w:val="26"/>
      </w:numPr>
      <w:spacing w:before="120" w:after="120"/>
    </w:pPr>
    <w:rPr>
      <w:sz w:val="22"/>
    </w:rPr>
  </w:style>
  <w:style w:type="paragraph" w:customStyle="1" w:styleId="TableNumbera">
    <w:name w:val="Table Number a."/>
    <w:basedOn w:val="Normal"/>
    <w:uiPriority w:val="2"/>
    <w:rsid w:val="00A34A6D"/>
    <w:pPr>
      <w:numPr>
        <w:ilvl w:val="1"/>
        <w:numId w:val="26"/>
      </w:numPr>
      <w:spacing w:before="120" w:after="120"/>
    </w:pPr>
    <w:rPr>
      <w:sz w:val="22"/>
    </w:rPr>
  </w:style>
  <w:style w:type="paragraph" w:customStyle="1" w:styleId="TableNumberi">
    <w:name w:val="Table Number i."/>
    <w:basedOn w:val="Normal"/>
    <w:uiPriority w:val="2"/>
    <w:rsid w:val="00A34A6D"/>
    <w:pPr>
      <w:numPr>
        <w:ilvl w:val="2"/>
        <w:numId w:val="26"/>
      </w:numPr>
      <w:spacing w:before="120" w:after="120"/>
    </w:pPr>
    <w:rPr>
      <w:sz w:val="22"/>
    </w:rPr>
  </w:style>
  <w:style w:type="paragraph" w:customStyle="1" w:styleId="TableQuotationseparateparagraph">
    <w:name w:val="Table Quotation (separate paragraph)"/>
    <w:basedOn w:val="Quotationseparateparagraph"/>
    <w:uiPriority w:val="2"/>
    <w:rsid w:val="0014724A"/>
    <w:pPr>
      <w:spacing w:after="120"/>
      <w:ind w:left="357" w:right="357"/>
    </w:pPr>
    <w:rPr>
      <w:sz w:val="22"/>
    </w:rPr>
  </w:style>
  <w:style w:type="paragraph" w:customStyle="1" w:styleId="Tablesinglespacedparagraphlast">
    <w:name w:val="Table single spaced paragraph (last)"/>
    <w:basedOn w:val="Tablesinglespacedparagraph"/>
    <w:uiPriority w:val="2"/>
    <w:semiHidden/>
    <w:rsid w:val="005360C8"/>
  </w:style>
  <w:style w:type="paragraph" w:customStyle="1" w:styleId="Tablecaption">
    <w:name w:val="Table caption"/>
    <w:basedOn w:val="Normal"/>
    <w:next w:val="BodyText"/>
    <w:uiPriority w:val="2"/>
    <w:rsid w:val="00EA3CA8"/>
    <w:pPr>
      <w:keepNext/>
      <w:spacing w:before="360" w:after="60" w:line="260" w:lineRule="atLeast"/>
    </w:pPr>
    <w:rPr>
      <w:b/>
      <w:sz w:val="26"/>
    </w:rPr>
  </w:style>
  <w:style w:type="paragraph" w:customStyle="1" w:styleId="FigureCaption">
    <w:name w:val="Figure Caption"/>
    <w:basedOn w:val="Normal"/>
    <w:next w:val="BodyText"/>
    <w:uiPriority w:val="2"/>
    <w:rsid w:val="00311D3A"/>
    <w:pPr>
      <w:spacing w:line="240" w:lineRule="auto"/>
    </w:pPr>
    <w:rPr>
      <w:i/>
    </w:rPr>
  </w:style>
  <w:style w:type="paragraph" w:customStyle="1" w:styleId="Tablebodytextnospaceafter">
    <w:name w:val="Table body text (no space after)"/>
    <w:basedOn w:val="BodyText"/>
    <w:uiPriority w:val="2"/>
    <w:rsid w:val="0014724A"/>
    <w:pPr>
      <w:spacing w:after="0"/>
    </w:pPr>
    <w:rPr>
      <w:sz w:val="22"/>
    </w:rPr>
  </w:style>
  <w:style w:type="paragraph" w:customStyle="1" w:styleId="Headerlandscape">
    <w:name w:val="Header landscape"/>
    <w:basedOn w:val="Header"/>
    <w:rsid w:val="004F0CB3"/>
    <w:pPr>
      <w:tabs>
        <w:tab w:val="clear" w:pos="9526"/>
        <w:tab w:val="right" w:pos="14118"/>
      </w:tabs>
    </w:pPr>
  </w:style>
  <w:style w:type="paragraph" w:customStyle="1" w:styleId="Footerlandscape">
    <w:name w:val="Footer landscape"/>
    <w:basedOn w:val="Footer"/>
    <w:uiPriority w:val="10"/>
    <w:rsid w:val="002B031A"/>
  </w:style>
  <w:style w:type="character" w:customStyle="1" w:styleId="Italics">
    <w:name w:val="Italics"/>
    <w:basedOn w:val="DefaultParagraphFont"/>
    <w:uiPriority w:val="2"/>
    <w:rsid w:val="00ED1747"/>
    <w:rPr>
      <w:i/>
    </w:rPr>
  </w:style>
  <w:style w:type="paragraph" w:customStyle="1" w:styleId="DL-contact">
    <w:name w:val="DL - contact"/>
    <w:basedOn w:val="DL-date"/>
    <w:next w:val="DL-date"/>
    <w:uiPriority w:val="98"/>
    <w:rsid w:val="00654430"/>
    <w:pPr>
      <w:tabs>
        <w:tab w:val="left" w:pos="1134"/>
      </w:tabs>
      <w:spacing w:before="0"/>
    </w:pPr>
  </w:style>
  <w:style w:type="character" w:customStyle="1" w:styleId="Bluetext">
    <w:name w:val="Blue text"/>
    <w:basedOn w:val="DefaultParagraphFont"/>
    <w:uiPriority w:val="2"/>
    <w:rsid w:val="00BB7099"/>
    <w:rPr>
      <w:color w:val="0070C0"/>
    </w:rPr>
  </w:style>
  <w:style w:type="paragraph" w:customStyle="1" w:styleId="Boxsmallbullet1">
    <w:name w:val="Box small bullet 1"/>
    <w:basedOn w:val="Normal"/>
    <w:uiPriority w:val="2"/>
    <w:rsid w:val="00A34A6D"/>
    <w:pPr>
      <w:numPr>
        <w:numId w:val="21"/>
      </w:numPr>
    </w:pPr>
  </w:style>
  <w:style w:type="paragraph" w:customStyle="1" w:styleId="Boxsmallbullet2">
    <w:name w:val="Box small bullet 2"/>
    <w:basedOn w:val="Normal"/>
    <w:uiPriority w:val="2"/>
    <w:rsid w:val="00A34A6D"/>
    <w:pPr>
      <w:numPr>
        <w:ilvl w:val="1"/>
        <w:numId w:val="21"/>
      </w:numPr>
    </w:pPr>
  </w:style>
  <w:style w:type="character" w:customStyle="1" w:styleId="HyperlinkSourceTextReference">
    <w:name w:val="Hyperlink (Source Text Reference)"/>
    <w:basedOn w:val="Hyperlink"/>
    <w:uiPriority w:val="2"/>
    <w:rsid w:val="00ED1747"/>
    <w:rPr>
      <w:color w:val="0D6AB8"/>
      <w:u w:val="single"/>
    </w:rPr>
  </w:style>
  <w:style w:type="numbering" w:styleId="111111">
    <w:name w:val="Outline List 2"/>
    <w:basedOn w:val="NoList"/>
    <w:uiPriority w:val="99"/>
    <w:semiHidden/>
    <w:unhideWhenUsed/>
    <w:rsid w:val="003A6EC5"/>
    <w:pPr>
      <w:numPr>
        <w:numId w:val="5"/>
      </w:numPr>
    </w:pPr>
  </w:style>
  <w:style w:type="numbering" w:styleId="1ai">
    <w:name w:val="Outline List 1"/>
    <w:basedOn w:val="NoList"/>
    <w:uiPriority w:val="99"/>
    <w:semiHidden/>
    <w:unhideWhenUsed/>
    <w:rsid w:val="003A6EC5"/>
    <w:pPr>
      <w:numPr>
        <w:numId w:val="6"/>
      </w:numPr>
    </w:pPr>
  </w:style>
  <w:style w:type="numbering" w:styleId="ArticleSection">
    <w:name w:val="Outline List 3"/>
    <w:basedOn w:val="NoList"/>
    <w:uiPriority w:val="99"/>
    <w:semiHidden/>
    <w:unhideWhenUsed/>
    <w:rsid w:val="003A6EC5"/>
    <w:pPr>
      <w:numPr>
        <w:numId w:val="7"/>
      </w:numPr>
    </w:pPr>
  </w:style>
  <w:style w:type="paragraph" w:customStyle="1" w:styleId="Boxsmallnumber-1">
    <w:name w:val="Box small number - 1."/>
    <w:basedOn w:val="Normal"/>
    <w:uiPriority w:val="2"/>
    <w:rsid w:val="00A34A6D"/>
    <w:pPr>
      <w:numPr>
        <w:numId w:val="22"/>
      </w:numPr>
    </w:pPr>
  </w:style>
  <w:style w:type="paragraph" w:customStyle="1" w:styleId="Boxsmallnumber-a">
    <w:name w:val="Box small number - a."/>
    <w:basedOn w:val="Normal"/>
    <w:uiPriority w:val="2"/>
    <w:rsid w:val="00A34A6D"/>
    <w:pPr>
      <w:numPr>
        <w:ilvl w:val="1"/>
        <w:numId w:val="22"/>
      </w:numPr>
    </w:pPr>
  </w:style>
  <w:style w:type="paragraph" w:customStyle="1" w:styleId="Boxsmallnumber-i">
    <w:name w:val="Box small number - i."/>
    <w:basedOn w:val="Normal"/>
    <w:uiPriority w:val="2"/>
    <w:rsid w:val="00A34A6D"/>
    <w:pPr>
      <w:numPr>
        <w:ilvl w:val="2"/>
        <w:numId w:val="22"/>
      </w:numPr>
    </w:pPr>
  </w:style>
  <w:style w:type="paragraph" w:customStyle="1" w:styleId="FootnoteBullet">
    <w:name w:val="Footnote Bullet"/>
    <w:basedOn w:val="FootnoteText"/>
    <w:uiPriority w:val="7"/>
    <w:rsid w:val="006F1F17"/>
    <w:pPr>
      <w:numPr>
        <w:numId w:val="28"/>
      </w:numPr>
      <w:tabs>
        <w:tab w:val="clear" w:pos="284"/>
      </w:tabs>
    </w:pPr>
  </w:style>
  <w:style w:type="paragraph" w:customStyle="1" w:styleId="Introduction">
    <w:name w:val="Introduction"/>
    <w:basedOn w:val="Normal"/>
    <w:uiPriority w:val="2"/>
    <w:rsid w:val="003A6EC5"/>
    <w:rPr>
      <w:color w:val="4D4D4D"/>
      <w:sz w:val="28"/>
    </w:rPr>
  </w:style>
  <w:style w:type="paragraph" w:customStyle="1" w:styleId="DL-content">
    <w:name w:val="DL - content"/>
    <w:basedOn w:val="Normal"/>
    <w:next w:val="Normal"/>
    <w:uiPriority w:val="98"/>
    <w:semiHidden/>
    <w:rsid w:val="004D13FC"/>
    <w:pPr>
      <w:spacing w:after="0" w:line="240" w:lineRule="atLeast"/>
    </w:pPr>
  </w:style>
  <w:style w:type="paragraph" w:customStyle="1" w:styleId="Checkbox1">
    <w:name w:val="Check box 1"/>
    <w:basedOn w:val="BodyText"/>
    <w:uiPriority w:val="3"/>
    <w:rsid w:val="00A34A6D"/>
    <w:pPr>
      <w:numPr>
        <w:numId w:val="16"/>
      </w:numPr>
    </w:pPr>
  </w:style>
  <w:style w:type="paragraph" w:customStyle="1" w:styleId="Checkbox2">
    <w:name w:val="Check box 2"/>
    <w:basedOn w:val="Checkbox1"/>
    <w:uiPriority w:val="3"/>
    <w:rsid w:val="00A34A6D"/>
    <w:pPr>
      <w:numPr>
        <w:ilvl w:val="1"/>
      </w:numPr>
    </w:pPr>
  </w:style>
  <w:style w:type="paragraph" w:customStyle="1" w:styleId="Checkbox3">
    <w:name w:val="Check box 3"/>
    <w:basedOn w:val="Checkbox1"/>
    <w:uiPriority w:val="3"/>
    <w:rsid w:val="00A34A6D"/>
    <w:pPr>
      <w:numPr>
        <w:ilvl w:val="2"/>
      </w:numPr>
    </w:pPr>
  </w:style>
  <w:style w:type="paragraph" w:customStyle="1" w:styleId="Checkbox4">
    <w:name w:val="Check box 4"/>
    <w:basedOn w:val="Checkbox1"/>
    <w:uiPriority w:val="3"/>
    <w:rsid w:val="00A34A6D"/>
    <w:pPr>
      <w:numPr>
        <w:ilvl w:val="3"/>
      </w:numPr>
    </w:pPr>
  </w:style>
  <w:style w:type="paragraph" w:customStyle="1" w:styleId="Tablecheckbox1">
    <w:name w:val="Table check box 1"/>
    <w:basedOn w:val="Normal"/>
    <w:uiPriority w:val="2"/>
    <w:rsid w:val="00A34A6D"/>
    <w:pPr>
      <w:numPr>
        <w:numId w:val="24"/>
      </w:numPr>
      <w:spacing w:before="120" w:after="120"/>
    </w:pPr>
    <w:rPr>
      <w:sz w:val="22"/>
    </w:rPr>
  </w:style>
  <w:style w:type="paragraph" w:customStyle="1" w:styleId="Tablecheckbox2">
    <w:name w:val="Table check box 2"/>
    <w:basedOn w:val="Tablecheckbox1"/>
    <w:uiPriority w:val="2"/>
    <w:rsid w:val="00A34A6D"/>
    <w:pPr>
      <w:numPr>
        <w:ilvl w:val="1"/>
      </w:numPr>
    </w:pPr>
  </w:style>
  <w:style w:type="paragraph" w:customStyle="1" w:styleId="Tablecheckbox3">
    <w:name w:val="Table check box 3"/>
    <w:basedOn w:val="Tablecheckbox1"/>
    <w:uiPriority w:val="2"/>
    <w:rsid w:val="00A34A6D"/>
    <w:pPr>
      <w:numPr>
        <w:ilvl w:val="2"/>
      </w:numPr>
    </w:pPr>
  </w:style>
  <w:style w:type="paragraph" w:customStyle="1" w:styleId="EndnoteBullet">
    <w:name w:val="Endnote Bullet"/>
    <w:uiPriority w:val="7"/>
    <w:rsid w:val="006F1F17"/>
    <w:pPr>
      <w:numPr>
        <w:numId w:val="27"/>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7F23F8"/>
    <w:pPr>
      <w:ind w:left="2268" w:right="567"/>
    </w:pPr>
    <w:rPr>
      <w:i/>
      <w:color w:val="4D4D4D"/>
    </w:rPr>
  </w:style>
  <w:style w:type="paragraph" w:customStyle="1" w:styleId="CQLegindent2">
    <w:name w:val="CQLeg indent 2"/>
    <w:basedOn w:val="Normal"/>
    <w:uiPriority w:val="6"/>
    <w:rsid w:val="007F23F8"/>
    <w:pPr>
      <w:ind w:left="2977" w:right="567"/>
    </w:pPr>
    <w:rPr>
      <w:i/>
      <w:color w:val="4D4D4D"/>
    </w:rPr>
  </w:style>
  <w:style w:type="paragraph" w:customStyle="1" w:styleId="CQLegindent3">
    <w:name w:val="CQLeg indent 3"/>
    <w:basedOn w:val="Normal"/>
    <w:uiPriority w:val="6"/>
    <w:rsid w:val="007F23F8"/>
    <w:pPr>
      <w:ind w:left="3686" w:right="567"/>
    </w:pPr>
    <w:rPr>
      <w:i/>
      <w:color w:val="4D4D4D"/>
    </w:rPr>
  </w:style>
  <w:style w:type="paragraph" w:customStyle="1" w:styleId="CQLegstyle-1">
    <w:name w:val="CQLeg style - (1)"/>
    <w:basedOn w:val="Normal"/>
    <w:uiPriority w:val="6"/>
    <w:rsid w:val="007F23F8"/>
    <w:pPr>
      <w:tabs>
        <w:tab w:val="left" w:pos="2268"/>
      </w:tabs>
      <w:ind w:left="2269" w:right="567" w:hanging="851"/>
    </w:pPr>
    <w:rPr>
      <w:i/>
      <w:color w:val="4D4D4D"/>
    </w:rPr>
  </w:style>
  <w:style w:type="paragraph" w:customStyle="1" w:styleId="CQLegstyle-a">
    <w:name w:val="CQLeg style - (a)"/>
    <w:basedOn w:val="Normal"/>
    <w:uiPriority w:val="6"/>
    <w:rsid w:val="007F23F8"/>
    <w:pPr>
      <w:tabs>
        <w:tab w:val="left" w:pos="2977"/>
      </w:tabs>
      <w:ind w:left="2977" w:right="567" w:hanging="709"/>
    </w:pPr>
    <w:rPr>
      <w:i/>
      <w:color w:val="4D4D4D"/>
    </w:rPr>
  </w:style>
  <w:style w:type="paragraph" w:customStyle="1" w:styleId="CQLegstyle-i">
    <w:name w:val="CQLeg style - (i)"/>
    <w:basedOn w:val="Normal"/>
    <w:uiPriority w:val="6"/>
    <w:rsid w:val="007F23F8"/>
    <w:pPr>
      <w:tabs>
        <w:tab w:val="left" w:pos="3686"/>
      </w:tabs>
      <w:ind w:left="3686" w:right="567" w:hanging="709"/>
    </w:pPr>
    <w:rPr>
      <w:i/>
      <w:color w:val="4D4D4D"/>
    </w:rPr>
  </w:style>
  <w:style w:type="paragraph" w:customStyle="1" w:styleId="CQLegstyle-10">
    <w:name w:val="CQLeg style - 1"/>
    <w:basedOn w:val="Normal"/>
    <w:uiPriority w:val="6"/>
    <w:rsid w:val="00497D4B"/>
    <w:pPr>
      <w:keepNext/>
      <w:tabs>
        <w:tab w:val="left" w:pos="2268"/>
      </w:tabs>
      <w:ind w:left="2269" w:right="567" w:hanging="851"/>
    </w:pPr>
    <w:rPr>
      <w:b/>
      <w:i/>
      <w:color w:val="4D4D4D"/>
    </w:rPr>
  </w:style>
  <w:style w:type="paragraph" w:customStyle="1" w:styleId="ALegindent1">
    <w:name w:val="ALeg indent 1"/>
    <w:basedOn w:val="Normal"/>
    <w:uiPriority w:val="6"/>
    <w:rsid w:val="007F23F8"/>
    <w:pPr>
      <w:ind w:left="851"/>
    </w:pPr>
  </w:style>
  <w:style w:type="paragraph" w:customStyle="1" w:styleId="ALegindent2">
    <w:name w:val="ALeg indent 2"/>
    <w:basedOn w:val="Normal"/>
    <w:uiPriority w:val="6"/>
    <w:rsid w:val="007F23F8"/>
    <w:pPr>
      <w:ind w:left="1559"/>
    </w:pPr>
  </w:style>
  <w:style w:type="paragraph" w:customStyle="1" w:styleId="ALegindent3">
    <w:name w:val="ALeg indent 3"/>
    <w:basedOn w:val="Normal"/>
    <w:uiPriority w:val="6"/>
    <w:rsid w:val="007F23F8"/>
    <w:pPr>
      <w:ind w:left="2268"/>
    </w:pPr>
  </w:style>
  <w:style w:type="paragraph" w:customStyle="1" w:styleId="ALegstyle-1">
    <w:name w:val="ALeg style - (1)"/>
    <w:basedOn w:val="Normal"/>
    <w:uiPriority w:val="6"/>
    <w:rsid w:val="007F23F8"/>
    <w:pPr>
      <w:tabs>
        <w:tab w:val="left" w:pos="851"/>
      </w:tabs>
      <w:ind w:left="851" w:hanging="851"/>
    </w:pPr>
  </w:style>
  <w:style w:type="paragraph" w:customStyle="1" w:styleId="ALegstyle-a">
    <w:name w:val="ALeg style - (a)"/>
    <w:basedOn w:val="Normal"/>
    <w:uiPriority w:val="6"/>
    <w:rsid w:val="007F23F8"/>
    <w:pPr>
      <w:tabs>
        <w:tab w:val="left" w:pos="1559"/>
      </w:tabs>
      <w:ind w:left="1560" w:hanging="709"/>
    </w:pPr>
  </w:style>
  <w:style w:type="paragraph" w:customStyle="1" w:styleId="ALegstyle-i">
    <w:name w:val="ALeg style - (i)"/>
    <w:basedOn w:val="Normal"/>
    <w:uiPriority w:val="6"/>
    <w:rsid w:val="007F23F8"/>
    <w:pPr>
      <w:tabs>
        <w:tab w:val="left" w:pos="2268"/>
      </w:tabs>
      <w:ind w:left="2268" w:hanging="709"/>
    </w:pPr>
  </w:style>
  <w:style w:type="paragraph" w:customStyle="1" w:styleId="ALegstyle-10">
    <w:name w:val="ALeg style - 1"/>
    <w:basedOn w:val="Normal"/>
    <w:uiPriority w:val="6"/>
    <w:rsid w:val="00497D4B"/>
    <w:pPr>
      <w:keepNext/>
      <w:tabs>
        <w:tab w:val="left" w:pos="851"/>
      </w:tabs>
      <w:ind w:left="851" w:hanging="851"/>
    </w:pPr>
    <w:rPr>
      <w:b/>
    </w:rPr>
  </w:style>
  <w:style w:type="paragraph" w:customStyle="1" w:styleId="BQLegindent1">
    <w:name w:val="BQLeg indent 1"/>
    <w:basedOn w:val="Normal"/>
    <w:uiPriority w:val="6"/>
    <w:rsid w:val="000D2571"/>
    <w:pPr>
      <w:ind w:left="1418" w:right="567"/>
    </w:pPr>
    <w:rPr>
      <w:i/>
      <w:color w:val="4D4D4D"/>
    </w:rPr>
  </w:style>
  <w:style w:type="paragraph" w:customStyle="1" w:styleId="BQLegindent2">
    <w:name w:val="BQLeg indent 2"/>
    <w:basedOn w:val="Normal"/>
    <w:uiPriority w:val="6"/>
    <w:rsid w:val="000D2571"/>
    <w:pPr>
      <w:ind w:left="2126" w:right="567"/>
    </w:pPr>
    <w:rPr>
      <w:i/>
      <w:color w:val="4D4D4D"/>
    </w:rPr>
  </w:style>
  <w:style w:type="paragraph" w:customStyle="1" w:styleId="BQLegindent3">
    <w:name w:val="BQLeg indent 3"/>
    <w:basedOn w:val="Normal"/>
    <w:uiPriority w:val="6"/>
    <w:rsid w:val="000D2571"/>
    <w:pPr>
      <w:ind w:left="2835" w:right="567"/>
    </w:pPr>
    <w:rPr>
      <w:i/>
      <w:color w:val="4D4D4D"/>
    </w:rPr>
  </w:style>
  <w:style w:type="paragraph" w:customStyle="1" w:styleId="BQLegstyle-1">
    <w:name w:val="BQLeg style - (1)"/>
    <w:basedOn w:val="Normal"/>
    <w:uiPriority w:val="6"/>
    <w:rsid w:val="000D2571"/>
    <w:pPr>
      <w:tabs>
        <w:tab w:val="left" w:pos="1418"/>
      </w:tabs>
      <w:ind w:left="1418" w:right="567" w:hanging="851"/>
    </w:pPr>
    <w:rPr>
      <w:i/>
      <w:color w:val="4D4D4D"/>
    </w:rPr>
  </w:style>
  <w:style w:type="paragraph" w:customStyle="1" w:styleId="BQLegstyle-a">
    <w:name w:val="BQLeg style - (a)"/>
    <w:basedOn w:val="Normal"/>
    <w:uiPriority w:val="6"/>
    <w:rsid w:val="000D2571"/>
    <w:pPr>
      <w:tabs>
        <w:tab w:val="left" w:pos="2126"/>
      </w:tabs>
      <w:ind w:left="2127" w:right="567" w:hanging="709"/>
    </w:pPr>
    <w:rPr>
      <w:i/>
      <w:color w:val="4D4D4D"/>
    </w:rPr>
  </w:style>
  <w:style w:type="paragraph" w:customStyle="1" w:styleId="BQLegstyle-i">
    <w:name w:val="BQLeg style - (i)"/>
    <w:basedOn w:val="Normal"/>
    <w:uiPriority w:val="6"/>
    <w:rsid w:val="000D2571"/>
    <w:pPr>
      <w:tabs>
        <w:tab w:val="left" w:pos="2835"/>
      </w:tabs>
      <w:ind w:left="2835" w:right="567" w:hanging="709"/>
    </w:pPr>
    <w:rPr>
      <w:i/>
      <w:color w:val="4D4D4D"/>
    </w:rPr>
  </w:style>
  <w:style w:type="paragraph" w:customStyle="1" w:styleId="BQLegstyle-10">
    <w:name w:val="BQLeg style - 1"/>
    <w:basedOn w:val="Normal"/>
    <w:uiPriority w:val="6"/>
    <w:rsid w:val="000D2571"/>
    <w:pPr>
      <w:keepNext/>
      <w:tabs>
        <w:tab w:val="left" w:pos="1418"/>
      </w:tabs>
      <w:ind w:left="1418" w:right="567" w:hanging="851"/>
    </w:pPr>
    <w:rPr>
      <w:b/>
      <w:i/>
      <w:color w:val="4D4D4D"/>
    </w:rPr>
  </w:style>
  <w:style w:type="paragraph" w:customStyle="1" w:styleId="SQLegindent1">
    <w:name w:val="SQLeg indent 1"/>
    <w:basedOn w:val="Normal"/>
    <w:uiPriority w:val="6"/>
    <w:rsid w:val="007F23F8"/>
    <w:pPr>
      <w:ind w:left="1985" w:right="567"/>
    </w:pPr>
    <w:rPr>
      <w:i/>
      <w:color w:val="4D4D4D"/>
    </w:rPr>
  </w:style>
  <w:style w:type="paragraph" w:customStyle="1" w:styleId="SQLegindent2">
    <w:name w:val="SQLeg indent 2"/>
    <w:basedOn w:val="Normal"/>
    <w:uiPriority w:val="6"/>
    <w:rsid w:val="007F23F8"/>
    <w:pPr>
      <w:ind w:left="2693" w:right="567"/>
    </w:pPr>
    <w:rPr>
      <w:i/>
      <w:color w:val="4D4D4D"/>
    </w:rPr>
  </w:style>
  <w:style w:type="paragraph" w:customStyle="1" w:styleId="SQLegindent3">
    <w:name w:val="SQLeg indent 3"/>
    <w:basedOn w:val="Normal"/>
    <w:uiPriority w:val="6"/>
    <w:rsid w:val="007F23F8"/>
    <w:pPr>
      <w:ind w:left="3402" w:right="567"/>
    </w:pPr>
    <w:rPr>
      <w:i/>
      <w:color w:val="4D4D4D"/>
    </w:rPr>
  </w:style>
  <w:style w:type="paragraph" w:customStyle="1" w:styleId="SQLegstyle-1">
    <w:name w:val="SQLeg style - (1)"/>
    <w:basedOn w:val="Normal"/>
    <w:uiPriority w:val="6"/>
    <w:rsid w:val="007F23F8"/>
    <w:pPr>
      <w:tabs>
        <w:tab w:val="left" w:pos="1985"/>
      </w:tabs>
      <w:ind w:left="1985" w:right="567" w:hanging="851"/>
    </w:pPr>
    <w:rPr>
      <w:i/>
      <w:color w:val="4D4D4D"/>
    </w:rPr>
  </w:style>
  <w:style w:type="paragraph" w:customStyle="1" w:styleId="SQLegstyle-a">
    <w:name w:val="SQLeg style - (a)"/>
    <w:basedOn w:val="Normal"/>
    <w:uiPriority w:val="6"/>
    <w:rsid w:val="007F23F8"/>
    <w:pPr>
      <w:tabs>
        <w:tab w:val="left" w:pos="2693"/>
      </w:tabs>
      <w:ind w:left="2694" w:right="567" w:hanging="709"/>
    </w:pPr>
    <w:rPr>
      <w:i/>
      <w:color w:val="4D4D4D"/>
    </w:rPr>
  </w:style>
  <w:style w:type="paragraph" w:customStyle="1" w:styleId="SQLegstyle-i">
    <w:name w:val="SQLeg style - (i)"/>
    <w:basedOn w:val="Normal"/>
    <w:uiPriority w:val="6"/>
    <w:rsid w:val="007F23F8"/>
    <w:pPr>
      <w:tabs>
        <w:tab w:val="left" w:pos="3402"/>
      </w:tabs>
      <w:ind w:left="3402" w:right="567" w:hanging="709"/>
    </w:pPr>
    <w:rPr>
      <w:i/>
      <w:color w:val="4D4D4D"/>
    </w:rPr>
  </w:style>
  <w:style w:type="paragraph" w:customStyle="1" w:styleId="SQLegstyle-10">
    <w:name w:val="SQLeg style - 1"/>
    <w:basedOn w:val="Normal"/>
    <w:uiPriority w:val="6"/>
    <w:rsid w:val="00497D4B"/>
    <w:pPr>
      <w:keepNext/>
      <w:tabs>
        <w:tab w:val="left" w:pos="1985"/>
      </w:tabs>
      <w:ind w:left="1985" w:right="567" w:hanging="851"/>
    </w:pPr>
    <w:rPr>
      <w:b/>
      <w:i/>
      <w:color w:val="4D4D4D"/>
    </w:rPr>
  </w:style>
  <w:style w:type="paragraph" w:customStyle="1" w:styleId="Tableoffiguresheading">
    <w:name w:val="Table of figures heading"/>
    <w:basedOn w:val="Heading4"/>
    <w:next w:val="TableofFigures"/>
    <w:uiPriority w:val="1"/>
    <w:rsid w:val="00A34A6D"/>
    <w:pPr>
      <w:spacing w:before="280"/>
      <w:outlineLvl w:val="9"/>
    </w:pPr>
    <w:rPr>
      <w:caps w:val="0"/>
      <w:sz w:val="26"/>
    </w:rPr>
  </w:style>
  <w:style w:type="character" w:customStyle="1" w:styleId="EmphasisItalics">
    <w:name w:val="Emphasis Italics"/>
    <w:basedOn w:val="DefaultParagraphFont"/>
    <w:uiPriority w:val="2"/>
    <w:rsid w:val="001D7C6B"/>
    <w:rPr>
      <w:b/>
      <w:i/>
    </w:rPr>
  </w:style>
  <w:style w:type="character" w:styleId="SubtleReference">
    <w:name w:val="Subtle Reference"/>
    <w:basedOn w:val="DefaultParagraphFont"/>
    <w:uiPriority w:val="31"/>
    <w:semiHidden/>
    <w:rsid w:val="00751A3D"/>
    <w:rPr>
      <w:smallCaps/>
      <w:color w:val="5A5A5A" w:themeColor="text1" w:themeTint="A5"/>
    </w:rPr>
  </w:style>
  <w:style w:type="paragraph" w:styleId="Title">
    <w:name w:val="Title"/>
    <w:basedOn w:val="Normal"/>
    <w:next w:val="Normal"/>
    <w:link w:val="TitleChar"/>
    <w:uiPriority w:val="10"/>
    <w:semiHidden/>
    <w:qFormat/>
    <w:rsid w:val="00751A3D"/>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751A3D"/>
    <w:rPr>
      <w:rFonts w:asciiTheme="majorHAnsi" w:eastAsiaTheme="majorEastAsia" w:hAnsiTheme="majorHAnsi" w:cstheme="majorBidi"/>
      <w:spacing w:val="-10"/>
      <w:kern w:val="28"/>
      <w:sz w:val="56"/>
      <w:szCs w:val="56"/>
    </w:rPr>
  </w:style>
  <w:style w:type="paragraph" w:customStyle="1" w:styleId="Default">
    <w:name w:val="Default"/>
    <w:rsid w:val="002232D2"/>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FD08B0"/>
    <w:rPr>
      <w:sz w:val="16"/>
      <w:szCs w:val="16"/>
    </w:rPr>
  </w:style>
  <w:style w:type="character" w:styleId="UnresolvedMention">
    <w:name w:val="Unresolved Mention"/>
    <w:basedOn w:val="DefaultParagraphFont"/>
    <w:uiPriority w:val="99"/>
    <w:semiHidden/>
    <w:unhideWhenUsed/>
    <w:rsid w:val="00F91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4674">
      <w:bodyDiv w:val="1"/>
      <w:marLeft w:val="0"/>
      <w:marRight w:val="0"/>
      <w:marTop w:val="0"/>
      <w:marBottom w:val="0"/>
      <w:divBdr>
        <w:top w:val="none" w:sz="0" w:space="0" w:color="auto"/>
        <w:left w:val="none" w:sz="0" w:space="0" w:color="auto"/>
        <w:bottom w:val="none" w:sz="0" w:space="0" w:color="auto"/>
        <w:right w:val="none" w:sz="0" w:space="0" w:color="auto"/>
      </w:divBdr>
    </w:div>
    <w:div w:id="301082404">
      <w:bodyDiv w:val="1"/>
      <w:marLeft w:val="0"/>
      <w:marRight w:val="0"/>
      <w:marTop w:val="0"/>
      <w:marBottom w:val="0"/>
      <w:divBdr>
        <w:top w:val="none" w:sz="0" w:space="0" w:color="auto"/>
        <w:left w:val="none" w:sz="0" w:space="0" w:color="auto"/>
        <w:bottom w:val="none" w:sz="0" w:space="0" w:color="auto"/>
        <w:right w:val="none" w:sz="0" w:space="0" w:color="auto"/>
      </w:divBdr>
    </w:div>
    <w:div w:id="370231552">
      <w:bodyDiv w:val="1"/>
      <w:marLeft w:val="0"/>
      <w:marRight w:val="0"/>
      <w:marTop w:val="0"/>
      <w:marBottom w:val="0"/>
      <w:divBdr>
        <w:top w:val="none" w:sz="0" w:space="0" w:color="auto"/>
        <w:left w:val="none" w:sz="0" w:space="0" w:color="auto"/>
        <w:bottom w:val="none" w:sz="0" w:space="0" w:color="auto"/>
        <w:right w:val="none" w:sz="0" w:space="0" w:color="auto"/>
      </w:divBdr>
    </w:div>
    <w:div w:id="500313800">
      <w:bodyDiv w:val="1"/>
      <w:marLeft w:val="0"/>
      <w:marRight w:val="0"/>
      <w:marTop w:val="0"/>
      <w:marBottom w:val="0"/>
      <w:divBdr>
        <w:top w:val="none" w:sz="0" w:space="0" w:color="auto"/>
        <w:left w:val="none" w:sz="0" w:space="0" w:color="auto"/>
        <w:bottom w:val="none" w:sz="0" w:space="0" w:color="auto"/>
        <w:right w:val="none" w:sz="0" w:space="0" w:color="auto"/>
      </w:divBdr>
    </w:div>
    <w:div w:id="602417945">
      <w:bodyDiv w:val="1"/>
      <w:marLeft w:val="0"/>
      <w:marRight w:val="0"/>
      <w:marTop w:val="0"/>
      <w:marBottom w:val="0"/>
      <w:divBdr>
        <w:top w:val="none" w:sz="0" w:space="0" w:color="auto"/>
        <w:left w:val="none" w:sz="0" w:space="0" w:color="auto"/>
        <w:bottom w:val="none" w:sz="0" w:space="0" w:color="auto"/>
        <w:right w:val="none" w:sz="0" w:space="0" w:color="auto"/>
      </w:divBdr>
    </w:div>
    <w:div w:id="962929121">
      <w:bodyDiv w:val="1"/>
      <w:marLeft w:val="0"/>
      <w:marRight w:val="0"/>
      <w:marTop w:val="0"/>
      <w:marBottom w:val="0"/>
      <w:divBdr>
        <w:top w:val="none" w:sz="0" w:space="0" w:color="auto"/>
        <w:left w:val="none" w:sz="0" w:space="0" w:color="auto"/>
        <w:bottom w:val="none" w:sz="0" w:space="0" w:color="auto"/>
        <w:right w:val="none" w:sz="0" w:space="0" w:color="auto"/>
      </w:divBdr>
    </w:div>
    <w:div w:id="1635985591">
      <w:bodyDiv w:val="1"/>
      <w:marLeft w:val="0"/>
      <w:marRight w:val="0"/>
      <w:marTop w:val="0"/>
      <w:marBottom w:val="0"/>
      <w:divBdr>
        <w:top w:val="none" w:sz="0" w:space="0" w:color="auto"/>
        <w:left w:val="none" w:sz="0" w:space="0" w:color="auto"/>
        <w:bottom w:val="none" w:sz="0" w:space="0" w:color="auto"/>
        <w:right w:val="none" w:sz="0" w:space="0" w:color="auto"/>
      </w:divBdr>
    </w:div>
    <w:div w:id="203191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www.ombudsman.parliament.nz/system/paperclip/document_files/document_files/1991/original/public_interest_june_2017.pdf?1498081531" TargetMode="External"/><Relationship Id="rId2" Type="http://schemas.openxmlformats.org/officeDocument/2006/relationships/hyperlink" Target="https://www.mpi.govt.nz/fishing-aquaculture/commercial-fishing/digital-monitoring-of-commercial-fishing/on-board-cameras-for-commercial-fishing-vessels" TargetMode="External"/><Relationship Id="rId1" Type="http://schemas.openxmlformats.org/officeDocument/2006/relationships/hyperlink" Target="https://www.ldac.org.nz/guidelines/legislation-guidelines-2021-edition" TargetMode="External"/><Relationship Id="rId5" Type="http://schemas.openxmlformats.org/officeDocument/2006/relationships/hyperlink" Target="https://www.mpi.govt.nz/dmsdocument/34803-Guidelines-for-Release-of-Fisheries-Information" TargetMode="External"/><Relationship Id="rId4" Type="http://schemas.openxmlformats.org/officeDocument/2006/relationships/hyperlink" Target="https://www.ombudsman.parliament.nz/resources/oia-ministers-and-agencies-guide-processing-official-information-reques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OTO Theme">
  <a:themeElements>
    <a:clrScheme name="OOTO Colours">
      <a:dk1>
        <a:srgbClr val="000000"/>
      </a:dk1>
      <a:lt1>
        <a:srgbClr val="FFFFFF"/>
      </a:lt1>
      <a:dk2>
        <a:srgbClr val="262626"/>
      </a:dk2>
      <a:lt2>
        <a:srgbClr val="F2F2F2"/>
      </a:lt2>
      <a:accent1>
        <a:srgbClr val="2BB673"/>
      </a:accent1>
      <a:accent2>
        <a:srgbClr val="93B41A"/>
      </a:accent2>
      <a:accent3>
        <a:srgbClr val="F06A3B"/>
      </a:accent3>
      <a:accent4>
        <a:srgbClr val="9561CC"/>
      </a:accent4>
      <a:accent5>
        <a:srgbClr val="00ADC6"/>
      </a:accent5>
      <a:accent6>
        <a:srgbClr val="FD8F0A"/>
      </a:accent6>
      <a:hlink>
        <a:srgbClr val="0D6AB8"/>
      </a:hlink>
      <a:folHlink>
        <a:srgbClr val="3C98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A8189-7359-4948-BBB5-C832E6CC4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2791</Words>
  <Characters>15912</Characters>
  <Application>Microsoft Office Word</Application>
  <DocSecurity>0</DocSecurity>
  <Lines>132</Lines>
  <Paragraphs>37</Paragraphs>
  <ScaleCrop>false</ScaleCrop>
  <Company/>
  <LinksUpToDate>false</LinksUpToDate>
  <CharactersWithSpaces>18666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2026-05-17T21:16:00Z</dcterms:created>
  <dcterms:modified xsi:type="dcterms:W3CDTF">2026-05-17T21:16:00Z</dcterms:modified>
  <cp:contentStatus/>
</cp:coreProperties>
</file>