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9FCA2" w14:textId="77777777" w:rsidR="00E96424" w:rsidRDefault="00E96424" w:rsidP="00E96424"/>
    <w:tbl>
      <w:tblPr>
        <w:tblStyle w:val="TableGridnoborders"/>
        <w:tblW w:w="6520" w:type="dxa"/>
        <w:tblInd w:w="0" w:type="dxa"/>
        <w:tblBorders>
          <w:bottom w:val="single" w:sz="4" w:space="0" w:color="4D4D4D"/>
        </w:tblBorders>
        <w:tblLayout w:type="fixed"/>
        <w:tblCellMar>
          <w:top w:w="0" w:type="dxa"/>
          <w:left w:w="0" w:type="dxa"/>
          <w:right w:w="0" w:type="dxa"/>
        </w:tblCellMar>
        <w:tblLook w:val="04A0" w:firstRow="1" w:lastRow="0" w:firstColumn="1" w:lastColumn="0" w:noHBand="0" w:noVBand="1"/>
        <w:tblCaption w:val="Table for formatting purposes"/>
      </w:tblPr>
      <w:tblGrid>
        <w:gridCol w:w="6520"/>
      </w:tblGrid>
      <w:tr w:rsidR="00C826F9" w14:paraId="12343D07" w14:textId="77777777" w:rsidTr="00C11F64">
        <w:trPr>
          <w:trHeight w:hRule="exact" w:val="3686"/>
        </w:trPr>
        <w:tc>
          <w:tcPr>
            <w:tcW w:w="6520" w:type="dxa"/>
            <w:tcMar>
              <w:top w:w="0" w:type="dxa"/>
              <w:bottom w:w="0" w:type="dxa"/>
            </w:tcMar>
            <w:vAlign w:val="bottom"/>
          </w:tcPr>
          <w:p w14:paraId="0B4DB8E8" w14:textId="77777777" w:rsidR="00C826F9" w:rsidRPr="00F011BA" w:rsidRDefault="003931F9" w:rsidP="00C11F64">
            <w:pPr>
              <w:pStyle w:val="Title"/>
            </w:pPr>
            <w:r>
              <w:t xml:space="preserve">Publicly available information </w:t>
            </w:r>
          </w:p>
          <w:p w14:paraId="3FBB5EE5" w14:textId="77777777" w:rsidR="00C826F9" w:rsidRPr="00F011BA" w:rsidRDefault="003931F9" w:rsidP="00F011BA">
            <w:pPr>
              <w:pStyle w:val="Subheading"/>
            </w:pPr>
            <w:r>
              <w:t xml:space="preserve">A guide to section 18(d) of the </w:t>
            </w:r>
            <w:proofErr w:type="spellStart"/>
            <w:r>
              <w:t>OIA</w:t>
            </w:r>
            <w:proofErr w:type="spellEnd"/>
            <w:r>
              <w:t xml:space="preserve"> and section 17(d) of the </w:t>
            </w:r>
            <w:proofErr w:type="spellStart"/>
            <w:r>
              <w:t>LGOIMA</w:t>
            </w:r>
            <w:proofErr w:type="spellEnd"/>
          </w:p>
        </w:tc>
      </w:tr>
      <w:tr w:rsidR="00F011BA" w14:paraId="5A42A359" w14:textId="77777777" w:rsidTr="00C11F64">
        <w:trPr>
          <w:trHeight w:hRule="exact" w:val="1418"/>
        </w:trPr>
        <w:tc>
          <w:tcPr>
            <w:tcW w:w="6520" w:type="dxa"/>
            <w:tcBorders>
              <w:bottom w:val="nil"/>
            </w:tcBorders>
          </w:tcPr>
          <w:p w14:paraId="7915F41B" w14:textId="77777777" w:rsidR="00F011BA" w:rsidRDefault="00F011BA" w:rsidP="00F011BA">
            <w:pPr>
              <w:pStyle w:val="Subheading"/>
            </w:pPr>
          </w:p>
        </w:tc>
      </w:tr>
    </w:tbl>
    <w:p w14:paraId="49816AC4" w14:textId="77777777" w:rsidR="0036690F" w:rsidRDefault="00DF2BAD" w:rsidP="00522669">
      <w:pPr>
        <w:pStyle w:val="Introduction"/>
      </w:pPr>
      <w:r>
        <w:t xml:space="preserve">Under section 18(d) of the </w:t>
      </w:r>
      <w:proofErr w:type="spellStart"/>
      <w:r w:rsidR="00522669">
        <w:t>OIA</w:t>
      </w:r>
      <w:proofErr w:type="spellEnd"/>
      <w:r w:rsidR="00522669">
        <w:rPr>
          <w:i w:val="0"/>
        </w:rPr>
        <w:t>,</w:t>
      </w:r>
      <w:r w:rsidRPr="003F619C">
        <w:rPr>
          <w:rStyle w:val="FootnoteReference"/>
          <w:i w:val="0"/>
        </w:rPr>
        <w:footnoteReference w:id="2"/>
      </w:r>
      <w:r>
        <w:rPr>
          <w:i w:val="0"/>
        </w:rPr>
        <w:t xml:space="preserve"> </w:t>
      </w:r>
      <w:r w:rsidR="00522669">
        <w:t xml:space="preserve">agencies may refuse a request if the information is or will soon be publicly available. </w:t>
      </w:r>
      <w:bookmarkStart w:id="0" w:name="GoToContents"/>
      <w:bookmarkStart w:id="1" w:name="TOCSection"/>
    </w:p>
    <w:p w14:paraId="04E9CE74" w14:textId="77777777" w:rsidR="003E6625" w:rsidRDefault="003E6625" w:rsidP="00522669">
      <w:pPr>
        <w:pStyle w:val="Introduction"/>
      </w:pPr>
      <w:r>
        <w:t xml:space="preserve">This reflects the fact that people shouldn’t need to resort to the </w:t>
      </w:r>
      <w:proofErr w:type="spellStart"/>
      <w:r>
        <w:t>OIA</w:t>
      </w:r>
      <w:proofErr w:type="spellEnd"/>
      <w:r>
        <w:t xml:space="preserve"> to access information that is already publicly available. It also enables agencies to refuse requests where there is a </w:t>
      </w:r>
      <w:r w:rsidR="00E050DC">
        <w:t xml:space="preserve">clear </w:t>
      </w:r>
      <w:r>
        <w:t>plan</w:t>
      </w:r>
      <w:r w:rsidR="00E050DC">
        <w:t xml:space="preserve"> </w:t>
      </w:r>
      <w:r>
        <w:t>to publish the information, provided it is published soon.</w:t>
      </w:r>
      <w:r w:rsidR="00BF255C">
        <w:t xml:space="preserve"> </w:t>
      </w:r>
    </w:p>
    <w:p w14:paraId="18A1E52D" w14:textId="77777777" w:rsidR="0036690F" w:rsidRDefault="0036690F" w:rsidP="00522669">
      <w:pPr>
        <w:pStyle w:val="Introduction"/>
      </w:pPr>
      <w:r>
        <w:t>Resort to section 18(d) should not undermine the purpose</w:t>
      </w:r>
      <w:r w:rsidR="00BB3A43">
        <w:t>s</w:t>
      </w:r>
      <w:r>
        <w:t xml:space="preserve"> of the </w:t>
      </w:r>
      <w:proofErr w:type="spellStart"/>
      <w:r>
        <w:t>OIA</w:t>
      </w:r>
      <w:proofErr w:type="spellEnd"/>
      <w:r>
        <w:t xml:space="preserve">, </w:t>
      </w:r>
      <w:r w:rsidR="00BB3A43">
        <w:t xml:space="preserve">one of </w:t>
      </w:r>
      <w:r>
        <w:t xml:space="preserve">which is to increase the availability of official information. </w:t>
      </w:r>
      <w:r w:rsidR="001D4691">
        <w:t xml:space="preserve">The discretion to refuse a request on this basis should be exercised reasonably, and </w:t>
      </w:r>
      <w:proofErr w:type="gramStart"/>
      <w:r w:rsidR="001D4691">
        <w:t>with regard to</w:t>
      </w:r>
      <w:proofErr w:type="gramEnd"/>
      <w:r w:rsidR="001D4691">
        <w:t xml:space="preserve"> the particular circumstances of each case.</w:t>
      </w:r>
    </w:p>
    <w:p w14:paraId="15E1A932" w14:textId="77777777" w:rsidR="0036690F" w:rsidRDefault="0036690F" w:rsidP="00522669">
      <w:pPr>
        <w:pStyle w:val="Introduction"/>
      </w:pPr>
      <w:r>
        <w:t>This guide explains how section 18(d) applies. It includes a step-by-step work sheet, template letters, and case studies of actual complaints considered by the Ombudsman.</w:t>
      </w:r>
    </w:p>
    <w:p w14:paraId="0D249F56" w14:textId="77777777" w:rsidR="00D04897" w:rsidRDefault="00D04897" w:rsidP="00522669">
      <w:pPr>
        <w:pStyle w:val="Introduction"/>
        <w:rPr>
          <w:rFonts w:eastAsiaTheme="majorEastAsia" w:cstheme="majorBidi"/>
          <w:bCs/>
          <w:color w:val="00ADC6"/>
          <w:sz w:val="38"/>
          <w:szCs w:val="28"/>
        </w:rPr>
      </w:pPr>
      <w:r>
        <w:br w:type="page"/>
      </w:r>
    </w:p>
    <w:p w14:paraId="5101543F" w14:textId="77777777" w:rsidR="00A5640F" w:rsidRDefault="00A5640F" w:rsidP="0061174D">
      <w:pPr>
        <w:pStyle w:val="TOCHeading"/>
        <w:spacing w:before="480"/>
      </w:pPr>
      <w:bookmarkStart w:id="2" w:name="contents"/>
      <w:bookmarkEnd w:id="2"/>
      <w:r>
        <w:lastRenderedPageBreak/>
        <w:t>Contents</w:t>
      </w:r>
      <w:bookmarkEnd w:id="0"/>
    </w:p>
    <w:tbl>
      <w:tblPr>
        <w:tblStyle w:val="TableGridnoborders"/>
        <w:tblW w:w="9354" w:type="dxa"/>
        <w:tblInd w:w="0" w:type="dxa"/>
        <w:tblCellMar>
          <w:top w:w="0" w:type="dxa"/>
          <w:left w:w="0" w:type="dxa"/>
          <w:bottom w:w="0" w:type="dxa"/>
          <w:right w:w="0" w:type="dxa"/>
        </w:tblCellMar>
        <w:tblLook w:val="04A0" w:firstRow="1" w:lastRow="0" w:firstColumn="1" w:lastColumn="0" w:noHBand="0" w:noVBand="1"/>
      </w:tblPr>
      <w:tblGrid>
        <w:gridCol w:w="9354"/>
      </w:tblGrid>
      <w:tr w:rsidR="00A5640F" w14:paraId="268D4410" w14:textId="77777777" w:rsidTr="006A5A35">
        <w:tc>
          <w:tcPr>
            <w:tcW w:w="9354" w:type="dxa"/>
          </w:tcPr>
          <w:bookmarkStart w:id="3" w:name="TOCMain" w:colFirst="0" w:colLast="0"/>
          <w:p w14:paraId="1338653F" w14:textId="306098DD" w:rsidR="00535273" w:rsidRDefault="00A5640F">
            <w:pPr>
              <w:pStyle w:val="TOC1"/>
              <w:rPr>
                <w:rFonts w:asciiTheme="minorHAnsi" w:eastAsiaTheme="minorEastAsia" w:hAnsiTheme="minorHAnsi"/>
                <w:b w:val="0"/>
                <w:noProof/>
                <w:color w:val="auto"/>
                <w:kern w:val="2"/>
                <w:sz w:val="24"/>
                <w:szCs w:val="24"/>
                <w:lang w:eastAsia="en-NZ"/>
                <w14:ligatures w14:val="standardContextual"/>
              </w:rPr>
            </w:pPr>
            <w:r>
              <w:rPr>
                <w:color w:val="2BB673"/>
              </w:rPr>
              <w:fldChar w:fldCharType="begin"/>
            </w:r>
            <w:r>
              <w:instrText xml:space="preserve"> TOC \o "1-3" \h \z \t "Heading Appendix, 1" </w:instrText>
            </w:r>
            <w:r>
              <w:rPr>
                <w:color w:val="2BB673"/>
              </w:rPr>
              <w:fldChar w:fldCharType="separate"/>
            </w:r>
            <w:hyperlink w:anchor="_Toc230789998" w:history="1">
              <w:r w:rsidR="00535273" w:rsidRPr="001C1E50">
                <w:rPr>
                  <w:rStyle w:val="Hyperlink"/>
                  <w:noProof/>
                </w:rPr>
                <w:t>What the Acts say</w:t>
              </w:r>
              <w:r w:rsidR="00535273">
                <w:rPr>
                  <w:noProof/>
                  <w:webHidden/>
                </w:rPr>
                <w:tab/>
              </w:r>
              <w:r w:rsidR="00535273">
                <w:rPr>
                  <w:noProof/>
                  <w:webHidden/>
                </w:rPr>
                <w:fldChar w:fldCharType="begin"/>
              </w:r>
              <w:r w:rsidR="00535273">
                <w:rPr>
                  <w:noProof/>
                  <w:webHidden/>
                </w:rPr>
                <w:instrText xml:space="preserve"> PAGEREF _Toc230789998 \h </w:instrText>
              </w:r>
              <w:r w:rsidR="00535273">
                <w:rPr>
                  <w:noProof/>
                  <w:webHidden/>
                </w:rPr>
              </w:r>
              <w:r w:rsidR="00535273">
                <w:rPr>
                  <w:noProof/>
                  <w:webHidden/>
                </w:rPr>
                <w:fldChar w:fldCharType="separate"/>
              </w:r>
              <w:r w:rsidR="00535273">
                <w:rPr>
                  <w:noProof/>
                  <w:webHidden/>
                </w:rPr>
                <w:t>3</w:t>
              </w:r>
              <w:r w:rsidR="00535273">
                <w:rPr>
                  <w:noProof/>
                  <w:webHidden/>
                </w:rPr>
                <w:fldChar w:fldCharType="end"/>
              </w:r>
            </w:hyperlink>
          </w:p>
          <w:p w14:paraId="7590DF40" w14:textId="0261C4C4" w:rsidR="00535273" w:rsidRDefault="00535273">
            <w:pPr>
              <w:pStyle w:val="TOC1"/>
              <w:rPr>
                <w:rFonts w:asciiTheme="minorHAnsi" w:eastAsiaTheme="minorEastAsia" w:hAnsiTheme="minorHAnsi"/>
                <w:b w:val="0"/>
                <w:noProof/>
                <w:color w:val="auto"/>
                <w:kern w:val="2"/>
                <w:sz w:val="24"/>
                <w:szCs w:val="24"/>
                <w:lang w:eastAsia="en-NZ"/>
                <w14:ligatures w14:val="standardContextual"/>
              </w:rPr>
            </w:pPr>
            <w:hyperlink w:anchor="_Toc230789999" w:history="1">
              <w:r w:rsidRPr="001C1E50">
                <w:rPr>
                  <w:rStyle w:val="Hyperlink"/>
                  <w:noProof/>
                </w:rPr>
                <w:t>When section 18(d) applies</w:t>
              </w:r>
              <w:r>
                <w:rPr>
                  <w:noProof/>
                  <w:webHidden/>
                </w:rPr>
                <w:tab/>
              </w:r>
              <w:r>
                <w:rPr>
                  <w:noProof/>
                  <w:webHidden/>
                </w:rPr>
                <w:fldChar w:fldCharType="begin"/>
              </w:r>
              <w:r>
                <w:rPr>
                  <w:noProof/>
                  <w:webHidden/>
                </w:rPr>
                <w:instrText xml:space="preserve"> PAGEREF _Toc230789999 \h </w:instrText>
              </w:r>
              <w:r>
                <w:rPr>
                  <w:noProof/>
                  <w:webHidden/>
                </w:rPr>
              </w:r>
              <w:r>
                <w:rPr>
                  <w:noProof/>
                  <w:webHidden/>
                </w:rPr>
                <w:fldChar w:fldCharType="separate"/>
              </w:r>
              <w:r>
                <w:rPr>
                  <w:noProof/>
                  <w:webHidden/>
                </w:rPr>
                <w:t>3</w:t>
              </w:r>
              <w:r>
                <w:rPr>
                  <w:noProof/>
                  <w:webHidden/>
                </w:rPr>
                <w:fldChar w:fldCharType="end"/>
              </w:r>
            </w:hyperlink>
          </w:p>
          <w:p w14:paraId="51D19163" w14:textId="7FFCD99B" w:rsidR="00535273" w:rsidRDefault="00535273">
            <w:pPr>
              <w:pStyle w:val="TOC2"/>
              <w:rPr>
                <w:rFonts w:asciiTheme="minorHAnsi" w:eastAsiaTheme="minorEastAsia" w:hAnsiTheme="minorHAnsi"/>
                <w:noProof/>
                <w:color w:val="auto"/>
                <w:kern w:val="2"/>
                <w:szCs w:val="24"/>
                <w:lang w:eastAsia="en-NZ"/>
                <w14:ligatures w14:val="standardContextual"/>
              </w:rPr>
            </w:pPr>
            <w:hyperlink w:anchor="_Toc230790000" w:history="1">
              <w:r w:rsidRPr="001C1E50">
                <w:rPr>
                  <w:rStyle w:val="Hyperlink"/>
                  <w:noProof/>
                </w:rPr>
                <w:t>The requested information</w:t>
              </w:r>
              <w:r>
                <w:rPr>
                  <w:noProof/>
                  <w:webHidden/>
                </w:rPr>
                <w:tab/>
              </w:r>
              <w:r>
                <w:rPr>
                  <w:noProof/>
                  <w:webHidden/>
                </w:rPr>
                <w:fldChar w:fldCharType="begin"/>
              </w:r>
              <w:r>
                <w:rPr>
                  <w:noProof/>
                  <w:webHidden/>
                </w:rPr>
                <w:instrText xml:space="preserve"> PAGEREF _Toc230790000 \h </w:instrText>
              </w:r>
              <w:r>
                <w:rPr>
                  <w:noProof/>
                  <w:webHidden/>
                </w:rPr>
              </w:r>
              <w:r>
                <w:rPr>
                  <w:noProof/>
                  <w:webHidden/>
                </w:rPr>
                <w:fldChar w:fldCharType="separate"/>
              </w:r>
              <w:r>
                <w:rPr>
                  <w:noProof/>
                  <w:webHidden/>
                </w:rPr>
                <w:t>3</w:t>
              </w:r>
              <w:r>
                <w:rPr>
                  <w:noProof/>
                  <w:webHidden/>
                </w:rPr>
                <w:fldChar w:fldCharType="end"/>
              </w:r>
            </w:hyperlink>
          </w:p>
          <w:p w14:paraId="6FC3559C" w14:textId="69A39AB2" w:rsidR="00535273" w:rsidRDefault="00535273">
            <w:pPr>
              <w:pStyle w:val="TOC2"/>
              <w:rPr>
                <w:rFonts w:asciiTheme="minorHAnsi" w:eastAsiaTheme="minorEastAsia" w:hAnsiTheme="minorHAnsi"/>
                <w:noProof/>
                <w:color w:val="auto"/>
                <w:kern w:val="2"/>
                <w:szCs w:val="24"/>
                <w:lang w:eastAsia="en-NZ"/>
                <w14:ligatures w14:val="standardContextual"/>
              </w:rPr>
            </w:pPr>
            <w:hyperlink w:anchor="_Toc230790001" w:history="1">
              <w:r w:rsidRPr="001C1E50">
                <w:rPr>
                  <w:rStyle w:val="Hyperlink"/>
                  <w:noProof/>
                </w:rPr>
                <w:t>Public availability</w:t>
              </w:r>
              <w:r>
                <w:rPr>
                  <w:noProof/>
                  <w:webHidden/>
                </w:rPr>
                <w:tab/>
              </w:r>
              <w:r>
                <w:rPr>
                  <w:noProof/>
                  <w:webHidden/>
                </w:rPr>
                <w:fldChar w:fldCharType="begin"/>
              </w:r>
              <w:r>
                <w:rPr>
                  <w:noProof/>
                  <w:webHidden/>
                </w:rPr>
                <w:instrText xml:space="preserve"> PAGEREF _Toc230790001 \h </w:instrText>
              </w:r>
              <w:r>
                <w:rPr>
                  <w:noProof/>
                  <w:webHidden/>
                </w:rPr>
              </w:r>
              <w:r>
                <w:rPr>
                  <w:noProof/>
                  <w:webHidden/>
                </w:rPr>
                <w:fldChar w:fldCharType="separate"/>
              </w:r>
              <w:r>
                <w:rPr>
                  <w:noProof/>
                  <w:webHidden/>
                </w:rPr>
                <w:t>4</w:t>
              </w:r>
              <w:r>
                <w:rPr>
                  <w:noProof/>
                  <w:webHidden/>
                </w:rPr>
                <w:fldChar w:fldCharType="end"/>
              </w:r>
            </w:hyperlink>
          </w:p>
          <w:p w14:paraId="33B828ED" w14:textId="79687D4C" w:rsidR="00535273" w:rsidRDefault="00535273">
            <w:pPr>
              <w:pStyle w:val="TOC2"/>
              <w:rPr>
                <w:rFonts w:asciiTheme="minorHAnsi" w:eastAsiaTheme="minorEastAsia" w:hAnsiTheme="minorHAnsi"/>
                <w:noProof/>
                <w:color w:val="auto"/>
                <w:kern w:val="2"/>
                <w:szCs w:val="24"/>
                <w:lang w:eastAsia="en-NZ"/>
                <w14:ligatures w14:val="standardContextual"/>
              </w:rPr>
            </w:pPr>
            <w:hyperlink w:anchor="_Toc230790002" w:history="1">
              <w:r w:rsidRPr="001C1E50">
                <w:rPr>
                  <w:rStyle w:val="Hyperlink"/>
                  <w:noProof/>
                </w:rPr>
                <w:t>Reasonableness of reliance on section 18(d)</w:t>
              </w:r>
              <w:r>
                <w:rPr>
                  <w:noProof/>
                  <w:webHidden/>
                </w:rPr>
                <w:tab/>
              </w:r>
              <w:r>
                <w:rPr>
                  <w:noProof/>
                  <w:webHidden/>
                </w:rPr>
                <w:fldChar w:fldCharType="begin"/>
              </w:r>
              <w:r>
                <w:rPr>
                  <w:noProof/>
                  <w:webHidden/>
                </w:rPr>
                <w:instrText xml:space="preserve"> PAGEREF _Toc230790002 \h </w:instrText>
              </w:r>
              <w:r>
                <w:rPr>
                  <w:noProof/>
                  <w:webHidden/>
                </w:rPr>
              </w:r>
              <w:r>
                <w:rPr>
                  <w:noProof/>
                  <w:webHidden/>
                </w:rPr>
                <w:fldChar w:fldCharType="separate"/>
              </w:r>
              <w:r>
                <w:rPr>
                  <w:noProof/>
                  <w:webHidden/>
                </w:rPr>
                <w:t>4</w:t>
              </w:r>
              <w:r>
                <w:rPr>
                  <w:noProof/>
                  <w:webHidden/>
                </w:rPr>
                <w:fldChar w:fldCharType="end"/>
              </w:r>
            </w:hyperlink>
          </w:p>
          <w:p w14:paraId="3B06CB43" w14:textId="487DE261" w:rsidR="00535273" w:rsidRDefault="00535273">
            <w:pPr>
              <w:pStyle w:val="TOC1"/>
              <w:rPr>
                <w:rFonts w:asciiTheme="minorHAnsi" w:eastAsiaTheme="minorEastAsia" w:hAnsiTheme="minorHAnsi"/>
                <w:b w:val="0"/>
                <w:noProof/>
                <w:color w:val="auto"/>
                <w:kern w:val="2"/>
                <w:sz w:val="24"/>
                <w:szCs w:val="24"/>
                <w:lang w:eastAsia="en-NZ"/>
                <w14:ligatures w14:val="standardContextual"/>
              </w:rPr>
            </w:pPr>
            <w:hyperlink w:anchor="_Toc230790003" w:history="1">
              <w:r w:rsidRPr="001C1E50">
                <w:rPr>
                  <w:rStyle w:val="Hyperlink"/>
                  <w:noProof/>
                </w:rPr>
                <w:t>Information that is publicly available</w:t>
              </w:r>
              <w:r>
                <w:rPr>
                  <w:noProof/>
                  <w:webHidden/>
                </w:rPr>
                <w:tab/>
              </w:r>
              <w:r>
                <w:rPr>
                  <w:noProof/>
                  <w:webHidden/>
                </w:rPr>
                <w:fldChar w:fldCharType="begin"/>
              </w:r>
              <w:r>
                <w:rPr>
                  <w:noProof/>
                  <w:webHidden/>
                </w:rPr>
                <w:instrText xml:space="preserve"> PAGEREF _Toc230790003 \h </w:instrText>
              </w:r>
              <w:r>
                <w:rPr>
                  <w:noProof/>
                  <w:webHidden/>
                </w:rPr>
              </w:r>
              <w:r>
                <w:rPr>
                  <w:noProof/>
                  <w:webHidden/>
                </w:rPr>
                <w:fldChar w:fldCharType="separate"/>
              </w:r>
              <w:r>
                <w:rPr>
                  <w:noProof/>
                  <w:webHidden/>
                </w:rPr>
                <w:t>5</w:t>
              </w:r>
              <w:r>
                <w:rPr>
                  <w:noProof/>
                  <w:webHidden/>
                </w:rPr>
                <w:fldChar w:fldCharType="end"/>
              </w:r>
            </w:hyperlink>
          </w:p>
          <w:p w14:paraId="0EB0A7E7" w14:textId="7FB83F2A" w:rsidR="00535273" w:rsidRDefault="00535273">
            <w:pPr>
              <w:pStyle w:val="TOC1"/>
              <w:rPr>
                <w:rFonts w:asciiTheme="minorHAnsi" w:eastAsiaTheme="minorEastAsia" w:hAnsiTheme="minorHAnsi"/>
                <w:b w:val="0"/>
                <w:noProof/>
                <w:color w:val="auto"/>
                <w:kern w:val="2"/>
                <w:sz w:val="24"/>
                <w:szCs w:val="24"/>
                <w:lang w:eastAsia="en-NZ"/>
                <w14:ligatures w14:val="standardContextual"/>
              </w:rPr>
            </w:pPr>
            <w:hyperlink w:anchor="_Toc230790004" w:history="1">
              <w:r w:rsidRPr="001C1E50">
                <w:rPr>
                  <w:rStyle w:val="Hyperlink"/>
                  <w:noProof/>
                </w:rPr>
                <w:t>Information that will be publicly available soon</w:t>
              </w:r>
              <w:r>
                <w:rPr>
                  <w:noProof/>
                  <w:webHidden/>
                </w:rPr>
                <w:tab/>
              </w:r>
              <w:r>
                <w:rPr>
                  <w:noProof/>
                  <w:webHidden/>
                </w:rPr>
                <w:fldChar w:fldCharType="begin"/>
              </w:r>
              <w:r>
                <w:rPr>
                  <w:noProof/>
                  <w:webHidden/>
                </w:rPr>
                <w:instrText xml:space="preserve"> PAGEREF _Toc230790004 \h </w:instrText>
              </w:r>
              <w:r>
                <w:rPr>
                  <w:noProof/>
                  <w:webHidden/>
                </w:rPr>
              </w:r>
              <w:r>
                <w:rPr>
                  <w:noProof/>
                  <w:webHidden/>
                </w:rPr>
                <w:fldChar w:fldCharType="separate"/>
              </w:r>
              <w:r>
                <w:rPr>
                  <w:noProof/>
                  <w:webHidden/>
                </w:rPr>
                <w:t>5</w:t>
              </w:r>
              <w:r>
                <w:rPr>
                  <w:noProof/>
                  <w:webHidden/>
                </w:rPr>
                <w:fldChar w:fldCharType="end"/>
              </w:r>
            </w:hyperlink>
          </w:p>
          <w:p w14:paraId="2A26053D" w14:textId="1C0226F7" w:rsidR="00535273" w:rsidRDefault="00535273">
            <w:pPr>
              <w:pStyle w:val="TOC2"/>
              <w:rPr>
                <w:rFonts w:asciiTheme="minorHAnsi" w:eastAsiaTheme="minorEastAsia" w:hAnsiTheme="minorHAnsi"/>
                <w:noProof/>
                <w:color w:val="auto"/>
                <w:kern w:val="2"/>
                <w:szCs w:val="24"/>
                <w:lang w:eastAsia="en-NZ"/>
                <w14:ligatures w14:val="standardContextual"/>
              </w:rPr>
            </w:pPr>
            <w:hyperlink w:anchor="_Toc230790005" w:history="1">
              <w:r w:rsidRPr="001C1E50">
                <w:rPr>
                  <w:rStyle w:val="Hyperlink"/>
                  <w:noProof/>
                </w:rPr>
                <w:t>Unanticipated delays</w:t>
              </w:r>
              <w:r>
                <w:rPr>
                  <w:noProof/>
                  <w:webHidden/>
                </w:rPr>
                <w:tab/>
              </w:r>
              <w:r>
                <w:rPr>
                  <w:noProof/>
                  <w:webHidden/>
                </w:rPr>
                <w:fldChar w:fldCharType="begin"/>
              </w:r>
              <w:r>
                <w:rPr>
                  <w:noProof/>
                  <w:webHidden/>
                </w:rPr>
                <w:instrText xml:space="preserve"> PAGEREF _Toc230790005 \h </w:instrText>
              </w:r>
              <w:r>
                <w:rPr>
                  <w:noProof/>
                  <w:webHidden/>
                </w:rPr>
              </w:r>
              <w:r>
                <w:rPr>
                  <w:noProof/>
                  <w:webHidden/>
                </w:rPr>
                <w:fldChar w:fldCharType="separate"/>
              </w:r>
              <w:r>
                <w:rPr>
                  <w:noProof/>
                  <w:webHidden/>
                </w:rPr>
                <w:t>6</w:t>
              </w:r>
              <w:r>
                <w:rPr>
                  <w:noProof/>
                  <w:webHidden/>
                </w:rPr>
                <w:fldChar w:fldCharType="end"/>
              </w:r>
            </w:hyperlink>
          </w:p>
          <w:p w14:paraId="0FA3B11B" w14:textId="4EAC8A27" w:rsidR="00535273" w:rsidRDefault="00535273">
            <w:pPr>
              <w:pStyle w:val="TOC2"/>
              <w:rPr>
                <w:rFonts w:asciiTheme="minorHAnsi" w:eastAsiaTheme="minorEastAsia" w:hAnsiTheme="minorHAnsi"/>
                <w:noProof/>
                <w:color w:val="auto"/>
                <w:kern w:val="2"/>
                <w:szCs w:val="24"/>
                <w:lang w:eastAsia="en-NZ"/>
                <w14:ligatures w14:val="standardContextual"/>
              </w:rPr>
            </w:pPr>
            <w:hyperlink w:anchor="_Toc230790006" w:history="1">
              <w:r w:rsidRPr="001C1E50">
                <w:rPr>
                  <w:rStyle w:val="Hyperlink"/>
                  <w:noProof/>
                </w:rPr>
                <w:t>Requests for information about an incomplete process</w:t>
              </w:r>
              <w:r>
                <w:rPr>
                  <w:noProof/>
                  <w:webHidden/>
                </w:rPr>
                <w:tab/>
              </w:r>
              <w:r>
                <w:rPr>
                  <w:noProof/>
                  <w:webHidden/>
                </w:rPr>
                <w:fldChar w:fldCharType="begin"/>
              </w:r>
              <w:r>
                <w:rPr>
                  <w:noProof/>
                  <w:webHidden/>
                </w:rPr>
                <w:instrText xml:space="preserve"> PAGEREF _Toc230790006 \h </w:instrText>
              </w:r>
              <w:r>
                <w:rPr>
                  <w:noProof/>
                  <w:webHidden/>
                </w:rPr>
              </w:r>
              <w:r>
                <w:rPr>
                  <w:noProof/>
                  <w:webHidden/>
                </w:rPr>
                <w:fldChar w:fldCharType="separate"/>
              </w:r>
              <w:r>
                <w:rPr>
                  <w:noProof/>
                  <w:webHidden/>
                </w:rPr>
                <w:t>7</w:t>
              </w:r>
              <w:r>
                <w:rPr>
                  <w:noProof/>
                  <w:webHidden/>
                </w:rPr>
                <w:fldChar w:fldCharType="end"/>
              </w:r>
            </w:hyperlink>
          </w:p>
          <w:p w14:paraId="15CE1847" w14:textId="564A6F21" w:rsidR="00535273" w:rsidRDefault="00535273">
            <w:pPr>
              <w:pStyle w:val="TOC2"/>
              <w:rPr>
                <w:rFonts w:asciiTheme="minorHAnsi" w:eastAsiaTheme="minorEastAsia" w:hAnsiTheme="minorHAnsi"/>
                <w:noProof/>
                <w:color w:val="auto"/>
                <w:kern w:val="2"/>
                <w:szCs w:val="24"/>
                <w:lang w:eastAsia="en-NZ"/>
                <w14:ligatures w14:val="standardContextual"/>
              </w:rPr>
            </w:pPr>
            <w:hyperlink w:anchor="_Toc230790007" w:history="1">
              <w:r w:rsidRPr="001C1E50">
                <w:rPr>
                  <w:rStyle w:val="Hyperlink"/>
                  <w:noProof/>
                </w:rPr>
                <w:t>An alternative to section 18(d)</w:t>
              </w:r>
              <w:r>
                <w:rPr>
                  <w:noProof/>
                  <w:webHidden/>
                </w:rPr>
                <w:tab/>
              </w:r>
              <w:r>
                <w:rPr>
                  <w:noProof/>
                  <w:webHidden/>
                </w:rPr>
                <w:fldChar w:fldCharType="begin"/>
              </w:r>
              <w:r>
                <w:rPr>
                  <w:noProof/>
                  <w:webHidden/>
                </w:rPr>
                <w:instrText xml:space="preserve"> PAGEREF _Toc230790007 \h </w:instrText>
              </w:r>
              <w:r>
                <w:rPr>
                  <w:noProof/>
                  <w:webHidden/>
                </w:rPr>
              </w:r>
              <w:r>
                <w:rPr>
                  <w:noProof/>
                  <w:webHidden/>
                </w:rPr>
                <w:fldChar w:fldCharType="separate"/>
              </w:r>
              <w:r>
                <w:rPr>
                  <w:noProof/>
                  <w:webHidden/>
                </w:rPr>
                <w:t>7</w:t>
              </w:r>
              <w:r>
                <w:rPr>
                  <w:noProof/>
                  <w:webHidden/>
                </w:rPr>
                <w:fldChar w:fldCharType="end"/>
              </w:r>
            </w:hyperlink>
          </w:p>
          <w:p w14:paraId="1E860980" w14:textId="1A0F9DDB" w:rsidR="00535273" w:rsidRDefault="00535273">
            <w:pPr>
              <w:pStyle w:val="TOC1"/>
              <w:rPr>
                <w:rFonts w:asciiTheme="minorHAnsi" w:eastAsiaTheme="minorEastAsia" w:hAnsiTheme="minorHAnsi"/>
                <w:b w:val="0"/>
                <w:noProof/>
                <w:color w:val="auto"/>
                <w:kern w:val="2"/>
                <w:sz w:val="24"/>
                <w:szCs w:val="24"/>
                <w:lang w:eastAsia="en-NZ"/>
                <w14:ligatures w14:val="standardContextual"/>
              </w:rPr>
            </w:pPr>
            <w:hyperlink w:anchor="_Toc230790008" w:history="1">
              <w:r w:rsidRPr="001C1E50">
                <w:rPr>
                  <w:rStyle w:val="Hyperlink"/>
                  <w:noProof/>
                </w:rPr>
                <w:t>Further information</w:t>
              </w:r>
              <w:r>
                <w:rPr>
                  <w:noProof/>
                  <w:webHidden/>
                </w:rPr>
                <w:tab/>
              </w:r>
              <w:r>
                <w:rPr>
                  <w:noProof/>
                  <w:webHidden/>
                </w:rPr>
                <w:fldChar w:fldCharType="begin"/>
              </w:r>
              <w:r>
                <w:rPr>
                  <w:noProof/>
                  <w:webHidden/>
                </w:rPr>
                <w:instrText xml:space="preserve"> PAGEREF _Toc230790008 \h </w:instrText>
              </w:r>
              <w:r>
                <w:rPr>
                  <w:noProof/>
                  <w:webHidden/>
                </w:rPr>
              </w:r>
              <w:r>
                <w:rPr>
                  <w:noProof/>
                  <w:webHidden/>
                </w:rPr>
                <w:fldChar w:fldCharType="separate"/>
              </w:r>
              <w:r>
                <w:rPr>
                  <w:noProof/>
                  <w:webHidden/>
                </w:rPr>
                <w:t>8</w:t>
              </w:r>
              <w:r>
                <w:rPr>
                  <w:noProof/>
                  <w:webHidden/>
                </w:rPr>
                <w:fldChar w:fldCharType="end"/>
              </w:r>
            </w:hyperlink>
          </w:p>
          <w:p w14:paraId="172745B3" w14:textId="5C3EAF6A" w:rsidR="00535273" w:rsidRDefault="00535273">
            <w:pPr>
              <w:pStyle w:val="TOC1"/>
              <w:rPr>
                <w:rFonts w:asciiTheme="minorHAnsi" w:eastAsiaTheme="minorEastAsia" w:hAnsiTheme="minorHAnsi"/>
                <w:b w:val="0"/>
                <w:noProof/>
                <w:color w:val="auto"/>
                <w:kern w:val="2"/>
                <w:sz w:val="24"/>
                <w:szCs w:val="24"/>
                <w:lang w:eastAsia="en-NZ"/>
                <w14:ligatures w14:val="standardContextual"/>
              </w:rPr>
            </w:pPr>
            <w:hyperlink w:anchor="_Toc230790009" w:history="1">
              <w:r w:rsidRPr="001C1E50">
                <w:rPr>
                  <w:rStyle w:val="Hyperlink"/>
                  <w:noProof/>
                </w:rPr>
                <w:t>Appendix 1. Step-by-step work sheet</w:t>
              </w:r>
              <w:r>
                <w:rPr>
                  <w:noProof/>
                  <w:webHidden/>
                </w:rPr>
                <w:tab/>
              </w:r>
              <w:r>
                <w:rPr>
                  <w:noProof/>
                  <w:webHidden/>
                </w:rPr>
                <w:fldChar w:fldCharType="begin"/>
              </w:r>
              <w:r>
                <w:rPr>
                  <w:noProof/>
                  <w:webHidden/>
                </w:rPr>
                <w:instrText xml:space="preserve"> PAGEREF _Toc230790009 \h </w:instrText>
              </w:r>
              <w:r>
                <w:rPr>
                  <w:noProof/>
                  <w:webHidden/>
                </w:rPr>
              </w:r>
              <w:r>
                <w:rPr>
                  <w:noProof/>
                  <w:webHidden/>
                </w:rPr>
                <w:fldChar w:fldCharType="separate"/>
              </w:r>
              <w:r>
                <w:rPr>
                  <w:noProof/>
                  <w:webHidden/>
                </w:rPr>
                <w:t>9</w:t>
              </w:r>
              <w:r>
                <w:rPr>
                  <w:noProof/>
                  <w:webHidden/>
                </w:rPr>
                <w:fldChar w:fldCharType="end"/>
              </w:r>
            </w:hyperlink>
          </w:p>
          <w:p w14:paraId="58A9A178" w14:textId="02B3C345" w:rsidR="00535273" w:rsidRDefault="00535273">
            <w:pPr>
              <w:pStyle w:val="TOC1"/>
              <w:rPr>
                <w:rFonts w:asciiTheme="minorHAnsi" w:eastAsiaTheme="minorEastAsia" w:hAnsiTheme="minorHAnsi"/>
                <w:b w:val="0"/>
                <w:noProof/>
                <w:color w:val="auto"/>
                <w:kern w:val="2"/>
                <w:sz w:val="24"/>
                <w:szCs w:val="24"/>
                <w:lang w:eastAsia="en-NZ"/>
                <w14:ligatures w14:val="standardContextual"/>
              </w:rPr>
            </w:pPr>
            <w:hyperlink w:anchor="_Toc230790010" w:history="1">
              <w:r w:rsidRPr="001C1E50">
                <w:rPr>
                  <w:rStyle w:val="Hyperlink"/>
                  <w:noProof/>
                </w:rPr>
                <w:t>Appendix 2. Template letters</w:t>
              </w:r>
              <w:r>
                <w:rPr>
                  <w:noProof/>
                  <w:webHidden/>
                </w:rPr>
                <w:tab/>
              </w:r>
              <w:r>
                <w:rPr>
                  <w:noProof/>
                  <w:webHidden/>
                </w:rPr>
                <w:fldChar w:fldCharType="begin"/>
              </w:r>
              <w:r>
                <w:rPr>
                  <w:noProof/>
                  <w:webHidden/>
                </w:rPr>
                <w:instrText xml:space="preserve"> PAGEREF _Toc230790010 \h </w:instrText>
              </w:r>
              <w:r>
                <w:rPr>
                  <w:noProof/>
                  <w:webHidden/>
                </w:rPr>
              </w:r>
              <w:r>
                <w:rPr>
                  <w:noProof/>
                  <w:webHidden/>
                </w:rPr>
                <w:fldChar w:fldCharType="separate"/>
              </w:r>
              <w:r>
                <w:rPr>
                  <w:noProof/>
                  <w:webHidden/>
                </w:rPr>
                <w:t>11</w:t>
              </w:r>
              <w:r>
                <w:rPr>
                  <w:noProof/>
                  <w:webHidden/>
                </w:rPr>
                <w:fldChar w:fldCharType="end"/>
              </w:r>
            </w:hyperlink>
          </w:p>
          <w:p w14:paraId="7EA45055" w14:textId="2F51379B" w:rsidR="00535273" w:rsidRDefault="00535273">
            <w:pPr>
              <w:pStyle w:val="TOC2"/>
              <w:rPr>
                <w:rFonts w:asciiTheme="minorHAnsi" w:eastAsiaTheme="minorEastAsia" w:hAnsiTheme="minorHAnsi"/>
                <w:noProof/>
                <w:color w:val="auto"/>
                <w:kern w:val="2"/>
                <w:szCs w:val="24"/>
                <w:lang w:eastAsia="en-NZ"/>
                <w14:ligatures w14:val="standardContextual"/>
              </w:rPr>
            </w:pPr>
            <w:hyperlink w:anchor="_Toc230790011" w:history="1">
              <w:r w:rsidRPr="001C1E50">
                <w:rPr>
                  <w:rStyle w:val="Hyperlink"/>
                  <w:noProof/>
                </w:rPr>
                <w:t>1. Refusal letter under section 18(d) OIA / 17(d) LGOIMA—Information publicly available</w:t>
              </w:r>
              <w:r>
                <w:rPr>
                  <w:noProof/>
                  <w:webHidden/>
                </w:rPr>
                <w:tab/>
              </w:r>
              <w:r>
                <w:rPr>
                  <w:noProof/>
                  <w:webHidden/>
                </w:rPr>
                <w:fldChar w:fldCharType="begin"/>
              </w:r>
              <w:r>
                <w:rPr>
                  <w:noProof/>
                  <w:webHidden/>
                </w:rPr>
                <w:instrText xml:space="preserve"> PAGEREF _Toc230790011 \h </w:instrText>
              </w:r>
              <w:r>
                <w:rPr>
                  <w:noProof/>
                  <w:webHidden/>
                </w:rPr>
              </w:r>
              <w:r>
                <w:rPr>
                  <w:noProof/>
                  <w:webHidden/>
                </w:rPr>
                <w:fldChar w:fldCharType="separate"/>
              </w:r>
              <w:r>
                <w:rPr>
                  <w:noProof/>
                  <w:webHidden/>
                </w:rPr>
                <w:t>11</w:t>
              </w:r>
              <w:r>
                <w:rPr>
                  <w:noProof/>
                  <w:webHidden/>
                </w:rPr>
                <w:fldChar w:fldCharType="end"/>
              </w:r>
            </w:hyperlink>
          </w:p>
          <w:p w14:paraId="00AAC19F" w14:textId="74FE3392" w:rsidR="00535273" w:rsidRDefault="00535273">
            <w:pPr>
              <w:pStyle w:val="TOC2"/>
              <w:rPr>
                <w:rFonts w:asciiTheme="minorHAnsi" w:eastAsiaTheme="minorEastAsia" w:hAnsiTheme="minorHAnsi"/>
                <w:noProof/>
                <w:color w:val="auto"/>
                <w:kern w:val="2"/>
                <w:szCs w:val="24"/>
                <w:lang w:eastAsia="en-NZ"/>
                <w14:ligatures w14:val="standardContextual"/>
              </w:rPr>
            </w:pPr>
            <w:hyperlink w:anchor="_Toc230790012" w:history="1">
              <w:r w:rsidRPr="001C1E50">
                <w:rPr>
                  <w:rStyle w:val="Hyperlink"/>
                  <w:noProof/>
                </w:rPr>
                <w:t>2. Refusal letter under section 18(d) OIA / 17(d) LGOIMA—Information soon to be publicly available</w:t>
              </w:r>
              <w:r>
                <w:rPr>
                  <w:noProof/>
                  <w:webHidden/>
                </w:rPr>
                <w:tab/>
              </w:r>
              <w:r>
                <w:rPr>
                  <w:noProof/>
                  <w:webHidden/>
                </w:rPr>
                <w:fldChar w:fldCharType="begin"/>
              </w:r>
              <w:r>
                <w:rPr>
                  <w:noProof/>
                  <w:webHidden/>
                </w:rPr>
                <w:instrText xml:space="preserve"> PAGEREF _Toc230790012 \h </w:instrText>
              </w:r>
              <w:r>
                <w:rPr>
                  <w:noProof/>
                  <w:webHidden/>
                </w:rPr>
              </w:r>
              <w:r>
                <w:rPr>
                  <w:noProof/>
                  <w:webHidden/>
                </w:rPr>
                <w:fldChar w:fldCharType="separate"/>
              </w:r>
              <w:r>
                <w:rPr>
                  <w:noProof/>
                  <w:webHidden/>
                </w:rPr>
                <w:t>12</w:t>
              </w:r>
              <w:r>
                <w:rPr>
                  <w:noProof/>
                  <w:webHidden/>
                </w:rPr>
                <w:fldChar w:fldCharType="end"/>
              </w:r>
            </w:hyperlink>
          </w:p>
          <w:p w14:paraId="31D2A43D" w14:textId="394DB9B8" w:rsidR="00535273" w:rsidRDefault="00535273">
            <w:pPr>
              <w:pStyle w:val="TOC2"/>
              <w:rPr>
                <w:rFonts w:asciiTheme="minorHAnsi" w:eastAsiaTheme="minorEastAsia" w:hAnsiTheme="minorHAnsi"/>
                <w:noProof/>
                <w:color w:val="auto"/>
                <w:kern w:val="2"/>
                <w:szCs w:val="24"/>
                <w:lang w:eastAsia="en-NZ"/>
                <w14:ligatures w14:val="standardContextual"/>
              </w:rPr>
            </w:pPr>
            <w:hyperlink w:anchor="_Toc230790013" w:history="1">
              <w:r w:rsidRPr="001C1E50">
                <w:rPr>
                  <w:rStyle w:val="Hyperlink"/>
                  <w:noProof/>
                </w:rPr>
                <w:t>3. Advice that information has been published</w:t>
              </w:r>
              <w:r>
                <w:rPr>
                  <w:noProof/>
                  <w:webHidden/>
                </w:rPr>
                <w:tab/>
              </w:r>
              <w:r>
                <w:rPr>
                  <w:noProof/>
                  <w:webHidden/>
                </w:rPr>
                <w:fldChar w:fldCharType="begin"/>
              </w:r>
              <w:r>
                <w:rPr>
                  <w:noProof/>
                  <w:webHidden/>
                </w:rPr>
                <w:instrText xml:space="preserve"> PAGEREF _Toc230790013 \h </w:instrText>
              </w:r>
              <w:r>
                <w:rPr>
                  <w:noProof/>
                  <w:webHidden/>
                </w:rPr>
              </w:r>
              <w:r>
                <w:rPr>
                  <w:noProof/>
                  <w:webHidden/>
                </w:rPr>
                <w:fldChar w:fldCharType="separate"/>
              </w:r>
              <w:r>
                <w:rPr>
                  <w:noProof/>
                  <w:webHidden/>
                </w:rPr>
                <w:t>13</w:t>
              </w:r>
              <w:r>
                <w:rPr>
                  <w:noProof/>
                  <w:webHidden/>
                </w:rPr>
                <w:fldChar w:fldCharType="end"/>
              </w:r>
            </w:hyperlink>
          </w:p>
          <w:p w14:paraId="78F389D4" w14:textId="6120153C" w:rsidR="00535273" w:rsidRDefault="00535273">
            <w:pPr>
              <w:pStyle w:val="TOC2"/>
              <w:rPr>
                <w:rFonts w:asciiTheme="minorHAnsi" w:eastAsiaTheme="minorEastAsia" w:hAnsiTheme="minorHAnsi"/>
                <w:noProof/>
                <w:color w:val="auto"/>
                <w:kern w:val="2"/>
                <w:szCs w:val="24"/>
                <w:lang w:eastAsia="en-NZ"/>
                <w14:ligatures w14:val="standardContextual"/>
              </w:rPr>
            </w:pPr>
            <w:hyperlink w:anchor="_Toc230790014" w:history="1">
              <w:r w:rsidRPr="001C1E50">
                <w:rPr>
                  <w:rStyle w:val="Hyperlink"/>
                  <w:noProof/>
                </w:rPr>
                <w:t>4. Advice that publication has been delayed</w:t>
              </w:r>
              <w:r>
                <w:rPr>
                  <w:noProof/>
                  <w:webHidden/>
                </w:rPr>
                <w:tab/>
              </w:r>
              <w:r>
                <w:rPr>
                  <w:noProof/>
                  <w:webHidden/>
                </w:rPr>
                <w:fldChar w:fldCharType="begin"/>
              </w:r>
              <w:r>
                <w:rPr>
                  <w:noProof/>
                  <w:webHidden/>
                </w:rPr>
                <w:instrText xml:space="preserve"> PAGEREF _Toc230790014 \h </w:instrText>
              </w:r>
              <w:r>
                <w:rPr>
                  <w:noProof/>
                  <w:webHidden/>
                </w:rPr>
              </w:r>
              <w:r>
                <w:rPr>
                  <w:noProof/>
                  <w:webHidden/>
                </w:rPr>
                <w:fldChar w:fldCharType="separate"/>
              </w:r>
              <w:r>
                <w:rPr>
                  <w:noProof/>
                  <w:webHidden/>
                </w:rPr>
                <w:t>14</w:t>
              </w:r>
              <w:r>
                <w:rPr>
                  <w:noProof/>
                  <w:webHidden/>
                </w:rPr>
                <w:fldChar w:fldCharType="end"/>
              </w:r>
            </w:hyperlink>
          </w:p>
          <w:p w14:paraId="31FB9545" w14:textId="4DD509B2" w:rsidR="00535273" w:rsidRDefault="00535273">
            <w:pPr>
              <w:pStyle w:val="TOC1"/>
              <w:rPr>
                <w:rFonts w:asciiTheme="minorHAnsi" w:eastAsiaTheme="minorEastAsia" w:hAnsiTheme="minorHAnsi"/>
                <w:b w:val="0"/>
                <w:noProof/>
                <w:color w:val="auto"/>
                <w:kern w:val="2"/>
                <w:sz w:val="24"/>
                <w:szCs w:val="24"/>
                <w:lang w:eastAsia="en-NZ"/>
                <w14:ligatures w14:val="standardContextual"/>
              </w:rPr>
            </w:pPr>
            <w:hyperlink w:anchor="_Toc230790015" w:history="1">
              <w:r w:rsidRPr="001C1E50">
                <w:rPr>
                  <w:rStyle w:val="Hyperlink"/>
                  <w:noProof/>
                </w:rPr>
                <w:t>Appendix 3. Case studies</w:t>
              </w:r>
              <w:r>
                <w:rPr>
                  <w:noProof/>
                  <w:webHidden/>
                </w:rPr>
                <w:tab/>
              </w:r>
              <w:r>
                <w:rPr>
                  <w:noProof/>
                  <w:webHidden/>
                </w:rPr>
                <w:fldChar w:fldCharType="begin"/>
              </w:r>
              <w:r>
                <w:rPr>
                  <w:noProof/>
                  <w:webHidden/>
                </w:rPr>
                <w:instrText xml:space="preserve"> PAGEREF _Toc230790015 \h </w:instrText>
              </w:r>
              <w:r>
                <w:rPr>
                  <w:noProof/>
                  <w:webHidden/>
                </w:rPr>
              </w:r>
              <w:r>
                <w:rPr>
                  <w:noProof/>
                  <w:webHidden/>
                </w:rPr>
                <w:fldChar w:fldCharType="separate"/>
              </w:r>
              <w:r>
                <w:rPr>
                  <w:noProof/>
                  <w:webHidden/>
                </w:rPr>
                <w:t>15</w:t>
              </w:r>
              <w:r>
                <w:rPr>
                  <w:noProof/>
                  <w:webHidden/>
                </w:rPr>
                <w:fldChar w:fldCharType="end"/>
              </w:r>
            </w:hyperlink>
          </w:p>
          <w:p w14:paraId="1B9A550E" w14:textId="7176E377" w:rsidR="00535273" w:rsidRDefault="00535273">
            <w:pPr>
              <w:pStyle w:val="TOC2"/>
              <w:rPr>
                <w:rFonts w:asciiTheme="minorHAnsi" w:eastAsiaTheme="minorEastAsia" w:hAnsiTheme="minorHAnsi"/>
                <w:noProof/>
                <w:color w:val="auto"/>
                <w:kern w:val="2"/>
                <w:szCs w:val="24"/>
                <w:lang w:eastAsia="en-NZ"/>
                <w14:ligatures w14:val="standardContextual"/>
              </w:rPr>
            </w:pPr>
            <w:hyperlink w:anchor="_Toc230790016" w:history="1">
              <w:r w:rsidRPr="001C1E50">
                <w:rPr>
                  <w:rStyle w:val="Hyperlink"/>
                  <w:noProof/>
                </w:rPr>
                <w:t>Index</w:t>
              </w:r>
              <w:r>
                <w:rPr>
                  <w:noProof/>
                  <w:webHidden/>
                </w:rPr>
                <w:tab/>
              </w:r>
              <w:r>
                <w:rPr>
                  <w:noProof/>
                  <w:webHidden/>
                </w:rPr>
                <w:fldChar w:fldCharType="begin"/>
              </w:r>
              <w:r>
                <w:rPr>
                  <w:noProof/>
                  <w:webHidden/>
                </w:rPr>
                <w:instrText xml:space="preserve"> PAGEREF _Toc230790016 \h </w:instrText>
              </w:r>
              <w:r>
                <w:rPr>
                  <w:noProof/>
                  <w:webHidden/>
                </w:rPr>
              </w:r>
              <w:r>
                <w:rPr>
                  <w:noProof/>
                  <w:webHidden/>
                </w:rPr>
                <w:fldChar w:fldCharType="separate"/>
              </w:r>
              <w:r>
                <w:rPr>
                  <w:noProof/>
                  <w:webHidden/>
                </w:rPr>
                <w:t>15</w:t>
              </w:r>
              <w:r>
                <w:rPr>
                  <w:noProof/>
                  <w:webHidden/>
                </w:rPr>
                <w:fldChar w:fldCharType="end"/>
              </w:r>
            </w:hyperlink>
          </w:p>
          <w:p w14:paraId="0ABDBD86" w14:textId="3DAB0BFA" w:rsidR="00535273" w:rsidRDefault="00535273">
            <w:pPr>
              <w:pStyle w:val="TOC2"/>
              <w:rPr>
                <w:rFonts w:asciiTheme="minorHAnsi" w:eastAsiaTheme="minorEastAsia" w:hAnsiTheme="minorHAnsi"/>
                <w:noProof/>
                <w:color w:val="auto"/>
                <w:kern w:val="2"/>
                <w:szCs w:val="24"/>
                <w:lang w:eastAsia="en-NZ"/>
                <w14:ligatures w14:val="standardContextual"/>
              </w:rPr>
            </w:pPr>
            <w:hyperlink w:anchor="_Toc230790017" w:history="1">
              <w:r w:rsidRPr="001C1E50">
                <w:rPr>
                  <w:rStyle w:val="Hyperlink"/>
                  <w:noProof/>
                </w:rPr>
                <w:t>Information publicly available</w:t>
              </w:r>
              <w:r>
                <w:rPr>
                  <w:noProof/>
                  <w:webHidden/>
                </w:rPr>
                <w:tab/>
              </w:r>
              <w:r>
                <w:rPr>
                  <w:noProof/>
                  <w:webHidden/>
                </w:rPr>
                <w:fldChar w:fldCharType="begin"/>
              </w:r>
              <w:r>
                <w:rPr>
                  <w:noProof/>
                  <w:webHidden/>
                </w:rPr>
                <w:instrText xml:space="preserve"> PAGEREF _Toc230790017 \h </w:instrText>
              </w:r>
              <w:r>
                <w:rPr>
                  <w:noProof/>
                  <w:webHidden/>
                </w:rPr>
              </w:r>
              <w:r>
                <w:rPr>
                  <w:noProof/>
                  <w:webHidden/>
                </w:rPr>
                <w:fldChar w:fldCharType="separate"/>
              </w:r>
              <w:r>
                <w:rPr>
                  <w:noProof/>
                  <w:webHidden/>
                </w:rPr>
                <w:t>17</w:t>
              </w:r>
              <w:r>
                <w:rPr>
                  <w:noProof/>
                  <w:webHidden/>
                </w:rPr>
                <w:fldChar w:fldCharType="end"/>
              </w:r>
            </w:hyperlink>
          </w:p>
          <w:p w14:paraId="2C1C8371" w14:textId="5D8F42DB" w:rsidR="00535273" w:rsidRDefault="00535273">
            <w:pPr>
              <w:pStyle w:val="TOC2"/>
              <w:rPr>
                <w:rFonts w:asciiTheme="minorHAnsi" w:eastAsiaTheme="minorEastAsia" w:hAnsiTheme="minorHAnsi"/>
                <w:noProof/>
                <w:color w:val="auto"/>
                <w:kern w:val="2"/>
                <w:szCs w:val="24"/>
                <w:lang w:eastAsia="en-NZ"/>
                <w14:ligatures w14:val="standardContextual"/>
              </w:rPr>
            </w:pPr>
            <w:hyperlink w:anchor="_Toc230790018" w:history="1">
              <w:r w:rsidRPr="001C1E50">
                <w:rPr>
                  <w:rStyle w:val="Hyperlink"/>
                  <w:noProof/>
                </w:rPr>
                <w:t>Information soon to be publicly available</w:t>
              </w:r>
              <w:r>
                <w:rPr>
                  <w:noProof/>
                  <w:webHidden/>
                </w:rPr>
                <w:tab/>
              </w:r>
              <w:r>
                <w:rPr>
                  <w:noProof/>
                  <w:webHidden/>
                </w:rPr>
                <w:fldChar w:fldCharType="begin"/>
              </w:r>
              <w:r>
                <w:rPr>
                  <w:noProof/>
                  <w:webHidden/>
                </w:rPr>
                <w:instrText xml:space="preserve"> PAGEREF _Toc230790018 \h </w:instrText>
              </w:r>
              <w:r>
                <w:rPr>
                  <w:noProof/>
                  <w:webHidden/>
                </w:rPr>
              </w:r>
              <w:r>
                <w:rPr>
                  <w:noProof/>
                  <w:webHidden/>
                </w:rPr>
                <w:fldChar w:fldCharType="separate"/>
              </w:r>
              <w:r>
                <w:rPr>
                  <w:noProof/>
                  <w:webHidden/>
                </w:rPr>
                <w:t>21</w:t>
              </w:r>
              <w:r>
                <w:rPr>
                  <w:noProof/>
                  <w:webHidden/>
                </w:rPr>
                <w:fldChar w:fldCharType="end"/>
              </w:r>
            </w:hyperlink>
          </w:p>
          <w:p w14:paraId="2B34E04A" w14:textId="5CEB3DA5" w:rsidR="00A5640F" w:rsidRDefault="00A5640F" w:rsidP="0061174D">
            <w:pPr>
              <w:pStyle w:val="Whitespace"/>
            </w:pPr>
            <w:r>
              <w:fldChar w:fldCharType="end"/>
            </w:r>
          </w:p>
        </w:tc>
      </w:tr>
    </w:tbl>
    <w:p w14:paraId="1478D0BD" w14:textId="77777777" w:rsidR="00FE72DD" w:rsidRDefault="003931F9" w:rsidP="00D15698">
      <w:pPr>
        <w:pStyle w:val="Heading1-Start"/>
      </w:pPr>
      <w:bookmarkStart w:id="4" w:name="_Toc230789998"/>
      <w:bookmarkEnd w:id="1"/>
      <w:bookmarkEnd w:id="3"/>
      <w:r>
        <w:t>What the Acts say</w:t>
      </w:r>
      <w:bookmarkEnd w:id="4"/>
    </w:p>
    <w:p w14:paraId="79EC9B9A" w14:textId="77777777" w:rsidR="003F6369" w:rsidRDefault="003931F9" w:rsidP="003F6369">
      <w:pPr>
        <w:pStyle w:val="BodyText"/>
        <w:rPr>
          <w:sz w:val="16"/>
          <w:szCs w:val="16"/>
        </w:rPr>
      </w:pPr>
      <w:r>
        <w:t xml:space="preserve">The starting point for considering any request for official information is the </w:t>
      </w:r>
      <w:r>
        <w:rPr>
          <w:b/>
          <w:bCs/>
        </w:rPr>
        <w:t>principle of availability</w:t>
      </w:r>
      <w:r>
        <w:t>. That is, information must be made available on request unless there is a</w:t>
      </w:r>
      <w:r w:rsidR="003547A7">
        <w:t xml:space="preserve"> good reason for withholding it.</w:t>
      </w:r>
      <w:r w:rsidR="003547A7">
        <w:rPr>
          <w:rStyle w:val="FootnoteReference"/>
        </w:rPr>
        <w:footnoteReference w:id="3"/>
      </w:r>
    </w:p>
    <w:p w14:paraId="051A64F3" w14:textId="77777777" w:rsidR="00A96A95" w:rsidRDefault="003931F9" w:rsidP="003F6369">
      <w:pPr>
        <w:pStyle w:val="BodyText"/>
      </w:pPr>
      <w:r>
        <w:t>The reasons for refusal fall into three broad categories: conclusive reasons,</w:t>
      </w:r>
      <w:r w:rsidR="00DB2186">
        <w:rPr>
          <w:rStyle w:val="FootnoteReference"/>
        </w:rPr>
        <w:footnoteReference w:id="4"/>
      </w:r>
      <w:r>
        <w:rPr>
          <w:sz w:val="16"/>
          <w:szCs w:val="16"/>
        </w:rPr>
        <w:t xml:space="preserve"> </w:t>
      </w:r>
      <w:r>
        <w:t>good reasons,</w:t>
      </w:r>
      <w:r w:rsidR="00DB2186">
        <w:rPr>
          <w:rStyle w:val="FootnoteReference"/>
        </w:rPr>
        <w:footnoteReference w:id="5"/>
      </w:r>
      <w:r>
        <w:rPr>
          <w:sz w:val="16"/>
          <w:szCs w:val="16"/>
        </w:rPr>
        <w:t xml:space="preserve"> </w:t>
      </w:r>
      <w:r w:rsidR="00DB2186">
        <w:t>and administrative reasons.</w:t>
      </w:r>
      <w:r w:rsidR="00DB2186">
        <w:rPr>
          <w:rStyle w:val="FootnoteReference"/>
        </w:rPr>
        <w:footnoteReference w:id="6"/>
      </w:r>
      <w:r>
        <w:rPr>
          <w:sz w:val="16"/>
          <w:szCs w:val="16"/>
        </w:rPr>
        <w:t xml:space="preserve"> </w:t>
      </w:r>
      <w:r>
        <w:t>Among the administrative reasons, section 18(</w:t>
      </w:r>
      <w:r w:rsidR="00562B59">
        <w:t>d</w:t>
      </w:r>
      <w:r>
        <w:t xml:space="preserve">) of the </w:t>
      </w:r>
      <w:proofErr w:type="spellStart"/>
      <w:r>
        <w:t>OIA</w:t>
      </w:r>
      <w:proofErr w:type="spellEnd"/>
      <w:r>
        <w:t xml:space="preserve"> provides that a request may be refused if </w:t>
      </w:r>
      <w:r>
        <w:rPr>
          <w:i/>
          <w:iCs/>
        </w:rPr>
        <w:t xml:space="preserve">‘the information </w:t>
      </w:r>
      <w:r w:rsidR="00D04897">
        <w:rPr>
          <w:i/>
          <w:iCs/>
        </w:rPr>
        <w:t xml:space="preserve">requested </w:t>
      </w:r>
      <w:r w:rsidR="00AC1F69">
        <w:rPr>
          <w:i/>
          <w:iCs/>
        </w:rPr>
        <w:t>is or will soon be publicly available</w:t>
      </w:r>
      <w:r>
        <w:rPr>
          <w:i/>
          <w:iCs/>
        </w:rPr>
        <w:t>’</w:t>
      </w:r>
      <w:r>
        <w:t>.</w:t>
      </w:r>
    </w:p>
    <w:p w14:paraId="609F7772" w14:textId="77777777" w:rsidR="00E050DC" w:rsidRDefault="00E050DC" w:rsidP="00E050DC">
      <w:pPr>
        <w:pStyle w:val="Heading1"/>
      </w:pPr>
      <w:bookmarkStart w:id="5" w:name="_Toc230789999"/>
      <w:r>
        <w:t>When section 18(d) applies</w:t>
      </w:r>
      <w:bookmarkEnd w:id="5"/>
    </w:p>
    <w:p w14:paraId="60B640F4" w14:textId="77777777" w:rsidR="00D04897" w:rsidRDefault="00647287" w:rsidP="003F6369">
      <w:pPr>
        <w:pStyle w:val="BodyText"/>
      </w:pPr>
      <w:r>
        <w:t>Section 18(d)</w:t>
      </w:r>
      <w:r w:rsidR="0061043A">
        <w:t xml:space="preserve"> </w:t>
      </w:r>
      <w:r w:rsidR="00D04897">
        <w:t>applies in two situations:</w:t>
      </w:r>
    </w:p>
    <w:p w14:paraId="4AE6CA19" w14:textId="77777777" w:rsidR="00D04897" w:rsidRDefault="00647287" w:rsidP="003F6369">
      <w:pPr>
        <w:pStyle w:val="Number1"/>
      </w:pPr>
      <w:r>
        <w:t>Where the requested</w:t>
      </w:r>
      <w:r w:rsidR="00764607">
        <w:t xml:space="preserve"> information</w:t>
      </w:r>
      <w:r>
        <w:t xml:space="preserve"> </w:t>
      </w:r>
      <w:r w:rsidR="00D04897">
        <w:t xml:space="preserve">is already publicly available </w:t>
      </w:r>
    </w:p>
    <w:p w14:paraId="12E40BC8" w14:textId="77777777" w:rsidR="00D04897" w:rsidRDefault="00647287" w:rsidP="003F6369">
      <w:pPr>
        <w:pStyle w:val="Number1"/>
      </w:pPr>
      <w:r>
        <w:t>Where the requested</w:t>
      </w:r>
      <w:r w:rsidR="00D04897">
        <w:t xml:space="preserve"> </w:t>
      </w:r>
      <w:r w:rsidR="00764607">
        <w:t xml:space="preserve">information </w:t>
      </w:r>
      <w:r w:rsidR="00D04897">
        <w:t>will be publicly available soon.</w:t>
      </w:r>
    </w:p>
    <w:p w14:paraId="51A4C44F" w14:textId="77777777" w:rsidR="003F6369" w:rsidRDefault="003F6369" w:rsidP="00E050DC">
      <w:pPr>
        <w:pStyle w:val="Heading2"/>
      </w:pPr>
      <w:bookmarkStart w:id="6" w:name="_The_requested_information"/>
      <w:bookmarkStart w:id="7" w:name="_Toc230790000"/>
      <w:bookmarkEnd w:id="6"/>
      <w:r>
        <w:t>The requested</w:t>
      </w:r>
      <w:r w:rsidR="001364B9">
        <w:t xml:space="preserve"> information</w:t>
      </w:r>
      <w:bookmarkEnd w:id="7"/>
      <w:r w:rsidR="001364B9">
        <w:t xml:space="preserve"> </w:t>
      </w:r>
    </w:p>
    <w:p w14:paraId="390BDD92" w14:textId="77777777" w:rsidR="004B42AC" w:rsidRDefault="00B911DD" w:rsidP="0061043A">
      <w:pPr>
        <w:pStyle w:val="BodyText"/>
        <w:rPr>
          <w:szCs w:val="24"/>
        </w:rPr>
      </w:pPr>
      <w:r>
        <w:rPr>
          <w:szCs w:val="24"/>
        </w:rPr>
        <w:t xml:space="preserve">It must be the </w:t>
      </w:r>
      <w:r w:rsidRPr="004B42AC">
        <w:rPr>
          <w:rStyle w:val="EmphasisItalics"/>
        </w:rPr>
        <w:t xml:space="preserve">‘information requested’ </w:t>
      </w:r>
      <w:r>
        <w:rPr>
          <w:szCs w:val="24"/>
        </w:rPr>
        <w:t xml:space="preserve">that is or will soon be publicly available. </w:t>
      </w:r>
    </w:p>
    <w:p w14:paraId="173FFFD6" w14:textId="77777777" w:rsidR="00B911DD" w:rsidRDefault="00B911DD" w:rsidP="0061043A">
      <w:pPr>
        <w:pStyle w:val="BodyText"/>
        <w:rPr>
          <w:szCs w:val="24"/>
        </w:rPr>
      </w:pPr>
      <w:r>
        <w:rPr>
          <w:szCs w:val="24"/>
        </w:rPr>
        <w:t xml:space="preserve">Agencies must identify the </w:t>
      </w:r>
      <w:r w:rsidRPr="002F134C">
        <w:rPr>
          <w:rStyle w:val="Emphasis"/>
        </w:rPr>
        <w:t>specific</w:t>
      </w:r>
      <w:r>
        <w:rPr>
          <w:szCs w:val="24"/>
        </w:rPr>
        <w:t xml:space="preserve"> information </w:t>
      </w:r>
      <w:proofErr w:type="gramStart"/>
      <w:r>
        <w:rPr>
          <w:szCs w:val="24"/>
        </w:rPr>
        <w:t>requested, and</w:t>
      </w:r>
      <w:proofErr w:type="gramEnd"/>
      <w:r>
        <w:rPr>
          <w:szCs w:val="24"/>
        </w:rPr>
        <w:t xml:space="preserve"> be satisfied that </w:t>
      </w:r>
      <w:r w:rsidR="004B42AC">
        <w:rPr>
          <w:szCs w:val="24"/>
        </w:rPr>
        <w:t xml:space="preserve">this information </w:t>
      </w:r>
      <w:r>
        <w:rPr>
          <w:szCs w:val="24"/>
        </w:rPr>
        <w:t>is or will soon be publicly available. If there is any lack of clarity about what has been requested</w:t>
      </w:r>
      <w:r w:rsidR="004B42AC">
        <w:rPr>
          <w:szCs w:val="24"/>
        </w:rPr>
        <w:t>,</w:t>
      </w:r>
      <w:r>
        <w:rPr>
          <w:szCs w:val="24"/>
        </w:rPr>
        <w:t xml:space="preserve"> </w:t>
      </w:r>
      <w:r w:rsidR="00EC7100">
        <w:rPr>
          <w:szCs w:val="24"/>
        </w:rPr>
        <w:t>the agency</w:t>
      </w:r>
      <w:r>
        <w:rPr>
          <w:szCs w:val="24"/>
        </w:rPr>
        <w:t xml:space="preserve"> should consult the requester.</w:t>
      </w:r>
    </w:p>
    <w:p w14:paraId="0D466766" w14:textId="77777777" w:rsidR="00647287" w:rsidRDefault="00B911DD" w:rsidP="0061043A">
      <w:pPr>
        <w:pStyle w:val="BodyText"/>
        <w:rPr>
          <w:szCs w:val="24"/>
        </w:rPr>
      </w:pPr>
      <w:r>
        <w:rPr>
          <w:szCs w:val="24"/>
        </w:rPr>
        <w:t xml:space="preserve">If only some of the information requested is or will soon be publicly available, then a partial refusal may be justified. However, a decision on the remaining information that is not publicly available, or </w:t>
      </w:r>
      <w:r w:rsidR="004B42AC">
        <w:rPr>
          <w:szCs w:val="24"/>
        </w:rPr>
        <w:t xml:space="preserve">is </w:t>
      </w:r>
      <w:r>
        <w:rPr>
          <w:szCs w:val="24"/>
        </w:rPr>
        <w:t>not intended to be made publicly available</w:t>
      </w:r>
      <w:r w:rsidR="004B42AC">
        <w:rPr>
          <w:szCs w:val="24"/>
        </w:rPr>
        <w:t>,</w:t>
      </w:r>
      <w:r>
        <w:rPr>
          <w:szCs w:val="24"/>
        </w:rPr>
        <w:t xml:space="preserve"> must be made. </w:t>
      </w:r>
    </w:p>
    <w:p w14:paraId="60F95F70" w14:textId="77777777" w:rsidR="00AB23B8" w:rsidRDefault="00663BE1" w:rsidP="0061043A">
      <w:pPr>
        <w:pStyle w:val="BodyText"/>
        <w:rPr>
          <w:szCs w:val="24"/>
        </w:rPr>
      </w:pPr>
      <w:r>
        <w:rPr>
          <w:szCs w:val="24"/>
        </w:rPr>
        <w:t>Agencies cannot rely on section 18(d) if the publicly available information is different to what has been r</w:t>
      </w:r>
      <w:r w:rsidR="00EC7100">
        <w:rPr>
          <w:szCs w:val="24"/>
        </w:rPr>
        <w:t>equested, even if it is related;</w:t>
      </w:r>
      <w:r>
        <w:rPr>
          <w:szCs w:val="24"/>
        </w:rPr>
        <w:t xml:space="preserve"> or if it is in a different format.</w:t>
      </w:r>
      <w:r w:rsidR="009B0C44">
        <w:rPr>
          <w:szCs w:val="24"/>
        </w:rPr>
        <w:t xml:space="preserve"> </w:t>
      </w:r>
      <w:r w:rsidR="00AB23B8">
        <w:rPr>
          <w:szCs w:val="24"/>
        </w:rPr>
        <w:t>For example:</w:t>
      </w:r>
    </w:p>
    <w:p w14:paraId="59CF2C0B" w14:textId="77777777" w:rsidR="00AB23B8" w:rsidRDefault="00AB23B8" w:rsidP="00AB23B8">
      <w:pPr>
        <w:pStyle w:val="Bullet1"/>
      </w:pPr>
      <w:r>
        <w:t>I</w:t>
      </w:r>
      <w:r w:rsidR="009B0C44">
        <w:t xml:space="preserve">n </w:t>
      </w:r>
      <w:r w:rsidR="007A59E6">
        <w:t xml:space="preserve">case </w:t>
      </w:r>
      <w:hyperlink w:anchor="case345580" w:history="1">
        <w:r w:rsidR="009B0C44" w:rsidRPr="009B0C44">
          <w:rPr>
            <w:rStyle w:val="Hyperlink"/>
          </w:rPr>
          <w:t>345580</w:t>
        </w:r>
      </w:hyperlink>
      <w:r w:rsidR="009B0C44">
        <w:t xml:space="preserve">, the Ombudsman found that correspondence which summarised a court judgment was not publicly available just because the court judgment was. </w:t>
      </w:r>
    </w:p>
    <w:p w14:paraId="7BD99276" w14:textId="77777777" w:rsidR="00AB23B8" w:rsidRDefault="009B0C44" w:rsidP="00AB23B8">
      <w:pPr>
        <w:pStyle w:val="Bullet1"/>
      </w:pPr>
      <w:r>
        <w:t>In</w:t>
      </w:r>
      <w:r w:rsidRPr="009B0C44">
        <w:t xml:space="preserve"> </w:t>
      </w:r>
      <w:r w:rsidR="007A59E6">
        <w:t xml:space="preserve">case </w:t>
      </w:r>
      <w:hyperlink w:anchor="caseA12938" w:history="1">
        <w:r w:rsidRPr="009B0C44">
          <w:rPr>
            <w:rStyle w:val="Hyperlink"/>
            <w:szCs w:val="24"/>
          </w:rPr>
          <w:t>A12938</w:t>
        </w:r>
      </w:hyperlink>
      <w:r>
        <w:t xml:space="preserve">, the Ombudsman found that video footage of a meeting was not publicly available just because the minutes of that meeting were. </w:t>
      </w:r>
    </w:p>
    <w:p w14:paraId="64D4AB5B" w14:textId="77777777" w:rsidR="004B42AC" w:rsidRDefault="00AB23B8" w:rsidP="007A59E6">
      <w:pPr>
        <w:pStyle w:val="Bullet1"/>
      </w:pPr>
      <w:r>
        <w:t>In</w:t>
      </w:r>
      <w:r w:rsidR="007A59E6">
        <w:t xml:space="preserve"> cases </w:t>
      </w:r>
      <w:hyperlink w:anchor="caseW47113" w:history="1">
        <w:r w:rsidR="007A59E6" w:rsidRPr="008B2378">
          <w:rPr>
            <w:rStyle w:val="Hyperlink"/>
          </w:rPr>
          <w:t>W37113</w:t>
        </w:r>
      </w:hyperlink>
      <w:r w:rsidR="007A59E6">
        <w:t xml:space="preserve"> and</w:t>
      </w:r>
      <w:r>
        <w:t xml:space="preserve"> </w:t>
      </w:r>
      <w:hyperlink w:anchor="case175682" w:history="1">
        <w:r w:rsidRPr="00AB23B8">
          <w:rPr>
            <w:rStyle w:val="Hyperlink"/>
            <w:szCs w:val="24"/>
          </w:rPr>
          <w:t>175682</w:t>
        </w:r>
      </w:hyperlink>
      <w:r>
        <w:t xml:space="preserve">, </w:t>
      </w:r>
      <w:r w:rsidR="000E575D">
        <w:t>request</w:t>
      </w:r>
      <w:r w:rsidR="00F321FF">
        <w:t>s</w:t>
      </w:r>
      <w:r w:rsidR="000E575D">
        <w:t xml:space="preserve"> for</w:t>
      </w:r>
      <w:r w:rsidR="00764607">
        <w:t xml:space="preserve"> </w:t>
      </w:r>
      <w:r w:rsidR="007A59E6">
        <w:t xml:space="preserve">information in electronic form could not be refused because </w:t>
      </w:r>
      <w:r w:rsidR="000E575D">
        <w:t>hard cop</w:t>
      </w:r>
      <w:r w:rsidR="00F321FF">
        <w:t>ies</w:t>
      </w:r>
      <w:r w:rsidR="000E575D">
        <w:t xml:space="preserve"> </w:t>
      </w:r>
      <w:r w:rsidR="00F321FF">
        <w:t>were</w:t>
      </w:r>
      <w:r w:rsidR="000E575D">
        <w:t xml:space="preserve"> publicly available.</w:t>
      </w:r>
    </w:p>
    <w:p w14:paraId="4DBEB0E1" w14:textId="77777777" w:rsidR="00D34C6B" w:rsidRDefault="00AB23B8" w:rsidP="00EC7100">
      <w:pPr>
        <w:pStyle w:val="Bullet1"/>
      </w:pPr>
      <w:r>
        <w:t>In</w:t>
      </w:r>
      <w:r w:rsidR="007A59E6">
        <w:t xml:space="preserve"> case</w:t>
      </w:r>
      <w:r>
        <w:t xml:space="preserve"> </w:t>
      </w:r>
      <w:hyperlink w:anchor="case413631" w:history="1">
        <w:r w:rsidR="000E575D" w:rsidRPr="000E575D">
          <w:rPr>
            <w:rStyle w:val="Hyperlink"/>
          </w:rPr>
          <w:t>413631</w:t>
        </w:r>
      </w:hyperlink>
      <w:r w:rsidR="000E575D">
        <w:t>, a request for a copy of the Teachers Register in CSV format could not be refused because the register was publicly available online.</w:t>
      </w:r>
    </w:p>
    <w:p w14:paraId="27947404" w14:textId="77777777" w:rsidR="003F6369" w:rsidRDefault="00DB29A4" w:rsidP="00E050DC">
      <w:pPr>
        <w:pStyle w:val="Heading2"/>
      </w:pPr>
      <w:bookmarkStart w:id="8" w:name="_Public_availability"/>
      <w:bookmarkStart w:id="9" w:name="_Toc230790001"/>
      <w:bookmarkEnd w:id="8"/>
      <w:r>
        <w:t>Public</w:t>
      </w:r>
      <w:r w:rsidR="003F6369">
        <w:t xml:space="preserve"> availab</w:t>
      </w:r>
      <w:r>
        <w:t>ility</w:t>
      </w:r>
      <w:bookmarkEnd w:id="9"/>
    </w:p>
    <w:p w14:paraId="053393D9" w14:textId="77777777" w:rsidR="00DD2EB1" w:rsidRDefault="00DD2EB1" w:rsidP="00EC7100">
      <w:pPr>
        <w:pStyle w:val="BodyText"/>
      </w:pPr>
      <w:r>
        <w:t xml:space="preserve">Publicly available means available to the </w:t>
      </w:r>
      <w:proofErr w:type="gramStart"/>
      <w:r>
        <w:t>general public</w:t>
      </w:r>
      <w:proofErr w:type="gramEnd"/>
      <w:r>
        <w:t xml:space="preserve">. Subject to the provisos discussed immediately below (see </w:t>
      </w:r>
      <w:hyperlink w:anchor="_Reasonableness_of_reliance" w:history="1">
        <w:r w:rsidRPr="00F10318">
          <w:rPr>
            <w:rStyle w:val="HyperlinkSourceTextReference"/>
          </w:rPr>
          <w:t>Reasonableness of reliance on section 18(d)</w:t>
        </w:r>
      </w:hyperlink>
      <w:r>
        <w:t>)</w:t>
      </w:r>
      <w:r w:rsidR="009E7F52">
        <w:t>, information</w:t>
      </w:r>
      <w:r>
        <w:t xml:space="preserve"> will be publicly available if:</w:t>
      </w:r>
    </w:p>
    <w:p w14:paraId="26BBAFDE" w14:textId="77777777" w:rsidR="00DD2EB1" w:rsidRDefault="00DD2EB1" w:rsidP="00EC7100">
      <w:pPr>
        <w:pStyle w:val="Bullet1"/>
      </w:pPr>
      <w:r>
        <w:t xml:space="preserve">it is freely available on a </w:t>
      </w:r>
      <w:proofErr w:type="gramStart"/>
      <w:r>
        <w:t>website;</w:t>
      </w:r>
      <w:proofErr w:type="gramEnd"/>
    </w:p>
    <w:p w14:paraId="0956AECB" w14:textId="77777777" w:rsidR="00DD2EB1" w:rsidRDefault="00DD2EB1" w:rsidP="00EC7100">
      <w:pPr>
        <w:pStyle w:val="Bullet1"/>
      </w:pPr>
      <w:r>
        <w:t>it is available for purchase</w:t>
      </w:r>
      <w:r w:rsidR="00454261">
        <w:t xml:space="preserve"> (see cases </w:t>
      </w:r>
      <w:hyperlink w:anchor="case177600" w:history="1">
        <w:r w:rsidR="00454261" w:rsidRPr="007961E8">
          <w:rPr>
            <w:rStyle w:val="Hyperlink"/>
          </w:rPr>
          <w:t>177600</w:t>
        </w:r>
      </w:hyperlink>
      <w:r w:rsidR="00454261">
        <w:t xml:space="preserve"> and </w:t>
      </w:r>
      <w:hyperlink w:anchor="case305527" w:history="1">
        <w:r w:rsidR="00454261" w:rsidRPr="007961E8">
          <w:rPr>
            <w:rStyle w:val="Hyperlink"/>
          </w:rPr>
          <w:t>305527</w:t>
        </w:r>
      </w:hyperlink>
      <w:proofErr w:type="gramStart"/>
      <w:r w:rsidR="00454261">
        <w:t>)</w:t>
      </w:r>
      <w:r>
        <w:t>;</w:t>
      </w:r>
      <w:proofErr w:type="gramEnd"/>
    </w:p>
    <w:p w14:paraId="5D7C5EBC" w14:textId="77777777" w:rsidR="0061043A" w:rsidRDefault="00DD2EB1" w:rsidP="00EC7100">
      <w:pPr>
        <w:pStyle w:val="Bullet1"/>
      </w:pPr>
      <w:r>
        <w:t>it is available in a public library;</w:t>
      </w:r>
      <w:r w:rsidR="009E7F52">
        <w:t xml:space="preserve"> or</w:t>
      </w:r>
    </w:p>
    <w:p w14:paraId="074B4CF5" w14:textId="77777777" w:rsidR="00DD2EB1" w:rsidRDefault="009E7F52" w:rsidP="00EC7100">
      <w:pPr>
        <w:pStyle w:val="Bullet1"/>
      </w:pPr>
      <w:r>
        <w:t xml:space="preserve">it is available for public inspection, for example, in open access records held by Archives New Zealand (see case </w:t>
      </w:r>
      <w:hyperlink w:anchor="case343431" w:history="1">
        <w:r w:rsidRPr="009E7F52">
          <w:rPr>
            <w:rStyle w:val="Hyperlink"/>
          </w:rPr>
          <w:t>343431</w:t>
        </w:r>
      </w:hyperlink>
      <w:r>
        <w:t>).</w:t>
      </w:r>
      <w:r w:rsidR="00D52FE3">
        <w:rPr>
          <w:rStyle w:val="FootnoteReference"/>
        </w:rPr>
        <w:footnoteReference w:id="7"/>
      </w:r>
    </w:p>
    <w:p w14:paraId="6ED413BD" w14:textId="77777777" w:rsidR="003F6369" w:rsidRDefault="00DD2EB1" w:rsidP="00E050DC">
      <w:pPr>
        <w:pStyle w:val="Heading2"/>
      </w:pPr>
      <w:bookmarkStart w:id="10" w:name="_Reasonableness_of_reliance"/>
      <w:bookmarkStart w:id="11" w:name="_Toc230790002"/>
      <w:bookmarkEnd w:id="10"/>
      <w:r>
        <w:t>Reasonableness of reliance on section 18(d)</w:t>
      </w:r>
      <w:bookmarkEnd w:id="11"/>
      <w:r>
        <w:t xml:space="preserve"> </w:t>
      </w:r>
    </w:p>
    <w:p w14:paraId="59063777" w14:textId="77777777" w:rsidR="00DC3344" w:rsidRDefault="00DF77DD" w:rsidP="00EC7100">
      <w:pPr>
        <w:pStyle w:val="BodyText"/>
      </w:pPr>
      <w:r>
        <w:t>Resort to section 18(d) should not undermine the purpose</w:t>
      </w:r>
      <w:r w:rsidR="00BB3A43">
        <w:t>s</w:t>
      </w:r>
      <w:r>
        <w:t xml:space="preserve"> of the </w:t>
      </w:r>
      <w:proofErr w:type="spellStart"/>
      <w:r>
        <w:t>OIA</w:t>
      </w:r>
      <w:proofErr w:type="spellEnd"/>
      <w:r>
        <w:t xml:space="preserve">, </w:t>
      </w:r>
      <w:r w:rsidR="00BB3A43">
        <w:t xml:space="preserve">one of </w:t>
      </w:r>
      <w:r>
        <w:t xml:space="preserve">which is to increase the availability of official information. </w:t>
      </w:r>
      <w:r w:rsidR="008B0A19">
        <w:t xml:space="preserve">Section 18(d) gives agencies a </w:t>
      </w:r>
      <w:r w:rsidR="008B0A19" w:rsidRPr="009766D2">
        <w:rPr>
          <w:rStyle w:val="Emphasis"/>
        </w:rPr>
        <w:t>discretion</w:t>
      </w:r>
      <w:r w:rsidR="008B0A19">
        <w:t xml:space="preserve"> to refuse a request for information that is or will soon be publicly available. Like any discretion, it </w:t>
      </w:r>
      <w:r w:rsidR="00F10318">
        <w:t>must</w:t>
      </w:r>
      <w:r w:rsidR="008B0A19">
        <w:t xml:space="preserve"> be exercised </w:t>
      </w:r>
      <w:r w:rsidR="008B0A19" w:rsidRPr="00E84469">
        <w:rPr>
          <w:rStyle w:val="Emphasis"/>
        </w:rPr>
        <w:t>reasonably</w:t>
      </w:r>
      <w:r w:rsidR="008B0A19">
        <w:t xml:space="preserve">. </w:t>
      </w:r>
      <w:r w:rsidR="007F0228">
        <w:t xml:space="preserve">This means that agencies </w:t>
      </w:r>
      <w:r w:rsidR="00F10318">
        <w:t>should</w:t>
      </w:r>
      <w:r w:rsidR="007F0228">
        <w:t xml:space="preserve"> </w:t>
      </w:r>
      <w:proofErr w:type="gramStart"/>
      <w:r w:rsidR="007F0228">
        <w:t>take into account</w:t>
      </w:r>
      <w:proofErr w:type="gramEnd"/>
      <w:r w:rsidR="007F0228">
        <w:t xml:space="preserve"> all the relevant circumstances of the request. </w:t>
      </w:r>
    </w:p>
    <w:p w14:paraId="5E8AA92B" w14:textId="77777777" w:rsidR="007F0228" w:rsidRDefault="00A449A4" w:rsidP="00EC7100">
      <w:pPr>
        <w:pStyle w:val="BodyText"/>
      </w:pPr>
      <w:r>
        <w:t>R</w:t>
      </w:r>
      <w:r w:rsidR="007F0228">
        <w:t xml:space="preserve">elevant circumstances </w:t>
      </w:r>
      <w:r w:rsidR="00DC3344">
        <w:t xml:space="preserve">when considering whether to refuse a request because the information </w:t>
      </w:r>
      <w:r w:rsidR="00DC3344" w:rsidRPr="002F134C">
        <w:rPr>
          <w:rStyle w:val="Emphasis"/>
        </w:rPr>
        <w:t>is publicly available</w:t>
      </w:r>
      <w:r w:rsidR="007F0228">
        <w:t xml:space="preserve"> include:</w:t>
      </w:r>
    </w:p>
    <w:p w14:paraId="0888C7C4" w14:textId="77777777" w:rsidR="00A449A4" w:rsidRDefault="00A449A4" w:rsidP="00EC7100">
      <w:pPr>
        <w:pStyle w:val="Bullet1"/>
      </w:pPr>
      <w:r>
        <w:t xml:space="preserve">Whether </w:t>
      </w:r>
      <w:r w:rsidR="000F1C60">
        <w:t>the</w:t>
      </w:r>
      <w:r>
        <w:t xml:space="preserve"> information is reasonably accessible to the requester. It may not be reasonable to rely on section 18(d) if the requester cannot access the information, for example, because they don’t have internet access</w:t>
      </w:r>
      <w:r w:rsidR="009766D2">
        <w:t xml:space="preserve"> (see case </w:t>
      </w:r>
      <w:hyperlink w:anchor="case444073" w:history="1">
        <w:r w:rsidR="009766D2" w:rsidRPr="009766D2">
          <w:rPr>
            <w:rStyle w:val="Hyperlink"/>
          </w:rPr>
          <w:t>444073</w:t>
        </w:r>
      </w:hyperlink>
      <w:r w:rsidR="009766D2">
        <w:t>)</w:t>
      </w:r>
      <w:r>
        <w:t>, or</w:t>
      </w:r>
      <w:r w:rsidR="00E84469">
        <w:t xml:space="preserve"> because</w:t>
      </w:r>
      <w:r>
        <w:t xml:space="preserve"> </w:t>
      </w:r>
      <w:r w:rsidR="00E84469">
        <w:t>distance or disability prevents them from exercising a right of inspection, or because</w:t>
      </w:r>
      <w:r w:rsidR="009766D2">
        <w:t xml:space="preserve"> the price of access is patently excessive.</w:t>
      </w:r>
      <w:r>
        <w:t xml:space="preserve"> </w:t>
      </w:r>
    </w:p>
    <w:p w14:paraId="02646853" w14:textId="77777777" w:rsidR="00DC3344" w:rsidRDefault="00E84469" w:rsidP="00EC7100">
      <w:pPr>
        <w:pStyle w:val="Bullet1"/>
      </w:pPr>
      <w:r>
        <w:t xml:space="preserve">Whether </w:t>
      </w:r>
      <w:r w:rsidR="00D34C6B">
        <w:t>it would be administratively burdensome</w:t>
      </w:r>
      <w:r>
        <w:t xml:space="preserve"> </w:t>
      </w:r>
      <w:r w:rsidR="000D7809">
        <w:t>for</w:t>
      </w:r>
      <w:r w:rsidR="00D34C6B">
        <w:t xml:space="preserve"> the agency to supply the publicly available information to the requester</w:t>
      </w:r>
      <w:r>
        <w:t xml:space="preserve">. This was a relevant consideration in </w:t>
      </w:r>
      <w:r w:rsidR="00D34C6B">
        <w:t xml:space="preserve">case </w:t>
      </w:r>
      <w:hyperlink w:anchor="case444073" w:history="1">
        <w:r w:rsidR="00D34C6B" w:rsidRPr="009766D2">
          <w:rPr>
            <w:rStyle w:val="Hyperlink"/>
          </w:rPr>
          <w:t>444073</w:t>
        </w:r>
      </w:hyperlink>
      <w:r>
        <w:t>, where the Ombudsman found that the</w:t>
      </w:r>
      <w:r w:rsidRPr="00E84469">
        <w:t xml:space="preserve"> information at issue was not excessive in volume, and it would have imposed little additional administrative burden</w:t>
      </w:r>
      <w:r>
        <w:t xml:space="preserve"> on the agency</w:t>
      </w:r>
      <w:r w:rsidR="000D7809">
        <w:t xml:space="preserve"> to supply it to the requester</w:t>
      </w:r>
      <w:r w:rsidR="00D34C6B" w:rsidRPr="00E84469">
        <w:t>.</w:t>
      </w:r>
      <w:r w:rsidR="00D34C6B">
        <w:t xml:space="preserve"> </w:t>
      </w:r>
      <w:r>
        <w:t xml:space="preserve">Remember, an agency is able to charge reasonable reproduction costs associated with supplying publicly available information (see our </w:t>
      </w:r>
      <w:hyperlink r:id="rId7" w:history="1">
        <w:r w:rsidRPr="000D7809">
          <w:rPr>
            <w:rStyle w:val="Hyperlink"/>
          </w:rPr>
          <w:t>Charging</w:t>
        </w:r>
      </w:hyperlink>
      <w:r>
        <w:t xml:space="preserve"> guide). </w:t>
      </w:r>
    </w:p>
    <w:p w14:paraId="6102DB84" w14:textId="77777777" w:rsidR="00D34C6B" w:rsidRDefault="00D34C6B" w:rsidP="00D52FE3">
      <w:pPr>
        <w:pStyle w:val="BodyText"/>
        <w:keepNext/>
      </w:pPr>
      <w:r>
        <w:t xml:space="preserve">Relevant circumstances when considering whether </w:t>
      </w:r>
      <w:r w:rsidR="00B6771A">
        <w:t xml:space="preserve">to refuse a request because the </w:t>
      </w:r>
      <w:r>
        <w:t xml:space="preserve">information </w:t>
      </w:r>
      <w:r w:rsidRPr="002F134C">
        <w:t xml:space="preserve">will </w:t>
      </w:r>
      <w:r w:rsidRPr="002F134C">
        <w:rPr>
          <w:rStyle w:val="Emphasis"/>
        </w:rPr>
        <w:t>soon be publicly available</w:t>
      </w:r>
      <w:r>
        <w:t xml:space="preserve"> include:</w:t>
      </w:r>
    </w:p>
    <w:p w14:paraId="45AC4CF8" w14:textId="77777777" w:rsidR="00DC3344" w:rsidRDefault="009766D2" w:rsidP="00D52FE3">
      <w:pPr>
        <w:pStyle w:val="Bullet1"/>
        <w:keepNext/>
      </w:pPr>
      <w:r>
        <w:t>Whether</w:t>
      </w:r>
      <w:r w:rsidR="00DC3344">
        <w:t>, on an objective assessment,</w:t>
      </w:r>
      <w:r>
        <w:t xml:space="preserve"> </w:t>
      </w:r>
      <w:r w:rsidR="00DC3344">
        <w:t xml:space="preserve">the requester needs the information before the planned publication date. Where there is a legitimate reason for urgency—for example, because the requester needs the information to be able to participate in a policy or </w:t>
      </w:r>
      <w:proofErr w:type="gramStart"/>
      <w:r w:rsidR="00DC3344">
        <w:t>decision making</w:t>
      </w:r>
      <w:proofErr w:type="gramEnd"/>
      <w:r w:rsidR="00DC3344">
        <w:t xml:space="preserve"> process on an informed basis—it may be unreasonable to delay release until the planned publication date. </w:t>
      </w:r>
    </w:p>
    <w:p w14:paraId="7E1193CA" w14:textId="77777777" w:rsidR="009E7F52" w:rsidRDefault="00D34C6B" w:rsidP="00EC7100">
      <w:pPr>
        <w:pStyle w:val="Bullet1"/>
      </w:pPr>
      <w:r>
        <w:t xml:space="preserve">Whether there is any reason why the information cannot be made available sooner. If there is no reason why it can’t be made available sooner, agencies should consider doing so. If there is still further work to be done to prepare for publication, such as quality-assurance, consultation and approval processes, </w:t>
      </w:r>
      <w:r w:rsidR="00E84469">
        <w:t>delayed release i</w:t>
      </w:r>
      <w:r w:rsidR="0085466A">
        <w:t xml:space="preserve">s more likely to be reasonable, </w:t>
      </w:r>
      <w:r w:rsidR="000D7809">
        <w:t xml:space="preserve">provided </w:t>
      </w:r>
      <w:r w:rsidR="00E84469">
        <w:t>the delay is not undue</w:t>
      </w:r>
      <w:r w:rsidR="0085466A">
        <w:t xml:space="preserve">—see cases </w:t>
      </w:r>
      <w:hyperlink w:anchor="case466794" w:history="1">
        <w:r w:rsidR="0085466A" w:rsidRPr="0085466A">
          <w:rPr>
            <w:rStyle w:val="Hyperlink"/>
          </w:rPr>
          <w:t>466794 and 467630</w:t>
        </w:r>
      </w:hyperlink>
      <w:r w:rsidR="00E84469">
        <w:t xml:space="preserve">. </w:t>
      </w:r>
    </w:p>
    <w:p w14:paraId="035FBA73" w14:textId="77777777" w:rsidR="00A703F5" w:rsidRPr="000D7809" w:rsidRDefault="00A703F5" w:rsidP="00A703F5">
      <w:pPr>
        <w:pStyle w:val="BodyText"/>
      </w:pPr>
      <w:r>
        <w:t>If a complaint is made to the Ombudsman, they may conclude that although the information is or will soon be publicly available, it was nevertheless unreasonable for the agency to refuse the request on this basis</w:t>
      </w:r>
      <w:r w:rsidR="002F134C">
        <w:t>.</w:t>
      </w:r>
      <w:r w:rsidR="00AC5454">
        <w:rPr>
          <w:rStyle w:val="FootnoteReference"/>
        </w:rPr>
        <w:footnoteReference w:id="8"/>
      </w:r>
      <w:r w:rsidR="002F134C">
        <w:t xml:space="preserve"> C</w:t>
      </w:r>
      <w:r>
        <w:t xml:space="preserve">ase </w:t>
      </w:r>
      <w:hyperlink w:anchor="case444073" w:history="1">
        <w:r w:rsidRPr="009766D2">
          <w:rPr>
            <w:rStyle w:val="Hyperlink"/>
          </w:rPr>
          <w:t>444073</w:t>
        </w:r>
      </w:hyperlink>
      <w:r>
        <w:t xml:space="preserve"> is an example of where this happened.</w:t>
      </w:r>
    </w:p>
    <w:p w14:paraId="0A80903E" w14:textId="77777777" w:rsidR="002A657C" w:rsidRDefault="002A657C" w:rsidP="002A657C">
      <w:pPr>
        <w:pStyle w:val="Heading1"/>
      </w:pPr>
      <w:bookmarkStart w:id="12" w:name="_Toc230790003"/>
      <w:r>
        <w:t>Information that is publicly available</w:t>
      </w:r>
      <w:bookmarkEnd w:id="12"/>
      <w:r>
        <w:t xml:space="preserve"> </w:t>
      </w:r>
    </w:p>
    <w:p w14:paraId="012A526D" w14:textId="77777777" w:rsidR="0061043A" w:rsidRDefault="002846D8" w:rsidP="00F335B1">
      <w:pPr>
        <w:pStyle w:val="BodyText"/>
      </w:pPr>
      <w:r>
        <w:t xml:space="preserve">Section 18(d) recognises that where the requested information is already publicly available, requesters should generally be able to get it themselves, without recourse to the </w:t>
      </w:r>
      <w:proofErr w:type="spellStart"/>
      <w:r>
        <w:t>OIA</w:t>
      </w:r>
      <w:proofErr w:type="spellEnd"/>
      <w:r>
        <w:t>. This should be clear on the facts of the case</w:t>
      </w:r>
      <w:r w:rsidR="001364B9">
        <w:t xml:space="preserve">. </w:t>
      </w:r>
      <w:r w:rsidR="00BA74C9">
        <w:t xml:space="preserve">When refusing a request on this basis, the agency </w:t>
      </w:r>
      <w:r w:rsidR="00F335B1">
        <w:t xml:space="preserve">must, as a matter of good practice, tell the requester where and how the information can be obtained (see case </w:t>
      </w:r>
      <w:hyperlink w:anchor="case377705" w:history="1">
        <w:r w:rsidR="00F335B1" w:rsidRPr="00F335B1">
          <w:rPr>
            <w:rStyle w:val="Hyperlink"/>
            <w:szCs w:val="24"/>
          </w:rPr>
          <w:t>377705</w:t>
        </w:r>
      </w:hyperlink>
      <w:r w:rsidR="00F335B1">
        <w:rPr>
          <w:szCs w:val="24"/>
        </w:rPr>
        <w:t>)</w:t>
      </w:r>
      <w:r w:rsidR="00F335B1">
        <w:t xml:space="preserve">. </w:t>
      </w:r>
      <w:r w:rsidR="00E13F97">
        <w:t xml:space="preserve">You can use our template </w:t>
      </w:r>
      <w:hyperlink w:anchor="_1._Refusal_of" w:history="1">
        <w:r w:rsidR="00E13F97" w:rsidRPr="00E13F97">
          <w:rPr>
            <w:rStyle w:val="Hyperlink"/>
          </w:rPr>
          <w:t>refusal letter</w:t>
        </w:r>
      </w:hyperlink>
      <w:r w:rsidR="00E13F97">
        <w:t xml:space="preserve"> as a starting point. </w:t>
      </w:r>
    </w:p>
    <w:p w14:paraId="4FA8C00A" w14:textId="77777777" w:rsidR="002A657C" w:rsidRDefault="002A657C" w:rsidP="002A657C">
      <w:pPr>
        <w:pStyle w:val="Heading1"/>
      </w:pPr>
      <w:bookmarkStart w:id="13" w:name="_Information_that_will"/>
      <w:bookmarkStart w:id="14" w:name="_Toc230790004"/>
      <w:bookmarkEnd w:id="13"/>
      <w:r>
        <w:t>Information that will be publicly available</w:t>
      </w:r>
      <w:r w:rsidR="00D04897">
        <w:t xml:space="preserve"> soon</w:t>
      </w:r>
      <w:bookmarkEnd w:id="14"/>
    </w:p>
    <w:p w14:paraId="17DC326D" w14:textId="77777777" w:rsidR="006E706A" w:rsidRDefault="00DA4124" w:rsidP="00EC7100">
      <w:pPr>
        <w:pStyle w:val="BodyText"/>
      </w:pPr>
      <w:r>
        <w:t xml:space="preserve">Section 18(d) </w:t>
      </w:r>
      <w:r w:rsidR="00AC2F55">
        <w:t xml:space="preserve">also </w:t>
      </w:r>
      <w:r>
        <w:t xml:space="preserve">recognises that agencies may have a plan in place to publish information that is the subject of an </w:t>
      </w:r>
      <w:proofErr w:type="spellStart"/>
      <w:r>
        <w:t>OIA</w:t>
      </w:r>
      <w:proofErr w:type="spellEnd"/>
      <w:r>
        <w:t xml:space="preserve"> request. </w:t>
      </w:r>
      <w:r w:rsidR="00AC2F55">
        <w:t>It enables agencies to refuse such requests</w:t>
      </w:r>
      <w:r w:rsidR="002846D8">
        <w:t xml:space="preserve">, provided the publication is </w:t>
      </w:r>
      <w:r w:rsidR="002846D8" w:rsidRPr="002846D8">
        <w:rPr>
          <w:i/>
        </w:rPr>
        <w:t>‘soon’</w:t>
      </w:r>
      <w:r w:rsidR="002846D8">
        <w:t xml:space="preserve">. </w:t>
      </w:r>
    </w:p>
    <w:p w14:paraId="75874906" w14:textId="77777777" w:rsidR="002846D8" w:rsidRDefault="002846D8" w:rsidP="00EC7100">
      <w:pPr>
        <w:pStyle w:val="BodyText"/>
      </w:pPr>
      <w:r>
        <w:t xml:space="preserve">The Committee that recommended the enactment of the </w:t>
      </w:r>
      <w:proofErr w:type="spellStart"/>
      <w:r>
        <w:t>OIA</w:t>
      </w:r>
      <w:proofErr w:type="spellEnd"/>
      <w:r>
        <w:t xml:space="preserve"> gave</w:t>
      </w:r>
      <w:r w:rsidR="006E706A">
        <w:t xml:space="preserve">, </w:t>
      </w:r>
      <w:r>
        <w:t>as examples of when this situation might a</w:t>
      </w:r>
      <w:r w:rsidR="006E706A">
        <w:t xml:space="preserve">rise, </w:t>
      </w:r>
      <w:r>
        <w:t>a speech not yet delivered, or a press release not yet made.</w:t>
      </w:r>
      <w:r>
        <w:rPr>
          <w:rStyle w:val="FootnoteReference"/>
        </w:rPr>
        <w:footnoteReference w:id="9"/>
      </w:r>
      <w:r>
        <w:t xml:space="preserve"> However,</w:t>
      </w:r>
      <w:r w:rsidR="00AC2F55">
        <w:t xml:space="preserve"> it</w:t>
      </w:r>
      <w:r>
        <w:t xml:space="preserve"> </w:t>
      </w:r>
      <w:r w:rsidR="00AC2F55">
        <w:t>can arise in any situation where there is a planned publication process, including where information is routinely published at regular intervals, as with annual or quarterly reports or minutes of scheduled meetings</w:t>
      </w:r>
      <w:r w:rsidR="004F2B81">
        <w:t>, and the publication is occurring ‘soon’</w:t>
      </w:r>
      <w:r w:rsidR="00AC2F55">
        <w:t>.</w:t>
      </w:r>
    </w:p>
    <w:p w14:paraId="3D362297" w14:textId="6B14E671" w:rsidR="00832D37" w:rsidRDefault="00832D37" w:rsidP="00EC7100">
      <w:pPr>
        <w:pStyle w:val="BodyText"/>
      </w:pPr>
      <w:r>
        <w:t xml:space="preserve">‘Soon’ is generally defined as </w:t>
      </w:r>
      <w:r w:rsidRPr="00333827">
        <w:rPr>
          <w:rStyle w:val="Italics"/>
        </w:rPr>
        <w:t>within or after a short time</w:t>
      </w:r>
      <w:r>
        <w:t>.</w:t>
      </w:r>
      <w:r>
        <w:rPr>
          <w:rStyle w:val="FootnoteReference"/>
        </w:rPr>
        <w:footnoteReference w:id="10"/>
      </w:r>
      <w:r>
        <w:t xml:space="preserve"> Successive Ombudsmen have considered that the term ‘soon’ is relative and what is considered soon will vary according to the </w:t>
      </w:r>
      <w:proofErr w:type="gramStart"/>
      <w:r>
        <w:t>particular context</w:t>
      </w:r>
      <w:proofErr w:type="gramEnd"/>
      <w:r>
        <w:t xml:space="preserve"> of the decision.</w:t>
      </w:r>
    </w:p>
    <w:p w14:paraId="62096BAE" w14:textId="77777777" w:rsidR="00AC2F55" w:rsidRDefault="00AC2F55" w:rsidP="00EC7100">
      <w:pPr>
        <w:pStyle w:val="BodyText"/>
      </w:pPr>
      <w:r>
        <w:t xml:space="preserve">To justify refusal, the agency must be </w:t>
      </w:r>
      <w:r w:rsidRPr="00AC2F55">
        <w:rPr>
          <w:rStyle w:val="Emphasis"/>
        </w:rPr>
        <w:t>reasonably certain</w:t>
      </w:r>
      <w:r>
        <w:t xml:space="preserve"> that the requested information will</w:t>
      </w:r>
      <w:r w:rsidR="008F46DD">
        <w:t xml:space="preserve"> </w:t>
      </w:r>
      <w:r>
        <w:t xml:space="preserve">be published </w:t>
      </w:r>
      <w:proofErr w:type="gramStart"/>
      <w:r>
        <w:t xml:space="preserve">in the </w:t>
      </w:r>
      <w:r w:rsidRPr="00AC2F55">
        <w:rPr>
          <w:rStyle w:val="Emphasis"/>
        </w:rPr>
        <w:t>near future</w:t>
      </w:r>
      <w:proofErr w:type="gramEnd"/>
      <w:r w:rsidR="00741AA9">
        <w:rPr>
          <w:rStyle w:val="Emphasis"/>
        </w:rPr>
        <w:t xml:space="preserve"> (and be able to articulate when and where)</w:t>
      </w:r>
      <w:r>
        <w:t>.</w:t>
      </w:r>
      <w:r w:rsidR="008D155B">
        <w:rPr>
          <w:rStyle w:val="FootnoteReference"/>
        </w:rPr>
        <w:footnoteReference w:id="11"/>
      </w:r>
      <w:r>
        <w:t xml:space="preserve"> </w:t>
      </w:r>
    </w:p>
    <w:p w14:paraId="1E74DFD5" w14:textId="77777777" w:rsidR="00376318" w:rsidRDefault="00376318" w:rsidP="00EC7100">
      <w:pPr>
        <w:pStyle w:val="BodyText"/>
      </w:pPr>
      <w:r>
        <w:t xml:space="preserve">Refusal is </w:t>
      </w:r>
      <w:r w:rsidR="006E706A">
        <w:t xml:space="preserve">also </w:t>
      </w:r>
      <w:r>
        <w:t>more likely to be justified if there is a pre-existing decision to publish the information</w:t>
      </w:r>
      <w:r w:rsidR="006E706A">
        <w:t>—meaning</w:t>
      </w:r>
      <w:r w:rsidR="00E73C4C">
        <w:t xml:space="preserve"> that</w:t>
      </w:r>
      <w:r w:rsidR="006E706A">
        <w:t xml:space="preserve"> there is an intention to publish </w:t>
      </w:r>
      <w:r w:rsidR="006E706A" w:rsidRPr="006E706A">
        <w:rPr>
          <w:rStyle w:val="Emphasis"/>
        </w:rPr>
        <w:t>before the request is received</w:t>
      </w:r>
      <w:r w:rsidR="006E706A">
        <w:t xml:space="preserve">, and not just because it was received. While it is good practice for agencies to publish information released in response to an </w:t>
      </w:r>
      <w:proofErr w:type="spellStart"/>
      <w:r w:rsidR="006E706A">
        <w:t>OIA</w:t>
      </w:r>
      <w:proofErr w:type="spellEnd"/>
      <w:r w:rsidR="006E706A">
        <w:t xml:space="preserve"> request, this should not delay release of the information to the requester. </w:t>
      </w:r>
    </w:p>
    <w:p w14:paraId="04BBBE42" w14:textId="77777777" w:rsidR="006E706A" w:rsidRDefault="00E73C4C" w:rsidP="00EC7100">
      <w:pPr>
        <w:pStyle w:val="BodyText"/>
      </w:pPr>
      <w:r>
        <w:t xml:space="preserve">As a matter of good practice, agencies should provide the precise or approximate </w:t>
      </w:r>
      <w:r w:rsidR="002112EB">
        <w:t>date</w:t>
      </w:r>
      <w:r>
        <w:t xml:space="preserve"> by </w:t>
      </w:r>
      <w:r w:rsidR="0056193A">
        <w:t>which</w:t>
      </w:r>
      <w:r>
        <w:t xml:space="preserve"> the information will be published. A failure to do so </w:t>
      </w:r>
      <w:r w:rsidR="00342270">
        <w:t>may</w:t>
      </w:r>
      <w:r>
        <w:t xml:space="preserve"> suggest that there is no reasonable certainty that the information will be published </w:t>
      </w:r>
      <w:proofErr w:type="gramStart"/>
      <w:r>
        <w:t>in the near future</w:t>
      </w:r>
      <w:proofErr w:type="gramEnd"/>
      <w:r>
        <w:t xml:space="preserve">. However, there is no legal requirement under the </w:t>
      </w:r>
      <w:proofErr w:type="spellStart"/>
      <w:r>
        <w:t>OIA</w:t>
      </w:r>
      <w:proofErr w:type="spellEnd"/>
      <w:r>
        <w:t xml:space="preserve"> to provide the planned publication date, and a failure to do so will not mean that section 18(d) does not apply (see cases </w:t>
      </w:r>
      <w:hyperlink w:anchor="case466794" w:history="1">
        <w:r w:rsidRPr="00E73C4C">
          <w:rPr>
            <w:rStyle w:val="Hyperlink"/>
          </w:rPr>
          <w:t>466794 and 467630</w:t>
        </w:r>
      </w:hyperlink>
      <w:r>
        <w:t>).</w:t>
      </w:r>
    </w:p>
    <w:p w14:paraId="317E8F38" w14:textId="77777777" w:rsidR="002112EB" w:rsidRDefault="002112EB" w:rsidP="00EC7100">
      <w:pPr>
        <w:pStyle w:val="BodyText"/>
      </w:pPr>
      <w:proofErr w:type="gramStart"/>
      <w:r>
        <w:t>Also</w:t>
      </w:r>
      <w:proofErr w:type="gramEnd"/>
      <w:r>
        <w:t xml:space="preserve"> as a matter of good practice, rather than a legal requirement, agencies should consider letting the requester know when the information has been published, and where they can access it.</w:t>
      </w:r>
    </w:p>
    <w:p w14:paraId="5F491562" w14:textId="77777777" w:rsidR="00E13F97" w:rsidRDefault="00E13F97" w:rsidP="00EC7100">
      <w:pPr>
        <w:pStyle w:val="BodyText"/>
      </w:pPr>
      <w:r>
        <w:t xml:space="preserve">You will find template letters, including a </w:t>
      </w:r>
      <w:hyperlink w:anchor="_2._Refusal_of" w:history="1">
        <w:r w:rsidRPr="00E13F97">
          <w:rPr>
            <w:rStyle w:val="Hyperlink"/>
          </w:rPr>
          <w:t>refusal letter</w:t>
        </w:r>
      </w:hyperlink>
      <w:r>
        <w:t xml:space="preserve">, and a letter advising that </w:t>
      </w:r>
      <w:hyperlink w:anchor="_3._Advice_that" w:history="1">
        <w:r w:rsidRPr="00E13F97">
          <w:rPr>
            <w:rStyle w:val="Hyperlink"/>
          </w:rPr>
          <w:t>information has been published</w:t>
        </w:r>
      </w:hyperlink>
      <w:r>
        <w:t xml:space="preserve"> in Appendix 2.</w:t>
      </w:r>
    </w:p>
    <w:p w14:paraId="11C639BB" w14:textId="77777777" w:rsidR="0042731A" w:rsidRDefault="0042731A" w:rsidP="0042731A">
      <w:pPr>
        <w:pStyle w:val="Heading2"/>
      </w:pPr>
      <w:bookmarkStart w:id="15" w:name="_Unanticipated_delays_1"/>
      <w:bookmarkStart w:id="16" w:name="_Toc507744589"/>
      <w:bookmarkStart w:id="17" w:name="_Toc230790005"/>
      <w:bookmarkEnd w:id="15"/>
      <w:r>
        <w:t>Unanticipated delays</w:t>
      </w:r>
      <w:bookmarkEnd w:id="16"/>
      <w:bookmarkEnd w:id="17"/>
      <w:r>
        <w:t xml:space="preserve"> </w:t>
      </w:r>
    </w:p>
    <w:p w14:paraId="7CA16856" w14:textId="77777777" w:rsidR="0042731A" w:rsidRDefault="0042731A" w:rsidP="0042731A">
      <w:pPr>
        <w:pStyle w:val="BodyText"/>
      </w:pPr>
      <w:r>
        <w:t xml:space="preserve">As noted above, agencies should be reasonably certain that the information will be published soon. </w:t>
      </w:r>
    </w:p>
    <w:p w14:paraId="572CAE4A" w14:textId="77777777" w:rsidR="0042731A" w:rsidRDefault="0042731A" w:rsidP="0042731A">
      <w:pPr>
        <w:pStyle w:val="BodyText"/>
      </w:pPr>
      <w:r>
        <w:t xml:space="preserve">It is important to consider what realistically needs to be done </w:t>
      </w:r>
      <w:proofErr w:type="gramStart"/>
      <w:r>
        <w:t>in order to</w:t>
      </w:r>
      <w:proofErr w:type="gramEnd"/>
      <w:r>
        <w:t xml:space="preserve"> meet the planned publication date. Not all of this will be within an agency’s direct control. However, an agency should consider any </w:t>
      </w:r>
      <w:r w:rsidRPr="008B3269">
        <w:rPr>
          <w:rStyle w:val="Emphasis"/>
        </w:rPr>
        <w:t>reasonably foreseeable</w:t>
      </w:r>
      <w:r>
        <w:t xml:space="preserve"> reasons why the planned publication date might be delayed. In case </w:t>
      </w:r>
      <w:hyperlink w:anchor="case463213" w:history="1">
        <w:r w:rsidRPr="00F8393F">
          <w:rPr>
            <w:rStyle w:val="Hyperlink"/>
          </w:rPr>
          <w:t>463213</w:t>
        </w:r>
      </w:hyperlink>
      <w:r>
        <w:t>, this included the need to obtain ministerial input during an election period.</w:t>
      </w:r>
    </w:p>
    <w:p w14:paraId="6827413F" w14:textId="77777777" w:rsidR="0042731A" w:rsidRDefault="0042731A" w:rsidP="00EC7100">
      <w:pPr>
        <w:pStyle w:val="BodyText"/>
      </w:pPr>
      <w:r>
        <w:t xml:space="preserve">If publication is delayed beyond the date previously advised, it is good practice to contact the requester and explain the reason for the delay and the revised publication date. There is a template letter advising that </w:t>
      </w:r>
      <w:hyperlink w:anchor="_4._Advice_that" w:history="1">
        <w:r w:rsidRPr="00E13F97">
          <w:rPr>
            <w:rStyle w:val="Hyperlink"/>
          </w:rPr>
          <w:t>publication has been delayed</w:t>
        </w:r>
      </w:hyperlink>
      <w:r>
        <w:t xml:space="preserve"> in Appendix 2.</w:t>
      </w:r>
    </w:p>
    <w:p w14:paraId="44FEEB19" w14:textId="77777777" w:rsidR="008D61FC" w:rsidRDefault="008D61FC" w:rsidP="008D61FC">
      <w:pPr>
        <w:pStyle w:val="Heading2"/>
      </w:pPr>
      <w:bookmarkStart w:id="18" w:name="_Toc230790006"/>
      <w:r>
        <w:t>Requests for information about an incomplete process</w:t>
      </w:r>
      <w:bookmarkEnd w:id="18"/>
      <w:r>
        <w:t xml:space="preserve"> </w:t>
      </w:r>
    </w:p>
    <w:p w14:paraId="028DF66D" w14:textId="77777777" w:rsidR="008D61FC" w:rsidRDefault="008D61FC" w:rsidP="008D61FC">
      <w:pPr>
        <w:pStyle w:val="BodyText"/>
      </w:pPr>
      <w:r>
        <w:t xml:space="preserve">Section 18(d) is more likely to apply to requests for information in final or near-final form. When </w:t>
      </w:r>
      <w:proofErr w:type="spellStart"/>
      <w:r>
        <w:t>OIA</w:t>
      </w:r>
      <w:proofErr w:type="spellEnd"/>
      <w:r>
        <w:t xml:space="preserve"> requests are received in the middle of an ongoing process, agencies should identify the specific </w:t>
      </w:r>
      <w:hyperlink w:anchor="_The_requested_information" w:history="1">
        <w:r w:rsidRPr="008D61FC">
          <w:rPr>
            <w:rStyle w:val="Hyperlink"/>
          </w:rPr>
          <w:t>information requested</w:t>
        </w:r>
      </w:hyperlink>
      <w:r>
        <w:t xml:space="preserve">. Does the requester want the final information, or the information that exists at the time? </w:t>
      </w:r>
      <w:r w:rsidR="002D7848">
        <w:t>Consider the wording of the request, and if that is not clear, consult the requester.</w:t>
      </w:r>
    </w:p>
    <w:p w14:paraId="1B336CFF" w14:textId="77777777" w:rsidR="002D7848" w:rsidRDefault="002D7848" w:rsidP="008D61FC">
      <w:pPr>
        <w:pStyle w:val="BodyText"/>
      </w:pPr>
      <w:r>
        <w:t>If the requester wants the final information, but this is not yet held, it may be appropriate to refuse the request</w:t>
      </w:r>
      <w:r w:rsidR="00A83EF5">
        <w:t xml:space="preserve"> under section 18(g) of the </w:t>
      </w:r>
      <w:proofErr w:type="spellStart"/>
      <w:r w:rsidR="00A83EF5">
        <w:t>OIA</w:t>
      </w:r>
      <w:proofErr w:type="spellEnd"/>
      <w:r w:rsidR="00A83EF5">
        <w:t xml:space="preserve"> (section 17(g) of the </w:t>
      </w:r>
      <w:proofErr w:type="spellStart"/>
      <w:r w:rsidR="00A83EF5">
        <w:t>LGOIMA</w:t>
      </w:r>
      <w:proofErr w:type="spellEnd"/>
      <w:r w:rsidR="00A83EF5">
        <w:t>).</w:t>
      </w:r>
      <w:r w:rsidR="00A83EF5">
        <w:rPr>
          <w:rStyle w:val="FootnoteReference"/>
        </w:rPr>
        <w:footnoteReference w:id="12"/>
      </w:r>
      <w:r>
        <w:t xml:space="preserve"> In that case, agencies should explain the process that is underway, when it is expected to conclude, and when information about that process will be published.</w:t>
      </w:r>
    </w:p>
    <w:p w14:paraId="1EE92B5D" w14:textId="77777777" w:rsidR="00DA4124" w:rsidRDefault="008D61FC" w:rsidP="00982EAE">
      <w:pPr>
        <w:pStyle w:val="BodyText"/>
      </w:pPr>
      <w:r>
        <w:t xml:space="preserve">If the requester wants the information currently in existence, consider whether there is any good reason under the </w:t>
      </w:r>
      <w:proofErr w:type="spellStart"/>
      <w:r>
        <w:t>OIA</w:t>
      </w:r>
      <w:proofErr w:type="spellEnd"/>
      <w:r>
        <w:t xml:space="preserve"> for that information to be withheld. </w:t>
      </w:r>
      <w:r w:rsidR="00862C0C">
        <w:t>Substantive withholding grounds, like sections 9(</w:t>
      </w:r>
      <w:proofErr w:type="gramStart"/>
      <w:r w:rsidR="00862C0C">
        <w:t>2)(</w:t>
      </w:r>
      <w:proofErr w:type="spellStart"/>
      <w:proofErr w:type="gramEnd"/>
      <w:r w:rsidR="00862C0C">
        <w:t>ba</w:t>
      </w:r>
      <w:proofErr w:type="spellEnd"/>
      <w:r w:rsidR="00862C0C">
        <w:t>) or 9(2)(g)(</w:t>
      </w:r>
      <w:proofErr w:type="spellStart"/>
      <w:r w:rsidR="00862C0C">
        <w:t>i</w:t>
      </w:r>
      <w:proofErr w:type="spellEnd"/>
      <w:r w:rsidR="00862C0C">
        <w:t xml:space="preserve">) of the </w:t>
      </w:r>
      <w:proofErr w:type="spellStart"/>
      <w:r w:rsidR="00862C0C">
        <w:t>OIA</w:t>
      </w:r>
      <w:proofErr w:type="spellEnd"/>
      <w:r w:rsidR="00862C0C">
        <w:t xml:space="preserve">, may be more relevant. </w:t>
      </w:r>
      <w:r>
        <w:t xml:space="preserve">Section 18(d) will only </w:t>
      </w:r>
      <w:r w:rsidR="00862C0C">
        <w:t>apply</w:t>
      </w:r>
      <w:r>
        <w:t xml:space="preserve"> if the agency intends to publish </w:t>
      </w:r>
      <w:r w:rsidR="00862C0C">
        <w:t xml:space="preserve">the information in its current form </w:t>
      </w:r>
      <w:proofErr w:type="gramStart"/>
      <w:r w:rsidR="00862C0C">
        <w:t>in the near future</w:t>
      </w:r>
      <w:proofErr w:type="gramEnd"/>
      <w:r w:rsidR="00862C0C">
        <w:t xml:space="preserve">. </w:t>
      </w:r>
      <w:r>
        <w:t xml:space="preserve"> </w:t>
      </w:r>
    </w:p>
    <w:p w14:paraId="72314628" w14:textId="77777777" w:rsidR="00B4475A" w:rsidRDefault="00B4475A" w:rsidP="00B4475A">
      <w:pPr>
        <w:pStyle w:val="Heading2"/>
      </w:pPr>
      <w:bookmarkStart w:id="19" w:name="_Unanticipated_delays"/>
      <w:bookmarkStart w:id="20" w:name="_Toc230790007"/>
      <w:bookmarkEnd w:id="19"/>
      <w:r>
        <w:t>An alternative to section 18(d)</w:t>
      </w:r>
      <w:bookmarkEnd w:id="20"/>
      <w:r>
        <w:t xml:space="preserve"> </w:t>
      </w:r>
    </w:p>
    <w:p w14:paraId="675D4F49" w14:textId="77777777" w:rsidR="00151C6C" w:rsidRDefault="00B0236E" w:rsidP="008B3269">
      <w:pPr>
        <w:pStyle w:val="BodyText"/>
      </w:pPr>
      <w:r>
        <w:t>There is an</w:t>
      </w:r>
      <w:r w:rsidR="00B4475A">
        <w:t xml:space="preserve"> alternative to refusing a request on the basis that the information will soon be publicly available</w:t>
      </w:r>
      <w:r>
        <w:t>. That</w:t>
      </w:r>
      <w:r w:rsidR="00B4475A">
        <w:t xml:space="preserve"> is </w:t>
      </w:r>
      <w:r>
        <w:t xml:space="preserve">to make the decision </w:t>
      </w:r>
      <w:r w:rsidR="00275241">
        <w:t>the grant</w:t>
      </w:r>
      <w:r>
        <w:t xml:space="preserve"> the </w:t>
      </w:r>
      <w:proofErr w:type="gramStart"/>
      <w:r>
        <w:t>request</w:t>
      </w:r>
      <w:r w:rsidR="00275241">
        <w:t>,</w:t>
      </w:r>
      <w:r>
        <w:t xml:space="preserve"> and</w:t>
      </w:r>
      <w:proofErr w:type="gramEnd"/>
      <w:r>
        <w:t xml:space="preserve"> release the information later. The decision on a request must be conveyed as soon as reasonably practicable and within 20 working days (subject to extension).</w:t>
      </w:r>
      <w:r>
        <w:rPr>
          <w:rStyle w:val="FootnoteReference"/>
        </w:rPr>
        <w:footnoteReference w:id="13"/>
      </w:r>
      <w:r>
        <w:t xml:space="preserve"> The information must be released without </w:t>
      </w:r>
      <w:r w:rsidRPr="002052B2">
        <w:rPr>
          <w:i/>
        </w:rPr>
        <w:t>‘undue delay’</w:t>
      </w:r>
      <w:r>
        <w:t>.</w:t>
      </w:r>
      <w:r>
        <w:rPr>
          <w:rStyle w:val="FootnoteReference"/>
        </w:rPr>
        <w:footnoteReference w:id="14"/>
      </w:r>
      <w:r w:rsidR="00B4475A">
        <w:t xml:space="preserve"> </w:t>
      </w:r>
    </w:p>
    <w:p w14:paraId="01B78CF3" w14:textId="77777777" w:rsidR="00151C6C" w:rsidRDefault="002052B2" w:rsidP="008B3269">
      <w:pPr>
        <w:pStyle w:val="BodyText"/>
      </w:pPr>
      <w:r>
        <w:t xml:space="preserve">The notice of decision should indicate the timeframe within which the information will be released. It may also help to explain why the information cannot be released sooner. </w:t>
      </w:r>
    </w:p>
    <w:p w14:paraId="79A6E931" w14:textId="77777777" w:rsidR="00B4475A" w:rsidRDefault="002052B2" w:rsidP="008B3269">
      <w:pPr>
        <w:pStyle w:val="BodyText"/>
      </w:pPr>
      <w:r>
        <w:t xml:space="preserve">If an Ombudsman was to receive a complaint about undue delay in release of official information, they would consider </w:t>
      </w:r>
      <w:r w:rsidR="00151C6C">
        <w:t xml:space="preserve">the work that still needs to be done to prepare for publication and whether the requester needs the information sooner (these are the same factors discussed under </w:t>
      </w:r>
      <w:hyperlink w:anchor="_Reasonableness_of_reliance" w:history="1">
        <w:r w:rsidR="00151C6C" w:rsidRPr="00151C6C">
          <w:rPr>
            <w:rStyle w:val="Hyperlink"/>
          </w:rPr>
          <w:t>Reasonableness of reliance on section 18(d)</w:t>
        </w:r>
      </w:hyperlink>
      <w:r w:rsidR="00A83EF5">
        <w:t xml:space="preserve"> above</w:t>
      </w:r>
      <w:r w:rsidR="00151C6C">
        <w:t>).</w:t>
      </w:r>
    </w:p>
    <w:p w14:paraId="134CEF5F" w14:textId="77777777" w:rsidR="008A6181" w:rsidRDefault="008B3269" w:rsidP="008B3269">
      <w:pPr>
        <w:pStyle w:val="Heading1"/>
      </w:pPr>
      <w:bookmarkStart w:id="21" w:name="_Toc230790008"/>
      <w:r>
        <w:t>Further information</w:t>
      </w:r>
      <w:bookmarkEnd w:id="21"/>
      <w:r>
        <w:t xml:space="preserve"> </w:t>
      </w:r>
    </w:p>
    <w:p w14:paraId="0987CF94" w14:textId="77777777" w:rsidR="00B4475A" w:rsidRDefault="00B4475A" w:rsidP="00B4475A">
      <w:pPr>
        <w:pStyle w:val="BodyText"/>
      </w:pPr>
      <w:r>
        <w:t xml:space="preserve">For more information about processing official information requests, see our guides </w:t>
      </w:r>
      <w:hyperlink r:id="rId8" w:history="1">
        <w:r w:rsidRPr="00F630C8">
          <w:rPr>
            <w:rStyle w:val="Hyperlink"/>
            <w:i/>
          </w:rPr>
          <w:t xml:space="preserve">The </w:t>
        </w:r>
        <w:proofErr w:type="spellStart"/>
        <w:r w:rsidRPr="00F630C8">
          <w:rPr>
            <w:rStyle w:val="Hyperlink"/>
            <w:i/>
          </w:rPr>
          <w:t>OIA</w:t>
        </w:r>
        <w:proofErr w:type="spellEnd"/>
        <w:r w:rsidRPr="00F630C8">
          <w:rPr>
            <w:rStyle w:val="Hyperlink"/>
            <w:i/>
          </w:rPr>
          <w:t xml:space="preserve"> for Ministers and agencies</w:t>
        </w:r>
      </w:hyperlink>
      <w:r>
        <w:t xml:space="preserve"> and </w:t>
      </w:r>
      <w:hyperlink r:id="rId9" w:history="1">
        <w:r w:rsidRPr="00F630C8">
          <w:rPr>
            <w:rStyle w:val="Hyperlink"/>
            <w:i/>
          </w:rPr>
          <w:t xml:space="preserve">The </w:t>
        </w:r>
        <w:proofErr w:type="spellStart"/>
        <w:r w:rsidRPr="00F630C8">
          <w:rPr>
            <w:rStyle w:val="Hyperlink"/>
            <w:i/>
          </w:rPr>
          <w:t>LGOIMA</w:t>
        </w:r>
        <w:proofErr w:type="spellEnd"/>
        <w:r w:rsidRPr="00F630C8">
          <w:rPr>
            <w:rStyle w:val="Hyperlink"/>
            <w:i/>
          </w:rPr>
          <w:t xml:space="preserve"> for local government agencies</w:t>
        </w:r>
      </w:hyperlink>
      <w:r>
        <w:t>.</w:t>
      </w:r>
    </w:p>
    <w:p w14:paraId="3A331FDB" w14:textId="77777777" w:rsidR="00B4475A" w:rsidRDefault="00B4475A" w:rsidP="00B4475A">
      <w:pPr>
        <w:pStyle w:val="BodyText"/>
      </w:pPr>
      <w:r>
        <w:t xml:space="preserve">Our website contains searchable case notes, opinions and other material, relating to past cases considered by the Ombudsmen: </w:t>
      </w:r>
      <w:hyperlink r:id="rId10" w:history="1">
        <w:r w:rsidR="00A83EF5" w:rsidRPr="00AE0169">
          <w:rPr>
            <w:rStyle w:val="Hyperlink"/>
          </w:rPr>
          <w:t>www.ombudsman.parliament.nz</w:t>
        </w:r>
      </w:hyperlink>
      <w:r w:rsidR="00A83EF5">
        <w:t xml:space="preserve">. </w:t>
      </w:r>
    </w:p>
    <w:p w14:paraId="5659EC26" w14:textId="77777777" w:rsidR="00B4475A" w:rsidRPr="00B4475A" w:rsidRDefault="00B4475A" w:rsidP="00B4475A">
      <w:pPr>
        <w:pStyle w:val="BodyText"/>
      </w:pPr>
      <w:r>
        <w:t xml:space="preserve">You can also contact our staff with any queries about </w:t>
      </w:r>
      <w:r w:rsidR="004E3DEA">
        <w:t>section 18(d)</w:t>
      </w:r>
      <w:r>
        <w:t xml:space="preserve"> by email </w:t>
      </w:r>
      <w:hyperlink r:id="rId11" w:history="1">
        <w:r w:rsidRPr="00AE0169">
          <w:rPr>
            <w:rStyle w:val="Hyperlink"/>
          </w:rPr>
          <w:t>info@ombudsman.parliament.nz</w:t>
        </w:r>
      </w:hyperlink>
      <w:r>
        <w:t xml:space="preserve"> or freephone 0800 802 602. Do so as early as possible to ensure we can answer your queries without delaying the response to a request for official information.</w:t>
      </w:r>
    </w:p>
    <w:p w14:paraId="52C5549B" w14:textId="77777777" w:rsidR="00862C0C" w:rsidRDefault="007108A5" w:rsidP="00497FE4">
      <w:pPr>
        <w:pStyle w:val="HeadingAppendix"/>
      </w:pPr>
      <w:bookmarkStart w:id="22" w:name="_Toc230790009"/>
      <w:r>
        <w:t>Step-by-step w</w:t>
      </w:r>
      <w:r w:rsidR="00862C0C">
        <w:t>ork sheet</w:t>
      </w:r>
      <w:bookmarkEnd w:id="22"/>
    </w:p>
    <w:p w14:paraId="774BA03D" w14:textId="77777777" w:rsidR="003D6BC2" w:rsidRPr="003D6BC2" w:rsidRDefault="003D6BC2" w:rsidP="003D6BC2">
      <w:pPr>
        <w:pStyle w:val="Whitespace"/>
      </w:pPr>
    </w:p>
    <w:tbl>
      <w:tblPr>
        <w:tblStyle w:val="TableGrid"/>
        <w:tblW w:w="9639" w:type="dxa"/>
        <w:tblInd w:w="108" w:type="dxa"/>
        <w:tblLayout w:type="fixed"/>
        <w:tblLook w:val="0620" w:firstRow="1" w:lastRow="0" w:firstColumn="0" w:lastColumn="0" w:noHBand="1" w:noVBand="1"/>
      </w:tblPr>
      <w:tblGrid>
        <w:gridCol w:w="2695"/>
        <w:gridCol w:w="6944"/>
      </w:tblGrid>
      <w:tr w:rsidR="007108A5" w:rsidRPr="009649B6" w14:paraId="73A4927C" w14:textId="77777777" w:rsidTr="00B6771A">
        <w:trPr>
          <w:cnfStyle w:val="100000000000" w:firstRow="1" w:lastRow="0" w:firstColumn="0" w:lastColumn="0" w:oddVBand="0" w:evenVBand="0" w:oddHBand="0" w:evenHBand="0" w:firstRowFirstColumn="0" w:firstRowLastColumn="0" w:lastRowFirstColumn="0" w:lastRowLastColumn="0"/>
          <w:cantSplit/>
          <w:tblHeader w:val="0"/>
        </w:trPr>
        <w:tc>
          <w:tcPr>
            <w:tcW w:w="2695" w:type="dxa"/>
            <w:tcBorders>
              <w:left w:val="single" w:sz="4" w:space="0" w:color="A6A6A6" w:themeColor="background1" w:themeShade="A6"/>
            </w:tcBorders>
            <w:shd w:val="clear" w:color="auto" w:fill="D3D3D3"/>
            <w:hideMark/>
          </w:tcPr>
          <w:p w14:paraId="2B4F2D83" w14:textId="77777777" w:rsidR="007108A5" w:rsidRDefault="00201616" w:rsidP="003D6BC2">
            <w:pPr>
              <w:pStyle w:val="Boxsmallnumber-1"/>
              <w:numPr>
                <w:ilvl w:val="0"/>
                <w:numId w:val="35"/>
              </w:numPr>
              <w:rPr>
                <w:rStyle w:val="Emphasis"/>
              </w:rPr>
            </w:pPr>
            <w:r>
              <w:rPr>
                <w:rStyle w:val="Emphasis"/>
              </w:rPr>
              <w:t xml:space="preserve">Identify the information requested </w:t>
            </w:r>
          </w:p>
          <w:p w14:paraId="1791BD0E" w14:textId="77777777" w:rsidR="007D1AE4" w:rsidRPr="003D6BC2" w:rsidRDefault="007D1AE4" w:rsidP="007D1AE4">
            <w:pPr>
              <w:pStyle w:val="Boxsmallnumber-1"/>
              <w:numPr>
                <w:ilvl w:val="0"/>
                <w:numId w:val="0"/>
              </w:numPr>
              <w:rPr>
                <w:b/>
                <w:bCs/>
                <w:iCs/>
              </w:rPr>
            </w:pPr>
            <w:r>
              <w:rPr>
                <w:rStyle w:val="Emphasis"/>
              </w:rPr>
              <w:t>Relevant part of guide:</w:t>
            </w:r>
            <w:r>
              <w:rPr>
                <w:rStyle w:val="Emphasis"/>
              </w:rPr>
              <w:br/>
            </w:r>
            <w:hyperlink w:anchor="_The_requested_information" w:history="1">
              <w:r w:rsidRPr="007D1AE4">
                <w:rPr>
                  <w:rStyle w:val="Hyperlink"/>
                </w:rPr>
                <w:t>The requested information</w:t>
              </w:r>
            </w:hyperlink>
            <w:r>
              <w:rPr>
                <w:rStyle w:val="Emphasis"/>
              </w:rPr>
              <w:t xml:space="preserve"> </w:t>
            </w:r>
          </w:p>
        </w:tc>
        <w:tc>
          <w:tcPr>
            <w:tcW w:w="6944" w:type="dxa"/>
            <w:tcBorders>
              <w:right w:val="single" w:sz="4" w:space="0" w:color="A6A6A6" w:themeColor="background1" w:themeShade="A6"/>
            </w:tcBorders>
            <w:shd w:val="clear" w:color="auto" w:fill="auto"/>
            <w:hideMark/>
          </w:tcPr>
          <w:p w14:paraId="4D0E79FB" w14:textId="77777777" w:rsidR="007108A5" w:rsidRDefault="00201616" w:rsidP="00201616">
            <w:pPr>
              <w:pStyle w:val="Boxsmallbullet1"/>
              <w:numPr>
                <w:ilvl w:val="0"/>
                <w:numId w:val="34"/>
              </w:numPr>
            </w:pPr>
            <w:r>
              <w:t>Read</w:t>
            </w:r>
            <w:r w:rsidR="003D6BC2">
              <w:t xml:space="preserve"> the request and consult the requester if necessary.</w:t>
            </w:r>
            <w:r w:rsidR="00671C3A">
              <w:t xml:space="preserve"> </w:t>
            </w:r>
          </w:p>
          <w:p w14:paraId="3F6A7F5B" w14:textId="77777777" w:rsidR="0096541C" w:rsidRPr="009649B6" w:rsidRDefault="0096541C" w:rsidP="0096541C">
            <w:pPr>
              <w:pStyle w:val="Boxsmallbullet1"/>
              <w:numPr>
                <w:ilvl w:val="0"/>
                <w:numId w:val="34"/>
              </w:numPr>
            </w:pPr>
            <w:r>
              <w:t>Note the form in which the information is sought. Just because information is publicly available in one form does not mean a request for that information in a different form can be refused.</w:t>
            </w:r>
          </w:p>
        </w:tc>
      </w:tr>
      <w:tr w:rsidR="00671C3A" w:rsidRPr="009649B6" w14:paraId="75DFC69E" w14:textId="77777777" w:rsidTr="00B6771A">
        <w:trPr>
          <w:cantSplit/>
        </w:trPr>
        <w:tc>
          <w:tcPr>
            <w:tcW w:w="2695" w:type="dxa"/>
            <w:tcBorders>
              <w:left w:val="single" w:sz="4" w:space="0" w:color="A6A6A6" w:themeColor="background1" w:themeShade="A6"/>
            </w:tcBorders>
            <w:shd w:val="clear" w:color="auto" w:fill="D3D3D3"/>
          </w:tcPr>
          <w:p w14:paraId="0B948361" w14:textId="77777777" w:rsidR="00671C3A" w:rsidRDefault="00671C3A" w:rsidP="00201616">
            <w:pPr>
              <w:pStyle w:val="Boxsmallnumber-1"/>
              <w:numPr>
                <w:ilvl w:val="0"/>
                <w:numId w:val="35"/>
              </w:numPr>
              <w:rPr>
                <w:rStyle w:val="Emphasis"/>
              </w:rPr>
            </w:pPr>
            <w:r>
              <w:rPr>
                <w:rStyle w:val="Emphasis"/>
              </w:rPr>
              <w:t xml:space="preserve">Is </w:t>
            </w:r>
            <w:r w:rsidR="0096541C">
              <w:rPr>
                <w:rStyle w:val="Emphasis"/>
              </w:rPr>
              <w:t xml:space="preserve">this </w:t>
            </w:r>
            <w:r w:rsidR="00201616">
              <w:rPr>
                <w:rStyle w:val="Emphasis"/>
              </w:rPr>
              <w:t xml:space="preserve">specific information </w:t>
            </w:r>
            <w:r>
              <w:rPr>
                <w:rStyle w:val="Emphasis"/>
              </w:rPr>
              <w:t>publicly available?</w:t>
            </w:r>
          </w:p>
          <w:p w14:paraId="5B80DC1B" w14:textId="77777777" w:rsidR="007D1AE4" w:rsidRDefault="007D1AE4" w:rsidP="00772F06">
            <w:pPr>
              <w:pStyle w:val="Boxsmallnumber-1"/>
              <w:numPr>
                <w:ilvl w:val="0"/>
                <w:numId w:val="0"/>
              </w:numPr>
              <w:rPr>
                <w:rStyle w:val="Emphasis"/>
              </w:rPr>
            </w:pPr>
            <w:r>
              <w:rPr>
                <w:rStyle w:val="Emphasis"/>
              </w:rPr>
              <w:t>Relevant part of guide:</w:t>
            </w:r>
            <w:r>
              <w:rPr>
                <w:rStyle w:val="Emphasis"/>
              </w:rPr>
              <w:br/>
            </w:r>
            <w:hyperlink w:anchor="_Public_availability" w:history="1">
              <w:r w:rsidR="00772F06" w:rsidRPr="00772F06">
                <w:rPr>
                  <w:rStyle w:val="Hyperlink"/>
                </w:rPr>
                <w:t>Public availability</w:t>
              </w:r>
            </w:hyperlink>
            <w:r w:rsidR="00772F06">
              <w:rPr>
                <w:rStyle w:val="Emphasis"/>
              </w:rPr>
              <w:t xml:space="preserve"> </w:t>
            </w:r>
          </w:p>
        </w:tc>
        <w:tc>
          <w:tcPr>
            <w:tcW w:w="6944" w:type="dxa"/>
            <w:tcBorders>
              <w:right w:val="single" w:sz="4" w:space="0" w:color="A6A6A6" w:themeColor="background1" w:themeShade="A6"/>
            </w:tcBorders>
            <w:shd w:val="clear" w:color="auto" w:fill="auto"/>
          </w:tcPr>
          <w:p w14:paraId="7988D6AA" w14:textId="77777777" w:rsidR="00671C3A" w:rsidRDefault="003D6BC2" w:rsidP="003D6BC2">
            <w:pPr>
              <w:pStyle w:val="Boxsmallbullet1"/>
              <w:numPr>
                <w:ilvl w:val="0"/>
                <w:numId w:val="34"/>
              </w:numPr>
            </w:pPr>
            <w:r>
              <w:t>Information will be publicly available if:</w:t>
            </w:r>
          </w:p>
          <w:p w14:paraId="11A03651" w14:textId="77777777" w:rsidR="003D6BC2" w:rsidRDefault="003D6BC2" w:rsidP="003D6BC2">
            <w:pPr>
              <w:pStyle w:val="Boxsmallbullet2"/>
            </w:pPr>
            <w:r>
              <w:t xml:space="preserve">it is freely available on a </w:t>
            </w:r>
            <w:proofErr w:type="gramStart"/>
            <w:r>
              <w:t>website;</w:t>
            </w:r>
            <w:proofErr w:type="gramEnd"/>
          </w:p>
          <w:p w14:paraId="4A506CF5" w14:textId="77777777" w:rsidR="003D6BC2" w:rsidRDefault="003D6BC2" w:rsidP="003D6BC2">
            <w:pPr>
              <w:pStyle w:val="Boxsmallbullet2"/>
            </w:pPr>
            <w:r>
              <w:t xml:space="preserve">it is available for </w:t>
            </w:r>
            <w:proofErr w:type="gramStart"/>
            <w:r>
              <w:t>purchase;</w:t>
            </w:r>
            <w:proofErr w:type="gramEnd"/>
          </w:p>
          <w:p w14:paraId="0A70E14D" w14:textId="77777777" w:rsidR="003D6BC2" w:rsidRDefault="003D6BC2" w:rsidP="003D6BC2">
            <w:pPr>
              <w:pStyle w:val="Boxsmallbullet2"/>
            </w:pPr>
            <w:r>
              <w:t>it is available in a public library; or</w:t>
            </w:r>
          </w:p>
          <w:p w14:paraId="278008D6" w14:textId="77777777" w:rsidR="00201616" w:rsidRPr="009649B6" w:rsidRDefault="003D6BC2" w:rsidP="0096541C">
            <w:pPr>
              <w:pStyle w:val="Boxsmallbullet2"/>
            </w:pPr>
            <w:r>
              <w:t>it is available for public inspection.</w:t>
            </w:r>
          </w:p>
        </w:tc>
      </w:tr>
      <w:tr w:rsidR="003D6BC2" w:rsidRPr="009649B6" w14:paraId="12E5DD66" w14:textId="77777777" w:rsidTr="00B6771A">
        <w:trPr>
          <w:cantSplit/>
        </w:trPr>
        <w:tc>
          <w:tcPr>
            <w:tcW w:w="2695" w:type="dxa"/>
            <w:tcBorders>
              <w:left w:val="single" w:sz="4" w:space="0" w:color="A6A6A6" w:themeColor="background1" w:themeShade="A6"/>
            </w:tcBorders>
            <w:shd w:val="clear" w:color="auto" w:fill="D3D3D3"/>
          </w:tcPr>
          <w:p w14:paraId="24D3832D" w14:textId="77777777" w:rsidR="003D6BC2" w:rsidRDefault="003D6BC2" w:rsidP="007108A5">
            <w:pPr>
              <w:pStyle w:val="Boxsmallnumber-1"/>
              <w:numPr>
                <w:ilvl w:val="0"/>
                <w:numId w:val="35"/>
              </w:numPr>
              <w:rPr>
                <w:rStyle w:val="Emphasis"/>
              </w:rPr>
            </w:pPr>
            <w:r>
              <w:rPr>
                <w:rStyle w:val="Emphasis"/>
              </w:rPr>
              <w:t xml:space="preserve">Will </w:t>
            </w:r>
            <w:r w:rsidR="0096541C">
              <w:rPr>
                <w:rStyle w:val="Emphasis"/>
              </w:rPr>
              <w:t>this specific</w:t>
            </w:r>
            <w:r>
              <w:rPr>
                <w:rStyle w:val="Emphasis"/>
              </w:rPr>
              <w:t xml:space="preserve"> information be publicly available soon?</w:t>
            </w:r>
          </w:p>
          <w:p w14:paraId="615C1EDA" w14:textId="77777777" w:rsidR="007D1AE4" w:rsidRDefault="00772F06" w:rsidP="00B6771A">
            <w:pPr>
              <w:pStyle w:val="Boxsmallnumber-1"/>
              <w:numPr>
                <w:ilvl w:val="0"/>
                <w:numId w:val="0"/>
              </w:numPr>
              <w:rPr>
                <w:rStyle w:val="Emphasis"/>
              </w:rPr>
            </w:pPr>
            <w:r>
              <w:rPr>
                <w:rStyle w:val="Emphasis"/>
              </w:rPr>
              <w:t>Relevant part of guide:</w:t>
            </w:r>
            <w:r>
              <w:rPr>
                <w:rStyle w:val="Emphasis"/>
              </w:rPr>
              <w:br/>
            </w:r>
            <w:hyperlink w:anchor="_Information_that_will" w:history="1">
              <w:r w:rsidRPr="00772F06">
                <w:rPr>
                  <w:rStyle w:val="Hyperlink"/>
                </w:rPr>
                <w:t>Information that will be publicly available soon</w:t>
              </w:r>
            </w:hyperlink>
          </w:p>
        </w:tc>
        <w:tc>
          <w:tcPr>
            <w:tcW w:w="6944" w:type="dxa"/>
            <w:tcBorders>
              <w:right w:val="single" w:sz="4" w:space="0" w:color="A6A6A6" w:themeColor="background1" w:themeShade="A6"/>
            </w:tcBorders>
            <w:shd w:val="clear" w:color="auto" w:fill="auto"/>
          </w:tcPr>
          <w:p w14:paraId="2618724E" w14:textId="77777777" w:rsidR="003D6BC2" w:rsidRDefault="003D6BC2" w:rsidP="004F2B81">
            <w:pPr>
              <w:pStyle w:val="Boxsmallbullet1"/>
              <w:numPr>
                <w:ilvl w:val="0"/>
                <w:numId w:val="34"/>
              </w:numPr>
            </w:pPr>
            <w:r>
              <w:t xml:space="preserve">You must be reasonably certain that the information will be published </w:t>
            </w:r>
            <w:proofErr w:type="gramStart"/>
            <w:r>
              <w:t>in the near future</w:t>
            </w:r>
            <w:proofErr w:type="gramEnd"/>
            <w:r w:rsidR="00201616">
              <w:t xml:space="preserve">. </w:t>
            </w:r>
          </w:p>
        </w:tc>
      </w:tr>
      <w:tr w:rsidR="00201616" w:rsidRPr="009649B6" w14:paraId="0609BF7A" w14:textId="77777777" w:rsidTr="00B6771A">
        <w:tc>
          <w:tcPr>
            <w:tcW w:w="2695" w:type="dxa"/>
            <w:tcBorders>
              <w:left w:val="single" w:sz="4" w:space="0" w:color="A6A6A6" w:themeColor="background1" w:themeShade="A6"/>
            </w:tcBorders>
            <w:shd w:val="clear" w:color="auto" w:fill="D3D3D3"/>
          </w:tcPr>
          <w:p w14:paraId="176B5B56" w14:textId="77777777" w:rsidR="00772F06" w:rsidRDefault="00201616" w:rsidP="00772F06">
            <w:pPr>
              <w:pStyle w:val="Boxsmallnumber-1"/>
              <w:numPr>
                <w:ilvl w:val="0"/>
                <w:numId w:val="35"/>
              </w:numPr>
              <w:rPr>
                <w:rStyle w:val="Emphasis"/>
              </w:rPr>
            </w:pPr>
            <w:r>
              <w:rPr>
                <w:rStyle w:val="Emphasis"/>
              </w:rPr>
              <w:t>Is it reasonable to refuse the request?</w:t>
            </w:r>
          </w:p>
          <w:p w14:paraId="0C9BBE73" w14:textId="77777777" w:rsidR="00772F06" w:rsidRDefault="00772F06" w:rsidP="00772F06">
            <w:pPr>
              <w:pStyle w:val="Boxsmallnumber-1"/>
              <w:numPr>
                <w:ilvl w:val="0"/>
                <w:numId w:val="0"/>
              </w:numPr>
              <w:rPr>
                <w:rStyle w:val="Emphasis"/>
              </w:rPr>
            </w:pPr>
            <w:r>
              <w:rPr>
                <w:rStyle w:val="Emphasis"/>
              </w:rPr>
              <w:t>Relevant part of guide:</w:t>
            </w:r>
            <w:r>
              <w:rPr>
                <w:rStyle w:val="Emphasis"/>
              </w:rPr>
              <w:br/>
            </w:r>
            <w:hyperlink w:anchor="_Reasonableness_of_reliance" w:history="1">
              <w:r w:rsidRPr="00772F06">
                <w:rPr>
                  <w:rStyle w:val="Hyperlink"/>
                </w:rPr>
                <w:t>Reasonableness of reliance on section 18(d)</w:t>
              </w:r>
            </w:hyperlink>
            <w:r>
              <w:rPr>
                <w:rStyle w:val="Emphasis"/>
                <w:b w:val="0"/>
                <w:bCs w:val="0"/>
                <w:iCs w:val="0"/>
              </w:rPr>
              <w:t xml:space="preserve"> </w:t>
            </w:r>
          </w:p>
          <w:p w14:paraId="4DE5EAD6" w14:textId="77777777" w:rsidR="00772F06" w:rsidRDefault="00772F06" w:rsidP="00772F06">
            <w:pPr>
              <w:pStyle w:val="Boxsmallnumber-1"/>
              <w:numPr>
                <w:ilvl w:val="0"/>
                <w:numId w:val="0"/>
              </w:numPr>
              <w:rPr>
                <w:rStyle w:val="Emphasis"/>
              </w:rPr>
            </w:pPr>
          </w:p>
        </w:tc>
        <w:tc>
          <w:tcPr>
            <w:tcW w:w="6944" w:type="dxa"/>
            <w:tcBorders>
              <w:right w:val="single" w:sz="4" w:space="0" w:color="A6A6A6" w:themeColor="background1" w:themeShade="A6"/>
            </w:tcBorders>
            <w:shd w:val="clear" w:color="auto" w:fill="auto"/>
          </w:tcPr>
          <w:p w14:paraId="086F0244" w14:textId="77777777" w:rsidR="00201616" w:rsidRDefault="00B6771A" w:rsidP="00201616">
            <w:pPr>
              <w:pStyle w:val="Boxsmallbullet1"/>
              <w:numPr>
                <w:ilvl w:val="0"/>
                <w:numId w:val="34"/>
              </w:numPr>
            </w:pPr>
            <w:r>
              <w:t xml:space="preserve">Consider whether there are any circumstances that would make it unreasonable to rely on section 18(d) to refuse the request. </w:t>
            </w:r>
          </w:p>
          <w:p w14:paraId="25B69B1C" w14:textId="77777777" w:rsidR="00201616" w:rsidRDefault="00D23A0B" w:rsidP="0070689C">
            <w:pPr>
              <w:pStyle w:val="Boxsmallbullet1"/>
              <w:numPr>
                <w:ilvl w:val="0"/>
                <w:numId w:val="34"/>
              </w:numPr>
            </w:pPr>
            <w:r>
              <w:t>If the information is publicly available, is it also reasonab</w:t>
            </w:r>
            <w:r w:rsidR="0070689C">
              <w:t>ly accessible to the requester</w:t>
            </w:r>
            <w:r w:rsidR="0096541C">
              <w:t>? W</w:t>
            </w:r>
            <w:r w:rsidR="0070689C">
              <w:t>ould it be administratively burdensome for the agency to have to supply it to the requester?</w:t>
            </w:r>
          </w:p>
          <w:p w14:paraId="696941AF" w14:textId="77777777" w:rsidR="0070689C" w:rsidRDefault="0070689C" w:rsidP="0096541C">
            <w:pPr>
              <w:pStyle w:val="Boxsmallbullet1"/>
              <w:numPr>
                <w:ilvl w:val="0"/>
                <w:numId w:val="34"/>
              </w:numPr>
            </w:pPr>
            <w:r>
              <w:t xml:space="preserve">If </w:t>
            </w:r>
            <w:r w:rsidR="00B6771A">
              <w:t>the information</w:t>
            </w:r>
            <w:r>
              <w:t xml:space="preserve"> will be publicly available soon, is there a legitimate reason why the requester needs it sooner</w:t>
            </w:r>
            <w:r w:rsidR="0096541C">
              <w:t>? I</w:t>
            </w:r>
            <w:r w:rsidR="00B6771A">
              <w:t>s there any difficulty in releasing the information sooner, or is there still work that needs to be done to prepare for publication?</w:t>
            </w:r>
          </w:p>
        </w:tc>
      </w:tr>
      <w:tr w:rsidR="00B6771A" w:rsidRPr="009649B6" w14:paraId="6632EDBA" w14:textId="77777777" w:rsidTr="00B6771A">
        <w:tc>
          <w:tcPr>
            <w:tcW w:w="2695" w:type="dxa"/>
            <w:tcBorders>
              <w:left w:val="single" w:sz="4" w:space="0" w:color="A6A6A6" w:themeColor="background1" w:themeShade="A6"/>
            </w:tcBorders>
            <w:shd w:val="clear" w:color="auto" w:fill="D3D3D3"/>
          </w:tcPr>
          <w:p w14:paraId="3F036A2F" w14:textId="77777777" w:rsidR="00B6771A" w:rsidRDefault="00B6771A" w:rsidP="00772F06">
            <w:pPr>
              <w:pStyle w:val="Boxsmallnumber-1"/>
              <w:numPr>
                <w:ilvl w:val="0"/>
                <w:numId w:val="35"/>
              </w:numPr>
              <w:rPr>
                <w:rStyle w:val="Emphasis"/>
              </w:rPr>
            </w:pPr>
            <w:r>
              <w:rPr>
                <w:rStyle w:val="Emphasis"/>
              </w:rPr>
              <w:t xml:space="preserve">Refuse the request   </w:t>
            </w:r>
          </w:p>
        </w:tc>
        <w:tc>
          <w:tcPr>
            <w:tcW w:w="6944" w:type="dxa"/>
            <w:tcBorders>
              <w:right w:val="single" w:sz="4" w:space="0" w:color="A6A6A6" w:themeColor="background1" w:themeShade="A6"/>
            </w:tcBorders>
            <w:shd w:val="clear" w:color="auto" w:fill="auto"/>
          </w:tcPr>
          <w:p w14:paraId="010D7621" w14:textId="77777777" w:rsidR="00B6771A" w:rsidRDefault="00B6771A" w:rsidP="00201616">
            <w:pPr>
              <w:pStyle w:val="Boxsmallbullet1"/>
              <w:numPr>
                <w:ilvl w:val="0"/>
                <w:numId w:val="34"/>
              </w:numPr>
            </w:pPr>
            <w:r>
              <w:t>If the information is publicly available, tell the requester where and how the information can be obtained</w:t>
            </w:r>
            <w:r w:rsidR="00760445">
              <w:t>—</w:t>
            </w:r>
            <w:r>
              <w:t xml:space="preserve">use our </w:t>
            </w:r>
            <w:hyperlink w:anchor="_1._Refusal_of" w:history="1">
              <w:r w:rsidRPr="00B6771A">
                <w:rPr>
                  <w:rStyle w:val="Hyperlink"/>
                </w:rPr>
                <w:t>template letter</w:t>
              </w:r>
            </w:hyperlink>
            <w:r>
              <w:t>.</w:t>
            </w:r>
          </w:p>
          <w:p w14:paraId="7C79766C" w14:textId="77777777" w:rsidR="007854F5" w:rsidRDefault="00B6771A" w:rsidP="007854F5">
            <w:pPr>
              <w:pStyle w:val="Boxsmallbullet1"/>
              <w:numPr>
                <w:ilvl w:val="0"/>
                <w:numId w:val="34"/>
              </w:numPr>
            </w:pPr>
            <w:r>
              <w:t xml:space="preserve">If the information will be publicly available soon, </w:t>
            </w:r>
            <w:r w:rsidR="007854F5">
              <w:t>provide the precise or approximate date by which it will be published</w:t>
            </w:r>
            <w:r w:rsidR="00760445">
              <w:t xml:space="preserve">—use our </w:t>
            </w:r>
            <w:hyperlink w:anchor="_2._Refusal_letter" w:history="1">
              <w:r w:rsidR="00760445" w:rsidRPr="00B6771A">
                <w:rPr>
                  <w:rStyle w:val="Hyperlink"/>
                </w:rPr>
                <w:t>template letter</w:t>
              </w:r>
            </w:hyperlink>
            <w:r w:rsidR="007854F5">
              <w:t xml:space="preserve">.  </w:t>
            </w:r>
          </w:p>
          <w:p w14:paraId="5AC11468" w14:textId="77777777" w:rsidR="00B6771A" w:rsidRDefault="007854F5" w:rsidP="007854F5">
            <w:pPr>
              <w:pStyle w:val="Boxsmallbullet1"/>
              <w:numPr>
                <w:ilvl w:val="0"/>
                <w:numId w:val="34"/>
              </w:numPr>
            </w:pPr>
            <w:r>
              <w:t>Consider letting the requester know when the information has been published, and where they can access it</w:t>
            </w:r>
            <w:r w:rsidR="00760445">
              <w:t xml:space="preserve">—use our </w:t>
            </w:r>
            <w:hyperlink w:anchor="_3._Advice_that" w:history="1">
              <w:r w:rsidR="00760445" w:rsidRPr="00B6771A">
                <w:rPr>
                  <w:rStyle w:val="Hyperlink"/>
                </w:rPr>
                <w:t>template letter</w:t>
              </w:r>
            </w:hyperlink>
            <w:r w:rsidR="00760445">
              <w:t xml:space="preserve">.  </w:t>
            </w:r>
          </w:p>
          <w:p w14:paraId="3C38B2DF" w14:textId="77777777" w:rsidR="007854F5" w:rsidRDefault="007854F5" w:rsidP="00760445">
            <w:pPr>
              <w:pStyle w:val="Boxsmallbullet1"/>
              <w:numPr>
                <w:ilvl w:val="0"/>
                <w:numId w:val="34"/>
              </w:numPr>
            </w:pPr>
            <w:r>
              <w:t xml:space="preserve">If there is </w:t>
            </w:r>
            <w:r w:rsidR="00760445">
              <w:t xml:space="preserve">an </w:t>
            </w:r>
            <w:hyperlink w:anchor="_Unanticipated_delays_1" w:history="1">
              <w:r w:rsidR="00760445" w:rsidRPr="00D72540">
                <w:rPr>
                  <w:rStyle w:val="Hyperlink"/>
                </w:rPr>
                <w:t>unanticipated delay</w:t>
              </w:r>
            </w:hyperlink>
            <w:r w:rsidR="00760445">
              <w:t xml:space="preserve"> in publication contact the requester and explain the reason for the delay and the revised publication date—use our </w:t>
            </w:r>
            <w:hyperlink w:anchor="_4._Advice_that" w:history="1">
              <w:r w:rsidR="00760445" w:rsidRPr="00D72540">
                <w:rPr>
                  <w:rStyle w:val="Hyperlink"/>
                </w:rPr>
                <w:t>template letter</w:t>
              </w:r>
            </w:hyperlink>
            <w:r w:rsidR="00760445">
              <w:t xml:space="preserve">.  </w:t>
            </w:r>
          </w:p>
        </w:tc>
      </w:tr>
    </w:tbl>
    <w:p w14:paraId="4AD6D4CF" w14:textId="77777777" w:rsidR="007108A5" w:rsidRPr="007108A5" w:rsidRDefault="007108A5" w:rsidP="007108A5">
      <w:pPr>
        <w:pStyle w:val="BodyText"/>
      </w:pPr>
    </w:p>
    <w:p w14:paraId="2EAED3AE" w14:textId="77777777" w:rsidR="002052B2" w:rsidRDefault="002052B2" w:rsidP="00497FE4">
      <w:pPr>
        <w:pStyle w:val="HeadingAppendix"/>
      </w:pPr>
      <w:bookmarkStart w:id="23" w:name="_Toc230790010"/>
      <w:r>
        <w:t>Template letters</w:t>
      </w:r>
      <w:bookmarkEnd w:id="23"/>
    </w:p>
    <w:p w14:paraId="03FB82D2" w14:textId="77777777" w:rsidR="00CA4089" w:rsidRDefault="003B3A16" w:rsidP="00CA4089">
      <w:pPr>
        <w:pStyle w:val="Heading2"/>
      </w:pPr>
      <w:bookmarkStart w:id="24" w:name="_1._Refusal_of"/>
      <w:bookmarkStart w:id="25" w:name="_Toc230790011"/>
      <w:bookmarkEnd w:id="24"/>
      <w:r>
        <w:t xml:space="preserve">1. Refusal letter under </w:t>
      </w:r>
      <w:r w:rsidR="00CA4089">
        <w:t>section 18(d)</w:t>
      </w:r>
      <w:r w:rsidR="00275241">
        <w:t xml:space="preserve"> </w:t>
      </w:r>
      <w:proofErr w:type="spellStart"/>
      <w:r w:rsidR="00275241">
        <w:t>OIA</w:t>
      </w:r>
      <w:proofErr w:type="spellEnd"/>
      <w:r w:rsidR="00275241">
        <w:t xml:space="preserve"> / 17(d) </w:t>
      </w:r>
      <w:proofErr w:type="spellStart"/>
      <w:r w:rsidR="00275241">
        <w:t>LGOIMA</w:t>
      </w:r>
      <w:proofErr w:type="spellEnd"/>
      <w:r w:rsidR="00CA4089">
        <w:t>—Information publicly available</w:t>
      </w:r>
      <w:bookmarkEnd w:id="25"/>
    </w:p>
    <w:p w14:paraId="62D66623" w14:textId="77777777" w:rsidR="00CA4089" w:rsidRDefault="00CA4089" w:rsidP="00CA4089">
      <w:pPr>
        <w:pStyle w:val="BodyText"/>
      </w:pPr>
    </w:p>
    <w:p w14:paraId="5619413A" w14:textId="77777777" w:rsidR="00CA4089" w:rsidRDefault="00CA4089" w:rsidP="00CA4089">
      <w:pPr>
        <w:pStyle w:val="BodyText"/>
      </w:pPr>
      <w:r>
        <w:t>[Date]</w:t>
      </w:r>
    </w:p>
    <w:p w14:paraId="21E83938" w14:textId="77777777" w:rsidR="00CA4089" w:rsidRDefault="00CA4089" w:rsidP="00CA4089">
      <w:pPr>
        <w:pStyle w:val="BodyText"/>
      </w:pPr>
      <w:r>
        <w:t>[Name and address of requester]</w:t>
      </w:r>
    </w:p>
    <w:p w14:paraId="64E7E971" w14:textId="77777777" w:rsidR="00CA4089" w:rsidRDefault="00CA4089" w:rsidP="00CA4089">
      <w:pPr>
        <w:pStyle w:val="BodyText"/>
      </w:pPr>
      <w:r>
        <w:t>Dear [name]</w:t>
      </w:r>
    </w:p>
    <w:p w14:paraId="2FF3748F" w14:textId="77777777" w:rsidR="00CA4089" w:rsidRPr="00CA4089" w:rsidRDefault="00CA4089" w:rsidP="00CA4089">
      <w:pPr>
        <w:pStyle w:val="BodyText"/>
        <w:rPr>
          <w:b/>
        </w:rPr>
      </w:pPr>
      <w:r w:rsidRPr="00CA4089">
        <w:rPr>
          <w:b/>
        </w:rPr>
        <w:t>Official information request for [brief detail of subject matter of request]</w:t>
      </w:r>
    </w:p>
    <w:p w14:paraId="29CB69FE" w14:textId="77777777" w:rsidR="00CA4089" w:rsidRDefault="00CA4089" w:rsidP="00CA4089">
      <w:pPr>
        <w:pStyle w:val="BodyText"/>
      </w:pPr>
      <w:r>
        <w:t>I refer to your official information request dated [date] for [brief detail of the subject matter of the request].</w:t>
      </w:r>
    </w:p>
    <w:p w14:paraId="7BADF928" w14:textId="77777777" w:rsidR="00CA4089" w:rsidRDefault="00CA4089" w:rsidP="00CA4089">
      <w:pPr>
        <w:pStyle w:val="BodyText"/>
      </w:pPr>
      <w:r>
        <w:t>This information is already publicly available at [provide directions on where and how to access the information].</w:t>
      </w:r>
    </w:p>
    <w:p w14:paraId="5C3C6319" w14:textId="77777777" w:rsidR="00CA4089" w:rsidRDefault="00CA4089" w:rsidP="00CA4089">
      <w:pPr>
        <w:pStyle w:val="BodyText"/>
      </w:pPr>
      <w:r>
        <w:t xml:space="preserve">As you </w:t>
      </w:r>
      <w:proofErr w:type="gramStart"/>
      <w:r>
        <w:t>are able to</w:t>
      </w:r>
      <w:proofErr w:type="gramEnd"/>
      <w:r>
        <w:t xml:space="preserve"> access this information yourself, I am refusing your request under section </w:t>
      </w:r>
      <w:r w:rsidR="00A239E7">
        <w:t>[</w:t>
      </w:r>
      <w:r>
        <w:t xml:space="preserve">18(d) of the </w:t>
      </w:r>
      <w:proofErr w:type="spellStart"/>
      <w:r>
        <w:t>OIA</w:t>
      </w:r>
      <w:proofErr w:type="spellEnd"/>
      <w:r>
        <w:t xml:space="preserve"> </w:t>
      </w:r>
      <w:r w:rsidR="00A239E7">
        <w:t xml:space="preserve">/ 17(d) of the </w:t>
      </w:r>
      <w:proofErr w:type="spellStart"/>
      <w:r w:rsidR="00A239E7">
        <w:t>LGOIMA</w:t>
      </w:r>
      <w:proofErr w:type="spellEnd"/>
      <w:r w:rsidR="00A239E7">
        <w:t xml:space="preserve">] </w:t>
      </w:r>
      <w:r>
        <w:t>(the information is publicly available).</w:t>
      </w:r>
    </w:p>
    <w:p w14:paraId="13B2A1C2" w14:textId="77777777" w:rsidR="00CA4089" w:rsidRDefault="00CA4089" w:rsidP="00CA4089">
      <w:pPr>
        <w:pStyle w:val="BodyText"/>
      </w:pPr>
      <w:r w:rsidRPr="00CA4089">
        <w:t xml:space="preserve">You have the right to seek an investigation and review by the Ombudsman of this decision. Information about how to make a complaint is available at </w:t>
      </w:r>
      <w:hyperlink r:id="rId12" w:history="1">
        <w:r w:rsidRPr="00AE0169">
          <w:rPr>
            <w:rStyle w:val="Hyperlink"/>
          </w:rPr>
          <w:t>www.ombudsman.parliament.nz</w:t>
        </w:r>
      </w:hyperlink>
      <w:r>
        <w:t xml:space="preserve"> </w:t>
      </w:r>
      <w:r w:rsidRPr="00CA4089">
        <w:t>or freephone 0800 802 602.</w:t>
      </w:r>
    </w:p>
    <w:p w14:paraId="46F443A0" w14:textId="77777777" w:rsidR="00CA4089" w:rsidRDefault="00CA4089" w:rsidP="00CA4089">
      <w:pPr>
        <w:pStyle w:val="BodyText"/>
      </w:pPr>
      <w:r>
        <w:t>If you wish to discuss this decision with us, please feel free to contact [details of contact person].</w:t>
      </w:r>
    </w:p>
    <w:p w14:paraId="23D33B27" w14:textId="77777777" w:rsidR="00CA4089" w:rsidRDefault="00CA4089" w:rsidP="00CA4089">
      <w:pPr>
        <w:pStyle w:val="BodyText"/>
      </w:pPr>
      <w:r>
        <w:t>Yours sincerely</w:t>
      </w:r>
    </w:p>
    <w:p w14:paraId="7990FB77" w14:textId="77777777" w:rsidR="00CA4089" w:rsidRPr="00CA4089" w:rsidRDefault="00CA4089" w:rsidP="00CA4089">
      <w:pPr>
        <w:pStyle w:val="BodyText"/>
      </w:pPr>
      <w:r>
        <w:t>[Name]</w:t>
      </w:r>
    </w:p>
    <w:p w14:paraId="4A0BFC31" w14:textId="77777777" w:rsidR="00B40526" w:rsidRDefault="00B40526">
      <w:pPr>
        <w:spacing w:after="200" w:line="276" w:lineRule="auto"/>
      </w:pPr>
    </w:p>
    <w:p w14:paraId="48D6B64C" w14:textId="77777777" w:rsidR="00CA4089" w:rsidRDefault="00B40526">
      <w:pPr>
        <w:spacing w:after="200" w:line="276" w:lineRule="auto"/>
      </w:pPr>
      <w:hyperlink w:anchor="contents" w:history="1">
        <w:r w:rsidRPr="00B40526">
          <w:rPr>
            <w:rStyle w:val="Hyperlink"/>
          </w:rPr>
          <w:t>Back to contents</w:t>
        </w:r>
      </w:hyperlink>
      <w:r>
        <w:t>.</w:t>
      </w:r>
      <w:r w:rsidR="00CA4089">
        <w:br w:type="page"/>
      </w:r>
    </w:p>
    <w:p w14:paraId="701C5AEC" w14:textId="77777777" w:rsidR="00CA4089" w:rsidRDefault="00CA4089" w:rsidP="00CA4089">
      <w:pPr>
        <w:pStyle w:val="Heading2"/>
      </w:pPr>
      <w:bookmarkStart w:id="26" w:name="_2._Refusal_of"/>
      <w:bookmarkStart w:id="27" w:name="_2._Refusal_letter"/>
      <w:bookmarkStart w:id="28" w:name="_Toc230790012"/>
      <w:bookmarkEnd w:id="26"/>
      <w:bookmarkEnd w:id="27"/>
      <w:r>
        <w:t xml:space="preserve">2. Refusal </w:t>
      </w:r>
      <w:r w:rsidR="003B3A16">
        <w:t>letter</w:t>
      </w:r>
      <w:r>
        <w:t xml:space="preserve"> under section 18(d)</w:t>
      </w:r>
      <w:r w:rsidR="00B97B3D">
        <w:t xml:space="preserve"> </w:t>
      </w:r>
      <w:proofErr w:type="spellStart"/>
      <w:r w:rsidR="00B97B3D">
        <w:t>OIA</w:t>
      </w:r>
      <w:proofErr w:type="spellEnd"/>
      <w:r w:rsidR="00B97B3D">
        <w:t xml:space="preserve"> / 17(d) </w:t>
      </w:r>
      <w:proofErr w:type="spellStart"/>
      <w:r w:rsidR="00B97B3D">
        <w:t>LGOIMA</w:t>
      </w:r>
      <w:proofErr w:type="spellEnd"/>
      <w:r>
        <w:t>—Information soon to be publicly available</w:t>
      </w:r>
      <w:bookmarkEnd w:id="28"/>
    </w:p>
    <w:p w14:paraId="0AD8FD5C" w14:textId="77777777" w:rsidR="00CA4089" w:rsidRDefault="00CA4089" w:rsidP="00CA4089">
      <w:pPr>
        <w:pStyle w:val="BodyText"/>
      </w:pPr>
    </w:p>
    <w:p w14:paraId="417C5C02" w14:textId="77777777" w:rsidR="00CA4089" w:rsidRDefault="00CA4089" w:rsidP="00CA4089">
      <w:pPr>
        <w:pStyle w:val="BodyText"/>
      </w:pPr>
      <w:r>
        <w:t>[Date]</w:t>
      </w:r>
    </w:p>
    <w:p w14:paraId="5AE28B4C" w14:textId="77777777" w:rsidR="00CA4089" w:rsidRDefault="00CA4089" w:rsidP="00CA4089">
      <w:pPr>
        <w:pStyle w:val="BodyText"/>
      </w:pPr>
      <w:r>
        <w:t>[Name and address of requester]</w:t>
      </w:r>
    </w:p>
    <w:p w14:paraId="4006C2E4" w14:textId="77777777" w:rsidR="00CA4089" w:rsidRDefault="00CA4089" w:rsidP="00CA4089">
      <w:pPr>
        <w:pStyle w:val="BodyText"/>
      </w:pPr>
      <w:r>
        <w:t>Dear [name]</w:t>
      </w:r>
    </w:p>
    <w:p w14:paraId="5E6F8E53" w14:textId="77777777" w:rsidR="00CA4089" w:rsidRPr="00CA4089" w:rsidRDefault="00CA4089" w:rsidP="00CA4089">
      <w:pPr>
        <w:pStyle w:val="BodyText"/>
        <w:rPr>
          <w:b/>
        </w:rPr>
      </w:pPr>
      <w:r w:rsidRPr="00CA4089">
        <w:rPr>
          <w:b/>
        </w:rPr>
        <w:t>Official information request for [brief detail of subject matter of request]</w:t>
      </w:r>
    </w:p>
    <w:p w14:paraId="78B3FCC3" w14:textId="77777777" w:rsidR="00CA4089" w:rsidRDefault="00CA4089" w:rsidP="00CA4089">
      <w:pPr>
        <w:pStyle w:val="BodyText"/>
      </w:pPr>
      <w:r>
        <w:t>I refer to your official information request dated [date] for [brief detail of the subject matter of the request].</w:t>
      </w:r>
    </w:p>
    <w:p w14:paraId="2BF4B349" w14:textId="77777777" w:rsidR="00CA4089" w:rsidRDefault="00CA4089" w:rsidP="00CA4089">
      <w:pPr>
        <w:pStyle w:val="BodyText"/>
      </w:pPr>
      <w:r>
        <w:t xml:space="preserve">We will be publishing this information soon [provide details of how and when this will be published]. </w:t>
      </w:r>
    </w:p>
    <w:p w14:paraId="658EC777" w14:textId="77777777" w:rsidR="00A239E7" w:rsidRDefault="00A239E7" w:rsidP="00CA4089">
      <w:pPr>
        <w:pStyle w:val="BodyText"/>
      </w:pPr>
      <w:r>
        <w:t xml:space="preserve">We are therefore refusing your request under section [18(d) of the </w:t>
      </w:r>
      <w:proofErr w:type="spellStart"/>
      <w:r>
        <w:t>OIA</w:t>
      </w:r>
      <w:proofErr w:type="spellEnd"/>
      <w:r>
        <w:t xml:space="preserve"> / 17(d) of the </w:t>
      </w:r>
      <w:proofErr w:type="spellStart"/>
      <w:r>
        <w:t>LGOIMA</w:t>
      </w:r>
      <w:proofErr w:type="spellEnd"/>
      <w:r>
        <w:t>] on the basis that</w:t>
      </w:r>
      <w:r w:rsidR="00F245E3">
        <w:t xml:space="preserve"> the</w:t>
      </w:r>
      <w:r>
        <w:t xml:space="preserve"> information will soon be publicly available. We will write to you again to let you know once the information is published.</w:t>
      </w:r>
    </w:p>
    <w:p w14:paraId="3187192A" w14:textId="77777777" w:rsidR="00CA4089" w:rsidRDefault="00CA4089" w:rsidP="00CA4089">
      <w:pPr>
        <w:pStyle w:val="BodyText"/>
      </w:pPr>
      <w:r w:rsidRPr="00CA4089">
        <w:t xml:space="preserve">You have the right to seek an investigation and review by the Ombudsman of this decision. Information about how to make a complaint is available at </w:t>
      </w:r>
      <w:hyperlink r:id="rId13" w:history="1">
        <w:r w:rsidRPr="00AE0169">
          <w:rPr>
            <w:rStyle w:val="Hyperlink"/>
          </w:rPr>
          <w:t>www.ombudsman.parliament.nz</w:t>
        </w:r>
      </w:hyperlink>
      <w:r>
        <w:t xml:space="preserve"> </w:t>
      </w:r>
      <w:r w:rsidRPr="00CA4089">
        <w:t>or freephone 0800 802 602.</w:t>
      </w:r>
    </w:p>
    <w:p w14:paraId="26DD408B" w14:textId="77777777" w:rsidR="00CA4089" w:rsidRDefault="00CA4089" w:rsidP="00CA4089">
      <w:pPr>
        <w:pStyle w:val="BodyText"/>
      </w:pPr>
      <w:r>
        <w:t>If you wish to discuss this decision with us, please feel free to contact [details of contact person].</w:t>
      </w:r>
    </w:p>
    <w:p w14:paraId="1101D7A3" w14:textId="77777777" w:rsidR="00CA4089" w:rsidRDefault="00CA4089" w:rsidP="00CA4089">
      <w:pPr>
        <w:pStyle w:val="BodyText"/>
      </w:pPr>
      <w:r>
        <w:t>Yours sincerely</w:t>
      </w:r>
    </w:p>
    <w:p w14:paraId="0EBA321A" w14:textId="77777777" w:rsidR="00CA4089" w:rsidRDefault="00CA4089" w:rsidP="00CA4089">
      <w:pPr>
        <w:pStyle w:val="BodyText"/>
      </w:pPr>
      <w:r>
        <w:t>[Name]</w:t>
      </w:r>
    </w:p>
    <w:p w14:paraId="1820D787" w14:textId="77777777" w:rsidR="00B40526" w:rsidRDefault="00B40526" w:rsidP="00CA4089">
      <w:pPr>
        <w:pStyle w:val="BodyText"/>
      </w:pPr>
    </w:p>
    <w:p w14:paraId="3EF925D8" w14:textId="77777777" w:rsidR="00B40526" w:rsidRPr="00CA4089" w:rsidRDefault="00B40526" w:rsidP="00CA4089">
      <w:pPr>
        <w:pStyle w:val="BodyText"/>
      </w:pPr>
      <w:hyperlink w:anchor="contents" w:history="1">
        <w:r w:rsidRPr="00B40526">
          <w:rPr>
            <w:rStyle w:val="Hyperlink"/>
          </w:rPr>
          <w:t>Back to contents</w:t>
        </w:r>
      </w:hyperlink>
      <w:r>
        <w:t>.</w:t>
      </w:r>
    </w:p>
    <w:p w14:paraId="772D941A" w14:textId="77777777" w:rsidR="00A239E7" w:rsidRDefault="00A239E7">
      <w:pPr>
        <w:spacing w:after="200" w:line="276" w:lineRule="auto"/>
      </w:pPr>
      <w:r>
        <w:br w:type="page"/>
      </w:r>
    </w:p>
    <w:p w14:paraId="2A9791F9" w14:textId="77777777" w:rsidR="00CA4089" w:rsidRDefault="00CA4089" w:rsidP="00A239E7">
      <w:pPr>
        <w:pStyle w:val="Heading2"/>
      </w:pPr>
      <w:bookmarkStart w:id="29" w:name="_3._Advice_that"/>
      <w:bookmarkStart w:id="30" w:name="_Toc230790013"/>
      <w:bookmarkEnd w:id="29"/>
      <w:r>
        <w:t>3. Advice</w:t>
      </w:r>
      <w:r w:rsidR="00A239E7">
        <w:t xml:space="preserve"> that information has been published</w:t>
      </w:r>
      <w:bookmarkEnd w:id="30"/>
    </w:p>
    <w:p w14:paraId="13C7BFEC" w14:textId="77777777" w:rsidR="00A239E7" w:rsidRPr="00CA4089" w:rsidRDefault="00A239E7" w:rsidP="00CA4089">
      <w:pPr>
        <w:pStyle w:val="BodyText"/>
      </w:pPr>
    </w:p>
    <w:p w14:paraId="711A78A1" w14:textId="77777777" w:rsidR="00A239E7" w:rsidRDefault="00A239E7" w:rsidP="00A239E7">
      <w:pPr>
        <w:pStyle w:val="BodyText"/>
      </w:pPr>
      <w:r>
        <w:t>[Date]</w:t>
      </w:r>
    </w:p>
    <w:p w14:paraId="1F92A5A9" w14:textId="77777777" w:rsidR="00A239E7" w:rsidRDefault="00A239E7" w:rsidP="00A239E7">
      <w:pPr>
        <w:pStyle w:val="BodyText"/>
      </w:pPr>
      <w:r>
        <w:t>[Name and address of requester]</w:t>
      </w:r>
    </w:p>
    <w:p w14:paraId="57EA10E5" w14:textId="77777777" w:rsidR="00A239E7" w:rsidRDefault="00A239E7" w:rsidP="00A239E7">
      <w:pPr>
        <w:pStyle w:val="BodyText"/>
      </w:pPr>
      <w:r>
        <w:t>Dear [name]</w:t>
      </w:r>
    </w:p>
    <w:p w14:paraId="49970C7D" w14:textId="77777777" w:rsidR="00A239E7" w:rsidRPr="00CA4089" w:rsidRDefault="00A239E7" w:rsidP="00A239E7">
      <w:pPr>
        <w:pStyle w:val="BodyText"/>
        <w:rPr>
          <w:b/>
        </w:rPr>
      </w:pPr>
      <w:r w:rsidRPr="00CA4089">
        <w:rPr>
          <w:b/>
        </w:rPr>
        <w:t>Official information request for [brief detail of subject matter of request]</w:t>
      </w:r>
    </w:p>
    <w:p w14:paraId="42C6F572" w14:textId="77777777" w:rsidR="00A239E7" w:rsidRDefault="00A239E7" w:rsidP="00A239E7">
      <w:pPr>
        <w:pStyle w:val="BodyText"/>
      </w:pPr>
      <w:r>
        <w:t xml:space="preserve">I refer to your official information request for [brief detail of the subject matter of the request] that we refused because the information would </w:t>
      </w:r>
      <w:r w:rsidR="000A6166">
        <w:t>be published soon</w:t>
      </w:r>
      <w:r>
        <w:t>.</w:t>
      </w:r>
    </w:p>
    <w:p w14:paraId="65C2EEAD" w14:textId="77777777" w:rsidR="00A239E7" w:rsidRDefault="00A239E7" w:rsidP="00A239E7">
      <w:pPr>
        <w:pStyle w:val="BodyText"/>
      </w:pPr>
      <w:r>
        <w:t>This letter is to advise that the information you requested has now been published.</w:t>
      </w:r>
      <w:r w:rsidRPr="00A239E7">
        <w:t xml:space="preserve"> </w:t>
      </w:r>
      <w:r>
        <w:t>[Provide directions on where and how to access the information].</w:t>
      </w:r>
    </w:p>
    <w:p w14:paraId="024B6201" w14:textId="77777777" w:rsidR="00A239E7" w:rsidRDefault="00A239E7" w:rsidP="00A239E7">
      <w:pPr>
        <w:pStyle w:val="BodyText"/>
      </w:pPr>
      <w:r>
        <w:t>I hope this information is helpful.</w:t>
      </w:r>
    </w:p>
    <w:p w14:paraId="20FB7D35" w14:textId="77777777" w:rsidR="00A239E7" w:rsidRDefault="00A239E7" w:rsidP="00A239E7">
      <w:pPr>
        <w:pStyle w:val="BodyText"/>
      </w:pPr>
      <w:r>
        <w:t>Yours sincerely</w:t>
      </w:r>
    </w:p>
    <w:p w14:paraId="6AFF209D" w14:textId="77777777" w:rsidR="00A239E7" w:rsidRDefault="00A239E7" w:rsidP="00A239E7">
      <w:pPr>
        <w:pStyle w:val="BodyText"/>
      </w:pPr>
      <w:r>
        <w:t>[Name]</w:t>
      </w:r>
    </w:p>
    <w:p w14:paraId="58930704" w14:textId="77777777" w:rsidR="00B40526" w:rsidRDefault="00B40526" w:rsidP="00A239E7">
      <w:pPr>
        <w:pStyle w:val="BodyText"/>
      </w:pPr>
    </w:p>
    <w:p w14:paraId="1B811885" w14:textId="77777777" w:rsidR="00B40526" w:rsidRDefault="00B40526" w:rsidP="00A239E7">
      <w:pPr>
        <w:pStyle w:val="BodyText"/>
      </w:pPr>
      <w:hyperlink w:anchor="contents" w:history="1">
        <w:r w:rsidRPr="00B40526">
          <w:rPr>
            <w:rStyle w:val="Hyperlink"/>
          </w:rPr>
          <w:t>Back to contents</w:t>
        </w:r>
      </w:hyperlink>
      <w:r>
        <w:t>.</w:t>
      </w:r>
    </w:p>
    <w:p w14:paraId="429667A7" w14:textId="77777777" w:rsidR="00372EF3" w:rsidRDefault="00372EF3">
      <w:pPr>
        <w:spacing w:after="200" w:line="276" w:lineRule="auto"/>
      </w:pPr>
      <w:r>
        <w:br w:type="page"/>
      </w:r>
    </w:p>
    <w:p w14:paraId="1F135A7F" w14:textId="77777777" w:rsidR="00372EF3" w:rsidRPr="00CA4089" w:rsidRDefault="00372EF3" w:rsidP="00372EF3">
      <w:pPr>
        <w:pStyle w:val="Heading2"/>
      </w:pPr>
      <w:bookmarkStart w:id="31" w:name="_4._Advice_that"/>
      <w:bookmarkStart w:id="32" w:name="_Toc230790014"/>
      <w:bookmarkEnd w:id="31"/>
      <w:r>
        <w:t>4. Advice that publication has been delayed</w:t>
      </w:r>
      <w:bookmarkEnd w:id="32"/>
    </w:p>
    <w:p w14:paraId="44837209" w14:textId="77777777" w:rsidR="003D5E5C" w:rsidRDefault="003D5E5C" w:rsidP="003D5E5C">
      <w:pPr>
        <w:pStyle w:val="BodyText"/>
      </w:pPr>
    </w:p>
    <w:p w14:paraId="01BA8A15" w14:textId="77777777" w:rsidR="003D5E5C" w:rsidRDefault="003D5E5C" w:rsidP="003D5E5C">
      <w:pPr>
        <w:pStyle w:val="BodyText"/>
      </w:pPr>
      <w:r>
        <w:t>[Date]</w:t>
      </w:r>
    </w:p>
    <w:p w14:paraId="6C4FEDB1" w14:textId="77777777" w:rsidR="003D5E5C" w:rsidRDefault="003D5E5C" w:rsidP="003D5E5C">
      <w:pPr>
        <w:pStyle w:val="BodyText"/>
      </w:pPr>
      <w:r>
        <w:t>[Name and address of requester]</w:t>
      </w:r>
    </w:p>
    <w:p w14:paraId="515E83A2" w14:textId="77777777" w:rsidR="003D5E5C" w:rsidRDefault="003D5E5C" w:rsidP="003D5E5C">
      <w:pPr>
        <w:pStyle w:val="BodyText"/>
      </w:pPr>
      <w:r>
        <w:t>Dear [name]</w:t>
      </w:r>
    </w:p>
    <w:p w14:paraId="31ECB0A6" w14:textId="77777777" w:rsidR="003D5E5C" w:rsidRPr="00CA4089" w:rsidRDefault="003D5E5C" w:rsidP="003D5E5C">
      <w:pPr>
        <w:pStyle w:val="BodyText"/>
        <w:rPr>
          <w:b/>
        </w:rPr>
      </w:pPr>
      <w:r w:rsidRPr="00CA4089">
        <w:rPr>
          <w:b/>
        </w:rPr>
        <w:t>Official information request for [brief detail of subject matter of request]</w:t>
      </w:r>
    </w:p>
    <w:p w14:paraId="60419F21" w14:textId="77777777" w:rsidR="003D5E5C" w:rsidRDefault="003D5E5C" w:rsidP="003D5E5C">
      <w:pPr>
        <w:pStyle w:val="BodyText"/>
      </w:pPr>
      <w:r>
        <w:t xml:space="preserve">I refer to your official information request for [brief detail of the subject matter of the request] that we refused because the information would </w:t>
      </w:r>
      <w:r w:rsidR="000A6166">
        <w:t>be published soon</w:t>
      </w:r>
      <w:r>
        <w:t>.</w:t>
      </w:r>
    </w:p>
    <w:p w14:paraId="50829220" w14:textId="77777777" w:rsidR="003D5E5C" w:rsidRDefault="003D5E5C" w:rsidP="00553AF5">
      <w:pPr>
        <w:pStyle w:val="BodyText"/>
      </w:pPr>
      <w:r>
        <w:t>This lette</w:t>
      </w:r>
      <w:r w:rsidR="00D37D6E">
        <w:t>r is to advise that we have unfortunately not been able to publish the information within the anticipated timeframe</w:t>
      </w:r>
      <w:r w:rsidR="00553AF5">
        <w:t>. We are now expecting the information to be published by [date]. We apologise for the delay.</w:t>
      </w:r>
    </w:p>
    <w:p w14:paraId="3C2CA6FF" w14:textId="77777777" w:rsidR="00553AF5" w:rsidRDefault="00553AF5" w:rsidP="00553AF5">
      <w:pPr>
        <w:pStyle w:val="BodyText"/>
      </w:pPr>
      <w:r>
        <w:t xml:space="preserve">If you are dissatisfied with our handling of your official information request, you can complain to the Ombudsman. </w:t>
      </w:r>
      <w:r w:rsidRPr="00CA4089">
        <w:t xml:space="preserve">Information about how to make a complaint is available at </w:t>
      </w:r>
      <w:hyperlink r:id="rId14" w:history="1">
        <w:r w:rsidRPr="00AE0169">
          <w:rPr>
            <w:rStyle w:val="Hyperlink"/>
          </w:rPr>
          <w:t>www.ombudsman.parliament.nz</w:t>
        </w:r>
      </w:hyperlink>
      <w:r>
        <w:t xml:space="preserve"> </w:t>
      </w:r>
      <w:r w:rsidRPr="00CA4089">
        <w:t>or freephone 0800 802 602.</w:t>
      </w:r>
    </w:p>
    <w:p w14:paraId="180F6885" w14:textId="77777777" w:rsidR="003D5E5C" w:rsidRDefault="003D5E5C" w:rsidP="00553AF5">
      <w:pPr>
        <w:pStyle w:val="BodyText"/>
      </w:pPr>
      <w:r>
        <w:t>Yours sincerely</w:t>
      </w:r>
    </w:p>
    <w:p w14:paraId="22296EAA" w14:textId="77777777" w:rsidR="003D5E5C" w:rsidRDefault="003D5E5C" w:rsidP="003D5E5C">
      <w:pPr>
        <w:pStyle w:val="BodyText"/>
      </w:pPr>
      <w:r>
        <w:t>[Name]</w:t>
      </w:r>
    </w:p>
    <w:p w14:paraId="2A873A03" w14:textId="77777777" w:rsidR="00B40526" w:rsidRDefault="00B40526" w:rsidP="003D5E5C">
      <w:pPr>
        <w:pStyle w:val="BodyText"/>
      </w:pPr>
    </w:p>
    <w:p w14:paraId="20C95F28" w14:textId="77777777" w:rsidR="00B40526" w:rsidRDefault="00B40526" w:rsidP="003D5E5C">
      <w:pPr>
        <w:pStyle w:val="BodyText"/>
      </w:pPr>
      <w:hyperlink w:anchor="contents" w:history="1">
        <w:r w:rsidRPr="00B40526">
          <w:rPr>
            <w:rStyle w:val="Hyperlink"/>
          </w:rPr>
          <w:t>Back to contents</w:t>
        </w:r>
      </w:hyperlink>
      <w:r>
        <w:t>.</w:t>
      </w:r>
    </w:p>
    <w:p w14:paraId="685441BE" w14:textId="77777777" w:rsidR="002052B2" w:rsidRPr="002052B2" w:rsidRDefault="002052B2" w:rsidP="002052B2">
      <w:pPr>
        <w:pStyle w:val="BodyText"/>
      </w:pPr>
    </w:p>
    <w:p w14:paraId="036B096B" w14:textId="77777777" w:rsidR="00497FE4" w:rsidRDefault="00497FE4" w:rsidP="00497FE4">
      <w:pPr>
        <w:pStyle w:val="HeadingAppendix"/>
      </w:pPr>
      <w:bookmarkStart w:id="33" w:name="_Toc230790015"/>
      <w:r>
        <w:t>Case studies</w:t>
      </w:r>
      <w:bookmarkEnd w:id="33"/>
    </w:p>
    <w:p w14:paraId="3C54F6DC" w14:textId="77777777" w:rsidR="00497FE4" w:rsidRDefault="00497FE4" w:rsidP="00497FE4">
      <w:pPr>
        <w:pStyle w:val="BodyText"/>
      </w:pPr>
      <w:r>
        <w:t xml:space="preserve">These case studies are published under the authority of the </w:t>
      </w:r>
      <w:hyperlink r:id="rId15" w:history="1">
        <w:r>
          <w:rPr>
            <w:rStyle w:val="Hyperlink"/>
          </w:rPr>
          <w:t>Ombudsmen Rules 1989</w:t>
        </w:r>
      </w:hyperlink>
      <w:r>
        <w:t>. They set out an Ombudsman’s view on the facts of a particular case. They should not be taken as establishing any legal precedent that would bind an Ombudsman in future.</w:t>
      </w:r>
    </w:p>
    <w:p w14:paraId="228F171D" w14:textId="77777777" w:rsidR="00A368BB" w:rsidRPr="00CC1411" w:rsidRDefault="00A368BB" w:rsidP="00A368BB">
      <w:pPr>
        <w:pStyle w:val="Heading2"/>
        <w:numPr>
          <w:ilvl w:val="1"/>
          <w:numId w:val="32"/>
        </w:numPr>
        <w:spacing w:before="0"/>
      </w:pPr>
      <w:bookmarkStart w:id="34" w:name="_Index"/>
      <w:bookmarkStart w:id="35" w:name="_Toc475609583"/>
      <w:bookmarkStart w:id="36" w:name="_Toc478134586"/>
      <w:bookmarkStart w:id="37" w:name="_Toc507062838"/>
      <w:bookmarkStart w:id="38" w:name="_Toc230790016"/>
      <w:bookmarkEnd w:id="34"/>
      <w:r>
        <w:t>Index</w:t>
      </w:r>
      <w:bookmarkEnd w:id="35"/>
      <w:bookmarkEnd w:id="36"/>
      <w:bookmarkEnd w:id="37"/>
      <w:bookmarkEnd w:id="38"/>
    </w:p>
    <w:tbl>
      <w:tblPr>
        <w:tblStyle w:val="TableGrid"/>
        <w:tblW w:w="9300" w:type="dxa"/>
        <w:tblInd w:w="108" w:type="dxa"/>
        <w:tblLayout w:type="fixed"/>
        <w:tblLook w:val="0620" w:firstRow="1" w:lastRow="0" w:firstColumn="0" w:lastColumn="0" w:noHBand="1" w:noVBand="1"/>
      </w:tblPr>
      <w:tblGrid>
        <w:gridCol w:w="1418"/>
        <w:gridCol w:w="1417"/>
        <w:gridCol w:w="6465"/>
      </w:tblGrid>
      <w:tr w:rsidR="003B1B8B" w14:paraId="6782EDF3" w14:textId="77777777" w:rsidTr="0061174D">
        <w:trPr>
          <w:cnfStyle w:val="100000000000" w:firstRow="1" w:lastRow="0" w:firstColumn="0" w:lastColumn="0" w:oddVBand="0" w:evenVBand="0" w:oddHBand="0" w:evenHBand="0" w:firstRowFirstColumn="0" w:firstRowLastColumn="0" w:lastRowFirstColumn="0" w:lastRowLastColumn="0"/>
          <w:cantSplit/>
        </w:trPr>
        <w:tc>
          <w:tcPr>
            <w:tcW w:w="9300" w:type="dxa"/>
            <w:gridSpan w:val="3"/>
            <w:tcBorders>
              <w:left w:val="single" w:sz="4" w:space="0" w:color="A6A6A6" w:themeColor="background1" w:themeShade="A6"/>
              <w:right w:val="single" w:sz="4" w:space="0" w:color="A6A6A6" w:themeColor="background1" w:themeShade="A6"/>
            </w:tcBorders>
          </w:tcPr>
          <w:p w14:paraId="6676680F" w14:textId="77777777" w:rsidR="003B1B8B" w:rsidRDefault="008765C6" w:rsidP="0061174D">
            <w:pPr>
              <w:pStyle w:val="Tableheadingrow1"/>
              <w:spacing w:line="240" w:lineRule="atLeast"/>
            </w:pPr>
            <w:r>
              <w:t>Information publicly available</w:t>
            </w:r>
          </w:p>
        </w:tc>
      </w:tr>
      <w:tr w:rsidR="008765C6" w14:paraId="04C709B4" w14:textId="77777777" w:rsidTr="0061174D">
        <w:trPr>
          <w:cantSplit/>
        </w:trPr>
        <w:tc>
          <w:tcPr>
            <w:tcW w:w="1418" w:type="dxa"/>
            <w:tcBorders>
              <w:left w:val="single" w:sz="4" w:space="0" w:color="A6A6A6" w:themeColor="background1" w:themeShade="A6"/>
            </w:tcBorders>
          </w:tcPr>
          <w:p w14:paraId="24EF6FB3" w14:textId="77777777" w:rsidR="008765C6" w:rsidRPr="00A368BB" w:rsidRDefault="008765C6" w:rsidP="008765C6">
            <w:pPr>
              <w:pStyle w:val="Tablesinglespacedparagraph"/>
              <w:widowControl w:val="0"/>
            </w:pPr>
            <w:r w:rsidRPr="00A06467">
              <w:t>444073</w:t>
            </w:r>
          </w:p>
        </w:tc>
        <w:tc>
          <w:tcPr>
            <w:tcW w:w="1417" w:type="dxa"/>
          </w:tcPr>
          <w:p w14:paraId="109CF980" w14:textId="77777777" w:rsidR="008765C6" w:rsidRDefault="008765C6" w:rsidP="008765C6">
            <w:pPr>
              <w:pStyle w:val="Tablesinglespacedparagraph"/>
              <w:widowControl w:val="0"/>
            </w:pPr>
            <w:r>
              <w:t>2017</w:t>
            </w:r>
          </w:p>
        </w:tc>
        <w:bookmarkStart w:id="39" w:name="index444073"/>
        <w:bookmarkEnd w:id="39"/>
        <w:tc>
          <w:tcPr>
            <w:tcW w:w="6465" w:type="dxa"/>
            <w:tcBorders>
              <w:right w:val="single" w:sz="4" w:space="0" w:color="A6A6A6" w:themeColor="background1" w:themeShade="A6"/>
            </w:tcBorders>
          </w:tcPr>
          <w:p w14:paraId="711C644F" w14:textId="77777777" w:rsidR="008765C6" w:rsidRDefault="0029128B" w:rsidP="008765C6">
            <w:pPr>
              <w:pStyle w:val="Tablesinglespacedparagraph"/>
              <w:widowControl w:val="0"/>
            </w:pPr>
            <w:r>
              <w:fldChar w:fldCharType="begin"/>
            </w:r>
            <w:r>
              <w:instrText xml:space="preserve"> HYPERLINK \l "case444073" </w:instrText>
            </w:r>
            <w:r>
              <w:fldChar w:fldCharType="separate"/>
            </w:r>
            <w:r w:rsidR="008765C6" w:rsidRPr="00D162DD">
              <w:rPr>
                <w:rStyle w:val="Hyperlink"/>
              </w:rPr>
              <w:t>Request from a prisoner unable to access publicly available information</w:t>
            </w:r>
            <w:r>
              <w:rPr>
                <w:rStyle w:val="Hyperlink"/>
              </w:rPr>
              <w:fldChar w:fldCharType="end"/>
            </w:r>
            <w:r w:rsidR="008765C6">
              <w:t xml:space="preserve"> </w:t>
            </w:r>
          </w:p>
          <w:p w14:paraId="69412F78" w14:textId="77777777" w:rsidR="008765C6" w:rsidRDefault="008765C6" w:rsidP="008765C6">
            <w:pPr>
              <w:pStyle w:val="Tablesinglespacedparagraph"/>
              <w:widowControl w:val="0"/>
            </w:pPr>
            <w:r>
              <w:rPr>
                <w:i/>
                <w:sz w:val="20"/>
                <w:szCs w:val="20"/>
              </w:rPr>
              <w:t>U</w:t>
            </w:r>
            <w:r w:rsidRPr="00D162DD">
              <w:rPr>
                <w:i/>
                <w:sz w:val="20"/>
                <w:szCs w:val="20"/>
              </w:rPr>
              <w:t xml:space="preserve">nreasonable to </w:t>
            </w:r>
            <w:r>
              <w:rPr>
                <w:i/>
                <w:sz w:val="20"/>
                <w:szCs w:val="20"/>
              </w:rPr>
              <w:t xml:space="preserve">rely on section 18(d) in circumstances where the information was not accessible to the requester </w:t>
            </w:r>
          </w:p>
        </w:tc>
      </w:tr>
      <w:tr w:rsidR="0023319C" w14:paraId="1800B23B" w14:textId="77777777" w:rsidTr="0061174D">
        <w:trPr>
          <w:cantSplit/>
        </w:trPr>
        <w:tc>
          <w:tcPr>
            <w:tcW w:w="1418" w:type="dxa"/>
            <w:tcBorders>
              <w:left w:val="single" w:sz="4" w:space="0" w:color="A6A6A6" w:themeColor="background1" w:themeShade="A6"/>
            </w:tcBorders>
          </w:tcPr>
          <w:p w14:paraId="62CC0293" w14:textId="77777777" w:rsidR="0023319C" w:rsidRPr="00A06467" w:rsidRDefault="0023319C" w:rsidP="008765C6">
            <w:pPr>
              <w:pStyle w:val="Tablesinglespacedparagraph"/>
              <w:widowControl w:val="0"/>
            </w:pPr>
            <w:r>
              <w:t>343431</w:t>
            </w:r>
          </w:p>
        </w:tc>
        <w:tc>
          <w:tcPr>
            <w:tcW w:w="1417" w:type="dxa"/>
          </w:tcPr>
          <w:p w14:paraId="478BA67B" w14:textId="77777777" w:rsidR="0023319C" w:rsidRDefault="0023319C" w:rsidP="008765C6">
            <w:pPr>
              <w:pStyle w:val="Tablesinglespacedparagraph"/>
              <w:widowControl w:val="0"/>
            </w:pPr>
            <w:r>
              <w:t>2017</w:t>
            </w:r>
          </w:p>
        </w:tc>
        <w:bookmarkStart w:id="40" w:name="index343431"/>
        <w:bookmarkEnd w:id="40"/>
        <w:tc>
          <w:tcPr>
            <w:tcW w:w="6465" w:type="dxa"/>
            <w:tcBorders>
              <w:right w:val="single" w:sz="4" w:space="0" w:color="A6A6A6" w:themeColor="background1" w:themeShade="A6"/>
            </w:tcBorders>
          </w:tcPr>
          <w:p w14:paraId="537E97CC" w14:textId="77777777" w:rsidR="0023319C" w:rsidRDefault="0029128B" w:rsidP="008765C6">
            <w:pPr>
              <w:pStyle w:val="Tablesinglespacedparagraph"/>
              <w:widowControl w:val="0"/>
            </w:pPr>
            <w:r>
              <w:fldChar w:fldCharType="begin"/>
            </w:r>
            <w:r>
              <w:instrText xml:space="preserve"> HYPERLINK \l "case343431" </w:instrText>
            </w:r>
            <w:r>
              <w:fldChar w:fldCharType="separate"/>
            </w:r>
            <w:r w:rsidR="0023319C" w:rsidRPr="002C5F1C">
              <w:rPr>
                <w:rStyle w:val="Hyperlink"/>
              </w:rPr>
              <w:t>Signed original deed of conveyance</w:t>
            </w:r>
            <w:r>
              <w:rPr>
                <w:rStyle w:val="Hyperlink"/>
              </w:rPr>
              <w:fldChar w:fldCharType="end"/>
            </w:r>
          </w:p>
          <w:p w14:paraId="3A924227" w14:textId="77777777" w:rsidR="0023319C" w:rsidRDefault="00114A85" w:rsidP="008765C6">
            <w:pPr>
              <w:pStyle w:val="Tablesinglespacedparagraph"/>
              <w:widowControl w:val="0"/>
            </w:pPr>
            <w:r>
              <w:rPr>
                <w:i/>
                <w:sz w:val="20"/>
                <w:szCs w:val="20"/>
              </w:rPr>
              <w:t xml:space="preserve">Section 18(d) </w:t>
            </w:r>
            <w:proofErr w:type="gramStart"/>
            <w:r>
              <w:rPr>
                <w:i/>
                <w:sz w:val="20"/>
                <w:szCs w:val="20"/>
              </w:rPr>
              <w:t>applied—</w:t>
            </w:r>
            <w:r w:rsidR="00563962">
              <w:rPr>
                <w:i/>
                <w:sz w:val="20"/>
                <w:szCs w:val="20"/>
              </w:rPr>
              <w:t>i</w:t>
            </w:r>
            <w:r w:rsidR="002C5F1C" w:rsidRPr="002C5F1C">
              <w:rPr>
                <w:i/>
                <w:sz w:val="20"/>
                <w:szCs w:val="20"/>
              </w:rPr>
              <w:t>nformation</w:t>
            </w:r>
            <w:proofErr w:type="gramEnd"/>
            <w:r w:rsidR="002C5F1C" w:rsidRPr="002C5F1C">
              <w:rPr>
                <w:i/>
                <w:sz w:val="20"/>
                <w:szCs w:val="20"/>
              </w:rPr>
              <w:t xml:space="preserve"> held at Archives New Zealand was publicly available</w:t>
            </w:r>
          </w:p>
        </w:tc>
      </w:tr>
      <w:tr w:rsidR="001870BE" w14:paraId="78D05C16" w14:textId="77777777" w:rsidTr="0061174D">
        <w:trPr>
          <w:cantSplit/>
        </w:trPr>
        <w:tc>
          <w:tcPr>
            <w:tcW w:w="1418" w:type="dxa"/>
            <w:tcBorders>
              <w:left w:val="single" w:sz="4" w:space="0" w:color="A6A6A6" w:themeColor="background1" w:themeShade="A6"/>
            </w:tcBorders>
          </w:tcPr>
          <w:p w14:paraId="6DC22FA9" w14:textId="77777777" w:rsidR="001870BE" w:rsidRDefault="008452AD" w:rsidP="008765C6">
            <w:pPr>
              <w:pStyle w:val="Tablesinglespacedparagraph"/>
              <w:widowControl w:val="0"/>
            </w:pPr>
            <w:r>
              <w:t>413631</w:t>
            </w:r>
          </w:p>
        </w:tc>
        <w:tc>
          <w:tcPr>
            <w:tcW w:w="1417" w:type="dxa"/>
          </w:tcPr>
          <w:p w14:paraId="4DAB695E" w14:textId="77777777" w:rsidR="001870BE" w:rsidRDefault="008452AD" w:rsidP="008765C6">
            <w:pPr>
              <w:pStyle w:val="Tablesinglespacedparagraph"/>
              <w:widowControl w:val="0"/>
            </w:pPr>
            <w:r>
              <w:t>2017</w:t>
            </w:r>
          </w:p>
        </w:tc>
        <w:bookmarkStart w:id="41" w:name="index413631"/>
        <w:bookmarkEnd w:id="41"/>
        <w:tc>
          <w:tcPr>
            <w:tcW w:w="6465" w:type="dxa"/>
            <w:tcBorders>
              <w:right w:val="single" w:sz="4" w:space="0" w:color="A6A6A6" w:themeColor="background1" w:themeShade="A6"/>
            </w:tcBorders>
          </w:tcPr>
          <w:p w14:paraId="43F62878" w14:textId="77777777" w:rsidR="001870BE" w:rsidRDefault="0029128B" w:rsidP="001870BE">
            <w:pPr>
              <w:pStyle w:val="Tablesinglespacedparagraph"/>
              <w:widowControl w:val="0"/>
            </w:pPr>
            <w:r>
              <w:fldChar w:fldCharType="begin"/>
            </w:r>
            <w:r>
              <w:instrText xml:space="preserve"> HYPERLINK \l "case413631" </w:instrText>
            </w:r>
            <w:r>
              <w:fldChar w:fldCharType="separate"/>
            </w:r>
            <w:r w:rsidR="001870BE" w:rsidRPr="00934B56">
              <w:rPr>
                <w:rStyle w:val="Hyperlink"/>
              </w:rPr>
              <w:t>CSV copy of the Teachers Register</w:t>
            </w:r>
            <w:r>
              <w:rPr>
                <w:rStyle w:val="Hyperlink"/>
              </w:rPr>
              <w:fldChar w:fldCharType="end"/>
            </w:r>
          </w:p>
          <w:p w14:paraId="557B5DF5" w14:textId="77777777" w:rsidR="001870BE" w:rsidRDefault="005F11A5" w:rsidP="008765C6">
            <w:pPr>
              <w:pStyle w:val="Tablesinglespacedparagraph"/>
              <w:widowControl w:val="0"/>
            </w:pPr>
            <w:r w:rsidRPr="000417E0">
              <w:rPr>
                <w:i/>
                <w:sz w:val="20"/>
                <w:szCs w:val="20"/>
              </w:rPr>
              <w:t>Section 18(d) did not apply—</w:t>
            </w:r>
            <w:r w:rsidR="00563962">
              <w:rPr>
                <w:i/>
                <w:sz w:val="20"/>
                <w:szCs w:val="20"/>
              </w:rPr>
              <w:t>i</w:t>
            </w:r>
            <w:r>
              <w:rPr>
                <w:i/>
                <w:sz w:val="20"/>
                <w:szCs w:val="20"/>
              </w:rPr>
              <w:t>nformation was not publicly available in the form requested</w:t>
            </w:r>
          </w:p>
        </w:tc>
      </w:tr>
      <w:tr w:rsidR="00FC7364" w14:paraId="0B4C0310" w14:textId="77777777" w:rsidTr="0061174D">
        <w:trPr>
          <w:cantSplit/>
        </w:trPr>
        <w:tc>
          <w:tcPr>
            <w:tcW w:w="1418" w:type="dxa"/>
            <w:tcBorders>
              <w:left w:val="single" w:sz="4" w:space="0" w:color="A6A6A6" w:themeColor="background1" w:themeShade="A6"/>
            </w:tcBorders>
          </w:tcPr>
          <w:p w14:paraId="6C69C142" w14:textId="77777777" w:rsidR="00FC7364" w:rsidRPr="00604865" w:rsidRDefault="00FC7364" w:rsidP="00FC7364">
            <w:pPr>
              <w:pStyle w:val="Tablesinglespacedparagraph"/>
              <w:widowControl w:val="0"/>
            </w:pPr>
            <w:r>
              <w:t>377705</w:t>
            </w:r>
          </w:p>
        </w:tc>
        <w:tc>
          <w:tcPr>
            <w:tcW w:w="1417" w:type="dxa"/>
          </w:tcPr>
          <w:p w14:paraId="3027F830" w14:textId="77777777" w:rsidR="00FC7364" w:rsidRDefault="00FC7364" w:rsidP="00FC7364">
            <w:pPr>
              <w:pStyle w:val="Tablesinglespacedparagraph"/>
              <w:widowControl w:val="0"/>
            </w:pPr>
            <w:r>
              <w:t>2015</w:t>
            </w:r>
          </w:p>
        </w:tc>
        <w:bookmarkStart w:id="42" w:name="index377705"/>
        <w:bookmarkEnd w:id="42"/>
        <w:tc>
          <w:tcPr>
            <w:tcW w:w="6465" w:type="dxa"/>
            <w:tcBorders>
              <w:right w:val="single" w:sz="4" w:space="0" w:color="A6A6A6" w:themeColor="background1" w:themeShade="A6"/>
            </w:tcBorders>
          </w:tcPr>
          <w:p w14:paraId="086922FB" w14:textId="77777777" w:rsidR="00FC7364" w:rsidRDefault="0029128B" w:rsidP="00FC7364">
            <w:pPr>
              <w:pStyle w:val="Tablesinglespacedparagraph"/>
              <w:widowControl w:val="0"/>
            </w:pPr>
            <w:r>
              <w:fldChar w:fldCharType="begin"/>
            </w:r>
            <w:r>
              <w:instrText xml:space="preserve"> HYPERLINK \l "case377705" </w:instrText>
            </w:r>
            <w:r>
              <w:fldChar w:fldCharType="separate"/>
            </w:r>
            <w:r w:rsidR="00FC7364" w:rsidRPr="005114B4">
              <w:rPr>
                <w:rStyle w:val="Hyperlink"/>
              </w:rPr>
              <w:t>Research relied on</w:t>
            </w:r>
            <w:r>
              <w:rPr>
                <w:rStyle w:val="Hyperlink"/>
              </w:rPr>
              <w:fldChar w:fldCharType="end"/>
            </w:r>
            <w:r w:rsidR="00FC7364">
              <w:t xml:space="preserve"> </w:t>
            </w:r>
          </w:p>
          <w:p w14:paraId="446FACFB" w14:textId="77777777" w:rsidR="00FC7364" w:rsidRDefault="00D71684" w:rsidP="00FC7364">
            <w:pPr>
              <w:pStyle w:val="Tablesinglespacedparagraph"/>
              <w:widowControl w:val="0"/>
            </w:pPr>
            <w:r>
              <w:rPr>
                <w:i/>
                <w:sz w:val="20"/>
                <w:szCs w:val="20"/>
              </w:rPr>
              <w:t>R</w:t>
            </w:r>
            <w:r w:rsidR="00AE0676" w:rsidRPr="00AE0676">
              <w:rPr>
                <w:i/>
                <w:sz w:val="20"/>
                <w:szCs w:val="20"/>
              </w:rPr>
              <w:t xml:space="preserve">equester </w:t>
            </w:r>
            <w:r>
              <w:rPr>
                <w:i/>
                <w:sz w:val="20"/>
                <w:szCs w:val="20"/>
              </w:rPr>
              <w:t xml:space="preserve">must be told </w:t>
            </w:r>
            <w:r w:rsidR="00AE0676" w:rsidRPr="00AE0676">
              <w:rPr>
                <w:i/>
                <w:sz w:val="20"/>
                <w:szCs w:val="20"/>
              </w:rPr>
              <w:t>where they can access the publicly available information</w:t>
            </w:r>
            <w:r w:rsidR="00AE0676">
              <w:t xml:space="preserve">  </w:t>
            </w:r>
          </w:p>
        </w:tc>
      </w:tr>
      <w:tr w:rsidR="00FC7364" w14:paraId="40FAB16E" w14:textId="77777777" w:rsidTr="0061174D">
        <w:trPr>
          <w:cantSplit/>
        </w:trPr>
        <w:tc>
          <w:tcPr>
            <w:tcW w:w="1418" w:type="dxa"/>
            <w:tcBorders>
              <w:left w:val="single" w:sz="4" w:space="0" w:color="A6A6A6" w:themeColor="background1" w:themeShade="A6"/>
            </w:tcBorders>
            <w:hideMark/>
          </w:tcPr>
          <w:p w14:paraId="7E1E232C" w14:textId="77777777" w:rsidR="00FC7364" w:rsidRPr="00A06467" w:rsidRDefault="00FC7364" w:rsidP="00FC7364">
            <w:pPr>
              <w:pStyle w:val="Tablesinglespacedparagraph"/>
              <w:widowControl w:val="0"/>
            </w:pPr>
            <w:r w:rsidRPr="007B66F1">
              <w:t>345580</w:t>
            </w:r>
          </w:p>
        </w:tc>
        <w:tc>
          <w:tcPr>
            <w:tcW w:w="1417" w:type="dxa"/>
            <w:hideMark/>
          </w:tcPr>
          <w:p w14:paraId="65384F2F" w14:textId="77777777" w:rsidR="00FC7364" w:rsidRDefault="00FC7364" w:rsidP="00FC7364">
            <w:pPr>
              <w:pStyle w:val="Tablesinglespacedparagraph"/>
              <w:widowControl w:val="0"/>
            </w:pPr>
            <w:r>
              <w:t>2015</w:t>
            </w:r>
          </w:p>
        </w:tc>
        <w:bookmarkStart w:id="43" w:name="index345580"/>
        <w:bookmarkEnd w:id="43"/>
        <w:tc>
          <w:tcPr>
            <w:tcW w:w="6465" w:type="dxa"/>
            <w:tcBorders>
              <w:right w:val="single" w:sz="4" w:space="0" w:color="A6A6A6" w:themeColor="background1" w:themeShade="A6"/>
            </w:tcBorders>
            <w:hideMark/>
          </w:tcPr>
          <w:p w14:paraId="3C42B62F" w14:textId="77777777" w:rsidR="00FC7364" w:rsidRDefault="0029128B" w:rsidP="00FC7364">
            <w:pPr>
              <w:pStyle w:val="Tablesinglespacedparagraph"/>
              <w:widowControl w:val="0"/>
            </w:pPr>
            <w:r>
              <w:fldChar w:fldCharType="begin"/>
            </w:r>
            <w:r>
              <w:instrText xml:space="preserve"> HYPERLINK \l "case345580" </w:instrText>
            </w:r>
            <w:r>
              <w:fldChar w:fldCharType="separate"/>
            </w:r>
            <w:r w:rsidR="00FC7364" w:rsidRPr="007B66F1">
              <w:rPr>
                <w:rStyle w:val="Hyperlink"/>
              </w:rPr>
              <w:t>Correspondence about a court judgment</w:t>
            </w:r>
            <w:r>
              <w:rPr>
                <w:rStyle w:val="Hyperlink"/>
              </w:rPr>
              <w:fldChar w:fldCharType="end"/>
            </w:r>
          </w:p>
          <w:p w14:paraId="6654096E" w14:textId="77777777" w:rsidR="00FC7364" w:rsidRPr="003B1B8B" w:rsidRDefault="00563962" w:rsidP="00FC7364">
            <w:pPr>
              <w:pStyle w:val="Tablesinglespacedparagraph"/>
              <w:widowControl w:val="0"/>
              <w:rPr>
                <w:i/>
                <w:sz w:val="20"/>
                <w:szCs w:val="20"/>
              </w:rPr>
            </w:pPr>
            <w:r>
              <w:rPr>
                <w:i/>
                <w:sz w:val="20"/>
                <w:szCs w:val="20"/>
              </w:rPr>
              <w:t>Section 18(d) did not apply—a</w:t>
            </w:r>
            <w:r w:rsidR="00FC7364" w:rsidRPr="003B1B8B">
              <w:rPr>
                <w:i/>
                <w:sz w:val="20"/>
                <w:szCs w:val="20"/>
              </w:rPr>
              <w:t xml:space="preserve"> </w:t>
            </w:r>
            <w:r w:rsidR="00FC7364">
              <w:rPr>
                <w:i/>
                <w:sz w:val="20"/>
                <w:szCs w:val="20"/>
              </w:rPr>
              <w:t>summary of a court judgment was not publicly available just because the court judgment was</w:t>
            </w:r>
          </w:p>
        </w:tc>
      </w:tr>
      <w:tr w:rsidR="00FC7364" w14:paraId="2A4E085F" w14:textId="77777777" w:rsidTr="0061174D">
        <w:trPr>
          <w:cantSplit/>
        </w:trPr>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759516" w14:textId="77777777" w:rsidR="00FC7364" w:rsidRPr="00604865" w:rsidRDefault="00FC7364" w:rsidP="00FC7364">
            <w:pPr>
              <w:pStyle w:val="Tablesinglespacedparagraph"/>
              <w:widowControl w:val="0"/>
            </w:pPr>
            <w:r>
              <w:t>305527</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E55BCF" w14:textId="77777777" w:rsidR="00FC7364" w:rsidRDefault="00FC7364" w:rsidP="00FC7364">
            <w:pPr>
              <w:pStyle w:val="Tablesinglespacedparagraph"/>
              <w:widowControl w:val="0"/>
            </w:pPr>
            <w:r>
              <w:t>2011</w:t>
            </w:r>
          </w:p>
        </w:tc>
        <w:bookmarkStart w:id="44" w:name="index305527"/>
        <w:bookmarkEnd w:id="44"/>
        <w:tc>
          <w:tcPr>
            <w:tcW w:w="64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B0006E9" w14:textId="77777777" w:rsidR="00FC7364" w:rsidRDefault="0029128B" w:rsidP="00FC7364">
            <w:pPr>
              <w:pStyle w:val="Tablesinglespacedparagraph"/>
              <w:widowControl w:val="0"/>
            </w:pPr>
            <w:r>
              <w:fldChar w:fldCharType="begin"/>
            </w:r>
            <w:r>
              <w:instrText xml:space="preserve"> HYPERLINK \l "case305527" </w:instrText>
            </w:r>
            <w:r>
              <w:fldChar w:fldCharType="separate"/>
            </w:r>
            <w:r w:rsidR="00FC7364" w:rsidRPr="00725A33">
              <w:rPr>
                <w:rStyle w:val="Hyperlink"/>
              </w:rPr>
              <w:t>Property valuation data available for purchase</w:t>
            </w:r>
            <w:r>
              <w:rPr>
                <w:rStyle w:val="Hyperlink"/>
              </w:rPr>
              <w:fldChar w:fldCharType="end"/>
            </w:r>
          </w:p>
          <w:p w14:paraId="4B161C71" w14:textId="77777777" w:rsidR="00FC7364" w:rsidRDefault="00563962" w:rsidP="00FC7364">
            <w:pPr>
              <w:pStyle w:val="Tablesinglespacedparagraph"/>
              <w:widowControl w:val="0"/>
              <w:rPr>
                <w:rStyle w:val="Hyperlink"/>
              </w:rPr>
            </w:pPr>
            <w:r>
              <w:rPr>
                <w:i/>
                <w:sz w:val="20"/>
                <w:szCs w:val="20"/>
              </w:rPr>
              <w:t>Section 18(d) applied—i</w:t>
            </w:r>
            <w:r w:rsidR="00FC7364">
              <w:rPr>
                <w:i/>
                <w:sz w:val="20"/>
                <w:szCs w:val="20"/>
              </w:rPr>
              <w:t>nformation available for a charge is publicly available</w:t>
            </w:r>
          </w:p>
        </w:tc>
      </w:tr>
      <w:tr w:rsidR="00FC7364" w14:paraId="26330FD6" w14:textId="77777777" w:rsidTr="0061174D">
        <w:trPr>
          <w:cantSplit/>
        </w:trPr>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A3FEE1" w14:textId="77777777" w:rsidR="00FC7364" w:rsidRPr="00A06467" w:rsidRDefault="00FC7364" w:rsidP="00FC7364">
            <w:pPr>
              <w:pStyle w:val="Tablesinglespacedparagraph"/>
              <w:widowControl w:val="0"/>
            </w:pPr>
            <w:r w:rsidRPr="002A6D05">
              <w:t>177600</w:t>
            </w:r>
            <w:r w:rsidR="00454261">
              <w:t xml:space="preserve"> </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475B376" w14:textId="77777777" w:rsidR="00FC7364" w:rsidRDefault="00FC7364" w:rsidP="00FC7364">
            <w:pPr>
              <w:pStyle w:val="Tablesinglespacedparagraph"/>
              <w:widowControl w:val="0"/>
            </w:pPr>
            <w:r w:rsidRPr="002A6D05">
              <w:t>2008</w:t>
            </w:r>
          </w:p>
        </w:tc>
        <w:bookmarkStart w:id="45" w:name="index177600"/>
        <w:bookmarkEnd w:id="45"/>
        <w:tc>
          <w:tcPr>
            <w:tcW w:w="64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7298C5" w14:textId="77777777" w:rsidR="00FC7364" w:rsidRDefault="0029128B" w:rsidP="00FC7364">
            <w:pPr>
              <w:pStyle w:val="Tablesinglespacedparagraph"/>
              <w:widowControl w:val="0"/>
              <w:rPr>
                <w:rStyle w:val="Hyperlink"/>
              </w:rPr>
            </w:pPr>
            <w:r>
              <w:fldChar w:fldCharType="begin"/>
            </w:r>
            <w:r>
              <w:instrText xml:space="preserve"> HYPERLINK \l "case177600" </w:instrText>
            </w:r>
            <w:r>
              <w:fldChar w:fldCharType="separate"/>
            </w:r>
            <w:r w:rsidR="00FC7364" w:rsidRPr="009809AA">
              <w:rPr>
                <w:rStyle w:val="Hyperlink"/>
              </w:rPr>
              <w:t>Vehicle registration information available for purchase</w:t>
            </w:r>
            <w:r>
              <w:rPr>
                <w:rStyle w:val="Hyperlink"/>
              </w:rPr>
              <w:fldChar w:fldCharType="end"/>
            </w:r>
          </w:p>
          <w:p w14:paraId="315BB4C7" w14:textId="77777777" w:rsidR="00FC7364" w:rsidRPr="003B1B8B" w:rsidRDefault="00563962" w:rsidP="00FC7364">
            <w:pPr>
              <w:pStyle w:val="Tablesinglespacedparagraph"/>
              <w:widowControl w:val="0"/>
              <w:rPr>
                <w:i/>
                <w:sz w:val="20"/>
                <w:szCs w:val="20"/>
              </w:rPr>
            </w:pPr>
            <w:r>
              <w:rPr>
                <w:i/>
                <w:sz w:val="20"/>
                <w:szCs w:val="20"/>
              </w:rPr>
              <w:t>Section 18(d) applied—i</w:t>
            </w:r>
            <w:r w:rsidR="00FC7364">
              <w:rPr>
                <w:i/>
                <w:sz w:val="20"/>
                <w:szCs w:val="20"/>
              </w:rPr>
              <w:t>nformation available for a charge is publicly available</w:t>
            </w:r>
            <w:r w:rsidR="003E0C37">
              <w:rPr>
                <w:i/>
                <w:sz w:val="20"/>
                <w:szCs w:val="20"/>
              </w:rPr>
              <w:t>, provided the charge is not patently excessive</w:t>
            </w:r>
          </w:p>
        </w:tc>
      </w:tr>
      <w:tr w:rsidR="00FC7364" w14:paraId="72FA0729" w14:textId="77777777" w:rsidTr="0061174D">
        <w:trPr>
          <w:cantSplit/>
        </w:trPr>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F33A8B" w14:textId="77777777" w:rsidR="00FC7364" w:rsidRDefault="00FC7364" w:rsidP="00FC7364">
            <w:pPr>
              <w:pStyle w:val="Tablesinglespacedparagraph"/>
              <w:widowControl w:val="0"/>
            </w:pPr>
            <w:r w:rsidRPr="00D167BA">
              <w:t>A12938</w:t>
            </w:r>
          </w:p>
          <w:p w14:paraId="0119AA03" w14:textId="77777777" w:rsidR="00FC7364" w:rsidRPr="003B2D9B" w:rsidRDefault="00FC7364" w:rsidP="00FC7364">
            <w:pPr>
              <w:pStyle w:val="Tablesinglespacedparagraph"/>
              <w:widowControl w:val="0"/>
            </w:pP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9BDB74" w14:textId="77777777" w:rsidR="00FC7364" w:rsidRPr="003B2D9B" w:rsidRDefault="00FC7364" w:rsidP="00FC7364">
            <w:pPr>
              <w:pStyle w:val="Tablesinglespacedparagraph"/>
              <w:widowControl w:val="0"/>
            </w:pPr>
            <w:r w:rsidRPr="00D167BA">
              <w:t>2008</w:t>
            </w:r>
          </w:p>
        </w:tc>
        <w:bookmarkStart w:id="46" w:name="indexA12938"/>
        <w:bookmarkEnd w:id="46"/>
        <w:tc>
          <w:tcPr>
            <w:tcW w:w="64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63ECAFC" w14:textId="77777777" w:rsidR="00FC7364" w:rsidRDefault="0029128B" w:rsidP="00FC7364">
            <w:pPr>
              <w:pStyle w:val="Tablesinglespacedparagraph"/>
              <w:widowControl w:val="0"/>
            </w:pPr>
            <w:r>
              <w:fldChar w:fldCharType="begin"/>
            </w:r>
            <w:r>
              <w:instrText xml:space="preserve"> HYPERLINK \l "caseA12938" </w:instrText>
            </w:r>
            <w:r>
              <w:fldChar w:fldCharType="separate"/>
            </w:r>
            <w:r w:rsidR="00A85166">
              <w:rPr>
                <w:rStyle w:val="Hyperlink"/>
              </w:rPr>
              <w:t>Video footage</w:t>
            </w:r>
            <w:r w:rsidR="00FC7364" w:rsidRPr="00D167BA">
              <w:rPr>
                <w:rStyle w:val="Hyperlink"/>
              </w:rPr>
              <w:t xml:space="preserve"> of Hawkes Bay DHB meeting</w:t>
            </w:r>
            <w:r>
              <w:rPr>
                <w:rStyle w:val="Hyperlink"/>
              </w:rPr>
              <w:fldChar w:fldCharType="end"/>
            </w:r>
          </w:p>
          <w:p w14:paraId="31FDDC52" w14:textId="77777777" w:rsidR="00FC7364" w:rsidRDefault="00FC7364" w:rsidP="00563962">
            <w:pPr>
              <w:pStyle w:val="Tablesinglespacedparagraph"/>
              <w:widowControl w:val="0"/>
            </w:pPr>
            <w:r w:rsidRPr="000417E0">
              <w:rPr>
                <w:i/>
                <w:sz w:val="20"/>
                <w:szCs w:val="20"/>
              </w:rPr>
              <w:t>Section 18(d) did not apply—</w:t>
            </w:r>
            <w:r w:rsidR="00563962">
              <w:rPr>
                <w:i/>
                <w:sz w:val="20"/>
                <w:szCs w:val="20"/>
              </w:rPr>
              <w:t>v</w:t>
            </w:r>
            <w:r w:rsidRPr="00D167BA">
              <w:rPr>
                <w:i/>
                <w:sz w:val="20"/>
                <w:szCs w:val="20"/>
              </w:rPr>
              <w:t>ideo footage of a DHB meeting was not publicly available just because minutes of the meeting were</w:t>
            </w:r>
          </w:p>
        </w:tc>
      </w:tr>
      <w:tr w:rsidR="00FC7364" w14:paraId="6F33DAB8" w14:textId="77777777" w:rsidTr="0061174D">
        <w:trPr>
          <w:cantSplit/>
        </w:trPr>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F193C5" w14:textId="77777777" w:rsidR="00FC7364" w:rsidRPr="00D167BA" w:rsidRDefault="00FC7364" w:rsidP="00FC7364">
            <w:pPr>
              <w:pStyle w:val="Tablesinglespacedparagraph"/>
              <w:widowControl w:val="0"/>
            </w:pPr>
            <w:r w:rsidRPr="009E0D65">
              <w:t>175682</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ABEF1B6" w14:textId="77777777" w:rsidR="00FC7364" w:rsidRPr="00D167BA" w:rsidRDefault="00FC7364" w:rsidP="00FC7364">
            <w:pPr>
              <w:pStyle w:val="Tablesinglespacedparagraph"/>
              <w:widowControl w:val="0"/>
            </w:pPr>
            <w:r w:rsidRPr="009E0D65">
              <w:t>2007</w:t>
            </w:r>
          </w:p>
        </w:tc>
        <w:bookmarkStart w:id="47" w:name="index175682"/>
        <w:bookmarkEnd w:id="47"/>
        <w:tc>
          <w:tcPr>
            <w:tcW w:w="64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4BCAC7" w14:textId="77777777" w:rsidR="00FC7364" w:rsidRPr="00DD2A2D" w:rsidRDefault="00FC7364" w:rsidP="00FC7364">
            <w:pPr>
              <w:pStyle w:val="Tablesinglespacedparagraph"/>
              <w:widowControl w:val="0"/>
              <w:rPr>
                <w:rStyle w:val="Hyperlink"/>
              </w:rPr>
            </w:pPr>
            <w:r>
              <w:fldChar w:fldCharType="begin"/>
            </w:r>
            <w:r>
              <w:instrText xml:space="preserve"> HYPERLINK  \l "case175682" </w:instrText>
            </w:r>
            <w:r>
              <w:fldChar w:fldCharType="separate"/>
            </w:r>
            <w:r w:rsidRPr="00DD2A2D">
              <w:rPr>
                <w:rStyle w:val="Hyperlink"/>
              </w:rPr>
              <w:t>Electronic copy of proposed electorate boundaries</w:t>
            </w:r>
          </w:p>
          <w:p w14:paraId="78AF1133" w14:textId="77777777" w:rsidR="00FC7364" w:rsidRDefault="00FC7364" w:rsidP="00FC7364">
            <w:pPr>
              <w:pStyle w:val="Tablesinglespacedparagraph"/>
              <w:widowControl w:val="0"/>
            </w:pPr>
            <w:r>
              <w:fldChar w:fldCharType="end"/>
            </w:r>
            <w:r w:rsidRPr="000417E0">
              <w:rPr>
                <w:i/>
                <w:sz w:val="20"/>
                <w:szCs w:val="20"/>
              </w:rPr>
              <w:t>Section 18(d) did not apply—</w:t>
            </w:r>
            <w:r w:rsidR="00563962">
              <w:rPr>
                <w:i/>
                <w:sz w:val="20"/>
                <w:szCs w:val="20"/>
              </w:rPr>
              <w:t>i</w:t>
            </w:r>
            <w:r>
              <w:rPr>
                <w:i/>
                <w:sz w:val="20"/>
                <w:szCs w:val="20"/>
              </w:rPr>
              <w:t>nformation was not publicly available in the form requested</w:t>
            </w:r>
            <w:r>
              <w:t xml:space="preserve"> </w:t>
            </w:r>
          </w:p>
        </w:tc>
      </w:tr>
      <w:tr w:rsidR="00A738E3" w14:paraId="6050F778" w14:textId="77777777" w:rsidTr="0061174D">
        <w:trPr>
          <w:cantSplit/>
        </w:trPr>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5AB52A" w14:textId="77777777" w:rsidR="00A738E3" w:rsidRPr="009E0D65" w:rsidRDefault="00A738E3" w:rsidP="00FC7364">
            <w:pPr>
              <w:pStyle w:val="Tablesinglespacedparagraph"/>
              <w:widowControl w:val="0"/>
            </w:pPr>
            <w:r>
              <w:t>W</w:t>
            </w:r>
            <w:r w:rsidRPr="00A738E3">
              <w:t>37113</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E4CA86" w14:textId="77777777" w:rsidR="00A738E3" w:rsidRPr="009E0D65" w:rsidRDefault="00A738E3" w:rsidP="00FC7364">
            <w:pPr>
              <w:pStyle w:val="Tablesinglespacedparagraph"/>
              <w:widowControl w:val="0"/>
            </w:pPr>
            <w:r>
              <w:t>1998</w:t>
            </w:r>
          </w:p>
        </w:tc>
        <w:bookmarkStart w:id="48" w:name="indexW37113"/>
        <w:bookmarkEnd w:id="48"/>
        <w:tc>
          <w:tcPr>
            <w:tcW w:w="64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3A4E59" w14:textId="77777777" w:rsidR="00A738E3" w:rsidRDefault="0029128B" w:rsidP="00FC7364">
            <w:pPr>
              <w:pStyle w:val="Tablesinglespacedparagraph"/>
              <w:widowControl w:val="0"/>
            </w:pPr>
            <w:r>
              <w:fldChar w:fldCharType="begin"/>
            </w:r>
            <w:r>
              <w:instrText xml:space="preserve"> HYPERLINK \l "caseW47113" </w:instrText>
            </w:r>
            <w:r>
              <w:fldChar w:fldCharType="separate"/>
            </w:r>
            <w:r w:rsidR="00A738E3" w:rsidRPr="00F335B1">
              <w:rPr>
                <w:rStyle w:val="Hyperlink"/>
              </w:rPr>
              <w:t>Information on computer disk</w:t>
            </w:r>
            <w:r>
              <w:rPr>
                <w:rStyle w:val="Hyperlink"/>
              </w:rPr>
              <w:fldChar w:fldCharType="end"/>
            </w:r>
          </w:p>
          <w:p w14:paraId="6CDC73BC" w14:textId="77777777" w:rsidR="00A738E3" w:rsidRDefault="00A738E3" w:rsidP="00FC7364">
            <w:pPr>
              <w:pStyle w:val="Tablesinglespacedparagraph"/>
              <w:widowControl w:val="0"/>
            </w:pPr>
            <w:r w:rsidRPr="000417E0">
              <w:rPr>
                <w:i/>
                <w:sz w:val="20"/>
                <w:szCs w:val="20"/>
              </w:rPr>
              <w:t>Section 18(d) did not apply—</w:t>
            </w:r>
            <w:r w:rsidR="00563962">
              <w:rPr>
                <w:i/>
                <w:sz w:val="20"/>
                <w:szCs w:val="20"/>
              </w:rPr>
              <w:t>i</w:t>
            </w:r>
            <w:r>
              <w:rPr>
                <w:i/>
                <w:sz w:val="20"/>
                <w:szCs w:val="20"/>
              </w:rPr>
              <w:t>nformation was not publicly available in the form requested</w:t>
            </w:r>
          </w:p>
        </w:tc>
      </w:tr>
    </w:tbl>
    <w:p w14:paraId="1D32A052" w14:textId="77777777" w:rsidR="00A368BB" w:rsidRDefault="00A368BB" w:rsidP="00497FE4">
      <w:pPr>
        <w:pStyle w:val="BodyText"/>
      </w:pPr>
    </w:p>
    <w:tbl>
      <w:tblPr>
        <w:tblStyle w:val="TableGrid"/>
        <w:tblW w:w="9300" w:type="dxa"/>
        <w:tblInd w:w="108" w:type="dxa"/>
        <w:tblLayout w:type="fixed"/>
        <w:tblLook w:val="0620" w:firstRow="1" w:lastRow="0" w:firstColumn="0" w:lastColumn="0" w:noHBand="1" w:noVBand="1"/>
      </w:tblPr>
      <w:tblGrid>
        <w:gridCol w:w="1418"/>
        <w:gridCol w:w="1417"/>
        <w:gridCol w:w="6465"/>
      </w:tblGrid>
      <w:tr w:rsidR="003B1B8B" w14:paraId="574A97D8" w14:textId="77777777" w:rsidTr="0061174D">
        <w:trPr>
          <w:cnfStyle w:val="100000000000" w:firstRow="1" w:lastRow="0" w:firstColumn="0" w:lastColumn="0" w:oddVBand="0" w:evenVBand="0" w:oddHBand="0" w:evenHBand="0" w:firstRowFirstColumn="0" w:firstRowLastColumn="0" w:lastRowFirstColumn="0" w:lastRowLastColumn="0"/>
          <w:cantSplit/>
        </w:trPr>
        <w:tc>
          <w:tcPr>
            <w:tcW w:w="9300" w:type="dxa"/>
            <w:gridSpan w:val="3"/>
            <w:tcBorders>
              <w:left w:val="single" w:sz="4" w:space="0" w:color="A6A6A6" w:themeColor="background1" w:themeShade="A6"/>
              <w:right w:val="single" w:sz="4" w:space="0" w:color="A6A6A6" w:themeColor="background1" w:themeShade="A6"/>
            </w:tcBorders>
          </w:tcPr>
          <w:p w14:paraId="3A3D2894" w14:textId="77777777" w:rsidR="003B1B8B" w:rsidRDefault="008765C6" w:rsidP="0061174D">
            <w:pPr>
              <w:pStyle w:val="Tableheadingrow1"/>
              <w:spacing w:line="240" w:lineRule="atLeast"/>
            </w:pPr>
            <w:r>
              <w:t xml:space="preserve">Information soon to be publicly available </w:t>
            </w:r>
          </w:p>
        </w:tc>
      </w:tr>
      <w:tr w:rsidR="00E97AD6" w14:paraId="1FA0EF26" w14:textId="77777777" w:rsidTr="0061174D">
        <w:trPr>
          <w:cantSplit/>
        </w:trPr>
        <w:tc>
          <w:tcPr>
            <w:tcW w:w="1418" w:type="dxa"/>
            <w:tcBorders>
              <w:left w:val="single" w:sz="4" w:space="0" w:color="A6A6A6" w:themeColor="background1" w:themeShade="A6"/>
            </w:tcBorders>
          </w:tcPr>
          <w:p w14:paraId="656AA8E2" w14:textId="7B40BFED" w:rsidR="00E97AD6" w:rsidRDefault="00E97AD6" w:rsidP="00E97AD6">
            <w:pPr>
              <w:pStyle w:val="Tablesinglespacedparagraph"/>
              <w:widowControl w:val="0"/>
            </w:pPr>
            <w:r>
              <w:t>013497</w:t>
            </w:r>
          </w:p>
        </w:tc>
        <w:tc>
          <w:tcPr>
            <w:tcW w:w="1417" w:type="dxa"/>
          </w:tcPr>
          <w:p w14:paraId="47DDE2DB" w14:textId="7E0FE13A" w:rsidR="00E97AD6" w:rsidRDefault="00E97AD6" w:rsidP="00E97AD6">
            <w:pPr>
              <w:pStyle w:val="Tablesinglespacedparagraph"/>
              <w:widowControl w:val="0"/>
            </w:pPr>
            <w:r>
              <w:t>2025</w:t>
            </w:r>
          </w:p>
        </w:tc>
        <w:tc>
          <w:tcPr>
            <w:tcW w:w="6465" w:type="dxa"/>
            <w:tcBorders>
              <w:right w:val="single" w:sz="4" w:space="0" w:color="A6A6A6" w:themeColor="background1" w:themeShade="A6"/>
            </w:tcBorders>
          </w:tcPr>
          <w:p w14:paraId="42407145" w14:textId="137E804E" w:rsidR="00E97AD6" w:rsidRDefault="00E97AD6" w:rsidP="00E97AD6">
            <w:pPr>
              <w:pStyle w:val="Tablesinglespacedparagraph"/>
              <w:widowControl w:val="0"/>
            </w:pPr>
            <w:hyperlink w:anchor="case013497" w:history="1">
              <w:r w:rsidRPr="00F359E0">
                <w:rPr>
                  <w:rStyle w:val="Hyperlink"/>
                </w:rPr>
                <w:t xml:space="preserve">Request for information </w:t>
              </w:r>
              <w:r w:rsidR="00C9567E" w:rsidRPr="00F359E0">
                <w:rPr>
                  <w:rStyle w:val="Hyperlink"/>
                </w:rPr>
                <w:t>about</w:t>
              </w:r>
              <w:r w:rsidRPr="00F359E0">
                <w:rPr>
                  <w:rStyle w:val="Hyperlink"/>
                </w:rPr>
                <w:t xml:space="preserve"> inflationary effects of tax cuts</w:t>
              </w:r>
            </w:hyperlink>
          </w:p>
          <w:p w14:paraId="2654D5F5" w14:textId="6B8B7E71" w:rsidR="00E97AD6" w:rsidRDefault="00E97AD6" w:rsidP="00E97AD6">
            <w:pPr>
              <w:pStyle w:val="Tablesinglespacedparagraph"/>
              <w:widowControl w:val="0"/>
            </w:pPr>
            <w:r w:rsidRPr="009E110E">
              <w:rPr>
                <w:i/>
                <w:sz w:val="20"/>
                <w:szCs w:val="20"/>
              </w:rPr>
              <w:t xml:space="preserve">Section 18(d) applied—information </w:t>
            </w:r>
            <w:r>
              <w:rPr>
                <w:i/>
                <w:sz w:val="20"/>
                <w:szCs w:val="20"/>
              </w:rPr>
              <w:t>being made</w:t>
            </w:r>
            <w:r w:rsidRPr="009E110E">
              <w:rPr>
                <w:i/>
                <w:sz w:val="20"/>
                <w:szCs w:val="20"/>
              </w:rPr>
              <w:t xml:space="preserve"> available as part of the annual proactive release of Budget information</w:t>
            </w:r>
            <w:r>
              <w:rPr>
                <w:i/>
                <w:sz w:val="20"/>
                <w:szCs w:val="20"/>
              </w:rPr>
              <w:t>—release 12-15 weeks after refusal was ‘soon’</w:t>
            </w:r>
            <w:r w:rsidR="00E4684D" w:rsidRPr="00E4684D">
              <w:rPr>
                <w:i/>
                <w:sz w:val="20"/>
                <w:szCs w:val="20"/>
              </w:rPr>
              <w:t>—reliance o</w:t>
            </w:r>
            <w:r w:rsidR="00E4684D">
              <w:rPr>
                <w:i/>
                <w:sz w:val="20"/>
                <w:szCs w:val="20"/>
              </w:rPr>
              <w:t>n</w:t>
            </w:r>
            <w:r w:rsidR="00E4684D" w:rsidRPr="00E4684D">
              <w:rPr>
                <w:i/>
                <w:sz w:val="20"/>
                <w:szCs w:val="20"/>
              </w:rPr>
              <w:t xml:space="preserve"> section 18(d) not unreasonable in the circumstances</w:t>
            </w:r>
          </w:p>
        </w:tc>
      </w:tr>
      <w:tr w:rsidR="0042731A" w14:paraId="01293AF4" w14:textId="77777777" w:rsidTr="0061174D">
        <w:trPr>
          <w:cantSplit/>
        </w:trPr>
        <w:tc>
          <w:tcPr>
            <w:tcW w:w="1418" w:type="dxa"/>
            <w:tcBorders>
              <w:left w:val="single" w:sz="4" w:space="0" w:color="A6A6A6" w:themeColor="background1" w:themeShade="A6"/>
            </w:tcBorders>
          </w:tcPr>
          <w:p w14:paraId="63B030C1" w14:textId="77777777" w:rsidR="0042731A" w:rsidRPr="00A368BB" w:rsidRDefault="0042731A" w:rsidP="008765C6">
            <w:pPr>
              <w:pStyle w:val="Tablesinglespacedparagraph"/>
              <w:widowControl w:val="0"/>
            </w:pPr>
            <w:r>
              <w:t>463213</w:t>
            </w:r>
          </w:p>
        </w:tc>
        <w:tc>
          <w:tcPr>
            <w:tcW w:w="1417" w:type="dxa"/>
          </w:tcPr>
          <w:p w14:paraId="794B3C8B" w14:textId="77777777" w:rsidR="0042731A" w:rsidRDefault="0042731A" w:rsidP="008765C6">
            <w:pPr>
              <w:pStyle w:val="Tablesinglespacedparagraph"/>
              <w:widowControl w:val="0"/>
            </w:pPr>
            <w:r>
              <w:t>2018</w:t>
            </w:r>
          </w:p>
        </w:tc>
        <w:bookmarkStart w:id="49" w:name="index463213"/>
        <w:bookmarkEnd w:id="49"/>
        <w:tc>
          <w:tcPr>
            <w:tcW w:w="6465" w:type="dxa"/>
            <w:tcBorders>
              <w:right w:val="single" w:sz="4" w:space="0" w:color="A6A6A6" w:themeColor="background1" w:themeShade="A6"/>
            </w:tcBorders>
          </w:tcPr>
          <w:p w14:paraId="565E97EE" w14:textId="77777777" w:rsidR="0042731A" w:rsidRDefault="0029128B" w:rsidP="008765C6">
            <w:pPr>
              <w:pStyle w:val="Tablesinglespacedparagraph"/>
              <w:widowControl w:val="0"/>
              <w:rPr>
                <w:rFonts w:eastAsia="Calibri"/>
              </w:rPr>
            </w:pPr>
            <w:r>
              <w:fldChar w:fldCharType="begin"/>
            </w:r>
            <w:r>
              <w:instrText xml:space="preserve"> HYPERLINK \l "case463213" </w:instrText>
            </w:r>
            <w:r>
              <w:fldChar w:fldCharType="separate"/>
            </w:r>
            <w:r w:rsidR="0042731A" w:rsidRPr="00614A56">
              <w:rPr>
                <w:rStyle w:val="Hyperlink"/>
                <w:rFonts w:eastAsia="Calibri"/>
              </w:rPr>
              <w:t>Request for DHB financial reporting data</w:t>
            </w:r>
            <w:r>
              <w:rPr>
                <w:rStyle w:val="Hyperlink"/>
                <w:rFonts w:eastAsia="Calibri"/>
              </w:rPr>
              <w:fldChar w:fldCharType="end"/>
            </w:r>
          </w:p>
          <w:p w14:paraId="05F773FC" w14:textId="77777777" w:rsidR="00614A56" w:rsidRDefault="00614A56" w:rsidP="00F245E3">
            <w:pPr>
              <w:pStyle w:val="Tablesinglespacedparagraph"/>
              <w:widowControl w:val="0"/>
            </w:pPr>
            <w:r w:rsidRPr="00614A56">
              <w:rPr>
                <w:i/>
                <w:sz w:val="20"/>
                <w:szCs w:val="20"/>
              </w:rPr>
              <w:t>Section 18(d) did not apply—</w:t>
            </w:r>
            <w:r w:rsidR="00F245E3">
              <w:rPr>
                <w:i/>
                <w:sz w:val="20"/>
                <w:szCs w:val="20"/>
              </w:rPr>
              <w:t>w</w:t>
            </w:r>
            <w:r w:rsidRPr="00614A56">
              <w:rPr>
                <w:i/>
                <w:sz w:val="20"/>
                <w:szCs w:val="20"/>
              </w:rPr>
              <w:t xml:space="preserve">hile release 1 month after refusal would have been </w:t>
            </w:r>
            <w:r>
              <w:rPr>
                <w:i/>
                <w:sz w:val="20"/>
                <w:szCs w:val="20"/>
              </w:rPr>
              <w:t>‘</w:t>
            </w:r>
            <w:r w:rsidRPr="00614A56">
              <w:rPr>
                <w:i/>
                <w:sz w:val="20"/>
                <w:szCs w:val="20"/>
              </w:rPr>
              <w:t>soon</w:t>
            </w:r>
            <w:r>
              <w:rPr>
                <w:i/>
                <w:sz w:val="20"/>
                <w:szCs w:val="20"/>
              </w:rPr>
              <w:t>’</w:t>
            </w:r>
            <w:r w:rsidRPr="00614A56">
              <w:rPr>
                <w:i/>
                <w:sz w:val="20"/>
                <w:szCs w:val="20"/>
              </w:rPr>
              <w:t xml:space="preserve"> there was no reasonable certain</w:t>
            </w:r>
            <w:r w:rsidR="00F245E3">
              <w:rPr>
                <w:i/>
                <w:sz w:val="20"/>
                <w:szCs w:val="20"/>
              </w:rPr>
              <w:t>ty release would occur by then—a</w:t>
            </w:r>
            <w:r w:rsidRPr="00614A56">
              <w:rPr>
                <w:i/>
                <w:sz w:val="20"/>
                <w:szCs w:val="20"/>
              </w:rPr>
              <w:t>gency should reasonably have foreseen delay in obtaining Ministerial input due to election</w:t>
            </w:r>
            <w:r>
              <w:rPr>
                <w:rFonts w:eastAsia="Calibri"/>
              </w:rPr>
              <w:t xml:space="preserve">  </w:t>
            </w:r>
          </w:p>
        </w:tc>
      </w:tr>
      <w:tr w:rsidR="008765C6" w14:paraId="6F06DF7E" w14:textId="77777777" w:rsidTr="0061174D">
        <w:trPr>
          <w:cantSplit/>
        </w:trPr>
        <w:tc>
          <w:tcPr>
            <w:tcW w:w="1418" w:type="dxa"/>
            <w:tcBorders>
              <w:left w:val="single" w:sz="4" w:space="0" w:color="A6A6A6" w:themeColor="background1" w:themeShade="A6"/>
            </w:tcBorders>
          </w:tcPr>
          <w:p w14:paraId="25C76328" w14:textId="77777777" w:rsidR="008765C6" w:rsidRPr="00F76A1B" w:rsidRDefault="00FE7E7A" w:rsidP="008765C6">
            <w:pPr>
              <w:pStyle w:val="Tablesinglespacedparagraph"/>
              <w:widowControl w:val="0"/>
            </w:pPr>
            <w:r>
              <w:t xml:space="preserve">466794 and </w:t>
            </w:r>
            <w:r w:rsidR="008765C6" w:rsidRPr="00A368BB">
              <w:t>467630</w:t>
            </w:r>
          </w:p>
        </w:tc>
        <w:tc>
          <w:tcPr>
            <w:tcW w:w="1417" w:type="dxa"/>
          </w:tcPr>
          <w:p w14:paraId="6D33B811" w14:textId="77777777" w:rsidR="008765C6" w:rsidRDefault="008765C6" w:rsidP="008765C6">
            <w:pPr>
              <w:pStyle w:val="Tablesinglespacedparagraph"/>
              <w:widowControl w:val="0"/>
            </w:pPr>
            <w:r>
              <w:t>2018</w:t>
            </w:r>
          </w:p>
        </w:tc>
        <w:bookmarkStart w:id="50" w:name="index466794"/>
        <w:bookmarkEnd w:id="50"/>
        <w:tc>
          <w:tcPr>
            <w:tcW w:w="6465" w:type="dxa"/>
            <w:tcBorders>
              <w:right w:val="single" w:sz="4" w:space="0" w:color="A6A6A6" w:themeColor="background1" w:themeShade="A6"/>
            </w:tcBorders>
          </w:tcPr>
          <w:p w14:paraId="742954E7" w14:textId="77777777" w:rsidR="008765C6" w:rsidRPr="00B55110" w:rsidRDefault="008765C6" w:rsidP="008765C6">
            <w:pPr>
              <w:pStyle w:val="Tablesinglespacedparagraph"/>
              <w:widowControl w:val="0"/>
              <w:rPr>
                <w:rStyle w:val="Hyperlink"/>
              </w:rPr>
            </w:pPr>
            <w:r>
              <w:fldChar w:fldCharType="begin"/>
            </w:r>
            <w:r>
              <w:instrText xml:space="preserve"> HYPERLINK  \l "case466794" </w:instrText>
            </w:r>
            <w:r>
              <w:fldChar w:fldCharType="separate"/>
            </w:r>
            <w:r w:rsidRPr="00B55110">
              <w:rPr>
                <w:rStyle w:val="Hyperlink"/>
              </w:rPr>
              <w:t xml:space="preserve">Briefings to the incoming Minister </w:t>
            </w:r>
          </w:p>
          <w:p w14:paraId="70AB19BA" w14:textId="77777777" w:rsidR="008765C6" w:rsidRDefault="008765C6" w:rsidP="009C3D07">
            <w:pPr>
              <w:pStyle w:val="Tablesinglespacedparagraph"/>
              <w:widowControl w:val="0"/>
            </w:pPr>
            <w:r>
              <w:fldChar w:fldCharType="end"/>
            </w:r>
            <w:r w:rsidR="00973EE4" w:rsidRPr="00973EE4">
              <w:rPr>
                <w:i/>
                <w:sz w:val="20"/>
                <w:szCs w:val="20"/>
              </w:rPr>
              <w:t>Section 18(d) applied—</w:t>
            </w:r>
            <w:r w:rsidR="00F245E3">
              <w:rPr>
                <w:i/>
                <w:sz w:val="20"/>
                <w:szCs w:val="20"/>
              </w:rPr>
              <w:t>r</w:t>
            </w:r>
            <w:r w:rsidR="00700F96">
              <w:rPr>
                <w:i/>
                <w:sz w:val="20"/>
                <w:szCs w:val="20"/>
              </w:rPr>
              <w:t xml:space="preserve">elease </w:t>
            </w:r>
            <w:r>
              <w:rPr>
                <w:i/>
                <w:sz w:val="20"/>
                <w:szCs w:val="20"/>
              </w:rPr>
              <w:t xml:space="preserve">8 and 14 working days </w:t>
            </w:r>
            <w:r w:rsidR="009C3D07">
              <w:rPr>
                <w:i/>
                <w:sz w:val="20"/>
                <w:szCs w:val="20"/>
              </w:rPr>
              <w:t>after</w:t>
            </w:r>
            <w:r w:rsidR="00700F96">
              <w:rPr>
                <w:i/>
                <w:sz w:val="20"/>
                <w:szCs w:val="20"/>
              </w:rPr>
              <w:t xml:space="preserve"> refusal </w:t>
            </w:r>
            <w:r>
              <w:rPr>
                <w:i/>
                <w:sz w:val="20"/>
                <w:szCs w:val="20"/>
              </w:rPr>
              <w:t>was ‘soon’</w:t>
            </w:r>
          </w:p>
        </w:tc>
      </w:tr>
      <w:tr w:rsidR="009C3D07" w14:paraId="0DE35059" w14:textId="77777777" w:rsidTr="0061174D">
        <w:trPr>
          <w:cantSplit/>
        </w:trPr>
        <w:tc>
          <w:tcPr>
            <w:tcW w:w="1418" w:type="dxa"/>
            <w:tcBorders>
              <w:left w:val="single" w:sz="4" w:space="0" w:color="A6A6A6" w:themeColor="background1" w:themeShade="A6"/>
            </w:tcBorders>
          </w:tcPr>
          <w:p w14:paraId="75B8C667" w14:textId="77777777" w:rsidR="009C3D07" w:rsidRPr="00A368BB" w:rsidRDefault="009C3D07" w:rsidP="008765C6">
            <w:pPr>
              <w:pStyle w:val="Tablesinglespacedparagraph"/>
              <w:widowControl w:val="0"/>
            </w:pPr>
            <w:r w:rsidRPr="009C3D07">
              <w:t>443738</w:t>
            </w:r>
          </w:p>
        </w:tc>
        <w:tc>
          <w:tcPr>
            <w:tcW w:w="1417" w:type="dxa"/>
          </w:tcPr>
          <w:p w14:paraId="4CA05155" w14:textId="77777777" w:rsidR="009C3D07" w:rsidRDefault="009C3D07" w:rsidP="008765C6">
            <w:pPr>
              <w:pStyle w:val="Tablesinglespacedparagraph"/>
              <w:widowControl w:val="0"/>
            </w:pPr>
            <w:r w:rsidRPr="009C3D07">
              <w:t>2017</w:t>
            </w:r>
          </w:p>
        </w:tc>
        <w:bookmarkStart w:id="51" w:name="index443738"/>
        <w:bookmarkEnd w:id="51"/>
        <w:tc>
          <w:tcPr>
            <w:tcW w:w="6465" w:type="dxa"/>
            <w:tcBorders>
              <w:right w:val="single" w:sz="4" w:space="0" w:color="A6A6A6" w:themeColor="background1" w:themeShade="A6"/>
            </w:tcBorders>
          </w:tcPr>
          <w:p w14:paraId="3D5D03B8" w14:textId="77777777" w:rsidR="009C3D07" w:rsidRDefault="0029128B" w:rsidP="009C3D07">
            <w:pPr>
              <w:pStyle w:val="Tablesinglespacedparagraph"/>
              <w:widowControl w:val="0"/>
            </w:pPr>
            <w:r>
              <w:fldChar w:fldCharType="begin"/>
            </w:r>
            <w:r>
              <w:instrText xml:space="preserve"> HYPERLINK \l "case443738" </w:instrText>
            </w:r>
            <w:r>
              <w:fldChar w:fldCharType="separate"/>
            </w:r>
            <w:r w:rsidR="009C3D07" w:rsidRPr="00A57398">
              <w:rPr>
                <w:rStyle w:val="Hyperlink"/>
              </w:rPr>
              <w:t>Quarterly Justice Sector report</w:t>
            </w:r>
            <w:r>
              <w:rPr>
                <w:rStyle w:val="Hyperlink"/>
              </w:rPr>
              <w:fldChar w:fldCharType="end"/>
            </w:r>
          </w:p>
          <w:p w14:paraId="34647B84" w14:textId="77777777" w:rsidR="009C3D07" w:rsidRDefault="00F245E3" w:rsidP="009C3D07">
            <w:pPr>
              <w:pStyle w:val="Tablesinglespacedparagraph"/>
              <w:widowControl w:val="0"/>
            </w:pPr>
            <w:r>
              <w:rPr>
                <w:i/>
                <w:sz w:val="20"/>
                <w:szCs w:val="20"/>
              </w:rPr>
              <w:t>Section 18(d) did not apply—r</w:t>
            </w:r>
            <w:r w:rsidR="009C3D07" w:rsidRPr="009C3D07">
              <w:rPr>
                <w:i/>
                <w:sz w:val="20"/>
                <w:szCs w:val="20"/>
              </w:rPr>
              <w:t>elease 12-</w:t>
            </w:r>
            <w:r w:rsidR="00ED7B06">
              <w:rPr>
                <w:i/>
                <w:sz w:val="20"/>
                <w:szCs w:val="20"/>
              </w:rPr>
              <w:t>1</w:t>
            </w:r>
            <w:r w:rsidR="009C3D07" w:rsidRPr="009C3D07">
              <w:rPr>
                <w:i/>
                <w:sz w:val="20"/>
                <w:szCs w:val="20"/>
              </w:rPr>
              <w:t>6 weeks after refusal was not ‘soon’</w:t>
            </w:r>
          </w:p>
        </w:tc>
      </w:tr>
      <w:tr w:rsidR="00551EEB" w14:paraId="6AB7437F" w14:textId="77777777" w:rsidTr="0061174D">
        <w:trPr>
          <w:cantSplit/>
        </w:trPr>
        <w:tc>
          <w:tcPr>
            <w:tcW w:w="1418" w:type="dxa"/>
            <w:tcBorders>
              <w:left w:val="single" w:sz="4" w:space="0" w:color="A6A6A6" w:themeColor="background1" w:themeShade="A6"/>
            </w:tcBorders>
          </w:tcPr>
          <w:p w14:paraId="648E0E31" w14:textId="77777777" w:rsidR="00551EEB" w:rsidRPr="00A368BB" w:rsidRDefault="00B70004" w:rsidP="008765C6">
            <w:pPr>
              <w:pStyle w:val="Tablesinglespacedparagraph"/>
              <w:widowControl w:val="0"/>
            </w:pPr>
            <w:r>
              <w:t>440225</w:t>
            </w:r>
          </w:p>
        </w:tc>
        <w:tc>
          <w:tcPr>
            <w:tcW w:w="1417" w:type="dxa"/>
          </w:tcPr>
          <w:p w14:paraId="38C35FEB" w14:textId="77777777" w:rsidR="00551EEB" w:rsidRDefault="00B70004" w:rsidP="008765C6">
            <w:pPr>
              <w:pStyle w:val="Tablesinglespacedparagraph"/>
              <w:widowControl w:val="0"/>
            </w:pPr>
            <w:r>
              <w:t>2017</w:t>
            </w:r>
          </w:p>
        </w:tc>
        <w:bookmarkStart w:id="52" w:name="index440225"/>
        <w:bookmarkEnd w:id="52"/>
        <w:tc>
          <w:tcPr>
            <w:tcW w:w="6465" w:type="dxa"/>
            <w:tcBorders>
              <w:right w:val="single" w:sz="4" w:space="0" w:color="A6A6A6" w:themeColor="background1" w:themeShade="A6"/>
            </w:tcBorders>
          </w:tcPr>
          <w:p w14:paraId="3A438659" w14:textId="77777777" w:rsidR="00551EEB" w:rsidRDefault="0029128B" w:rsidP="008765C6">
            <w:pPr>
              <w:pStyle w:val="Tablesinglespacedparagraph"/>
              <w:widowControl w:val="0"/>
            </w:pPr>
            <w:r>
              <w:fldChar w:fldCharType="begin"/>
            </w:r>
            <w:r>
              <w:instrText xml:space="preserve"> HYPERLINK \l "case440225" </w:instrText>
            </w:r>
            <w:r>
              <w:fldChar w:fldCharType="separate"/>
            </w:r>
            <w:r w:rsidR="00B70004" w:rsidRPr="00B70004">
              <w:rPr>
                <w:rStyle w:val="Hyperlink"/>
              </w:rPr>
              <w:t>Recidivism statistics</w:t>
            </w:r>
            <w:r>
              <w:rPr>
                <w:rStyle w:val="Hyperlink"/>
              </w:rPr>
              <w:fldChar w:fldCharType="end"/>
            </w:r>
          </w:p>
          <w:p w14:paraId="4B85E537" w14:textId="77777777" w:rsidR="00B70004" w:rsidRDefault="00B70004" w:rsidP="009C3D07">
            <w:pPr>
              <w:pStyle w:val="Tablesinglespacedparagraph"/>
              <w:widowControl w:val="0"/>
            </w:pPr>
            <w:r w:rsidRPr="00B70004">
              <w:rPr>
                <w:i/>
                <w:sz w:val="20"/>
                <w:szCs w:val="20"/>
              </w:rPr>
              <w:t>Section 18(d) did not apply—</w:t>
            </w:r>
            <w:r w:rsidR="00F245E3">
              <w:rPr>
                <w:i/>
                <w:sz w:val="20"/>
                <w:szCs w:val="20"/>
              </w:rPr>
              <w:t>n</w:t>
            </w:r>
            <w:r w:rsidR="0012691A" w:rsidRPr="00B77661">
              <w:rPr>
                <w:i/>
                <w:sz w:val="20"/>
                <w:szCs w:val="20"/>
              </w:rPr>
              <w:t>o certainty that</w:t>
            </w:r>
            <w:r w:rsidR="0012691A">
              <w:rPr>
                <w:i/>
                <w:sz w:val="20"/>
                <w:szCs w:val="20"/>
              </w:rPr>
              <w:t xml:space="preserve"> information would</w:t>
            </w:r>
            <w:r w:rsidR="00A47F4B">
              <w:rPr>
                <w:i/>
                <w:sz w:val="20"/>
                <w:szCs w:val="20"/>
              </w:rPr>
              <w:t xml:space="preserve"> be released </w:t>
            </w:r>
            <w:proofErr w:type="gramStart"/>
            <w:r w:rsidR="00A47F4B">
              <w:rPr>
                <w:i/>
                <w:sz w:val="20"/>
                <w:szCs w:val="20"/>
              </w:rPr>
              <w:t>in the near future</w:t>
            </w:r>
            <w:proofErr w:type="gramEnd"/>
            <w:r w:rsidR="0012691A">
              <w:rPr>
                <w:i/>
                <w:sz w:val="20"/>
                <w:szCs w:val="20"/>
              </w:rPr>
              <w:t>—</w:t>
            </w:r>
            <w:r w:rsidR="00F245E3">
              <w:rPr>
                <w:i/>
                <w:sz w:val="20"/>
                <w:szCs w:val="20"/>
              </w:rPr>
              <w:t>r</w:t>
            </w:r>
            <w:r w:rsidR="00700F96">
              <w:rPr>
                <w:i/>
                <w:sz w:val="20"/>
                <w:szCs w:val="20"/>
              </w:rPr>
              <w:t xml:space="preserve">elease </w:t>
            </w:r>
            <w:r w:rsidR="0001776B">
              <w:rPr>
                <w:i/>
                <w:sz w:val="20"/>
                <w:szCs w:val="20"/>
              </w:rPr>
              <w:t>13 weeks</w:t>
            </w:r>
            <w:r w:rsidRPr="00B70004">
              <w:rPr>
                <w:i/>
                <w:sz w:val="20"/>
                <w:szCs w:val="20"/>
              </w:rPr>
              <w:t xml:space="preserve"> </w:t>
            </w:r>
            <w:r w:rsidR="00700F96">
              <w:rPr>
                <w:i/>
                <w:sz w:val="20"/>
                <w:szCs w:val="20"/>
              </w:rPr>
              <w:t xml:space="preserve">after refusal </w:t>
            </w:r>
            <w:r w:rsidRPr="00B70004">
              <w:rPr>
                <w:i/>
                <w:sz w:val="20"/>
                <w:szCs w:val="20"/>
              </w:rPr>
              <w:t>was not ‘soon’</w:t>
            </w:r>
          </w:p>
        </w:tc>
      </w:tr>
      <w:tr w:rsidR="008765C6" w14:paraId="7EE4090F" w14:textId="77777777" w:rsidTr="0061174D">
        <w:trPr>
          <w:cantSplit/>
        </w:trPr>
        <w:tc>
          <w:tcPr>
            <w:tcW w:w="1418" w:type="dxa"/>
            <w:tcBorders>
              <w:left w:val="single" w:sz="4" w:space="0" w:color="A6A6A6" w:themeColor="background1" w:themeShade="A6"/>
            </w:tcBorders>
          </w:tcPr>
          <w:p w14:paraId="13A55B25" w14:textId="77777777" w:rsidR="008765C6" w:rsidRPr="00A368BB" w:rsidRDefault="008765C6" w:rsidP="008765C6">
            <w:pPr>
              <w:pStyle w:val="Tablesinglespacedparagraph"/>
              <w:widowControl w:val="0"/>
            </w:pPr>
            <w:r w:rsidRPr="00604865">
              <w:t xml:space="preserve">397547 </w:t>
            </w:r>
          </w:p>
        </w:tc>
        <w:tc>
          <w:tcPr>
            <w:tcW w:w="1417" w:type="dxa"/>
          </w:tcPr>
          <w:p w14:paraId="49A66585" w14:textId="77777777" w:rsidR="008765C6" w:rsidRDefault="008765C6" w:rsidP="008765C6">
            <w:pPr>
              <w:pStyle w:val="Tablesinglespacedparagraph"/>
              <w:widowControl w:val="0"/>
            </w:pPr>
            <w:r>
              <w:t>2015</w:t>
            </w:r>
          </w:p>
        </w:tc>
        <w:bookmarkStart w:id="53" w:name="index397547"/>
        <w:bookmarkEnd w:id="53"/>
        <w:tc>
          <w:tcPr>
            <w:tcW w:w="6465" w:type="dxa"/>
            <w:tcBorders>
              <w:right w:val="single" w:sz="4" w:space="0" w:color="A6A6A6" w:themeColor="background1" w:themeShade="A6"/>
            </w:tcBorders>
          </w:tcPr>
          <w:p w14:paraId="0F91794F" w14:textId="77777777" w:rsidR="008765C6" w:rsidRPr="00604865" w:rsidRDefault="0029128B" w:rsidP="008765C6">
            <w:pPr>
              <w:pStyle w:val="Tablesinglespacedparagraph"/>
              <w:widowControl w:val="0"/>
              <w:rPr>
                <w:rStyle w:val="Hyperlink"/>
              </w:rPr>
            </w:pPr>
            <w:r>
              <w:fldChar w:fldCharType="begin"/>
            </w:r>
            <w:r>
              <w:instrText xml:space="preserve"> HYPERLINK \l "case397547" </w:instrText>
            </w:r>
            <w:r>
              <w:fldChar w:fldCharType="separate"/>
            </w:r>
            <w:r w:rsidR="008765C6" w:rsidRPr="00775359">
              <w:rPr>
                <w:rStyle w:val="Hyperlink"/>
              </w:rPr>
              <w:t>Holiday period excess speed infringement data</w:t>
            </w:r>
            <w:r>
              <w:rPr>
                <w:rStyle w:val="Hyperlink"/>
              </w:rPr>
              <w:fldChar w:fldCharType="end"/>
            </w:r>
          </w:p>
          <w:p w14:paraId="5AE784F1" w14:textId="77777777" w:rsidR="008765C6" w:rsidRDefault="00973EE4" w:rsidP="00F245E3">
            <w:pPr>
              <w:pStyle w:val="Tablesinglespacedparagraph"/>
              <w:widowControl w:val="0"/>
            </w:pPr>
            <w:r w:rsidRPr="00973EE4">
              <w:rPr>
                <w:i/>
                <w:sz w:val="20"/>
                <w:szCs w:val="20"/>
              </w:rPr>
              <w:t>Section 18(d) applied—</w:t>
            </w:r>
            <w:r w:rsidR="00F245E3">
              <w:rPr>
                <w:i/>
                <w:sz w:val="20"/>
                <w:szCs w:val="20"/>
              </w:rPr>
              <w:t>r</w:t>
            </w:r>
            <w:r w:rsidR="00700F96">
              <w:rPr>
                <w:i/>
                <w:sz w:val="20"/>
                <w:szCs w:val="20"/>
              </w:rPr>
              <w:t xml:space="preserve">elease </w:t>
            </w:r>
            <w:r w:rsidR="008765C6">
              <w:rPr>
                <w:i/>
                <w:sz w:val="20"/>
                <w:szCs w:val="20"/>
              </w:rPr>
              <w:t xml:space="preserve">23 working days </w:t>
            </w:r>
            <w:r w:rsidR="00700F96">
              <w:rPr>
                <w:i/>
                <w:sz w:val="20"/>
                <w:szCs w:val="20"/>
              </w:rPr>
              <w:t xml:space="preserve">after refusal </w:t>
            </w:r>
            <w:r w:rsidR="008765C6">
              <w:rPr>
                <w:i/>
                <w:sz w:val="20"/>
                <w:szCs w:val="20"/>
              </w:rPr>
              <w:t>was ‘soon’</w:t>
            </w:r>
          </w:p>
        </w:tc>
      </w:tr>
      <w:tr w:rsidR="00F152C3" w14:paraId="1DFA6FF1" w14:textId="77777777" w:rsidTr="0061174D">
        <w:trPr>
          <w:cantSplit/>
        </w:trPr>
        <w:tc>
          <w:tcPr>
            <w:tcW w:w="1418" w:type="dxa"/>
            <w:tcBorders>
              <w:left w:val="single" w:sz="4" w:space="0" w:color="A6A6A6" w:themeColor="background1" w:themeShade="A6"/>
            </w:tcBorders>
          </w:tcPr>
          <w:p w14:paraId="0D3C79CA" w14:textId="77777777" w:rsidR="00F152C3" w:rsidRPr="00604865" w:rsidRDefault="00F152C3" w:rsidP="008765C6">
            <w:pPr>
              <w:pStyle w:val="Tablesinglespacedparagraph"/>
              <w:widowControl w:val="0"/>
            </w:pPr>
            <w:r w:rsidRPr="00F152C3">
              <w:t>374966</w:t>
            </w:r>
          </w:p>
        </w:tc>
        <w:tc>
          <w:tcPr>
            <w:tcW w:w="1417" w:type="dxa"/>
          </w:tcPr>
          <w:p w14:paraId="6418FF3D" w14:textId="77777777" w:rsidR="00F152C3" w:rsidRDefault="00F152C3" w:rsidP="008765C6">
            <w:pPr>
              <w:pStyle w:val="Tablesinglespacedparagraph"/>
              <w:widowControl w:val="0"/>
            </w:pPr>
            <w:r w:rsidRPr="00F152C3">
              <w:t>2014</w:t>
            </w:r>
          </w:p>
        </w:tc>
        <w:bookmarkStart w:id="54" w:name="index374966"/>
        <w:bookmarkEnd w:id="54"/>
        <w:tc>
          <w:tcPr>
            <w:tcW w:w="6465" w:type="dxa"/>
            <w:tcBorders>
              <w:right w:val="single" w:sz="4" w:space="0" w:color="A6A6A6" w:themeColor="background1" w:themeShade="A6"/>
            </w:tcBorders>
          </w:tcPr>
          <w:p w14:paraId="2E04C497" w14:textId="77777777" w:rsidR="00F152C3" w:rsidRDefault="0029128B" w:rsidP="00F152C3">
            <w:pPr>
              <w:pStyle w:val="Tablesinglespacedparagraph"/>
              <w:widowControl w:val="0"/>
            </w:pPr>
            <w:r>
              <w:fldChar w:fldCharType="begin"/>
            </w:r>
            <w:r>
              <w:instrText xml:space="preserve"> HYPERLINK \l "case374966" </w:instrText>
            </w:r>
            <w:r>
              <w:fldChar w:fldCharType="separate"/>
            </w:r>
            <w:r w:rsidR="00F152C3" w:rsidRPr="00F152C3">
              <w:rPr>
                <w:rStyle w:val="Hyperlink"/>
              </w:rPr>
              <w:t>Restorative justice data</w:t>
            </w:r>
            <w:r>
              <w:rPr>
                <w:rStyle w:val="Hyperlink"/>
              </w:rPr>
              <w:fldChar w:fldCharType="end"/>
            </w:r>
          </w:p>
          <w:p w14:paraId="07F6B13F" w14:textId="77777777" w:rsidR="00F152C3" w:rsidRDefault="00F152C3" w:rsidP="00A47F4B">
            <w:pPr>
              <w:pStyle w:val="Tablesinglespacedparagraph"/>
              <w:widowControl w:val="0"/>
            </w:pPr>
            <w:r w:rsidRPr="00A47F4B">
              <w:rPr>
                <w:i/>
                <w:sz w:val="20"/>
                <w:szCs w:val="20"/>
              </w:rPr>
              <w:t>Section 18(g) did not apply</w:t>
            </w:r>
            <w:r w:rsidR="00A47F4B">
              <w:rPr>
                <w:i/>
                <w:sz w:val="20"/>
                <w:szCs w:val="20"/>
              </w:rPr>
              <w:t>—</w:t>
            </w:r>
            <w:r w:rsidR="00F245E3">
              <w:rPr>
                <w:i/>
                <w:sz w:val="20"/>
                <w:szCs w:val="20"/>
              </w:rPr>
              <w:t>n</w:t>
            </w:r>
            <w:r w:rsidRPr="00B77661">
              <w:rPr>
                <w:i/>
                <w:sz w:val="20"/>
                <w:szCs w:val="20"/>
              </w:rPr>
              <w:t>o certainty that</w:t>
            </w:r>
            <w:r>
              <w:rPr>
                <w:i/>
                <w:sz w:val="20"/>
                <w:szCs w:val="20"/>
              </w:rPr>
              <w:t xml:space="preserve"> information would</w:t>
            </w:r>
            <w:r w:rsidR="0044152D">
              <w:rPr>
                <w:i/>
                <w:sz w:val="20"/>
                <w:szCs w:val="20"/>
              </w:rPr>
              <w:t xml:space="preserve"> be released </w:t>
            </w:r>
            <w:proofErr w:type="gramStart"/>
            <w:r w:rsidR="0044152D">
              <w:rPr>
                <w:i/>
                <w:sz w:val="20"/>
                <w:szCs w:val="20"/>
              </w:rPr>
              <w:t>in the near future</w:t>
            </w:r>
            <w:proofErr w:type="gramEnd"/>
            <w:r w:rsidR="00F245E3">
              <w:rPr>
                <w:i/>
                <w:sz w:val="20"/>
                <w:szCs w:val="20"/>
              </w:rPr>
              <w:t>—r</w:t>
            </w:r>
            <w:r>
              <w:rPr>
                <w:i/>
                <w:sz w:val="20"/>
                <w:szCs w:val="20"/>
              </w:rPr>
              <w:t xml:space="preserve">elease </w:t>
            </w:r>
            <w:r w:rsidR="00A47F4B">
              <w:rPr>
                <w:i/>
                <w:sz w:val="20"/>
                <w:szCs w:val="20"/>
              </w:rPr>
              <w:t>14-16</w:t>
            </w:r>
            <w:r>
              <w:rPr>
                <w:i/>
                <w:sz w:val="20"/>
                <w:szCs w:val="20"/>
              </w:rPr>
              <w:t xml:space="preserve"> weeks</w:t>
            </w:r>
            <w:r w:rsidRPr="00B70004">
              <w:rPr>
                <w:i/>
                <w:sz w:val="20"/>
                <w:szCs w:val="20"/>
              </w:rPr>
              <w:t xml:space="preserve"> </w:t>
            </w:r>
            <w:r>
              <w:rPr>
                <w:i/>
                <w:sz w:val="20"/>
                <w:szCs w:val="20"/>
              </w:rPr>
              <w:t xml:space="preserve">after refusal </w:t>
            </w:r>
            <w:r w:rsidRPr="00B70004">
              <w:rPr>
                <w:i/>
                <w:sz w:val="20"/>
                <w:szCs w:val="20"/>
              </w:rPr>
              <w:t>was not ‘soon’</w:t>
            </w:r>
          </w:p>
        </w:tc>
      </w:tr>
      <w:tr w:rsidR="008765C6" w14:paraId="54191CC0" w14:textId="77777777" w:rsidTr="0061174D">
        <w:trPr>
          <w:cantSplit/>
        </w:trPr>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A530EA" w14:textId="77777777" w:rsidR="008765C6" w:rsidRPr="007B66F1" w:rsidRDefault="008765C6" w:rsidP="008765C6">
            <w:pPr>
              <w:pStyle w:val="Tablesinglespacedparagraph"/>
              <w:widowControl w:val="0"/>
            </w:pPr>
            <w:r w:rsidRPr="00B77661">
              <w:t>320115</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B525BF8" w14:textId="77777777" w:rsidR="008765C6" w:rsidRDefault="008765C6" w:rsidP="008765C6">
            <w:pPr>
              <w:pStyle w:val="Tablesinglespacedparagraph"/>
              <w:widowControl w:val="0"/>
            </w:pPr>
            <w:r w:rsidRPr="00B77661">
              <w:t>2014</w:t>
            </w:r>
          </w:p>
        </w:tc>
        <w:bookmarkStart w:id="55" w:name="index320115"/>
        <w:bookmarkEnd w:id="55"/>
        <w:tc>
          <w:tcPr>
            <w:tcW w:w="64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19F2691" w14:textId="77777777" w:rsidR="008765C6" w:rsidRDefault="0029128B" w:rsidP="008765C6">
            <w:pPr>
              <w:pStyle w:val="Tablesinglespacedparagraph"/>
              <w:widowControl w:val="0"/>
            </w:pPr>
            <w:r>
              <w:fldChar w:fldCharType="begin"/>
            </w:r>
            <w:r>
              <w:instrText xml:space="preserve"> HYPERLINK \l "case320115" </w:instrText>
            </w:r>
            <w:r>
              <w:fldChar w:fldCharType="separate"/>
            </w:r>
            <w:r w:rsidR="008765C6" w:rsidRPr="00B77661">
              <w:rPr>
                <w:rStyle w:val="Hyperlink"/>
              </w:rPr>
              <w:t>Information about the Rugby World Cup</w:t>
            </w:r>
            <w:r>
              <w:rPr>
                <w:rStyle w:val="Hyperlink"/>
              </w:rPr>
              <w:fldChar w:fldCharType="end"/>
            </w:r>
          </w:p>
          <w:p w14:paraId="71974AAF" w14:textId="77777777" w:rsidR="008765C6" w:rsidRDefault="00973EE4" w:rsidP="00776AE5">
            <w:pPr>
              <w:pStyle w:val="Tablesinglespacedparagraph"/>
              <w:widowControl w:val="0"/>
            </w:pPr>
            <w:r w:rsidRPr="00973EE4">
              <w:rPr>
                <w:i/>
                <w:sz w:val="20"/>
                <w:szCs w:val="20"/>
              </w:rPr>
              <w:t>Section 18(d)</w:t>
            </w:r>
            <w:r>
              <w:rPr>
                <w:i/>
                <w:sz w:val="20"/>
                <w:szCs w:val="20"/>
              </w:rPr>
              <w:t xml:space="preserve"> did not</w:t>
            </w:r>
            <w:r w:rsidRPr="00973EE4">
              <w:rPr>
                <w:i/>
                <w:sz w:val="20"/>
                <w:szCs w:val="20"/>
              </w:rPr>
              <w:t xml:space="preserve"> appl</w:t>
            </w:r>
            <w:r>
              <w:rPr>
                <w:i/>
                <w:sz w:val="20"/>
                <w:szCs w:val="20"/>
              </w:rPr>
              <w:t>y</w:t>
            </w:r>
            <w:r w:rsidRPr="00973EE4">
              <w:rPr>
                <w:i/>
                <w:sz w:val="20"/>
                <w:szCs w:val="20"/>
              </w:rPr>
              <w:t>—</w:t>
            </w:r>
            <w:r w:rsidR="00F245E3">
              <w:rPr>
                <w:i/>
                <w:sz w:val="20"/>
                <w:szCs w:val="20"/>
              </w:rPr>
              <w:t>n</w:t>
            </w:r>
            <w:r w:rsidR="008765C6" w:rsidRPr="00B77661">
              <w:rPr>
                <w:i/>
                <w:sz w:val="20"/>
                <w:szCs w:val="20"/>
              </w:rPr>
              <w:t>o certainty that</w:t>
            </w:r>
            <w:r w:rsidR="00776AE5">
              <w:rPr>
                <w:i/>
                <w:sz w:val="20"/>
                <w:szCs w:val="20"/>
              </w:rPr>
              <w:t xml:space="preserve"> information would be released </w:t>
            </w:r>
            <w:proofErr w:type="gramStart"/>
            <w:r w:rsidR="00776AE5">
              <w:rPr>
                <w:i/>
                <w:sz w:val="20"/>
                <w:szCs w:val="20"/>
              </w:rPr>
              <w:t>in the near future</w:t>
            </w:r>
            <w:proofErr w:type="gramEnd"/>
          </w:p>
        </w:tc>
      </w:tr>
      <w:tr w:rsidR="008765C6" w14:paraId="3E743605" w14:textId="77777777" w:rsidTr="0061174D">
        <w:trPr>
          <w:cantSplit/>
        </w:trPr>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270D148" w14:textId="77777777" w:rsidR="008765C6" w:rsidRPr="00B77661" w:rsidRDefault="008765C6" w:rsidP="008765C6">
            <w:pPr>
              <w:pStyle w:val="Tablesinglespacedparagraph"/>
              <w:widowControl w:val="0"/>
            </w:pPr>
            <w:r w:rsidRPr="003B2D9B">
              <w:t>353000</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D19A7B3" w14:textId="77777777" w:rsidR="008765C6" w:rsidRPr="00B77661" w:rsidRDefault="008765C6" w:rsidP="008765C6">
            <w:pPr>
              <w:pStyle w:val="Tablesinglespacedparagraph"/>
              <w:widowControl w:val="0"/>
            </w:pPr>
            <w:r w:rsidRPr="003B2D9B">
              <w:t>2013</w:t>
            </w:r>
          </w:p>
        </w:tc>
        <w:bookmarkStart w:id="56" w:name="index353000"/>
        <w:bookmarkEnd w:id="56"/>
        <w:tc>
          <w:tcPr>
            <w:tcW w:w="64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43511F" w14:textId="77777777" w:rsidR="008765C6" w:rsidRDefault="0029128B" w:rsidP="008765C6">
            <w:pPr>
              <w:pStyle w:val="Tablesinglespacedparagraph"/>
              <w:widowControl w:val="0"/>
            </w:pPr>
            <w:r>
              <w:fldChar w:fldCharType="begin"/>
            </w:r>
            <w:r>
              <w:instrText xml:space="preserve"> HYPERLINK \l "case353000" </w:instrText>
            </w:r>
            <w:r>
              <w:fldChar w:fldCharType="separate"/>
            </w:r>
            <w:r w:rsidR="008765C6" w:rsidRPr="003B2D9B">
              <w:rPr>
                <w:rStyle w:val="Hyperlink"/>
              </w:rPr>
              <w:t>Groups interested in setting up a charter school</w:t>
            </w:r>
            <w:r>
              <w:rPr>
                <w:rStyle w:val="Hyperlink"/>
              </w:rPr>
              <w:fldChar w:fldCharType="end"/>
            </w:r>
          </w:p>
          <w:p w14:paraId="3D8BFCF6" w14:textId="77777777" w:rsidR="008765C6" w:rsidRDefault="00973EE4" w:rsidP="00F245E3">
            <w:pPr>
              <w:pStyle w:val="Tablesinglespacedparagraph"/>
              <w:widowControl w:val="0"/>
            </w:pPr>
            <w:r w:rsidRPr="00973EE4">
              <w:rPr>
                <w:i/>
                <w:sz w:val="20"/>
                <w:szCs w:val="20"/>
              </w:rPr>
              <w:t>Section 18(d)</w:t>
            </w:r>
            <w:r>
              <w:rPr>
                <w:i/>
                <w:sz w:val="20"/>
                <w:szCs w:val="20"/>
              </w:rPr>
              <w:t xml:space="preserve"> did not</w:t>
            </w:r>
            <w:r w:rsidRPr="00973EE4">
              <w:rPr>
                <w:i/>
                <w:sz w:val="20"/>
                <w:szCs w:val="20"/>
              </w:rPr>
              <w:t xml:space="preserve"> appl</w:t>
            </w:r>
            <w:r>
              <w:rPr>
                <w:i/>
                <w:sz w:val="20"/>
                <w:szCs w:val="20"/>
              </w:rPr>
              <w:t>y</w:t>
            </w:r>
            <w:r w:rsidRPr="00973EE4">
              <w:rPr>
                <w:i/>
                <w:sz w:val="20"/>
                <w:szCs w:val="20"/>
              </w:rPr>
              <w:t>—</w:t>
            </w:r>
            <w:r w:rsidR="00F245E3">
              <w:rPr>
                <w:i/>
                <w:sz w:val="20"/>
                <w:szCs w:val="20"/>
              </w:rPr>
              <w:t>n</w:t>
            </w:r>
            <w:r w:rsidR="00776AE5" w:rsidRPr="00B77661">
              <w:rPr>
                <w:i/>
                <w:sz w:val="20"/>
                <w:szCs w:val="20"/>
              </w:rPr>
              <w:t>o certainty that</w:t>
            </w:r>
            <w:r w:rsidR="00776AE5">
              <w:rPr>
                <w:i/>
                <w:sz w:val="20"/>
                <w:szCs w:val="20"/>
              </w:rPr>
              <w:t xml:space="preserve"> information would be released </w:t>
            </w:r>
            <w:proofErr w:type="gramStart"/>
            <w:r w:rsidR="00776AE5">
              <w:rPr>
                <w:i/>
                <w:sz w:val="20"/>
                <w:szCs w:val="20"/>
              </w:rPr>
              <w:t>in the near future</w:t>
            </w:r>
            <w:proofErr w:type="gramEnd"/>
            <w:r w:rsidR="00F245E3">
              <w:rPr>
                <w:i/>
                <w:sz w:val="20"/>
                <w:szCs w:val="20"/>
              </w:rPr>
              <w:t>—r</w:t>
            </w:r>
            <w:r w:rsidR="00A154E7">
              <w:rPr>
                <w:i/>
                <w:sz w:val="20"/>
                <w:szCs w:val="20"/>
              </w:rPr>
              <w:t>elease 19 weeks</w:t>
            </w:r>
            <w:r w:rsidR="00A154E7" w:rsidRPr="00B70004">
              <w:rPr>
                <w:i/>
                <w:sz w:val="20"/>
                <w:szCs w:val="20"/>
              </w:rPr>
              <w:t xml:space="preserve"> </w:t>
            </w:r>
            <w:r w:rsidR="00A154E7">
              <w:rPr>
                <w:i/>
                <w:sz w:val="20"/>
                <w:szCs w:val="20"/>
              </w:rPr>
              <w:t xml:space="preserve">after refusal </w:t>
            </w:r>
            <w:r w:rsidR="00A154E7" w:rsidRPr="00B70004">
              <w:rPr>
                <w:i/>
                <w:sz w:val="20"/>
                <w:szCs w:val="20"/>
              </w:rPr>
              <w:t>was not ‘soon’</w:t>
            </w:r>
          </w:p>
        </w:tc>
      </w:tr>
      <w:tr w:rsidR="00097A83" w14:paraId="6D11199C" w14:textId="77777777" w:rsidTr="0061174D">
        <w:trPr>
          <w:cantSplit/>
        </w:trPr>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B4930B1" w14:textId="77777777" w:rsidR="00097A83" w:rsidRPr="003B2D9B" w:rsidRDefault="00097A83" w:rsidP="008765C6">
            <w:pPr>
              <w:pStyle w:val="Tablesinglespacedparagraph"/>
              <w:widowControl w:val="0"/>
            </w:pPr>
            <w:r>
              <w:t>307769</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DDA5BC" w14:textId="77777777" w:rsidR="00097A83" w:rsidRPr="003B2D9B" w:rsidRDefault="00097A83" w:rsidP="008765C6">
            <w:pPr>
              <w:pStyle w:val="Tablesinglespacedparagraph"/>
              <w:widowControl w:val="0"/>
            </w:pPr>
            <w:r>
              <w:t>2012</w:t>
            </w:r>
          </w:p>
        </w:tc>
        <w:bookmarkStart w:id="57" w:name="index307769"/>
        <w:bookmarkEnd w:id="57"/>
        <w:tc>
          <w:tcPr>
            <w:tcW w:w="64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2BCFF2" w14:textId="77777777" w:rsidR="00097A83" w:rsidRDefault="00A85166" w:rsidP="008765C6">
            <w:pPr>
              <w:pStyle w:val="Tablesinglespacedparagraph"/>
              <w:widowControl w:val="0"/>
              <w:rPr>
                <w:rStyle w:val="Hyperlink"/>
              </w:rPr>
            </w:pPr>
            <w:r>
              <w:fldChar w:fldCharType="begin"/>
            </w:r>
            <w:r>
              <w:instrText xml:space="preserve"> HYPERLINK  \l "case307769" </w:instrText>
            </w:r>
            <w:r>
              <w:fldChar w:fldCharType="separate"/>
            </w:r>
            <w:r w:rsidRPr="00A85166">
              <w:rPr>
                <w:rStyle w:val="Hyperlink"/>
              </w:rPr>
              <w:t xml:space="preserve">Operational protocols and governance arrangements for the retention of </w:t>
            </w:r>
            <w:proofErr w:type="gramStart"/>
            <w:r w:rsidRPr="00A85166">
              <w:rPr>
                <w:rStyle w:val="Hyperlink"/>
              </w:rPr>
              <w:t>new born</w:t>
            </w:r>
            <w:proofErr w:type="gramEnd"/>
            <w:r w:rsidRPr="00A85166">
              <w:rPr>
                <w:rStyle w:val="Hyperlink"/>
              </w:rPr>
              <w:t xml:space="preserve"> blood spot cards</w:t>
            </w:r>
            <w:r>
              <w:fldChar w:fldCharType="end"/>
            </w:r>
          </w:p>
          <w:p w14:paraId="4ED56F06" w14:textId="77777777" w:rsidR="00FF0AB2" w:rsidRDefault="00F245E3" w:rsidP="008765C6">
            <w:pPr>
              <w:pStyle w:val="Tablesinglespacedparagraph"/>
              <w:widowControl w:val="0"/>
            </w:pPr>
            <w:r>
              <w:rPr>
                <w:i/>
                <w:sz w:val="20"/>
                <w:szCs w:val="20"/>
              </w:rPr>
              <w:t>Section 18(d) did not apply—n</w:t>
            </w:r>
            <w:r w:rsidR="00FF0AB2" w:rsidRPr="00FF0AB2">
              <w:rPr>
                <w:i/>
                <w:sz w:val="20"/>
                <w:szCs w:val="20"/>
              </w:rPr>
              <w:t>o intention to publish the</w:t>
            </w:r>
            <w:r w:rsidR="00FF0AB2">
              <w:rPr>
                <w:i/>
                <w:sz w:val="20"/>
                <w:szCs w:val="20"/>
              </w:rPr>
              <w:t xml:space="preserve"> specific</w:t>
            </w:r>
            <w:r w:rsidR="00FF0AB2" w:rsidRPr="00FF0AB2">
              <w:rPr>
                <w:i/>
                <w:sz w:val="20"/>
                <w:szCs w:val="20"/>
              </w:rPr>
              <w:t xml:space="preserve"> infor</w:t>
            </w:r>
            <w:r>
              <w:rPr>
                <w:i/>
                <w:sz w:val="20"/>
                <w:szCs w:val="20"/>
              </w:rPr>
              <w:t>mation requested—n</w:t>
            </w:r>
            <w:r w:rsidR="00FF0AB2" w:rsidRPr="00FF0AB2">
              <w:rPr>
                <w:i/>
                <w:sz w:val="20"/>
                <w:szCs w:val="20"/>
              </w:rPr>
              <w:t xml:space="preserve">o certainty </w:t>
            </w:r>
            <w:r w:rsidR="00FF0AB2">
              <w:rPr>
                <w:i/>
                <w:sz w:val="20"/>
                <w:szCs w:val="20"/>
              </w:rPr>
              <w:t xml:space="preserve">about </w:t>
            </w:r>
            <w:r w:rsidR="00FF0AB2" w:rsidRPr="00FF0AB2">
              <w:rPr>
                <w:i/>
                <w:sz w:val="20"/>
                <w:szCs w:val="20"/>
              </w:rPr>
              <w:t>when publication would take place</w:t>
            </w:r>
          </w:p>
        </w:tc>
      </w:tr>
      <w:tr w:rsidR="008765C6" w14:paraId="7C47DCCD" w14:textId="77777777" w:rsidTr="0061174D">
        <w:trPr>
          <w:cantSplit/>
        </w:trPr>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4106D1C" w14:textId="77777777" w:rsidR="008765C6" w:rsidRPr="00D167BA" w:rsidRDefault="008765C6" w:rsidP="008765C6">
            <w:pPr>
              <w:pStyle w:val="Tablesinglespacedparagraph"/>
              <w:widowControl w:val="0"/>
            </w:pPr>
            <w:r w:rsidRPr="00DD2A2D">
              <w:t>176212</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5369354" w14:textId="77777777" w:rsidR="008765C6" w:rsidRPr="00D167BA" w:rsidRDefault="008765C6" w:rsidP="008765C6">
            <w:pPr>
              <w:pStyle w:val="Tablesinglespacedparagraph"/>
              <w:widowControl w:val="0"/>
            </w:pPr>
            <w:r>
              <w:t>2007</w:t>
            </w:r>
          </w:p>
        </w:tc>
        <w:bookmarkStart w:id="58" w:name="index176212"/>
        <w:bookmarkEnd w:id="58"/>
        <w:tc>
          <w:tcPr>
            <w:tcW w:w="64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BED448" w14:textId="77777777" w:rsidR="008765C6" w:rsidRDefault="0029128B" w:rsidP="008765C6">
            <w:pPr>
              <w:pStyle w:val="Tablesinglespacedparagraph"/>
              <w:widowControl w:val="0"/>
            </w:pPr>
            <w:r>
              <w:fldChar w:fldCharType="begin"/>
            </w:r>
            <w:r>
              <w:instrText xml:space="preserve"> HYPERLINK \l "case176212" </w:instrText>
            </w:r>
            <w:r>
              <w:fldChar w:fldCharType="separate"/>
            </w:r>
            <w:r w:rsidR="008765C6" w:rsidRPr="00290578">
              <w:rPr>
                <w:rStyle w:val="Hyperlink"/>
              </w:rPr>
              <w:t>Report on de-merging traffic enforcement function from Police</w:t>
            </w:r>
            <w:r>
              <w:rPr>
                <w:rStyle w:val="Hyperlink"/>
              </w:rPr>
              <w:fldChar w:fldCharType="end"/>
            </w:r>
            <w:r w:rsidR="008765C6">
              <w:t xml:space="preserve"> </w:t>
            </w:r>
          </w:p>
          <w:p w14:paraId="08E2B509" w14:textId="77777777" w:rsidR="008765C6" w:rsidRDefault="00973EE4" w:rsidP="008765C6">
            <w:pPr>
              <w:pStyle w:val="Tablesinglespacedparagraph"/>
              <w:widowControl w:val="0"/>
            </w:pPr>
            <w:r w:rsidRPr="00973EE4">
              <w:rPr>
                <w:i/>
                <w:sz w:val="20"/>
                <w:szCs w:val="20"/>
              </w:rPr>
              <w:t>Section 18(d)</w:t>
            </w:r>
            <w:r>
              <w:rPr>
                <w:i/>
                <w:sz w:val="20"/>
                <w:szCs w:val="20"/>
              </w:rPr>
              <w:t xml:space="preserve"> did not</w:t>
            </w:r>
            <w:r w:rsidRPr="00973EE4">
              <w:rPr>
                <w:i/>
                <w:sz w:val="20"/>
                <w:szCs w:val="20"/>
              </w:rPr>
              <w:t xml:space="preserve"> appl</w:t>
            </w:r>
            <w:r>
              <w:rPr>
                <w:i/>
                <w:sz w:val="20"/>
                <w:szCs w:val="20"/>
              </w:rPr>
              <w:t>y</w:t>
            </w:r>
            <w:r w:rsidR="00776AE5" w:rsidRPr="00973EE4">
              <w:rPr>
                <w:i/>
                <w:sz w:val="20"/>
                <w:szCs w:val="20"/>
              </w:rPr>
              <w:t>—</w:t>
            </w:r>
            <w:r w:rsidR="00F245E3">
              <w:rPr>
                <w:i/>
                <w:sz w:val="20"/>
                <w:szCs w:val="20"/>
              </w:rPr>
              <w:t>n</w:t>
            </w:r>
            <w:r w:rsidR="00776AE5" w:rsidRPr="00B77661">
              <w:rPr>
                <w:i/>
                <w:sz w:val="20"/>
                <w:szCs w:val="20"/>
              </w:rPr>
              <w:t>o certainty that</w:t>
            </w:r>
            <w:r w:rsidR="00776AE5">
              <w:rPr>
                <w:i/>
                <w:sz w:val="20"/>
                <w:szCs w:val="20"/>
              </w:rPr>
              <w:t xml:space="preserve"> information would be released </w:t>
            </w:r>
            <w:proofErr w:type="gramStart"/>
            <w:r w:rsidR="00776AE5">
              <w:rPr>
                <w:i/>
                <w:sz w:val="20"/>
                <w:szCs w:val="20"/>
              </w:rPr>
              <w:t>in t</w:t>
            </w:r>
            <w:r w:rsidR="00F245E3">
              <w:rPr>
                <w:i/>
                <w:sz w:val="20"/>
                <w:szCs w:val="20"/>
              </w:rPr>
              <w:t>he near future</w:t>
            </w:r>
            <w:proofErr w:type="gramEnd"/>
            <w:r w:rsidR="00F245E3">
              <w:rPr>
                <w:i/>
                <w:sz w:val="20"/>
                <w:szCs w:val="20"/>
              </w:rPr>
              <w:t>—s</w:t>
            </w:r>
            <w:r w:rsidR="00776AE5">
              <w:rPr>
                <w:i/>
                <w:sz w:val="20"/>
                <w:szCs w:val="20"/>
              </w:rPr>
              <w:t>ubstantive withholding ground</w:t>
            </w:r>
            <w:r w:rsidR="006F1E76">
              <w:rPr>
                <w:i/>
                <w:sz w:val="20"/>
                <w:szCs w:val="20"/>
              </w:rPr>
              <w:t>s</w:t>
            </w:r>
            <w:r w:rsidR="00776AE5">
              <w:rPr>
                <w:i/>
                <w:sz w:val="20"/>
                <w:szCs w:val="20"/>
              </w:rPr>
              <w:t xml:space="preserve"> should have been considered</w:t>
            </w:r>
          </w:p>
        </w:tc>
      </w:tr>
    </w:tbl>
    <w:p w14:paraId="7BAC5107" w14:textId="77777777" w:rsidR="003B1B8B" w:rsidRDefault="008765C6" w:rsidP="00EC6D9E">
      <w:pPr>
        <w:pStyle w:val="Heading2"/>
        <w:keepNext w:val="0"/>
        <w:keepLines w:val="0"/>
        <w:widowControl w:val="0"/>
      </w:pPr>
      <w:bookmarkStart w:id="59" w:name="_Toc230790017"/>
      <w:r>
        <w:t>Information publicly available</w:t>
      </w:r>
      <w:bookmarkEnd w:id="59"/>
    </w:p>
    <w:tbl>
      <w:tblPr>
        <w:tblStyle w:val="TableBox"/>
        <w:tblW w:w="9297" w:type="dxa"/>
        <w:tblLayout w:type="fixed"/>
        <w:tblLook w:val="04A0" w:firstRow="1" w:lastRow="0" w:firstColumn="1" w:lastColumn="0" w:noHBand="0" w:noVBand="1"/>
        <w:tblCaption w:val="Box to emphasise text"/>
      </w:tblPr>
      <w:tblGrid>
        <w:gridCol w:w="9297"/>
      </w:tblGrid>
      <w:tr w:rsidR="00497FE4" w14:paraId="4D67A294" w14:textId="77777777" w:rsidTr="00497FE4">
        <w:tc>
          <w:tcPr>
            <w:tcW w:w="9297" w:type="dxa"/>
          </w:tcPr>
          <w:p w14:paraId="1CAD8390" w14:textId="77777777" w:rsidR="008765C6" w:rsidRPr="00A06467" w:rsidRDefault="008765C6" w:rsidP="00EC6D9E">
            <w:pPr>
              <w:pStyle w:val="Headingboxtextinbody"/>
              <w:keepNext w:val="0"/>
              <w:widowControl w:val="0"/>
              <w:spacing w:before="0"/>
              <w:rPr>
                <w:b w:val="0"/>
              </w:rPr>
            </w:pPr>
            <w:bookmarkStart w:id="60" w:name="case444073"/>
            <w:bookmarkEnd w:id="60"/>
            <w:r w:rsidRPr="00A06467">
              <w:rPr>
                <w:b w:val="0"/>
              </w:rPr>
              <w:t xml:space="preserve">Case 444073 (2017)—Request from a prisoner unable to access publicly available information  </w:t>
            </w:r>
          </w:p>
          <w:p w14:paraId="479CF544" w14:textId="77777777" w:rsidR="008765C6" w:rsidRDefault="008765C6" w:rsidP="00EC6D9E">
            <w:pPr>
              <w:pStyle w:val="Boxsmalltext"/>
              <w:widowControl w:val="0"/>
            </w:pPr>
            <w:r>
              <w:t xml:space="preserve">A prisoner sought information from the New Zealand Police. The Police refused to provide some of the information on the basis that it was publicly available on its website. </w:t>
            </w:r>
            <w:r w:rsidRPr="005629F0">
              <w:t>The requester complained that, as a prisoner without access to the internet, the information could not be considered publicly available to him and, as such, the decision to refuse his request on this basis was unreasonable.</w:t>
            </w:r>
          </w:p>
          <w:p w14:paraId="6B7A1641" w14:textId="77777777" w:rsidR="008765C6" w:rsidRDefault="008765C6" w:rsidP="00EC6D9E">
            <w:pPr>
              <w:pStyle w:val="Boxsmalltext"/>
              <w:widowControl w:val="0"/>
            </w:pPr>
            <w:r>
              <w:t xml:space="preserve">The Ombudsman’s role is to form an opinion on whether the request should have been refused. However, under section 30(1)(b) of the </w:t>
            </w:r>
            <w:proofErr w:type="spellStart"/>
            <w:r>
              <w:t>OIA</w:t>
            </w:r>
            <w:proofErr w:type="spellEnd"/>
            <w:r>
              <w:t xml:space="preserve">, they can also form the opinion that </w:t>
            </w:r>
            <w:r w:rsidR="00BB3A43">
              <w:t>the refusal</w:t>
            </w:r>
            <w:r>
              <w:t xml:space="preserve"> was wrong or unreasonable.</w:t>
            </w:r>
          </w:p>
          <w:p w14:paraId="45B4B2AD" w14:textId="77777777" w:rsidR="008765C6" w:rsidRDefault="008765C6" w:rsidP="00EC6D9E">
            <w:pPr>
              <w:pStyle w:val="Boxsmalltext"/>
              <w:widowControl w:val="0"/>
            </w:pPr>
            <w:r>
              <w:t>The Chief Ombudsman found the information was clearly publicly available, and it was open to Police to refuse the request on this basis. However, the wording of section 18(d) is permissive. T</w:t>
            </w:r>
            <w:r w:rsidRPr="005629F0">
              <w:t xml:space="preserve">here is no obligation or duty under the </w:t>
            </w:r>
            <w:proofErr w:type="spellStart"/>
            <w:r w:rsidRPr="005629F0">
              <w:t>OIA</w:t>
            </w:r>
            <w:proofErr w:type="spellEnd"/>
            <w:r w:rsidRPr="005629F0">
              <w:t xml:space="preserve"> to refuse a request on </w:t>
            </w:r>
            <w:r w:rsidR="004F3C65">
              <w:t>this</w:t>
            </w:r>
            <w:r w:rsidRPr="005629F0">
              <w:t xml:space="preserve"> ground.</w:t>
            </w:r>
            <w:r>
              <w:t xml:space="preserve"> </w:t>
            </w:r>
          </w:p>
          <w:p w14:paraId="40376273" w14:textId="77777777" w:rsidR="008765C6" w:rsidRDefault="008765C6" w:rsidP="00EC6D9E">
            <w:pPr>
              <w:pStyle w:val="Boxsmalltext"/>
              <w:widowControl w:val="0"/>
            </w:pPr>
            <w:r>
              <w:t xml:space="preserve">The Chief Ombudsman considered the context in which this request had been refused. </w:t>
            </w:r>
            <w:r w:rsidRPr="00474202">
              <w:t xml:space="preserve">In this case, the prisoner </w:t>
            </w:r>
            <w:proofErr w:type="gramStart"/>
            <w:r w:rsidRPr="00474202">
              <w:t>was not able to</w:t>
            </w:r>
            <w:proofErr w:type="gramEnd"/>
            <w:r w:rsidRPr="00474202">
              <w:t xml:space="preserve"> use the internet and therefore had no way to access the information he sought, notwithstanding its general availability to members of the wider public.</w:t>
            </w:r>
            <w:r>
              <w:t xml:space="preserve"> </w:t>
            </w:r>
            <w:r w:rsidRPr="00474202">
              <w:t>The information at issue w</w:t>
            </w:r>
            <w:r>
              <w:t>as not excessive in volume, and</w:t>
            </w:r>
            <w:r w:rsidRPr="00474202">
              <w:t xml:space="preserve"> it would have imposed little additional administrative burden on Police to print and include </w:t>
            </w:r>
            <w:r>
              <w:t xml:space="preserve">it </w:t>
            </w:r>
            <w:r w:rsidRPr="00474202">
              <w:t xml:space="preserve">with the </w:t>
            </w:r>
            <w:r>
              <w:t>remainder of the material it supplied</w:t>
            </w:r>
            <w:r w:rsidRPr="00474202">
              <w:t xml:space="preserve"> in response to the request.</w:t>
            </w:r>
          </w:p>
          <w:p w14:paraId="27C8BA2F" w14:textId="77777777" w:rsidR="008765C6" w:rsidRDefault="008765C6" w:rsidP="00EC6D9E">
            <w:pPr>
              <w:pStyle w:val="Boxsmalltext"/>
              <w:widowControl w:val="0"/>
            </w:pPr>
            <w:r>
              <w:t xml:space="preserve">The Chief Ombudsman formed the provisional opinion that although </w:t>
            </w:r>
            <w:r w:rsidRPr="00983D94">
              <w:t>section 18(d) undoubtedly applied, the decision to refuse the request solely on that basis was nevertheless unreasonable under section 30(1)(b)</w:t>
            </w:r>
            <w:r>
              <w:t xml:space="preserve"> of the </w:t>
            </w:r>
            <w:proofErr w:type="spellStart"/>
            <w:r>
              <w:t>OIA</w:t>
            </w:r>
            <w:proofErr w:type="spellEnd"/>
            <w:r w:rsidRPr="00983D94">
              <w:t>.</w:t>
            </w:r>
            <w:r w:rsidR="004F3C65">
              <w:t xml:space="preserve"> The</w:t>
            </w:r>
            <w:r>
              <w:t xml:space="preserve"> </w:t>
            </w:r>
            <w:r w:rsidRPr="00C325CE">
              <w:t>Police accepted the Chief Ombudsman’s provisional opinion and released the information that was initially refused. The Chief Ombudsman confirmed his provisional opi</w:t>
            </w:r>
            <w:r>
              <w:t>nion as final</w:t>
            </w:r>
            <w:r w:rsidRPr="005629F0">
              <w:t>.</w:t>
            </w:r>
            <w:r>
              <w:t xml:space="preserve"> Read the full case note </w:t>
            </w:r>
            <w:hyperlink r:id="rId16" w:history="1">
              <w:r w:rsidRPr="00250527">
                <w:rPr>
                  <w:rStyle w:val="Hyperlink"/>
                </w:rPr>
                <w:t>here</w:t>
              </w:r>
            </w:hyperlink>
            <w:r>
              <w:rPr>
                <w:rStyle w:val="Hyperlink"/>
              </w:rPr>
              <w:t>.</w:t>
            </w:r>
          </w:p>
          <w:p w14:paraId="5A9B5FD6" w14:textId="77777777" w:rsidR="008765C6" w:rsidRDefault="008765C6" w:rsidP="00EC6D9E">
            <w:pPr>
              <w:pStyle w:val="Boxsmalltext"/>
              <w:widowControl w:val="0"/>
            </w:pPr>
            <w:hyperlink w:anchor="index444073" w:history="1">
              <w:r w:rsidRPr="00B14C65">
                <w:rPr>
                  <w:rStyle w:val="Hyperlink"/>
                </w:rPr>
                <w:t>Back to index</w:t>
              </w:r>
            </w:hyperlink>
            <w:r>
              <w:t>.</w:t>
            </w:r>
          </w:p>
          <w:p w14:paraId="15B86884" w14:textId="77777777" w:rsidR="0023319C" w:rsidRDefault="0023319C" w:rsidP="00EC6D9E">
            <w:pPr>
              <w:pStyle w:val="Headingboxtextinbody"/>
              <w:keepNext w:val="0"/>
              <w:widowControl w:val="0"/>
              <w:rPr>
                <w:b w:val="0"/>
              </w:rPr>
            </w:pPr>
            <w:bookmarkStart w:id="61" w:name="case343431"/>
            <w:bookmarkEnd w:id="61"/>
            <w:r w:rsidRPr="0023319C">
              <w:rPr>
                <w:b w:val="0"/>
              </w:rPr>
              <w:t>Case 343431 (2017)— Signed original deed of conveyance</w:t>
            </w:r>
          </w:p>
          <w:p w14:paraId="5E8E4646" w14:textId="77777777" w:rsidR="0023319C" w:rsidRDefault="0023319C" w:rsidP="00EC6D9E">
            <w:pPr>
              <w:pStyle w:val="Boxsmalltext"/>
              <w:widowControl w:val="0"/>
            </w:pPr>
            <w:r>
              <w:t xml:space="preserve">A requester asked the Office of Treaty Settlements (OTS) for the </w:t>
            </w:r>
            <w:r w:rsidRPr="0023319C">
              <w:t xml:space="preserve">signed original deed of conveyance relating to the sale of the </w:t>
            </w:r>
            <w:proofErr w:type="spellStart"/>
            <w:r w:rsidRPr="0023319C">
              <w:t>Mohaka</w:t>
            </w:r>
            <w:proofErr w:type="spellEnd"/>
            <w:r w:rsidRPr="0023319C">
              <w:t xml:space="preserve"> Block in 1851. OTS refused </w:t>
            </w:r>
            <w:r w:rsidR="00556CE1">
              <w:t>the</w:t>
            </w:r>
            <w:r>
              <w:t xml:space="preserve"> request under section 18(d) </w:t>
            </w:r>
            <w:r w:rsidRPr="0023319C">
              <w:t xml:space="preserve">of the </w:t>
            </w:r>
            <w:proofErr w:type="spellStart"/>
            <w:proofErr w:type="gramStart"/>
            <w:r w:rsidRPr="0023319C">
              <w:t>OIA</w:t>
            </w:r>
            <w:proofErr w:type="spellEnd"/>
            <w:r w:rsidRPr="0023319C">
              <w:t>, and</w:t>
            </w:r>
            <w:proofErr w:type="gramEnd"/>
            <w:r w:rsidRPr="0023319C">
              <w:t xml:space="preserve"> referred the comp</w:t>
            </w:r>
            <w:r w:rsidR="00556CE1">
              <w:t>lainant to Archives New Zealand</w:t>
            </w:r>
            <w:r w:rsidRPr="0023319C">
              <w:t xml:space="preserve">. </w:t>
            </w:r>
            <w:r>
              <w:t xml:space="preserve">The requester complained to the Ombudsman. </w:t>
            </w:r>
            <w:r w:rsidR="00556CE1">
              <w:t>The Chief Ombudsman formed the opinion that it was open to OTS to refuse the request on the basis that the deed was publicly available at Archives New Zealand.</w:t>
            </w:r>
          </w:p>
          <w:p w14:paraId="132ADFB9" w14:textId="77777777" w:rsidR="002C5F1C" w:rsidRDefault="002C5F1C" w:rsidP="00EC6D9E">
            <w:pPr>
              <w:pStyle w:val="Boxsmalltext"/>
              <w:widowControl w:val="0"/>
            </w:pPr>
            <w:hyperlink w:anchor="index343431" w:history="1">
              <w:r w:rsidRPr="00B14C65">
                <w:rPr>
                  <w:rStyle w:val="Hyperlink"/>
                </w:rPr>
                <w:t>Back to index</w:t>
              </w:r>
            </w:hyperlink>
            <w:r>
              <w:t>.</w:t>
            </w:r>
          </w:p>
          <w:p w14:paraId="6ED56C15" w14:textId="77777777" w:rsidR="008452AD" w:rsidRPr="008452AD" w:rsidRDefault="00B14C65" w:rsidP="00EC6D9E">
            <w:pPr>
              <w:pStyle w:val="Headingboxtextinbody"/>
              <w:keepNext w:val="0"/>
              <w:widowControl w:val="0"/>
              <w:rPr>
                <w:b w:val="0"/>
              </w:rPr>
            </w:pPr>
            <w:bookmarkStart w:id="62" w:name="case413631"/>
            <w:bookmarkEnd w:id="62"/>
            <w:r>
              <w:rPr>
                <w:b w:val="0"/>
              </w:rPr>
              <w:t xml:space="preserve">Case </w:t>
            </w:r>
            <w:r w:rsidR="008452AD" w:rsidRPr="008452AD">
              <w:rPr>
                <w:b w:val="0"/>
              </w:rPr>
              <w:t>413631 (2017)—CSV copy of the Teachers Register</w:t>
            </w:r>
          </w:p>
          <w:p w14:paraId="0CA06475" w14:textId="77777777" w:rsidR="008452AD" w:rsidRDefault="000417E0" w:rsidP="00EC6D9E">
            <w:pPr>
              <w:pStyle w:val="Boxsmalltext"/>
              <w:widowControl w:val="0"/>
            </w:pPr>
            <w:r>
              <w:t>The Education Council refused a request for a full copy of the Teachers Register in CSV format on the basis that the information was publicly available, and the requester complained to the Ombudsman.</w:t>
            </w:r>
            <w:r w:rsidR="00B129A6">
              <w:t xml:space="preserve"> The Ombudsman noted that the Teachers Register is available online, but the information in that register is not publicly available in CSV format. Section 18(d) did not provide a proper basis for refusing to supply the requested information in the format specified. </w:t>
            </w:r>
            <w:r w:rsidR="008B447B">
              <w:t xml:space="preserve">The Ombudsman also formed the opinion that the online availability of the information in the register negated any need to withhold that same information in CSV format </w:t>
            </w:r>
            <w:proofErr w:type="gramStart"/>
            <w:r w:rsidR="008B447B">
              <w:t>in order to</w:t>
            </w:r>
            <w:proofErr w:type="gramEnd"/>
            <w:r w:rsidR="008B447B">
              <w:t xml:space="preserve"> protect the privacy of natural persons. The Education Council agreed to release the Teachers Register in CSV format</w:t>
            </w:r>
            <w:r w:rsidR="00895263">
              <w:t xml:space="preserve"> and the complaint was resolved</w:t>
            </w:r>
            <w:r w:rsidR="008B447B">
              <w:t>.</w:t>
            </w:r>
          </w:p>
          <w:p w14:paraId="003A95AE" w14:textId="77777777" w:rsidR="00B129A6" w:rsidRDefault="00B129A6" w:rsidP="00EC6D9E">
            <w:pPr>
              <w:pStyle w:val="Boxsmalltext"/>
              <w:widowControl w:val="0"/>
            </w:pPr>
            <w:hyperlink w:anchor="index413631" w:history="1">
              <w:r w:rsidRPr="00B14C65">
                <w:rPr>
                  <w:rStyle w:val="Hyperlink"/>
                </w:rPr>
                <w:t>Back to index</w:t>
              </w:r>
            </w:hyperlink>
            <w:r>
              <w:t>.</w:t>
            </w:r>
          </w:p>
          <w:p w14:paraId="628CD806" w14:textId="77777777" w:rsidR="00FC7364" w:rsidRPr="00222803" w:rsidRDefault="00B14C65" w:rsidP="00EC6D9E">
            <w:pPr>
              <w:pStyle w:val="Headingboxtextinbody"/>
              <w:keepNext w:val="0"/>
              <w:widowControl w:val="0"/>
              <w:rPr>
                <w:b w:val="0"/>
              </w:rPr>
            </w:pPr>
            <w:bookmarkStart w:id="63" w:name="case377705"/>
            <w:bookmarkEnd w:id="63"/>
            <w:r>
              <w:rPr>
                <w:b w:val="0"/>
              </w:rPr>
              <w:t xml:space="preserve">Case </w:t>
            </w:r>
            <w:r w:rsidR="00FC7364">
              <w:rPr>
                <w:b w:val="0"/>
              </w:rPr>
              <w:t>377705 (</w:t>
            </w:r>
            <w:r w:rsidR="00FC7364" w:rsidRPr="00222803">
              <w:rPr>
                <w:b w:val="0"/>
              </w:rPr>
              <w:t>2015</w:t>
            </w:r>
            <w:r w:rsidR="00FC7364">
              <w:rPr>
                <w:b w:val="0"/>
              </w:rPr>
              <w:t>)—</w:t>
            </w:r>
            <w:r w:rsidR="00FC7364" w:rsidRPr="00222803">
              <w:rPr>
                <w:b w:val="0"/>
              </w:rPr>
              <w:t xml:space="preserve">Research relied on </w:t>
            </w:r>
          </w:p>
          <w:p w14:paraId="504857A4" w14:textId="77777777" w:rsidR="00FC7364" w:rsidRDefault="00FC7364" w:rsidP="00EC6D9E">
            <w:pPr>
              <w:widowControl w:val="0"/>
            </w:pPr>
            <w:r>
              <w:t xml:space="preserve">A requester asked the Ministry of Business, Innovation and Employment (MBIE) for the research behind its published statement that </w:t>
            </w:r>
            <w:r w:rsidRPr="001139EC">
              <w:rPr>
                <w:i/>
              </w:rPr>
              <w:t>‘international research indicates that people are not able to perceive slopes of less than 1 percent’.</w:t>
            </w:r>
            <w:r>
              <w:rPr>
                <w:i/>
              </w:rPr>
              <w:t xml:space="preserve"> </w:t>
            </w:r>
            <w:r>
              <w:t xml:space="preserve">MBIE replied that the research was based on </w:t>
            </w:r>
            <w:proofErr w:type="gramStart"/>
            <w:r>
              <w:t>a number of</w:t>
            </w:r>
            <w:proofErr w:type="gramEnd"/>
            <w:r>
              <w:t xml:space="preserve"> publicly available articles and refused the request under section 18(d). The requester complained to the Ombudsman. </w:t>
            </w:r>
          </w:p>
          <w:p w14:paraId="0257014E" w14:textId="77777777" w:rsidR="00D71684" w:rsidRDefault="00FC7364" w:rsidP="00D71684">
            <w:pPr>
              <w:widowControl w:val="0"/>
              <w:rPr>
                <w:szCs w:val="24"/>
              </w:rPr>
            </w:pPr>
            <w:r>
              <w:t xml:space="preserve">The Chief Ombudsman noted that MBIE had not told the requester where he could access the publicly available material. </w:t>
            </w:r>
            <w:r w:rsidR="00D71684">
              <w:t xml:space="preserve">This was not in the spirit of the </w:t>
            </w:r>
            <w:proofErr w:type="spellStart"/>
            <w:r w:rsidR="00D71684">
              <w:t>OIA</w:t>
            </w:r>
            <w:proofErr w:type="spellEnd"/>
            <w:r w:rsidR="00D71684">
              <w:t xml:space="preserve">. </w:t>
            </w:r>
            <w:r w:rsidRPr="005419DE">
              <w:rPr>
                <w:szCs w:val="24"/>
              </w:rPr>
              <w:t xml:space="preserve">While </w:t>
            </w:r>
            <w:r>
              <w:rPr>
                <w:szCs w:val="24"/>
              </w:rPr>
              <w:t>section 18(d)</w:t>
            </w:r>
            <w:r w:rsidRPr="005419DE">
              <w:rPr>
                <w:szCs w:val="24"/>
              </w:rPr>
              <w:t xml:space="preserve"> does not explicitly put an onus on an agency to direct the requester to where they may seek the </w:t>
            </w:r>
            <w:r w:rsidRPr="00D71684">
              <w:t>information</w:t>
            </w:r>
            <w:r w:rsidRPr="005419DE">
              <w:rPr>
                <w:szCs w:val="24"/>
              </w:rPr>
              <w:t xml:space="preserve">, </w:t>
            </w:r>
            <w:r>
              <w:rPr>
                <w:szCs w:val="24"/>
              </w:rPr>
              <w:t>it is</w:t>
            </w:r>
            <w:r w:rsidRPr="005419DE">
              <w:rPr>
                <w:szCs w:val="24"/>
              </w:rPr>
              <w:t xml:space="preserve"> implicit that an agency should do so</w:t>
            </w:r>
            <w:r>
              <w:rPr>
                <w:szCs w:val="24"/>
              </w:rPr>
              <w:t xml:space="preserve">. </w:t>
            </w:r>
          </w:p>
          <w:p w14:paraId="5ED9AED4" w14:textId="77777777" w:rsidR="00FC7364" w:rsidRDefault="00FC7364" w:rsidP="00EC6D9E">
            <w:pPr>
              <w:widowControl w:val="0"/>
              <w:spacing w:after="60"/>
              <w:rPr>
                <w:szCs w:val="24"/>
              </w:rPr>
            </w:pPr>
            <w:r>
              <w:rPr>
                <w:szCs w:val="24"/>
              </w:rPr>
              <w:t xml:space="preserve">The Chief Ombudsman asked MBIE to reconsider its </w:t>
            </w:r>
            <w:proofErr w:type="gramStart"/>
            <w:r>
              <w:rPr>
                <w:szCs w:val="24"/>
              </w:rPr>
              <w:t>decision, and</w:t>
            </w:r>
            <w:proofErr w:type="gramEnd"/>
            <w:r>
              <w:rPr>
                <w:szCs w:val="24"/>
              </w:rPr>
              <w:t xml:space="preserve"> advise the requester what information it had relied on in making the published statement, and where that information could be accessed. She said that if MBIE could not identify the information, it might like to consider a more appropriate refusal ground:</w:t>
            </w:r>
          </w:p>
          <w:p w14:paraId="6014DC46" w14:textId="77777777" w:rsidR="00FC7364" w:rsidRDefault="00FC7364" w:rsidP="00EC6D9E">
            <w:pPr>
              <w:pStyle w:val="TableQuotationseparateparagraph"/>
              <w:widowControl w:val="0"/>
            </w:pPr>
            <w:r w:rsidRPr="005419DE">
              <w:t xml:space="preserve">It seems axiomatic that a decision-maker should be able to precisely identify </w:t>
            </w:r>
            <w:r>
              <w:t>the</w:t>
            </w:r>
            <w:r w:rsidRPr="005419DE">
              <w:t xml:space="preserve"> information at issue before they could be justified in </w:t>
            </w:r>
            <w:r>
              <w:t>deciding</w:t>
            </w:r>
            <w:r w:rsidRPr="005419DE">
              <w:t xml:space="preserve"> that it is publicly available for the purposes of section 18(d).</w:t>
            </w:r>
          </w:p>
          <w:p w14:paraId="1B53516F" w14:textId="77777777" w:rsidR="00FC7364" w:rsidRDefault="00FC7364" w:rsidP="00EC6D9E">
            <w:pPr>
              <w:pStyle w:val="Boxsmalltext"/>
              <w:widowControl w:val="0"/>
            </w:pPr>
            <w:r>
              <w:t>The complaint was resolved when MBIE reconsidered its decision and advised the requester where he might access the research relied upon.</w:t>
            </w:r>
          </w:p>
          <w:p w14:paraId="6667C74B" w14:textId="77777777" w:rsidR="00FC7364" w:rsidRPr="000417E0" w:rsidRDefault="00FC7364" w:rsidP="00EC6D9E">
            <w:pPr>
              <w:pStyle w:val="Boxsmalltext"/>
              <w:widowControl w:val="0"/>
            </w:pPr>
            <w:hyperlink w:anchor="index377705" w:history="1">
              <w:r w:rsidRPr="00B14C65">
                <w:rPr>
                  <w:rStyle w:val="Hyperlink"/>
                </w:rPr>
                <w:t>Back to index</w:t>
              </w:r>
            </w:hyperlink>
            <w:r>
              <w:t>.</w:t>
            </w:r>
          </w:p>
          <w:p w14:paraId="36557C63" w14:textId="77777777" w:rsidR="008765C6" w:rsidRDefault="008765C6" w:rsidP="00EC6D9E">
            <w:pPr>
              <w:pStyle w:val="Headingboxtextinbody"/>
              <w:keepNext w:val="0"/>
              <w:widowControl w:val="0"/>
              <w:rPr>
                <w:b w:val="0"/>
              </w:rPr>
            </w:pPr>
            <w:bookmarkStart w:id="64" w:name="case345580"/>
            <w:bookmarkEnd w:id="64"/>
            <w:r w:rsidRPr="00ED48C3">
              <w:rPr>
                <w:b w:val="0"/>
              </w:rPr>
              <w:t>Case 345580 (2015)—Correspondence about a court judgment</w:t>
            </w:r>
          </w:p>
          <w:p w14:paraId="0891AA46" w14:textId="77777777" w:rsidR="008765C6" w:rsidRDefault="008765C6" w:rsidP="00EC6D9E">
            <w:pPr>
              <w:pStyle w:val="Boxsmalltext"/>
              <w:widowControl w:val="0"/>
            </w:pPr>
            <w:r>
              <w:t xml:space="preserve">The Ombudsman investigated a decision by the Abortion Supervisory Committee to withhold a letter from the Deputy Solicitor-General regarding a High Court decision. He rejected the arguments in favour of withholding, partly on the basis that the letter amounted to a summary of the court’s judgment, which was publicly available. </w:t>
            </w:r>
          </w:p>
          <w:p w14:paraId="573DFDC5" w14:textId="77777777" w:rsidR="008765C6" w:rsidRDefault="008765C6" w:rsidP="00EC6D9E">
            <w:pPr>
              <w:pStyle w:val="Boxsmalltext"/>
              <w:widowControl w:val="0"/>
            </w:pPr>
            <w:r>
              <w:t xml:space="preserve">In response to the Ombudsman’s provisional opinion, the Committee argued that, if it were to be found that the letter was nothing more than a summary of the publicly available judgment, it would have grounds to refuse the request under section 18(d) of the </w:t>
            </w:r>
            <w:proofErr w:type="spellStart"/>
            <w:r>
              <w:t>OIA</w:t>
            </w:r>
            <w:proofErr w:type="spellEnd"/>
            <w:r>
              <w:t xml:space="preserve">, because the information was publicly available. </w:t>
            </w:r>
          </w:p>
          <w:p w14:paraId="003D4D34" w14:textId="77777777" w:rsidR="008765C6" w:rsidRDefault="008765C6" w:rsidP="00EC6D9E">
            <w:pPr>
              <w:pStyle w:val="Boxsmalltext"/>
              <w:widowControl w:val="0"/>
            </w:pPr>
            <w:r>
              <w:t>The Ombudsman also rejected this argument, stating:</w:t>
            </w:r>
          </w:p>
          <w:p w14:paraId="4AC7872D" w14:textId="77777777" w:rsidR="008765C6" w:rsidRDefault="008765C6" w:rsidP="00EC6D9E">
            <w:pPr>
              <w:pStyle w:val="TableQuotationseparateparagraph"/>
              <w:widowControl w:val="0"/>
            </w:pPr>
            <w:r>
              <w:t xml:space="preserve">The plain fact is that the letter is not publicly </w:t>
            </w:r>
            <w:proofErr w:type="gramStart"/>
            <w:r>
              <w:t>available</w:t>
            </w:r>
            <w:proofErr w:type="gramEnd"/>
            <w:r>
              <w:t xml:space="preserve"> and the requester is seeking a copy of the letter only. The public availability of the judgment itself does not make the summary contained in the letter ‘publicly available’. I do not consider that section 18(d) applies to the Deputy Solicitor-General’s letter.</w:t>
            </w:r>
          </w:p>
          <w:p w14:paraId="6399A788" w14:textId="77777777" w:rsidR="008765C6" w:rsidRDefault="008765C6" w:rsidP="00EC6D9E">
            <w:pPr>
              <w:pStyle w:val="Boxsmalltext"/>
              <w:widowControl w:val="0"/>
            </w:pPr>
            <w:r>
              <w:t xml:space="preserve">Read the full opinion </w:t>
            </w:r>
            <w:hyperlink r:id="rId17" w:history="1">
              <w:r w:rsidRPr="00250527">
                <w:rPr>
                  <w:rStyle w:val="Hyperlink"/>
                </w:rPr>
                <w:t>here</w:t>
              </w:r>
            </w:hyperlink>
            <w:r>
              <w:t>.</w:t>
            </w:r>
          </w:p>
          <w:p w14:paraId="18BD00FF" w14:textId="77777777" w:rsidR="008765C6" w:rsidRDefault="008765C6" w:rsidP="00EC6D9E">
            <w:pPr>
              <w:pStyle w:val="Boxsmalltext"/>
              <w:widowControl w:val="0"/>
            </w:pPr>
            <w:hyperlink w:anchor="index345580" w:history="1">
              <w:r w:rsidRPr="00B14C65">
                <w:rPr>
                  <w:rStyle w:val="Hyperlink"/>
                </w:rPr>
                <w:t>Back to index</w:t>
              </w:r>
            </w:hyperlink>
            <w:r>
              <w:t>.</w:t>
            </w:r>
          </w:p>
          <w:p w14:paraId="25DC0264" w14:textId="77777777" w:rsidR="0083136E" w:rsidRDefault="0083136E" w:rsidP="00EC6D9E">
            <w:pPr>
              <w:pStyle w:val="Headingboxtextinbody"/>
              <w:keepNext w:val="0"/>
              <w:widowControl w:val="0"/>
              <w:rPr>
                <w:b w:val="0"/>
              </w:rPr>
            </w:pPr>
            <w:bookmarkStart w:id="65" w:name="case305527"/>
            <w:bookmarkEnd w:id="65"/>
            <w:r w:rsidRPr="0083136E">
              <w:rPr>
                <w:b w:val="0"/>
              </w:rPr>
              <w:t>Case 305527 (2011)—Property valuation data available for purchase</w:t>
            </w:r>
          </w:p>
          <w:p w14:paraId="0454824F" w14:textId="77777777" w:rsidR="0054430B" w:rsidRDefault="0094210F" w:rsidP="00EC6D9E">
            <w:pPr>
              <w:pStyle w:val="Boxsmalltext"/>
              <w:widowControl w:val="0"/>
            </w:pPr>
            <w:r>
              <w:t xml:space="preserve">A requester sought property valuation data from a council. The council informed the requester that the data could be purchased through a </w:t>
            </w:r>
            <w:proofErr w:type="gramStart"/>
            <w:r>
              <w:t>third party</w:t>
            </w:r>
            <w:proofErr w:type="gramEnd"/>
            <w:r>
              <w:t xml:space="preserve"> provider. The requester sought to obtain the data direct from the council for </w:t>
            </w:r>
            <w:proofErr w:type="gramStart"/>
            <w:r>
              <w:t>free, and</w:t>
            </w:r>
            <w:proofErr w:type="gramEnd"/>
            <w:r>
              <w:t xml:space="preserve"> complained to the Ombudsman. </w:t>
            </w:r>
          </w:p>
          <w:p w14:paraId="3917CB38" w14:textId="77777777" w:rsidR="0083136E" w:rsidRDefault="0094210F" w:rsidP="00EC6D9E">
            <w:pPr>
              <w:pStyle w:val="Boxsmalltext"/>
              <w:widowControl w:val="0"/>
            </w:pPr>
            <w:r>
              <w:t xml:space="preserve">The Ombudsman concluded </w:t>
            </w:r>
            <w:r w:rsidR="0054430B">
              <w:t xml:space="preserve">that </w:t>
            </w:r>
            <w:r>
              <w:t>the information was publicly available</w:t>
            </w:r>
            <w:r w:rsidR="0054430B">
              <w:t xml:space="preserve">, and the request could be refused under section 17(d) of the </w:t>
            </w:r>
            <w:proofErr w:type="spellStart"/>
            <w:r w:rsidR="0054430B">
              <w:t>LGOIMA</w:t>
            </w:r>
            <w:proofErr w:type="spellEnd"/>
            <w:r w:rsidR="0054430B">
              <w:t xml:space="preserve">. The fact that it might be necessary to pay a commercial rate for information of commercial value did not make recourse to section 17(d) unreasonable. </w:t>
            </w:r>
            <w:r>
              <w:t xml:space="preserve"> </w:t>
            </w:r>
          </w:p>
          <w:p w14:paraId="60DBF7DC" w14:textId="77777777" w:rsidR="0054430B" w:rsidRPr="0083136E" w:rsidRDefault="0054430B" w:rsidP="00EC6D9E">
            <w:pPr>
              <w:pStyle w:val="Boxsmalltext"/>
              <w:widowControl w:val="0"/>
            </w:pPr>
            <w:hyperlink w:anchor="index305527" w:history="1">
              <w:r w:rsidRPr="00B14C65">
                <w:rPr>
                  <w:rStyle w:val="Hyperlink"/>
                </w:rPr>
                <w:t>Back to index</w:t>
              </w:r>
            </w:hyperlink>
            <w:r>
              <w:t>.</w:t>
            </w:r>
          </w:p>
          <w:p w14:paraId="71C0AEED" w14:textId="77777777" w:rsidR="00497FE4" w:rsidRPr="00A06467" w:rsidRDefault="00497FE4" w:rsidP="00EC6D9E">
            <w:pPr>
              <w:pStyle w:val="Headingboxtextinbody"/>
              <w:keepNext w:val="0"/>
              <w:widowControl w:val="0"/>
              <w:rPr>
                <w:b w:val="0"/>
              </w:rPr>
            </w:pPr>
            <w:bookmarkStart w:id="66" w:name="case177600"/>
            <w:bookmarkEnd w:id="66"/>
            <w:r w:rsidRPr="00A06467">
              <w:rPr>
                <w:b w:val="0"/>
              </w:rPr>
              <w:t>Case 177600 (2008)—Vehicle registration information available for purchase</w:t>
            </w:r>
          </w:p>
          <w:p w14:paraId="0803AB8B" w14:textId="77777777" w:rsidR="00497FE4" w:rsidRDefault="00497FE4" w:rsidP="00EC6D9E">
            <w:pPr>
              <w:pStyle w:val="Boxsmalltext"/>
              <w:widowControl w:val="0"/>
            </w:pPr>
            <w:r w:rsidRPr="00497FE4">
              <w:t xml:space="preserve">The New Zealand Transport Agency charged a requester for providing information about vehicle registrations. The information was available for purchase on the internet for a monthly fee of $56.25. The requester complained to the Ombudsman. </w:t>
            </w:r>
          </w:p>
          <w:p w14:paraId="0FD8A746" w14:textId="77777777" w:rsidR="00497FE4" w:rsidRDefault="00497FE4" w:rsidP="00EC6D9E">
            <w:pPr>
              <w:pStyle w:val="Boxsmalltext"/>
              <w:widowControl w:val="0"/>
              <w:spacing w:after="60"/>
            </w:pPr>
            <w:r w:rsidRPr="00497FE4">
              <w:t xml:space="preserve">The Ombudsman declined to investigate a complaint about the charge because the request could have been refused under section 18(d) of the </w:t>
            </w:r>
            <w:proofErr w:type="spellStart"/>
            <w:r w:rsidRPr="00497FE4">
              <w:t>OIA</w:t>
            </w:r>
            <w:proofErr w:type="spellEnd"/>
            <w:r w:rsidRPr="00497FE4">
              <w:t xml:space="preserve">. That section enables a request to be refused if the information is publicly available. The Ombudsman said: </w:t>
            </w:r>
          </w:p>
          <w:p w14:paraId="0595EF9E" w14:textId="77777777" w:rsidR="00497FE4" w:rsidRDefault="00497FE4" w:rsidP="00EC6D9E">
            <w:pPr>
              <w:pStyle w:val="TableQuotationseparateparagraph"/>
              <w:widowControl w:val="0"/>
            </w:pPr>
            <w:r w:rsidRPr="00497FE4">
              <w:t>If [an agency] properly refuses a request under [section 18(d)], the charging provisions in the [</w:t>
            </w:r>
            <w:proofErr w:type="spellStart"/>
            <w:r w:rsidRPr="00497FE4">
              <w:t>OIA</w:t>
            </w:r>
            <w:proofErr w:type="spellEnd"/>
            <w:r w:rsidRPr="00497FE4">
              <w:t xml:space="preserve">] do not apply. A situation where [an agency] can clearly rely on section 18(d) is where it publishes the information and advertises this as available for purchase at a set price by any person. </w:t>
            </w:r>
          </w:p>
          <w:p w14:paraId="641622F0" w14:textId="77777777" w:rsidR="00497FE4" w:rsidRDefault="00497FE4" w:rsidP="003656AB">
            <w:pPr>
              <w:pStyle w:val="Boxsmalltext"/>
              <w:widowControl w:val="0"/>
              <w:spacing w:after="120"/>
            </w:pPr>
            <w:r w:rsidRPr="00497FE4">
              <w:t xml:space="preserve">The Ombudsman noted the following excerpt from the Law Commission’s 1997 review of the </w:t>
            </w:r>
            <w:proofErr w:type="spellStart"/>
            <w:r w:rsidRPr="00497FE4">
              <w:t>OIA</w:t>
            </w:r>
            <w:proofErr w:type="spellEnd"/>
            <w:r w:rsidRPr="00497FE4">
              <w:t>:</w:t>
            </w:r>
            <w:r>
              <w:rPr>
                <w:rStyle w:val="FootnoteReference"/>
              </w:rPr>
              <w:footnoteReference w:id="15"/>
            </w:r>
            <w:r w:rsidRPr="00497FE4">
              <w:t xml:space="preserve"> </w:t>
            </w:r>
          </w:p>
          <w:p w14:paraId="40474746" w14:textId="77777777" w:rsidR="00521008" w:rsidRDefault="00497FE4" w:rsidP="00EC6D9E">
            <w:pPr>
              <w:pStyle w:val="TableQuotationseparateparagraph"/>
              <w:widowControl w:val="0"/>
            </w:pPr>
            <w:r w:rsidRPr="00497FE4">
              <w:t xml:space="preserve">In some </w:t>
            </w:r>
            <w:proofErr w:type="gramStart"/>
            <w:r w:rsidRPr="00497FE4">
              <w:t>cases</w:t>
            </w:r>
            <w:proofErr w:type="gramEnd"/>
            <w:r w:rsidRPr="00497FE4">
              <w:t xml:space="preserve"> the ability to recover costs will arise through the commercial production and sale of the information (or the prospect of it) completely outside the ambit of the Act. In that event the request may be refused: s</w:t>
            </w:r>
            <w:r>
              <w:t xml:space="preserve"> </w:t>
            </w:r>
            <w:r w:rsidRPr="00497FE4">
              <w:t xml:space="preserve">18(d). </w:t>
            </w:r>
          </w:p>
          <w:p w14:paraId="09862C76" w14:textId="77777777" w:rsidR="00521008" w:rsidRDefault="00497FE4" w:rsidP="003656AB">
            <w:pPr>
              <w:pStyle w:val="Boxsmalltext"/>
              <w:widowControl w:val="0"/>
              <w:spacing w:after="120"/>
            </w:pPr>
            <w:r w:rsidRPr="00497FE4">
              <w:t>He also noted this excerpt from Freedom of Information in New Zealand:</w:t>
            </w:r>
            <w:r w:rsidR="005A2C1B">
              <w:rPr>
                <w:rStyle w:val="FootnoteReference"/>
              </w:rPr>
              <w:footnoteReference w:id="16"/>
            </w:r>
            <w:r w:rsidRPr="00497FE4">
              <w:t xml:space="preserve"> </w:t>
            </w:r>
          </w:p>
          <w:p w14:paraId="7B647126" w14:textId="77777777" w:rsidR="00497FE4" w:rsidRDefault="00497FE4" w:rsidP="00EC6D9E">
            <w:pPr>
              <w:pStyle w:val="TableQuotationseparateparagraph"/>
              <w:widowControl w:val="0"/>
            </w:pPr>
            <w:r w:rsidRPr="00497FE4">
              <w:t xml:space="preserve">To what extent is material ‘publicly available’ if a </w:t>
            </w:r>
            <w:proofErr w:type="gramStart"/>
            <w:r w:rsidRPr="00497FE4">
              <w:t>Department</w:t>
            </w:r>
            <w:proofErr w:type="gramEnd"/>
            <w:r w:rsidRPr="00497FE4">
              <w:t xml:space="preserve"> or organisation charges for it? Clearly, books, maps, and other documents do not lose their availability simply because they are sold. Clearly too, the price at which they are sold may exceed the charges normally payable for retrieval and copying under Part II of the Act but by how much? An excessive price could make the material ‘unavailable’ for the purpose of section 18(d). Departments should not be able to resist claims for access to a single document by pointing to its publication in a tome costing hundreds of dollars… </w:t>
            </w:r>
          </w:p>
          <w:p w14:paraId="5755A72E" w14:textId="77777777" w:rsidR="00497FE4" w:rsidRDefault="00497FE4" w:rsidP="00EC6D9E">
            <w:pPr>
              <w:pStyle w:val="Boxsmalltext"/>
              <w:widowControl w:val="0"/>
            </w:pPr>
            <w:r w:rsidRPr="00497FE4">
              <w:t xml:space="preserve">The Ombudsman agreed with this approach. He commented that it might be unreasonable to rely on section 18(d) where a price is patently excessive, but in this case the price reflected the actual cost of producing the information. </w:t>
            </w:r>
          </w:p>
          <w:p w14:paraId="0BFB6A9A" w14:textId="77777777" w:rsidR="009E0D65" w:rsidRDefault="00497FE4" w:rsidP="00EC6D9E">
            <w:pPr>
              <w:pStyle w:val="Boxsmalltext"/>
              <w:widowControl w:val="0"/>
            </w:pPr>
            <w:hyperlink w:anchor="index177600" w:history="1">
              <w:r w:rsidRPr="00B14C65">
                <w:rPr>
                  <w:rStyle w:val="Hyperlink"/>
                </w:rPr>
                <w:t>Back to index</w:t>
              </w:r>
            </w:hyperlink>
            <w:r>
              <w:t>.</w:t>
            </w:r>
          </w:p>
          <w:p w14:paraId="47355615" w14:textId="77777777" w:rsidR="00362D0D" w:rsidRPr="00556248" w:rsidRDefault="00362D0D" w:rsidP="00EC6D9E">
            <w:pPr>
              <w:pStyle w:val="Headingboxtextinbody"/>
              <w:keepNext w:val="0"/>
              <w:widowControl w:val="0"/>
              <w:rPr>
                <w:b w:val="0"/>
              </w:rPr>
            </w:pPr>
            <w:bookmarkStart w:id="67" w:name="caseA12938"/>
            <w:bookmarkEnd w:id="67"/>
            <w:r w:rsidRPr="00556248">
              <w:rPr>
                <w:b w:val="0"/>
              </w:rPr>
              <w:t xml:space="preserve">A12938 (2008)— </w:t>
            </w:r>
            <w:r w:rsidR="005A57A5">
              <w:rPr>
                <w:b w:val="0"/>
              </w:rPr>
              <w:t>Video footage</w:t>
            </w:r>
            <w:r>
              <w:rPr>
                <w:b w:val="0"/>
              </w:rPr>
              <w:t xml:space="preserve"> of Hawkes Bay DHB meeting</w:t>
            </w:r>
          </w:p>
          <w:p w14:paraId="6434500C" w14:textId="77777777" w:rsidR="00362D0D" w:rsidRDefault="00BB3A43" w:rsidP="00EC6D9E">
            <w:pPr>
              <w:pStyle w:val="Boxsmalltext"/>
              <w:widowControl w:val="0"/>
              <w:rPr>
                <w:rFonts w:ascii="Arial" w:hAnsi="Arial"/>
                <w:color w:val="auto"/>
                <w:sz w:val="23"/>
                <w:szCs w:val="26"/>
                <w:lang w:val="en-AU"/>
              </w:rPr>
            </w:pPr>
            <w:r>
              <w:t>TVNZ refused</w:t>
            </w:r>
            <w:r w:rsidR="00362D0D">
              <w:t xml:space="preserve"> a request for video footage of a Hawkes Bay District Health Board meeting. It relied on section 18(d) of the </w:t>
            </w:r>
            <w:proofErr w:type="spellStart"/>
            <w:r w:rsidR="00362D0D">
              <w:t>OIA</w:t>
            </w:r>
            <w:proofErr w:type="spellEnd"/>
            <w:r w:rsidR="00362D0D">
              <w:t xml:space="preserve"> because minutes of the meeting were publicly available. The Ombudsman rejected this argument. </w:t>
            </w:r>
            <w:r w:rsidR="00362D0D">
              <w:rPr>
                <w:szCs w:val="26"/>
                <w:lang w:val="en-AU"/>
              </w:rPr>
              <w:t>While the minutes of the public portion of the meeting were publicly available, that is not what was requested.  A minute is a document prepared after a meeting, recording—often in highly abbreviated form—decisions taken or discussions held at that meeting. The Ombudsman could not see a minute as in any way equivalent to a video recording of the meeting.  The two are different pieces of information. Consequently</w:t>
            </w:r>
            <w:r w:rsidR="003E0C37">
              <w:rPr>
                <w:szCs w:val="26"/>
                <w:lang w:val="en-AU"/>
              </w:rPr>
              <w:t>,</w:t>
            </w:r>
            <w:r w:rsidR="00362D0D">
              <w:rPr>
                <w:szCs w:val="26"/>
                <w:lang w:val="en-AU"/>
              </w:rPr>
              <w:t xml:space="preserve"> the Ombudsman did not consider that the information requested was publicly available.</w:t>
            </w:r>
          </w:p>
          <w:p w14:paraId="45EFD631" w14:textId="77777777" w:rsidR="00362D0D" w:rsidRDefault="00362D0D" w:rsidP="00EC6D9E">
            <w:pPr>
              <w:pStyle w:val="Boxsmalltext"/>
              <w:widowControl w:val="0"/>
            </w:pPr>
            <w:hyperlink w:anchor="indexA12938" w:history="1">
              <w:r w:rsidRPr="00B14C65">
                <w:rPr>
                  <w:rStyle w:val="Hyperlink"/>
                </w:rPr>
                <w:t>Back to index</w:t>
              </w:r>
            </w:hyperlink>
            <w:r>
              <w:t>.</w:t>
            </w:r>
          </w:p>
          <w:p w14:paraId="1CF8FCFB" w14:textId="77777777" w:rsidR="00CB48A2" w:rsidRPr="00FE010C" w:rsidRDefault="0043648F" w:rsidP="00EC6D9E">
            <w:pPr>
              <w:pStyle w:val="Headingboxtextinbody"/>
              <w:keepNext w:val="0"/>
              <w:widowControl w:val="0"/>
              <w:rPr>
                <w:b w:val="0"/>
              </w:rPr>
            </w:pPr>
            <w:bookmarkStart w:id="68" w:name="case175682"/>
            <w:bookmarkEnd w:id="68"/>
            <w:r>
              <w:rPr>
                <w:b w:val="0"/>
              </w:rPr>
              <w:t xml:space="preserve">Case </w:t>
            </w:r>
            <w:r w:rsidR="00CB48A2" w:rsidRPr="00FE010C">
              <w:rPr>
                <w:b w:val="0"/>
              </w:rPr>
              <w:t>175682 (2007)—</w:t>
            </w:r>
            <w:r w:rsidR="00CB48A2">
              <w:rPr>
                <w:b w:val="0"/>
              </w:rPr>
              <w:t>Electronic copy of proposed electorate boundaries</w:t>
            </w:r>
          </w:p>
          <w:p w14:paraId="170DE13C" w14:textId="77777777" w:rsidR="00CB48A2" w:rsidRDefault="00CB48A2" w:rsidP="00EC6D9E">
            <w:pPr>
              <w:pStyle w:val="Boxsmalltext"/>
              <w:widowControl w:val="0"/>
            </w:pPr>
            <w:r w:rsidRPr="009018FC">
              <w:t xml:space="preserve">The Ministry of Justice refused to provide an electronic copy of proposed electorate boundaries. </w:t>
            </w:r>
            <w:r>
              <w:t xml:space="preserve">It relied, in part, on section 18(d) because the information was available in hard copy. </w:t>
            </w:r>
          </w:p>
          <w:p w14:paraId="0A86692E" w14:textId="77777777" w:rsidR="00CB48A2" w:rsidRDefault="00CB48A2" w:rsidP="00EC6D9E">
            <w:pPr>
              <w:pStyle w:val="Boxsmalltext"/>
              <w:widowControl w:val="0"/>
            </w:pPr>
            <w:r w:rsidRPr="009018FC">
              <w:t xml:space="preserve">The Ombudsman formed the opinion that </w:t>
            </w:r>
            <w:r>
              <w:t xml:space="preserve">the fact that the information was available in hard copy did not mean that the request for an </w:t>
            </w:r>
            <w:r w:rsidRPr="009C3711">
              <w:rPr>
                <w:rStyle w:val="Emphasis"/>
                <w:b w:val="0"/>
              </w:rPr>
              <w:t>electronic</w:t>
            </w:r>
            <w:r>
              <w:rPr>
                <w:rStyle w:val="Emphasis"/>
              </w:rPr>
              <w:t xml:space="preserve"> </w:t>
            </w:r>
            <w:r>
              <w:t xml:space="preserve">copy could be refused on the basis that it was already publicly available. </w:t>
            </w:r>
          </w:p>
          <w:p w14:paraId="617DCDE5" w14:textId="77777777" w:rsidR="00CB48A2" w:rsidRDefault="00CB48A2" w:rsidP="00EC6D9E">
            <w:pPr>
              <w:pStyle w:val="Boxsmalltext"/>
              <w:widowControl w:val="0"/>
            </w:pPr>
            <w:r>
              <w:t xml:space="preserve">The requester was entitled to seek information in a particular form. To claim that the information was available in a different form and for that reason could be refused under section 18(d) was to ignore section 16(2) of the </w:t>
            </w:r>
            <w:proofErr w:type="spellStart"/>
            <w:r w:rsidR="00B53849">
              <w:t>OIA</w:t>
            </w:r>
            <w:proofErr w:type="spellEnd"/>
            <w:r w:rsidR="00B53849">
              <w:t xml:space="preserve"> (which generally requires agencies to make information available in the way preferred by the requester)</w:t>
            </w:r>
            <w:r>
              <w:t>.</w:t>
            </w:r>
          </w:p>
          <w:p w14:paraId="3250AF45" w14:textId="77777777" w:rsidR="003604FA" w:rsidRDefault="00CB48A2" w:rsidP="00EC6D9E">
            <w:pPr>
              <w:pStyle w:val="Boxsmalltext"/>
              <w:widowControl w:val="0"/>
              <w:rPr>
                <w:lang w:val="en-AU"/>
              </w:rPr>
            </w:pPr>
            <w:hyperlink w:anchor="index175682" w:history="1">
              <w:r w:rsidRPr="00B14C65">
                <w:rPr>
                  <w:rStyle w:val="Hyperlink"/>
                </w:rPr>
                <w:t>Back to index</w:t>
              </w:r>
            </w:hyperlink>
            <w:r>
              <w:t>.</w:t>
            </w:r>
            <w:r w:rsidR="003604FA">
              <w:rPr>
                <w:lang w:val="en-AU"/>
              </w:rPr>
              <w:t xml:space="preserve"> </w:t>
            </w:r>
          </w:p>
          <w:p w14:paraId="5C60C52E" w14:textId="77777777" w:rsidR="00D315E3" w:rsidRPr="00A213A0" w:rsidRDefault="00B14C65" w:rsidP="00A213A0">
            <w:pPr>
              <w:pStyle w:val="Headingboxtextinbody"/>
              <w:keepNext w:val="0"/>
              <w:widowControl w:val="0"/>
              <w:rPr>
                <w:b w:val="0"/>
              </w:rPr>
            </w:pPr>
            <w:bookmarkStart w:id="69" w:name="caseW47113"/>
            <w:bookmarkStart w:id="70" w:name="caseW37113"/>
            <w:bookmarkEnd w:id="69"/>
            <w:bookmarkEnd w:id="70"/>
            <w:r>
              <w:rPr>
                <w:b w:val="0"/>
              </w:rPr>
              <w:t xml:space="preserve">Case </w:t>
            </w:r>
            <w:r w:rsidR="00D315E3" w:rsidRPr="00A213A0">
              <w:rPr>
                <w:b w:val="0"/>
              </w:rPr>
              <w:t>W37113 (1998)—Information on computer disk</w:t>
            </w:r>
          </w:p>
          <w:p w14:paraId="07794AC2" w14:textId="77777777" w:rsidR="00D315E3" w:rsidRDefault="00D315E3" w:rsidP="008A0A12">
            <w:pPr>
              <w:pStyle w:val="Boxsmalltext"/>
              <w:widowControl w:val="0"/>
              <w:rPr>
                <w:rFonts w:cs="Arial"/>
                <w:color w:val="000000"/>
              </w:rPr>
            </w:pPr>
            <w:r w:rsidRPr="00D315E3">
              <w:t>In response to a request from an Opposition Member of Parliament for information relating to the formula for the Special Education Grant, the Minister of Education made available relevant mater</w:t>
            </w:r>
            <w:r>
              <w:t xml:space="preserve">ial, including a 43-page table </w:t>
            </w:r>
            <w:r w:rsidRPr="00D315E3">
              <w:t>of detailed</w:t>
            </w:r>
            <w:r>
              <w:t xml:space="preserve"> data relating to schools</w:t>
            </w:r>
            <w:r w:rsidRPr="00D315E3">
              <w:t xml:space="preserve">. The requester then asked the Minister for a copy of the table on computer disk. This request was refused on the ground that it fell outside the scope of the </w:t>
            </w:r>
            <w:proofErr w:type="spellStart"/>
            <w:r>
              <w:t>OIA</w:t>
            </w:r>
            <w:proofErr w:type="spellEnd"/>
            <w:r>
              <w:t>, and the requester complained to the Ombudsman</w:t>
            </w:r>
            <w:r w:rsidRPr="00D315E3">
              <w:t>.</w:t>
            </w:r>
            <w:r>
              <w:t xml:space="preserve"> One of the issues considered by the Chief Ombudsman was whether section 18(d) of the </w:t>
            </w:r>
            <w:proofErr w:type="spellStart"/>
            <w:r>
              <w:t>OIA</w:t>
            </w:r>
            <w:proofErr w:type="spellEnd"/>
            <w:r>
              <w:t xml:space="preserve"> justified the Minister’s refusal. </w:t>
            </w:r>
            <w:r w:rsidR="008A0A12">
              <w:rPr>
                <w:rFonts w:cs="Arial"/>
                <w:color w:val="000000"/>
              </w:rPr>
              <w:t>However, while the Minister may have previously released the information at issue in hard copy form, the information was not publicly available in computer disk form. The Chief Ombudsman formed the opinion that section 18(d) could not apply.</w:t>
            </w:r>
            <w:r w:rsidR="00675592">
              <w:rPr>
                <w:rFonts w:cs="Arial"/>
                <w:color w:val="000000"/>
              </w:rPr>
              <w:t xml:space="preserve"> You can read the full case note </w:t>
            </w:r>
            <w:hyperlink r:id="rId18" w:history="1">
              <w:r w:rsidR="00E079E8" w:rsidRPr="00E079E8">
                <w:rPr>
                  <w:rStyle w:val="Hyperlink"/>
                  <w:rFonts w:cs="Arial"/>
                </w:rPr>
                <w:t>here</w:t>
              </w:r>
            </w:hyperlink>
            <w:r w:rsidR="00675592">
              <w:rPr>
                <w:rFonts w:cs="Arial"/>
                <w:color w:val="000000"/>
              </w:rPr>
              <w:t>.</w:t>
            </w:r>
          </w:p>
          <w:p w14:paraId="5335AE2C" w14:textId="77777777" w:rsidR="00A213A0" w:rsidRPr="00A213A0" w:rsidRDefault="00A213A0" w:rsidP="008A0A12">
            <w:pPr>
              <w:pStyle w:val="Boxsmalltext"/>
              <w:widowControl w:val="0"/>
              <w:rPr>
                <w:lang w:val="en-AU"/>
              </w:rPr>
            </w:pPr>
            <w:hyperlink w:anchor="indexW37113" w:history="1">
              <w:r w:rsidRPr="00B14C65">
                <w:rPr>
                  <w:rStyle w:val="Hyperlink"/>
                </w:rPr>
                <w:t>Back to index</w:t>
              </w:r>
            </w:hyperlink>
            <w:r>
              <w:t>.</w:t>
            </w:r>
            <w:r>
              <w:rPr>
                <w:lang w:val="en-AU"/>
              </w:rPr>
              <w:t xml:space="preserve"> </w:t>
            </w:r>
          </w:p>
        </w:tc>
      </w:tr>
    </w:tbl>
    <w:p w14:paraId="514A2432" w14:textId="77777777" w:rsidR="00CA660F" w:rsidRPr="00AA4642" w:rsidRDefault="008765C6" w:rsidP="00C56D4A">
      <w:pPr>
        <w:pStyle w:val="Heading2"/>
      </w:pPr>
      <w:bookmarkStart w:id="71" w:name="_Toc230790018"/>
      <w:r w:rsidRPr="00AA4642">
        <w:t>Information soon to be publicly available</w:t>
      </w:r>
      <w:bookmarkEnd w:id="71"/>
    </w:p>
    <w:tbl>
      <w:tblPr>
        <w:tblStyle w:val="TableBox"/>
        <w:tblW w:w="9297" w:type="dxa"/>
        <w:tblLayout w:type="fixed"/>
        <w:tblLook w:val="04A0" w:firstRow="1" w:lastRow="0" w:firstColumn="1" w:lastColumn="0" w:noHBand="0" w:noVBand="1"/>
        <w:tblCaption w:val="Box to emphasise text"/>
      </w:tblPr>
      <w:tblGrid>
        <w:gridCol w:w="9297"/>
      </w:tblGrid>
      <w:tr w:rsidR="00CA660F" w14:paraId="4C20246D" w14:textId="77777777" w:rsidTr="00007CD6">
        <w:trPr>
          <w:trHeight w:val="288"/>
        </w:trPr>
        <w:tc>
          <w:tcPr>
            <w:tcW w:w="9297" w:type="dxa"/>
          </w:tcPr>
          <w:p w14:paraId="7FB3332B" w14:textId="02C0E7BC" w:rsidR="00BC71E4" w:rsidRDefault="00BC71E4" w:rsidP="00BC71E4">
            <w:pPr>
              <w:pStyle w:val="Headingboxtexttop"/>
              <w:widowControl w:val="0"/>
              <w:rPr>
                <w:b w:val="0"/>
              </w:rPr>
            </w:pPr>
            <w:bookmarkStart w:id="72" w:name="case463213"/>
            <w:bookmarkEnd w:id="72"/>
            <w:r w:rsidRPr="00BC71E4">
              <w:rPr>
                <w:b w:val="0"/>
              </w:rPr>
              <w:t>013497</w:t>
            </w:r>
            <w:r>
              <w:rPr>
                <w:b w:val="0"/>
              </w:rPr>
              <w:t xml:space="preserve"> (</w:t>
            </w:r>
            <w:r w:rsidRPr="00BC71E4">
              <w:rPr>
                <w:b w:val="0"/>
              </w:rPr>
              <w:t>2025</w:t>
            </w:r>
            <w:r>
              <w:rPr>
                <w:b w:val="0"/>
              </w:rPr>
              <w:t>)—</w:t>
            </w:r>
            <w:r w:rsidRPr="00BC71E4">
              <w:rPr>
                <w:b w:val="0"/>
              </w:rPr>
              <w:t>Re</w:t>
            </w:r>
            <w:bookmarkStart w:id="73" w:name="case013497"/>
            <w:bookmarkEnd w:id="73"/>
            <w:r w:rsidRPr="00BC71E4">
              <w:rPr>
                <w:b w:val="0"/>
              </w:rPr>
              <w:t xml:space="preserve">quest for information </w:t>
            </w:r>
            <w:r>
              <w:rPr>
                <w:b w:val="0"/>
              </w:rPr>
              <w:t>about</w:t>
            </w:r>
            <w:r w:rsidRPr="00BC71E4">
              <w:rPr>
                <w:b w:val="0"/>
              </w:rPr>
              <w:t xml:space="preserve"> inflationary effects of tax cuts</w:t>
            </w:r>
          </w:p>
          <w:p w14:paraId="4FEAF4E4" w14:textId="54119894" w:rsidR="00BC71E4" w:rsidRDefault="00BC71E4" w:rsidP="00BC71E4">
            <w:pPr>
              <w:pStyle w:val="Boxsmalltext"/>
            </w:pPr>
            <w:r>
              <w:t xml:space="preserve">On 10 May 2024, Treasury received a request for information about the probable inflationary effects of personal tax cuts. The 2024 Budget was released on 30 May 2024. On 10 June 2024, Treasury refused the request on the basis the information would soon be publicly available as part of a planned proactive release of Budget information. On 11 July 2024, Treasury advised the requester the information would be released in late August 2024. </w:t>
            </w:r>
            <w:r w:rsidR="00695242">
              <w:t xml:space="preserve">The requester then complained to the Ombudsman. </w:t>
            </w:r>
            <w:r>
              <w:t xml:space="preserve">The </w:t>
            </w:r>
            <w:r w:rsidR="00695242">
              <w:t xml:space="preserve">proactive release of Budget information occurred on 13 September 2024. </w:t>
            </w:r>
            <w:r>
              <w:t xml:space="preserve"> </w:t>
            </w:r>
          </w:p>
          <w:p w14:paraId="5AE34757" w14:textId="6CB01E0F" w:rsidR="00695242" w:rsidRDefault="00695242" w:rsidP="00695242">
            <w:pPr>
              <w:pStyle w:val="Boxsmalltext"/>
            </w:pPr>
            <w:r>
              <w:t>The Chief Ombudsman accepted that Treasury was working on a planned release by a specific deadline at the time of the request. The proactive release of Budget information is the largest annual release of information by the Government each year. The 2024 release included 416 document</w:t>
            </w:r>
            <w:r w:rsidR="00E07B96">
              <w:t>s</w:t>
            </w:r>
            <w:r>
              <w:t>.</w:t>
            </w:r>
            <w:r w:rsidR="00F93196">
              <w:t xml:space="preserve"> </w:t>
            </w:r>
            <w:r w:rsidR="00E27F2B">
              <w:t>T</w:t>
            </w:r>
            <w:r>
              <w:t>here was a large amount of work to do to prepare the documents for publication</w:t>
            </w:r>
            <w:r w:rsidR="00E27F2B">
              <w:t>,</w:t>
            </w:r>
            <w:r>
              <w:t xml:space="preserve"> including </w:t>
            </w:r>
            <w:r w:rsidR="00F93196">
              <w:t xml:space="preserve">consultation with many organisations, agencies and Ministers, </w:t>
            </w:r>
            <w:r>
              <w:t>making redactions, quality assurance, and general review and sign-out processes.</w:t>
            </w:r>
          </w:p>
          <w:p w14:paraId="1EA80E7B" w14:textId="7F0D3966" w:rsidR="00F93196" w:rsidRDefault="00F93196" w:rsidP="00695242">
            <w:pPr>
              <w:pStyle w:val="Boxsmalltext"/>
            </w:pPr>
            <w:r>
              <w:t xml:space="preserve">The deadline for publication that Treasury was working towards </w:t>
            </w:r>
            <w:r w:rsidR="00695242">
              <w:t xml:space="preserve">was around eleven to twelve weeks from when it made its decision on the request. While this is a significant period and would not usually fall within </w:t>
            </w:r>
            <w:r>
              <w:t>an</w:t>
            </w:r>
            <w:r w:rsidR="00695242">
              <w:t xml:space="preserve"> expectation of ‘soon’, in this case </w:t>
            </w:r>
            <w:r>
              <w:t xml:space="preserve">the Chief Ombudsman considered the </w:t>
            </w:r>
            <w:r w:rsidR="00695242">
              <w:t xml:space="preserve">time was reasonably imminent given the volume and complexity of the overall process. It </w:t>
            </w:r>
            <w:r w:rsidR="00E07B96">
              <w:t>was</w:t>
            </w:r>
            <w:r w:rsidR="00695242">
              <w:t xml:space="preserve"> difficult to see how such a large and intricate process of release could reasonably be concluded in a much shorter period. </w:t>
            </w:r>
          </w:p>
          <w:p w14:paraId="6EEF9756" w14:textId="5659C6B4" w:rsidR="00695242" w:rsidRDefault="00695242" w:rsidP="00695242">
            <w:pPr>
              <w:pStyle w:val="Boxsmalltext"/>
            </w:pPr>
            <w:r>
              <w:t>Due to the extensive nature of th</w:t>
            </w:r>
            <w:r w:rsidR="00F93196">
              <w:t>e</w:t>
            </w:r>
            <w:r>
              <w:t xml:space="preserve"> release, unforeseen delays arose towards the end of August. This resulted in an additional two to three weeks before the information was published. Whilst it is important to consider what realistically needs to be done to meet </w:t>
            </w:r>
            <w:r w:rsidR="008D646B">
              <w:t>a</w:t>
            </w:r>
            <w:r>
              <w:t xml:space="preserve"> planned publication date, not all of this will be within an agency’s direct control. Given the </w:t>
            </w:r>
            <w:r w:rsidR="00685333">
              <w:t xml:space="preserve">complexity </w:t>
            </w:r>
            <w:r>
              <w:t xml:space="preserve">of the overall release, </w:t>
            </w:r>
            <w:r w:rsidR="008D646B">
              <w:t xml:space="preserve">the Chief Ombudsman accepted </w:t>
            </w:r>
            <w:r>
              <w:t>Treasury had taken reasonable steps to ensure the information would be publicly available imminently.</w:t>
            </w:r>
          </w:p>
          <w:p w14:paraId="6E97CA0F" w14:textId="10B57BDD" w:rsidR="008D646B" w:rsidRDefault="008D646B" w:rsidP="008D646B">
            <w:pPr>
              <w:pStyle w:val="Boxsmalltext"/>
            </w:pPr>
            <w:r>
              <w:t xml:space="preserve">Treasury advised that releasing individual pieces of Budget information (such as the document requested) outside of the proactive release process </w:t>
            </w:r>
            <w:r w:rsidR="00E07B96">
              <w:t>would be</w:t>
            </w:r>
            <w:r>
              <w:t xml:space="preserve"> disruptive to its ability to manage the overall release effectively</w:t>
            </w:r>
            <w:r w:rsidR="00E07B96">
              <w:t xml:space="preserve"> and provide overall context</w:t>
            </w:r>
            <w:r>
              <w:t xml:space="preserve">. </w:t>
            </w:r>
            <w:r w:rsidR="00E07B96">
              <w:t xml:space="preserve">The Chief Ombudsman accepted that responding to individual requests would </w:t>
            </w:r>
            <w:r>
              <w:t>significant</w:t>
            </w:r>
            <w:r w:rsidR="00E07B96">
              <w:t>ly</w:t>
            </w:r>
            <w:r>
              <w:t xml:space="preserve"> impact on the timeframe for the remainder of the Budget information being made publicly available. </w:t>
            </w:r>
          </w:p>
          <w:p w14:paraId="0D4A785A" w14:textId="757F890A" w:rsidR="00685333" w:rsidRDefault="00E07B96" w:rsidP="008D646B">
            <w:pPr>
              <w:pStyle w:val="Boxsmalltext"/>
            </w:pPr>
            <w:r>
              <w:t xml:space="preserve">The requester </w:t>
            </w:r>
            <w:r w:rsidR="00685333">
              <w:t>was</w:t>
            </w:r>
            <w:r>
              <w:t xml:space="preserve"> </w:t>
            </w:r>
            <w:r w:rsidR="008D646B">
              <w:t xml:space="preserve">concerned the timeframe </w:t>
            </w:r>
            <w:r>
              <w:t xml:space="preserve">for release </w:t>
            </w:r>
            <w:r w:rsidR="008D646B">
              <w:t xml:space="preserve">could limit </w:t>
            </w:r>
            <w:r w:rsidR="0040400D">
              <w:t xml:space="preserve">public </w:t>
            </w:r>
            <w:r w:rsidR="008D646B">
              <w:t xml:space="preserve">participation and accountability. </w:t>
            </w:r>
            <w:r w:rsidR="0040400D">
              <w:t>However, the Chief Ombudsman considered there were opportunities for public scrutiny available</w:t>
            </w:r>
            <w:r w:rsidR="00911535">
              <w:t xml:space="preserve">, and there was no specific reason </w:t>
            </w:r>
            <w:r w:rsidR="00685333">
              <w:t xml:space="preserve">in this case </w:t>
            </w:r>
            <w:r w:rsidR="00911535">
              <w:t>why the information needed to be released outside of the planned process</w:t>
            </w:r>
            <w:r w:rsidR="0040400D">
              <w:t xml:space="preserve">. There was nothing to prevent debate of the broader issues at an earlier stage, </w:t>
            </w:r>
            <w:r w:rsidR="00911535">
              <w:t xml:space="preserve">with reference to </w:t>
            </w:r>
            <w:r w:rsidR="0040400D">
              <w:t xml:space="preserve">the information released on Budget Day. </w:t>
            </w:r>
            <w:r w:rsidR="00911535">
              <w:t xml:space="preserve">The purpose of the proactive release process was to ensure that all the Budget information was made publicly available as soon as possible. </w:t>
            </w:r>
            <w:r w:rsidR="008D646B">
              <w:t>The more detailed policy rationale c</w:t>
            </w:r>
            <w:r w:rsidR="0040400D">
              <w:t>ould</w:t>
            </w:r>
            <w:r w:rsidR="008D646B">
              <w:t xml:space="preserve"> be discussed on an ongoing basis. </w:t>
            </w:r>
          </w:p>
          <w:p w14:paraId="56B3F955" w14:textId="6E3FDF88" w:rsidR="008D646B" w:rsidRDefault="00685333" w:rsidP="008D646B">
            <w:pPr>
              <w:pStyle w:val="Boxsmalltext"/>
            </w:pPr>
            <w:hyperlink r:id="rId19" w:history="1">
              <w:r w:rsidRPr="00535273">
                <w:rPr>
                  <w:rStyle w:val="Hyperlink"/>
                </w:rPr>
                <w:t>R</w:t>
              </w:r>
              <w:r w:rsidR="00494891" w:rsidRPr="00535273">
                <w:rPr>
                  <w:rStyle w:val="Hyperlink"/>
                </w:rPr>
                <w:t>ead the full opinion here</w:t>
              </w:r>
            </w:hyperlink>
            <w:r w:rsidR="00494891">
              <w:t>.</w:t>
            </w:r>
            <w:r w:rsidR="008D646B">
              <w:t xml:space="preserve"> </w:t>
            </w:r>
          </w:p>
          <w:p w14:paraId="280DBA9F" w14:textId="4D81FB58" w:rsidR="00494891" w:rsidRDefault="00494891" w:rsidP="008D646B">
            <w:pPr>
              <w:pStyle w:val="Boxsmalltext"/>
            </w:pPr>
            <w:hyperlink w:anchor="indexW37113" w:history="1">
              <w:r w:rsidRPr="00B14C65">
                <w:rPr>
                  <w:rStyle w:val="Hyperlink"/>
                </w:rPr>
                <w:t>Back to index</w:t>
              </w:r>
            </w:hyperlink>
            <w:r>
              <w:t>.</w:t>
            </w:r>
          </w:p>
          <w:p w14:paraId="245B6C88" w14:textId="0B1AA5AA" w:rsidR="0042731A" w:rsidRDefault="0042731A" w:rsidP="0042731A">
            <w:pPr>
              <w:pStyle w:val="Headingboxtexttop"/>
              <w:widowControl w:val="0"/>
              <w:rPr>
                <w:b w:val="0"/>
              </w:rPr>
            </w:pPr>
            <w:r>
              <w:rPr>
                <w:b w:val="0"/>
              </w:rPr>
              <w:t>Case 463213 (2018)—</w:t>
            </w:r>
            <w:r w:rsidRPr="0042731A">
              <w:rPr>
                <w:b w:val="0"/>
              </w:rPr>
              <w:t>Request for DHB financial reporting data</w:t>
            </w:r>
          </w:p>
          <w:p w14:paraId="625F5321" w14:textId="77777777" w:rsidR="00AC6050" w:rsidRDefault="00504254" w:rsidP="00A22957">
            <w:pPr>
              <w:pStyle w:val="Boxsmalltext"/>
            </w:pPr>
            <w:r>
              <w:t xml:space="preserve">On 15 September 2017, </w:t>
            </w:r>
            <w:r w:rsidR="002759C0">
              <w:t xml:space="preserve">the Ministry of Health received a media request for DHB financial reporting </w:t>
            </w:r>
            <w:r w:rsidR="00C410A4">
              <w:t>data</w:t>
            </w:r>
            <w:r w:rsidR="002759C0">
              <w:t xml:space="preserve">. On the same day, it advised the requester that the data would be published after was reported to the Minister. It said the reports were published on 19 October the previous year, and a similar timeframe was expected this time. </w:t>
            </w:r>
            <w:r w:rsidR="00AC6050">
              <w:t xml:space="preserve">The requester complained to the Ombudsman. </w:t>
            </w:r>
          </w:p>
          <w:p w14:paraId="7E04FBE4" w14:textId="77777777" w:rsidR="0042731A" w:rsidRDefault="00AC6050" w:rsidP="00A22957">
            <w:pPr>
              <w:pStyle w:val="Boxsmalltext"/>
            </w:pPr>
            <w:r>
              <w:t xml:space="preserve">The Ministry later clarified that its refusal was under section 18(d) of the </w:t>
            </w:r>
            <w:proofErr w:type="spellStart"/>
            <w:r>
              <w:t>OIA</w:t>
            </w:r>
            <w:proofErr w:type="spellEnd"/>
            <w:r>
              <w:t xml:space="preserve">. </w:t>
            </w:r>
            <w:r w:rsidR="00370E9F">
              <w:t>The release was ultimately delayed until 22 December 2017 due to the change in government</w:t>
            </w:r>
            <w:r>
              <w:t xml:space="preserve">. </w:t>
            </w:r>
          </w:p>
          <w:p w14:paraId="2040510B" w14:textId="77777777" w:rsidR="00AC6050" w:rsidRDefault="00AC6050" w:rsidP="00A22957">
            <w:pPr>
              <w:pStyle w:val="Boxsmalltext"/>
            </w:pPr>
            <w:r>
              <w:t xml:space="preserve">The Chief Ombudsman accepted that, at the time of the refusal, the Ministry expected to release the information roughly a month later, based on its release of similar information the previous year. A waiting period of a month to release this information appeared to be </w:t>
            </w:r>
            <w:r w:rsidRPr="001F6B97">
              <w:rPr>
                <w:rStyle w:val="Quotationwithinthesentence"/>
              </w:rPr>
              <w:t>‘soon’</w:t>
            </w:r>
            <w:r>
              <w:t xml:space="preserve"> in terms of 18(d).</w:t>
            </w:r>
          </w:p>
          <w:p w14:paraId="5E71C62C" w14:textId="77777777" w:rsidR="00AC6050" w:rsidRDefault="00AC6050" w:rsidP="00A22957">
            <w:pPr>
              <w:pStyle w:val="Boxsmalltext"/>
            </w:pPr>
            <w:r>
              <w:t xml:space="preserve">However, the planned publication date was not sufficiently certain. As of 15 September 2017, the Ministry would have been aware that the election was looming, and that, due to the need for Ministerial input, this could impact on the Ministry’s ability to release the information at the time it anticipated. Coalition negotiations in an </w:t>
            </w:r>
            <w:proofErr w:type="spellStart"/>
            <w:r>
              <w:t>MMP</w:t>
            </w:r>
            <w:proofErr w:type="spellEnd"/>
            <w:r>
              <w:t xml:space="preserve"> electoral system are a reasonably foreseeable event, and the flow on effect should have been contemplated. </w:t>
            </w:r>
          </w:p>
          <w:p w14:paraId="4DCC6225" w14:textId="77777777" w:rsidR="00AC6050" w:rsidRDefault="00AC6050" w:rsidP="00A22957">
            <w:pPr>
              <w:pStyle w:val="Boxsmalltext"/>
            </w:pPr>
            <w:r>
              <w:t xml:space="preserve">The Chief Ombudsman acknowledged that unforeseen circumstances </w:t>
            </w:r>
            <w:proofErr w:type="gramStart"/>
            <w:r>
              <w:t>can</w:t>
            </w:r>
            <w:proofErr w:type="gramEnd"/>
            <w:r>
              <w:t xml:space="preserve"> delay plans to make information publicly available, and in that event agencies should contact the requester and explain the reason for the delay and the revised publication date. In this case the requester was not advised that release of the information was delayed, and he was also not eventually told that the information had been made available in December. While this is not a legal requirement, it is a matter of good administrative practice. </w:t>
            </w:r>
          </w:p>
          <w:p w14:paraId="34DE0F51" w14:textId="77777777" w:rsidR="00AC6050" w:rsidRDefault="00AC6050" w:rsidP="00A22957">
            <w:pPr>
              <w:pStyle w:val="Boxsmalltext"/>
            </w:pPr>
            <w:r>
              <w:t>The Chief Ombudsman formed the opinion that section 18(d) did not</w:t>
            </w:r>
            <w:r w:rsidR="00370E9F">
              <w:t xml:space="preserve"> apply</w:t>
            </w:r>
            <w:r>
              <w:t xml:space="preserve"> because the Ministry could not be reasonably certain the information would be released </w:t>
            </w:r>
            <w:r w:rsidRPr="00AC6050">
              <w:rPr>
                <w:i/>
              </w:rPr>
              <w:t>‘soon’</w:t>
            </w:r>
            <w:r>
              <w:t>.</w:t>
            </w:r>
          </w:p>
          <w:p w14:paraId="45FE6327" w14:textId="77777777" w:rsidR="00AC6050" w:rsidRDefault="00AC6050" w:rsidP="00A22957">
            <w:pPr>
              <w:pStyle w:val="Boxsmalltext"/>
            </w:pPr>
            <w:hyperlink w:anchor="index463213" w:history="1">
              <w:r w:rsidRPr="008B6C81">
                <w:rPr>
                  <w:rStyle w:val="Hyperlink"/>
                </w:rPr>
                <w:t>Back to index</w:t>
              </w:r>
            </w:hyperlink>
            <w:r>
              <w:t>.</w:t>
            </w:r>
          </w:p>
          <w:p w14:paraId="4B2EA902" w14:textId="77777777" w:rsidR="008765C6" w:rsidRPr="00673ADA" w:rsidRDefault="008765C6" w:rsidP="00673ADA">
            <w:pPr>
              <w:pStyle w:val="Headingboxtextinbody"/>
              <w:rPr>
                <w:b w:val="0"/>
              </w:rPr>
            </w:pPr>
            <w:bookmarkStart w:id="74" w:name="case466794"/>
            <w:bookmarkEnd w:id="74"/>
            <w:r w:rsidRPr="00673ADA">
              <w:rPr>
                <w:b w:val="0"/>
              </w:rPr>
              <w:t>Case</w:t>
            </w:r>
            <w:r w:rsidR="00040211">
              <w:rPr>
                <w:b w:val="0"/>
              </w:rPr>
              <w:t>s</w:t>
            </w:r>
            <w:r w:rsidRPr="00673ADA">
              <w:rPr>
                <w:b w:val="0"/>
              </w:rPr>
              <w:t xml:space="preserve"> 4</w:t>
            </w:r>
            <w:r w:rsidR="00040211">
              <w:rPr>
                <w:b w:val="0"/>
              </w:rPr>
              <w:t>66794 and</w:t>
            </w:r>
            <w:r w:rsidRPr="00673ADA">
              <w:rPr>
                <w:b w:val="0"/>
              </w:rPr>
              <w:t xml:space="preserve"> 467630 (2018)—Briefings to the Incoming Minister</w:t>
            </w:r>
          </w:p>
          <w:p w14:paraId="58168366" w14:textId="77777777" w:rsidR="008765C6" w:rsidRDefault="008765C6" w:rsidP="00460A99">
            <w:pPr>
              <w:pStyle w:val="Boxsmalltext"/>
              <w:widowControl w:val="0"/>
            </w:pPr>
            <w:r w:rsidRPr="00F351D0">
              <w:t>Following the September 2017 election, requesters sought access to the Briefings to the Incoming Minister (BIMs) from the Privacy Commissioner and the Ministry of Transport. Both requests were refused on the basis that the information w</w:t>
            </w:r>
            <w:r>
              <w:t xml:space="preserve">ould soon be publicly available. </w:t>
            </w:r>
          </w:p>
          <w:p w14:paraId="72BBB971" w14:textId="77777777" w:rsidR="008765C6" w:rsidRDefault="008765C6" w:rsidP="00460A99">
            <w:pPr>
              <w:pStyle w:val="Boxsmalltext"/>
              <w:widowControl w:val="0"/>
            </w:pPr>
            <w:r>
              <w:t>The requesters complained to the Ombudsman, saying</w:t>
            </w:r>
            <w:r w:rsidRPr="00F351D0">
              <w:t xml:space="preserve"> there was no certainty that the information would be released, as the intended dates of release were not provided, and there did not appear to be any administrative difficulties in providing the information at that time.</w:t>
            </w:r>
          </w:p>
          <w:p w14:paraId="26C618A4" w14:textId="77777777" w:rsidR="008765C6" w:rsidRDefault="008765C6" w:rsidP="00460A99">
            <w:pPr>
              <w:pStyle w:val="Boxsmalltext"/>
              <w:widowControl w:val="0"/>
            </w:pPr>
            <w:r>
              <w:t xml:space="preserve">The request to the Privacy Commissioner was made on </w:t>
            </w:r>
            <w:proofErr w:type="gramStart"/>
            <w:r>
              <w:t>14 November 2017, and</w:t>
            </w:r>
            <w:proofErr w:type="gramEnd"/>
            <w:r>
              <w:t xml:space="preserve"> refused the same day. The Privacy Commissioner’s BIM was published on 24 November 2017 (eight working days later). </w:t>
            </w:r>
          </w:p>
          <w:p w14:paraId="18AC1755" w14:textId="77777777" w:rsidR="008765C6" w:rsidRDefault="008765C6" w:rsidP="00460A99">
            <w:pPr>
              <w:pStyle w:val="Boxsmalltext"/>
              <w:widowControl w:val="0"/>
            </w:pPr>
            <w:r>
              <w:t xml:space="preserve">The request to the Ministry was made on 30 October 2017 and refused on 17 November 2017. The Ministry’s BIM was published on 7 December 2017 (14 working days later), </w:t>
            </w:r>
            <w:r w:rsidRPr="00F351D0">
              <w:t xml:space="preserve">as part of a coordinated release of </w:t>
            </w:r>
            <w:proofErr w:type="gramStart"/>
            <w:r w:rsidRPr="00F351D0">
              <w:t>a number of</w:t>
            </w:r>
            <w:proofErr w:type="gramEnd"/>
            <w:r w:rsidRPr="00F351D0">
              <w:t xml:space="preserve"> BIMs for public sector agencies and crown entities on the Beehive website.</w:t>
            </w:r>
          </w:p>
          <w:p w14:paraId="1D07E3DC" w14:textId="77777777" w:rsidR="008765C6" w:rsidRDefault="008765C6" w:rsidP="00460A99">
            <w:pPr>
              <w:pStyle w:val="Boxsmalltext"/>
              <w:widowControl w:val="0"/>
            </w:pPr>
            <w:r w:rsidRPr="00F351D0">
              <w:t xml:space="preserve">The Chief Ombudsman formed the </w:t>
            </w:r>
            <w:r>
              <w:t xml:space="preserve">opinion that this was </w:t>
            </w:r>
            <w:r w:rsidRPr="00333E4D">
              <w:rPr>
                <w:i/>
              </w:rPr>
              <w:t>‘soon’</w:t>
            </w:r>
            <w:r>
              <w:t xml:space="preserve"> in terms of section 18(d). He noted that,</w:t>
            </w:r>
            <w:r w:rsidRPr="00F351D0">
              <w:t xml:space="preserve"> although it is good practice for an agency to provide a requester with a date of release of the information, this is not a requirement of the legislation. The absence of a confirmed date did not mean that section 18(d) did not apply, simply that other factors that point to the likelihood of impending publication must be assessed.</w:t>
            </w:r>
          </w:p>
          <w:p w14:paraId="52BD2971" w14:textId="77777777" w:rsidR="008765C6" w:rsidRDefault="008765C6" w:rsidP="00460A99">
            <w:pPr>
              <w:pStyle w:val="Boxsmalltext"/>
              <w:widowControl w:val="0"/>
            </w:pPr>
            <w:r w:rsidRPr="00F351D0">
              <w:t xml:space="preserve">Despite not being able to provide a specific date of release at the time the requests were refused, it appeared that the agencies could be confident that the information would be released, and that this would occur imminently. </w:t>
            </w:r>
          </w:p>
          <w:p w14:paraId="3DEBA892" w14:textId="77777777" w:rsidR="008765C6" w:rsidRDefault="008765C6" w:rsidP="00460A99">
            <w:pPr>
              <w:pStyle w:val="Boxsmalltext"/>
              <w:widowControl w:val="0"/>
            </w:pPr>
            <w:r>
              <w:t xml:space="preserve">The delay, in the case of the Ministry of Transport, was occasioned by a desire to coordinate the publication of all briefings to incoming Ministers. This was not unreasonable, provided it did not unduly delay release of the briefings, which, in the Chief Ombudsman’s opinion, it did not. A coordinated release may have been beneficial in allowing the public to see the full suite of advice received by the incoming Government, and to </w:t>
            </w:r>
            <w:proofErr w:type="gramStart"/>
            <w:r>
              <w:t>compare and contrast</w:t>
            </w:r>
            <w:proofErr w:type="gramEnd"/>
            <w:r>
              <w:t xml:space="preserve"> advice in related areas or by related agencies (such as the various transport agencies).</w:t>
            </w:r>
          </w:p>
          <w:p w14:paraId="14AEBEAF" w14:textId="77777777" w:rsidR="008765C6" w:rsidRDefault="008765C6" w:rsidP="00460A99">
            <w:pPr>
              <w:pStyle w:val="Boxsmalltext"/>
              <w:widowControl w:val="0"/>
            </w:pPr>
            <w:r>
              <w:t xml:space="preserve">The delay would also have enabled incoming Ministers to familiarise themselves with the content of the briefings (which were written for them after all), before they were released to the public. It was entirely proper that the intended recipient of the briefing was first consulted before the final decision on release was made and implemented. Read the full case note </w:t>
            </w:r>
            <w:hyperlink r:id="rId20" w:history="1">
              <w:r w:rsidRPr="00250527">
                <w:rPr>
                  <w:rStyle w:val="Hyperlink"/>
                </w:rPr>
                <w:t>here</w:t>
              </w:r>
            </w:hyperlink>
            <w:r>
              <w:t>.</w:t>
            </w:r>
          </w:p>
          <w:p w14:paraId="0ED60AA8" w14:textId="77777777" w:rsidR="00551EEB" w:rsidRPr="00FE7E7A" w:rsidRDefault="00FE7E7A" w:rsidP="00460A99">
            <w:pPr>
              <w:pStyle w:val="Boxsmalltext"/>
              <w:widowControl w:val="0"/>
              <w:rPr>
                <w:rStyle w:val="Hyperlink"/>
              </w:rPr>
            </w:pPr>
            <w:r>
              <w:fldChar w:fldCharType="begin"/>
            </w:r>
            <w:r>
              <w:instrText xml:space="preserve"> HYPERLINK  \l "index466794" </w:instrText>
            </w:r>
            <w:r>
              <w:fldChar w:fldCharType="separate"/>
            </w:r>
            <w:r w:rsidR="008765C6" w:rsidRPr="00FE7E7A">
              <w:rPr>
                <w:rStyle w:val="Hyperlink"/>
              </w:rPr>
              <w:t>Back to index.</w:t>
            </w:r>
            <w:bookmarkStart w:id="75" w:name="case455807"/>
            <w:bookmarkEnd w:id="75"/>
          </w:p>
          <w:bookmarkStart w:id="76" w:name="case443738"/>
          <w:bookmarkEnd w:id="76"/>
          <w:p w14:paraId="446382A8" w14:textId="77777777" w:rsidR="005D38EB" w:rsidRPr="00037D9B" w:rsidRDefault="00FE7E7A" w:rsidP="00460A99">
            <w:pPr>
              <w:pStyle w:val="Headingboxtexttop"/>
              <w:widowControl w:val="0"/>
              <w:rPr>
                <w:b w:val="0"/>
              </w:rPr>
            </w:pPr>
            <w:r>
              <w:rPr>
                <w:b w:val="0"/>
                <w:color w:val="1E1E1E"/>
                <w:sz w:val="24"/>
              </w:rPr>
              <w:fldChar w:fldCharType="end"/>
            </w:r>
            <w:r w:rsidR="005D38EB" w:rsidRPr="00037D9B">
              <w:rPr>
                <w:b w:val="0"/>
              </w:rPr>
              <w:t>Case 443738 (2017)</w:t>
            </w:r>
            <w:r w:rsidR="00037D9B" w:rsidRPr="00037D9B">
              <w:rPr>
                <w:b w:val="0"/>
              </w:rPr>
              <w:t>—Quarterly Justice Sector report</w:t>
            </w:r>
          </w:p>
          <w:p w14:paraId="389846A4" w14:textId="77777777" w:rsidR="00657D82" w:rsidRDefault="00037D9B" w:rsidP="00460A99">
            <w:pPr>
              <w:pStyle w:val="Boxsmalltext"/>
              <w:widowControl w:val="0"/>
            </w:pPr>
            <w:r>
              <w:t xml:space="preserve">On 25 November 2016, the Ministry of Justice received a request for the </w:t>
            </w:r>
            <w:r w:rsidRPr="00037D9B">
              <w:t>September 2016 Quarterly Justice Sector report</w:t>
            </w:r>
            <w:r>
              <w:t xml:space="preserve">. On 8 December 2016, it refused this request under section 18(d), advising that the report would be published in March 2017. The requester complained to the Ombudsman. </w:t>
            </w:r>
          </w:p>
          <w:p w14:paraId="44DAD2BA" w14:textId="77777777" w:rsidR="00037D9B" w:rsidRDefault="00657D82" w:rsidP="00460A99">
            <w:pPr>
              <w:pStyle w:val="Boxsmalltext"/>
              <w:widowControl w:val="0"/>
            </w:pPr>
            <w:r>
              <w:t xml:space="preserve">The </w:t>
            </w:r>
            <w:r w:rsidR="00B55E3D">
              <w:t xml:space="preserve">Chief </w:t>
            </w:r>
            <w:r>
              <w:t>Ombudsman</w:t>
            </w:r>
            <w:r w:rsidR="00B55E3D">
              <w:t xml:space="preserve">’s staff explained that he was unlikely to </w:t>
            </w:r>
            <w:r>
              <w:t xml:space="preserve">accept that release 12-16 weeks after the refusal was </w:t>
            </w:r>
            <w:r>
              <w:rPr>
                <w:i/>
              </w:rPr>
              <w:t>‘soon’</w:t>
            </w:r>
            <w:r>
              <w:t xml:space="preserve">. The Ministry </w:t>
            </w:r>
            <w:r w:rsidR="00B55E3D">
              <w:t xml:space="preserve">then </w:t>
            </w:r>
            <w:r>
              <w:t xml:space="preserve">advanced other substantive reasons for withholding the report but </w:t>
            </w:r>
            <w:r w:rsidR="00B55E3D">
              <w:t>the Chief Ombudsman did not accept these</w:t>
            </w:r>
            <w:r>
              <w:t xml:space="preserve"> either. After further consideration, the Ministry decided to release the report.</w:t>
            </w:r>
          </w:p>
          <w:p w14:paraId="19D2F88C" w14:textId="77777777" w:rsidR="00657D82" w:rsidRDefault="00657D82" w:rsidP="00460A99">
            <w:pPr>
              <w:pStyle w:val="Boxsmalltext"/>
              <w:widowControl w:val="0"/>
            </w:pPr>
            <w:hyperlink w:anchor="index443738" w:history="1">
              <w:r w:rsidRPr="008B6C81">
                <w:rPr>
                  <w:rStyle w:val="Hyperlink"/>
                </w:rPr>
                <w:t>Back to index</w:t>
              </w:r>
            </w:hyperlink>
            <w:r>
              <w:t>.</w:t>
            </w:r>
          </w:p>
          <w:p w14:paraId="4D95D791" w14:textId="77777777" w:rsidR="00B70004" w:rsidRPr="00B70004" w:rsidRDefault="00B70004" w:rsidP="00460A99">
            <w:pPr>
              <w:pStyle w:val="Headingboxtextinbody"/>
              <w:keepNext w:val="0"/>
              <w:widowControl w:val="0"/>
              <w:rPr>
                <w:b w:val="0"/>
              </w:rPr>
            </w:pPr>
            <w:bookmarkStart w:id="77" w:name="case440225"/>
            <w:bookmarkEnd w:id="77"/>
            <w:r w:rsidRPr="00B70004">
              <w:rPr>
                <w:b w:val="0"/>
              </w:rPr>
              <w:t>Case 440225 (2017)—Recidivism statistics</w:t>
            </w:r>
          </w:p>
          <w:p w14:paraId="087BC52C" w14:textId="77777777" w:rsidR="00B70004" w:rsidRDefault="00B70004" w:rsidP="00460A99">
            <w:pPr>
              <w:pStyle w:val="Boxsmalltext"/>
              <w:widowControl w:val="0"/>
            </w:pPr>
            <w:r>
              <w:t>On 20 June 2016, a requester sought recidivism statistics related to the Department of Corrections’ goal of reducing re-offending by 25 percent by 2017. On 22 July 2016</w:t>
            </w:r>
            <w:r w:rsidR="00E60AB3">
              <w:t>,</w:t>
            </w:r>
            <w:r>
              <w:t xml:space="preserve"> </w:t>
            </w:r>
            <w:r w:rsidR="00864A94">
              <w:t xml:space="preserve">the </w:t>
            </w:r>
            <w:r>
              <w:t xml:space="preserve">Department supplied historical </w:t>
            </w:r>
            <w:proofErr w:type="gramStart"/>
            <w:r>
              <w:t>statistics, but</w:t>
            </w:r>
            <w:proofErr w:type="gramEnd"/>
            <w:r>
              <w:t xml:space="preserve"> refused </w:t>
            </w:r>
            <w:r w:rsidR="003223E6">
              <w:t xml:space="preserve">2016 </w:t>
            </w:r>
            <w:r>
              <w:t>st</w:t>
            </w:r>
            <w:r w:rsidR="003223E6">
              <w:t>atistics</w:t>
            </w:r>
            <w:r w:rsidR="00E60AB3">
              <w:t xml:space="preserve"> </w:t>
            </w:r>
            <w:r w:rsidR="003223E6">
              <w:t xml:space="preserve">on the basis that they would soon be released by the State Services Commission as part of its reporting on the Better Public Services results and targets. </w:t>
            </w:r>
            <w:r w:rsidR="006E4187">
              <w:t xml:space="preserve">On 20 October 2016, the requester complained to the Ombudsman, noting the information had still not been made publicly available. The information was published in early November 2016. </w:t>
            </w:r>
          </w:p>
          <w:p w14:paraId="0F47E741" w14:textId="77777777" w:rsidR="00864A94" w:rsidRDefault="00864A94" w:rsidP="00460A99">
            <w:pPr>
              <w:pStyle w:val="Boxsmalltext"/>
              <w:widowControl w:val="0"/>
            </w:pPr>
            <w:r>
              <w:t xml:space="preserve">The Chief Ombudsman stated that </w:t>
            </w:r>
            <w:proofErr w:type="gramStart"/>
            <w:r>
              <w:t>in order for</w:t>
            </w:r>
            <w:proofErr w:type="gramEnd"/>
            <w:r>
              <w:t xml:space="preserve"> section 18(d) to apply:</w:t>
            </w:r>
          </w:p>
          <w:p w14:paraId="547F59EA" w14:textId="77777777" w:rsidR="00864A94" w:rsidRDefault="00864A94" w:rsidP="00460A99">
            <w:pPr>
              <w:pStyle w:val="Boxsmallbullet1"/>
              <w:widowControl w:val="0"/>
            </w:pPr>
            <w:r>
              <w:t xml:space="preserve">there must be a genuine intention to make the information </w:t>
            </w:r>
            <w:proofErr w:type="gramStart"/>
            <w:r>
              <w:t>public;</w:t>
            </w:r>
            <w:proofErr w:type="gramEnd"/>
          </w:p>
          <w:p w14:paraId="34A953C7" w14:textId="77777777" w:rsidR="00864A94" w:rsidRDefault="00864A94" w:rsidP="00460A99">
            <w:pPr>
              <w:pStyle w:val="Boxsmallbullet1"/>
              <w:widowControl w:val="0"/>
            </w:pPr>
            <w:r>
              <w:t>the agency must be reasonably certain that publication will take place; and</w:t>
            </w:r>
          </w:p>
          <w:p w14:paraId="5EFFD71A" w14:textId="77777777" w:rsidR="00864A94" w:rsidRDefault="00864A94" w:rsidP="00460A99">
            <w:pPr>
              <w:pStyle w:val="Boxsmallbullet1"/>
              <w:widowControl w:val="0"/>
            </w:pPr>
            <w:r>
              <w:t xml:space="preserve">the intended publication must be at a point in time </w:t>
            </w:r>
            <w:proofErr w:type="gramStart"/>
            <w:r>
              <w:t>in the near future</w:t>
            </w:r>
            <w:proofErr w:type="gramEnd"/>
            <w:r>
              <w:t>.</w:t>
            </w:r>
          </w:p>
          <w:p w14:paraId="17EBEA2C" w14:textId="77777777" w:rsidR="00864A94" w:rsidRDefault="003223E6" w:rsidP="00460A99">
            <w:pPr>
              <w:pStyle w:val="Boxsmalltext"/>
              <w:widowControl w:val="0"/>
            </w:pPr>
            <w:r>
              <w:t>The word</w:t>
            </w:r>
            <w:r w:rsidR="00864A94">
              <w:t xml:space="preserve"> </w:t>
            </w:r>
            <w:r w:rsidR="00864A94" w:rsidRPr="003223E6">
              <w:rPr>
                <w:i/>
              </w:rPr>
              <w:t>‘soon’</w:t>
            </w:r>
            <w:r w:rsidR="00864A94">
              <w:t xml:space="preserve"> </w:t>
            </w:r>
            <w:r>
              <w:t>presupposes</w:t>
            </w:r>
            <w:r w:rsidR="00864A94">
              <w:t xml:space="preserve"> an element of certainty about when the information will become publicly available. It is insufficient that publication is simply anticipated.</w:t>
            </w:r>
            <w:r>
              <w:t xml:space="preserve"> I</w:t>
            </w:r>
            <w:r w:rsidR="00864A94">
              <w:t xml:space="preserve">t is good practice to provide the requester with a specific date of release or to explain the perceived difficulty in meeting the request immediately. </w:t>
            </w:r>
          </w:p>
          <w:p w14:paraId="508358C6" w14:textId="77777777" w:rsidR="00864A94" w:rsidRDefault="00864A94" w:rsidP="00460A99">
            <w:pPr>
              <w:pStyle w:val="Boxsmalltext"/>
              <w:widowControl w:val="0"/>
            </w:pPr>
            <w:r>
              <w:t xml:space="preserve">In this case, the Department </w:t>
            </w:r>
            <w:r w:rsidR="003223E6">
              <w:t>did</w:t>
            </w:r>
            <w:r>
              <w:t xml:space="preserve"> not appear to have had any certainty about when the </w:t>
            </w:r>
            <w:r w:rsidR="003223E6">
              <w:t>statistics</w:t>
            </w:r>
            <w:r>
              <w:t xml:space="preserve"> w</w:t>
            </w:r>
            <w:r w:rsidR="003223E6">
              <w:t>ould become publicly available. Publication was not within its control.</w:t>
            </w:r>
            <w:r>
              <w:t xml:space="preserve"> </w:t>
            </w:r>
            <w:r w:rsidR="003223E6">
              <w:t>T</w:t>
            </w:r>
            <w:r>
              <w:t xml:space="preserve">he Department did not have reasonable grounds to believe that publication would be </w:t>
            </w:r>
            <w:r w:rsidRPr="003223E6">
              <w:rPr>
                <w:i/>
              </w:rPr>
              <w:t>‘soon’</w:t>
            </w:r>
            <w:r>
              <w:t>.</w:t>
            </w:r>
            <w:r w:rsidR="003223E6">
              <w:t xml:space="preserve"> In the finish it was </w:t>
            </w:r>
            <w:r w:rsidR="0001776B">
              <w:t>13 weeks</w:t>
            </w:r>
            <w:r w:rsidR="003223E6">
              <w:t xml:space="preserve"> before the information was published. This was not </w:t>
            </w:r>
            <w:r w:rsidR="003223E6" w:rsidRPr="003223E6">
              <w:rPr>
                <w:i/>
              </w:rPr>
              <w:t>‘soon’</w:t>
            </w:r>
            <w:r w:rsidR="003223E6">
              <w:t>.</w:t>
            </w:r>
          </w:p>
          <w:p w14:paraId="59F18602" w14:textId="77777777" w:rsidR="00B70004" w:rsidRDefault="00B70004" w:rsidP="00460A99">
            <w:pPr>
              <w:pStyle w:val="Boxsmalltext"/>
              <w:widowControl w:val="0"/>
            </w:pPr>
            <w:hyperlink w:anchor="index440225" w:history="1">
              <w:r w:rsidRPr="008B6C81">
                <w:rPr>
                  <w:rStyle w:val="Hyperlink"/>
                </w:rPr>
                <w:t>Back to index</w:t>
              </w:r>
            </w:hyperlink>
            <w:r>
              <w:t>.</w:t>
            </w:r>
          </w:p>
          <w:p w14:paraId="21AEF204" w14:textId="77777777" w:rsidR="008765C6" w:rsidRPr="0020018D" w:rsidRDefault="0043648F" w:rsidP="00460A99">
            <w:pPr>
              <w:pStyle w:val="Headingboxtextinbody"/>
              <w:keepNext w:val="0"/>
              <w:widowControl w:val="0"/>
              <w:rPr>
                <w:b w:val="0"/>
              </w:rPr>
            </w:pPr>
            <w:bookmarkStart w:id="78" w:name="case377971"/>
            <w:bookmarkStart w:id="79" w:name="case397547"/>
            <w:bookmarkEnd w:id="78"/>
            <w:bookmarkEnd w:id="79"/>
            <w:r>
              <w:rPr>
                <w:b w:val="0"/>
              </w:rPr>
              <w:t xml:space="preserve">Case </w:t>
            </w:r>
            <w:r w:rsidR="008765C6" w:rsidRPr="0020018D">
              <w:rPr>
                <w:b w:val="0"/>
              </w:rPr>
              <w:t>397547 (2015)—Holiday period excess speed infringement data</w:t>
            </w:r>
          </w:p>
          <w:p w14:paraId="4F873D86" w14:textId="77777777" w:rsidR="008765C6" w:rsidRDefault="008765C6" w:rsidP="00460A99">
            <w:pPr>
              <w:pStyle w:val="Boxsmalltext"/>
              <w:widowControl w:val="0"/>
            </w:pPr>
            <w:r>
              <w:t>On 9 January 2015, a requester sought information about speeding infringements issued over the holiday period. On 27 January 2015, the New Zealand Police refused this request under section 18(d), explaining that:</w:t>
            </w:r>
          </w:p>
          <w:p w14:paraId="12500EC1" w14:textId="77777777" w:rsidR="008765C6" w:rsidRDefault="008765C6" w:rsidP="00460A99">
            <w:pPr>
              <w:pStyle w:val="TableQuotationseparateparagraph"/>
              <w:widowControl w:val="0"/>
            </w:pPr>
            <w:r>
              <w:t>Police will be proactively releasing information about speed infringement notices issued during the Christmas/New Year period in late February 2015 as part of planned media activity for the completion of its summer road policing campaign.</w:t>
            </w:r>
          </w:p>
          <w:p w14:paraId="2452CA1F" w14:textId="77777777" w:rsidR="008765C6" w:rsidRDefault="008765C6" w:rsidP="00460A99">
            <w:pPr>
              <w:pStyle w:val="Boxsmalltext"/>
              <w:widowControl w:val="0"/>
              <w:rPr>
                <w:szCs w:val="24"/>
              </w:rPr>
            </w:pPr>
            <w:r>
              <w:t xml:space="preserve">The requester complained to the Ombudsman. The Ombudsman made informal enquiries with the Police and was advised that </w:t>
            </w:r>
            <w:r>
              <w:rPr>
                <w:szCs w:val="24"/>
              </w:rPr>
              <w:t>information relating to January 2015 was not yet available because:</w:t>
            </w:r>
          </w:p>
          <w:p w14:paraId="1720D018" w14:textId="77777777" w:rsidR="008765C6" w:rsidRDefault="008765C6" w:rsidP="00460A99">
            <w:pPr>
              <w:pStyle w:val="TableQuotationseparateparagraph"/>
              <w:widowControl w:val="0"/>
            </w:pPr>
            <w:r>
              <w:t>there is a lag in reporting the data to allow Police to provide the most reliable and stable data as the infringements are received and processed by the Police Infringement Bureau.</w:t>
            </w:r>
          </w:p>
          <w:p w14:paraId="60DBF179" w14:textId="77777777" w:rsidR="008765C6" w:rsidRDefault="008765C6" w:rsidP="00460A99">
            <w:pPr>
              <w:pStyle w:val="Boxsmalltext"/>
              <w:widowControl w:val="0"/>
            </w:pPr>
            <w:r>
              <w:t xml:space="preserve">The Ombudsman wrote to the requester explaining that an investigation seemed unnecessary because it was apparent on the face of it that section 18(d) applied. The Police refused the request on </w:t>
            </w:r>
            <w:proofErr w:type="gramStart"/>
            <w:r>
              <w:t>27 January 2015, and</w:t>
            </w:r>
            <w:proofErr w:type="gramEnd"/>
            <w:r>
              <w:t xml:space="preserve"> anticipated that the information would be released by the end of February 2015 (approximately 23 working days). Some of the information at issue was still being processed and reviewed. In these circumstances, the Ombudsman was satisfied that the information would soon be publicly available for the purpose of section 18(d). </w:t>
            </w:r>
          </w:p>
          <w:p w14:paraId="70CB971B" w14:textId="77777777" w:rsidR="008765C6" w:rsidRDefault="008765C6" w:rsidP="00460A99">
            <w:pPr>
              <w:pStyle w:val="Boxsmalltext"/>
              <w:widowControl w:val="0"/>
            </w:pPr>
            <w:hyperlink w:anchor="index397547" w:history="1">
              <w:r w:rsidRPr="008B6C81">
                <w:rPr>
                  <w:rStyle w:val="Hyperlink"/>
                </w:rPr>
                <w:t>Back to index</w:t>
              </w:r>
            </w:hyperlink>
            <w:r>
              <w:t>.</w:t>
            </w:r>
          </w:p>
          <w:p w14:paraId="4D70D314" w14:textId="77777777" w:rsidR="005771EB" w:rsidRPr="005771EB" w:rsidRDefault="005771EB" w:rsidP="00460A99">
            <w:pPr>
              <w:pStyle w:val="Headingboxtextinbody"/>
              <w:keepNext w:val="0"/>
              <w:widowControl w:val="0"/>
              <w:rPr>
                <w:b w:val="0"/>
              </w:rPr>
            </w:pPr>
            <w:bookmarkStart w:id="80" w:name="case374966"/>
            <w:bookmarkEnd w:id="80"/>
            <w:r w:rsidRPr="005771EB">
              <w:rPr>
                <w:b w:val="0"/>
              </w:rPr>
              <w:t xml:space="preserve">Case 374966 (2014)—Restorative justice </w:t>
            </w:r>
            <w:r w:rsidR="00323FD0">
              <w:rPr>
                <w:b w:val="0"/>
              </w:rPr>
              <w:t>data</w:t>
            </w:r>
          </w:p>
          <w:p w14:paraId="7C5E923C" w14:textId="77777777" w:rsidR="00323FD0" w:rsidRDefault="00323FD0" w:rsidP="00460A99">
            <w:pPr>
              <w:pStyle w:val="Boxsmalltext"/>
              <w:widowControl w:val="0"/>
            </w:pPr>
            <w:r>
              <w:t xml:space="preserve">On 20 May 2013, the Ministry of Justice received a request for data on </w:t>
            </w:r>
            <w:r w:rsidR="005771EB">
              <w:t>offenders who had attended restorative justice conferences and reoffended.</w:t>
            </w:r>
            <w:r>
              <w:t xml:space="preserve"> On 19 June 2013, the Ministry responded that it would be undertaking a study on restorative justice later in the year, and the information would soon be publicly available. </w:t>
            </w:r>
          </w:p>
          <w:p w14:paraId="531CFE2F" w14:textId="77777777" w:rsidR="005771EB" w:rsidRDefault="00323FD0" w:rsidP="00460A99">
            <w:pPr>
              <w:pStyle w:val="Boxsmalltext"/>
              <w:widowControl w:val="0"/>
            </w:pPr>
            <w:r>
              <w:t xml:space="preserve">The requester </w:t>
            </w:r>
            <w:proofErr w:type="gramStart"/>
            <w:r>
              <w:t>followed-up</w:t>
            </w:r>
            <w:proofErr w:type="gramEnd"/>
            <w:r>
              <w:t xml:space="preserve"> again on 12 December 2013 and 30 January 2014. On 10 February 2014, he was told his request was still being refused under section 18(d), and it would be some time before the information was released. He complained to the Ombudsman. </w:t>
            </w:r>
            <w:r w:rsidR="005134CC">
              <w:t>The restorative justice study was publicly released on 3 April 2014.</w:t>
            </w:r>
          </w:p>
          <w:p w14:paraId="1A502A9E" w14:textId="77777777" w:rsidR="00A47F4B" w:rsidRDefault="00323FD0" w:rsidP="00460A99">
            <w:pPr>
              <w:widowControl w:val="0"/>
              <w:jc w:val="both"/>
            </w:pPr>
            <w:r>
              <w:t>The Ministry clarified that when it initially refused the request, it anticipated publication would occur by late September / early October 2013. I</w:t>
            </w:r>
            <w:r w:rsidR="007E5A5A">
              <w:t>t</w:t>
            </w:r>
            <w:r>
              <w:t xml:space="preserve"> acknowledged that</w:t>
            </w:r>
            <w:r w:rsidR="007E5A5A">
              <w:t xml:space="preserve">, given </w:t>
            </w:r>
            <w:r w:rsidR="005134CC">
              <w:t>the</w:t>
            </w:r>
            <w:r w:rsidR="007E5A5A">
              <w:t xml:space="preserve"> predicted length of time</w:t>
            </w:r>
            <w:r w:rsidR="005134CC">
              <w:t>,</w:t>
            </w:r>
            <w:r w:rsidR="007E5A5A">
              <w:t xml:space="preserve"> it should not have relied upon section 18(d). </w:t>
            </w:r>
          </w:p>
          <w:p w14:paraId="107FA533" w14:textId="77777777" w:rsidR="005134CC" w:rsidRDefault="007E5A5A" w:rsidP="00460A99">
            <w:pPr>
              <w:widowControl w:val="0"/>
              <w:jc w:val="both"/>
              <w:rPr>
                <w:szCs w:val="24"/>
              </w:rPr>
            </w:pPr>
            <w:r>
              <w:t xml:space="preserve">The </w:t>
            </w:r>
            <w:r w:rsidR="005134CC">
              <w:t xml:space="preserve">Ombudsman confirmed that reliance on section 18(d) was not appropriate in these circumstances. </w:t>
            </w:r>
            <w:r w:rsidR="005134CC">
              <w:rPr>
                <w:szCs w:val="24"/>
              </w:rPr>
              <w:t>When t</w:t>
            </w:r>
            <w:r w:rsidR="005134CC" w:rsidRPr="00BB3F00">
              <w:rPr>
                <w:szCs w:val="24"/>
              </w:rPr>
              <w:t>he request was received</w:t>
            </w:r>
            <w:r w:rsidR="009F7109">
              <w:rPr>
                <w:szCs w:val="24"/>
              </w:rPr>
              <w:t>,</w:t>
            </w:r>
            <w:r w:rsidR="005134CC" w:rsidRPr="00BB3F00">
              <w:rPr>
                <w:szCs w:val="24"/>
              </w:rPr>
              <w:t xml:space="preserve"> the information had not been extracted, and its release was not imminent. In fact</w:t>
            </w:r>
            <w:r w:rsidR="003E5630">
              <w:rPr>
                <w:szCs w:val="24"/>
              </w:rPr>
              <w:t>,</w:t>
            </w:r>
            <w:r w:rsidR="005134CC" w:rsidRPr="00BB3F00">
              <w:rPr>
                <w:szCs w:val="24"/>
              </w:rPr>
              <w:t xml:space="preserve"> there was no certainty about when the information w</w:t>
            </w:r>
            <w:r w:rsidR="00A47F4B">
              <w:rPr>
                <w:szCs w:val="24"/>
              </w:rPr>
              <w:t xml:space="preserve">ould become publicly available. Even if the information had been released at the time this was originally anticipated (14-16 weeks after the refusal), this would not have been </w:t>
            </w:r>
            <w:r w:rsidR="00A47F4B" w:rsidRPr="00A47F4B">
              <w:rPr>
                <w:i/>
                <w:szCs w:val="24"/>
              </w:rPr>
              <w:t>‘soon’</w:t>
            </w:r>
            <w:r w:rsidR="00A47F4B">
              <w:rPr>
                <w:szCs w:val="24"/>
              </w:rPr>
              <w:t>.</w:t>
            </w:r>
          </w:p>
          <w:p w14:paraId="0BF1590B" w14:textId="77777777" w:rsidR="005134CC" w:rsidRPr="00BB3F00" w:rsidRDefault="005134CC" w:rsidP="00460A99">
            <w:pPr>
              <w:widowControl w:val="0"/>
              <w:jc w:val="both"/>
              <w:rPr>
                <w:szCs w:val="24"/>
              </w:rPr>
            </w:pPr>
            <w:r>
              <w:rPr>
                <w:szCs w:val="24"/>
              </w:rPr>
              <w:t xml:space="preserve">However, the Ombudsman formed the opinion that section 18(g) of the </w:t>
            </w:r>
            <w:proofErr w:type="spellStart"/>
            <w:r>
              <w:rPr>
                <w:szCs w:val="24"/>
              </w:rPr>
              <w:t>OIA</w:t>
            </w:r>
            <w:proofErr w:type="spellEnd"/>
            <w:r>
              <w:rPr>
                <w:szCs w:val="24"/>
              </w:rPr>
              <w:t xml:space="preserve"> applied (information not held). At the time the request was received, all the Ministry held was raw anonymised criminal records. </w:t>
            </w:r>
            <w:r w:rsidRPr="00BB3F00">
              <w:rPr>
                <w:szCs w:val="24"/>
              </w:rPr>
              <w:t>To extract the requested information</w:t>
            </w:r>
            <w:r w:rsidR="003E5630">
              <w:rPr>
                <w:szCs w:val="24"/>
              </w:rPr>
              <w:t>,</w:t>
            </w:r>
            <w:r w:rsidRPr="00BB3F00">
              <w:rPr>
                <w:szCs w:val="24"/>
              </w:rPr>
              <w:t xml:space="preserve"> the Ministry needed to write a computer program</w:t>
            </w:r>
            <w:r>
              <w:rPr>
                <w:szCs w:val="24"/>
              </w:rPr>
              <w:t>me</w:t>
            </w:r>
            <w:r w:rsidRPr="00BB3F00">
              <w:rPr>
                <w:szCs w:val="24"/>
              </w:rPr>
              <w:t xml:space="preserve"> that would identify offenders who had taken part in restorative justice and determine </w:t>
            </w:r>
            <w:proofErr w:type="gramStart"/>
            <w:r w:rsidRPr="00BB3F00">
              <w:rPr>
                <w:szCs w:val="24"/>
              </w:rPr>
              <w:t>whether or not</w:t>
            </w:r>
            <w:proofErr w:type="gramEnd"/>
            <w:r w:rsidRPr="00BB3F00">
              <w:rPr>
                <w:szCs w:val="24"/>
              </w:rPr>
              <w:t xml:space="preserve"> those participants had reoffended. This had not taken place when </w:t>
            </w:r>
            <w:r w:rsidR="009F7109">
              <w:rPr>
                <w:szCs w:val="24"/>
              </w:rPr>
              <w:t>the</w:t>
            </w:r>
            <w:r w:rsidRPr="00BB3F00">
              <w:rPr>
                <w:szCs w:val="24"/>
              </w:rPr>
              <w:t xml:space="preserve"> request</w:t>
            </w:r>
            <w:r w:rsidR="009F7109">
              <w:rPr>
                <w:szCs w:val="24"/>
              </w:rPr>
              <w:t xml:space="preserve"> was made</w:t>
            </w:r>
            <w:r w:rsidRPr="00BB3F00">
              <w:rPr>
                <w:szCs w:val="24"/>
              </w:rPr>
              <w:t xml:space="preserve">.  </w:t>
            </w:r>
          </w:p>
          <w:p w14:paraId="44F1A15C" w14:textId="77777777" w:rsidR="009F7109" w:rsidRDefault="009F7109" w:rsidP="00460A99">
            <w:pPr>
              <w:pStyle w:val="Boxsmalltext"/>
              <w:widowControl w:val="0"/>
            </w:pPr>
            <w:hyperlink w:anchor="index374966" w:history="1">
              <w:r w:rsidRPr="008B6C81">
                <w:rPr>
                  <w:rStyle w:val="Hyperlink"/>
                </w:rPr>
                <w:t>Back to index</w:t>
              </w:r>
            </w:hyperlink>
            <w:r>
              <w:t>.</w:t>
            </w:r>
          </w:p>
          <w:p w14:paraId="04C82044" w14:textId="77777777" w:rsidR="00277FA8" w:rsidRPr="00137A07" w:rsidRDefault="00277FA8" w:rsidP="00460A99">
            <w:pPr>
              <w:pStyle w:val="Headingboxtextinbody"/>
              <w:keepNext w:val="0"/>
              <w:widowControl w:val="0"/>
              <w:rPr>
                <w:b w:val="0"/>
              </w:rPr>
            </w:pPr>
            <w:bookmarkStart w:id="81" w:name="case320115"/>
            <w:bookmarkEnd w:id="81"/>
            <w:r w:rsidRPr="00137A07">
              <w:rPr>
                <w:b w:val="0"/>
              </w:rPr>
              <w:t>Case 320115 (2014)—</w:t>
            </w:r>
            <w:r w:rsidR="005164C7">
              <w:rPr>
                <w:b w:val="0"/>
              </w:rPr>
              <w:t>I</w:t>
            </w:r>
            <w:r>
              <w:rPr>
                <w:b w:val="0"/>
              </w:rPr>
              <w:t>nformation about the Rugby World Cup</w:t>
            </w:r>
          </w:p>
          <w:p w14:paraId="0C8A7C04" w14:textId="77777777" w:rsidR="00277FA8" w:rsidRDefault="00277FA8" w:rsidP="00007CD6">
            <w:pPr>
              <w:pStyle w:val="Boxsmalltext"/>
            </w:pPr>
            <w:r w:rsidRPr="009F6463">
              <w:t xml:space="preserve">The Minister for the Rugby World Cup (RWC) refused to release information about the RWC on the basis that all the relevant documents would be publicly released when Auckland Council completed its review of the delivery of </w:t>
            </w:r>
            <w:r>
              <w:t>this event</w:t>
            </w:r>
            <w:r w:rsidRPr="009F6463">
              <w:t xml:space="preserve">. </w:t>
            </w:r>
            <w:r>
              <w:t>The requester complained to the Ombudsman.</w:t>
            </w:r>
          </w:p>
          <w:p w14:paraId="37C4587B" w14:textId="77777777" w:rsidR="00277FA8" w:rsidRPr="009F6463" w:rsidRDefault="00277FA8" w:rsidP="00460A99">
            <w:pPr>
              <w:pStyle w:val="BodyText"/>
              <w:widowControl w:val="0"/>
            </w:pPr>
            <w:r>
              <w:t xml:space="preserve">The </w:t>
            </w:r>
            <w:r w:rsidRPr="009F6463">
              <w:t xml:space="preserve">Ombudsman noted that </w:t>
            </w:r>
            <w:r>
              <w:rPr>
                <w:rStyle w:val="Quotationwithinthesentence"/>
              </w:rPr>
              <w:t>‘</w:t>
            </w:r>
            <w:r w:rsidRPr="009F6463">
              <w:rPr>
                <w:rStyle w:val="Quotationwithinthesentence"/>
              </w:rPr>
              <w:t>will soon be publicly available</w:t>
            </w:r>
            <w:r>
              <w:t>’</w:t>
            </w:r>
            <w:r w:rsidRPr="009F6463">
              <w:t xml:space="preserve"> imports an element of assurance that the information will </w:t>
            </w:r>
            <w:r>
              <w:t>in fact</w:t>
            </w:r>
            <w:r w:rsidRPr="009F6463">
              <w:t xml:space="preserve"> be released </w:t>
            </w:r>
            <w:proofErr w:type="gramStart"/>
            <w:r w:rsidRPr="009F6463">
              <w:t>in the near future</w:t>
            </w:r>
            <w:proofErr w:type="gramEnd"/>
            <w:r w:rsidRPr="009F6463">
              <w:t xml:space="preserve">. The Minister merely suggested that it was </w:t>
            </w:r>
            <w:r>
              <w:rPr>
                <w:rStyle w:val="Quotationwithinthesentence"/>
              </w:rPr>
              <w:t>‘</w:t>
            </w:r>
            <w:r w:rsidRPr="009F6463">
              <w:rPr>
                <w:rStyle w:val="Quotationwithinthesentence"/>
              </w:rPr>
              <w:t>anticipated</w:t>
            </w:r>
            <w:r>
              <w:rPr>
                <w:rStyle w:val="Quotationwithinthesentence"/>
              </w:rPr>
              <w:t xml:space="preserve">’ </w:t>
            </w:r>
            <w:r w:rsidRPr="009F6463">
              <w:t>that all relevant documents would be released when the Auckland Council’s review was complete</w:t>
            </w:r>
            <w:r>
              <w:t xml:space="preserve">. There was no certainty that the information would be released or when it would be released. </w:t>
            </w:r>
          </w:p>
          <w:p w14:paraId="028334EA" w14:textId="77777777" w:rsidR="00277FA8" w:rsidRDefault="00277FA8" w:rsidP="00460A99">
            <w:pPr>
              <w:pStyle w:val="Boxsmalltext"/>
              <w:widowControl w:val="0"/>
            </w:pPr>
            <w:r w:rsidRPr="009F6463">
              <w:t xml:space="preserve">The Ombudsman stated that, unless there was, at the time of the decision, a genuine commitment by the agency holding the information to publish it at </w:t>
            </w:r>
            <w:r w:rsidRPr="00277FA8">
              <w:rPr>
                <w:rStyle w:val="Emphasis"/>
                <w:b w:val="0"/>
              </w:rPr>
              <w:t xml:space="preserve">a reasonably certain point </w:t>
            </w:r>
            <w:proofErr w:type="gramStart"/>
            <w:r w:rsidRPr="00277FA8">
              <w:rPr>
                <w:rStyle w:val="Emphasis"/>
                <w:b w:val="0"/>
              </w:rPr>
              <w:t>in the near future</w:t>
            </w:r>
            <w:proofErr w:type="gramEnd"/>
            <w:r w:rsidRPr="009F6463">
              <w:t>, then the conditions for invoking section 18(d) had not been met. The Ombudsman noted that it was not an issue of how reasonable the Minister’s assumption was that such a decision would be taken. For reliance to be placed on s</w:t>
            </w:r>
            <w:r>
              <w:t>ection</w:t>
            </w:r>
            <w:r w:rsidRPr="009F6463">
              <w:t xml:space="preserve"> 18(d) some certainty must exist that the information </w:t>
            </w:r>
            <w:r w:rsidRPr="00277FA8">
              <w:rPr>
                <w:rStyle w:val="Emphasis"/>
                <w:b w:val="0"/>
              </w:rPr>
              <w:t xml:space="preserve">will </w:t>
            </w:r>
            <w:proofErr w:type="gramStart"/>
            <w:r w:rsidRPr="00277FA8">
              <w:rPr>
                <w:rStyle w:val="Emphasis"/>
                <w:b w:val="0"/>
              </w:rPr>
              <w:t>actually</w:t>
            </w:r>
            <w:r w:rsidRPr="009F6463">
              <w:t xml:space="preserve"> be</w:t>
            </w:r>
            <w:proofErr w:type="gramEnd"/>
            <w:r w:rsidRPr="009F6463">
              <w:t xml:space="preserve"> published. This did not appear to have been the case when the Minister replied to the requesters</w:t>
            </w:r>
            <w:r>
              <w:t xml:space="preserve"> in this case</w:t>
            </w:r>
            <w:r w:rsidRPr="009F6463">
              <w:t xml:space="preserve">. </w:t>
            </w:r>
          </w:p>
          <w:p w14:paraId="7E919A65" w14:textId="77777777" w:rsidR="00277FA8" w:rsidRDefault="00277FA8" w:rsidP="00460A99">
            <w:pPr>
              <w:pStyle w:val="Boxsmalltext"/>
              <w:widowControl w:val="0"/>
            </w:pPr>
            <w:r w:rsidRPr="009F6463">
              <w:t xml:space="preserve">Furthermore, by the time the Ombudsman formed a view on the complaint, </w:t>
            </w:r>
            <w:r>
              <w:t xml:space="preserve">although </w:t>
            </w:r>
            <w:r w:rsidRPr="009F6463">
              <w:t>the review</w:t>
            </w:r>
            <w:r>
              <w:t xml:space="preserve"> by the Council</w:t>
            </w:r>
            <w:r w:rsidRPr="009F6463">
              <w:t xml:space="preserve"> had been completed</w:t>
            </w:r>
            <w:r>
              <w:t xml:space="preserve">, there had still been no release of relevant information. </w:t>
            </w:r>
            <w:r w:rsidRPr="009F6463">
              <w:t>This confirmed the Ombudsman’s view that it was not appropriate to rely on section 18(d) to refuse the request.</w:t>
            </w:r>
          </w:p>
          <w:p w14:paraId="32DD0709" w14:textId="77777777" w:rsidR="00B77661" w:rsidRDefault="00B77661" w:rsidP="00460A99">
            <w:pPr>
              <w:pStyle w:val="Boxsmalltext"/>
              <w:widowControl w:val="0"/>
            </w:pPr>
            <w:hyperlink w:anchor="index320115" w:history="1">
              <w:r w:rsidRPr="008B6C81">
                <w:rPr>
                  <w:rStyle w:val="Hyperlink"/>
                </w:rPr>
                <w:t>Back to index</w:t>
              </w:r>
            </w:hyperlink>
            <w:r>
              <w:t>.</w:t>
            </w:r>
          </w:p>
          <w:p w14:paraId="6463B5DD" w14:textId="77777777" w:rsidR="00BD10C8" w:rsidRPr="00C6033F" w:rsidRDefault="00BD10C8" w:rsidP="00460A99">
            <w:pPr>
              <w:pStyle w:val="Headingboxtextinbody"/>
              <w:keepNext w:val="0"/>
              <w:widowControl w:val="0"/>
              <w:rPr>
                <w:b w:val="0"/>
              </w:rPr>
            </w:pPr>
            <w:bookmarkStart w:id="82" w:name="case353000"/>
            <w:bookmarkEnd w:id="82"/>
            <w:r w:rsidRPr="00C6033F">
              <w:rPr>
                <w:b w:val="0"/>
              </w:rPr>
              <w:t>Case 353000 (2013)—</w:t>
            </w:r>
            <w:r w:rsidR="00A85166">
              <w:rPr>
                <w:b w:val="0"/>
              </w:rPr>
              <w:t>G</w:t>
            </w:r>
            <w:r w:rsidRPr="00C6033F">
              <w:rPr>
                <w:b w:val="0"/>
              </w:rPr>
              <w:t>roups interested in setting up a charter school</w:t>
            </w:r>
          </w:p>
          <w:p w14:paraId="6044D811" w14:textId="77777777" w:rsidR="0061174D" w:rsidRDefault="002F7A08" w:rsidP="00460A99">
            <w:pPr>
              <w:pStyle w:val="Boxsmalltext"/>
              <w:widowControl w:val="0"/>
            </w:pPr>
            <w:r>
              <w:t xml:space="preserve">The </w:t>
            </w:r>
            <w:r w:rsidRPr="002F7A08">
              <w:t>New Zealand Educational Institute</w:t>
            </w:r>
            <w:r>
              <w:t xml:space="preserve"> </w:t>
            </w:r>
            <w:r w:rsidR="005F0023">
              <w:t xml:space="preserve">complained when the Ministry of Education refused its request for the names of groups interested in setting up a charter school on multiple grounds. </w:t>
            </w:r>
          </w:p>
          <w:p w14:paraId="4C21FCE3" w14:textId="77777777" w:rsidR="005F0023" w:rsidRDefault="005F0023" w:rsidP="00460A99">
            <w:pPr>
              <w:pStyle w:val="Boxsmalltext"/>
              <w:widowControl w:val="0"/>
            </w:pPr>
            <w:r>
              <w:t xml:space="preserve">The request of 20 February 2013 was refused on 14 March 2013. On 17 April 2013, the Ministry suggested that section 18(d) of the </w:t>
            </w:r>
            <w:proofErr w:type="spellStart"/>
            <w:r>
              <w:t>OIA</w:t>
            </w:r>
            <w:proofErr w:type="spellEnd"/>
            <w:r>
              <w:t xml:space="preserve"> might apply because it intended to </w:t>
            </w:r>
            <w:r w:rsidR="00BD10C8">
              <w:t>publish information about the selection of s</w:t>
            </w:r>
            <w:r>
              <w:t xml:space="preserve">ponsors </w:t>
            </w:r>
            <w:r w:rsidR="0061174D">
              <w:t>of</w:t>
            </w:r>
            <w:r>
              <w:t xml:space="preserve"> partnership schools.</w:t>
            </w:r>
          </w:p>
          <w:p w14:paraId="4EEF5BD8" w14:textId="77777777" w:rsidR="0061174D" w:rsidRDefault="005F0023" w:rsidP="00460A99">
            <w:pPr>
              <w:pStyle w:val="Boxsmalltext"/>
              <w:widowControl w:val="0"/>
            </w:pPr>
            <w:r>
              <w:t>The Ombudsman</w:t>
            </w:r>
            <w:r w:rsidR="00BD10C8">
              <w:t xml:space="preserve"> explained that to substantiate a claim for withholding under section 18(d), the Ministry would need to be reasonably specific about its intentions. </w:t>
            </w:r>
          </w:p>
          <w:p w14:paraId="4FA33CF8" w14:textId="77777777" w:rsidR="00BD10C8" w:rsidRDefault="0061174D" w:rsidP="00460A99">
            <w:pPr>
              <w:pStyle w:val="Boxsmalltext"/>
              <w:widowControl w:val="0"/>
            </w:pPr>
            <w:r>
              <w:t xml:space="preserve">The Ministry agreed to provide more detail about its publication intentions, and on 24 May 2013 advised the Ombudsman that it had always been its intention to release information once decisions had been taken. </w:t>
            </w:r>
          </w:p>
          <w:p w14:paraId="4466C538" w14:textId="77777777" w:rsidR="0061174D" w:rsidRDefault="0061174D" w:rsidP="00460A99">
            <w:pPr>
              <w:pStyle w:val="Boxsmalltext"/>
              <w:widowControl w:val="0"/>
            </w:pPr>
            <w:r>
              <w:t>The Ombudsman formed the provisional opinion that section 18(d) did not apply. On 18 June 2013, in response to the Chief Ombudsman, the Ministry advised that the passage of the Education Amendment Bill enabled it to be more definite about timeframes. The information would now be released on the Ministry’s website on 31 July 2013.</w:t>
            </w:r>
          </w:p>
          <w:p w14:paraId="35A8C7FE" w14:textId="77777777" w:rsidR="0061174D" w:rsidRDefault="0061174D" w:rsidP="00460A99">
            <w:pPr>
              <w:pStyle w:val="Boxsmalltext"/>
              <w:widowControl w:val="0"/>
              <w:spacing w:after="60"/>
            </w:pPr>
            <w:r>
              <w:t>The Ombudsman formed the final opinion that section 18(d) did not apply.</w:t>
            </w:r>
            <w:r w:rsidR="00566DD9">
              <w:t xml:space="preserve"> He acknowledged the intention to publish further information, and that the intended publication was, by then, imminent. However, the relevant issue was whether section 18(d) provided a reasonable ground for refusing the request on 14 March 2013.</w:t>
            </w:r>
            <w:r w:rsidR="00B87B6D">
              <w:t xml:space="preserve"> The Ombudsman stated:</w:t>
            </w:r>
          </w:p>
          <w:p w14:paraId="270D1C2A" w14:textId="77777777" w:rsidR="00BD10C8" w:rsidRDefault="00BD10C8" w:rsidP="00460A99">
            <w:pPr>
              <w:pStyle w:val="TableQuotationseparateparagraph"/>
              <w:widowControl w:val="0"/>
            </w:pPr>
            <w:r>
              <w:t xml:space="preserve">On 14 March 2013, when the Ministry refused the request from </w:t>
            </w:r>
            <w:proofErr w:type="spellStart"/>
            <w:r>
              <w:t>NZEI</w:t>
            </w:r>
            <w:proofErr w:type="spellEnd"/>
            <w:r>
              <w:t>, the 31 July 2013 date for publication was not in prospect, and there was no reasonably proximate date of proposed release. Section 18(d) should not be used to delay the release of information when publication is not imminent. To allow refusal in such cases would be to undermine the availability of official information to the public.</w:t>
            </w:r>
          </w:p>
          <w:p w14:paraId="3CFE3646" w14:textId="77777777" w:rsidR="009E54A2" w:rsidRDefault="009E54A2" w:rsidP="00460A99">
            <w:pPr>
              <w:pStyle w:val="Boxsmalltext"/>
              <w:widowControl w:val="0"/>
            </w:pPr>
            <w:r>
              <w:t xml:space="preserve">Release some </w:t>
            </w:r>
            <w:r w:rsidR="00A154E7">
              <w:t>19 weeks</w:t>
            </w:r>
            <w:r>
              <w:t xml:space="preserve"> after the request was refused was not considered to be </w:t>
            </w:r>
            <w:r w:rsidRPr="009E54A2">
              <w:rPr>
                <w:i/>
              </w:rPr>
              <w:t>‘soon’</w:t>
            </w:r>
            <w:r>
              <w:t xml:space="preserve"> in this case.</w:t>
            </w:r>
          </w:p>
          <w:p w14:paraId="7F74EC0D" w14:textId="77777777" w:rsidR="00B87B6D" w:rsidRDefault="00B87B6D" w:rsidP="00460A99">
            <w:pPr>
              <w:pStyle w:val="Boxsmalltext"/>
              <w:widowControl w:val="0"/>
            </w:pPr>
            <w:r>
              <w:t xml:space="preserve">Read the full opinion </w:t>
            </w:r>
            <w:hyperlink r:id="rId21" w:history="1">
              <w:r w:rsidRPr="00250527">
                <w:rPr>
                  <w:rStyle w:val="Hyperlink"/>
                </w:rPr>
                <w:t>here</w:t>
              </w:r>
            </w:hyperlink>
            <w:r>
              <w:t>.</w:t>
            </w:r>
          </w:p>
          <w:p w14:paraId="439099A5" w14:textId="77777777" w:rsidR="00B87B6D" w:rsidRDefault="00B87B6D" w:rsidP="00460A99">
            <w:pPr>
              <w:pStyle w:val="Boxsmalltext"/>
              <w:widowControl w:val="0"/>
            </w:pPr>
            <w:hyperlink w:anchor="index353000" w:history="1">
              <w:r w:rsidRPr="008B6C81">
                <w:rPr>
                  <w:rStyle w:val="Hyperlink"/>
                </w:rPr>
                <w:t>Back to index</w:t>
              </w:r>
            </w:hyperlink>
            <w:r>
              <w:t>.</w:t>
            </w:r>
          </w:p>
          <w:p w14:paraId="1D633093" w14:textId="77777777" w:rsidR="004F25D5" w:rsidRPr="004F25D5" w:rsidRDefault="004F25D5" w:rsidP="00460A99">
            <w:pPr>
              <w:pStyle w:val="Headingboxtextinbody"/>
              <w:keepNext w:val="0"/>
              <w:widowControl w:val="0"/>
              <w:rPr>
                <w:b w:val="0"/>
              </w:rPr>
            </w:pPr>
            <w:bookmarkStart w:id="83" w:name="case307769"/>
            <w:bookmarkEnd w:id="83"/>
            <w:r w:rsidRPr="004F25D5">
              <w:rPr>
                <w:b w:val="0"/>
              </w:rPr>
              <w:t>Case 307769 (2012)—</w:t>
            </w:r>
            <w:r>
              <w:rPr>
                <w:b w:val="0"/>
              </w:rPr>
              <w:t>Operational protocols and governance arrangements for the</w:t>
            </w:r>
            <w:r w:rsidRPr="004F25D5">
              <w:rPr>
                <w:b w:val="0"/>
              </w:rPr>
              <w:t xml:space="preserve"> retention of </w:t>
            </w:r>
            <w:proofErr w:type="gramStart"/>
            <w:r w:rsidRPr="004F25D5">
              <w:rPr>
                <w:b w:val="0"/>
              </w:rPr>
              <w:t>new born</w:t>
            </w:r>
            <w:proofErr w:type="gramEnd"/>
            <w:r w:rsidRPr="004F25D5">
              <w:rPr>
                <w:b w:val="0"/>
              </w:rPr>
              <w:t xml:space="preserve"> blood spot cards</w:t>
            </w:r>
            <w:r>
              <w:rPr>
                <w:b w:val="0"/>
              </w:rPr>
              <w:t xml:space="preserve"> (‘Guthrie’ cards)</w:t>
            </w:r>
          </w:p>
          <w:p w14:paraId="014B44E2" w14:textId="77777777" w:rsidR="00124C40" w:rsidRDefault="004F25D5" w:rsidP="00460A99">
            <w:pPr>
              <w:pStyle w:val="Boxsmalltext"/>
              <w:widowControl w:val="0"/>
            </w:pPr>
            <w:r>
              <w:t xml:space="preserve">On 31 March 2011, a media requester asked the Ministry of Health </w:t>
            </w:r>
            <w:proofErr w:type="gramStart"/>
            <w:r w:rsidR="00EE1867">
              <w:t>a number of</w:t>
            </w:r>
            <w:proofErr w:type="gramEnd"/>
            <w:r w:rsidR="00EE1867">
              <w:t xml:space="preserve"> questions about the</w:t>
            </w:r>
            <w:r>
              <w:t xml:space="preserve"> retention of Guthrie cards. The Ministry advised that it was </w:t>
            </w:r>
            <w:r w:rsidRPr="004F25D5">
              <w:rPr>
                <w:i/>
              </w:rPr>
              <w:t xml:space="preserve">‘developing the operational protocols and governance arrangements for the Guthrie </w:t>
            </w:r>
            <w:proofErr w:type="gramStart"/>
            <w:r w:rsidRPr="004F25D5">
              <w:rPr>
                <w:i/>
              </w:rPr>
              <w:t>cards’</w:t>
            </w:r>
            <w:proofErr w:type="gramEnd"/>
            <w:r>
              <w:t xml:space="preserve">. </w:t>
            </w:r>
          </w:p>
          <w:p w14:paraId="3F9E3E89" w14:textId="77777777" w:rsidR="009F7B06" w:rsidRDefault="004F25D5" w:rsidP="00460A99">
            <w:pPr>
              <w:pStyle w:val="Boxsmalltext"/>
              <w:widowControl w:val="0"/>
            </w:pPr>
            <w:r>
              <w:t>The requester then sought</w:t>
            </w:r>
            <w:r w:rsidRPr="004F25D5">
              <w:rPr>
                <w:i/>
              </w:rPr>
              <w:t xml:space="preserve"> ‘a copy of the most recent documents on this’</w:t>
            </w:r>
            <w:r>
              <w:t>. The Ministry replied</w:t>
            </w:r>
            <w:r w:rsidR="00EE1867">
              <w:t xml:space="preserve">, </w:t>
            </w:r>
            <w:r w:rsidR="002E6A33">
              <w:t>also on 31 March 2011</w:t>
            </w:r>
            <w:r w:rsidR="00EE1867">
              <w:t>,</w:t>
            </w:r>
            <w:r>
              <w:t xml:space="preserve"> that </w:t>
            </w:r>
            <w:r w:rsidRPr="00EE1867">
              <w:rPr>
                <w:i/>
              </w:rPr>
              <w:t xml:space="preserve">‘the protocols will be reported back to the government </w:t>
            </w:r>
            <w:r w:rsidR="00EE1867" w:rsidRPr="00EE1867">
              <w:rPr>
                <w:i/>
              </w:rPr>
              <w:t xml:space="preserve">by the end of </w:t>
            </w:r>
            <w:proofErr w:type="gramStart"/>
            <w:r w:rsidR="00EE1867" w:rsidRPr="00EE1867">
              <w:rPr>
                <w:i/>
              </w:rPr>
              <w:t>April, and</w:t>
            </w:r>
            <w:proofErr w:type="gramEnd"/>
            <w:r w:rsidR="00EE1867" w:rsidRPr="00EE1867">
              <w:rPr>
                <w:i/>
              </w:rPr>
              <w:t xml:space="preserve"> will be released in due course’</w:t>
            </w:r>
            <w:r w:rsidR="00EE1867">
              <w:t xml:space="preserve">. </w:t>
            </w:r>
          </w:p>
          <w:p w14:paraId="34D1DC99" w14:textId="77777777" w:rsidR="00124C40" w:rsidRDefault="00EE1867" w:rsidP="00460A99">
            <w:pPr>
              <w:pStyle w:val="Boxsmalltext"/>
              <w:widowControl w:val="0"/>
            </w:pPr>
            <w:r>
              <w:t xml:space="preserve">The requester sought the </w:t>
            </w:r>
            <w:proofErr w:type="spellStart"/>
            <w:r>
              <w:t>OIA</w:t>
            </w:r>
            <w:proofErr w:type="spellEnd"/>
            <w:r>
              <w:t xml:space="preserve"> grounds for refusing her request. The Ministry responded that it would now treat her correspondence as an </w:t>
            </w:r>
            <w:proofErr w:type="spellStart"/>
            <w:r>
              <w:t>OIA</w:t>
            </w:r>
            <w:proofErr w:type="spellEnd"/>
            <w:r>
              <w:t xml:space="preserve"> request, and she would be advised of the Ministry’s decision on that request in due course. </w:t>
            </w:r>
          </w:p>
          <w:p w14:paraId="72089BD1" w14:textId="77777777" w:rsidR="004F25D5" w:rsidRDefault="00EE1867" w:rsidP="00460A99">
            <w:pPr>
              <w:pStyle w:val="Boxsmalltext"/>
              <w:widowControl w:val="0"/>
            </w:pPr>
            <w:r>
              <w:t>The requester complained to the Ombudsman about the Ministry’</w:t>
            </w:r>
            <w:r w:rsidR="009F7B06">
              <w:t>s refusal. The Minister of Health subsequently confirmed the decision to withhold the requested information under sections 9(</w:t>
            </w:r>
            <w:proofErr w:type="gramStart"/>
            <w:r w:rsidR="009F7B06">
              <w:t>2)(</w:t>
            </w:r>
            <w:proofErr w:type="spellStart"/>
            <w:proofErr w:type="gramEnd"/>
            <w:r w:rsidR="009F7B06">
              <w:t>ba</w:t>
            </w:r>
            <w:proofErr w:type="spellEnd"/>
            <w:r w:rsidR="009F7B06">
              <w:t>)(</w:t>
            </w:r>
            <w:proofErr w:type="spellStart"/>
            <w:r w:rsidR="009F7B06">
              <w:t>i</w:t>
            </w:r>
            <w:proofErr w:type="spellEnd"/>
            <w:r w:rsidR="009F7B06">
              <w:t>), 9(2)(f)(iv) and 9(2)(g)(</w:t>
            </w:r>
            <w:proofErr w:type="spellStart"/>
            <w:r w:rsidR="009F7B06">
              <w:t>i</w:t>
            </w:r>
            <w:proofErr w:type="spellEnd"/>
            <w:r w:rsidR="009F7B06">
              <w:t xml:space="preserve">) of the </w:t>
            </w:r>
            <w:proofErr w:type="spellStart"/>
            <w:r w:rsidR="009F7B06">
              <w:t>OIA</w:t>
            </w:r>
            <w:proofErr w:type="spellEnd"/>
            <w:r w:rsidR="009F7B06">
              <w:t>.</w:t>
            </w:r>
          </w:p>
          <w:p w14:paraId="4F4E90A5" w14:textId="77777777" w:rsidR="00124C40" w:rsidRDefault="00E7370F" w:rsidP="00460A99">
            <w:pPr>
              <w:pStyle w:val="Boxsmalltext"/>
              <w:widowControl w:val="0"/>
            </w:pPr>
            <w:r>
              <w:t>In addition to considering these substantive withholding grounds, t</w:t>
            </w:r>
            <w:r w:rsidR="009F7B06">
              <w:t xml:space="preserve">he Ombudsman noted </w:t>
            </w:r>
            <w:r>
              <w:t xml:space="preserve">that the Ministry’s response that </w:t>
            </w:r>
            <w:r w:rsidRPr="00124C40">
              <w:rPr>
                <w:i/>
              </w:rPr>
              <w:t>‘the protocols … will be released in due course’</w:t>
            </w:r>
            <w:r>
              <w:t xml:space="preserve"> appeared to be a</w:t>
            </w:r>
            <w:r w:rsidR="009F7B06">
              <w:t xml:space="preserve"> refusal to supply the requested documents on the basis that they would soon be publicly available. </w:t>
            </w:r>
          </w:p>
          <w:p w14:paraId="140FDD31" w14:textId="77777777" w:rsidR="00124C40" w:rsidRDefault="009F7B06" w:rsidP="00460A99">
            <w:pPr>
              <w:pStyle w:val="Boxsmalltext"/>
              <w:widowControl w:val="0"/>
            </w:pPr>
            <w:r>
              <w:t xml:space="preserve">The requested documents comprised a draft policy framework that had been the subject of targeted public consultation, and submissions received in response to that draft policy framework. The Ombudsman noted that in the intervening period some final policy documents and a summary of the submissions had been published. However, this was not the information requested. </w:t>
            </w:r>
          </w:p>
          <w:p w14:paraId="3FA54CB6" w14:textId="77777777" w:rsidR="009F7B06" w:rsidRDefault="009F7B06" w:rsidP="00460A99">
            <w:pPr>
              <w:pStyle w:val="Boxsmalltext"/>
              <w:widowControl w:val="0"/>
            </w:pPr>
            <w:r>
              <w:t>There never appeared to be any intention to publish the requested documents, and while they had since been disclosed to the requester, they had still not been made publicly available.</w:t>
            </w:r>
            <w:r w:rsidR="00124C40">
              <w:t xml:space="preserve"> </w:t>
            </w:r>
            <w:r>
              <w:t>The Ombudsman commented:</w:t>
            </w:r>
          </w:p>
          <w:p w14:paraId="437CA687" w14:textId="77777777" w:rsidR="009F7B06" w:rsidRDefault="009F7B06" w:rsidP="00460A99">
            <w:pPr>
              <w:pStyle w:val="TableQuotationseparateparagraph"/>
              <w:widowControl w:val="0"/>
            </w:pPr>
            <w:r>
              <w:t>‘</w:t>
            </w:r>
            <w:r w:rsidRPr="009F7B06">
              <w:t>Will soon be publicly available</w:t>
            </w:r>
            <w:r>
              <w:t>’</w:t>
            </w:r>
            <w:r w:rsidRPr="009F7B06">
              <w:t xml:space="preserve"> seems to me to import an element of assurance that the information requested will indeed be released </w:t>
            </w:r>
            <w:proofErr w:type="gramStart"/>
            <w:r w:rsidRPr="009F7B06">
              <w:t>in the near future</w:t>
            </w:r>
            <w:proofErr w:type="gramEnd"/>
            <w:r w:rsidRPr="009F7B06">
              <w:t>.  This implies that, at the time of the response, a decision has been made to make the information requested publicly available.  This does not appear to have been the case.  This is confirmed by the fact that in the intervening months the information requested has not become publicly available.  I consider that section 18(d) was not an applicable reason to refuse the request.</w:t>
            </w:r>
          </w:p>
          <w:p w14:paraId="200D5CAA" w14:textId="77777777" w:rsidR="00B77E1F" w:rsidRDefault="00B77E1F" w:rsidP="00460A99">
            <w:pPr>
              <w:pStyle w:val="Boxsmalltext"/>
              <w:widowControl w:val="0"/>
            </w:pPr>
            <w:r>
              <w:t xml:space="preserve">This case illustrates that it must be the actual information requested that is to be made publicly available, not other information, even if it is related, or the </w:t>
            </w:r>
            <w:r w:rsidR="000A075E">
              <w:t>final version of the information.</w:t>
            </w:r>
          </w:p>
          <w:p w14:paraId="3BA8B482" w14:textId="77777777" w:rsidR="008A286E" w:rsidRDefault="008A286E" w:rsidP="00460A99">
            <w:pPr>
              <w:pStyle w:val="Boxsmalltext"/>
              <w:widowControl w:val="0"/>
            </w:pPr>
            <w:hyperlink w:anchor="index307769" w:history="1">
              <w:r w:rsidRPr="008B6C81">
                <w:rPr>
                  <w:rStyle w:val="Hyperlink"/>
                </w:rPr>
                <w:t>Back to index</w:t>
              </w:r>
            </w:hyperlink>
            <w:r>
              <w:t>.</w:t>
            </w:r>
          </w:p>
          <w:p w14:paraId="5221B565" w14:textId="77777777" w:rsidR="00DD2A2D" w:rsidRPr="00DD2A2D" w:rsidRDefault="0043648F" w:rsidP="00460A99">
            <w:pPr>
              <w:pStyle w:val="Headingboxtextinbody"/>
              <w:keepNext w:val="0"/>
              <w:widowControl w:val="0"/>
              <w:rPr>
                <w:b w:val="0"/>
              </w:rPr>
            </w:pPr>
            <w:bookmarkStart w:id="84" w:name="case176212"/>
            <w:bookmarkEnd w:id="84"/>
            <w:r>
              <w:rPr>
                <w:b w:val="0"/>
              </w:rPr>
              <w:t xml:space="preserve">Case </w:t>
            </w:r>
            <w:r w:rsidR="00DD2A2D" w:rsidRPr="00DD2A2D">
              <w:rPr>
                <w:b w:val="0"/>
              </w:rPr>
              <w:t>176212 (2007)—Report on de-merging traffic enforcement function from Police</w:t>
            </w:r>
          </w:p>
          <w:p w14:paraId="7238B92F" w14:textId="77777777" w:rsidR="006C29CD" w:rsidRDefault="00DD2A2D" w:rsidP="00460A99">
            <w:pPr>
              <w:pStyle w:val="Boxsmalltext"/>
              <w:widowControl w:val="0"/>
            </w:pPr>
            <w:r>
              <w:t xml:space="preserve">The State Services Minister refused a request for a copy of a report on de-merging the traffic enforcement function from the New Zealand Police </w:t>
            </w:r>
            <w:r w:rsidR="006C29CD">
              <w:t>because it would soon be publicly available</w:t>
            </w:r>
            <w:r>
              <w:t xml:space="preserve">. The requester complained to the Ombudsman. </w:t>
            </w:r>
          </w:p>
          <w:p w14:paraId="05252395" w14:textId="77777777" w:rsidR="006C29CD" w:rsidRDefault="00DD2A2D" w:rsidP="00460A99">
            <w:pPr>
              <w:pStyle w:val="Boxsmalltext"/>
              <w:widowControl w:val="0"/>
            </w:pPr>
            <w:r>
              <w:t xml:space="preserve">The Chief Ombudsman made informal enquiries with the Minister’s </w:t>
            </w:r>
            <w:proofErr w:type="gramStart"/>
            <w:r>
              <w:t>office, and</w:t>
            </w:r>
            <w:proofErr w:type="gramEnd"/>
            <w:r>
              <w:t xml:space="preserve"> learned that the report was the subject of a draft Cabinet paper currently under consultation with a coalition party</w:t>
            </w:r>
            <w:r w:rsidR="00971F77">
              <w:t xml:space="preserve"> (New Zealand First)</w:t>
            </w:r>
            <w:r>
              <w:t xml:space="preserve">, after which it would be submitted to Cabinet. </w:t>
            </w:r>
          </w:p>
          <w:p w14:paraId="7CD2C6FE" w14:textId="77777777" w:rsidR="00DD2A2D" w:rsidRDefault="00DD2A2D" w:rsidP="00460A99">
            <w:pPr>
              <w:pStyle w:val="Boxsmalltext"/>
              <w:widowControl w:val="0"/>
            </w:pPr>
            <w:r>
              <w:t xml:space="preserve">The Chief Ombudsman wrote to the Minister, explaining how section 18(d) applied, and observing that in this case </w:t>
            </w:r>
            <w:proofErr w:type="spellStart"/>
            <w:r w:rsidRPr="006C29CD">
              <w:rPr>
                <w:i/>
              </w:rPr>
              <w:t>‘it</w:t>
            </w:r>
            <w:proofErr w:type="spellEnd"/>
            <w:r w:rsidRPr="006C29CD">
              <w:rPr>
                <w:i/>
              </w:rPr>
              <w:t xml:space="preserve"> would appear that there is no certainty about when the information will become publicly available’</w:t>
            </w:r>
            <w:r>
              <w:t xml:space="preserve">. </w:t>
            </w:r>
            <w:r w:rsidR="006C29CD">
              <w:t xml:space="preserve">He sought a copy of the report and an explanation of the Minister’s decision to refuse the request. </w:t>
            </w:r>
          </w:p>
          <w:p w14:paraId="3D29037F" w14:textId="77777777" w:rsidR="00504CCD" w:rsidRDefault="00504CCD" w:rsidP="00460A99">
            <w:pPr>
              <w:pStyle w:val="Boxsmalltext"/>
              <w:widowControl w:val="0"/>
            </w:pPr>
            <w:r>
              <w:t xml:space="preserve">In reply, the Minister advised that the report was now able to be released. She explained that </w:t>
            </w:r>
            <w:r w:rsidR="003E5630">
              <w:t xml:space="preserve">the </w:t>
            </w:r>
            <w:r w:rsidR="00971F77">
              <w:t xml:space="preserve">report was part of the Confidence and Supply Agreement between Labour and New Zealand First, and because of this special relationship she was required to consult New Zealand </w:t>
            </w:r>
            <w:r w:rsidR="00FF1776">
              <w:t xml:space="preserve">First </w:t>
            </w:r>
            <w:r w:rsidR="00971F77">
              <w:t xml:space="preserve">on its recommendations. At the time of the request, she was unable to provide any estimate as to when this consultation would be complete, or when the Cabinet paper would go </w:t>
            </w:r>
            <w:r w:rsidR="00A506AA">
              <w:t>to</w:t>
            </w:r>
            <w:r w:rsidR="00971F77">
              <w:t xml:space="preserve"> Cabinet for approval. </w:t>
            </w:r>
          </w:p>
          <w:p w14:paraId="6977F77A" w14:textId="77777777" w:rsidR="00A506AA" w:rsidRDefault="00971F77" w:rsidP="00460A99">
            <w:pPr>
              <w:pStyle w:val="Boxsmalltext"/>
              <w:widowControl w:val="0"/>
            </w:pPr>
            <w:r>
              <w:t>The complaint was resolved by release of the report, but the Chief Ombudsman wrote to the Minister noting that her</w:t>
            </w:r>
            <w:r w:rsidRPr="00971F77">
              <w:t xml:space="preserve"> concern about the release of this document related more to section 9(2)(f)(iv) of the </w:t>
            </w:r>
            <w:proofErr w:type="spellStart"/>
            <w:r w:rsidR="00A85371">
              <w:t>OIA</w:t>
            </w:r>
            <w:proofErr w:type="spellEnd"/>
            <w:r w:rsidR="00A85371">
              <w:t xml:space="preserve"> </w:t>
            </w:r>
            <w:r w:rsidRPr="00971F77">
              <w:t xml:space="preserve">than it did to section 18(d). </w:t>
            </w:r>
            <w:r w:rsidR="00A85371">
              <w:t xml:space="preserve">That section can provide temporary protection of confidential advice to Government if release would prejudice </w:t>
            </w:r>
            <w:r w:rsidRPr="00971F77">
              <w:t>the ability of Coalition partners and support parties to conduct negotiations</w:t>
            </w:r>
            <w:r w:rsidR="00A506AA">
              <w:t xml:space="preserve"> (see our guide </w:t>
            </w:r>
            <w:hyperlink r:id="rId22" w:history="1">
              <w:r w:rsidR="00A506AA" w:rsidRPr="00C24528">
                <w:rPr>
                  <w:rStyle w:val="Hyperlink"/>
                  <w:i/>
                </w:rPr>
                <w:t>Confidential advice to Government</w:t>
              </w:r>
            </w:hyperlink>
            <w:r w:rsidR="00A506AA">
              <w:rPr>
                <w:i/>
              </w:rPr>
              <w:t>)</w:t>
            </w:r>
            <w:r w:rsidRPr="00971F77">
              <w:t>.</w:t>
            </w:r>
            <w:r w:rsidR="00711881">
              <w:t xml:space="preserve"> </w:t>
            </w:r>
          </w:p>
          <w:p w14:paraId="3A5DE314" w14:textId="77777777" w:rsidR="00971F77" w:rsidRDefault="00711881" w:rsidP="00460A99">
            <w:pPr>
              <w:pStyle w:val="Boxsmalltext"/>
              <w:widowControl w:val="0"/>
            </w:pPr>
            <w:r>
              <w:t xml:space="preserve">This case illustrates that section 18(d) </w:t>
            </w:r>
            <w:r w:rsidR="00A506AA">
              <w:t>cannot</w:t>
            </w:r>
            <w:r>
              <w:t xml:space="preserve"> be relied upon where there is no certainty as to when </w:t>
            </w:r>
            <w:r w:rsidR="00A506AA">
              <w:t>the</w:t>
            </w:r>
            <w:r>
              <w:t xml:space="preserve"> information will be released, </w:t>
            </w:r>
            <w:proofErr w:type="gramStart"/>
            <w:r>
              <w:t>and</w:t>
            </w:r>
            <w:r w:rsidR="00A506AA">
              <w:t xml:space="preserve"> also</w:t>
            </w:r>
            <w:proofErr w:type="gramEnd"/>
            <w:r w:rsidR="00A506AA">
              <w:t xml:space="preserve"> that substantive reasons for withholding official information should be considered where appropriate. </w:t>
            </w:r>
          </w:p>
          <w:p w14:paraId="3EDD555A" w14:textId="77777777" w:rsidR="00645DF3" w:rsidRPr="00853BCA" w:rsidRDefault="00711881" w:rsidP="00D06CB2">
            <w:pPr>
              <w:pStyle w:val="Boxsmalltext"/>
              <w:widowControl w:val="0"/>
            </w:pPr>
            <w:hyperlink w:anchor="index176212" w:history="1">
              <w:r w:rsidRPr="008B6C81">
                <w:rPr>
                  <w:rStyle w:val="Hyperlink"/>
                </w:rPr>
                <w:t>Back to index</w:t>
              </w:r>
            </w:hyperlink>
            <w:r>
              <w:t>.</w:t>
            </w:r>
            <w:bookmarkStart w:id="85" w:name="casew42042"/>
            <w:bookmarkEnd w:id="85"/>
          </w:p>
        </w:tc>
      </w:tr>
    </w:tbl>
    <w:p w14:paraId="0822556C" w14:textId="77777777" w:rsidR="00CA660F" w:rsidRDefault="00CA660F" w:rsidP="00CA660F">
      <w:pPr>
        <w:pStyle w:val="Whitespace"/>
      </w:pPr>
    </w:p>
    <w:p w14:paraId="2833D253" w14:textId="77777777" w:rsidR="00CA660F" w:rsidRDefault="00CA660F" w:rsidP="00CA660F">
      <w:pPr>
        <w:pStyle w:val="BodyText"/>
      </w:pPr>
    </w:p>
    <w:sectPr w:rsidR="00CA660F" w:rsidSect="00FA5B4B">
      <w:headerReference w:type="default" r:id="rId23"/>
      <w:footerReference w:type="default" r:id="rId24"/>
      <w:headerReference w:type="first" r:id="rId25"/>
      <w:footerReference w:type="first" r:id="rId26"/>
      <w:endnotePr>
        <w:numFmt w:val="decimal"/>
      </w:endnotePr>
      <w:type w:val="continuous"/>
      <w:pgSz w:w="11906" w:h="16838" w:code="9"/>
      <w:pgMar w:top="1701" w:right="1304" w:bottom="1701" w:left="130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00AF3" w14:textId="77777777" w:rsidR="007B7458" w:rsidRPr="00D45126" w:rsidRDefault="007B7458" w:rsidP="00554FCD">
      <w:pPr>
        <w:spacing w:after="0" w:line="240" w:lineRule="auto"/>
        <w:rPr>
          <w:color w:val="4D4D4D"/>
        </w:rPr>
      </w:pPr>
      <w:r w:rsidRPr="00D45126">
        <w:rPr>
          <w:color w:val="4D4D4D"/>
        </w:rPr>
        <w:separator/>
      </w:r>
    </w:p>
  </w:endnote>
  <w:endnote w:type="continuationSeparator" w:id="0">
    <w:p w14:paraId="0B6DE19F" w14:textId="77777777" w:rsidR="007B7458" w:rsidRPr="00D45126" w:rsidRDefault="007B7458" w:rsidP="00554FCD">
      <w:pPr>
        <w:spacing w:after="0" w:line="240" w:lineRule="auto"/>
        <w:rPr>
          <w:color w:val="4D4D4D"/>
        </w:rPr>
      </w:pPr>
      <w:r w:rsidRPr="00D45126">
        <w:rPr>
          <w:color w:val="4D4D4D"/>
        </w:rPr>
        <w:continuationSeparator/>
      </w:r>
    </w:p>
  </w:endnote>
  <w:endnote w:type="continuationNotice" w:id="1">
    <w:p w14:paraId="5B5A433C" w14:textId="77777777" w:rsidR="007B7458" w:rsidRDefault="007B74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3BFEC" w14:textId="77777777" w:rsidR="00487EB6" w:rsidRPr="0059155D" w:rsidRDefault="00487EB6" w:rsidP="00B81F45">
    <w:pPr>
      <w:pStyle w:val="Footerline"/>
    </w:pPr>
  </w:p>
  <w:p w14:paraId="31E68F2F" w14:textId="77777777" w:rsidR="00487EB6" w:rsidRPr="0059155D" w:rsidRDefault="00487EB6" w:rsidP="00B81F45">
    <w:pPr>
      <w:pStyle w:val="Footerline"/>
    </w:pPr>
  </w:p>
  <w:p w14:paraId="750FDEBB" w14:textId="513F9188" w:rsidR="00487EB6" w:rsidRPr="005533D8" w:rsidRDefault="00487EB6" w:rsidP="00B81F45">
    <w:pPr>
      <w:pStyle w:val="Footer"/>
    </w:pPr>
    <w:r>
      <w:fldChar w:fldCharType="begin"/>
    </w:r>
    <w:r>
      <w:instrText xml:space="preserve"> DOCVARIABLE  dvShortText </w:instrText>
    </w:r>
    <w:r>
      <w:fldChar w:fldCharType="separate"/>
    </w:r>
    <w:r w:rsidR="00535273">
      <w:t>Guide: Publicly available information August 2019 |</w:t>
    </w:r>
    <w:r>
      <w:fldChar w:fldCharType="end"/>
    </w:r>
    <w:r>
      <w:t xml:space="preserve"> Page </w:t>
    </w:r>
    <w:r w:rsidRPr="00A32286">
      <w:rPr>
        <w:rStyle w:val="PageNumber"/>
      </w:rPr>
      <w:fldChar w:fldCharType="begin"/>
    </w:r>
    <w:r w:rsidRPr="00A32286">
      <w:rPr>
        <w:rStyle w:val="PageNumber"/>
      </w:rPr>
      <w:instrText xml:space="preserve"> PAGE   \* MERGEFORMAT </w:instrText>
    </w:r>
    <w:r w:rsidRPr="00A32286">
      <w:rPr>
        <w:rStyle w:val="PageNumber"/>
      </w:rPr>
      <w:fldChar w:fldCharType="separate"/>
    </w:r>
    <w:r w:rsidR="00D26BDB">
      <w:rPr>
        <w:rStyle w:val="PageNumber"/>
        <w:noProof/>
      </w:rPr>
      <w:t>4</w:t>
    </w:r>
    <w:r w:rsidRPr="00A32286">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89314" w14:textId="77777777" w:rsidR="00487EB6" w:rsidRPr="0059155D" w:rsidRDefault="00487EB6" w:rsidP="00AA3322">
    <w:pPr>
      <w:pStyle w:val="Footerline"/>
    </w:pPr>
  </w:p>
  <w:p w14:paraId="388F3338" w14:textId="77777777" w:rsidR="00487EB6" w:rsidRPr="0059155D" w:rsidRDefault="00487EB6" w:rsidP="00AA3322">
    <w:pPr>
      <w:pStyle w:val="Footerline"/>
    </w:pPr>
  </w:p>
  <w:p w14:paraId="68ACB3B9" w14:textId="06AAD426" w:rsidR="00487EB6" w:rsidRPr="005533D8" w:rsidRDefault="00487EB6" w:rsidP="00AA3322">
    <w:pPr>
      <w:pStyle w:val="Footer"/>
    </w:pPr>
    <w:r>
      <w:fldChar w:fldCharType="begin"/>
    </w:r>
    <w:r>
      <w:instrText xml:space="preserve"> DOCVARIABLE  dvShortText </w:instrText>
    </w:r>
    <w:r>
      <w:fldChar w:fldCharType="separate"/>
    </w:r>
    <w:r w:rsidR="00535273">
      <w:t>Guide: Publicly available information August 2019 |</w:t>
    </w:r>
    <w:r>
      <w:fldChar w:fldCharType="end"/>
    </w:r>
    <w:r>
      <w:t xml:space="preserve"> Page </w:t>
    </w:r>
    <w:r w:rsidRPr="00A32286">
      <w:rPr>
        <w:rStyle w:val="PageNumber"/>
      </w:rPr>
      <w:fldChar w:fldCharType="begin"/>
    </w:r>
    <w:r w:rsidRPr="00A32286">
      <w:rPr>
        <w:rStyle w:val="PageNumber"/>
      </w:rPr>
      <w:instrText xml:space="preserve"> PAGE   \* MERGEFORMAT </w:instrText>
    </w:r>
    <w:r w:rsidRPr="00A32286">
      <w:rPr>
        <w:rStyle w:val="PageNumber"/>
      </w:rPr>
      <w:fldChar w:fldCharType="separate"/>
    </w:r>
    <w:r w:rsidR="00D26BDB">
      <w:rPr>
        <w:rStyle w:val="PageNumber"/>
        <w:noProof/>
      </w:rPr>
      <w:t>1</w:t>
    </w:r>
    <w:r w:rsidRPr="00A322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9CE0A" w14:textId="77777777" w:rsidR="007B7458" w:rsidRPr="00D45126" w:rsidRDefault="007B7458" w:rsidP="00257DA0">
      <w:pPr>
        <w:spacing w:after="0" w:line="240" w:lineRule="auto"/>
        <w:rPr>
          <w:color w:val="4D4D4D"/>
        </w:rPr>
      </w:pPr>
      <w:r w:rsidRPr="00D45126">
        <w:rPr>
          <w:color w:val="4D4D4D"/>
        </w:rPr>
        <w:separator/>
      </w:r>
    </w:p>
  </w:footnote>
  <w:footnote w:type="continuationSeparator" w:id="0">
    <w:p w14:paraId="16E83C6E" w14:textId="77777777" w:rsidR="007B7458" w:rsidRPr="00C14083" w:rsidRDefault="007B7458" w:rsidP="00554FCD">
      <w:pPr>
        <w:spacing w:after="0" w:line="240" w:lineRule="auto"/>
        <w:rPr>
          <w:color w:val="4D4D4D"/>
        </w:rPr>
      </w:pPr>
      <w:r w:rsidRPr="00C14083">
        <w:rPr>
          <w:color w:val="4D4D4D"/>
        </w:rPr>
        <w:continuationSeparator/>
      </w:r>
    </w:p>
  </w:footnote>
  <w:footnote w:type="continuationNotice" w:id="1">
    <w:p w14:paraId="02375C9E" w14:textId="77777777" w:rsidR="007B7458" w:rsidRDefault="007B7458">
      <w:pPr>
        <w:spacing w:after="0" w:line="240" w:lineRule="auto"/>
      </w:pPr>
    </w:p>
  </w:footnote>
  <w:footnote w:id="2">
    <w:p w14:paraId="35FC2051" w14:textId="77777777" w:rsidR="00487EB6" w:rsidRDefault="00487EB6" w:rsidP="00DF2BAD">
      <w:pPr>
        <w:pStyle w:val="FootnoteText"/>
      </w:pPr>
      <w:r>
        <w:rPr>
          <w:rStyle w:val="FootnoteReference"/>
        </w:rPr>
        <w:footnoteRef/>
      </w:r>
      <w:r>
        <w:t xml:space="preserve"> </w:t>
      </w:r>
      <w:r>
        <w:tab/>
      </w:r>
      <w:r w:rsidRPr="00FC1C04">
        <w:t>References to section 18(</w:t>
      </w:r>
      <w:r>
        <w:t>d</w:t>
      </w:r>
      <w:r w:rsidRPr="00FC1C04">
        <w:t xml:space="preserve">) of the </w:t>
      </w:r>
      <w:proofErr w:type="spellStart"/>
      <w:r w:rsidRPr="00FC1C04">
        <w:t>OIA</w:t>
      </w:r>
      <w:proofErr w:type="spellEnd"/>
      <w:r w:rsidRPr="00FC1C04">
        <w:t xml:space="preserve"> should also be taken as references to section 17(</w:t>
      </w:r>
      <w:r>
        <w:t>d</w:t>
      </w:r>
      <w:r w:rsidRPr="00FC1C04">
        <w:t xml:space="preserve">) of the </w:t>
      </w:r>
      <w:proofErr w:type="spellStart"/>
      <w:r w:rsidRPr="00FC1C04">
        <w:t>LGOIMA</w:t>
      </w:r>
      <w:proofErr w:type="spellEnd"/>
      <w:r w:rsidRPr="00FC1C04">
        <w:t>, as the wording of these provisions is identical.</w:t>
      </w:r>
    </w:p>
  </w:footnote>
  <w:footnote w:id="3">
    <w:p w14:paraId="247095D9" w14:textId="77777777" w:rsidR="00487EB6" w:rsidRDefault="00487EB6">
      <w:pPr>
        <w:pStyle w:val="FootnoteText"/>
      </w:pPr>
      <w:r>
        <w:rPr>
          <w:rStyle w:val="FootnoteReference"/>
        </w:rPr>
        <w:footnoteRef/>
      </w:r>
      <w:r>
        <w:t xml:space="preserve"> </w:t>
      </w:r>
      <w:r>
        <w:tab/>
        <w:t xml:space="preserve">See s 5 </w:t>
      </w:r>
      <w:proofErr w:type="spellStart"/>
      <w:r>
        <w:t>OIA</w:t>
      </w:r>
      <w:proofErr w:type="spellEnd"/>
      <w:r>
        <w:t xml:space="preserve"> and </w:t>
      </w:r>
      <w:proofErr w:type="spellStart"/>
      <w:r>
        <w:t>LGOIMA</w:t>
      </w:r>
      <w:proofErr w:type="spellEnd"/>
      <w:r>
        <w:t>.</w:t>
      </w:r>
    </w:p>
  </w:footnote>
  <w:footnote w:id="4">
    <w:p w14:paraId="0E31782E" w14:textId="77777777" w:rsidR="00487EB6" w:rsidRDefault="00487EB6" w:rsidP="00DB2186">
      <w:pPr>
        <w:pStyle w:val="FootnoteText"/>
      </w:pPr>
      <w:r>
        <w:rPr>
          <w:rStyle w:val="FootnoteReference"/>
        </w:rPr>
        <w:footnoteRef/>
      </w:r>
      <w:r>
        <w:t xml:space="preserve"> </w:t>
      </w:r>
      <w:r>
        <w:tab/>
        <w:t xml:space="preserve">See ss 6 and 7 </w:t>
      </w:r>
      <w:proofErr w:type="spellStart"/>
      <w:r>
        <w:t>OIA</w:t>
      </w:r>
      <w:proofErr w:type="spellEnd"/>
      <w:r>
        <w:t xml:space="preserve"> and s 6 </w:t>
      </w:r>
      <w:proofErr w:type="spellStart"/>
      <w:r>
        <w:t>LGOIMA</w:t>
      </w:r>
      <w:proofErr w:type="spellEnd"/>
      <w:r>
        <w:t xml:space="preserve">. </w:t>
      </w:r>
      <w:r w:rsidRPr="00314898">
        <w:rPr>
          <w:rStyle w:val="Quotationwithinthesentence"/>
        </w:rPr>
        <w:t>‘Conclusive’</w:t>
      </w:r>
      <w:r>
        <w:t xml:space="preserve"> reasons are not subject to a </w:t>
      </w:r>
      <w:r w:rsidRPr="00314898">
        <w:rPr>
          <w:rStyle w:val="Quotationwithinthesentence"/>
        </w:rPr>
        <w:t>‘public interest test’</w:t>
      </w:r>
      <w:r>
        <w:t>, meaning that if they apply, there is no need to consider any countervailing public interest in release.</w:t>
      </w:r>
    </w:p>
  </w:footnote>
  <w:footnote w:id="5">
    <w:p w14:paraId="1ADC4817" w14:textId="77777777" w:rsidR="00487EB6" w:rsidRPr="00314898" w:rsidRDefault="00487EB6" w:rsidP="00DB2186">
      <w:pPr>
        <w:pStyle w:val="FootnoteText"/>
      </w:pPr>
      <w:r>
        <w:rPr>
          <w:rStyle w:val="FootnoteReference"/>
        </w:rPr>
        <w:footnoteRef/>
      </w:r>
      <w:r>
        <w:t xml:space="preserve"> </w:t>
      </w:r>
      <w:r>
        <w:tab/>
        <w:t xml:space="preserve">See s 9 </w:t>
      </w:r>
      <w:proofErr w:type="spellStart"/>
      <w:r>
        <w:t>OIA</w:t>
      </w:r>
      <w:proofErr w:type="spellEnd"/>
      <w:r>
        <w:t xml:space="preserve"> and s 7 </w:t>
      </w:r>
      <w:proofErr w:type="spellStart"/>
      <w:r>
        <w:t>LGOIMA</w:t>
      </w:r>
      <w:proofErr w:type="spellEnd"/>
      <w:r>
        <w:t xml:space="preserve">. </w:t>
      </w:r>
      <w:r>
        <w:rPr>
          <w:i/>
        </w:rPr>
        <w:t xml:space="preserve">‘Good’ </w:t>
      </w:r>
      <w:r>
        <w:t xml:space="preserve">reasons are subject to a </w:t>
      </w:r>
      <w:r w:rsidRPr="00314898">
        <w:rPr>
          <w:rStyle w:val="Quotationwithinthesentence"/>
        </w:rPr>
        <w:t>‘public interest test’</w:t>
      </w:r>
      <w:r>
        <w:rPr>
          <w:rStyle w:val="Quotationwithinthesentence"/>
          <w:i w:val="0"/>
        </w:rPr>
        <w:t>,</w:t>
      </w:r>
      <w:r>
        <w:t xml:space="preserve"> meaning that if they apply, agencies must consider the countervailing public interest in release.</w:t>
      </w:r>
    </w:p>
  </w:footnote>
  <w:footnote w:id="6">
    <w:p w14:paraId="0FC669DC" w14:textId="77777777" w:rsidR="00487EB6" w:rsidRDefault="00487EB6" w:rsidP="00DB2186">
      <w:pPr>
        <w:pStyle w:val="FootnoteText"/>
      </w:pPr>
      <w:r>
        <w:rPr>
          <w:rStyle w:val="FootnoteReference"/>
        </w:rPr>
        <w:footnoteRef/>
      </w:r>
      <w:r>
        <w:t xml:space="preserve"> </w:t>
      </w:r>
      <w:r>
        <w:tab/>
        <w:t xml:space="preserve">See s 18 </w:t>
      </w:r>
      <w:proofErr w:type="spellStart"/>
      <w:r>
        <w:t>OIA</w:t>
      </w:r>
      <w:proofErr w:type="spellEnd"/>
      <w:r>
        <w:t xml:space="preserve"> and s 17 </w:t>
      </w:r>
      <w:proofErr w:type="spellStart"/>
      <w:r>
        <w:t>LGOIMA</w:t>
      </w:r>
      <w:proofErr w:type="spellEnd"/>
      <w:r>
        <w:t>.</w:t>
      </w:r>
    </w:p>
  </w:footnote>
  <w:footnote w:id="7">
    <w:p w14:paraId="49D7C5AF" w14:textId="77777777" w:rsidR="00487EB6" w:rsidRDefault="00487EB6">
      <w:pPr>
        <w:pStyle w:val="FootnoteText"/>
      </w:pPr>
      <w:r>
        <w:rPr>
          <w:rStyle w:val="FootnoteReference"/>
        </w:rPr>
        <w:footnoteRef/>
      </w:r>
      <w:r>
        <w:t xml:space="preserve"> </w:t>
      </w:r>
      <w:r>
        <w:tab/>
        <w:t xml:space="preserve">Note, restricted access records held by Archives New Zealand are not </w:t>
      </w:r>
      <w:r w:rsidRPr="00D52FE3">
        <w:rPr>
          <w:i/>
        </w:rPr>
        <w:t>‘publicly available’</w:t>
      </w:r>
      <w:r>
        <w:t xml:space="preserve"> for the purpose of section 18(d). If an agency receives an </w:t>
      </w:r>
      <w:proofErr w:type="spellStart"/>
      <w:r>
        <w:t>OIA</w:t>
      </w:r>
      <w:proofErr w:type="spellEnd"/>
      <w:r>
        <w:t xml:space="preserve"> request for restricted access records, it must make a decision on that request in accordance with the </w:t>
      </w:r>
      <w:proofErr w:type="spellStart"/>
      <w:r>
        <w:t>OIA</w:t>
      </w:r>
      <w:proofErr w:type="spellEnd"/>
      <w:r>
        <w:t xml:space="preserve">—see </w:t>
      </w:r>
      <w:hyperlink r:id="rId1" w:history="1">
        <w:r w:rsidRPr="00D52FE3">
          <w:rPr>
            <w:rStyle w:val="Hyperlink"/>
          </w:rPr>
          <w:t>s 44(8) Public Records Act 2005</w:t>
        </w:r>
      </w:hyperlink>
      <w:r>
        <w:t xml:space="preserve">. The agency will need to recall the records from Archives New Zealand </w:t>
      </w:r>
      <w:proofErr w:type="gramStart"/>
      <w:r>
        <w:t>in order to</w:t>
      </w:r>
      <w:proofErr w:type="gramEnd"/>
      <w:r>
        <w:t xml:space="preserve"> make the decision.  </w:t>
      </w:r>
    </w:p>
  </w:footnote>
  <w:footnote w:id="8">
    <w:p w14:paraId="75C79D38" w14:textId="77777777" w:rsidR="00487EB6" w:rsidRDefault="00487EB6">
      <w:pPr>
        <w:pStyle w:val="FootnoteText"/>
      </w:pPr>
      <w:r>
        <w:rPr>
          <w:rStyle w:val="FootnoteReference"/>
        </w:rPr>
        <w:footnoteRef/>
      </w:r>
      <w:r>
        <w:t xml:space="preserve"> </w:t>
      </w:r>
      <w:r>
        <w:tab/>
        <w:t xml:space="preserve">Under section 30(1) of the </w:t>
      </w:r>
      <w:proofErr w:type="spellStart"/>
      <w:r>
        <w:t>OIA</w:t>
      </w:r>
      <w:proofErr w:type="spellEnd"/>
      <w:r>
        <w:t>, an Ombudsman may form an opinion that the request should not have been refused (section 30(1)(a)), or that the decision complained of was wrong or unreasonable in Ombudsmen Act terms (section 30(1)(b)).</w:t>
      </w:r>
    </w:p>
  </w:footnote>
  <w:footnote w:id="9">
    <w:p w14:paraId="05E75499" w14:textId="77777777" w:rsidR="00487EB6" w:rsidRDefault="00487EB6">
      <w:pPr>
        <w:pStyle w:val="FootnoteText"/>
      </w:pPr>
      <w:r>
        <w:rPr>
          <w:rStyle w:val="FootnoteReference"/>
        </w:rPr>
        <w:footnoteRef/>
      </w:r>
      <w:r>
        <w:t xml:space="preserve"> </w:t>
      </w:r>
      <w:r>
        <w:tab/>
      </w:r>
      <w:r w:rsidRPr="002846D8">
        <w:t xml:space="preserve">Committee on Official Information. </w:t>
      </w:r>
      <w:r w:rsidRPr="002846D8">
        <w:rPr>
          <w:i/>
        </w:rPr>
        <w:t>Towards Open Government: Supplementary Report.</w:t>
      </w:r>
      <w:r w:rsidRPr="002846D8">
        <w:t xml:space="preserve"> (July 1981) at </w:t>
      </w:r>
      <w:r>
        <w:t>73.</w:t>
      </w:r>
    </w:p>
  </w:footnote>
  <w:footnote w:id="10">
    <w:p w14:paraId="614241D7" w14:textId="77777777" w:rsidR="00832D37" w:rsidRDefault="00832D37" w:rsidP="00832D37">
      <w:pPr>
        <w:pStyle w:val="FootnoteText"/>
      </w:pPr>
      <w:r>
        <w:rPr>
          <w:rStyle w:val="FootnoteReference"/>
        </w:rPr>
        <w:footnoteRef/>
      </w:r>
      <w:r>
        <w:t xml:space="preserve"> </w:t>
      </w:r>
      <w:r>
        <w:tab/>
        <w:t xml:space="preserve">See definitions by Oxford Languages, Cambridge Dictionary and Collins English Dictionary. </w:t>
      </w:r>
    </w:p>
  </w:footnote>
  <w:footnote w:id="11">
    <w:p w14:paraId="16A530C0" w14:textId="18D6DF97" w:rsidR="00487EB6" w:rsidRDefault="00487EB6">
      <w:pPr>
        <w:pStyle w:val="FootnoteText"/>
      </w:pPr>
      <w:r>
        <w:rPr>
          <w:rStyle w:val="FootnoteReference"/>
        </w:rPr>
        <w:footnoteRef/>
      </w:r>
      <w:r>
        <w:t xml:space="preserve"> </w:t>
      </w:r>
      <w:r>
        <w:tab/>
      </w:r>
      <w:r w:rsidRPr="008D155B">
        <w:t xml:space="preserve">Ombudsmen have </w:t>
      </w:r>
      <w:r w:rsidR="00832D37">
        <w:t xml:space="preserve">not set a definitive time limit on ‘soon’, recognising that each decision needs to be considered on </w:t>
      </w:r>
      <w:r w:rsidR="00494891">
        <w:t>the individual circumstances</w:t>
      </w:r>
      <w:r w:rsidR="00832D37">
        <w:t xml:space="preserve">. A timeframe that is acceptable in one case, cannot be arbitrarily applied to a separate case. In previous cases, Ombudsmen </w:t>
      </w:r>
      <w:r w:rsidRPr="008D155B">
        <w:t xml:space="preserve">accepted that release 8 and 14 working days from refusal </w:t>
      </w:r>
      <w:r w:rsidR="00494891">
        <w:t>was</w:t>
      </w:r>
      <w:r w:rsidRPr="008D155B">
        <w:t xml:space="preserve"> </w:t>
      </w:r>
      <w:r w:rsidRPr="008D155B">
        <w:rPr>
          <w:i/>
        </w:rPr>
        <w:t>‘soon’</w:t>
      </w:r>
      <w:r w:rsidRPr="008D155B">
        <w:t xml:space="preserve"> (see </w:t>
      </w:r>
      <w:hyperlink w:anchor="case466794" w:history="1">
        <w:r w:rsidRPr="008D155B">
          <w:rPr>
            <w:rStyle w:val="Hyperlink"/>
          </w:rPr>
          <w:t>466794 and 467630</w:t>
        </w:r>
      </w:hyperlink>
      <w:r w:rsidRPr="008D155B">
        <w:t xml:space="preserve">), as was 23 working days (see </w:t>
      </w:r>
      <w:hyperlink w:anchor="case397547" w:history="1">
        <w:r w:rsidRPr="008D155B">
          <w:rPr>
            <w:rStyle w:val="Hyperlink"/>
          </w:rPr>
          <w:t>397547</w:t>
        </w:r>
      </w:hyperlink>
      <w:r w:rsidRPr="008D155B">
        <w:t>)</w:t>
      </w:r>
      <w:r w:rsidR="00832D37">
        <w:t xml:space="preserve">, and </w:t>
      </w:r>
      <w:r w:rsidR="0045617F">
        <w:t xml:space="preserve">12-15 weeks (see </w:t>
      </w:r>
      <w:hyperlink w:anchor="case013497" w:history="1">
        <w:r w:rsidR="0045617F" w:rsidRPr="00F359E0">
          <w:rPr>
            <w:rStyle w:val="Hyperlink"/>
          </w:rPr>
          <w:t>013497</w:t>
        </w:r>
      </w:hyperlink>
      <w:r w:rsidR="0045617F">
        <w:t>)</w:t>
      </w:r>
      <w:r w:rsidRPr="008D155B">
        <w:t xml:space="preserve">. By contrast, release </w:t>
      </w:r>
      <w:r w:rsidR="00494891">
        <w:t xml:space="preserve">in some cases </w:t>
      </w:r>
      <w:r w:rsidRPr="008D155B">
        <w:t>was not</w:t>
      </w:r>
      <w:r w:rsidR="00494891">
        <w:t xml:space="preserve"> accepted as</w:t>
      </w:r>
      <w:r w:rsidRPr="008D155B">
        <w:t xml:space="preserve"> </w:t>
      </w:r>
      <w:r w:rsidRPr="008D155B">
        <w:rPr>
          <w:i/>
        </w:rPr>
        <w:t xml:space="preserve">‘soon’ </w:t>
      </w:r>
      <w:r w:rsidRPr="008D155B">
        <w:t xml:space="preserve">(see </w:t>
      </w:r>
      <w:hyperlink w:anchor="case443738" w:history="1">
        <w:r w:rsidRPr="008D155B">
          <w:rPr>
            <w:rStyle w:val="Hyperlink"/>
          </w:rPr>
          <w:t>443738</w:t>
        </w:r>
      </w:hyperlink>
      <w:r w:rsidRPr="008D155B">
        <w:t xml:space="preserve">, 12-16 weeks, </w:t>
      </w:r>
      <w:hyperlink w:anchor="case440225" w:history="1">
        <w:r w:rsidRPr="008D155B">
          <w:rPr>
            <w:rStyle w:val="Hyperlink"/>
          </w:rPr>
          <w:t>440225</w:t>
        </w:r>
      </w:hyperlink>
      <w:r w:rsidRPr="008D155B">
        <w:t xml:space="preserve">, 13 weeks, and </w:t>
      </w:r>
      <w:hyperlink w:anchor="case374966" w:history="1">
        <w:r w:rsidRPr="008D155B">
          <w:rPr>
            <w:rStyle w:val="Hyperlink"/>
          </w:rPr>
          <w:t>374966</w:t>
        </w:r>
      </w:hyperlink>
      <w:r w:rsidRPr="008D155B">
        <w:t xml:space="preserve">, 14-16 weeks). </w:t>
      </w:r>
    </w:p>
  </w:footnote>
  <w:footnote w:id="12">
    <w:p w14:paraId="5A4BEDF2" w14:textId="77777777" w:rsidR="00487EB6" w:rsidRDefault="00487EB6">
      <w:pPr>
        <w:pStyle w:val="FootnoteText"/>
      </w:pPr>
      <w:r>
        <w:rPr>
          <w:rStyle w:val="FootnoteReference"/>
        </w:rPr>
        <w:footnoteRef/>
      </w:r>
      <w:r>
        <w:t xml:space="preserve"> </w:t>
      </w:r>
      <w:r>
        <w:tab/>
        <w:t xml:space="preserve">Section 18(g) </w:t>
      </w:r>
      <w:proofErr w:type="spellStart"/>
      <w:r>
        <w:t>OIA</w:t>
      </w:r>
      <w:proofErr w:type="spellEnd"/>
      <w:r>
        <w:t xml:space="preserve"> / s 17(g) </w:t>
      </w:r>
      <w:proofErr w:type="spellStart"/>
      <w:r>
        <w:t>LGOIMA</w:t>
      </w:r>
      <w:proofErr w:type="spellEnd"/>
      <w:r>
        <w:t xml:space="preserve"> applies where the information is not held and there is no reasonable basis for believing it is held by, or more closely connected with the functions of, another agency.</w:t>
      </w:r>
    </w:p>
  </w:footnote>
  <w:footnote w:id="13">
    <w:p w14:paraId="2DF43F99" w14:textId="77777777" w:rsidR="00487EB6" w:rsidRDefault="00487EB6">
      <w:pPr>
        <w:pStyle w:val="FootnoteText"/>
      </w:pPr>
      <w:r>
        <w:rPr>
          <w:rStyle w:val="FootnoteReference"/>
        </w:rPr>
        <w:footnoteRef/>
      </w:r>
      <w:r>
        <w:t xml:space="preserve"> </w:t>
      </w:r>
      <w:r>
        <w:tab/>
        <w:t xml:space="preserve">See s 15(1) </w:t>
      </w:r>
      <w:proofErr w:type="spellStart"/>
      <w:r>
        <w:t>OIA</w:t>
      </w:r>
      <w:proofErr w:type="spellEnd"/>
      <w:r>
        <w:t xml:space="preserve"> and s 13(1) </w:t>
      </w:r>
      <w:proofErr w:type="spellStart"/>
      <w:r>
        <w:t>LGOIMA</w:t>
      </w:r>
      <w:proofErr w:type="spellEnd"/>
      <w:r>
        <w:t>.</w:t>
      </w:r>
    </w:p>
  </w:footnote>
  <w:footnote w:id="14">
    <w:p w14:paraId="0E388C87" w14:textId="77777777" w:rsidR="00487EB6" w:rsidRDefault="00487EB6">
      <w:pPr>
        <w:pStyle w:val="FootnoteText"/>
      </w:pPr>
      <w:r>
        <w:rPr>
          <w:rStyle w:val="FootnoteReference"/>
        </w:rPr>
        <w:footnoteRef/>
      </w:r>
      <w:r>
        <w:t xml:space="preserve"> </w:t>
      </w:r>
      <w:r>
        <w:tab/>
        <w:t xml:space="preserve">See s 28(5) </w:t>
      </w:r>
      <w:proofErr w:type="spellStart"/>
      <w:r>
        <w:t>OIA</w:t>
      </w:r>
      <w:proofErr w:type="spellEnd"/>
      <w:r>
        <w:t xml:space="preserve"> and s 27(5) </w:t>
      </w:r>
      <w:proofErr w:type="spellStart"/>
      <w:r>
        <w:t>LGOIMA</w:t>
      </w:r>
      <w:proofErr w:type="spellEnd"/>
      <w:r>
        <w:t>.</w:t>
      </w:r>
    </w:p>
  </w:footnote>
  <w:footnote w:id="15">
    <w:p w14:paraId="2A73D682" w14:textId="77777777" w:rsidR="00487EB6" w:rsidRDefault="00487EB6">
      <w:pPr>
        <w:pStyle w:val="FootnoteText"/>
      </w:pPr>
      <w:r>
        <w:rPr>
          <w:rStyle w:val="FootnoteReference"/>
        </w:rPr>
        <w:footnoteRef/>
      </w:r>
      <w:r>
        <w:t xml:space="preserve"> </w:t>
      </w:r>
      <w:r>
        <w:tab/>
        <w:t xml:space="preserve">Law Commission. </w:t>
      </w:r>
      <w:r>
        <w:rPr>
          <w:i/>
          <w:iCs/>
        </w:rPr>
        <w:t xml:space="preserve">Review of the Official Information Act 1982 </w:t>
      </w:r>
      <w:r>
        <w:t>(</w:t>
      </w:r>
      <w:proofErr w:type="spellStart"/>
      <w:r>
        <w:t>NZLC</w:t>
      </w:r>
      <w:proofErr w:type="spellEnd"/>
      <w:r>
        <w:t xml:space="preserve"> R40, 1997) at 56.  </w:t>
      </w:r>
    </w:p>
  </w:footnote>
  <w:footnote w:id="16">
    <w:p w14:paraId="38F90D4C" w14:textId="77777777" w:rsidR="00487EB6" w:rsidRDefault="00487EB6">
      <w:pPr>
        <w:pStyle w:val="FootnoteText"/>
      </w:pPr>
      <w:r>
        <w:rPr>
          <w:rStyle w:val="FootnoteReference"/>
        </w:rPr>
        <w:footnoteRef/>
      </w:r>
      <w:r>
        <w:t xml:space="preserve"> </w:t>
      </w:r>
      <w:r>
        <w:tab/>
        <w:t xml:space="preserve">Eagles, I, Taggart, M, and Liddell, G. </w:t>
      </w:r>
      <w:r>
        <w:rPr>
          <w:i/>
          <w:iCs/>
        </w:rPr>
        <w:t xml:space="preserve">Freedom of Information in New Zealand. </w:t>
      </w:r>
      <w:r>
        <w:t xml:space="preserve">Oxford; Oxford University Press, 1992 at 244.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AACC9" w14:textId="77777777" w:rsidR="00487EB6" w:rsidRDefault="00487EB6" w:rsidP="00B81F45">
    <w:pPr>
      <w:pStyle w:val="Header"/>
      <w:tabs>
        <w:tab w:val="clear" w:pos="9299"/>
        <w:tab w:val="right" w:pos="9321"/>
      </w:tabs>
      <w:rPr>
        <w:rStyle w:val="PageNumber"/>
      </w:rPr>
    </w:pPr>
    <w:r>
      <w:t xml:space="preserve">Office of the Ombudsman | </w:t>
    </w:r>
    <w:r w:rsidRPr="00DD54DF">
      <w:t xml:space="preserve">Tari o </w:t>
    </w:r>
    <w:proofErr w:type="spellStart"/>
    <w:r w:rsidRPr="00DD54DF">
      <w:t>te</w:t>
    </w:r>
    <w:proofErr w:type="spellEnd"/>
    <w:r w:rsidRPr="00DD54DF">
      <w:t xml:space="preserve"> Kaitiaki Mana </w:t>
    </w:r>
    <w:proofErr w:type="spellStart"/>
    <w:r w:rsidRPr="00DD54DF">
      <w:t>Tangata</w:t>
    </w:r>
    <w:proofErr w:type="spellEnd"/>
  </w:p>
  <w:p w14:paraId="1FA36BA5" w14:textId="77777777" w:rsidR="00487EB6" w:rsidRPr="00661EC9" w:rsidRDefault="00487EB6" w:rsidP="00B81F45">
    <w:pPr>
      <w:pStyle w:val="Headerline"/>
      <w:rPr>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A79BA" w14:textId="77777777" w:rsidR="00487EB6" w:rsidRPr="0077590F" w:rsidRDefault="00487EB6" w:rsidP="0077590F">
    <w:pPr>
      <w:pStyle w:val="BodyText"/>
    </w:pPr>
    <w:bookmarkStart w:id="86" w:name="BG_Colour"/>
    <w:r>
      <w:rPr>
        <w:noProof/>
        <w:lang w:eastAsia="en-NZ"/>
      </w:rPr>
      <w:drawing>
        <wp:anchor distT="0" distB="0" distL="114300" distR="114300" simplePos="0" relativeHeight="251659264" behindDoc="1" locked="0" layoutInCell="1" allowOverlap="1" wp14:anchorId="14E1CE47" wp14:editId="35B32E18">
          <wp:simplePos x="0" y="0"/>
          <wp:positionH relativeFrom="page">
            <wp:posOffset>0</wp:posOffset>
          </wp:positionH>
          <wp:positionV relativeFrom="page">
            <wp:posOffset>0</wp:posOffset>
          </wp:positionV>
          <wp:extent cx="7559040" cy="4143375"/>
          <wp:effectExtent l="0" t="0" r="3810" b="9525"/>
          <wp:wrapNone/>
          <wp:docPr id="1" name="Picture 0" title="The Ombudsman Guide logo—features the word Ombudsman in bold font with the text ‘Fairness for all’ in a smaller font-size below. A graphic of a fern furls into the ‘O’ helping to form the first letter of the word Ombudsm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IA guide cover - blue.tif"/>
                  <pic:cNvPicPr/>
                </pic:nvPicPr>
                <pic:blipFill>
                  <a:blip r:embed="rId1"/>
                  <a:stretch>
                    <a:fillRect/>
                  </a:stretch>
                </pic:blipFill>
                <pic:spPr>
                  <a:xfrm>
                    <a:off x="0" y="0"/>
                    <a:ext cx="7559040" cy="4143375"/>
                  </a:xfrm>
                  <a:prstGeom prst="rect">
                    <a:avLst/>
                  </a:prstGeom>
                </pic:spPr>
              </pic:pic>
            </a:graphicData>
          </a:graphic>
        </wp:anchor>
      </w:drawing>
    </w:r>
    <w:bookmarkEnd w:id="8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325B"/>
    <w:multiLevelType w:val="multilevel"/>
    <w:tmpl w:val="5EB4B8F0"/>
    <w:lvl w:ilvl="0">
      <w:start w:val="1"/>
      <w:numFmt w:val="bullet"/>
      <w:pStyle w:val="Tablecheckbox1"/>
      <w:lvlText w:val=""/>
      <w:lvlJc w:val="left"/>
      <w:pPr>
        <w:tabs>
          <w:tab w:val="num" w:pos="357"/>
        </w:tabs>
        <w:ind w:left="357" w:hanging="357"/>
      </w:pPr>
      <w:rPr>
        <w:rFonts w:ascii="Wingdings 2" w:hAnsi="Wingdings 2" w:hint="default"/>
        <w:u w:color="696969"/>
      </w:rPr>
    </w:lvl>
    <w:lvl w:ilvl="1">
      <w:start w:val="1"/>
      <w:numFmt w:val="bullet"/>
      <w:pStyle w:val="Tablecheckbox2"/>
      <w:lvlText w:val=""/>
      <w:lvlJc w:val="left"/>
      <w:pPr>
        <w:tabs>
          <w:tab w:val="num" w:pos="714"/>
        </w:tabs>
        <w:ind w:left="714" w:hanging="357"/>
      </w:pPr>
      <w:rPr>
        <w:rFonts w:ascii="Wingdings 2" w:hAnsi="Wingdings 2" w:hint="default"/>
      </w:rPr>
    </w:lvl>
    <w:lvl w:ilvl="2">
      <w:start w:val="1"/>
      <w:numFmt w:val="bullet"/>
      <w:pStyle w:val="Tablecheckbox3"/>
      <w:lvlText w:val=""/>
      <w:lvlJc w:val="left"/>
      <w:pPr>
        <w:tabs>
          <w:tab w:val="num" w:pos="1072"/>
        </w:tabs>
        <w:ind w:left="1072" w:hanging="358"/>
      </w:pPr>
      <w:rPr>
        <w:rFonts w:ascii="Wingdings 2" w:hAnsi="Wingdings 2"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 w15:restartNumberingAfterBreak="0">
    <w:nsid w:val="0E266A35"/>
    <w:multiLevelType w:val="multilevel"/>
    <w:tmpl w:val="132E5168"/>
    <w:lvl w:ilvl="0">
      <w:start w:val="1"/>
      <w:numFmt w:val="lowerRoman"/>
      <w:pStyle w:val="QListroman"/>
      <w:lvlText w:val="%1."/>
      <w:lvlJc w:val="left"/>
      <w:pPr>
        <w:tabs>
          <w:tab w:val="num" w:pos="1134"/>
        </w:tabs>
        <w:ind w:left="1134" w:hanging="567"/>
      </w:pPr>
      <w:rPr>
        <w:rFonts w:hint="default"/>
        <w:i/>
        <w:color w:val="4D4D4D"/>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2416F2"/>
    <w:multiLevelType w:val="multilevel"/>
    <w:tmpl w:val="75FE1430"/>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Calibri" w:hAnsi="Calibri" w:hint="default"/>
      </w:rPr>
    </w:lvl>
    <w:lvl w:ilvl="2">
      <w:start w:val="1"/>
      <w:numFmt w:val="bullet"/>
      <w:pStyle w:val="ListBullet3"/>
      <w:lvlText w:val="›"/>
      <w:lvlJc w:val="left"/>
      <w:pPr>
        <w:tabs>
          <w:tab w:val="num" w:pos="1701"/>
        </w:tabs>
        <w:ind w:left="1701" w:hanging="567"/>
      </w:pPr>
      <w:rPr>
        <w:rFonts w:ascii="Calibri" w:hAnsi="Calibri" w:hint="default"/>
      </w:rPr>
    </w:lvl>
    <w:lvl w:ilvl="3">
      <w:start w:val="1"/>
      <w:numFmt w:val="bullet"/>
      <w:pStyle w:val="List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E03F8C"/>
    <w:multiLevelType w:val="multilevel"/>
    <w:tmpl w:val="71C4C924"/>
    <w:lvl w:ilvl="0">
      <w:start w:val="1"/>
      <w:numFmt w:val="decimal"/>
      <w:pStyle w:val="Number-1"/>
      <w:lvlText w:val="%1."/>
      <w:lvlJc w:val="left"/>
      <w:pPr>
        <w:tabs>
          <w:tab w:val="num" w:pos="851"/>
        </w:tabs>
        <w:ind w:left="851" w:hanging="851"/>
      </w:pPr>
      <w:rPr>
        <w:rFonts w:hint="default"/>
      </w:rPr>
    </w:lvl>
    <w:lvl w:ilvl="1">
      <w:start w:val="1"/>
      <w:numFmt w:val="decimal"/>
      <w:pStyle w:val="Number-11"/>
      <w:lvlText w:val="%1.%2"/>
      <w:lvlJc w:val="left"/>
      <w:pPr>
        <w:tabs>
          <w:tab w:val="num" w:pos="851"/>
        </w:tabs>
        <w:ind w:left="851" w:hanging="851"/>
      </w:pPr>
      <w:rPr>
        <w:rFonts w:hint="default"/>
      </w:rPr>
    </w:lvl>
    <w:lvl w:ilvl="2">
      <w:start w:val="1"/>
      <w:numFmt w:val="decimal"/>
      <w:pStyle w:val="Number-111"/>
      <w:lvlText w:val="%1.%2.%3"/>
      <w:lvlJc w:val="left"/>
      <w:pPr>
        <w:tabs>
          <w:tab w:val="num" w:pos="851"/>
        </w:tabs>
        <w:ind w:left="851" w:hanging="851"/>
      </w:pPr>
      <w:rPr>
        <w:rFonts w:hint="default"/>
      </w:rPr>
    </w:lvl>
    <w:lvl w:ilvl="3">
      <w:start w:val="1"/>
      <w:numFmt w:val="none"/>
      <w:suff w:val="nothing"/>
      <w:lvlText w:val=""/>
      <w:lvlJc w:val="left"/>
      <w:pPr>
        <w:ind w:left="851" w:firstLine="0"/>
      </w:pPr>
      <w:rPr>
        <w:rFonts w:hint="default"/>
        <w:u w:color="4D4D4D"/>
      </w:rPr>
    </w:lvl>
    <w:lvl w:ilvl="4">
      <w:start w:val="1"/>
      <w:numFmt w:val="none"/>
      <w:lvlRestart w:val="0"/>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7"/>
      <w:lvlJc w:val="left"/>
      <w:pPr>
        <w:ind w:left="851" w:firstLine="0"/>
      </w:pPr>
      <w:rPr>
        <w:rFonts w:hint="default"/>
      </w:rPr>
    </w:lvl>
    <w:lvl w:ilvl="7">
      <w:start w:val="1"/>
      <w:numFmt w:val="none"/>
      <w:suff w:val="nothing"/>
      <w:lvlText w:val="%8"/>
      <w:lvlJc w:val="left"/>
      <w:pPr>
        <w:ind w:left="851" w:firstLine="0"/>
      </w:pPr>
      <w:rPr>
        <w:rFonts w:hint="default"/>
      </w:rPr>
    </w:lvl>
    <w:lvl w:ilvl="8">
      <w:start w:val="1"/>
      <w:numFmt w:val="none"/>
      <w:suff w:val="nothing"/>
      <w:lvlText w:val="%9"/>
      <w:lvlJc w:val="left"/>
      <w:pPr>
        <w:ind w:left="851" w:firstLine="0"/>
      </w:pPr>
      <w:rPr>
        <w:rFonts w:hint="default"/>
      </w:rPr>
    </w:lvl>
  </w:abstractNum>
  <w:abstractNum w:abstractNumId="4" w15:restartNumberingAfterBreak="0">
    <w:nsid w:val="25C11E94"/>
    <w:multiLevelType w:val="hybridMultilevel"/>
    <w:tmpl w:val="B12425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60124B8"/>
    <w:multiLevelType w:val="multilevel"/>
    <w:tmpl w:val="BC6CEC22"/>
    <w:lvl w:ilvl="0">
      <w:start w:val="1"/>
      <w:numFmt w:val="decimal"/>
      <w:pStyle w:val="Introductionnumber1"/>
      <w:lvlText w:val="%1"/>
      <w:lvlJc w:val="left"/>
      <w:pPr>
        <w:tabs>
          <w:tab w:val="num" w:pos="567"/>
        </w:tabs>
        <w:ind w:left="567" w:hanging="567"/>
      </w:pPr>
      <w:rPr>
        <w:rFonts w:hint="default"/>
        <w:color w:val="auto"/>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6" w15:restartNumberingAfterBreak="0">
    <w:nsid w:val="278F62EA"/>
    <w:multiLevelType w:val="multilevel"/>
    <w:tmpl w:val="53A8DE6E"/>
    <w:lvl w:ilvl="0">
      <w:start w:val="1"/>
      <w:numFmt w:val="bullet"/>
      <w:pStyle w:val="End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7" w15:restartNumberingAfterBreak="0">
    <w:nsid w:val="2A496CAF"/>
    <w:multiLevelType w:val="multilevel"/>
    <w:tmpl w:val="9048A306"/>
    <w:lvl w:ilvl="0">
      <w:start w:val="1"/>
      <w:numFmt w:val="bullet"/>
      <w:pStyle w:val="Boxsmallbullet1"/>
      <w:lvlText w:val=""/>
      <w:lvlJc w:val="left"/>
      <w:pPr>
        <w:tabs>
          <w:tab w:val="num" w:pos="357"/>
        </w:tabs>
        <w:ind w:left="360" w:hanging="360"/>
      </w:pPr>
      <w:rPr>
        <w:rFonts w:ascii="Symbol" w:hAnsi="Symbol" w:hint="default"/>
      </w:rPr>
    </w:lvl>
    <w:lvl w:ilvl="1">
      <w:start w:val="1"/>
      <w:numFmt w:val="bullet"/>
      <w:pStyle w:val="Boxsmallbullet2"/>
      <w:lvlText w:val="-"/>
      <w:lvlJc w:val="left"/>
      <w:pPr>
        <w:tabs>
          <w:tab w:val="num" w:pos="714"/>
        </w:tabs>
        <w:ind w:left="714" w:hanging="354"/>
      </w:pPr>
      <w:rPr>
        <w:rFonts w:ascii="Calibri" w:hAnsi="Calibri" w:hint="default"/>
      </w:rPr>
    </w:lvl>
    <w:lvl w:ilvl="2">
      <w:start w:val="1"/>
      <w:numFmt w:val="none"/>
      <w:suff w:val="nothing"/>
      <w:lvlText w:val=""/>
      <w:lvlJc w:val="left"/>
      <w:pPr>
        <w:ind w:left="714" w:firstLine="0"/>
      </w:pPr>
      <w:rPr>
        <w:rFonts w:hint="default"/>
      </w:rPr>
    </w:lvl>
    <w:lvl w:ilvl="3">
      <w:start w:val="1"/>
      <w:numFmt w:val="none"/>
      <w:suff w:val="nothing"/>
      <w:lvlText w:val=""/>
      <w:lvlJc w:val="left"/>
      <w:pPr>
        <w:ind w:left="714" w:firstLine="0"/>
      </w:pPr>
      <w:rPr>
        <w:rFonts w:hint="default"/>
      </w:rPr>
    </w:lvl>
    <w:lvl w:ilvl="4">
      <w:start w:val="1"/>
      <w:numFmt w:val="none"/>
      <w:suff w:val="nothing"/>
      <w:lvlText w:val=""/>
      <w:lvlJc w:val="left"/>
      <w:pPr>
        <w:ind w:left="714" w:firstLine="0"/>
      </w:pPr>
      <w:rPr>
        <w:rFonts w:hint="default"/>
      </w:rPr>
    </w:lvl>
    <w:lvl w:ilvl="5">
      <w:start w:val="1"/>
      <w:numFmt w:val="none"/>
      <w:suff w:val="nothing"/>
      <w:lvlText w:val=""/>
      <w:lvlJc w:val="left"/>
      <w:pPr>
        <w:ind w:left="714" w:firstLine="0"/>
      </w:pPr>
      <w:rPr>
        <w:rFonts w:hint="default"/>
      </w:rPr>
    </w:lvl>
    <w:lvl w:ilvl="6">
      <w:start w:val="1"/>
      <w:numFmt w:val="none"/>
      <w:suff w:val="nothing"/>
      <w:lvlText w:val=""/>
      <w:lvlJc w:val="left"/>
      <w:pPr>
        <w:ind w:left="714" w:firstLine="0"/>
      </w:pPr>
      <w:rPr>
        <w:rFonts w:hint="default"/>
      </w:rPr>
    </w:lvl>
    <w:lvl w:ilvl="7">
      <w:start w:val="1"/>
      <w:numFmt w:val="none"/>
      <w:suff w:val="nothing"/>
      <w:lvlText w:val=""/>
      <w:lvlJc w:val="left"/>
      <w:pPr>
        <w:ind w:left="714" w:firstLine="0"/>
      </w:pPr>
      <w:rPr>
        <w:rFonts w:hint="default"/>
      </w:rPr>
    </w:lvl>
    <w:lvl w:ilvl="8">
      <w:start w:val="1"/>
      <w:numFmt w:val="none"/>
      <w:suff w:val="nothing"/>
      <w:lvlText w:val=""/>
      <w:lvlJc w:val="left"/>
      <w:pPr>
        <w:ind w:left="714" w:firstLine="0"/>
      </w:pPr>
      <w:rPr>
        <w:rFonts w:hint="default"/>
      </w:rPr>
    </w:lvl>
  </w:abstractNum>
  <w:abstractNum w:abstractNumId="8" w15:restartNumberingAfterBreak="0">
    <w:nsid w:val="2BBA4A02"/>
    <w:multiLevelType w:val="multilevel"/>
    <w:tmpl w:val="F536C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InsertPictureLeft"/>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D4153D4"/>
    <w:multiLevelType w:val="multilevel"/>
    <w:tmpl w:val="D10C43F8"/>
    <w:lvl w:ilvl="0">
      <w:start w:val="1"/>
      <w:numFmt w:val="bullet"/>
      <w:pStyle w:val="Foot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0" w15:restartNumberingAfterBreak="0">
    <w:nsid w:val="369C4F70"/>
    <w:multiLevelType w:val="multilevel"/>
    <w:tmpl w:val="E5D2630A"/>
    <w:lvl w:ilvl="0">
      <w:start w:val="1"/>
      <w:numFmt w:val="decimal"/>
      <w:pStyle w:val="Boxsmallnumber-1"/>
      <w:lvlText w:val="%1."/>
      <w:lvlJc w:val="left"/>
      <w:pPr>
        <w:tabs>
          <w:tab w:val="num" w:pos="357"/>
        </w:tabs>
        <w:ind w:left="360" w:hanging="360"/>
      </w:pPr>
      <w:rPr>
        <w:rFonts w:hint="default"/>
      </w:rPr>
    </w:lvl>
    <w:lvl w:ilvl="1">
      <w:start w:val="1"/>
      <w:numFmt w:val="lowerLetter"/>
      <w:pStyle w:val="Boxsmallnumber-a"/>
      <w:lvlText w:val="%2."/>
      <w:lvlJc w:val="left"/>
      <w:pPr>
        <w:tabs>
          <w:tab w:val="num" w:pos="714"/>
        </w:tabs>
        <w:ind w:left="714" w:hanging="354"/>
      </w:pPr>
      <w:rPr>
        <w:rFonts w:hint="default"/>
      </w:rPr>
    </w:lvl>
    <w:lvl w:ilvl="2">
      <w:start w:val="1"/>
      <w:numFmt w:val="lowerRoman"/>
      <w:pStyle w:val="Boxsmall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7"/>
      <w:lvlJc w:val="left"/>
      <w:pPr>
        <w:ind w:left="1072" w:firstLine="0"/>
      </w:pPr>
      <w:rPr>
        <w:rFonts w:hint="default"/>
      </w:rPr>
    </w:lvl>
    <w:lvl w:ilvl="7">
      <w:start w:val="1"/>
      <w:numFmt w:val="none"/>
      <w:suff w:val="nothing"/>
      <w:lvlText w:val="%8"/>
      <w:lvlJc w:val="left"/>
      <w:pPr>
        <w:ind w:left="1072" w:firstLine="0"/>
      </w:pPr>
      <w:rPr>
        <w:rFonts w:hint="default"/>
      </w:rPr>
    </w:lvl>
    <w:lvl w:ilvl="8">
      <w:start w:val="1"/>
      <w:numFmt w:val="none"/>
      <w:suff w:val="nothing"/>
      <w:lvlText w:val="%9"/>
      <w:lvlJc w:val="left"/>
      <w:pPr>
        <w:ind w:left="1072" w:firstLine="0"/>
      </w:pPr>
      <w:rPr>
        <w:rFonts w:hint="default"/>
      </w:rPr>
    </w:lvl>
  </w:abstractNum>
  <w:abstractNum w:abstractNumId="11" w15:restartNumberingAfterBreak="0">
    <w:nsid w:val="36BD306A"/>
    <w:multiLevelType w:val="multilevel"/>
    <w:tmpl w:val="8C040BC8"/>
    <w:lvl w:ilvl="0">
      <w:start w:val="1"/>
      <w:numFmt w:val="bullet"/>
      <w:pStyle w:val="Checkbox1"/>
      <w:lvlText w:val=""/>
      <w:lvlJc w:val="left"/>
      <w:pPr>
        <w:tabs>
          <w:tab w:val="num" w:pos="567"/>
        </w:tabs>
        <w:ind w:left="567" w:hanging="567"/>
      </w:pPr>
      <w:rPr>
        <w:rFonts w:ascii="Wingdings 2" w:hAnsi="Wingdings 2" w:hint="default"/>
        <w:u w:color="696969"/>
      </w:rPr>
    </w:lvl>
    <w:lvl w:ilvl="1">
      <w:start w:val="1"/>
      <w:numFmt w:val="bullet"/>
      <w:pStyle w:val="Checkbox2"/>
      <w:lvlText w:val=""/>
      <w:lvlJc w:val="left"/>
      <w:pPr>
        <w:tabs>
          <w:tab w:val="num" w:pos="1134"/>
        </w:tabs>
        <w:ind w:left="1134" w:hanging="567"/>
      </w:pPr>
      <w:rPr>
        <w:rFonts w:ascii="Wingdings 2" w:hAnsi="Wingdings 2" w:hint="default"/>
      </w:rPr>
    </w:lvl>
    <w:lvl w:ilvl="2">
      <w:start w:val="1"/>
      <w:numFmt w:val="bullet"/>
      <w:pStyle w:val="Checkbox3"/>
      <w:lvlText w:val=""/>
      <w:lvlJc w:val="left"/>
      <w:pPr>
        <w:tabs>
          <w:tab w:val="num" w:pos="1701"/>
        </w:tabs>
        <w:ind w:left="1701" w:hanging="567"/>
      </w:pPr>
      <w:rPr>
        <w:rFonts w:ascii="Wingdings 2" w:hAnsi="Wingdings 2" w:hint="default"/>
      </w:rPr>
    </w:lvl>
    <w:lvl w:ilvl="3">
      <w:start w:val="1"/>
      <w:numFmt w:val="bullet"/>
      <w:pStyle w:val="Checkbox4"/>
      <w:lvlText w:val=""/>
      <w:lvlJc w:val="left"/>
      <w:pPr>
        <w:tabs>
          <w:tab w:val="num" w:pos="2268"/>
        </w:tabs>
        <w:ind w:left="2268" w:hanging="567"/>
      </w:pPr>
      <w:rPr>
        <w:rFonts w:ascii="Wingdings 2" w:hAnsi="Wingdings 2" w:hint="default"/>
      </w:rPr>
    </w:lvl>
    <w:lvl w:ilvl="4">
      <w:start w:val="1"/>
      <w:numFmt w:val="none"/>
      <w:suff w:val="nothing"/>
      <w:lvlText w:val=""/>
      <w:lvlJc w:val="left"/>
      <w:pPr>
        <w:ind w:left="2268" w:firstLine="0"/>
      </w:pPr>
      <w:rPr>
        <w:rFonts w:hint="default"/>
      </w:rPr>
    </w:lvl>
    <w:lvl w:ilvl="5">
      <w:start w:val="1"/>
      <w:numFmt w:val="none"/>
      <w:lvlText w:val=""/>
      <w:lvlJc w:val="left"/>
      <w:pPr>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12" w15:restartNumberingAfterBreak="0">
    <w:nsid w:val="377C497E"/>
    <w:multiLevelType w:val="multilevel"/>
    <w:tmpl w:val="D4D4899C"/>
    <w:lvl w:ilvl="0">
      <w:start w:val="1"/>
      <w:numFmt w:val="decimal"/>
      <w:pStyle w:val="Listoutline1-1"/>
      <w:lvlText w:val="%1."/>
      <w:lvlJc w:val="left"/>
      <w:pPr>
        <w:tabs>
          <w:tab w:val="num" w:pos="851"/>
        </w:tabs>
        <w:ind w:left="851" w:hanging="851"/>
      </w:pPr>
      <w:rPr>
        <w:rFonts w:hint="default"/>
      </w:rPr>
    </w:lvl>
    <w:lvl w:ilvl="1">
      <w:start w:val="1"/>
      <w:numFmt w:val="decimal"/>
      <w:pStyle w:val="Listoutline2-11"/>
      <w:lvlText w:val="%1.%2."/>
      <w:lvlJc w:val="left"/>
      <w:pPr>
        <w:tabs>
          <w:tab w:val="num" w:pos="851"/>
        </w:tabs>
        <w:ind w:left="851" w:hanging="851"/>
      </w:pPr>
      <w:rPr>
        <w:rFonts w:hint="default"/>
      </w:rPr>
    </w:lvl>
    <w:lvl w:ilvl="2">
      <w:start w:val="1"/>
      <w:numFmt w:val="decimal"/>
      <w:pStyle w:val="Listoutline3-111"/>
      <w:lvlText w:val="%1.%2.%3."/>
      <w:lvlJc w:val="left"/>
      <w:pPr>
        <w:tabs>
          <w:tab w:val="num" w:pos="851"/>
        </w:tabs>
        <w:ind w:left="851" w:hanging="851"/>
      </w:pPr>
      <w:rPr>
        <w:rFonts w:hint="default"/>
      </w:rPr>
    </w:lvl>
    <w:lvl w:ilvl="3">
      <w:start w:val="1"/>
      <w:numFmt w:val="lowerLetter"/>
      <w:pStyle w:val="Listoutline4-a"/>
      <w:lvlText w:val="%4."/>
      <w:lvlJc w:val="left"/>
      <w:pPr>
        <w:tabs>
          <w:tab w:val="num" w:pos="1418"/>
        </w:tabs>
        <w:ind w:left="1418" w:hanging="567"/>
      </w:pPr>
      <w:rPr>
        <w:rFonts w:hint="default"/>
      </w:rPr>
    </w:lvl>
    <w:lvl w:ilvl="4">
      <w:start w:val="1"/>
      <w:numFmt w:val="lowerRoman"/>
      <w:pStyle w:val="Listoutline5-i"/>
      <w:lvlText w:val="%5."/>
      <w:lvlJc w:val="left"/>
      <w:pPr>
        <w:tabs>
          <w:tab w:val="num" w:pos="1985"/>
        </w:tabs>
        <w:ind w:left="1985" w:hanging="567"/>
      </w:pPr>
      <w:rPr>
        <w:rFonts w:hint="default"/>
      </w:rPr>
    </w:lvl>
    <w:lvl w:ilvl="5">
      <w:start w:val="1"/>
      <w:numFmt w:val="none"/>
      <w:suff w:val="nothing"/>
      <w:lvlText w:val=""/>
      <w:lvlJc w:val="left"/>
      <w:pPr>
        <w:ind w:left="1985"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81D5E25"/>
    <w:multiLevelType w:val="multilevel"/>
    <w:tmpl w:val="174E6B08"/>
    <w:lvl w:ilvl="0">
      <w:start w:val="1"/>
      <w:numFmt w:val="decimal"/>
      <w:pStyle w:val="TableNumber1"/>
      <w:lvlText w:val="%1."/>
      <w:lvlJc w:val="left"/>
      <w:pPr>
        <w:tabs>
          <w:tab w:val="num" w:pos="357"/>
        </w:tabs>
        <w:ind w:left="357" w:hanging="357"/>
      </w:pPr>
      <w:rPr>
        <w:rFonts w:hint="eastAsia"/>
        <w:u w:color="696969"/>
      </w:rPr>
    </w:lvl>
    <w:lvl w:ilvl="1">
      <w:start w:val="1"/>
      <w:numFmt w:val="lowerLetter"/>
      <w:pStyle w:val="TableNumbera"/>
      <w:lvlText w:val="%2."/>
      <w:lvlJc w:val="left"/>
      <w:pPr>
        <w:tabs>
          <w:tab w:val="num" w:pos="714"/>
        </w:tabs>
        <w:ind w:left="714" w:hanging="357"/>
      </w:pPr>
      <w:rPr>
        <w:rFonts w:hint="default"/>
      </w:rPr>
    </w:lvl>
    <w:lvl w:ilvl="2">
      <w:start w:val="1"/>
      <w:numFmt w:val="lowerRoman"/>
      <w:pStyle w:val="Table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4" w15:restartNumberingAfterBreak="0">
    <w:nsid w:val="39744B21"/>
    <w:multiLevelType w:val="multilevel"/>
    <w:tmpl w:val="BB00A090"/>
    <w:lvl w:ilvl="0">
      <w:start w:val="1"/>
      <w:numFmt w:val="bullet"/>
      <w:pStyle w:val="QListbullet"/>
      <w:lvlText w:val=""/>
      <w:lvlJc w:val="left"/>
      <w:pPr>
        <w:tabs>
          <w:tab w:val="num" w:pos="1134"/>
        </w:tabs>
        <w:ind w:left="1134" w:hanging="567"/>
      </w:pPr>
      <w:rPr>
        <w:rFonts w:ascii="Symbol" w:hAnsi="Symbol" w:hint="default"/>
      </w:rPr>
    </w:lvl>
    <w:lvl w:ilvl="1">
      <w:start w:val="1"/>
      <w:numFmt w:val="none"/>
      <w:suff w:val="nothing"/>
      <w:lvlText w:val=""/>
      <w:lvlJc w:val="left"/>
      <w:pPr>
        <w:ind w:left="1134" w:firstLine="0"/>
      </w:pPr>
      <w:rPr>
        <w:rFonts w:hint="default"/>
      </w:rPr>
    </w:lvl>
    <w:lvl w:ilvl="2">
      <w:start w:val="1"/>
      <w:numFmt w:val="none"/>
      <w:suff w:val="nothing"/>
      <w:lvlText w:val=""/>
      <w:lvlJc w:val="left"/>
      <w:pPr>
        <w:ind w:left="1134" w:firstLine="0"/>
      </w:pPr>
      <w:rPr>
        <w:rFonts w:hint="default"/>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15" w15:restartNumberingAfterBreak="0">
    <w:nsid w:val="4557561E"/>
    <w:multiLevelType w:val="multilevel"/>
    <w:tmpl w:val="FD043240"/>
    <w:lvl w:ilvl="0">
      <w:start w:val="1"/>
      <w:numFmt w:val="none"/>
      <w:pStyle w:val="Heading1"/>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righ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right"/>
      <w:pPr>
        <w:ind w:left="0" w:firstLine="0"/>
      </w:pPr>
      <w:rPr>
        <w:rFonts w:hint="default"/>
      </w:rPr>
    </w:lvl>
  </w:abstractNum>
  <w:abstractNum w:abstractNumId="16" w15:restartNumberingAfterBreak="0">
    <w:nsid w:val="45B0454E"/>
    <w:multiLevelType w:val="multilevel"/>
    <w:tmpl w:val="1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FC32322"/>
    <w:multiLevelType w:val="multilevel"/>
    <w:tmpl w:val="6A3E2472"/>
    <w:lvl w:ilvl="0">
      <w:start w:val="1"/>
      <w:numFmt w:val="decimal"/>
      <w:pStyle w:val="Number1"/>
      <w:lvlText w:val="%1."/>
      <w:lvlJc w:val="left"/>
      <w:pPr>
        <w:tabs>
          <w:tab w:val="num" w:pos="567"/>
        </w:tabs>
        <w:ind w:left="567" w:hanging="567"/>
      </w:pPr>
      <w:rPr>
        <w:rFonts w:hint="eastAsia"/>
        <w:u w:color="696969"/>
      </w:rPr>
    </w:lvl>
    <w:lvl w:ilvl="1">
      <w:start w:val="1"/>
      <w:numFmt w:val="lowerLetter"/>
      <w:pStyle w:val="Number2"/>
      <w:lvlText w:val="%2."/>
      <w:lvlJc w:val="left"/>
      <w:pPr>
        <w:tabs>
          <w:tab w:val="num" w:pos="1134"/>
        </w:tabs>
        <w:ind w:left="1134" w:hanging="567"/>
      </w:pPr>
      <w:rPr>
        <w:rFonts w:hint="default"/>
      </w:rPr>
    </w:lvl>
    <w:lvl w:ilvl="2">
      <w:start w:val="1"/>
      <w:numFmt w:val="lowerRoman"/>
      <w:pStyle w:val="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18" w15:restartNumberingAfterBreak="0">
    <w:nsid w:val="5F465289"/>
    <w:multiLevelType w:val="multilevel"/>
    <w:tmpl w:val="6AB2BB48"/>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2966121"/>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39818B9"/>
    <w:multiLevelType w:val="multilevel"/>
    <w:tmpl w:val="AE28E690"/>
    <w:lvl w:ilvl="0">
      <w:start w:val="1"/>
      <w:numFmt w:val="bullet"/>
      <w:pStyle w:val="TableBullet1"/>
      <w:lvlText w:val=""/>
      <w:lvlJc w:val="left"/>
      <w:pPr>
        <w:tabs>
          <w:tab w:val="num" w:pos="357"/>
        </w:tabs>
        <w:ind w:left="357" w:hanging="357"/>
      </w:pPr>
      <w:rPr>
        <w:rFonts w:ascii="Symbol" w:hAnsi="Symbol" w:hint="default"/>
        <w:u w:color="696969"/>
      </w:rPr>
    </w:lvl>
    <w:lvl w:ilvl="1">
      <w:start w:val="1"/>
      <w:numFmt w:val="bullet"/>
      <w:pStyle w:val="TableBullet2"/>
      <w:lvlText w:val="-"/>
      <w:lvlJc w:val="left"/>
      <w:pPr>
        <w:tabs>
          <w:tab w:val="num" w:pos="714"/>
        </w:tabs>
        <w:ind w:left="714" w:hanging="357"/>
      </w:pPr>
      <w:rPr>
        <w:rFonts w:ascii="Calibri" w:hAnsi="Calibri" w:hint="default"/>
      </w:rPr>
    </w:lvl>
    <w:lvl w:ilvl="2">
      <w:start w:val="1"/>
      <w:numFmt w:val="bullet"/>
      <w:pStyle w:val="TableBullet3"/>
      <w:lvlText w:val="›"/>
      <w:lvlJc w:val="left"/>
      <w:pPr>
        <w:tabs>
          <w:tab w:val="num" w:pos="1072"/>
        </w:tabs>
        <w:ind w:left="1072" w:hanging="358"/>
      </w:pPr>
      <w:rPr>
        <w:rFonts w:ascii="Calibri" w:hAnsi="Calibri"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21" w15:restartNumberingAfterBreak="0">
    <w:nsid w:val="688B6577"/>
    <w:multiLevelType w:val="multilevel"/>
    <w:tmpl w:val="BA4EF786"/>
    <w:lvl w:ilvl="0">
      <w:start w:val="1"/>
      <w:numFmt w:val="decimal"/>
      <w:pStyle w:val="HeadingAppendix"/>
      <w:suff w:val="space"/>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E795464"/>
    <w:multiLevelType w:val="multilevel"/>
    <w:tmpl w:val="060E9DC8"/>
    <w:lvl w:ilvl="0">
      <w:start w:val="1"/>
      <w:numFmt w:val="lowerLetter"/>
      <w:pStyle w:val="Number-a"/>
      <w:lvlText w:val="%1."/>
      <w:lvlJc w:val="left"/>
      <w:pPr>
        <w:tabs>
          <w:tab w:val="num" w:pos="1418"/>
        </w:tabs>
        <w:ind w:left="1418" w:hanging="567"/>
      </w:pPr>
      <w:rPr>
        <w:rFonts w:hint="default"/>
      </w:rPr>
    </w:lvl>
    <w:lvl w:ilvl="1">
      <w:start w:val="1"/>
      <w:numFmt w:val="lowerRoman"/>
      <w:pStyle w:val="Number-i"/>
      <w:lvlText w:val="%2."/>
      <w:lvlJc w:val="left"/>
      <w:pPr>
        <w:tabs>
          <w:tab w:val="num" w:pos="1985"/>
        </w:tabs>
        <w:ind w:left="1985" w:hanging="567"/>
      </w:pPr>
      <w:rPr>
        <w:rFonts w:hint="default"/>
      </w:rPr>
    </w:lvl>
    <w:lvl w:ilvl="2">
      <w:start w:val="1"/>
      <w:numFmt w:val="none"/>
      <w:suff w:val="nothing"/>
      <w:lvlText w:val=""/>
      <w:lvlJc w:val="left"/>
      <w:pPr>
        <w:ind w:left="1985" w:firstLine="0"/>
      </w:pPr>
      <w:rPr>
        <w:rFonts w:hint="default"/>
      </w:rPr>
    </w:lvl>
    <w:lvl w:ilvl="3">
      <w:start w:val="1"/>
      <w:numFmt w:val="none"/>
      <w:suff w:val="nothing"/>
      <w:lvlText w:val=""/>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23" w15:restartNumberingAfterBreak="0">
    <w:nsid w:val="6EB01AD9"/>
    <w:multiLevelType w:val="multilevel"/>
    <w:tmpl w:val="5E14BAB2"/>
    <w:lvl w:ilvl="0">
      <w:start w:val="1"/>
      <w:numFmt w:val="lowerLetter"/>
      <w:pStyle w:val="QListalpha"/>
      <w:lvlText w:val="%1."/>
      <w:lvlJc w:val="left"/>
      <w:pPr>
        <w:tabs>
          <w:tab w:val="num" w:pos="1134"/>
        </w:tabs>
        <w:ind w:left="1134" w:hanging="567"/>
      </w:pPr>
      <w:rPr>
        <w:rFonts w:hint="default"/>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6A26424"/>
    <w:multiLevelType w:val="multilevel"/>
    <w:tmpl w:val="15A022C6"/>
    <w:lvl w:ilvl="0">
      <w:start w:val="1"/>
      <w:numFmt w:val="bullet"/>
      <w:pStyle w:val="Bullet1"/>
      <w:lvlText w:val=""/>
      <w:lvlJc w:val="left"/>
      <w:pPr>
        <w:tabs>
          <w:tab w:val="num" w:pos="567"/>
        </w:tabs>
        <w:ind w:left="567" w:hanging="567"/>
      </w:pPr>
      <w:rPr>
        <w:rFonts w:ascii="Symbol" w:hAnsi="Symbol" w:hint="default"/>
      </w:rPr>
    </w:lvl>
    <w:lvl w:ilvl="1">
      <w:start w:val="1"/>
      <w:numFmt w:val="bullet"/>
      <w:pStyle w:val="Bullet2"/>
      <w:lvlText w:val="-"/>
      <w:lvlJc w:val="left"/>
      <w:pPr>
        <w:tabs>
          <w:tab w:val="num" w:pos="1134"/>
        </w:tabs>
        <w:ind w:left="1134" w:hanging="567"/>
      </w:pPr>
      <w:rPr>
        <w:rFonts w:ascii="Calibri" w:hAnsi="Calibri" w:hint="default"/>
      </w:rPr>
    </w:lvl>
    <w:lvl w:ilvl="2">
      <w:start w:val="1"/>
      <w:numFmt w:val="bullet"/>
      <w:pStyle w:val="Bullet3"/>
      <w:lvlText w:val="›"/>
      <w:lvlJc w:val="left"/>
      <w:pPr>
        <w:tabs>
          <w:tab w:val="num" w:pos="1701"/>
        </w:tabs>
        <w:ind w:left="1701" w:hanging="567"/>
      </w:pPr>
      <w:rPr>
        <w:rFonts w:ascii="Calibri" w:hAnsi="Calibri" w:hint="default"/>
      </w:rPr>
    </w:lvl>
    <w:lvl w:ilvl="3">
      <w:start w:val="1"/>
      <w:numFmt w:val="bullet"/>
      <w:pStyle w:val="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none"/>
      <w:lvlText w:val=""/>
      <w:lvlJc w:val="left"/>
      <w:pPr>
        <w:tabs>
          <w:tab w:val="num" w:pos="2268"/>
        </w:tabs>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25" w15:restartNumberingAfterBreak="0">
    <w:nsid w:val="7ADA6070"/>
    <w:multiLevelType w:val="multilevel"/>
    <w:tmpl w:val="C316A96C"/>
    <w:lvl w:ilvl="0">
      <w:start w:val="1"/>
      <w:numFmt w:val="bullet"/>
      <w:pStyle w:val="Introductionbullet1"/>
      <w:lvlText w:val=""/>
      <w:lvlJc w:val="left"/>
      <w:pPr>
        <w:tabs>
          <w:tab w:val="num" w:pos="567"/>
        </w:tabs>
        <w:ind w:left="567" w:hanging="567"/>
      </w:pPr>
      <w:rPr>
        <w:rFonts w:ascii="Symbol" w:hAnsi="Symbol" w:hint="default"/>
        <w:color w:val="auto"/>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6" w15:restartNumberingAfterBreak="0">
    <w:nsid w:val="7B247774"/>
    <w:multiLevelType w:val="multilevel"/>
    <w:tmpl w:val="64685270"/>
    <w:lvl w:ilvl="0">
      <w:start w:val="1"/>
      <w:numFmt w:val="decimal"/>
      <w:pStyle w:val="QListnumber"/>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left"/>
      <w:pPr>
        <w:tabs>
          <w:tab w:val="num" w:pos="2268"/>
        </w:tabs>
        <w:ind w:left="2268" w:hanging="567"/>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num w:numId="1" w16cid:durableId="381440522">
    <w:abstractNumId w:val="18"/>
  </w:num>
  <w:num w:numId="2" w16cid:durableId="1994794227">
    <w:abstractNumId w:val="2"/>
  </w:num>
  <w:num w:numId="3" w16cid:durableId="1192106415">
    <w:abstractNumId w:val="12"/>
  </w:num>
  <w:num w:numId="4" w16cid:durableId="1205408794">
    <w:abstractNumId w:val="21"/>
  </w:num>
  <w:num w:numId="5" w16cid:durableId="1620907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1712870">
    <w:abstractNumId w:val="19"/>
  </w:num>
  <w:num w:numId="7" w16cid:durableId="1352608299">
    <w:abstractNumId w:val="25"/>
  </w:num>
  <w:num w:numId="8" w16cid:durableId="480998810">
    <w:abstractNumId w:val="16"/>
  </w:num>
  <w:num w:numId="9" w16cid:durableId="1632781482">
    <w:abstractNumId w:val="7"/>
  </w:num>
  <w:num w:numId="10" w16cid:durableId="990527749">
    <w:abstractNumId w:val="10"/>
  </w:num>
  <w:num w:numId="11" w16cid:durableId="443040101">
    <w:abstractNumId w:val="24"/>
  </w:num>
  <w:num w:numId="12" w16cid:durableId="1233152696">
    <w:abstractNumId w:val="11"/>
  </w:num>
  <w:num w:numId="13" w16cid:durableId="1758939011">
    <w:abstractNumId w:val="6"/>
  </w:num>
  <w:num w:numId="14" w16cid:durableId="5139078">
    <w:abstractNumId w:val="9"/>
  </w:num>
  <w:num w:numId="15" w16cid:durableId="1614633084">
    <w:abstractNumId w:val="3"/>
  </w:num>
  <w:num w:numId="16" w16cid:durableId="705450350">
    <w:abstractNumId w:val="22"/>
  </w:num>
  <w:num w:numId="17" w16cid:durableId="2022931087">
    <w:abstractNumId w:val="17"/>
  </w:num>
  <w:num w:numId="18" w16cid:durableId="1481270876">
    <w:abstractNumId w:val="23"/>
  </w:num>
  <w:num w:numId="19" w16cid:durableId="1961912825">
    <w:abstractNumId w:val="14"/>
  </w:num>
  <w:num w:numId="20" w16cid:durableId="1262949951">
    <w:abstractNumId w:val="26"/>
  </w:num>
  <w:num w:numId="21" w16cid:durableId="5518159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0282233">
    <w:abstractNumId w:val="20"/>
  </w:num>
  <w:num w:numId="23" w16cid:durableId="1950817405">
    <w:abstractNumId w:val="0"/>
  </w:num>
  <w:num w:numId="24" w16cid:durableId="1980258134">
    <w:abstractNumId w:val="13"/>
  </w:num>
  <w:num w:numId="25" w16cid:durableId="1324813942">
    <w:abstractNumId w:val="15"/>
  </w:num>
  <w:num w:numId="26" w16cid:durableId="1207327553">
    <w:abstractNumId w:val="6"/>
  </w:num>
  <w:num w:numId="27" w16cid:durableId="1677927142">
    <w:abstractNumId w:val="9"/>
  </w:num>
  <w:num w:numId="28" w16cid:durableId="1293750958">
    <w:abstractNumId w:val="9"/>
  </w:num>
  <w:num w:numId="29" w16cid:durableId="917135258">
    <w:abstractNumId w:val="9"/>
  </w:num>
  <w:num w:numId="30" w16cid:durableId="1653828861">
    <w:abstractNumId w:val="25"/>
  </w:num>
  <w:num w:numId="31" w16cid:durableId="7756506">
    <w:abstractNumId w:val="5"/>
  </w:num>
  <w:num w:numId="32" w16cid:durableId="18134778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94118868">
    <w:abstractNumId w:val="4"/>
  </w:num>
  <w:num w:numId="34" w16cid:durableId="1160924750">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339505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92314821">
    <w:abstractNumId w:val="7"/>
  </w:num>
  <w:num w:numId="37" w16cid:durableId="836924758">
    <w:abstractNumId w:val="10"/>
  </w:num>
  <w:num w:numId="38" w16cid:durableId="1795440765">
    <w:abstractNumId w:val="10"/>
  </w:num>
  <w:num w:numId="39" w16cid:durableId="681856554">
    <w:abstractNumId w:val="10"/>
  </w:num>
  <w:num w:numId="40" w16cid:durableId="1462920832">
    <w:abstractNumId w:val="10"/>
  </w:num>
  <w:num w:numId="41" w16cid:durableId="28343159">
    <w:abstractNumId w:val="10"/>
  </w:num>
  <w:num w:numId="42" w16cid:durableId="1142775938">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characterSpacingControl w:val="doNotCompress"/>
  <w:savePreviewPicture/>
  <w:hdrShapeDefaults>
    <o:shapedefaults v:ext="edit" spidmax="2050"/>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urOption" w:val="blue"/>
    <w:docVar w:name="ContentsAppendix" w:val="0"/>
    <w:docVar w:name="ContentsCreated" w:val="1"/>
    <w:docVar w:name="ContentsFigure" w:val="0"/>
    <w:docVar w:name="ContentsMain" w:val="1"/>
    <w:docVar w:name="ContentsMainLevel" w:val="3"/>
    <w:docVar w:name="ContentsTable" w:val="0"/>
    <w:docVar w:name="dvShortText" w:val="Guide: Publicly available information August 2019 |"/>
    <w:docVar w:name="dvShortTextFrm" w:val="Guide: Publicly available information August 2019"/>
    <w:docVar w:name="IsfirstTb" w:val="False"/>
    <w:docVar w:name="IsInTable" w:val="False"/>
    <w:docVar w:name="OOTOTemplate" w:val="OOTO Strategic Services\Guide.dotm"/>
  </w:docVars>
  <w:rsids>
    <w:rsidRoot w:val="003931F9"/>
    <w:rsid w:val="00000AEE"/>
    <w:rsid w:val="0000119D"/>
    <w:rsid w:val="0000164C"/>
    <w:rsid w:val="00002D4B"/>
    <w:rsid w:val="00002E2B"/>
    <w:rsid w:val="000048D2"/>
    <w:rsid w:val="0000771B"/>
    <w:rsid w:val="00007CD6"/>
    <w:rsid w:val="00013095"/>
    <w:rsid w:val="00013791"/>
    <w:rsid w:val="0001776B"/>
    <w:rsid w:val="00021382"/>
    <w:rsid w:val="00021A51"/>
    <w:rsid w:val="00024F53"/>
    <w:rsid w:val="00026A3B"/>
    <w:rsid w:val="000273F0"/>
    <w:rsid w:val="00027F11"/>
    <w:rsid w:val="00031648"/>
    <w:rsid w:val="000328E9"/>
    <w:rsid w:val="00032A75"/>
    <w:rsid w:val="000332B6"/>
    <w:rsid w:val="00035821"/>
    <w:rsid w:val="0003723C"/>
    <w:rsid w:val="00037D9B"/>
    <w:rsid w:val="00040211"/>
    <w:rsid w:val="000402E7"/>
    <w:rsid w:val="00040F52"/>
    <w:rsid w:val="00041615"/>
    <w:rsid w:val="000417E0"/>
    <w:rsid w:val="000419C3"/>
    <w:rsid w:val="00045FD7"/>
    <w:rsid w:val="00046B63"/>
    <w:rsid w:val="00047CB7"/>
    <w:rsid w:val="00050123"/>
    <w:rsid w:val="00053114"/>
    <w:rsid w:val="00056C09"/>
    <w:rsid w:val="00057C4D"/>
    <w:rsid w:val="00064CFD"/>
    <w:rsid w:val="00065881"/>
    <w:rsid w:val="000822C8"/>
    <w:rsid w:val="00084702"/>
    <w:rsid w:val="00084FC2"/>
    <w:rsid w:val="000929F9"/>
    <w:rsid w:val="00093C9D"/>
    <w:rsid w:val="0009569A"/>
    <w:rsid w:val="000965D2"/>
    <w:rsid w:val="00097211"/>
    <w:rsid w:val="00097A83"/>
    <w:rsid w:val="00097E3A"/>
    <w:rsid w:val="000A075E"/>
    <w:rsid w:val="000A18DA"/>
    <w:rsid w:val="000A39DB"/>
    <w:rsid w:val="000A4639"/>
    <w:rsid w:val="000A56A9"/>
    <w:rsid w:val="000A6166"/>
    <w:rsid w:val="000B0F16"/>
    <w:rsid w:val="000B43C3"/>
    <w:rsid w:val="000B60ED"/>
    <w:rsid w:val="000C2A01"/>
    <w:rsid w:val="000C487C"/>
    <w:rsid w:val="000D3B26"/>
    <w:rsid w:val="000D4757"/>
    <w:rsid w:val="000D5790"/>
    <w:rsid w:val="000D6DA5"/>
    <w:rsid w:val="000D6FA6"/>
    <w:rsid w:val="000D7809"/>
    <w:rsid w:val="000E2563"/>
    <w:rsid w:val="000E2C2F"/>
    <w:rsid w:val="000E48F3"/>
    <w:rsid w:val="000E575D"/>
    <w:rsid w:val="000E5CD1"/>
    <w:rsid w:val="000E7176"/>
    <w:rsid w:val="000F09B0"/>
    <w:rsid w:val="000F0E12"/>
    <w:rsid w:val="000F1C60"/>
    <w:rsid w:val="000F32C4"/>
    <w:rsid w:val="000F358E"/>
    <w:rsid w:val="000F496B"/>
    <w:rsid w:val="000F4A8C"/>
    <w:rsid w:val="000F5D79"/>
    <w:rsid w:val="00100392"/>
    <w:rsid w:val="001066EF"/>
    <w:rsid w:val="001110B8"/>
    <w:rsid w:val="001139EC"/>
    <w:rsid w:val="00114A85"/>
    <w:rsid w:val="00114C6B"/>
    <w:rsid w:val="00114C7F"/>
    <w:rsid w:val="00123968"/>
    <w:rsid w:val="00124169"/>
    <w:rsid w:val="00124C40"/>
    <w:rsid w:val="0012691A"/>
    <w:rsid w:val="00132864"/>
    <w:rsid w:val="00132D84"/>
    <w:rsid w:val="00134987"/>
    <w:rsid w:val="001364B9"/>
    <w:rsid w:val="00137A07"/>
    <w:rsid w:val="00140996"/>
    <w:rsid w:val="00140DAC"/>
    <w:rsid w:val="00140DD8"/>
    <w:rsid w:val="0014422F"/>
    <w:rsid w:val="00144C1B"/>
    <w:rsid w:val="00150AD4"/>
    <w:rsid w:val="00151C6C"/>
    <w:rsid w:val="00151F5B"/>
    <w:rsid w:val="00153BD3"/>
    <w:rsid w:val="00157E61"/>
    <w:rsid w:val="001602AB"/>
    <w:rsid w:val="00160E82"/>
    <w:rsid w:val="001616F4"/>
    <w:rsid w:val="001655AD"/>
    <w:rsid w:val="00166C30"/>
    <w:rsid w:val="00167506"/>
    <w:rsid w:val="00170231"/>
    <w:rsid w:val="0017216A"/>
    <w:rsid w:val="001752D0"/>
    <w:rsid w:val="001753BE"/>
    <w:rsid w:val="001760FC"/>
    <w:rsid w:val="00177807"/>
    <w:rsid w:val="001822E3"/>
    <w:rsid w:val="00184B58"/>
    <w:rsid w:val="00186A52"/>
    <w:rsid w:val="001870BE"/>
    <w:rsid w:val="001872A2"/>
    <w:rsid w:val="00187D74"/>
    <w:rsid w:val="00190A34"/>
    <w:rsid w:val="001922D6"/>
    <w:rsid w:val="00193B7F"/>
    <w:rsid w:val="00194237"/>
    <w:rsid w:val="00194280"/>
    <w:rsid w:val="001944D8"/>
    <w:rsid w:val="001954BF"/>
    <w:rsid w:val="00197401"/>
    <w:rsid w:val="001A265F"/>
    <w:rsid w:val="001A3D14"/>
    <w:rsid w:val="001A415D"/>
    <w:rsid w:val="001A4C19"/>
    <w:rsid w:val="001B1A7C"/>
    <w:rsid w:val="001B23FE"/>
    <w:rsid w:val="001B2F94"/>
    <w:rsid w:val="001B31CF"/>
    <w:rsid w:val="001B688C"/>
    <w:rsid w:val="001C12AF"/>
    <w:rsid w:val="001D13B7"/>
    <w:rsid w:val="001D4691"/>
    <w:rsid w:val="001D6059"/>
    <w:rsid w:val="001E067E"/>
    <w:rsid w:val="001E16D0"/>
    <w:rsid w:val="001E7288"/>
    <w:rsid w:val="001E795E"/>
    <w:rsid w:val="001E79D7"/>
    <w:rsid w:val="001F0C1C"/>
    <w:rsid w:val="001F0E26"/>
    <w:rsid w:val="001F14C5"/>
    <w:rsid w:val="001F20AE"/>
    <w:rsid w:val="001F46F3"/>
    <w:rsid w:val="001F5391"/>
    <w:rsid w:val="001F6FC1"/>
    <w:rsid w:val="0020018D"/>
    <w:rsid w:val="00200C37"/>
    <w:rsid w:val="00201616"/>
    <w:rsid w:val="002028BB"/>
    <w:rsid w:val="00202E8C"/>
    <w:rsid w:val="00204247"/>
    <w:rsid w:val="002052B2"/>
    <w:rsid w:val="00207767"/>
    <w:rsid w:val="00210377"/>
    <w:rsid w:val="0021064F"/>
    <w:rsid w:val="002112EB"/>
    <w:rsid w:val="002151BC"/>
    <w:rsid w:val="00217F95"/>
    <w:rsid w:val="00220309"/>
    <w:rsid w:val="00221D0F"/>
    <w:rsid w:val="00222803"/>
    <w:rsid w:val="00222B57"/>
    <w:rsid w:val="00222EA0"/>
    <w:rsid w:val="00224421"/>
    <w:rsid w:val="002262CA"/>
    <w:rsid w:val="0023071A"/>
    <w:rsid w:val="00230D00"/>
    <w:rsid w:val="00230FF4"/>
    <w:rsid w:val="0023319C"/>
    <w:rsid w:val="00241DFC"/>
    <w:rsid w:val="00245ACC"/>
    <w:rsid w:val="00250527"/>
    <w:rsid w:val="00251056"/>
    <w:rsid w:val="00251456"/>
    <w:rsid w:val="00253466"/>
    <w:rsid w:val="002539A9"/>
    <w:rsid w:val="00257DA0"/>
    <w:rsid w:val="00260799"/>
    <w:rsid w:val="00262294"/>
    <w:rsid w:val="00263B2F"/>
    <w:rsid w:val="0027214C"/>
    <w:rsid w:val="00272307"/>
    <w:rsid w:val="00272886"/>
    <w:rsid w:val="00272EB5"/>
    <w:rsid w:val="00274E49"/>
    <w:rsid w:val="00275241"/>
    <w:rsid w:val="002759C0"/>
    <w:rsid w:val="00277344"/>
    <w:rsid w:val="00277FA8"/>
    <w:rsid w:val="002819FD"/>
    <w:rsid w:val="00283493"/>
    <w:rsid w:val="00283CAD"/>
    <w:rsid w:val="00283D4E"/>
    <w:rsid w:val="002841A8"/>
    <w:rsid w:val="002846D8"/>
    <w:rsid w:val="00284C51"/>
    <w:rsid w:val="00290578"/>
    <w:rsid w:val="0029128B"/>
    <w:rsid w:val="002917E8"/>
    <w:rsid w:val="00292161"/>
    <w:rsid w:val="00295101"/>
    <w:rsid w:val="002A1D84"/>
    <w:rsid w:val="002A26BA"/>
    <w:rsid w:val="002A657C"/>
    <w:rsid w:val="002A67F4"/>
    <w:rsid w:val="002A6D05"/>
    <w:rsid w:val="002A7B22"/>
    <w:rsid w:val="002B0E1C"/>
    <w:rsid w:val="002B1948"/>
    <w:rsid w:val="002B319F"/>
    <w:rsid w:val="002B48BA"/>
    <w:rsid w:val="002B5274"/>
    <w:rsid w:val="002B5D4E"/>
    <w:rsid w:val="002B6A20"/>
    <w:rsid w:val="002B6A6C"/>
    <w:rsid w:val="002B7379"/>
    <w:rsid w:val="002C0241"/>
    <w:rsid w:val="002C04B2"/>
    <w:rsid w:val="002C4624"/>
    <w:rsid w:val="002C50B5"/>
    <w:rsid w:val="002C54BA"/>
    <w:rsid w:val="002C5F1C"/>
    <w:rsid w:val="002C633B"/>
    <w:rsid w:val="002C6574"/>
    <w:rsid w:val="002D00DA"/>
    <w:rsid w:val="002D09E7"/>
    <w:rsid w:val="002D4A7A"/>
    <w:rsid w:val="002D6610"/>
    <w:rsid w:val="002D6AA9"/>
    <w:rsid w:val="002D6E92"/>
    <w:rsid w:val="002D707B"/>
    <w:rsid w:val="002D7807"/>
    <w:rsid w:val="002D7848"/>
    <w:rsid w:val="002E1AEB"/>
    <w:rsid w:val="002E6071"/>
    <w:rsid w:val="002E617A"/>
    <w:rsid w:val="002E6678"/>
    <w:rsid w:val="002E67B1"/>
    <w:rsid w:val="002E6923"/>
    <w:rsid w:val="002E6A33"/>
    <w:rsid w:val="002F1071"/>
    <w:rsid w:val="002F134C"/>
    <w:rsid w:val="002F2103"/>
    <w:rsid w:val="002F2702"/>
    <w:rsid w:val="002F46D1"/>
    <w:rsid w:val="002F4E51"/>
    <w:rsid w:val="002F510A"/>
    <w:rsid w:val="002F7A08"/>
    <w:rsid w:val="002F7D54"/>
    <w:rsid w:val="003002CA"/>
    <w:rsid w:val="00300456"/>
    <w:rsid w:val="0030460D"/>
    <w:rsid w:val="00307592"/>
    <w:rsid w:val="003112A9"/>
    <w:rsid w:val="003129A2"/>
    <w:rsid w:val="00313ABD"/>
    <w:rsid w:val="00313F8E"/>
    <w:rsid w:val="00317D8B"/>
    <w:rsid w:val="0032049B"/>
    <w:rsid w:val="00321801"/>
    <w:rsid w:val="00321D36"/>
    <w:rsid w:val="003223E6"/>
    <w:rsid w:val="00323FD0"/>
    <w:rsid w:val="00330EBC"/>
    <w:rsid w:val="003319B5"/>
    <w:rsid w:val="00333E4D"/>
    <w:rsid w:val="003374ED"/>
    <w:rsid w:val="00337BE6"/>
    <w:rsid w:val="00342270"/>
    <w:rsid w:val="00342CEE"/>
    <w:rsid w:val="00346DF6"/>
    <w:rsid w:val="003516B6"/>
    <w:rsid w:val="003547A7"/>
    <w:rsid w:val="00355574"/>
    <w:rsid w:val="00357328"/>
    <w:rsid w:val="0035756E"/>
    <w:rsid w:val="00357FDA"/>
    <w:rsid w:val="0036017F"/>
    <w:rsid w:val="003604FA"/>
    <w:rsid w:val="0036078D"/>
    <w:rsid w:val="003612FC"/>
    <w:rsid w:val="00362D0D"/>
    <w:rsid w:val="00363187"/>
    <w:rsid w:val="003656AB"/>
    <w:rsid w:val="0036690F"/>
    <w:rsid w:val="00370E9F"/>
    <w:rsid w:val="00371B5E"/>
    <w:rsid w:val="003723B3"/>
    <w:rsid w:val="00372EF3"/>
    <w:rsid w:val="00373DCE"/>
    <w:rsid w:val="00376318"/>
    <w:rsid w:val="0037732A"/>
    <w:rsid w:val="00377D53"/>
    <w:rsid w:val="003808C4"/>
    <w:rsid w:val="00381FBC"/>
    <w:rsid w:val="00382244"/>
    <w:rsid w:val="003832EA"/>
    <w:rsid w:val="00383460"/>
    <w:rsid w:val="003835E4"/>
    <w:rsid w:val="00385BCC"/>
    <w:rsid w:val="00385F42"/>
    <w:rsid w:val="003876DD"/>
    <w:rsid w:val="003931F9"/>
    <w:rsid w:val="00396770"/>
    <w:rsid w:val="003967AB"/>
    <w:rsid w:val="003A1465"/>
    <w:rsid w:val="003A4539"/>
    <w:rsid w:val="003A48ED"/>
    <w:rsid w:val="003A4EB3"/>
    <w:rsid w:val="003A5966"/>
    <w:rsid w:val="003A66F9"/>
    <w:rsid w:val="003B1B8B"/>
    <w:rsid w:val="003B2D9B"/>
    <w:rsid w:val="003B2E54"/>
    <w:rsid w:val="003B3A16"/>
    <w:rsid w:val="003B4400"/>
    <w:rsid w:val="003B46E7"/>
    <w:rsid w:val="003C1714"/>
    <w:rsid w:val="003C2059"/>
    <w:rsid w:val="003C4C36"/>
    <w:rsid w:val="003D02D4"/>
    <w:rsid w:val="003D139D"/>
    <w:rsid w:val="003D5E5C"/>
    <w:rsid w:val="003D6BC2"/>
    <w:rsid w:val="003D6FB0"/>
    <w:rsid w:val="003E0C37"/>
    <w:rsid w:val="003E433B"/>
    <w:rsid w:val="003E4400"/>
    <w:rsid w:val="003E4EA5"/>
    <w:rsid w:val="003E51DA"/>
    <w:rsid w:val="003E5630"/>
    <w:rsid w:val="003E5BC8"/>
    <w:rsid w:val="003E6107"/>
    <w:rsid w:val="003E6625"/>
    <w:rsid w:val="003E7D56"/>
    <w:rsid w:val="003F0032"/>
    <w:rsid w:val="003F0E79"/>
    <w:rsid w:val="003F3280"/>
    <w:rsid w:val="003F6369"/>
    <w:rsid w:val="003F7B31"/>
    <w:rsid w:val="00400410"/>
    <w:rsid w:val="0040400D"/>
    <w:rsid w:val="004044E0"/>
    <w:rsid w:val="00404C91"/>
    <w:rsid w:val="00405E1E"/>
    <w:rsid w:val="00406000"/>
    <w:rsid w:val="004061BA"/>
    <w:rsid w:val="00410181"/>
    <w:rsid w:val="004118FD"/>
    <w:rsid w:val="00411A78"/>
    <w:rsid w:val="004213E5"/>
    <w:rsid w:val="00424DBC"/>
    <w:rsid w:val="0042731A"/>
    <w:rsid w:val="004302DE"/>
    <w:rsid w:val="00431844"/>
    <w:rsid w:val="00431860"/>
    <w:rsid w:val="00433038"/>
    <w:rsid w:val="00433F89"/>
    <w:rsid w:val="00435531"/>
    <w:rsid w:val="0043648F"/>
    <w:rsid w:val="0044152D"/>
    <w:rsid w:val="00442610"/>
    <w:rsid w:val="004426B5"/>
    <w:rsid w:val="00442DCD"/>
    <w:rsid w:val="00444754"/>
    <w:rsid w:val="00452CEF"/>
    <w:rsid w:val="00454261"/>
    <w:rsid w:val="00455141"/>
    <w:rsid w:val="0045617F"/>
    <w:rsid w:val="004566F1"/>
    <w:rsid w:val="00460A99"/>
    <w:rsid w:val="00462213"/>
    <w:rsid w:val="00464DEF"/>
    <w:rsid w:val="00467645"/>
    <w:rsid w:val="00474202"/>
    <w:rsid w:val="004752AF"/>
    <w:rsid w:val="00484EBC"/>
    <w:rsid w:val="00486102"/>
    <w:rsid w:val="00487EB6"/>
    <w:rsid w:val="004903E8"/>
    <w:rsid w:val="00491852"/>
    <w:rsid w:val="0049294C"/>
    <w:rsid w:val="004938CA"/>
    <w:rsid w:val="00493EE8"/>
    <w:rsid w:val="00494124"/>
    <w:rsid w:val="00494891"/>
    <w:rsid w:val="004978CE"/>
    <w:rsid w:val="00497FE4"/>
    <w:rsid w:val="004A2B8E"/>
    <w:rsid w:val="004A3B8D"/>
    <w:rsid w:val="004A3DD0"/>
    <w:rsid w:val="004A5E3E"/>
    <w:rsid w:val="004A60D8"/>
    <w:rsid w:val="004A717A"/>
    <w:rsid w:val="004B1CFB"/>
    <w:rsid w:val="004B3108"/>
    <w:rsid w:val="004B42AC"/>
    <w:rsid w:val="004B5B00"/>
    <w:rsid w:val="004B6762"/>
    <w:rsid w:val="004B678A"/>
    <w:rsid w:val="004C748E"/>
    <w:rsid w:val="004D3A9D"/>
    <w:rsid w:val="004D4947"/>
    <w:rsid w:val="004D4CCB"/>
    <w:rsid w:val="004D6360"/>
    <w:rsid w:val="004D746C"/>
    <w:rsid w:val="004E1184"/>
    <w:rsid w:val="004E37DF"/>
    <w:rsid w:val="004E3DEA"/>
    <w:rsid w:val="004E4498"/>
    <w:rsid w:val="004E7722"/>
    <w:rsid w:val="004F143B"/>
    <w:rsid w:val="004F25D5"/>
    <w:rsid w:val="004F2B81"/>
    <w:rsid w:val="004F3C65"/>
    <w:rsid w:val="004F551B"/>
    <w:rsid w:val="004F5787"/>
    <w:rsid w:val="004F6801"/>
    <w:rsid w:val="0050347A"/>
    <w:rsid w:val="00503E51"/>
    <w:rsid w:val="00504254"/>
    <w:rsid w:val="00504CCD"/>
    <w:rsid w:val="005054E0"/>
    <w:rsid w:val="005102D8"/>
    <w:rsid w:val="005114B4"/>
    <w:rsid w:val="00512CAE"/>
    <w:rsid w:val="00512F6A"/>
    <w:rsid w:val="005134CC"/>
    <w:rsid w:val="00515585"/>
    <w:rsid w:val="00515C43"/>
    <w:rsid w:val="005164C7"/>
    <w:rsid w:val="005167A0"/>
    <w:rsid w:val="00517AD4"/>
    <w:rsid w:val="00520431"/>
    <w:rsid w:val="00521008"/>
    <w:rsid w:val="0052262C"/>
    <w:rsid w:val="00522669"/>
    <w:rsid w:val="0053285B"/>
    <w:rsid w:val="0053394E"/>
    <w:rsid w:val="00535273"/>
    <w:rsid w:val="005409E7"/>
    <w:rsid w:val="00541023"/>
    <w:rsid w:val="0054430B"/>
    <w:rsid w:val="00544866"/>
    <w:rsid w:val="00546792"/>
    <w:rsid w:val="005468E9"/>
    <w:rsid w:val="00550307"/>
    <w:rsid w:val="00551EEB"/>
    <w:rsid w:val="00553AF5"/>
    <w:rsid w:val="00553EDE"/>
    <w:rsid w:val="00554FCD"/>
    <w:rsid w:val="00555405"/>
    <w:rsid w:val="00556248"/>
    <w:rsid w:val="00556CE1"/>
    <w:rsid w:val="005612B4"/>
    <w:rsid w:val="0056193A"/>
    <w:rsid w:val="005629F0"/>
    <w:rsid w:val="00562B59"/>
    <w:rsid w:val="00563962"/>
    <w:rsid w:val="005646F9"/>
    <w:rsid w:val="005661BE"/>
    <w:rsid w:val="00566DD9"/>
    <w:rsid w:val="005671A5"/>
    <w:rsid w:val="0056795D"/>
    <w:rsid w:val="00570439"/>
    <w:rsid w:val="00570CA3"/>
    <w:rsid w:val="005719C4"/>
    <w:rsid w:val="00573D48"/>
    <w:rsid w:val="005758E8"/>
    <w:rsid w:val="005771EB"/>
    <w:rsid w:val="005772F4"/>
    <w:rsid w:val="005777E2"/>
    <w:rsid w:val="005804D9"/>
    <w:rsid w:val="005805BA"/>
    <w:rsid w:val="005820EE"/>
    <w:rsid w:val="00582DD7"/>
    <w:rsid w:val="005830DE"/>
    <w:rsid w:val="00585B6A"/>
    <w:rsid w:val="00590C6E"/>
    <w:rsid w:val="005910D7"/>
    <w:rsid w:val="00591437"/>
    <w:rsid w:val="00591C0C"/>
    <w:rsid w:val="005935A5"/>
    <w:rsid w:val="00595347"/>
    <w:rsid w:val="00596025"/>
    <w:rsid w:val="005975D0"/>
    <w:rsid w:val="005A1D8F"/>
    <w:rsid w:val="005A2C1B"/>
    <w:rsid w:val="005A2E1B"/>
    <w:rsid w:val="005A57A5"/>
    <w:rsid w:val="005B1169"/>
    <w:rsid w:val="005B4340"/>
    <w:rsid w:val="005B6E2F"/>
    <w:rsid w:val="005B7F25"/>
    <w:rsid w:val="005C4DB4"/>
    <w:rsid w:val="005C76DD"/>
    <w:rsid w:val="005C7BA2"/>
    <w:rsid w:val="005D0E3F"/>
    <w:rsid w:val="005D0F31"/>
    <w:rsid w:val="005D139C"/>
    <w:rsid w:val="005D38EB"/>
    <w:rsid w:val="005D525E"/>
    <w:rsid w:val="005E0B99"/>
    <w:rsid w:val="005E1F34"/>
    <w:rsid w:val="005E2932"/>
    <w:rsid w:val="005E33EC"/>
    <w:rsid w:val="005E50C7"/>
    <w:rsid w:val="005F0023"/>
    <w:rsid w:val="005F11A5"/>
    <w:rsid w:val="005F1945"/>
    <w:rsid w:val="005F3344"/>
    <w:rsid w:val="005F4281"/>
    <w:rsid w:val="005F43B4"/>
    <w:rsid w:val="005F4ACB"/>
    <w:rsid w:val="005F70F0"/>
    <w:rsid w:val="005F799B"/>
    <w:rsid w:val="00604865"/>
    <w:rsid w:val="00604BDC"/>
    <w:rsid w:val="00606871"/>
    <w:rsid w:val="006077BF"/>
    <w:rsid w:val="00607EC0"/>
    <w:rsid w:val="0061020F"/>
    <w:rsid w:val="0061043A"/>
    <w:rsid w:val="00610FD3"/>
    <w:rsid w:val="006114DA"/>
    <w:rsid w:val="00611625"/>
    <w:rsid w:val="0061174D"/>
    <w:rsid w:val="006128B7"/>
    <w:rsid w:val="00614A56"/>
    <w:rsid w:val="00615CE0"/>
    <w:rsid w:val="00616CEE"/>
    <w:rsid w:val="00617F04"/>
    <w:rsid w:val="0062506B"/>
    <w:rsid w:val="006279D4"/>
    <w:rsid w:val="00627E11"/>
    <w:rsid w:val="00631B80"/>
    <w:rsid w:val="0063437D"/>
    <w:rsid w:val="00636074"/>
    <w:rsid w:val="00640FA7"/>
    <w:rsid w:val="00644A97"/>
    <w:rsid w:val="00644B46"/>
    <w:rsid w:val="00645DF3"/>
    <w:rsid w:val="0064708D"/>
    <w:rsid w:val="00647287"/>
    <w:rsid w:val="006473DE"/>
    <w:rsid w:val="00647BBB"/>
    <w:rsid w:val="006521A7"/>
    <w:rsid w:val="00655FE7"/>
    <w:rsid w:val="00655FF5"/>
    <w:rsid w:val="00657D82"/>
    <w:rsid w:val="0066078A"/>
    <w:rsid w:val="00661FBB"/>
    <w:rsid w:val="00663BE1"/>
    <w:rsid w:val="0067015F"/>
    <w:rsid w:val="00670D63"/>
    <w:rsid w:val="00671C3A"/>
    <w:rsid w:val="0067318E"/>
    <w:rsid w:val="00673ADA"/>
    <w:rsid w:val="006741F1"/>
    <w:rsid w:val="006744C4"/>
    <w:rsid w:val="0067485E"/>
    <w:rsid w:val="00675592"/>
    <w:rsid w:val="00680092"/>
    <w:rsid w:val="00681279"/>
    <w:rsid w:val="006820B3"/>
    <w:rsid w:val="00682856"/>
    <w:rsid w:val="006842AB"/>
    <w:rsid w:val="006845E0"/>
    <w:rsid w:val="00684E32"/>
    <w:rsid w:val="00685333"/>
    <w:rsid w:val="006865E6"/>
    <w:rsid w:val="00687159"/>
    <w:rsid w:val="00687E8B"/>
    <w:rsid w:val="00691335"/>
    <w:rsid w:val="006920D5"/>
    <w:rsid w:val="006928C5"/>
    <w:rsid w:val="00692B87"/>
    <w:rsid w:val="00695242"/>
    <w:rsid w:val="00697F10"/>
    <w:rsid w:val="006A05F7"/>
    <w:rsid w:val="006A0DCA"/>
    <w:rsid w:val="006A105B"/>
    <w:rsid w:val="006A1147"/>
    <w:rsid w:val="006A12AA"/>
    <w:rsid w:val="006A21FE"/>
    <w:rsid w:val="006A5545"/>
    <w:rsid w:val="006A5A35"/>
    <w:rsid w:val="006A5CB2"/>
    <w:rsid w:val="006B2725"/>
    <w:rsid w:val="006B4123"/>
    <w:rsid w:val="006B43CF"/>
    <w:rsid w:val="006B72A6"/>
    <w:rsid w:val="006C1F96"/>
    <w:rsid w:val="006C29CD"/>
    <w:rsid w:val="006C3811"/>
    <w:rsid w:val="006C3FF6"/>
    <w:rsid w:val="006D1417"/>
    <w:rsid w:val="006D1717"/>
    <w:rsid w:val="006D17A0"/>
    <w:rsid w:val="006D2120"/>
    <w:rsid w:val="006D23B8"/>
    <w:rsid w:val="006D38FD"/>
    <w:rsid w:val="006D556A"/>
    <w:rsid w:val="006D78E8"/>
    <w:rsid w:val="006E05C4"/>
    <w:rsid w:val="006E190D"/>
    <w:rsid w:val="006E1BFE"/>
    <w:rsid w:val="006E21E1"/>
    <w:rsid w:val="006E4187"/>
    <w:rsid w:val="006E43C4"/>
    <w:rsid w:val="006E5E11"/>
    <w:rsid w:val="006E706A"/>
    <w:rsid w:val="006F1C9F"/>
    <w:rsid w:val="006F1E76"/>
    <w:rsid w:val="006F343C"/>
    <w:rsid w:val="006F51DC"/>
    <w:rsid w:val="00700C4A"/>
    <w:rsid w:val="00700F96"/>
    <w:rsid w:val="007012C8"/>
    <w:rsid w:val="007032A3"/>
    <w:rsid w:val="00703C65"/>
    <w:rsid w:val="0070689C"/>
    <w:rsid w:val="007068CA"/>
    <w:rsid w:val="007108A5"/>
    <w:rsid w:val="00710CB9"/>
    <w:rsid w:val="00711881"/>
    <w:rsid w:val="00712C05"/>
    <w:rsid w:val="00714679"/>
    <w:rsid w:val="00715819"/>
    <w:rsid w:val="00717711"/>
    <w:rsid w:val="00717719"/>
    <w:rsid w:val="00717A58"/>
    <w:rsid w:val="00717B0B"/>
    <w:rsid w:val="007251D7"/>
    <w:rsid w:val="00725A33"/>
    <w:rsid w:val="007265CA"/>
    <w:rsid w:val="0072665E"/>
    <w:rsid w:val="00730E17"/>
    <w:rsid w:val="0073197D"/>
    <w:rsid w:val="00733DAC"/>
    <w:rsid w:val="00734E9C"/>
    <w:rsid w:val="007370C8"/>
    <w:rsid w:val="0073772C"/>
    <w:rsid w:val="00741AA9"/>
    <w:rsid w:val="007423E5"/>
    <w:rsid w:val="00743E91"/>
    <w:rsid w:val="00750857"/>
    <w:rsid w:val="00752CCF"/>
    <w:rsid w:val="00753648"/>
    <w:rsid w:val="007539DA"/>
    <w:rsid w:val="00760445"/>
    <w:rsid w:val="00763D2B"/>
    <w:rsid w:val="00764607"/>
    <w:rsid w:val="00764619"/>
    <w:rsid w:val="00771680"/>
    <w:rsid w:val="00772F06"/>
    <w:rsid w:val="00773694"/>
    <w:rsid w:val="00775359"/>
    <w:rsid w:val="0077590F"/>
    <w:rsid w:val="00776236"/>
    <w:rsid w:val="00776A46"/>
    <w:rsid w:val="00776AE5"/>
    <w:rsid w:val="00777829"/>
    <w:rsid w:val="0078036A"/>
    <w:rsid w:val="00780FCF"/>
    <w:rsid w:val="007854F5"/>
    <w:rsid w:val="00787AEC"/>
    <w:rsid w:val="00792217"/>
    <w:rsid w:val="00795767"/>
    <w:rsid w:val="007961E8"/>
    <w:rsid w:val="007A0E41"/>
    <w:rsid w:val="007A5083"/>
    <w:rsid w:val="007A59E6"/>
    <w:rsid w:val="007A6586"/>
    <w:rsid w:val="007A6F0A"/>
    <w:rsid w:val="007A7020"/>
    <w:rsid w:val="007A74A0"/>
    <w:rsid w:val="007B4F3B"/>
    <w:rsid w:val="007B66F1"/>
    <w:rsid w:val="007B7458"/>
    <w:rsid w:val="007B786A"/>
    <w:rsid w:val="007C3BDA"/>
    <w:rsid w:val="007C5CD4"/>
    <w:rsid w:val="007C679B"/>
    <w:rsid w:val="007C7995"/>
    <w:rsid w:val="007D0506"/>
    <w:rsid w:val="007D1AE4"/>
    <w:rsid w:val="007D3C1B"/>
    <w:rsid w:val="007D4081"/>
    <w:rsid w:val="007D5753"/>
    <w:rsid w:val="007D76FD"/>
    <w:rsid w:val="007E01D2"/>
    <w:rsid w:val="007E1490"/>
    <w:rsid w:val="007E3904"/>
    <w:rsid w:val="007E58A0"/>
    <w:rsid w:val="007E5A5A"/>
    <w:rsid w:val="007F0228"/>
    <w:rsid w:val="007F760D"/>
    <w:rsid w:val="007F781C"/>
    <w:rsid w:val="00800219"/>
    <w:rsid w:val="0080047F"/>
    <w:rsid w:val="0080145D"/>
    <w:rsid w:val="00802414"/>
    <w:rsid w:val="008028BA"/>
    <w:rsid w:val="00803CA9"/>
    <w:rsid w:val="00812748"/>
    <w:rsid w:val="00813A70"/>
    <w:rsid w:val="00820C9C"/>
    <w:rsid w:val="008242EE"/>
    <w:rsid w:val="00825420"/>
    <w:rsid w:val="00825D06"/>
    <w:rsid w:val="00830680"/>
    <w:rsid w:val="0083136E"/>
    <w:rsid w:val="00831A4E"/>
    <w:rsid w:val="00831EBB"/>
    <w:rsid w:val="00832A19"/>
    <w:rsid w:val="00832D37"/>
    <w:rsid w:val="00833247"/>
    <w:rsid w:val="00837EA6"/>
    <w:rsid w:val="0084198B"/>
    <w:rsid w:val="008429D3"/>
    <w:rsid w:val="00844F64"/>
    <w:rsid w:val="008452AD"/>
    <w:rsid w:val="00845368"/>
    <w:rsid w:val="00846D79"/>
    <w:rsid w:val="00853BCA"/>
    <w:rsid w:val="0085466A"/>
    <w:rsid w:val="00860B01"/>
    <w:rsid w:val="00861C91"/>
    <w:rsid w:val="00862C0C"/>
    <w:rsid w:val="00863596"/>
    <w:rsid w:val="00864A94"/>
    <w:rsid w:val="0086691D"/>
    <w:rsid w:val="00872924"/>
    <w:rsid w:val="008765C6"/>
    <w:rsid w:val="008841B5"/>
    <w:rsid w:val="00884716"/>
    <w:rsid w:val="00887AA8"/>
    <w:rsid w:val="0089080C"/>
    <w:rsid w:val="00893A27"/>
    <w:rsid w:val="00895263"/>
    <w:rsid w:val="00896D19"/>
    <w:rsid w:val="008A0A12"/>
    <w:rsid w:val="008A286E"/>
    <w:rsid w:val="008A6181"/>
    <w:rsid w:val="008B0A19"/>
    <w:rsid w:val="008B0D20"/>
    <w:rsid w:val="008B1687"/>
    <w:rsid w:val="008B1A1F"/>
    <w:rsid w:val="008B2199"/>
    <w:rsid w:val="008B2378"/>
    <w:rsid w:val="008B3269"/>
    <w:rsid w:val="008B3D95"/>
    <w:rsid w:val="008B3DAA"/>
    <w:rsid w:val="008B447B"/>
    <w:rsid w:val="008B4AAA"/>
    <w:rsid w:val="008B4F86"/>
    <w:rsid w:val="008B6C81"/>
    <w:rsid w:val="008B76D2"/>
    <w:rsid w:val="008C3437"/>
    <w:rsid w:val="008C3608"/>
    <w:rsid w:val="008C3A15"/>
    <w:rsid w:val="008D155B"/>
    <w:rsid w:val="008D2D01"/>
    <w:rsid w:val="008D3FA8"/>
    <w:rsid w:val="008D61FC"/>
    <w:rsid w:val="008D646B"/>
    <w:rsid w:val="008D7744"/>
    <w:rsid w:val="008D7B2E"/>
    <w:rsid w:val="008E0636"/>
    <w:rsid w:val="008E0AAD"/>
    <w:rsid w:val="008E186D"/>
    <w:rsid w:val="008E1EF0"/>
    <w:rsid w:val="008E2CDC"/>
    <w:rsid w:val="008E3D01"/>
    <w:rsid w:val="008E6C86"/>
    <w:rsid w:val="008F17E0"/>
    <w:rsid w:val="008F1A1A"/>
    <w:rsid w:val="008F46DD"/>
    <w:rsid w:val="008F614F"/>
    <w:rsid w:val="008F746D"/>
    <w:rsid w:val="00903FCC"/>
    <w:rsid w:val="00906B0E"/>
    <w:rsid w:val="00911535"/>
    <w:rsid w:val="00912A4C"/>
    <w:rsid w:val="009135B5"/>
    <w:rsid w:val="0092033B"/>
    <w:rsid w:val="009203C6"/>
    <w:rsid w:val="00921592"/>
    <w:rsid w:val="00923ED7"/>
    <w:rsid w:val="0092445C"/>
    <w:rsid w:val="00927EE1"/>
    <w:rsid w:val="009300E6"/>
    <w:rsid w:val="00930E0C"/>
    <w:rsid w:val="009319DE"/>
    <w:rsid w:val="00934224"/>
    <w:rsid w:val="00934443"/>
    <w:rsid w:val="00934B56"/>
    <w:rsid w:val="0093534C"/>
    <w:rsid w:val="00935540"/>
    <w:rsid w:val="00936C1D"/>
    <w:rsid w:val="009401E4"/>
    <w:rsid w:val="00940684"/>
    <w:rsid w:val="00940A4B"/>
    <w:rsid w:val="0094210F"/>
    <w:rsid w:val="00942420"/>
    <w:rsid w:val="009438B5"/>
    <w:rsid w:val="00943EF9"/>
    <w:rsid w:val="0094461F"/>
    <w:rsid w:val="00944B48"/>
    <w:rsid w:val="00946D1C"/>
    <w:rsid w:val="00952E18"/>
    <w:rsid w:val="009564F1"/>
    <w:rsid w:val="00960123"/>
    <w:rsid w:val="009611BC"/>
    <w:rsid w:val="009612BA"/>
    <w:rsid w:val="009639D4"/>
    <w:rsid w:val="0096541C"/>
    <w:rsid w:val="00966B86"/>
    <w:rsid w:val="00967D11"/>
    <w:rsid w:val="00970955"/>
    <w:rsid w:val="00971D0C"/>
    <w:rsid w:val="00971F77"/>
    <w:rsid w:val="00973EE4"/>
    <w:rsid w:val="00974ABE"/>
    <w:rsid w:val="009752D9"/>
    <w:rsid w:val="009766D2"/>
    <w:rsid w:val="009779D9"/>
    <w:rsid w:val="009809AA"/>
    <w:rsid w:val="00980F22"/>
    <w:rsid w:val="009826E4"/>
    <w:rsid w:val="00982EAE"/>
    <w:rsid w:val="00983D94"/>
    <w:rsid w:val="009909DF"/>
    <w:rsid w:val="0099196C"/>
    <w:rsid w:val="00991F34"/>
    <w:rsid w:val="00994CBB"/>
    <w:rsid w:val="009954CB"/>
    <w:rsid w:val="00995755"/>
    <w:rsid w:val="009A66D4"/>
    <w:rsid w:val="009B0C44"/>
    <w:rsid w:val="009B21D4"/>
    <w:rsid w:val="009B47B9"/>
    <w:rsid w:val="009C1083"/>
    <w:rsid w:val="009C1243"/>
    <w:rsid w:val="009C1890"/>
    <w:rsid w:val="009C3711"/>
    <w:rsid w:val="009C375B"/>
    <w:rsid w:val="009C3D07"/>
    <w:rsid w:val="009C4723"/>
    <w:rsid w:val="009D1AA9"/>
    <w:rsid w:val="009D6259"/>
    <w:rsid w:val="009D6E70"/>
    <w:rsid w:val="009E0D65"/>
    <w:rsid w:val="009E2446"/>
    <w:rsid w:val="009E3199"/>
    <w:rsid w:val="009E54A2"/>
    <w:rsid w:val="009E78E3"/>
    <w:rsid w:val="009E7F52"/>
    <w:rsid w:val="009F0996"/>
    <w:rsid w:val="009F1786"/>
    <w:rsid w:val="009F261A"/>
    <w:rsid w:val="009F4E72"/>
    <w:rsid w:val="009F5C3C"/>
    <w:rsid w:val="009F66CE"/>
    <w:rsid w:val="009F68AD"/>
    <w:rsid w:val="009F7109"/>
    <w:rsid w:val="009F7B06"/>
    <w:rsid w:val="00A004F0"/>
    <w:rsid w:val="00A0089C"/>
    <w:rsid w:val="00A01B68"/>
    <w:rsid w:val="00A06467"/>
    <w:rsid w:val="00A13521"/>
    <w:rsid w:val="00A13DA1"/>
    <w:rsid w:val="00A14DEB"/>
    <w:rsid w:val="00A154E7"/>
    <w:rsid w:val="00A16974"/>
    <w:rsid w:val="00A17408"/>
    <w:rsid w:val="00A213A0"/>
    <w:rsid w:val="00A22957"/>
    <w:rsid w:val="00A23242"/>
    <w:rsid w:val="00A239E7"/>
    <w:rsid w:val="00A30994"/>
    <w:rsid w:val="00A31D26"/>
    <w:rsid w:val="00A34057"/>
    <w:rsid w:val="00A34706"/>
    <w:rsid w:val="00A366ED"/>
    <w:rsid w:val="00A368BB"/>
    <w:rsid w:val="00A4087E"/>
    <w:rsid w:val="00A442D7"/>
    <w:rsid w:val="00A443B9"/>
    <w:rsid w:val="00A449A4"/>
    <w:rsid w:val="00A46AF5"/>
    <w:rsid w:val="00A47F4B"/>
    <w:rsid w:val="00A47F79"/>
    <w:rsid w:val="00A506AA"/>
    <w:rsid w:val="00A511A1"/>
    <w:rsid w:val="00A52EBD"/>
    <w:rsid w:val="00A53C6B"/>
    <w:rsid w:val="00A5469F"/>
    <w:rsid w:val="00A5640F"/>
    <w:rsid w:val="00A57398"/>
    <w:rsid w:val="00A6506D"/>
    <w:rsid w:val="00A66569"/>
    <w:rsid w:val="00A703F5"/>
    <w:rsid w:val="00A7093F"/>
    <w:rsid w:val="00A738E3"/>
    <w:rsid w:val="00A76E5D"/>
    <w:rsid w:val="00A800F7"/>
    <w:rsid w:val="00A80669"/>
    <w:rsid w:val="00A83EF5"/>
    <w:rsid w:val="00A83F11"/>
    <w:rsid w:val="00A85166"/>
    <w:rsid w:val="00A85371"/>
    <w:rsid w:val="00A86F4E"/>
    <w:rsid w:val="00A92148"/>
    <w:rsid w:val="00A92165"/>
    <w:rsid w:val="00A95897"/>
    <w:rsid w:val="00A95992"/>
    <w:rsid w:val="00A96A95"/>
    <w:rsid w:val="00A97FF4"/>
    <w:rsid w:val="00AA3322"/>
    <w:rsid w:val="00AA4642"/>
    <w:rsid w:val="00AA4FC3"/>
    <w:rsid w:val="00AA6D42"/>
    <w:rsid w:val="00AA7176"/>
    <w:rsid w:val="00AA73B6"/>
    <w:rsid w:val="00AB23B8"/>
    <w:rsid w:val="00AB2618"/>
    <w:rsid w:val="00AB3608"/>
    <w:rsid w:val="00AB5978"/>
    <w:rsid w:val="00AB6894"/>
    <w:rsid w:val="00AC0259"/>
    <w:rsid w:val="00AC087A"/>
    <w:rsid w:val="00AC1F69"/>
    <w:rsid w:val="00AC2F55"/>
    <w:rsid w:val="00AC3759"/>
    <w:rsid w:val="00AC5454"/>
    <w:rsid w:val="00AC5726"/>
    <w:rsid w:val="00AC6050"/>
    <w:rsid w:val="00AC7F7D"/>
    <w:rsid w:val="00AD230F"/>
    <w:rsid w:val="00AD27AE"/>
    <w:rsid w:val="00AD2CF5"/>
    <w:rsid w:val="00AD6A30"/>
    <w:rsid w:val="00AE0676"/>
    <w:rsid w:val="00AE4B70"/>
    <w:rsid w:val="00AE4F25"/>
    <w:rsid w:val="00AF00EA"/>
    <w:rsid w:val="00AF220D"/>
    <w:rsid w:val="00AF597E"/>
    <w:rsid w:val="00B0060F"/>
    <w:rsid w:val="00B0236E"/>
    <w:rsid w:val="00B03939"/>
    <w:rsid w:val="00B07607"/>
    <w:rsid w:val="00B079F0"/>
    <w:rsid w:val="00B11D76"/>
    <w:rsid w:val="00B129A6"/>
    <w:rsid w:val="00B12CFF"/>
    <w:rsid w:val="00B12F2E"/>
    <w:rsid w:val="00B14C65"/>
    <w:rsid w:val="00B15375"/>
    <w:rsid w:val="00B163F1"/>
    <w:rsid w:val="00B170E0"/>
    <w:rsid w:val="00B175AA"/>
    <w:rsid w:val="00B17D95"/>
    <w:rsid w:val="00B20572"/>
    <w:rsid w:val="00B3033C"/>
    <w:rsid w:val="00B31C12"/>
    <w:rsid w:val="00B3246F"/>
    <w:rsid w:val="00B32513"/>
    <w:rsid w:val="00B331A2"/>
    <w:rsid w:val="00B35C03"/>
    <w:rsid w:val="00B40526"/>
    <w:rsid w:val="00B40B34"/>
    <w:rsid w:val="00B40E8C"/>
    <w:rsid w:val="00B41235"/>
    <w:rsid w:val="00B43375"/>
    <w:rsid w:val="00B4475A"/>
    <w:rsid w:val="00B44F92"/>
    <w:rsid w:val="00B47034"/>
    <w:rsid w:val="00B47E06"/>
    <w:rsid w:val="00B52654"/>
    <w:rsid w:val="00B52EA2"/>
    <w:rsid w:val="00B53849"/>
    <w:rsid w:val="00B54EDA"/>
    <w:rsid w:val="00B55110"/>
    <w:rsid w:val="00B55CBE"/>
    <w:rsid w:val="00B55E3D"/>
    <w:rsid w:val="00B56954"/>
    <w:rsid w:val="00B57902"/>
    <w:rsid w:val="00B57CFB"/>
    <w:rsid w:val="00B62B24"/>
    <w:rsid w:val="00B62D96"/>
    <w:rsid w:val="00B634ED"/>
    <w:rsid w:val="00B63E39"/>
    <w:rsid w:val="00B641D2"/>
    <w:rsid w:val="00B66DA1"/>
    <w:rsid w:val="00B66DB1"/>
    <w:rsid w:val="00B6771A"/>
    <w:rsid w:val="00B70004"/>
    <w:rsid w:val="00B7053B"/>
    <w:rsid w:val="00B71B9E"/>
    <w:rsid w:val="00B732D1"/>
    <w:rsid w:val="00B73CB0"/>
    <w:rsid w:val="00B7575F"/>
    <w:rsid w:val="00B76433"/>
    <w:rsid w:val="00B77661"/>
    <w:rsid w:val="00B7766E"/>
    <w:rsid w:val="00B77E1F"/>
    <w:rsid w:val="00B77F39"/>
    <w:rsid w:val="00B816FB"/>
    <w:rsid w:val="00B81F45"/>
    <w:rsid w:val="00B820D3"/>
    <w:rsid w:val="00B8255E"/>
    <w:rsid w:val="00B84178"/>
    <w:rsid w:val="00B84D47"/>
    <w:rsid w:val="00B87B6D"/>
    <w:rsid w:val="00B911DD"/>
    <w:rsid w:val="00B923C1"/>
    <w:rsid w:val="00B943B4"/>
    <w:rsid w:val="00B950E4"/>
    <w:rsid w:val="00B9569C"/>
    <w:rsid w:val="00B96F41"/>
    <w:rsid w:val="00B97B3D"/>
    <w:rsid w:val="00B97EF1"/>
    <w:rsid w:val="00BA1724"/>
    <w:rsid w:val="00BA33B3"/>
    <w:rsid w:val="00BA74C9"/>
    <w:rsid w:val="00BA755A"/>
    <w:rsid w:val="00BB0529"/>
    <w:rsid w:val="00BB0D7A"/>
    <w:rsid w:val="00BB1576"/>
    <w:rsid w:val="00BB1A2F"/>
    <w:rsid w:val="00BB31A4"/>
    <w:rsid w:val="00BB3A43"/>
    <w:rsid w:val="00BB416B"/>
    <w:rsid w:val="00BB5F7D"/>
    <w:rsid w:val="00BB7C00"/>
    <w:rsid w:val="00BC1291"/>
    <w:rsid w:val="00BC71E4"/>
    <w:rsid w:val="00BD10C8"/>
    <w:rsid w:val="00BD191C"/>
    <w:rsid w:val="00BD1F42"/>
    <w:rsid w:val="00BD58DE"/>
    <w:rsid w:val="00BD5CAD"/>
    <w:rsid w:val="00BD777E"/>
    <w:rsid w:val="00BE1C17"/>
    <w:rsid w:val="00BE3150"/>
    <w:rsid w:val="00BE35FD"/>
    <w:rsid w:val="00BE6576"/>
    <w:rsid w:val="00BE7B8B"/>
    <w:rsid w:val="00BE7E64"/>
    <w:rsid w:val="00BF11EB"/>
    <w:rsid w:val="00BF1B2F"/>
    <w:rsid w:val="00BF255C"/>
    <w:rsid w:val="00BF2754"/>
    <w:rsid w:val="00BF487E"/>
    <w:rsid w:val="00C01738"/>
    <w:rsid w:val="00C01F2E"/>
    <w:rsid w:val="00C01F9C"/>
    <w:rsid w:val="00C0277D"/>
    <w:rsid w:val="00C03B54"/>
    <w:rsid w:val="00C11F64"/>
    <w:rsid w:val="00C12935"/>
    <w:rsid w:val="00C132A0"/>
    <w:rsid w:val="00C14083"/>
    <w:rsid w:val="00C1755D"/>
    <w:rsid w:val="00C217A8"/>
    <w:rsid w:val="00C21D0B"/>
    <w:rsid w:val="00C21F16"/>
    <w:rsid w:val="00C24528"/>
    <w:rsid w:val="00C25130"/>
    <w:rsid w:val="00C261B9"/>
    <w:rsid w:val="00C277E1"/>
    <w:rsid w:val="00C27864"/>
    <w:rsid w:val="00C3029B"/>
    <w:rsid w:val="00C325CE"/>
    <w:rsid w:val="00C33861"/>
    <w:rsid w:val="00C35659"/>
    <w:rsid w:val="00C4007B"/>
    <w:rsid w:val="00C410A4"/>
    <w:rsid w:val="00C41EB1"/>
    <w:rsid w:val="00C4225E"/>
    <w:rsid w:val="00C45B15"/>
    <w:rsid w:val="00C46E1D"/>
    <w:rsid w:val="00C521E5"/>
    <w:rsid w:val="00C53033"/>
    <w:rsid w:val="00C56640"/>
    <w:rsid w:val="00C56D4A"/>
    <w:rsid w:val="00C5757A"/>
    <w:rsid w:val="00C57D9E"/>
    <w:rsid w:val="00C6033F"/>
    <w:rsid w:val="00C60934"/>
    <w:rsid w:val="00C60EB8"/>
    <w:rsid w:val="00C61593"/>
    <w:rsid w:val="00C62415"/>
    <w:rsid w:val="00C635CF"/>
    <w:rsid w:val="00C64852"/>
    <w:rsid w:val="00C65BF2"/>
    <w:rsid w:val="00C67C99"/>
    <w:rsid w:val="00C7291C"/>
    <w:rsid w:val="00C72B74"/>
    <w:rsid w:val="00C72DEC"/>
    <w:rsid w:val="00C731DE"/>
    <w:rsid w:val="00C73C41"/>
    <w:rsid w:val="00C7438C"/>
    <w:rsid w:val="00C7744C"/>
    <w:rsid w:val="00C80876"/>
    <w:rsid w:val="00C80DB4"/>
    <w:rsid w:val="00C81873"/>
    <w:rsid w:val="00C826F9"/>
    <w:rsid w:val="00C8417E"/>
    <w:rsid w:val="00C87D78"/>
    <w:rsid w:val="00C90823"/>
    <w:rsid w:val="00C91EA8"/>
    <w:rsid w:val="00C9567E"/>
    <w:rsid w:val="00CA4089"/>
    <w:rsid w:val="00CA4D71"/>
    <w:rsid w:val="00CA660F"/>
    <w:rsid w:val="00CA6C0F"/>
    <w:rsid w:val="00CB0A85"/>
    <w:rsid w:val="00CB40CA"/>
    <w:rsid w:val="00CB48A2"/>
    <w:rsid w:val="00CB7CE0"/>
    <w:rsid w:val="00CC0EDA"/>
    <w:rsid w:val="00CC2369"/>
    <w:rsid w:val="00CC642D"/>
    <w:rsid w:val="00CC6CFD"/>
    <w:rsid w:val="00CC712E"/>
    <w:rsid w:val="00CD04FF"/>
    <w:rsid w:val="00CD23A0"/>
    <w:rsid w:val="00CD4FAE"/>
    <w:rsid w:val="00CD5BC4"/>
    <w:rsid w:val="00CD5F4F"/>
    <w:rsid w:val="00CD6DCF"/>
    <w:rsid w:val="00CD7106"/>
    <w:rsid w:val="00CD7F6E"/>
    <w:rsid w:val="00CE300A"/>
    <w:rsid w:val="00CE4A63"/>
    <w:rsid w:val="00CE5BDF"/>
    <w:rsid w:val="00CE70D9"/>
    <w:rsid w:val="00CF0EA3"/>
    <w:rsid w:val="00CF14EE"/>
    <w:rsid w:val="00CF4230"/>
    <w:rsid w:val="00CF5B94"/>
    <w:rsid w:val="00CF6208"/>
    <w:rsid w:val="00D02730"/>
    <w:rsid w:val="00D034B7"/>
    <w:rsid w:val="00D044F7"/>
    <w:rsid w:val="00D04897"/>
    <w:rsid w:val="00D04964"/>
    <w:rsid w:val="00D0571C"/>
    <w:rsid w:val="00D05C0E"/>
    <w:rsid w:val="00D06CB2"/>
    <w:rsid w:val="00D074BC"/>
    <w:rsid w:val="00D10FF1"/>
    <w:rsid w:val="00D11FE8"/>
    <w:rsid w:val="00D12C82"/>
    <w:rsid w:val="00D12F64"/>
    <w:rsid w:val="00D137EC"/>
    <w:rsid w:val="00D1440B"/>
    <w:rsid w:val="00D147AB"/>
    <w:rsid w:val="00D15698"/>
    <w:rsid w:val="00D15AA4"/>
    <w:rsid w:val="00D15AB8"/>
    <w:rsid w:val="00D162DD"/>
    <w:rsid w:val="00D167BA"/>
    <w:rsid w:val="00D17F1C"/>
    <w:rsid w:val="00D20B4B"/>
    <w:rsid w:val="00D23927"/>
    <w:rsid w:val="00D23A0B"/>
    <w:rsid w:val="00D268E7"/>
    <w:rsid w:val="00D26BDB"/>
    <w:rsid w:val="00D271D3"/>
    <w:rsid w:val="00D3079F"/>
    <w:rsid w:val="00D310B7"/>
    <w:rsid w:val="00D315E3"/>
    <w:rsid w:val="00D31D2A"/>
    <w:rsid w:val="00D32B72"/>
    <w:rsid w:val="00D34C6B"/>
    <w:rsid w:val="00D353E6"/>
    <w:rsid w:val="00D37D6E"/>
    <w:rsid w:val="00D37EAB"/>
    <w:rsid w:val="00D41287"/>
    <w:rsid w:val="00D41EBB"/>
    <w:rsid w:val="00D44537"/>
    <w:rsid w:val="00D44CB1"/>
    <w:rsid w:val="00D45126"/>
    <w:rsid w:val="00D52FE3"/>
    <w:rsid w:val="00D54F06"/>
    <w:rsid w:val="00D5554C"/>
    <w:rsid w:val="00D57EBB"/>
    <w:rsid w:val="00D60C5C"/>
    <w:rsid w:val="00D61F80"/>
    <w:rsid w:val="00D663CA"/>
    <w:rsid w:val="00D674E8"/>
    <w:rsid w:val="00D71684"/>
    <w:rsid w:val="00D72540"/>
    <w:rsid w:val="00D73B0A"/>
    <w:rsid w:val="00D75233"/>
    <w:rsid w:val="00D82A56"/>
    <w:rsid w:val="00D82DAE"/>
    <w:rsid w:val="00D855F4"/>
    <w:rsid w:val="00D877DB"/>
    <w:rsid w:val="00D91776"/>
    <w:rsid w:val="00D91F07"/>
    <w:rsid w:val="00D933EF"/>
    <w:rsid w:val="00D94920"/>
    <w:rsid w:val="00D96EE7"/>
    <w:rsid w:val="00D973AA"/>
    <w:rsid w:val="00DA1B9D"/>
    <w:rsid w:val="00DA4124"/>
    <w:rsid w:val="00DA43B9"/>
    <w:rsid w:val="00DA45D8"/>
    <w:rsid w:val="00DA57CD"/>
    <w:rsid w:val="00DB191E"/>
    <w:rsid w:val="00DB2186"/>
    <w:rsid w:val="00DB29A4"/>
    <w:rsid w:val="00DB3C19"/>
    <w:rsid w:val="00DB4ABD"/>
    <w:rsid w:val="00DB4B68"/>
    <w:rsid w:val="00DB5D5D"/>
    <w:rsid w:val="00DB6258"/>
    <w:rsid w:val="00DC0572"/>
    <w:rsid w:val="00DC1412"/>
    <w:rsid w:val="00DC3344"/>
    <w:rsid w:val="00DC47AB"/>
    <w:rsid w:val="00DC5336"/>
    <w:rsid w:val="00DD1070"/>
    <w:rsid w:val="00DD242D"/>
    <w:rsid w:val="00DD25BC"/>
    <w:rsid w:val="00DD2A2D"/>
    <w:rsid w:val="00DD2DE8"/>
    <w:rsid w:val="00DD2EB1"/>
    <w:rsid w:val="00DD3B93"/>
    <w:rsid w:val="00DD54DF"/>
    <w:rsid w:val="00DE17A1"/>
    <w:rsid w:val="00DE1F5C"/>
    <w:rsid w:val="00DE28BA"/>
    <w:rsid w:val="00DF2BAD"/>
    <w:rsid w:val="00DF3F06"/>
    <w:rsid w:val="00DF430D"/>
    <w:rsid w:val="00DF77DD"/>
    <w:rsid w:val="00E050DC"/>
    <w:rsid w:val="00E0608B"/>
    <w:rsid w:val="00E06DD9"/>
    <w:rsid w:val="00E079E8"/>
    <w:rsid w:val="00E07B96"/>
    <w:rsid w:val="00E11C35"/>
    <w:rsid w:val="00E13F97"/>
    <w:rsid w:val="00E16FC1"/>
    <w:rsid w:val="00E2627D"/>
    <w:rsid w:val="00E27F2B"/>
    <w:rsid w:val="00E30785"/>
    <w:rsid w:val="00E324A7"/>
    <w:rsid w:val="00E34AE0"/>
    <w:rsid w:val="00E378A9"/>
    <w:rsid w:val="00E42EFF"/>
    <w:rsid w:val="00E43E20"/>
    <w:rsid w:val="00E4684D"/>
    <w:rsid w:val="00E55601"/>
    <w:rsid w:val="00E55730"/>
    <w:rsid w:val="00E57D55"/>
    <w:rsid w:val="00E60AB3"/>
    <w:rsid w:val="00E70C42"/>
    <w:rsid w:val="00E71F94"/>
    <w:rsid w:val="00E7370F"/>
    <w:rsid w:val="00E7384F"/>
    <w:rsid w:val="00E73C4C"/>
    <w:rsid w:val="00E74248"/>
    <w:rsid w:val="00E7532C"/>
    <w:rsid w:val="00E77C38"/>
    <w:rsid w:val="00E80BDD"/>
    <w:rsid w:val="00E80FB8"/>
    <w:rsid w:val="00E81675"/>
    <w:rsid w:val="00E83E7F"/>
    <w:rsid w:val="00E84469"/>
    <w:rsid w:val="00E84EFF"/>
    <w:rsid w:val="00E850BC"/>
    <w:rsid w:val="00E85A54"/>
    <w:rsid w:val="00E86A30"/>
    <w:rsid w:val="00E87D2B"/>
    <w:rsid w:val="00E93E11"/>
    <w:rsid w:val="00E94844"/>
    <w:rsid w:val="00E9499F"/>
    <w:rsid w:val="00E95D45"/>
    <w:rsid w:val="00E96424"/>
    <w:rsid w:val="00E97AD6"/>
    <w:rsid w:val="00E97FD1"/>
    <w:rsid w:val="00EA01C2"/>
    <w:rsid w:val="00EA14B1"/>
    <w:rsid w:val="00EA216C"/>
    <w:rsid w:val="00EA3585"/>
    <w:rsid w:val="00EA36BA"/>
    <w:rsid w:val="00EA424F"/>
    <w:rsid w:val="00EA468B"/>
    <w:rsid w:val="00EA5AA7"/>
    <w:rsid w:val="00EA67E8"/>
    <w:rsid w:val="00EA6F27"/>
    <w:rsid w:val="00EB2C48"/>
    <w:rsid w:val="00EB4832"/>
    <w:rsid w:val="00EB50CB"/>
    <w:rsid w:val="00EB6C3E"/>
    <w:rsid w:val="00EC0268"/>
    <w:rsid w:val="00EC1577"/>
    <w:rsid w:val="00EC2BAC"/>
    <w:rsid w:val="00EC622D"/>
    <w:rsid w:val="00EC6D9E"/>
    <w:rsid w:val="00EC70DD"/>
    <w:rsid w:val="00EC7100"/>
    <w:rsid w:val="00ED0181"/>
    <w:rsid w:val="00ED06D1"/>
    <w:rsid w:val="00ED48C3"/>
    <w:rsid w:val="00ED7B06"/>
    <w:rsid w:val="00EE15A1"/>
    <w:rsid w:val="00EE1867"/>
    <w:rsid w:val="00EE5FF3"/>
    <w:rsid w:val="00EF13A7"/>
    <w:rsid w:val="00EF1DF3"/>
    <w:rsid w:val="00EF3525"/>
    <w:rsid w:val="00EF446F"/>
    <w:rsid w:val="00EF4786"/>
    <w:rsid w:val="00EF4E61"/>
    <w:rsid w:val="00EF682F"/>
    <w:rsid w:val="00F011BA"/>
    <w:rsid w:val="00F03BC6"/>
    <w:rsid w:val="00F03E2F"/>
    <w:rsid w:val="00F04A11"/>
    <w:rsid w:val="00F05438"/>
    <w:rsid w:val="00F10318"/>
    <w:rsid w:val="00F11373"/>
    <w:rsid w:val="00F12913"/>
    <w:rsid w:val="00F14418"/>
    <w:rsid w:val="00F148B2"/>
    <w:rsid w:val="00F152C3"/>
    <w:rsid w:val="00F15F18"/>
    <w:rsid w:val="00F16765"/>
    <w:rsid w:val="00F16C09"/>
    <w:rsid w:val="00F23056"/>
    <w:rsid w:val="00F245E3"/>
    <w:rsid w:val="00F247BC"/>
    <w:rsid w:val="00F26FA4"/>
    <w:rsid w:val="00F321FF"/>
    <w:rsid w:val="00F3226B"/>
    <w:rsid w:val="00F331AC"/>
    <w:rsid w:val="00F335B1"/>
    <w:rsid w:val="00F342C7"/>
    <w:rsid w:val="00F34958"/>
    <w:rsid w:val="00F351D0"/>
    <w:rsid w:val="00F359E0"/>
    <w:rsid w:val="00F35C53"/>
    <w:rsid w:val="00F36627"/>
    <w:rsid w:val="00F405F9"/>
    <w:rsid w:val="00F4637E"/>
    <w:rsid w:val="00F46FF8"/>
    <w:rsid w:val="00F47A93"/>
    <w:rsid w:val="00F51502"/>
    <w:rsid w:val="00F55965"/>
    <w:rsid w:val="00F56FAE"/>
    <w:rsid w:val="00F579D6"/>
    <w:rsid w:val="00F57DBF"/>
    <w:rsid w:val="00F60663"/>
    <w:rsid w:val="00F627E4"/>
    <w:rsid w:val="00F63084"/>
    <w:rsid w:val="00F630C8"/>
    <w:rsid w:val="00F66672"/>
    <w:rsid w:val="00F71F74"/>
    <w:rsid w:val="00F720D6"/>
    <w:rsid w:val="00F75E07"/>
    <w:rsid w:val="00F7710B"/>
    <w:rsid w:val="00F77137"/>
    <w:rsid w:val="00F77356"/>
    <w:rsid w:val="00F777C7"/>
    <w:rsid w:val="00F801BC"/>
    <w:rsid w:val="00F8132B"/>
    <w:rsid w:val="00F82669"/>
    <w:rsid w:val="00F8393F"/>
    <w:rsid w:val="00F85B74"/>
    <w:rsid w:val="00F90E72"/>
    <w:rsid w:val="00F922BB"/>
    <w:rsid w:val="00F9284B"/>
    <w:rsid w:val="00F93196"/>
    <w:rsid w:val="00F93B23"/>
    <w:rsid w:val="00F94FA3"/>
    <w:rsid w:val="00F95E8E"/>
    <w:rsid w:val="00F96FEC"/>
    <w:rsid w:val="00FA206A"/>
    <w:rsid w:val="00FA3979"/>
    <w:rsid w:val="00FA59D2"/>
    <w:rsid w:val="00FA5B27"/>
    <w:rsid w:val="00FA5B4B"/>
    <w:rsid w:val="00FB1F52"/>
    <w:rsid w:val="00FB23DD"/>
    <w:rsid w:val="00FB37A9"/>
    <w:rsid w:val="00FB41D2"/>
    <w:rsid w:val="00FC07DB"/>
    <w:rsid w:val="00FC61E0"/>
    <w:rsid w:val="00FC7364"/>
    <w:rsid w:val="00FC7E58"/>
    <w:rsid w:val="00FD0B64"/>
    <w:rsid w:val="00FD3DA7"/>
    <w:rsid w:val="00FD55EC"/>
    <w:rsid w:val="00FD662A"/>
    <w:rsid w:val="00FE010C"/>
    <w:rsid w:val="00FE0312"/>
    <w:rsid w:val="00FE13DC"/>
    <w:rsid w:val="00FE72DD"/>
    <w:rsid w:val="00FE788D"/>
    <w:rsid w:val="00FE7E7A"/>
    <w:rsid w:val="00FE7F31"/>
    <w:rsid w:val="00FF0AB2"/>
    <w:rsid w:val="00FF1776"/>
    <w:rsid w:val="00FF306C"/>
    <w:rsid w:val="00FF584F"/>
    <w:rsid w:val="00FF6745"/>
    <w:rsid w:val="00FF73DB"/>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EC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98"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8"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lsdException w:name="annotation text" w:semiHidden="1" w:unhideWhenUsed="1"/>
    <w:lsdException w:name="header" w:semiHidden="1" w:uiPriority="0" w:unhideWhenUsed="1"/>
    <w:lsdException w:name="footer" w:semiHidden="1" w:uiPriority="10" w:unhideWhenUsed="1"/>
    <w:lsdException w:name="index heading" w:semiHidden="1" w:uiPriority="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uiPriority="7"/>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7" w:unhideWhenUsed="1"/>
    <w:lsdException w:name="table of authorities" w:semiHidden="1" w:uiPriority="9" w:unhideWhenUsed="1"/>
    <w:lsdException w:name="macro" w:semiHidden="1" w:unhideWhenUsed="1"/>
    <w:lsdException w:name="toa heading" w:semiHidden="1" w:uiPriority="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lsdException w:name="List Number 2" w:semiHidden="1" w:unhideWhenUsed="1"/>
    <w:lsdException w:name="List Number 3" w:semiHidden="1" w:unhideWhenUsed="1"/>
    <w:lsdException w:name="List Number 4" w:semiHidden="1" w:unhideWhenUsed="1"/>
    <w:lsdException w:name="List Number 5" w:semiHidden="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2"/>
    <w:lsdException w:name="Strong" w:semiHidden="1"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8"/>
    <w:qFormat/>
    <w:rsid w:val="00A96A95"/>
    <w:pPr>
      <w:spacing w:after="160" w:line="300" w:lineRule="atLeast"/>
    </w:pPr>
    <w:rPr>
      <w:rFonts w:ascii="Calibri" w:hAnsi="Calibri"/>
      <w:color w:val="1E1E1E"/>
      <w:sz w:val="24"/>
    </w:rPr>
  </w:style>
  <w:style w:type="paragraph" w:styleId="Heading1">
    <w:name w:val="heading 1"/>
    <w:basedOn w:val="Normalcolour"/>
    <w:next w:val="BodyText"/>
    <w:link w:val="Heading1Char"/>
    <w:uiPriority w:val="1"/>
    <w:qFormat/>
    <w:rsid w:val="00995755"/>
    <w:pPr>
      <w:keepNext/>
      <w:keepLines/>
      <w:numPr>
        <w:numId w:val="25"/>
      </w:numPr>
      <w:spacing w:before="480" w:after="140" w:line="240" w:lineRule="auto"/>
      <w:ind w:right="284"/>
      <w:outlineLvl w:val="0"/>
    </w:pPr>
    <w:rPr>
      <w:rFonts w:eastAsiaTheme="majorEastAsia" w:cstheme="majorBidi"/>
      <w:bCs/>
      <w:sz w:val="38"/>
      <w:szCs w:val="28"/>
    </w:rPr>
  </w:style>
  <w:style w:type="paragraph" w:styleId="Heading2">
    <w:name w:val="heading 2"/>
    <w:basedOn w:val="Normal"/>
    <w:next w:val="BodyText"/>
    <w:link w:val="Heading2Char"/>
    <w:uiPriority w:val="1"/>
    <w:qFormat/>
    <w:rsid w:val="00263B2F"/>
    <w:pPr>
      <w:keepNext/>
      <w:keepLines/>
      <w:numPr>
        <w:ilvl w:val="1"/>
        <w:numId w:val="25"/>
      </w:numPr>
      <w:spacing w:before="360" w:after="140" w:line="240" w:lineRule="auto"/>
      <w:ind w:right="284"/>
      <w:outlineLvl w:val="1"/>
    </w:pPr>
    <w:rPr>
      <w:rFonts w:eastAsiaTheme="majorEastAsia" w:cstheme="majorBidi"/>
      <w:b/>
      <w:bCs/>
      <w:sz w:val="30"/>
      <w:szCs w:val="26"/>
    </w:rPr>
  </w:style>
  <w:style w:type="paragraph" w:styleId="Heading3">
    <w:name w:val="heading 3"/>
    <w:basedOn w:val="Normalcolour"/>
    <w:next w:val="BodyText"/>
    <w:link w:val="Heading3Char"/>
    <w:uiPriority w:val="1"/>
    <w:qFormat/>
    <w:rsid w:val="00EB50CB"/>
    <w:pPr>
      <w:keepNext/>
      <w:keepLines/>
      <w:numPr>
        <w:ilvl w:val="2"/>
        <w:numId w:val="25"/>
      </w:numPr>
      <w:spacing w:before="360" w:after="60" w:line="240" w:lineRule="auto"/>
      <w:ind w:right="284"/>
      <w:outlineLvl w:val="2"/>
    </w:pPr>
    <w:rPr>
      <w:rFonts w:eastAsiaTheme="majorEastAsia" w:cstheme="majorBidi"/>
      <w:bCs/>
      <w:color w:val="1E1E1E"/>
      <w:sz w:val="29"/>
    </w:rPr>
  </w:style>
  <w:style w:type="paragraph" w:styleId="Heading4">
    <w:name w:val="heading 4"/>
    <w:basedOn w:val="Normal"/>
    <w:next w:val="BodyText"/>
    <w:link w:val="Heading4Char"/>
    <w:uiPriority w:val="1"/>
    <w:qFormat/>
    <w:rsid w:val="00EB50CB"/>
    <w:pPr>
      <w:keepNext/>
      <w:keepLines/>
      <w:numPr>
        <w:ilvl w:val="3"/>
        <w:numId w:val="25"/>
      </w:numPr>
      <w:spacing w:before="280" w:after="60" w:line="240" w:lineRule="auto"/>
      <w:ind w:right="284"/>
      <w:outlineLvl w:val="3"/>
    </w:pPr>
    <w:rPr>
      <w:rFonts w:eastAsiaTheme="majorEastAsia" w:cstheme="majorBidi"/>
      <w:b/>
      <w:bCs/>
      <w:iCs/>
      <w:sz w:val="26"/>
    </w:rPr>
  </w:style>
  <w:style w:type="paragraph" w:styleId="Heading5">
    <w:name w:val="heading 5"/>
    <w:basedOn w:val="Normal"/>
    <w:next w:val="BodyText"/>
    <w:link w:val="Heading5Char"/>
    <w:uiPriority w:val="1"/>
    <w:qFormat/>
    <w:rsid w:val="00EB50CB"/>
    <w:pPr>
      <w:keepNext/>
      <w:keepLines/>
      <w:numPr>
        <w:ilvl w:val="4"/>
        <w:numId w:val="25"/>
      </w:numPr>
      <w:spacing w:before="360" w:after="60"/>
      <w:ind w:right="284"/>
      <w:outlineLvl w:val="4"/>
    </w:pPr>
    <w:rPr>
      <w:rFonts w:eastAsiaTheme="majorEastAsia" w:cstheme="majorBidi"/>
      <w:b/>
      <w:caps/>
      <w:sz w:val="22"/>
    </w:rPr>
  </w:style>
  <w:style w:type="paragraph" w:styleId="Heading6">
    <w:name w:val="heading 6"/>
    <w:basedOn w:val="Normal"/>
    <w:next w:val="Normal"/>
    <w:link w:val="Heading6Char"/>
    <w:uiPriority w:val="9"/>
    <w:semiHidden/>
    <w:qFormat/>
    <w:rsid w:val="00EC70DD"/>
    <w:pPr>
      <w:keepNext/>
      <w:keepLines/>
      <w:numPr>
        <w:ilvl w:val="5"/>
        <w:numId w:val="25"/>
      </w:numPr>
      <w:spacing w:before="200" w:after="0"/>
      <w:outlineLvl w:val="5"/>
    </w:pPr>
    <w:rPr>
      <w:rFonts w:asciiTheme="majorHAnsi" w:eastAsiaTheme="majorEastAsia" w:hAnsiTheme="majorHAnsi" w:cstheme="majorBidi"/>
      <w:i/>
      <w:iCs/>
      <w:color w:val="155A39" w:themeColor="accent1" w:themeShade="7F"/>
    </w:rPr>
  </w:style>
  <w:style w:type="paragraph" w:styleId="Heading7">
    <w:name w:val="heading 7"/>
    <w:basedOn w:val="Normal"/>
    <w:next w:val="Normal"/>
    <w:link w:val="Heading7Char"/>
    <w:uiPriority w:val="9"/>
    <w:semiHidden/>
    <w:qFormat/>
    <w:rsid w:val="00EC70DD"/>
    <w:pPr>
      <w:keepNext/>
      <w:keepLines/>
      <w:numPr>
        <w:ilvl w:val="6"/>
        <w:numId w:val="2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EC70DD"/>
    <w:pPr>
      <w:keepNext/>
      <w:keepLines/>
      <w:numPr>
        <w:ilvl w:val="7"/>
        <w:numId w:val="2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EC70DD"/>
    <w:pPr>
      <w:keepNext/>
      <w:keepLines/>
      <w:numPr>
        <w:ilvl w:val="8"/>
        <w:numId w:val="2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7"/>
    <w:rsid w:val="005468E9"/>
    <w:rPr>
      <w:vertAlign w:val="superscript"/>
    </w:rPr>
  </w:style>
  <w:style w:type="paragraph" w:styleId="ListBullet">
    <w:name w:val="List Bullet"/>
    <w:basedOn w:val="Normal"/>
    <w:uiPriority w:val="3"/>
    <w:semiHidden/>
    <w:rsid w:val="00EC70DD"/>
    <w:pPr>
      <w:numPr>
        <w:numId w:val="2"/>
      </w:numPr>
    </w:pPr>
  </w:style>
  <w:style w:type="paragraph" w:styleId="ListNumber">
    <w:name w:val="List Number"/>
    <w:basedOn w:val="Normal"/>
    <w:uiPriority w:val="5"/>
    <w:semiHidden/>
    <w:rsid w:val="00EC70DD"/>
    <w:pPr>
      <w:numPr>
        <w:numId w:val="1"/>
      </w:numPr>
    </w:pPr>
  </w:style>
  <w:style w:type="paragraph" w:styleId="BalloonText">
    <w:name w:val="Balloon Text"/>
    <w:basedOn w:val="Normal"/>
    <w:link w:val="BalloonTextChar"/>
    <w:uiPriority w:val="98"/>
    <w:semiHidden/>
    <w:unhideWhenUsed/>
    <w:rsid w:val="00971D0C"/>
    <w:pPr>
      <w:spacing w:after="0" w:line="240" w:lineRule="auto"/>
    </w:pPr>
    <w:rPr>
      <w:rFonts w:cs="Tahoma"/>
      <w:sz w:val="16"/>
      <w:szCs w:val="16"/>
    </w:rPr>
  </w:style>
  <w:style w:type="character" w:customStyle="1" w:styleId="BalloonTextChar">
    <w:name w:val="Balloon Text Char"/>
    <w:basedOn w:val="DefaultParagraphFont"/>
    <w:link w:val="BalloonText"/>
    <w:uiPriority w:val="98"/>
    <w:semiHidden/>
    <w:rsid w:val="00D933EF"/>
    <w:rPr>
      <w:rFonts w:ascii="Calibri" w:hAnsi="Calibri" w:cs="Tahoma"/>
      <w:color w:val="1E1E1E"/>
      <w:sz w:val="16"/>
      <w:szCs w:val="16"/>
    </w:rPr>
  </w:style>
  <w:style w:type="character" w:customStyle="1" w:styleId="Heading1Char">
    <w:name w:val="Heading 1 Char"/>
    <w:basedOn w:val="DefaultParagraphFont"/>
    <w:link w:val="Heading1"/>
    <w:uiPriority w:val="1"/>
    <w:rsid w:val="00995755"/>
    <w:rPr>
      <w:rFonts w:ascii="Calibri" w:eastAsiaTheme="majorEastAsia" w:hAnsi="Calibri" w:cstheme="majorBidi"/>
      <w:bCs/>
      <w:color w:val="939905"/>
      <w:sz w:val="38"/>
      <w:szCs w:val="28"/>
    </w:rPr>
  </w:style>
  <w:style w:type="character" w:customStyle="1" w:styleId="Heading2Char">
    <w:name w:val="Heading 2 Char"/>
    <w:basedOn w:val="DefaultParagraphFont"/>
    <w:link w:val="Heading2"/>
    <w:uiPriority w:val="1"/>
    <w:rsid w:val="00263B2F"/>
    <w:rPr>
      <w:rFonts w:ascii="Calibri" w:eastAsiaTheme="majorEastAsia" w:hAnsi="Calibri" w:cstheme="majorBidi"/>
      <w:b/>
      <w:bCs/>
      <w:color w:val="1E1E1E"/>
      <w:sz w:val="30"/>
      <w:szCs w:val="26"/>
    </w:rPr>
  </w:style>
  <w:style w:type="character" w:customStyle="1" w:styleId="Heading3Char">
    <w:name w:val="Heading 3 Char"/>
    <w:basedOn w:val="DefaultParagraphFont"/>
    <w:link w:val="Heading3"/>
    <w:uiPriority w:val="1"/>
    <w:rsid w:val="00AC7F7D"/>
    <w:rPr>
      <w:rFonts w:ascii="Calibri" w:eastAsiaTheme="majorEastAsia" w:hAnsi="Calibri" w:cstheme="majorBidi"/>
      <w:bCs/>
      <w:color w:val="1E1E1E"/>
      <w:sz w:val="29"/>
    </w:rPr>
  </w:style>
  <w:style w:type="character" w:customStyle="1" w:styleId="Heading4Char">
    <w:name w:val="Heading 4 Char"/>
    <w:basedOn w:val="DefaultParagraphFont"/>
    <w:link w:val="Heading4"/>
    <w:uiPriority w:val="1"/>
    <w:rsid w:val="00DC47AB"/>
    <w:rPr>
      <w:rFonts w:ascii="Calibri" w:eastAsiaTheme="majorEastAsia" w:hAnsi="Calibri" w:cstheme="majorBidi"/>
      <w:b/>
      <w:bCs/>
      <w:iCs/>
      <w:color w:val="1E1E1E"/>
      <w:sz w:val="26"/>
    </w:rPr>
  </w:style>
  <w:style w:type="character" w:customStyle="1" w:styleId="Heading5Char">
    <w:name w:val="Heading 5 Char"/>
    <w:basedOn w:val="DefaultParagraphFont"/>
    <w:link w:val="Heading5"/>
    <w:uiPriority w:val="1"/>
    <w:semiHidden/>
    <w:rsid w:val="00FE72DD"/>
    <w:rPr>
      <w:rFonts w:ascii="Calibri" w:eastAsiaTheme="majorEastAsia" w:hAnsi="Calibri" w:cstheme="majorBidi"/>
      <w:b/>
      <w:caps/>
      <w:color w:val="1E1E1E"/>
    </w:rPr>
  </w:style>
  <w:style w:type="character" w:customStyle="1" w:styleId="Heading6Char">
    <w:name w:val="Heading 6 Char"/>
    <w:basedOn w:val="DefaultParagraphFont"/>
    <w:link w:val="Heading6"/>
    <w:uiPriority w:val="9"/>
    <w:semiHidden/>
    <w:rsid w:val="00EC0268"/>
    <w:rPr>
      <w:rFonts w:asciiTheme="majorHAnsi" w:eastAsiaTheme="majorEastAsia" w:hAnsiTheme="majorHAnsi" w:cstheme="majorBidi"/>
      <w:i/>
      <w:iCs/>
      <w:color w:val="155A39" w:themeColor="accent1" w:themeShade="7F"/>
      <w:sz w:val="24"/>
    </w:rPr>
  </w:style>
  <w:style w:type="character" w:customStyle="1" w:styleId="Heading7Char">
    <w:name w:val="Heading 7 Char"/>
    <w:basedOn w:val="DefaultParagraphFont"/>
    <w:link w:val="Heading7"/>
    <w:uiPriority w:val="9"/>
    <w:semiHidden/>
    <w:rsid w:val="00EC0268"/>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EC026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C0268"/>
    <w:rPr>
      <w:rFonts w:asciiTheme="majorHAnsi" w:eastAsiaTheme="majorEastAsia" w:hAnsiTheme="majorHAnsi" w:cstheme="majorBidi"/>
      <w:i/>
      <w:iCs/>
      <w:color w:val="404040" w:themeColor="text1" w:themeTint="BF"/>
      <w:sz w:val="20"/>
      <w:szCs w:val="20"/>
    </w:rPr>
  </w:style>
  <w:style w:type="paragraph" w:customStyle="1" w:styleId="Quotationseparateparagraph">
    <w:name w:val="Quotation (separate paragraph)"/>
    <w:basedOn w:val="Normal"/>
    <w:uiPriority w:val="6"/>
    <w:rsid w:val="00F922BB"/>
    <w:pPr>
      <w:ind w:left="567" w:right="567"/>
    </w:pPr>
    <w:rPr>
      <w:i/>
      <w:color w:val="4D4D4D"/>
    </w:rPr>
  </w:style>
  <w:style w:type="paragraph" w:styleId="Caption">
    <w:name w:val="caption"/>
    <w:basedOn w:val="Normal"/>
    <w:next w:val="BodyText"/>
    <w:uiPriority w:val="2"/>
    <w:semiHidden/>
    <w:rsid w:val="004F143B"/>
    <w:pPr>
      <w:keepNext/>
      <w:spacing w:before="200" w:after="140"/>
    </w:pPr>
    <w:rPr>
      <w:b/>
      <w:bCs/>
      <w:szCs w:val="18"/>
    </w:rPr>
  </w:style>
  <w:style w:type="paragraph" w:styleId="Bibliography">
    <w:name w:val="Bibliography"/>
    <w:basedOn w:val="Normal"/>
    <w:next w:val="Normal"/>
    <w:uiPriority w:val="7"/>
    <w:semiHidden/>
    <w:rsid w:val="00971D0C"/>
  </w:style>
  <w:style w:type="paragraph" w:styleId="TOC1">
    <w:name w:val="toc 1"/>
    <w:basedOn w:val="Normalcolour"/>
    <w:next w:val="Normal"/>
    <w:uiPriority w:val="39"/>
    <w:rsid w:val="00EB50CB"/>
    <w:pPr>
      <w:tabs>
        <w:tab w:val="right" w:leader="underscore" w:pos="9299"/>
      </w:tabs>
      <w:spacing w:before="200" w:after="0"/>
      <w:ind w:right="425"/>
    </w:pPr>
    <w:rPr>
      <w:b/>
      <w:sz w:val="26"/>
    </w:rPr>
  </w:style>
  <w:style w:type="paragraph" w:styleId="TOC2">
    <w:name w:val="toc 2"/>
    <w:basedOn w:val="Normal"/>
    <w:next w:val="Normal"/>
    <w:uiPriority w:val="39"/>
    <w:rsid w:val="00EB50CB"/>
    <w:pPr>
      <w:tabs>
        <w:tab w:val="right" w:leader="underscore" w:pos="9299"/>
      </w:tabs>
      <w:spacing w:after="0"/>
      <w:ind w:right="425"/>
    </w:pPr>
  </w:style>
  <w:style w:type="paragraph" w:styleId="TOC3">
    <w:name w:val="toc 3"/>
    <w:basedOn w:val="Normal"/>
    <w:next w:val="Normal"/>
    <w:uiPriority w:val="39"/>
    <w:rsid w:val="00EB50CB"/>
    <w:pPr>
      <w:tabs>
        <w:tab w:val="right" w:leader="underscore" w:pos="9299"/>
      </w:tabs>
      <w:spacing w:after="0"/>
      <w:ind w:left="284" w:right="425"/>
    </w:pPr>
  </w:style>
  <w:style w:type="paragraph" w:styleId="TOC4">
    <w:name w:val="toc 4"/>
    <w:basedOn w:val="Normal"/>
    <w:next w:val="Normal"/>
    <w:uiPriority w:val="39"/>
    <w:rsid w:val="00BD1F42"/>
    <w:pPr>
      <w:tabs>
        <w:tab w:val="right" w:leader="underscore" w:pos="9299"/>
      </w:tabs>
      <w:spacing w:after="0"/>
      <w:ind w:left="567" w:right="425"/>
    </w:pPr>
  </w:style>
  <w:style w:type="paragraph" w:styleId="TOC5">
    <w:name w:val="toc 5"/>
    <w:basedOn w:val="Normal"/>
    <w:next w:val="Normal"/>
    <w:uiPriority w:val="39"/>
    <w:semiHidden/>
    <w:rsid w:val="002E6071"/>
    <w:pPr>
      <w:tabs>
        <w:tab w:val="right" w:leader="dot" w:pos="9299"/>
      </w:tabs>
      <w:spacing w:after="0" w:line="260" w:lineRule="atLeast"/>
      <w:ind w:left="851" w:right="425"/>
    </w:pPr>
  </w:style>
  <w:style w:type="paragraph" w:styleId="TOC6">
    <w:name w:val="toc 6"/>
    <w:basedOn w:val="Normal"/>
    <w:next w:val="Normal"/>
    <w:autoRedefine/>
    <w:uiPriority w:val="39"/>
    <w:semiHidden/>
    <w:rsid w:val="00EC70DD"/>
    <w:pPr>
      <w:spacing w:after="100"/>
      <w:ind w:left="1100"/>
    </w:pPr>
  </w:style>
  <w:style w:type="paragraph" w:styleId="TOC7">
    <w:name w:val="toc 7"/>
    <w:basedOn w:val="Normal"/>
    <w:next w:val="Normal"/>
    <w:autoRedefine/>
    <w:uiPriority w:val="39"/>
    <w:semiHidden/>
    <w:rsid w:val="00EC70DD"/>
    <w:pPr>
      <w:spacing w:after="100"/>
      <w:ind w:left="1320"/>
    </w:pPr>
  </w:style>
  <w:style w:type="paragraph" w:styleId="TOC8">
    <w:name w:val="toc 8"/>
    <w:basedOn w:val="Normal"/>
    <w:next w:val="Normal"/>
    <w:autoRedefine/>
    <w:uiPriority w:val="39"/>
    <w:semiHidden/>
    <w:rsid w:val="00EC70DD"/>
    <w:pPr>
      <w:spacing w:after="100"/>
      <w:ind w:left="1540"/>
    </w:pPr>
  </w:style>
  <w:style w:type="paragraph" w:styleId="TOC9">
    <w:name w:val="toc 9"/>
    <w:basedOn w:val="Normal"/>
    <w:next w:val="Normal"/>
    <w:autoRedefine/>
    <w:uiPriority w:val="39"/>
    <w:semiHidden/>
    <w:rsid w:val="00EC70DD"/>
    <w:pPr>
      <w:spacing w:after="100"/>
      <w:ind w:left="1760"/>
    </w:pPr>
  </w:style>
  <w:style w:type="paragraph" w:styleId="TOCHeading">
    <w:name w:val="TOC Heading"/>
    <w:basedOn w:val="Heading1"/>
    <w:next w:val="BodyText"/>
    <w:uiPriority w:val="1"/>
    <w:rsid w:val="00E83E7F"/>
    <w:pPr>
      <w:spacing w:before="0"/>
      <w:outlineLvl w:val="9"/>
    </w:pPr>
  </w:style>
  <w:style w:type="paragraph" w:styleId="BodyText">
    <w:name w:val="Body Text"/>
    <w:basedOn w:val="Normal"/>
    <w:link w:val="BodyTextChar"/>
    <w:uiPriority w:val="2"/>
    <w:unhideWhenUsed/>
    <w:rsid w:val="002C04B2"/>
  </w:style>
  <w:style w:type="character" w:customStyle="1" w:styleId="BodyTextChar">
    <w:name w:val="Body Text Char"/>
    <w:basedOn w:val="DefaultParagraphFont"/>
    <w:link w:val="BodyText"/>
    <w:uiPriority w:val="2"/>
    <w:rsid w:val="002C04B2"/>
    <w:rPr>
      <w:rFonts w:ascii="Calibri" w:hAnsi="Calibri"/>
      <w:color w:val="1E1E1E"/>
      <w:sz w:val="24"/>
    </w:rPr>
  </w:style>
  <w:style w:type="paragraph" w:styleId="CommentText">
    <w:name w:val="annotation text"/>
    <w:basedOn w:val="Normal"/>
    <w:link w:val="CommentTextChar"/>
    <w:uiPriority w:val="12"/>
    <w:semiHidden/>
    <w:rsid w:val="00002E2B"/>
    <w:pPr>
      <w:spacing w:line="240" w:lineRule="auto"/>
    </w:pPr>
    <w:rPr>
      <w:sz w:val="22"/>
      <w:szCs w:val="20"/>
    </w:rPr>
  </w:style>
  <w:style w:type="character" w:customStyle="1" w:styleId="CommentTextChar">
    <w:name w:val="Comment Text Char"/>
    <w:basedOn w:val="DefaultParagraphFont"/>
    <w:link w:val="CommentText"/>
    <w:uiPriority w:val="12"/>
    <w:semiHidden/>
    <w:rsid w:val="00002E2B"/>
    <w:rPr>
      <w:rFonts w:ascii="Calibri" w:hAnsi="Calibri"/>
      <w:color w:val="1E1E1E"/>
      <w:szCs w:val="20"/>
    </w:rPr>
  </w:style>
  <w:style w:type="paragraph" w:styleId="CommentSubject">
    <w:name w:val="annotation subject"/>
    <w:basedOn w:val="CommentText"/>
    <w:next w:val="CommentText"/>
    <w:link w:val="CommentSubjectChar"/>
    <w:uiPriority w:val="12"/>
    <w:semiHidden/>
    <w:rsid w:val="00EC70DD"/>
    <w:rPr>
      <w:b/>
      <w:bCs/>
    </w:rPr>
  </w:style>
  <w:style w:type="character" w:customStyle="1" w:styleId="CommentSubjectChar">
    <w:name w:val="Comment Subject Char"/>
    <w:basedOn w:val="CommentTextChar"/>
    <w:link w:val="CommentSubject"/>
    <w:uiPriority w:val="12"/>
    <w:semiHidden/>
    <w:rsid w:val="00D933EF"/>
    <w:rPr>
      <w:rFonts w:ascii="Calibri" w:hAnsi="Calibri"/>
      <w:b/>
      <w:bCs/>
      <w:color w:val="1E1E1E"/>
      <w:sz w:val="20"/>
      <w:szCs w:val="20"/>
    </w:rPr>
  </w:style>
  <w:style w:type="paragraph" w:styleId="Date">
    <w:name w:val="Date"/>
    <w:basedOn w:val="Normal"/>
    <w:next w:val="Normal"/>
    <w:link w:val="DateChar"/>
    <w:uiPriority w:val="99"/>
    <w:semiHidden/>
    <w:rsid w:val="00EC70DD"/>
  </w:style>
  <w:style w:type="character" w:customStyle="1" w:styleId="DateChar">
    <w:name w:val="Date Char"/>
    <w:basedOn w:val="DefaultParagraphFont"/>
    <w:link w:val="Date"/>
    <w:uiPriority w:val="99"/>
    <w:semiHidden/>
    <w:rsid w:val="00971D0C"/>
    <w:rPr>
      <w:rFonts w:ascii="Calibri" w:hAnsi="Calibri"/>
      <w:color w:val="1E1E1E"/>
    </w:rPr>
  </w:style>
  <w:style w:type="paragraph" w:styleId="EmailSignature">
    <w:name w:val="E-mail Signature"/>
    <w:basedOn w:val="Normal"/>
    <w:link w:val="EmailSignatureChar"/>
    <w:uiPriority w:val="99"/>
    <w:semiHidden/>
    <w:rsid w:val="00EC70DD"/>
    <w:pPr>
      <w:spacing w:after="0" w:line="240" w:lineRule="auto"/>
    </w:pPr>
  </w:style>
  <w:style w:type="character" w:customStyle="1" w:styleId="EmailSignatureChar">
    <w:name w:val="Email Signature Char"/>
    <w:basedOn w:val="DefaultParagraphFont"/>
    <w:link w:val="EmailSignature"/>
    <w:uiPriority w:val="99"/>
    <w:semiHidden/>
    <w:rsid w:val="00EC0268"/>
    <w:rPr>
      <w:lang w:val="en-US"/>
    </w:rPr>
  </w:style>
  <w:style w:type="paragraph" w:styleId="EndnoteText">
    <w:name w:val="endnote text"/>
    <w:basedOn w:val="Normal"/>
    <w:link w:val="EndnoteTextChar"/>
    <w:uiPriority w:val="7"/>
    <w:rsid w:val="00730E17"/>
    <w:pPr>
      <w:tabs>
        <w:tab w:val="left" w:pos="284"/>
      </w:tabs>
      <w:spacing w:after="80" w:line="230" w:lineRule="atLeast"/>
      <w:ind w:left="284" w:hanging="284"/>
    </w:pPr>
    <w:rPr>
      <w:color w:val="4D4D4D"/>
      <w:sz w:val="20"/>
      <w:szCs w:val="20"/>
    </w:rPr>
  </w:style>
  <w:style w:type="character" w:customStyle="1" w:styleId="EndnoteTextChar">
    <w:name w:val="Endnote Text Char"/>
    <w:basedOn w:val="DefaultParagraphFont"/>
    <w:link w:val="EndnoteText"/>
    <w:uiPriority w:val="7"/>
    <w:rsid w:val="009954CB"/>
    <w:rPr>
      <w:rFonts w:ascii="Calibri" w:hAnsi="Calibri"/>
      <w:color w:val="4D4D4D"/>
      <w:sz w:val="20"/>
      <w:szCs w:val="20"/>
    </w:rPr>
  </w:style>
  <w:style w:type="paragraph" w:styleId="EnvelopeAddress">
    <w:name w:val="envelope address"/>
    <w:basedOn w:val="Normal"/>
    <w:uiPriority w:val="99"/>
    <w:semiHidden/>
    <w:rsid w:val="00EC70DD"/>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rsid w:val="00EC70DD"/>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10"/>
    <w:rsid w:val="009D6259"/>
    <w:pPr>
      <w:spacing w:after="0" w:line="240" w:lineRule="auto"/>
      <w:jc w:val="right"/>
    </w:pPr>
    <w:rPr>
      <w:color w:val="696969"/>
      <w:sz w:val="20"/>
    </w:rPr>
  </w:style>
  <w:style w:type="character" w:customStyle="1" w:styleId="FooterChar">
    <w:name w:val="Footer Char"/>
    <w:basedOn w:val="DefaultParagraphFont"/>
    <w:link w:val="Footer"/>
    <w:uiPriority w:val="10"/>
    <w:rsid w:val="009D6259"/>
    <w:rPr>
      <w:rFonts w:ascii="Calibri" w:hAnsi="Calibri"/>
      <w:color w:val="696969"/>
      <w:sz w:val="20"/>
    </w:rPr>
  </w:style>
  <w:style w:type="paragraph" w:styleId="FootnoteText">
    <w:name w:val="footnote text"/>
    <w:basedOn w:val="Normal"/>
    <w:link w:val="FootnoteTextChar"/>
    <w:uiPriority w:val="7"/>
    <w:rsid w:val="00730E17"/>
    <w:pPr>
      <w:tabs>
        <w:tab w:val="left" w:pos="284"/>
      </w:tabs>
      <w:spacing w:after="80" w:line="230" w:lineRule="atLeast"/>
      <w:ind w:left="284" w:hanging="284"/>
    </w:pPr>
    <w:rPr>
      <w:color w:val="4D4D4D"/>
      <w:sz w:val="20"/>
      <w:szCs w:val="20"/>
    </w:rPr>
  </w:style>
  <w:style w:type="character" w:customStyle="1" w:styleId="FootnoteTextChar">
    <w:name w:val="Footnote Text Char"/>
    <w:basedOn w:val="DefaultParagraphFont"/>
    <w:link w:val="FootnoteText"/>
    <w:uiPriority w:val="7"/>
    <w:rsid w:val="00B175AA"/>
    <w:rPr>
      <w:rFonts w:ascii="Calibri" w:hAnsi="Calibri"/>
      <w:color w:val="4D4D4D"/>
      <w:sz w:val="20"/>
      <w:szCs w:val="20"/>
    </w:rPr>
  </w:style>
  <w:style w:type="paragraph" w:styleId="Header">
    <w:name w:val="header"/>
    <w:basedOn w:val="Normal"/>
    <w:link w:val="HeaderChar"/>
    <w:rsid w:val="00307592"/>
    <w:pPr>
      <w:tabs>
        <w:tab w:val="right" w:pos="9299"/>
      </w:tabs>
      <w:spacing w:after="0" w:line="240" w:lineRule="auto"/>
    </w:pPr>
    <w:rPr>
      <w:color w:val="696969"/>
      <w:sz w:val="20"/>
    </w:rPr>
  </w:style>
  <w:style w:type="character" w:customStyle="1" w:styleId="HeaderChar">
    <w:name w:val="Header Char"/>
    <w:basedOn w:val="DefaultParagraphFont"/>
    <w:link w:val="Header"/>
    <w:rsid w:val="00687159"/>
    <w:rPr>
      <w:rFonts w:ascii="Calibri" w:hAnsi="Calibri"/>
      <w:color w:val="696969"/>
      <w:sz w:val="20"/>
    </w:rPr>
  </w:style>
  <w:style w:type="paragraph" w:styleId="HTMLAddress">
    <w:name w:val="HTML Address"/>
    <w:basedOn w:val="Normal"/>
    <w:link w:val="HTMLAddressChar"/>
    <w:uiPriority w:val="87"/>
    <w:semiHidden/>
    <w:rsid w:val="00EC70DD"/>
    <w:pPr>
      <w:spacing w:after="0" w:line="240" w:lineRule="auto"/>
    </w:pPr>
    <w:rPr>
      <w:i/>
      <w:iCs/>
    </w:rPr>
  </w:style>
  <w:style w:type="character" w:customStyle="1" w:styleId="HTMLAddressChar">
    <w:name w:val="HTML Address Char"/>
    <w:basedOn w:val="DefaultParagraphFont"/>
    <w:link w:val="HTMLAddress"/>
    <w:uiPriority w:val="87"/>
    <w:semiHidden/>
    <w:rsid w:val="00D933EF"/>
    <w:rPr>
      <w:rFonts w:ascii="Calibri" w:hAnsi="Calibri"/>
      <w:i/>
      <w:iCs/>
      <w:color w:val="1E1E1E"/>
    </w:rPr>
  </w:style>
  <w:style w:type="paragraph" w:styleId="HTMLPreformatted">
    <w:name w:val="HTML Preformatted"/>
    <w:basedOn w:val="Normal"/>
    <w:link w:val="HTMLPreformattedChar"/>
    <w:uiPriority w:val="87"/>
    <w:semiHidden/>
    <w:rsid w:val="00EC70D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87"/>
    <w:semiHidden/>
    <w:rsid w:val="00D933EF"/>
    <w:rPr>
      <w:rFonts w:ascii="Consolas" w:hAnsi="Consolas"/>
      <w:color w:val="1E1E1E"/>
      <w:sz w:val="20"/>
      <w:szCs w:val="20"/>
    </w:rPr>
  </w:style>
  <w:style w:type="paragraph" w:styleId="Index1">
    <w:name w:val="index 1"/>
    <w:basedOn w:val="Normal"/>
    <w:uiPriority w:val="99"/>
    <w:semiHidden/>
    <w:rsid w:val="002F2103"/>
    <w:pPr>
      <w:spacing w:after="0"/>
      <w:ind w:left="220" w:hanging="220"/>
    </w:pPr>
    <w:rPr>
      <w:szCs w:val="18"/>
    </w:rPr>
  </w:style>
  <w:style w:type="paragraph" w:styleId="Index2">
    <w:name w:val="index 2"/>
    <w:basedOn w:val="Normal"/>
    <w:uiPriority w:val="99"/>
    <w:semiHidden/>
    <w:rsid w:val="002F2103"/>
    <w:pPr>
      <w:spacing w:after="0"/>
      <w:ind w:left="440" w:hanging="220"/>
    </w:pPr>
    <w:rPr>
      <w:szCs w:val="18"/>
    </w:rPr>
  </w:style>
  <w:style w:type="paragraph" w:styleId="Index3">
    <w:name w:val="index 3"/>
    <w:basedOn w:val="Normal"/>
    <w:uiPriority w:val="99"/>
    <w:semiHidden/>
    <w:rsid w:val="002F2103"/>
    <w:pPr>
      <w:spacing w:after="0"/>
      <w:ind w:left="660" w:hanging="220"/>
    </w:pPr>
    <w:rPr>
      <w:szCs w:val="18"/>
    </w:rPr>
  </w:style>
  <w:style w:type="paragraph" w:styleId="Index4">
    <w:name w:val="index 4"/>
    <w:basedOn w:val="Normal"/>
    <w:uiPriority w:val="99"/>
    <w:semiHidden/>
    <w:rsid w:val="002F2103"/>
    <w:pPr>
      <w:spacing w:after="0"/>
      <w:ind w:left="880" w:hanging="220"/>
    </w:pPr>
    <w:rPr>
      <w:szCs w:val="18"/>
    </w:rPr>
  </w:style>
  <w:style w:type="paragraph" w:styleId="Index5">
    <w:name w:val="index 5"/>
    <w:basedOn w:val="Normal"/>
    <w:uiPriority w:val="99"/>
    <w:semiHidden/>
    <w:rsid w:val="002F2103"/>
    <w:pPr>
      <w:spacing w:after="0"/>
      <w:ind w:left="1100" w:hanging="220"/>
    </w:pPr>
    <w:rPr>
      <w:szCs w:val="18"/>
    </w:rPr>
  </w:style>
  <w:style w:type="paragraph" w:styleId="Index6">
    <w:name w:val="index 6"/>
    <w:basedOn w:val="Normal"/>
    <w:uiPriority w:val="99"/>
    <w:semiHidden/>
    <w:rsid w:val="002F2103"/>
    <w:pPr>
      <w:spacing w:after="0"/>
      <w:ind w:left="1320" w:hanging="220"/>
    </w:pPr>
    <w:rPr>
      <w:szCs w:val="18"/>
    </w:rPr>
  </w:style>
  <w:style w:type="paragraph" w:styleId="Index7">
    <w:name w:val="index 7"/>
    <w:basedOn w:val="Normal"/>
    <w:uiPriority w:val="99"/>
    <w:semiHidden/>
    <w:rsid w:val="002F2103"/>
    <w:pPr>
      <w:spacing w:after="0"/>
      <w:ind w:left="1540" w:hanging="220"/>
    </w:pPr>
    <w:rPr>
      <w:szCs w:val="18"/>
    </w:rPr>
  </w:style>
  <w:style w:type="paragraph" w:styleId="Index8">
    <w:name w:val="index 8"/>
    <w:basedOn w:val="Normal"/>
    <w:uiPriority w:val="99"/>
    <w:semiHidden/>
    <w:rsid w:val="002F2103"/>
    <w:pPr>
      <w:spacing w:after="0"/>
      <w:ind w:left="1760" w:hanging="220"/>
    </w:pPr>
    <w:rPr>
      <w:szCs w:val="18"/>
    </w:rPr>
  </w:style>
  <w:style w:type="paragraph" w:styleId="Index9">
    <w:name w:val="index 9"/>
    <w:basedOn w:val="Normal"/>
    <w:uiPriority w:val="99"/>
    <w:semiHidden/>
    <w:rsid w:val="002F2103"/>
    <w:pPr>
      <w:spacing w:after="0"/>
      <w:ind w:left="1980" w:hanging="220"/>
    </w:pPr>
    <w:rPr>
      <w:szCs w:val="18"/>
    </w:rPr>
  </w:style>
  <w:style w:type="paragraph" w:styleId="IndexHeading">
    <w:name w:val="index heading"/>
    <w:basedOn w:val="Normal"/>
    <w:next w:val="Index1"/>
    <w:uiPriority w:val="1"/>
    <w:semiHidden/>
    <w:rsid w:val="003931F9"/>
    <w:pPr>
      <w:pBdr>
        <w:bottom w:val="single" w:sz="8" w:space="1" w:color="00ADC6"/>
      </w:pBdr>
      <w:spacing w:before="200" w:after="60"/>
    </w:pPr>
    <w:rPr>
      <w:rFonts w:eastAsiaTheme="majorEastAsia" w:cstheme="majorBidi"/>
      <w:b/>
      <w:bCs/>
      <w:color w:val="00ADC6"/>
      <w:sz w:val="26"/>
    </w:rPr>
  </w:style>
  <w:style w:type="paragraph" w:styleId="ListBullet2">
    <w:name w:val="List Bullet 2"/>
    <w:basedOn w:val="Normal"/>
    <w:uiPriority w:val="3"/>
    <w:semiHidden/>
    <w:rsid w:val="00EC70DD"/>
    <w:pPr>
      <w:numPr>
        <w:ilvl w:val="1"/>
        <w:numId w:val="2"/>
      </w:numPr>
    </w:pPr>
  </w:style>
  <w:style w:type="paragraph" w:styleId="ListBullet3">
    <w:name w:val="List Bullet 3"/>
    <w:basedOn w:val="Normal"/>
    <w:uiPriority w:val="3"/>
    <w:semiHidden/>
    <w:rsid w:val="00EC70DD"/>
    <w:pPr>
      <w:numPr>
        <w:ilvl w:val="2"/>
        <w:numId w:val="2"/>
      </w:numPr>
    </w:pPr>
  </w:style>
  <w:style w:type="paragraph" w:styleId="ListBullet4">
    <w:name w:val="List Bullet 4"/>
    <w:basedOn w:val="Normal"/>
    <w:uiPriority w:val="3"/>
    <w:semiHidden/>
    <w:rsid w:val="00EC70DD"/>
    <w:pPr>
      <w:numPr>
        <w:ilvl w:val="3"/>
        <w:numId w:val="2"/>
      </w:numPr>
    </w:pPr>
  </w:style>
  <w:style w:type="paragraph" w:styleId="ListContinue">
    <w:name w:val="List Continue"/>
    <w:basedOn w:val="Normal"/>
    <w:uiPriority w:val="4"/>
    <w:semiHidden/>
    <w:rsid w:val="00EC70DD"/>
    <w:pPr>
      <w:ind w:left="567"/>
    </w:pPr>
  </w:style>
  <w:style w:type="paragraph" w:styleId="ListContinue2">
    <w:name w:val="List Continue 2"/>
    <w:basedOn w:val="Normal"/>
    <w:uiPriority w:val="4"/>
    <w:semiHidden/>
    <w:rsid w:val="00EC70DD"/>
    <w:pPr>
      <w:ind w:left="1134"/>
    </w:pPr>
  </w:style>
  <w:style w:type="paragraph" w:styleId="ListContinue3">
    <w:name w:val="List Continue 3"/>
    <w:basedOn w:val="Normal"/>
    <w:uiPriority w:val="4"/>
    <w:semiHidden/>
    <w:rsid w:val="00EC70DD"/>
    <w:pPr>
      <w:ind w:left="1701"/>
    </w:pPr>
  </w:style>
  <w:style w:type="paragraph" w:styleId="ListContinue4">
    <w:name w:val="List Continue 4"/>
    <w:basedOn w:val="Normal"/>
    <w:uiPriority w:val="4"/>
    <w:semiHidden/>
    <w:rsid w:val="00EC70DD"/>
    <w:pPr>
      <w:ind w:left="2268"/>
    </w:pPr>
  </w:style>
  <w:style w:type="paragraph" w:styleId="ListContinue5">
    <w:name w:val="List Continue 5"/>
    <w:basedOn w:val="Normal"/>
    <w:uiPriority w:val="99"/>
    <w:semiHidden/>
    <w:rsid w:val="00EC70DD"/>
    <w:pPr>
      <w:spacing w:after="120"/>
      <w:ind w:left="1415"/>
      <w:contextualSpacing/>
    </w:pPr>
  </w:style>
  <w:style w:type="paragraph" w:styleId="ListNumber2">
    <w:name w:val="List Number 2"/>
    <w:basedOn w:val="Normal"/>
    <w:uiPriority w:val="5"/>
    <w:semiHidden/>
    <w:rsid w:val="00EC70DD"/>
    <w:pPr>
      <w:numPr>
        <w:ilvl w:val="1"/>
        <w:numId w:val="1"/>
      </w:numPr>
    </w:pPr>
  </w:style>
  <w:style w:type="paragraph" w:styleId="ListNumber3">
    <w:name w:val="List Number 3"/>
    <w:basedOn w:val="Normal"/>
    <w:uiPriority w:val="5"/>
    <w:semiHidden/>
    <w:rsid w:val="00E9499F"/>
    <w:pPr>
      <w:numPr>
        <w:ilvl w:val="2"/>
        <w:numId w:val="1"/>
      </w:numPr>
    </w:pPr>
  </w:style>
  <w:style w:type="paragraph" w:styleId="NormalWeb">
    <w:name w:val="Normal (Web)"/>
    <w:basedOn w:val="Normal"/>
    <w:uiPriority w:val="97"/>
    <w:semiHidden/>
    <w:rsid w:val="00B52654"/>
    <w:rPr>
      <w:rFonts w:cs="Times New Roman"/>
      <w:szCs w:val="24"/>
    </w:rPr>
  </w:style>
  <w:style w:type="paragraph" w:styleId="TableofAuthorities">
    <w:name w:val="table of authorities"/>
    <w:basedOn w:val="Normal"/>
    <w:next w:val="Normal"/>
    <w:uiPriority w:val="9"/>
    <w:semiHidden/>
    <w:rsid w:val="00D75233"/>
    <w:pPr>
      <w:spacing w:after="0"/>
      <w:ind w:left="220" w:hanging="220"/>
    </w:pPr>
  </w:style>
  <w:style w:type="paragraph" w:styleId="TableofFigures">
    <w:name w:val="table of figures"/>
    <w:basedOn w:val="Normal"/>
    <w:next w:val="BodyText"/>
    <w:uiPriority w:val="99"/>
    <w:rsid w:val="00F63084"/>
    <w:pPr>
      <w:tabs>
        <w:tab w:val="right" w:leader="underscore" w:pos="9299"/>
      </w:tabs>
      <w:spacing w:after="0"/>
      <w:ind w:right="425"/>
    </w:pPr>
  </w:style>
  <w:style w:type="paragraph" w:styleId="TOAHeading">
    <w:name w:val="toa heading"/>
    <w:basedOn w:val="Normal"/>
    <w:next w:val="Normal"/>
    <w:uiPriority w:val="9"/>
    <w:semiHidden/>
    <w:rsid w:val="005777E2"/>
    <w:pPr>
      <w:spacing w:before="120"/>
    </w:pPr>
    <w:rPr>
      <w:rFonts w:asciiTheme="majorHAnsi" w:eastAsiaTheme="majorEastAsia" w:hAnsiTheme="majorHAnsi" w:cstheme="majorBidi"/>
      <w:b/>
      <w:bCs/>
      <w:szCs w:val="24"/>
    </w:rPr>
  </w:style>
  <w:style w:type="paragraph" w:customStyle="1" w:styleId="Normalcolour">
    <w:name w:val="Normal colour"/>
    <w:basedOn w:val="Normal"/>
    <w:uiPriority w:val="98"/>
    <w:qFormat/>
    <w:rsid w:val="00FE7F31"/>
    <w:rPr>
      <w:color w:val="00ADC6"/>
    </w:rPr>
  </w:style>
  <w:style w:type="character" w:styleId="PageNumber">
    <w:name w:val="page number"/>
    <w:basedOn w:val="DefaultParagraphFont"/>
    <w:rsid w:val="00EB50CB"/>
    <w:rPr>
      <w:b/>
      <w:color w:val="1E1E1E"/>
      <w:sz w:val="20"/>
    </w:rPr>
  </w:style>
  <w:style w:type="paragraph" w:customStyle="1" w:styleId="Heading1line">
    <w:name w:val="Heading 1 line"/>
    <w:basedOn w:val="Normal"/>
    <w:next w:val="BodyText"/>
    <w:uiPriority w:val="1"/>
    <w:rsid w:val="003931F9"/>
    <w:pPr>
      <w:pBdr>
        <w:bottom w:val="single" w:sz="4" w:space="1" w:color="00ADC6"/>
      </w:pBdr>
      <w:spacing w:before="200" w:line="240" w:lineRule="auto"/>
    </w:pPr>
    <w:rPr>
      <w:color w:val="696969"/>
    </w:rPr>
  </w:style>
  <w:style w:type="table" w:styleId="TableGrid">
    <w:name w:val="Table Grid"/>
    <w:basedOn w:val="TableNormal"/>
    <w:uiPriority w:val="59"/>
    <w:rsid w:val="00031648"/>
    <w:pPr>
      <w:spacing w:line="240" w:lineRule="atLeast"/>
    </w:pPr>
    <w:rPr>
      <w:rFonts w:ascii="Calibri" w:hAnsi="Calibri"/>
    </w:r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rPr>
        <w:tblHeader/>
      </w:trPr>
      <w:tcPr>
        <w:tcBorders>
          <w:top w:val="single" w:sz="4" w:space="0" w:color="A6A6A6" w:themeColor="background1" w:themeShade="A6"/>
          <w:left w:val="single" w:sz="4" w:space="0" w:color="595959"/>
          <w:bottom w:val="single" w:sz="4" w:space="0" w:color="A6A6A6" w:themeColor="background1" w:themeShade="A6"/>
          <w:right w:val="single" w:sz="4" w:space="0" w:color="595959"/>
          <w:insideH w:val="single" w:sz="4" w:space="0" w:color="A6A6A6" w:themeColor="background1" w:themeShade="A6"/>
          <w:insideV w:val="single" w:sz="4" w:space="0" w:color="A6A6A6" w:themeColor="background1" w:themeShade="A6"/>
          <w:tl2br w:val="nil"/>
          <w:tr2bl w:val="nil"/>
        </w:tcBorders>
        <w:shd w:val="clear" w:color="auto" w:fill="595959"/>
      </w:tcPr>
    </w:tblStylePr>
    <w:tblStylePr w:type="lastRow">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fir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la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band1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style>
  <w:style w:type="paragraph" w:customStyle="1" w:styleId="Tableheadingrow1">
    <w:name w:val="Table heading row 1"/>
    <w:basedOn w:val="Normal"/>
    <w:uiPriority w:val="1"/>
    <w:rsid w:val="00D75233"/>
    <w:pPr>
      <w:keepNext/>
      <w:spacing w:before="60" w:after="60" w:line="240" w:lineRule="auto"/>
    </w:pPr>
    <w:rPr>
      <w:color w:val="FFFFFF" w:themeColor="background1"/>
    </w:rPr>
  </w:style>
  <w:style w:type="paragraph" w:customStyle="1" w:styleId="Listoutline1-1">
    <w:name w:val="List outline 1 - 1."/>
    <w:basedOn w:val="BodyText"/>
    <w:uiPriority w:val="5"/>
    <w:semiHidden/>
    <w:rsid w:val="00E43E20"/>
    <w:pPr>
      <w:numPr>
        <w:numId w:val="3"/>
      </w:numPr>
    </w:pPr>
  </w:style>
  <w:style w:type="paragraph" w:customStyle="1" w:styleId="Listoutline2-11">
    <w:name w:val="List outline 2 - 1.1"/>
    <w:basedOn w:val="Normal"/>
    <w:uiPriority w:val="5"/>
    <w:semiHidden/>
    <w:rsid w:val="00EC70DD"/>
    <w:pPr>
      <w:numPr>
        <w:ilvl w:val="1"/>
        <w:numId w:val="3"/>
      </w:numPr>
    </w:pPr>
  </w:style>
  <w:style w:type="paragraph" w:customStyle="1" w:styleId="Listoutline3-111">
    <w:name w:val="List outline 3 - 1.1.1"/>
    <w:basedOn w:val="Normal"/>
    <w:uiPriority w:val="5"/>
    <w:semiHidden/>
    <w:rsid w:val="00EC70DD"/>
    <w:pPr>
      <w:numPr>
        <w:ilvl w:val="2"/>
        <w:numId w:val="3"/>
      </w:numPr>
    </w:pPr>
  </w:style>
  <w:style w:type="paragraph" w:customStyle="1" w:styleId="Listoutline4-a">
    <w:name w:val="List outline 4 - a."/>
    <w:basedOn w:val="Normal"/>
    <w:uiPriority w:val="5"/>
    <w:semiHidden/>
    <w:rsid w:val="00EC70DD"/>
    <w:pPr>
      <w:numPr>
        <w:ilvl w:val="3"/>
        <w:numId w:val="3"/>
      </w:numPr>
    </w:pPr>
  </w:style>
  <w:style w:type="character" w:styleId="Hyperlink">
    <w:name w:val="Hyperlink"/>
    <w:basedOn w:val="DefaultParagraphFont"/>
    <w:uiPriority w:val="99"/>
    <w:rsid w:val="00EB50CB"/>
    <w:rPr>
      <w:color w:val="0D6AB8"/>
      <w:u w:val="single"/>
    </w:rPr>
  </w:style>
  <w:style w:type="paragraph" w:customStyle="1" w:styleId="Heading2-Start">
    <w:name w:val="Heading 2 - Start"/>
    <w:basedOn w:val="Heading2"/>
    <w:next w:val="BodyText"/>
    <w:uiPriority w:val="1"/>
    <w:rsid w:val="00EB50CB"/>
    <w:pPr>
      <w:spacing w:before="200"/>
    </w:pPr>
  </w:style>
  <w:style w:type="paragraph" w:customStyle="1" w:styleId="Quotationparagraphbefore">
    <w:name w:val="Quotation (paragraph before)"/>
    <w:basedOn w:val="Normal"/>
    <w:next w:val="Quotationseparateparagraph"/>
    <w:uiPriority w:val="6"/>
    <w:rsid w:val="00F922BB"/>
    <w:pPr>
      <w:spacing w:after="120"/>
    </w:pPr>
  </w:style>
  <w:style w:type="character" w:styleId="Emphasis">
    <w:name w:val="Emphasis"/>
    <w:uiPriority w:val="2"/>
    <w:qFormat/>
    <w:rsid w:val="002F2103"/>
    <w:rPr>
      <w:rFonts w:ascii="Calibri" w:hAnsi="Calibri"/>
      <w:b/>
      <w:bCs/>
      <w:iCs/>
      <w:spacing w:val="0"/>
      <w:lang w:val="en-NZ"/>
    </w:rPr>
  </w:style>
  <w:style w:type="paragraph" w:customStyle="1" w:styleId="Listcheckbox">
    <w:name w:val="List check box"/>
    <w:basedOn w:val="BodyText"/>
    <w:uiPriority w:val="3"/>
    <w:semiHidden/>
    <w:rsid w:val="00DE17A1"/>
  </w:style>
  <w:style w:type="paragraph" w:customStyle="1" w:styleId="Boxsmalltext">
    <w:name w:val="Box small text"/>
    <w:basedOn w:val="Normalcolour"/>
    <w:uiPriority w:val="2"/>
    <w:qFormat/>
    <w:rsid w:val="00EB50CB"/>
    <w:rPr>
      <w:color w:val="1E1E1E"/>
    </w:rPr>
  </w:style>
  <w:style w:type="paragraph" w:customStyle="1" w:styleId="Boxlargetext">
    <w:name w:val="Box large text"/>
    <w:basedOn w:val="Normalcolour"/>
    <w:uiPriority w:val="2"/>
    <w:qFormat/>
    <w:rsid w:val="002F510A"/>
    <w:pPr>
      <w:spacing w:line="320" w:lineRule="atLeast"/>
    </w:pPr>
    <w:rPr>
      <w:sz w:val="26"/>
    </w:rPr>
  </w:style>
  <w:style w:type="paragraph" w:customStyle="1" w:styleId="Listoutline5-i">
    <w:name w:val="List outline 5 - i."/>
    <w:basedOn w:val="Normal"/>
    <w:uiPriority w:val="5"/>
    <w:semiHidden/>
    <w:rsid w:val="00411A78"/>
    <w:pPr>
      <w:numPr>
        <w:ilvl w:val="4"/>
        <w:numId w:val="3"/>
      </w:numPr>
    </w:pPr>
  </w:style>
  <w:style w:type="character" w:styleId="EndnoteReference">
    <w:name w:val="endnote reference"/>
    <w:basedOn w:val="DefaultParagraphFont"/>
    <w:uiPriority w:val="7"/>
    <w:rsid w:val="005468E9"/>
    <w:rPr>
      <w:vertAlign w:val="superscript"/>
    </w:rPr>
  </w:style>
  <w:style w:type="paragraph" w:customStyle="1" w:styleId="HeadingAppendix">
    <w:name w:val="Heading Appendix"/>
    <w:basedOn w:val="Heading1"/>
    <w:next w:val="BodyText"/>
    <w:uiPriority w:val="1"/>
    <w:rsid w:val="002F2103"/>
    <w:pPr>
      <w:pageBreakBefore/>
      <w:numPr>
        <w:numId w:val="4"/>
      </w:numPr>
      <w:spacing w:before="0"/>
    </w:pPr>
  </w:style>
  <w:style w:type="table" w:customStyle="1" w:styleId="TableGridnoborders">
    <w:name w:val="Table Grid (no borders)"/>
    <w:basedOn w:val="TableNormal"/>
    <w:uiPriority w:val="99"/>
    <w:rsid w:val="00D04964"/>
    <w:pPr>
      <w:spacing w:line="240" w:lineRule="atLeast"/>
    </w:pPr>
    <w:rPr>
      <w:rFonts w:ascii="Calibri" w:hAnsi="Calibri"/>
      <w:sz w:val="24"/>
    </w:rPr>
    <w:tblPr>
      <w:tblInd w:w="113" w:type="dxa"/>
      <w:tblCellMar>
        <w:top w:w="28" w:type="dxa"/>
        <w:bottom w:w="28" w:type="dxa"/>
      </w:tblCellMar>
    </w:tblPr>
    <w:tcPr>
      <w:shd w:val="clear" w:color="auto" w:fill="auto"/>
    </w:tcPr>
  </w:style>
  <w:style w:type="character" w:customStyle="1" w:styleId="Heading1-Sub">
    <w:name w:val="Heading 1 - Sub"/>
    <w:basedOn w:val="DefaultParagraphFont"/>
    <w:uiPriority w:val="1"/>
    <w:rsid w:val="002F2103"/>
    <w:rPr>
      <w:b/>
    </w:rPr>
  </w:style>
  <w:style w:type="paragraph" w:customStyle="1" w:styleId="Whitespace">
    <w:name w:val="White space"/>
    <w:basedOn w:val="BodyText"/>
    <w:uiPriority w:val="2"/>
    <w:rsid w:val="00644B46"/>
    <w:pPr>
      <w:spacing w:after="0" w:line="240" w:lineRule="auto"/>
    </w:pPr>
    <w:rPr>
      <w:sz w:val="16"/>
    </w:rPr>
  </w:style>
  <w:style w:type="character" w:customStyle="1" w:styleId="Quotationwithinthesentence">
    <w:name w:val="Quotation (within the sentence)"/>
    <w:basedOn w:val="DefaultParagraphFont"/>
    <w:uiPriority w:val="6"/>
    <w:rsid w:val="00F922BB"/>
    <w:rPr>
      <w:i/>
    </w:rPr>
  </w:style>
  <w:style w:type="paragraph" w:customStyle="1" w:styleId="Heading1-Subnonboldtext">
    <w:name w:val="Heading 1 - Sub (non bold text)"/>
    <w:basedOn w:val="BodyText"/>
    <w:uiPriority w:val="1"/>
    <w:rsid w:val="002F2103"/>
    <w:pPr>
      <w:tabs>
        <w:tab w:val="left" w:pos="2552"/>
      </w:tabs>
      <w:spacing w:after="0"/>
      <w:ind w:left="2552" w:hanging="2552"/>
    </w:pPr>
  </w:style>
  <w:style w:type="paragraph" w:customStyle="1" w:styleId="Tablebodytext">
    <w:name w:val="Table body text"/>
    <w:basedOn w:val="BodyText"/>
    <w:uiPriority w:val="2"/>
    <w:rsid w:val="002F4E51"/>
    <w:pPr>
      <w:spacing w:before="120" w:after="120"/>
    </w:pPr>
    <w:rPr>
      <w:sz w:val="22"/>
    </w:rPr>
  </w:style>
  <w:style w:type="paragraph" w:customStyle="1" w:styleId="Tablebodytextnospaceafter">
    <w:name w:val="Table body text (no space after)"/>
    <w:basedOn w:val="BodyText"/>
    <w:uiPriority w:val="2"/>
    <w:rsid w:val="00D75233"/>
    <w:pPr>
      <w:spacing w:after="0"/>
    </w:pPr>
  </w:style>
  <w:style w:type="table" w:customStyle="1" w:styleId="TableBox">
    <w:name w:val="Table Box"/>
    <w:basedOn w:val="TableNormal"/>
    <w:uiPriority w:val="99"/>
    <w:rsid w:val="00BD1F42"/>
    <w:pPr>
      <w:spacing w:line="240" w:lineRule="atLeast"/>
    </w:pPr>
    <w:rPr>
      <w:rFonts w:ascii="Calibri" w:hAnsi="Calibri"/>
      <w:sz w:val="24"/>
    </w:rPr>
    <w:tblPr>
      <w:tblCellMar>
        <w:top w:w="142" w:type="dxa"/>
        <w:left w:w="284" w:type="dxa"/>
        <w:bottom w:w="142" w:type="dxa"/>
        <w:right w:w="284" w:type="dxa"/>
      </w:tblCellMar>
    </w:tblPr>
    <w:tcPr>
      <w:shd w:val="clear" w:color="auto" w:fill="D3D3D3"/>
    </w:tcPr>
  </w:style>
  <w:style w:type="character" w:styleId="FollowedHyperlink">
    <w:name w:val="FollowedHyperlink"/>
    <w:basedOn w:val="DefaultParagraphFont"/>
    <w:uiPriority w:val="2"/>
    <w:rsid w:val="00C91EA8"/>
    <w:rPr>
      <w:color w:val="3C98E7"/>
      <w:u w:val="single"/>
    </w:rPr>
  </w:style>
  <w:style w:type="paragraph" w:customStyle="1" w:styleId="Headingboxtextinbody">
    <w:name w:val="Heading box text (in body)"/>
    <w:basedOn w:val="Normalcolour"/>
    <w:uiPriority w:val="1"/>
    <w:rsid w:val="00EB50CB"/>
    <w:pPr>
      <w:keepNext/>
      <w:spacing w:before="360" w:after="60" w:line="320" w:lineRule="atLeast"/>
    </w:pPr>
    <w:rPr>
      <w:b/>
      <w:sz w:val="26"/>
    </w:rPr>
  </w:style>
  <w:style w:type="paragraph" w:customStyle="1" w:styleId="Headingboxtexttop">
    <w:name w:val="Heading box text (top)"/>
    <w:basedOn w:val="Normalcolour"/>
    <w:uiPriority w:val="1"/>
    <w:rsid w:val="00EB50CB"/>
    <w:pPr>
      <w:spacing w:after="60" w:line="320" w:lineRule="atLeast"/>
    </w:pPr>
    <w:rPr>
      <w:b/>
      <w:sz w:val="26"/>
    </w:rPr>
  </w:style>
  <w:style w:type="paragraph" w:customStyle="1" w:styleId="Singlespacedparagraph">
    <w:name w:val="Single spaced paragraph"/>
    <w:basedOn w:val="BodyText"/>
    <w:uiPriority w:val="2"/>
    <w:rsid w:val="00730E17"/>
    <w:pPr>
      <w:spacing w:after="0"/>
    </w:pPr>
  </w:style>
  <w:style w:type="paragraph" w:customStyle="1" w:styleId="Footerline">
    <w:name w:val="Footer line"/>
    <w:basedOn w:val="Footer"/>
    <w:next w:val="Footer"/>
    <w:uiPriority w:val="10"/>
    <w:rsid w:val="00272307"/>
    <w:pPr>
      <w:pBdr>
        <w:top w:val="single" w:sz="4" w:space="5" w:color="696969"/>
      </w:pBdr>
      <w:ind w:left="23" w:right="23"/>
    </w:pPr>
    <w:rPr>
      <w:sz w:val="2"/>
    </w:rPr>
  </w:style>
  <w:style w:type="paragraph" w:customStyle="1" w:styleId="Headerline">
    <w:name w:val="Header line"/>
    <w:basedOn w:val="Header"/>
    <w:rsid w:val="00272307"/>
    <w:pPr>
      <w:pBdr>
        <w:bottom w:val="single" w:sz="4" w:space="5" w:color="696969"/>
      </w:pBdr>
      <w:ind w:left="23" w:right="23"/>
    </w:pPr>
    <w:rPr>
      <w:sz w:val="2"/>
    </w:rPr>
  </w:style>
  <w:style w:type="paragraph" w:customStyle="1" w:styleId="QLegindent1">
    <w:name w:val="QLeg indent 1"/>
    <w:basedOn w:val="Normal"/>
    <w:uiPriority w:val="2"/>
    <w:semiHidden/>
    <w:rsid w:val="00064CFD"/>
    <w:pPr>
      <w:ind w:left="1985" w:right="567"/>
    </w:pPr>
    <w:rPr>
      <w:i/>
      <w:color w:val="4D4D4D"/>
    </w:rPr>
  </w:style>
  <w:style w:type="paragraph" w:customStyle="1" w:styleId="QLegindent2">
    <w:name w:val="QLeg indent 2"/>
    <w:basedOn w:val="Normal"/>
    <w:uiPriority w:val="2"/>
    <w:semiHidden/>
    <w:rsid w:val="00064CFD"/>
    <w:pPr>
      <w:ind w:left="2693" w:right="567"/>
    </w:pPr>
    <w:rPr>
      <w:i/>
      <w:color w:val="4D4D4D"/>
    </w:rPr>
  </w:style>
  <w:style w:type="paragraph" w:customStyle="1" w:styleId="QLegindent3">
    <w:name w:val="QLeg indent 3"/>
    <w:basedOn w:val="Normal"/>
    <w:uiPriority w:val="2"/>
    <w:semiHidden/>
    <w:rsid w:val="00064CFD"/>
    <w:pPr>
      <w:ind w:left="3402" w:right="567"/>
    </w:pPr>
    <w:rPr>
      <w:i/>
      <w:color w:val="4D4D4D"/>
    </w:rPr>
  </w:style>
  <w:style w:type="paragraph" w:customStyle="1" w:styleId="QLegstyle-1">
    <w:name w:val="QLeg style - (1)"/>
    <w:basedOn w:val="Normal"/>
    <w:uiPriority w:val="2"/>
    <w:semiHidden/>
    <w:rsid w:val="00064CFD"/>
    <w:pPr>
      <w:tabs>
        <w:tab w:val="left" w:pos="1985"/>
      </w:tabs>
      <w:ind w:left="1985" w:right="567" w:hanging="851"/>
    </w:pPr>
    <w:rPr>
      <w:i/>
      <w:color w:val="4D4D4D"/>
    </w:rPr>
  </w:style>
  <w:style w:type="paragraph" w:customStyle="1" w:styleId="QLegstyle-a">
    <w:name w:val="QLeg style - (a)"/>
    <w:basedOn w:val="Normal"/>
    <w:uiPriority w:val="2"/>
    <w:semiHidden/>
    <w:rsid w:val="00064CFD"/>
    <w:pPr>
      <w:tabs>
        <w:tab w:val="left" w:pos="2693"/>
      </w:tabs>
      <w:ind w:left="2694" w:right="567" w:hanging="709"/>
    </w:pPr>
    <w:rPr>
      <w:i/>
      <w:color w:val="4D4D4D"/>
    </w:rPr>
  </w:style>
  <w:style w:type="paragraph" w:customStyle="1" w:styleId="QLegstyle-i">
    <w:name w:val="QLeg style - (i)"/>
    <w:basedOn w:val="Normal"/>
    <w:uiPriority w:val="2"/>
    <w:semiHidden/>
    <w:rsid w:val="00064CFD"/>
    <w:pPr>
      <w:tabs>
        <w:tab w:val="left" w:pos="3402"/>
      </w:tabs>
      <w:ind w:left="3402" w:right="567" w:hanging="709"/>
    </w:pPr>
    <w:rPr>
      <w:i/>
      <w:color w:val="4D4D4D"/>
    </w:rPr>
  </w:style>
  <w:style w:type="paragraph" w:customStyle="1" w:styleId="QLegstyle-10">
    <w:name w:val="QLeg style - 1"/>
    <w:basedOn w:val="Normal"/>
    <w:uiPriority w:val="2"/>
    <w:semiHidden/>
    <w:rsid w:val="00064CFD"/>
    <w:pPr>
      <w:tabs>
        <w:tab w:val="left" w:pos="1985"/>
      </w:tabs>
      <w:ind w:left="1985" w:right="567" w:hanging="851"/>
    </w:pPr>
    <w:rPr>
      <w:b/>
      <w:i/>
      <w:color w:val="4D4D4D"/>
    </w:rPr>
  </w:style>
  <w:style w:type="paragraph" w:customStyle="1" w:styleId="Legindent1">
    <w:name w:val="Leg indent 1"/>
    <w:basedOn w:val="Normal"/>
    <w:uiPriority w:val="9"/>
    <w:semiHidden/>
    <w:rsid w:val="00064CFD"/>
    <w:pPr>
      <w:ind w:left="851"/>
    </w:pPr>
  </w:style>
  <w:style w:type="paragraph" w:customStyle="1" w:styleId="Legindent2">
    <w:name w:val="Leg indent 2"/>
    <w:basedOn w:val="Normal"/>
    <w:uiPriority w:val="9"/>
    <w:semiHidden/>
    <w:rsid w:val="00064CFD"/>
    <w:pPr>
      <w:ind w:left="1559"/>
    </w:pPr>
  </w:style>
  <w:style w:type="paragraph" w:customStyle="1" w:styleId="Legindent3">
    <w:name w:val="Leg indent 3"/>
    <w:basedOn w:val="Normal"/>
    <w:uiPriority w:val="9"/>
    <w:semiHidden/>
    <w:rsid w:val="00064CFD"/>
    <w:pPr>
      <w:ind w:left="2268"/>
    </w:pPr>
  </w:style>
  <w:style w:type="paragraph" w:customStyle="1" w:styleId="Legstyle-1">
    <w:name w:val="Leg style - (1)"/>
    <w:basedOn w:val="Normal"/>
    <w:uiPriority w:val="9"/>
    <w:semiHidden/>
    <w:rsid w:val="00064CFD"/>
    <w:pPr>
      <w:tabs>
        <w:tab w:val="left" w:pos="851"/>
      </w:tabs>
      <w:ind w:left="851" w:hanging="851"/>
    </w:pPr>
  </w:style>
  <w:style w:type="paragraph" w:customStyle="1" w:styleId="Legstyle-a">
    <w:name w:val="Leg style - (a)"/>
    <w:basedOn w:val="Normal"/>
    <w:uiPriority w:val="9"/>
    <w:semiHidden/>
    <w:rsid w:val="00064CFD"/>
    <w:pPr>
      <w:tabs>
        <w:tab w:val="left" w:pos="1559"/>
      </w:tabs>
      <w:ind w:left="1560" w:hanging="709"/>
    </w:pPr>
  </w:style>
  <w:style w:type="paragraph" w:customStyle="1" w:styleId="Legstyle-i">
    <w:name w:val="Leg style - (i)"/>
    <w:basedOn w:val="Normal"/>
    <w:uiPriority w:val="9"/>
    <w:semiHidden/>
    <w:rsid w:val="00064CFD"/>
    <w:pPr>
      <w:tabs>
        <w:tab w:val="left" w:pos="2268"/>
      </w:tabs>
      <w:ind w:left="2268" w:hanging="709"/>
    </w:pPr>
  </w:style>
  <w:style w:type="paragraph" w:customStyle="1" w:styleId="Legstyle-10">
    <w:name w:val="Leg style - 1"/>
    <w:basedOn w:val="Normal"/>
    <w:uiPriority w:val="9"/>
    <w:semiHidden/>
    <w:rsid w:val="00064CFD"/>
    <w:pPr>
      <w:tabs>
        <w:tab w:val="left" w:pos="851"/>
      </w:tabs>
      <w:ind w:left="851" w:hanging="851"/>
    </w:pPr>
    <w:rPr>
      <w:b/>
    </w:rPr>
  </w:style>
  <w:style w:type="paragraph" w:customStyle="1" w:styleId="Guidelines">
    <w:name w:val="Guidelines"/>
    <w:basedOn w:val="Normal"/>
    <w:next w:val="BodyText"/>
    <w:uiPriority w:val="2"/>
    <w:rsid w:val="00752CCF"/>
    <w:rPr>
      <w:color w:val="00B050"/>
    </w:rPr>
  </w:style>
  <w:style w:type="paragraph" w:customStyle="1" w:styleId="Heading1-Start">
    <w:name w:val="Heading 1 - Start"/>
    <w:basedOn w:val="Heading1"/>
    <w:next w:val="BodyText"/>
    <w:uiPriority w:val="1"/>
    <w:rsid w:val="00C11F64"/>
    <w:pPr>
      <w:pageBreakBefore/>
      <w:spacing w:before="0"/>
    </w:pPr>
  </w:style>
  <w:style w:type="paragraph" w:styleId="Title">
    <w:name w:val="Title"/>
    <w:basedOn w:val="Normalcolour"/>
    <w:next w:val="BodyText"/>
    <w:link w:val="TitleChar"/>
    <w:uiPriority w:val="1"/>
    <w:rsid w:val="00C11F64"/>
    <w:pPr>
      <w:spacing w:after="180" w:line="240" w:lineRule="auto"/>
      <w:ind w:right="284"/>
      <w:contextualSpacing/>
    </w:pPr>
    <w:rPr>
      <w:rFonts w:eastAsiaTheme="majorEastAsia" w:cstheme="majorBidi"/>
      <w:spacing w:val="5"/>
      <w:kern w:val="28"/>
      <w:sz w:val="48"/>
      <w:szCs w:val="52"/>
    </w:rPr>
  </w:style>
  <w:style w:type="character" w:customStyle="1" w:styleId="TitleChar">
    <w:name w:val="Title Char"/>
    <w:basedOn w:val="DefaultParagraphFont"/>
    <w:link w:val="Title"/>
    <w:uiPriority w:val="1"/>
    <w:rsid w:val="00C11F64"/>
    <w:rPr>
      <w:rFonts w:ascii="Calibri" w:eastAsiaTheme="majorEastAsia" w:hAnsi="Calibri" w:cstheme="majorBidi"/>
      <w:color w:val="93B41A"/>
      <w:spacing w:val="5"/>
      <w:kern w:val="28"/>
      <w:sz w:val="48"/>
      <w:szCs w:val="52"/>
    </w:rPr>
  </w:style>
  <w:style w:type="paragraph" w:customStyle="1" w:styleId="QIndent1">
    <w:name w:val="QIndent 1"/>
    <w:basedOn w:val="Normal"/>
    <w:uiPriority w:val="6"/>
    <w:rsid w:val="002F2103"/>
    <w:pPr>
      <w:ind w:left="1134" w:right="567"/>
    </w:pPr>
    <w:rPr>
      <w:i/>
      <w:color w:val="4D4D4D"/>
    </w:rPr>
  </w:style>
  <w:style w:type="paragraph" w:customStyle="1" w:styleId="QIndent2">
    <w:name w:val="QIndent 2"/>
    <w:basedOn w:val="Normal"/>
    <w:uiPriority w:val="6"/>
    <w:rsid w:val="002F2103"/>
    <w:pPr>
      <w:ind w:left="1701" w:right="567"/>
    </w:pPr>
    <w:rPr>
      <w:i/>
      <w:color w:val="4D4D4D"/>
    </w:rPr>
  </w:style>
  <w:style w:type="paragraph" w:customStyle="1" w:styleId="QIndent3">
    <w:name w:val="QIndent 3"/>
    <w:basedOn w:val="Normal"/>
    <w:uiPriority w:val="6"/>
    <w:rsid w:val="002F2103"/>
    <w:pPr>
      <w:ind w:left="2268" w:right="567"/>
    </w:pPr>
    <w:rPr>
      <w:i/>
      <w:color w:val="4D4D4D"/>
    </w:rPr>
  </w:style>
  <w:style w:type="paragraph" w:customStyle="1" w:styleId="QListalpha">
    <w:name w:val="QList alpha"/>
    <w:basedOn w:val="Normal"/>
    <w:uiPriority w:val="6"/>
    <w:rsid w:val="002F2103"/>
    <w:pPr>
      <w:numPr>
        <w:numId w:val="18"/>
      </w:numPr>
      <w:ind w:right="567"/>
    </w:pPr>
    <w:rPr>
      <w:i/>
      <w:color w:val="4D4D4D"/>
    </w:rPr>
  </w:style>
  <w:style w:type="paragraph" w:customStyle="1" w:styleId="QListbullet">
    <w:name w:val="QList bullet"/>
    <w:basedOn w:val="Normal"/>
    <w:uiPriority w:val="6"/>
    <w:rsid w:val="002F2103"/>
    <w:pPr>
      <w:numPr>
        <w:numId w:val="19"/>
      </w:numPr>
      <w:ind w:right="567"/>
    </w:pPr>
    <w:rPr>
      <w:i/>
      <w:color w:val="4D4D4D"/>
    </w:rPr>
  </w:style>
  <w:style w:type="paragraph" w:customStyle="1" w:styleId="QListnumber">
    <w:name w:val="QList number"/>
    <w:basedOn w:val="Normal"/>
    <w:uiPriority w:val="6"/>
    <w:rsid w:val="002F2103"/>
    <w:pPr>
      <w:numPr>
        <w:numId w:val="20"/>
      </w:numPr>
      <w:ind w:right="567"/>
    </w:pPr>
    <w:rPr>
      <w:i/>
      <w:color w:val="4D4D4D"/>
    </w:rPr>
  </w:style>
  <w:style w:type="paragraph" w:customStyle="1" w:styleId="QListroman">
    <w:name w:val="QList roman"/>
    <w:basedOn w:val="Normal"/>
    <w:uiPriority w:val="6"/>
    <w:rsid w:val="002F2103"/>
    <w:pPr>
      <w:numPr>
        <w:numId w:val="21"/>
      </w:numPr>
      <w:ind w:right="567"/>
    </w:pPr>
    <w:rPr>
      <w:rFonts w:eastAsia="Times New Roman" w:cs="Times New Roman"/>
      <w:i/>
      <w:color w:val="4D4D4D"/>
      <w:szCs w:val="20"/>
    </w:rPr>
  </w:style>
  <w:style w:type="paragraph" w:customStyle="1" w:styleId="Bullet1">
    <w:name w:val="Bullet 1"/>
    <w:basedOn w:val="Normal"/>
    <w:uiPriority w:val="2"/>
    <w:rsid w:val="002F2103"/>
    <w:pPr>
      <w:numPr>
        <w:numId w:val="11"/>
      </w:numPr>
    </w:pPr>
  </w:style>
  <w:style w:type="paragraph" w:customStyle="1" w:styleId="Bullet2">
    <w:name w:val="Bullet 2"/>
    <w:basedOn w:val="Normal"/>
    <w:uiPriority w:val="2"/>
    <w:rsid w:val="002F2103"/>
    <w:pPr>
      <w:numPr>
        <w:ilvl w:val="1"/>
        <w:numId w:val="11"/>
      </w:numPr>
    </w:pPr>
  </w:style>
  <w:style w:type="paragraph" w:customStyle="1" w:styleId="Bullet3">
    <w:name w:val="Bullet 3"/>
    <w:basedOn w:val="Normal"/>
    <w:uiPriority w:val="2"/>
    <w:rsid w:val="002F2103"/>
    <w:pPr>
      <w:numPr>
        <w:ilvl w:val="2"/>
        <w:numId w:val="11"/>
      </w:numPr>
    </w:pPr>
  </w:style>
  <w:style w:type="paragraph" w:customStyle="1" w:styleId="Bullet4">
    <w:name w:val="Bullet 4"/>
    <w:basedOn w:val="Normal"/>
    <w:uiPriority w:val="2"/>
    <w:rsid w:val="002F2103"/>
    <w:pPr>
      <w:numPr>
        <w:ilvl w:val="3"/>
        <w:numId w:val="11"/>
      </w:numPr>
    </w:pPr>
  </w:style>
  <w:style w:type="paragraph" w:customStyle="1" w:styleId="InsertPictureLeft">
    <w:name w:val="InsertPictureLeft"/>
    <w:rsid w:val="009D6259"/>
    <w:pPr>
      <w:numPr>
        <w:ilvl w:val="3"/>
        <w:numId w:val="5"/>
      </w:numPr>
      <w:tabs>
        <w:tab w:val="clear" w:pos="2880"/>
        <w:tab w:val="num" w:pos="2268"/>
      </w:tabs>
      <w:spacing w:after="160" w:line="300" w:lineRule="atLeast"/>
      <w:ind w:left="2268" w:hanging="567"/>
    </w:pPr>
    <w:rPr>
      <w:rFonts w:ascii="Calibri" w:hAnsi="Calibri"/>
      <w:color w:val="1E1E1E"/>
      <w:sz w:val="24"/>
    </w:rPr>
  </w:style>
  <w:style w:type="paragraph" w:customStyle="1" w:styleId="Indent1">
    <w:name w:val="Indent 1"/>
    <w:basedOn w:val="Normal"/>
    <w:uiPriority w:val="4"/>
    <w:rsid w:val="002F2103"/>
    <w:pPr>
      <w:ind w:left="567"/>
    </w:pPr>
  </w:style>
  <w:style w:type="paragraph" w:customStyle="1" w:styleId="Indent2">
    <w:name w:val="Indent 2"/>
    <w:basedOn w:val="Normal"/>
    <w:uiPriority w:val="4"/>
    <w:rsid w:val="002F2103"/>
    <w:pPr>
      <w:ind w:left="1134"/>
    </w:pPr>
  </w:style>
  <w:style w:type="paragraph" w:customStyle="1" w:styleId="Indent3">
    <w:name w:val="Indent 3"/>
    <w:basedOn w:val="Normal"/>
    <w:uiPriority w:val="4"/>
    <w:rsid w:val="002F2103"/>
    <w:pPr>
      <w:ind w:left="1701"/>
    </w:pPr>
  </w:style>
  <w:style w:type="paragraph" w:customStyle="1" w:styleId="Indent4">
    <w:name w:val="Indent 4"/>
    <w:basedOn w:val="Normal"/>
    <w:uiPriority w:val="4"/>
    <w:rsid w:val="002F2103"/>
    <w:pPr>
      <w:ind w:left="2268"/>
    </w:pPr>
  </w:style>
  <w:style w:type="paragraph" w:customStyle="1" w:styleId="Number-1">
    <w:name w:val="Number - 1."/>
    <w:basedOn w:val="BodyText"/>
    <w:uiPriority w:val="5"/>
    <w:rsid w:val="002F2103"/>
    <w:pPr>
      <w:numPr>
        <w:numId w:val="15"/>
      </w:numPr>
    </w:pPr>
  </w:style>
  <w:style w:type="paragraph" w:customStyle="1" w:styleId="Number-11">
    <w:name w:val="Number - 1.1"/>
    <w:basedOn w:val="Normal"/>
    <w:uiPriority w:val="5"/>
    <w:rsid w:val="002F2103"/>
    <w:pPr>
      <w:numPr>
        <w:ilvl w:val="1"/>
        <w:numId w:val="15"/>
      </w:numPr>
    </w:pPr>
  </w:style>
  <w:style w:type="paragraph" w:customStyle="1" w:styleId="Number-111">
    <w:name w:val="Number - 1.1.1"/>
    <w:basedOn w:val="Normal"/>
    <w:uiPriority w:val="5"/>
    <w:rsid w:val="002F2103"/>
    <w:pPr>
      <w:numPr>
        <w:ilvl w:val="2"/>
        <w:numId w:val="15"/>
      </w:numPr>
    </w:pPr>
  </w:style>
  <w:style w:type="paragraph" w:customStyle="1" w:styleId="Number-a">
    <w:name w:val="Number - a."/>
    <w:basedOn w:val="Normal"/>
    <w:uiPriority w:val="5"/>
    <w:rsid w:val="002F2103"/>
    <w:pPr>
      <w:numPr>
        <w:numId w:val="16"/>
      </w:numPr>
    </w:pPr>
  </w:style>
  <w:style w:type="paragraph" w:customStyle="1" w:styleId="Number-i">
    <w:name w:val="Number - i."/>
    <w:basedOn w:val="Normal"/>
    <w:uiPriority w:val="5"/>
    <w:rsid w:val="002F2103"/>
    <w:pPr>
      <w:numPr>
        <w:ilvl w:val="1"/>
        <w:numId w:val="16"/>
      </w:numPr>
    </w:pPr>
  </w:style>
  <w:style w:type="paragraph" w:customStyle="1" w:styleId="Number1">
    <w:name w:val="Number 1"/>
    <w:basedOn w:val="Normal"/>
    <w:uiPriority w:val="5"/>
    <w:rsid w:val="002F2103"/>
    <w:pPr>
      <w:numPr>
        <w:numId w:val="17"/>
      </w:numPr>
    </w:pPr>
  </w:style>
  <w:style w:type="paragraph" w:customStyle="1" w:styleId="Number2">
    <w:name w:val="Number 2"/>
    <w:basedOn w:val="Normal"/>
    <w:uiPriority w:val="5"/>
    <w:rsid w:val="002F2103"/>
    <w:pPr>
      <w:numPr>
        <w:ilvl w:val="1"/>
        <w:numId w:val="17"/>
      </w:numPr>
    </w:pPr>
  </w:style>
  <w:style w:type="paragraph" w:customStyle="1" w:styleId="Number3">
    <w:name w:val="Number 3"/>
    <w:basedOn w:val="Normal"/>
    <w:uiPriority w:val="5"/>
    <w:rsid w:val="002F2103"/>
    <w:pPr>
      <w:numPr>
        <w:ilvl w:val="2"/>
        <w:numId w:val="17"/>
      </w:numPr>
    </w:pPr>
  </w:style>
  <w:style w:type="paragraph" w:customStyle="1" w:styleId="TableBullet1">
    <w:name w:val="Table Bullet 1"/>
    <w:basedOn w:val="Normal"/>
    <w:uiPriority w:val="2"/>
    <w:rsid w:val="002F2103"/>
    <w:pPr>
      <w:numPr>
        <w:numId w:val="22"/>
      </w:numPr>
      <w:spacing w:before="120" w:after="120"/>
    </w:pPr>
    <w:rPr>
      <w:sz w:val="22"/>
    </w:rPr>
  </w:style>
  <w:style w:type="paragraph" w:customStyle="1" w:styleId="TableBullet2">
    <w:name w:val="Table Bullet 2"/>
    <w:basedOn w:val="Normal"/>
    <w:uiPriority w:val="2"/>
    <w:rsid w:val="002F2103"/>
    <w:pPr>
      <w:numPr>
        <w:ilvl w:val="1"/>
        <w:numId w:val="22"/>
      </w:numPr>
      <w:spacing w:before="120" w:after="120"/>
    </w:pPr>
    <w:rPr>
      <w:sz w:val="22"/>
    </w:rPr>
  </w:style>
  <w:style w:type="paragraph" w:customStyle="1" w:styleId="TableBullet3">
    <w:name w:val="Table Bullet 3"/>
    <w:basedOn w:val="Normal"/>
    <w:uiPriority w:val="2"/>
    <w:rsid w:val="002F2103"/>
    <w:pPr>
      <w:numPr>
        <w:ilvl w:val="2"/>
        <w:numId w:val="22"/>
      </w:numPr>
      <w:spacing w:before="120" w:after="120"/>
    </w:pPr>
    <w:rPr>
      <w:sz w:val="22"/>
    </w:rPr>
  </w:style>
  <w:style w:type="paragraph" w:customStyle="1" w:styleId="Tableheading">
    <w:name w:val="Table heading"/>
    <w:basedOn w:val="Tablebodytext"/>
    <w:next w:val="Tablebodytext"/>
    <w:uiPriority w:val="2"/>
    <w:rsid w:val="00C80DB4"/>
    <w:pPr>
      <w:keepNext/>
      <w:spacing w:after="60"/>
    </w:pPr>
    <w:rPr>
      <w:b/>
    </w:rPr>
  </w:style>
  <w:style w:type="paragraph" w:customStyle="1" w:styleId="TableIndent1">
    <w:name w:val="Table Indent 1"/>
    <w:basedOn w:val="Normal"/>
    <w:uiPriority w:val="2"/>
    <w:rsid w:val="002F2103"/>
    <w:pPr>
      <w:spacing w:before="120" w:after="120"/>
      <w:ind w:left="357"/>
    </w:pPr>
    <w:rPr>
      <w:sz w:val="22"/>
    </w:rPr>
  </w:style>
  <w:style w:type="paragraph" w:customStyle="1" w:styleId="TableIndent2">
    <w:name w:val="Table Indent 2"/>
    <w:basedOn w:val="Normal"/>
    <w:uiPriority w:val="2"/>
    <w:rsid w:val="002F2103"/>
    <w:pPr>
      <w:spacing w:before="120" w:after="120"/>
      <w:ind w:left="714"/>
    </w:pPr>
    <w:rPr>
      <w:sz w:val="22"/>
    </w:rPr>
  </w:style>
  <w:style w:type="paragraph" w:customStyle="1" w:styleId="TableIndent3">
    <w:name w:val="Table Indent 3"/>
    <w:basedOn w:val="Normal"/>
    <w:uiPriority w:val="2"/>
    <w:rsid w:val="002F2103"/>
    <w:pPr>
      <w:spacing w:before="120" w:after="120"/>
      <w:ind w:left="1072"/>
    </w:pPr>
    <w:rPr>
      <w:sz w:val="22"/>
    </w:rPr>
  </w:style>
  <w:style w:type="paragraph" w:customStyle="1" w:styleId="TableNumber1">
    <w:name w:val="Table Number 1."/>
    <w:basedOn w:val="Normal"/>
    <w:uiPriority w:val="2"/>
    <w:rsid w:val="002F2103"/>
    <w:pPr>
      <w:numPr>
        <w:numId w:val="24"/>
      </w:numPr>
      <w:spacing w:before="120" w:after="120"/>
    </w:pPr>
    <w:rPr>
      <w:sz w:val="22"/>
    </w:rPr>
  </w:style>
  <w:style w:type="paragraph" w:customStyle="1" w:styleId="TableNumbera">
    <w:name w:val="Table Number a."/>
    <w:basedOn w:val="Normal"/>
    <w:uiPriority w:val="2"/>
    <w:rsid w:val="002F2103"/>
    <w:pPr>
      <w:numPr>
        <w:ilvl w:val="1"/>
        <w:numId w:val="24"/>
      </w:numPr>
      <w:spacing w:before="120" w:after="120"/>
    </w:pPr>
    <w:rPr>
      <w:sz w:val="22"/>
    </w:rPr>
  </w:style>
  <w:style w:type="paragraph" w:customStyle="1" w:styleId="TableNumberi">
    <w:name w:val="Table Number i."/>
    <w:basedOn w:val="Normal"/>
    <w:uiPriority w:val="2"/>
    <w:rsid w:val="002F2103"/>
    <w:pPr>
      <w:numPr>
        <w:ilvl w:val="2"/>
        <w:numId w:val="24"/>
      </w:numPr>
      <w:spacing w:before="120" w:after="120"/>
    </w:pPr>
    <w:rPr>
      <w:sz w:val="22"/>
    </w:rPr>
  </w:style>
  <w:style w:type="paragraph" w:customStyle="1" w:styleId="TableQuotationseparateparagraph">
    <w:name w:val="Table Quotation (separate paragraph)"/>
    <w:basedOn w:val="Quotationseparateparagraph"/>
    <w:uiPriority w:val="2"/>
    <w:rsid w:val="00D75233"/>
    <w:pPr>
      <w:spacing w:after="120"/>
      <w:ind w:left="357" w:right="357"/>
    </w:pPr>
    <w:rPr>
      <w:sz w:val="22"/>
    </w:rPr>
  </w:style>
  <w:style w:type="paragraph" w:customStyle="1" w:styleId="Tablesinglespacedparagraph">
    <w:name w:val="Table single spaced paragraph"/>
    <w:basedOn w:val="BodyText"/>
    <w:uiPriority w:val="2"/>
    <w:rsid w:val="00C80DB4"/>
    <w:pPr>
      <w:spacing w:before="40" w:after="40"/>
    </w:pPr>
    <w:rPr>
      <w:sz w:val="22"/>
    </w:rPr>
  </w:style>
  <w:style w:type="paragraph" w:customStyle="1" w:styleId="Tablesinglespacedparagraphlast">
    <w:name w:val="Table single spaced paragraph (last)"/>
    <w:basedOn w:val="Tablesinglespacedparagraph"/>
    <w:uiPriority w:val="2"/>
    <w:rsid w:val="00D75233"/>
  </w:style>
  <w:style w:type="character" w:styleId="CommentReference">
    <w:name w:val="annotation reference"/>
    <w:basedOn w:val="DefaultParagraphFont"/>
    <w:uiPriority w:val="99"/>
    <w:semiHidden/>
    <w:unhideWhenUsed/>
    <w:rsid w:val="008841B5"/>
    <w:rPr>
      <w:sz w:val="16"/>
      <w:szCs w:val="16"/>
    </w:rPr>
  </w:style>
  <w:style w:type="paragraph" w:customStyle="1" w:styleId="Tablecaption">
    <w:name w:val="Table caption"/>
    <w:basedOn w:val="Normal"/>
    <w:next w:val="BodyText"/>
    <w:uiPriority w:val="98"/>
    <w:rsid w:val="002F2103"/>
    <w:pPr>
      <w:keepNext/>
      <w:spacing w:before="360" w:after="60" w:line="260" w:lineRule="atLeast"/>
    </w:pPr>
    <w:rPr>
      <w:b/>
      <w:sz w:val="26"/>
    </w:rPr>
  </w:style>
  <w:style w:type="paragraph" w:customStyle="1" w:styleId="Footerlandscape">
    <w:name w:val="Footer landscape"/>
    <w:basedOn w:val="Footer"/>
    <w:uiPriority w:val="10"/>
    <w:rsid w:val="009D6259"/>
  </w:style>
  <w:style w:type="paragraph" w:customStyle="1" w:styleId="Headerlandscape">
    <w:name w:val="Header landscape"/>
    <w:basedOn w:val="Header"/>
    <w:rsid w:val="00307592"/>
    <w:pPr>
      <w:tabs>
        <w:tab w:val="clear" w:pos="9299"/>
        <w:tab w:val="right" w:pos="14232"/>
      </w:tabs>
    </w:pPr>
  </w:style>
  <w:style w:type="paragraph" w:customStyle="1" w:styleId="FigureCaption">
    <w:name w:val="Figure Caption"/>
    <w:basedOn w:val="Normal"/>
    <w:next w:val="BodyText"/>
    <w:uiPriority w:val="2"/>
    <w:rsid w:val="00D75233"/>
    <w:pPr>
      <w:spacing w:line="240" w:lineRule="auto"/>
    </w:pPr>
    <w:rPr>
      <w:i/>
    </w:rPr>
  </w:style>
  <w:style w:type="character" w:customStyle="1" w:styleId="Italics">
    <w:name w:val="Italics"/>
    <w:basedOn w:val="DefaultParagraphFont"/>
    <w:uiPriority w:val="2"/>
    <w:rsid w:val="009909DF"/>
    <w:rPr>
      <w:i/>
    </w:rPr>
  </w:style>
  <w:style w:type="character" w:customStyle="1" w:styleId="Bluetext">
    <w:name w:val="Blue text"/>
    <w:basedOn w:val="DefaultParagraphFont"/>
    <w:uiPriority w:val="2"/>
    <w:rsid w:val="000A4639"/>
    <w:rPr>
      <w:color w:val="0070C0"/>
    </w:rPr>
  </w:style>
  <w:style w:type="paragraph" w:customStyle="1" w:styleId="Boxsmallbullet1">
    <w:name w:val="Box small bullet 1"/>
    <w:basedOn w:val="Normal"/>
    <w:uiPriority w:val="2"/>
    <w:rsid w:val="002F2103"/>
    <w:pPr>
      <w:numPr>
        <w:numId w:val="9"/>
      </w:numPr>
    </w:pPr>
  </w:style>
  <w:style w:type="paragraph" w:customStyle="1" w:styleId="Boxsmallbullet2">
    <w:name w:val="Box small bullet 2"/>
    <w:basedOn w:val="Normal"/>
    <w:uiPriority w:val="2"/>
    <w:rsid w:val="002F2103"/>
    <w:pPr>
      <w:numPr>
        <w:ilvl w:val="1"/>
        <w:numId w:val="9"/>
      </w:numPr>
    </w:pPr>
  </w:style>
  <w:style w:type="character" w:customStyle="1" w:styleId="HyperlinkSourceTextReference">
    <w:name w:val="Hyperlink (Source Text Reference)"/>
    <w:basedOn w:val="Hyperlink"/>
    <w:uiPriority w:val="2"/>
    <w:rsid w:val="00100392"/>
    <w:rPr>
      <w:color w:val="0D6AB8"/>
      <w:u w:val="single"/>
    </w:rPr>
  </w:style>
  <w:style w:type="paragraph" w:customStyle="1" w:styleId="Pictureindent">
    <w:name w:val="Picture indent"/>
    <w:basedOn w:val="Indent1"/>
    <w:uiPriority w:val="98"/>
    <w:rsid w:val="002539A9"/>
    <w:pPr>
      <w:ind w:left="-28"/>
    </w:pPr>
  </w:style>
  <w:style w:type="numbering" w:styleId="ArticleSection">
    <w:name w:val="Outline List 3"/>
    <w:basedOn w:val="NoList"/>
    <w:uiPriority w:val="99"/>
    <w:semiHidden/>
    <w:unhideWhenUsed/>
    <w:rsid w:val="002F2103"/>
    <w:pPr>
      <w:numPr>
        <w:numId w:val="8"/>
      </w:numPr>
    </w:pPr>
  </w:style>
  <w:style w:type="paragraph" w:customStyle="1" w:styleId="Boxsmallnumber-1">
    <w:name w:val="Box small number - 1."/>
    <w:basedOn w:val="Normal"/>
    <w:uiPriority w:val="2"/>
    <w:rsid w:val="002F2103"/>
    <w:pPr>
      <w:numPr>
        <w:numId w:val="10"/>
      </w:numPr>
    </w:pPr>
  </w:style>
  <w:style w:type="paragraph" w:customStyle="1" w:styleId="Boxsmallnumber-a">
    <w:name w:val="Box small number - a."/>
    <w:basedOn w:val="Normal"/>
    <w:uiPriority w:val="2"/>
    <w:rsid w:val="002F2103"/>
    <w:pPr>
      <w:numPr>
        <w:ilvl w:val="1"/>
        <w:numId w:val="10"/>
      </w:numPr>
    </w:pPr>
  </w:style>
  <w:style w:type="paragraph" w:customStyle="1" w:styleId="Boxsmallnumber-i">
    <w:name w:val="Box small number - i."/>
    <w:basedOn w:val="Normal"/>
    <w:uiPriority w:val="2"/>
    <w:rsid w:val="002F2103"/>
    <w:pPr>
      <w:numPr>
        <w:ilvl w:val="2"/>
        <w:numId w:val="10"/>
      </w:numPr>
    </w:pPr>
  </w:style>
  <w:style w:type="paragraph" w:customStyle="1" w:styleId="FootnoteBullet">
    <w:name w:val="Footnote Bullet"/>
    <w:basedOn w:val="FootnoteText"/>
    <w:uiPriority w:val="7"/>
    <w:rsid w:val="00655FE7"/>
    <w:pPr>
      <w:numPr>
        <w:numId w:val="29"/>
      </w:numPr>
      <w:tabs>
        <w:tab w:val="clear" w:pos="284"/>
      </w:tabs>
    </w:pPr>
  </w:style>
  <w:style w:type="paragraph" w:customStyle="1" w:styleId="Introduction">
    <w:name w:val="Introduction"/>
    <w:basedOn w:val="Normal"/>
    <w:uiPriority w:val="2"/>
    <w:rsid w:val="00C826F9"/>
    <w:pPr>
      <w:ind w:right="1304"/>
    </w:pPr>
    <w:rPr>
      <w:i/>
      <w:color w:val="auto"/>
      <w:sz w:val="28"/>
    </w:rPr>
  </w:style>
  <w:style w:type="paragraph" w:customStyle="1" w:styleId="Checkbox1">
    <w:name w:val="Check box 1"/>
    <w:basedOn w:val="BodyText"/>
    <w:uiPriority w:val="3"/>
    <w:rsid w:val="002F2103"/>
    <w:pPr>
      <w:numPr>
        <w:numId w:val="12"/>
      </w:numPr>
    </w:pPr>
  </w:style>
  <w:style w:type="paragraph" w:customStyle="1" w:styleId="Checkbox2">
    <w:name w:val="Check box 2"/>
    <w:basedOn w:val="Checkbox1"/>
    <w:uiPriority w:val="3"/>
    <w:rsid w:val="002F2103"/>
    <w:pPr>
      <w:numPr>
        <w:ilvl w:val="1"/>
      </w:numPr>
    </w:pPr>
  </w:style>
  <w:style w:type="paragraph" w:customStyle="1" w:styleId="Checkbox3">
    <w:name w:val="Check box 3"/>
    <w:basedOn w:val="Checkbox1"/>
    <w:uiPriority w:val="3"/>
    <w:rsid w:val="002F2103"/>
    <w:pPr>
      <w:numPr>
        <w:ilvl w:val="2"/>
      </w:numPr>
    </w:pPr>
  </w:style>
  <w:style w:type="paragraph" w:customStyle="1" w:styleId="Checkbox4">
    <w:name w:val="Check box 4"/>
    <w:basedOn w:val="Checkbox1"/>
    <w:uiPriority w:val="3"/>
    <w:rsid w:val="002F2103"/>
    <w:pPr>
      <w:numPr>
        <w:ilvl w:val="3"/>
      </w:numPr>
    </w:pPr>
  </w:style>
  <w:style w:type="paragraph" w:customStyle="1" w:styleId="Tablecheckbox1">
    <w:name w:val="Table check box 1"/>
    <w:basedOn w:val="Normal"/>
    <w:uiPriority w:val="2"/>
    <w:rsid w:val="002F2103"/>
    <w:pPr>
      <w:numPr>
        <w:numId w:val="23"/>
      </w:numPr>
      <w:spacing w:before="120" w:after="120"/>
    </w:pPr>
    <w:rPr>
      <w:sz w:val="22"/>
    </w:rPr>
  </w:style>
  <w:style w:type="paragraph" w:customStyle="1" w:styleId="Tablecheckbox2">
    <w:name w:val="Table check box 2"/>
    <w:basedOn w:val="Tablecheckbox1"/>
    <w:uiPriority w:val="2"/>
    <w:rsid w:val="002F2103"/>
    <w:pPr>
      <w:numPr>
        <w:ilvl w:val="1"/>
      </w:numPr>
    </w:pPr>
  </w:style>
  <w:style w:type="paragraph" w:customStyle="1" w:styleId="Tablecheckbox3">
    <w:name w:val="Table check box 3"/>
    <w:basedOn w:val="Tablecheckbox1"/>
    <w:uiPriority w:val="2"/>
    <w:rsid w:val="002F2103"/>
    <w:pPr>
      <w:numPr>
        <w:ilvl w:val="2"/>
      </w:numPr>
    </w:pPr>
  </w:style>
  <w:style w:type="paragraph" w:customStyle="1" w:styleId="EndnoteBullet">
    <w:name w:val="Endnote Bullet"/>
    <w:uiPriority w:val="7"/>
    <w:rsid w:val="003E5BC8"/>
    <w:pPr>
      <w:numPr>
        <w:numId w:val="26"/>
      </w:numPr>
      <w:spacing w:after="80" w:line="230" w:lineRule="atLeast"/>
    </w:pPr>
    <w:rPr>
      <w:rFonts w:ascii="Calibri" w:hAnsi="Calibri"/>
      <w:color w:val="4D4D4D"/>
      <w:sz w:val="20"/>
      <w:szCs w:val="20"/>
    </w:rPr>
  </w:style>
  <w:style w:type="paragraph" w:customStyle="1" w:styleId="CQLegindent1">
    <w:name w:val="CQLeg indent 1"/>
    <w:basedOn w:val="Normal"/>
    <w:uiPriority w:val="6"/>
    <w:rsid w:val="002F2103"/>
    <w:pPr>
      <w:ind w:left="2268" w:right="567"/>
    </w:pPr>
    <w:rPr>
      <w:i/>
      <w:color w:val="4D4D4D"/>
    </w:rPr>
  </w:style>
  <w:style w:type="paragraph" w:customStyle="1" w:styleId="CQLegindent2">
    <w:name w:val="CQLeg indent 2"/>
    <w:basedOn w:val="Normal"/>
    <w:uiPriority w:val="6"/>
    <w:rsid w:val="002F2103"/>
    <w:pPr>
      <w:ind w:left="2977" w:right="567"/>
    </w:pPr>
    <w:rPr>
      <w:i/>
      <w:color w:val="4D4D4D"/>
    </w:rPr>
  </w:style>
  <w:style w:type="paragraph" w:customStyle="1" w:styleId="CQLegindent3">
    <w:name w:val="CQLeg indent 3"/>
    <w:basedOn w:val="Normal"/>
    <w:uiPriority w:val="6"/>
    <w:rsid w:val="002F2103"/>
    <w:pPr>
      <w:ind w:left="3686" w:right="567"/>
    </w:pPr>
    <w:rPr>
      <w:i/>
      <w:color w:val="4D4D4D"/>
    </w:rPr>
  </w:style>
  <w:style w:type="paragraph" w:customStyle="1" w:styleId="CQLegstyle-1">
    <w:name w:val="CQLeg style - (1)"/>
    <w:basedOn w:val="Normal"/>
    <w:uiPriority w:val="6"/>
    <w:rsid w:val="002F2103"/>
    <w:pPr>
      <w:tabs>
        <w:tab w:val="left" w:pos="2268"/>
      </w:tabs>
      <w:ind w:left="2269" w:right="567" w:hanging="851"/>
    </w:pPr>
    <w:rPr>
      <w:i/>
      <w:color w:val="4D4D4D"/>
    </w:rPr>
  </w:style>
  <w:style w:type="paragraph" w:customStyle="1" w:styleId="CQLegstyle-a">
    <w:name w:val="CQLeg style - (a)"/>
    <w:basedOn w:val="Normal"/>
    <w:uiPriority w:val="6"/>
    <w:rsid w:val="002F2103"/>
    <w:pPr>
      <w:tabs>
        <w:tab w:val="left" w:pos="2977"/>
      </w:tabs>
      <w:ind w:left="2977" w:right="567" w:hanging="709"/>
    </w:pPr>
    <w:rPr>
      <w:i/>
      <w:color w:val="4D4D4D"/>
    </w:rPr>
  </w:style>
  <w:style w:type="paragraph" w:customStyle="1" w:styleId="CQLegstyle-i">
    <w:name w:val="CQLeg style - (i)"/>
    <w:basedOn w:val="Normal"/>
    <w:uiPriority w:val="6"/>
    <w:rsid w:val="002F2103"/>
    <w:pPr>
      <w:tabs>
        <w:tab w:val="left" w:pos="3686"/>
      </w:tabs>
      <w:ind w:left="3686" w:right="567" w:hanging="709"/>
    </w:pPr>
    <w:rPr>
      <w:i/>
      <w:color w:val="4D4D4D"/>
    </w:rPr>
  </w:style>
  <w:style w:type="paragraph" w:customStyle="1" w:styleId="CQLegstyle-10">
    <w:name w:val="CQLeg style - 1"/>
    <w:basedOn w:val="Normal"/>
    <w:uiPriority w:val="6"/>
    <w:rsid w:val="001B2F94"/>
    <w:pPr>
      <w:keepNext/>
      <w:tabs>
        <w:tab w:val="left" w:pos="2268"/>
      </w:tabs>
      <w:ind w:left="2269" w:right="567" w:hanging="851"/>
    </w:pPr>
    <w:rPr>
      <w:b/>
      <w:i/>
      <w:color w:val="4D4D4D"/>
    </w:rPr>
  </w:style>
  <w:style w:type="paragraph" w:customStyle="1" w:styleId="ALegindent1">
    <w:name w:val="ALeg indent 1"/>
    <w:basedOn w:val="Normal"/>
    <w:uiPriority w:val="6"/>
    <w:rsid w:val="002F2103"/>
    <w:pPr>
      <w:ind w:left="851"/>
    </w:pPr>
  </w:style>
  <w:style w:type="paragraph" w:customStyle="1" w:styleId="ALegindent2">
    <w:name w:val="ALeg indent 2"/>
    <w:basedOn w:val="Normal"/>
    <w:uiPriority w:val="6"/>
    <w:rsid w:val="002F2103"/>
    <w:pPr>
      <w:ind w:left="1559"/>
    </w:pPr>
  </w:style>
  <w:style w:type="paragraph" w:customStyle="1" w:styleId="ALegindent3">
    <w:name w:val="ALeg indent 3"/>
    <w:basedOn w:val="Normal"/>
    <w:uiPriority w:val="6"/>
    <w:rsid w:val="002F2103"/>
    <w:pPr>
      <w:ind w:left="2268"/>
    </w:pPr>
  </w:style>
  <w:style w:type="paragraph" w:customStyle="1" w:styleId="ALegstyle-1">
    <w:name w:val="ALeg style - (1)"/>
    <w:basedOn w:val="Normal"/>
    <w:uiPriority w:val="6"/>
    <w:rsid w:val="002F2103"/>
    <w:pPr>
      <w:tabs>
        <w:tab w:val="left" w:pos="851"/>
      </w:tabs>
      <w:ind w:left="851" w:hanging="851"/>
    </w:pPr>
  </w:style>
  <w:style w:type="paragraph" w:customStyle="1" w:styleId="ALegstyle-a">
    <w:name w:val="ALeg style - (a)"/>
    <w:basedOn w:val="Normal"/>
    <w:uiPriority w:val="6"/>
    <w:rsid w:val="002F2103"/>
    <w:pPr>
      <w:tabs>
        <w:tab w:val="left" w:pos="1559"/>
      </w:tabs>
      <w:ind w:left="1560" w:hanging="709"/>
    </w:pPr>
  </w:style>
  <w:style w:type="paragraph" w:customStyle="1" w:styleId="ALegstyle-i">
    <w:name w:val="ALeg style - (i)"/>
    <w:basedOn w:val="Normal"/>
    <w:uiPriority w:val="6"/>
    <w:rsid w:val="002F2103"/>
    <w:pPr>
      <w:tabs>
        <w:tab w:val="left" w:pos="2268"/>
      </w:tabs>
      <w:ind w:left="2268" w:hanging="709"/>
    </w:pPr>
  </w:style>
  <w:style w:type="paragraph" w:customStyle="1" w:styleId="ALegstyle-10">
    <w:name w:val="ALeg style - 1"/>
    <w:basedOn w:val="Normal"/>
    <w:uiPriority w:val="6"/>
    <w:rsid w:val="001B2F94"/>
    <w:pPr>
      <w:keepNext/>
      <w:tabs>
        <w:tab w:val="left" w:pos="851"/>
      </w:tabs>
      <w:ind w:left="851" w:hanging="851"/>
    </w:pPr>
    <w:rPr>
      <w:b/>
    </w:rPr>
  </w:style>
  <w:style w:type="paragraph" w:customStyle="1" w:styleId="BQLegindent1">
    <w:name w:val="BQLeg indent 1"/>
    <w:basedOn w:val="Normal"/>
    <w:uiPriority w:val="6"/>
    <w:rsid w:val="00544866"/>
    <w:pPr>
      <w:ind w:left="1418" w:right="567"/>
    </w:pPr>
    <w:rPr>
      <w:i/>
      <w:color w:val="4D4D4D"/>
    </w:rPr>
  </w:style>
  <w:style w:type="paragraph" w:customStyle="1" w:styleId="BQLegindent2">
    <w:name w:val="BQLeg indent 2"/>
    <w:basedOn w:val="Normal"/>
    <w:uiPriority w:val="6"/>
    <w:rsid w:val="00544866"/>
    <w:pPr>
      <w:ind w:left="2126" w:right="567"/>
    </w:pPr>
    <w:rPr>
      <w:i/>
      <w:color w:val="4D4D4D"/>
    </w:rPr>
  </w:style>
  <w:style w:type="paragraph" w:customStyle="1" w:styleId="BQLegindent3">
    <w:name w:val="BQLeg indent 3"/>
    <w:basedOn w:val="Normal"/>
    <w:uiPriority w:val="6"/>
    <w:rsid w:val="00544866"/>
    <w:pPr>
      <w:ind w:left="2835" w:right="567"/>
    </w:pPr>
    <w:rPr>
      <w:i/>
      <w:color w:val="4D4D4D"/>
    </w:rPr>
  </w:style>
  <w:style w:type="paragraph" w:customStyle="1" w:styleId="BQLegstyle-1">
    <w:name w:val="BQLeg style - (1)"/>
    <w:basedOn w:val="Normal"/>
    <w:uiPriority w:val="6"/>
    <w:rsid w:val="00544866"/>
    <w:pPr>
      <w:tabs>
        <w:tab w:val="left" w:pos="1418"/>
      </w:tabs>
      <w:ind w:left="1418" w:right="567" w:hanging="851"/>
    </w:pPr>
    <w:rPr>
      <w:i/>
      <w:color w:val="4D4D4D"/>
    </w:rPr>
  </w:style>
  <w:style w:type="paragraph" w:customStyle="1" w:styleId="BQLegstyle-a">
    <w:name w:val="BQLeg style - (a)"/>
    <w:basedOn w:val="Normal"/>
    <w:uiPriority w:val="6"/>
    <w:rsid w:val="00544866"/>
    <w:pPr>
      <w:tabs>
        <w:tab w:val="left" w:pos="2126"/>
      </w:tabs>
      <w:ind w:left="2127" w:right="567" w:hanging="709"/>
    </w:pPr>
    <w:rPr>
      <w:i/>
      <w:color w:val="4D4D4D"/>
    </w:rPr>
  </w:style>
  <w:style w:type="paragraph" w:customStyle="1" w:styleId="BQLegstyle-i">
    <w:name w:val="BQLeg style - (i)"/>
    <w:basedOn w:val="Normal"/>
    <w:uiPriority w:val="6"/>
    <w:rsid w:val="00544866"/>
    <w:pPr>
      <w:tabs>
        <w:tab w:val="left" w:pos="2835"/>
      </w:tabs>
      <w:ind w:left="2835" w:right="567" w:hanging="709"/>
    </w:pPr>
    <w:rPr>
      <w:i/>
      <w:color w:val="4D4D4D"/>
    </w:rPr>
  </w:style>
  <w:style w:type="paragraph" w:customStyle="1" w:styleId="BQLegstyle-10">
    <w:name w:val="BQLeg style - 1"/>
    <w:basedOn w:val="Normal"/>
    <w:uiPriority w:val="6"/>
    <w:rsid w:val="00544866"/>
    <w:pPr>
      <w:keepNext/>
      <w:tabs>
        <w:tab w:val="left" w:pos="1418"/>
      </w:tabs>
      <w:ind w:left="1418" w:right="567" w:hanging="851"/>
    </w:pPr>
    <w:rPr>
      <w:b/>
      <w:i/>
      <w:color w:val="4D4D4D"/>
    </w:rPr>
  </w:style>
  <w:style w:type="paragraph" w:customStyle="1" w:styleId="SQLegindent1">
    <w:name w:val="SQLeg indent 1"/>
    <w:basedOn w:val="Normal"/>
    <w:uiPriority w:val="6"/>
    <w:rsid w:val="002F2103"/>
    <w:pPr>
      <w:ind w:left="1985" w:right="567"/>
    </w:pPr>
    <w:rPr>
      <w:i/>
      <w:color w:val="4D4D4D"/>
    </w:rPr>
  </w:style>
  <w:style w:type="paragraph" w:customStyle="1" w:styleId="SQLegindent2">
    <w:name w:val="SQLeg indent 2"/>
    <w:basedOn w:val="Normal"/>
    <w:uiPriority w:val="6"/>
    <w:rsid w:val="002F2103"/>
    <w:pPr>
      <w:ind w:left="2693" w:right="567"/>
    </w:pPr>
    <w:rPr>
      <w:i/>
      <w:color w:val="4D4D4D"/>
    </w:rPr>
  </w:style>
  <w:style w:type="paragraph" w:customStyle="1" w:styleId="SQLegindent3">
    <w:name w:val="SQLeg indent 3"/>
    <w:basedOn w:val="Normal"/>
    <w:uiPriority w:val="6"/>
    <w:rsid w:val="002F2103"/>
    <w:pPr>
      <w:ind w:left="3402" w:right="567"/>
    </w:pPr>
    <w:rPr>
      <w:i/>
      <w:color w:val="4D4D4D"/>
    </w:rPr>
  </w:style>
  <w:style w:type="paragraph" w:customStyle="1" w:styleId="SQLegstyle-1">
    <w:name w:val="SQLeg style - (1)"/>
    <w:basedOn w:val="Normal"/>
    <w:uiPriority w:val="6"/>
    <w:rsid w:val="002F2103"/>
    <w:pPr>
      <w:tabs>
        <w:tab w:val="left" w:pos="1985"/>
      </w:tabs>
      <w:ind w:left="1985" w:right="567" w:hanging="851"/>
    </w:pPr>
    <w:rPr>
      <w:i/>
      <w:color w:val="4D4D4D"/>
    </w:rPr>
  </w:style>
  <w:style w:type="paragraph" w:customStyle="1" w:styleId="SQLegstyle-a">
    <w:name w:val="SQLeg style - (a)"/>
    <w:basedOn w:val="Normal"/>
    <w:uiPriority w:val="6"/>
    <w:rsid w:val="002F2103"/>
    <w:pPr>
      <w:tabs>
        <w:tab w:val="left" w:pos="2693"/>
      </w:tabs>
      <w:ind w:left="2694" w:right="567" w:hanging="709"/>
    </w:pPr>
    <w:rPr>
      <w:i/>
      <w:color w:val="4D4D4D"/>
    </w:rPr>
  </w:style>
  <w:style w:type="paragraph" w:customStyle="1" w:styleId="SQLegstyle-i">
    <w:name w:val="SQLeg style - (i)"/>
    <w:basedOn w:val="Normal"/>
    <w:uiPriority w:val="6"/>
    <w:rsid w:val="002F2103"/>
    <w:pPr>
      <w:tabs>
        <w:tab w:val="left" w:pos="3402"/>
      </w:tabs>
      <w:ind w:left="3402" w:right="567" w:hanging="709"/>
    </w:pPr>
    <w:rPr>
      <w:i/>
      <w:color w:val="4D4D4D"/>
    </w:rPr>
  </w:style>
  <w:style w:type="paragraph" w:customStyle="1" w:styleId="SQLegstyle-10">
    <w:name w:val="SQLeg style - 1"/>
    <w:basedOn w:val="Normal"/>
    <w:uiPriority w:val="6"/>
    <w:rsid w:val="001B2F94"/>
    <w:pPr>
      <w:keepNext/>
      <w:tabs>
        <w:tab w:val="left" w:pos="1985"/>
      </w:tabs>
      <w:ind w:left="1985" w:right="567" w:hanging="851"/>
    </w:pPr>
    <w:rPr>
      <w:b/>
      <w:i/>
      <w:color w:val="4D4D4D"/>
    </w:rPr>
  </w:style>
  <w:style w:type="paragraph" w:customStyle="1" w:styleId="Subheading">
    <w:name w:val="Subheading"/>
    <w:basedOn w:val="Normal"/>
    <w:uiPriority w:val="1"/>
    <w:rsid w:val="00E83E7F"/>
    <w:pPr>
      <w:spacing w:after="0" w:line="240" w:lineRule="auto"/>
    </w:pPr>
    <w:rPr>
      <w:sz w:val="32"/>
    </w:rPr>
  </w:style>
  <w:style w:type="paragraph" w:customStyle="1" w:styleId="Tableoffiguresheading">
    <w:name w:val="Table of figures heading"/>
    <w:basedOn w:val="Heading4"/>
    <w:next w:val="TableofFigures"/>
    <w:uiPriority w:val="1"/>
    <w:rsid w:val="002F2103"/>
    <w:pPr>
      <w:numPr>
        <w:ilvl w:val="0"/>
        <w:numId w:val="0"/>
      </w:numPr>
      <w:outlineLvl w:val="9"/>
    </w:pPr>
  </w:style>
  <w:style w:type="paragraph" w:customStyle="1" w:styleId="Introductionbullet1">
    <w:name w:val="Introduction bullet 1"/>
    <w:basedOn w:val="Introduction"/>
    <w:uiPriority w:val="2"/>
    <w:qFormat/>
    <w:rsid w:val="007F781C"/>
    <w:pPr>
      <w:numPr>
        <w:numId w:val="30"/>
      </w:numPr>
    </w:pPr>
  </w:style>
  <w:style w:type="paragraph" w:customStyle="1" w:styleId="Introductionnumber1">
    <w:name w:val="Introduction number 1"/>
    <w:basedOn w:val="Introduction"/>
    <w:uiPriority w:val="2"/>
    <w:qFormat/>
    <w:rsid w:val="007F781C"/>
    <w:pPr>
      <w:numPr>
        <w:numId w:val="31"/>
      </w:numPr>
    </w:pPr>
  </w:style>
  <w:style w:type="character" w:customStyle="1" w:styleId="EmphasisItalics">
    <w:name w:val="Emphasis Italics"/>
    <w:basedOn w:val="DefaultParagraphFont"/>
    <w:uiPriority w:val="2"/>
    <w:rsid w:val="00230D00"/>
    <w:rPr>
      <w:b/>
      <w:i/>
    </w:rPr>
  </w:style>
  <w:style w:type="character" w:styleId="SubtleEmphasis">
    <w:name w:val="Subtle Emphasis"/>
    <w:basedOn w:val="DefaultParagraphFont"/>
    <w:uiPriority w:val="19"/>
    <w:semiHidden/>
    <w:rsid w:val="002E6071"/>
    <w:rPr>
      <w:i/>
      <w:iCs/>
      <w:color w:val="404040" w:themeColor="text1" w:themeTint="BF"/>
    </w:rPr>
  </w:style>
  <w:style w:type="paragraph" w:customStyle="1" w:styleId="Default">
    <w:name w:val="Default"/>
    <w:rsid w:val="003931F9"/>
    <w:pPr>
      <w:autoSpaceDE w:val="0"/>
      <w:autoSpaceDN w:val="0"/>
      <w:adjustRightInd w:val="0"/>
      <w:spacing w:after="0" w:line="240" w:lineRule="auto"/>
    </w:pPr>
    <w:rPr>
      <w:rFonts w:ascii="Calibri" w:hAnsi="Calibri" w:cs="Calibri"/>
      <w:color w:val="000000"/>
      <w:sz w:val="24"/>
      <w:szCs w:val="24"/>
    </w:rPr>
  </w:style>
  <w:style w:type="paragraph" w:customStyle="1" w:styleId="BodyText1">
    <w:name w:val="Body Text1"/>
    <w:basedOn w:val="Normal"/>
    <w:uiPriority w:val="2"/>
    <w:rsid w:val="007108A5"/>
  </w:style>
  <w:style w:type="paragraph" w:styleId="Revision">
    <w:name w:val="Revision"/>
    <w:hidden/>
    <w:uiPriority w:val="99"/>
    <w:semiHidden/>
    <w:rsid w:val="00832D37"/>
    <w:pPr>
      <w:spacing w:after="0" w:line="240" w:lineRule="auto"/>
    </w:pPr>
    <w:rPr>
      <w:rFonts w:ascii="Calibri" w:hAnsi="Calibri"/>
      <w:color w:val="1E1E1E"/>
      <w:sz w:val="24"/>
    </w:rPr>
  </w:style>
  <w:style w:type="character" w:styleId="UnresolvedMention">
    <w:name w:val="Unresolved Mention"/>
    <w:basedOn w:val="DefaultParagraphFont"/>
    <w:uiPriority w:val="99"/>
    <w:semiHidden/>
    <w:unhideWhenUsed/>
    <w:rsid w:val="00F359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307298">
      <w:bodyDiv w:val="1"/>
      <w:marLeft w:val="0"/>
      <w:marRight w:val="0"/>
      <w:marTop w:val="0"/>
      <w:marBottom w:val="0"/>
      <w:divBdr>
        <w:top w:val="none" w:sz="0" w:space="0" w:color="auto"/>
        <w:left w:val="none" w:sz="0" w:space="0" w:color="auto"/>
        <w:bottom w:val="none" w:sz="0" w:space="0" w:color="auto"/>
        <w:right w:val="none" w:sz="0" w:space="0" w:color="auto"/>
      </w:divBdr>
      <w:divsChild>
        <w:div w:id="1283607571">
          <w:marLeft w:val="0"/>
          <w:marRight w:val="0"/>
          <w:marTop w:val="0"/>
          <w:marBottom w:val="0"/>
          <w:divBdr>
            <w:top w:val="none" w:sz="0" w:space="0" w:color="auto"/>
            <w:left w:val="none" w:sz="0" w:space="0" w:color="auto"/>
            <w:bottom w:val="none" w:sz="0" w:space="0" w:color="auto"/>
            <w:right w:val="none" w:sz="0" w:space="0" w:color="auto"/>
          </w:divBdr>
        </w:div>
      </w:divsChild>
    </w:div>
    <w:div w:id="2011247752">
      <w:bodyDiv w:val="1"/>
      <w:marLeft w:val="0"/>
      <w:marRight w:val="0"/>
      <w:marTop w:val="0"/>
      <w:marBottom w:val="0"/>
      <w:divBdr>
        <w:top w:val="none" w:sz="0" w:space="0" w:color="auto"/>
        <w:left w:val="none" w:sz="0" w:space="0" w:color="auto"/>
        <w:bottom w:val="none" w:sz="0" w:space="0" w:color="auto"/>
        <w:right w:val="none" w:sz="0" w:space="0" w:color="auto"/>
      </w:divBdr>
    </w:div>
    <w:div w:id="209023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mbudsman.parliament.nz/resources/oia-ministers-and-agencies-guide-processing-official-information-requests" TargetMode="External"/><Relationship Id="rId13" Type="http://schemas.openxmlformats.org/officeDocument/2006/relationships/hyperlink" Target="http://www.ombudsman.parliament.nz" TargetMode="External"/><Relationship Id="rId18" Type="http://schemas.openxmlformats.org/officeDocument/2006/relationships/hyperlink" Target="Https://ombudsman.parliament.nz/resources/request-information-electronic-form"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ombudsman.parliament.nz/resources/request-groups-interested-setting-charter-school" TargetMode="External"/><Relationship Id="rId7" Type="http://schemas.openxmlformats.org/officeDocument/2006/relationships/hyperlink" Target="Https://ombudsman.parliament.nz/resources/charging-guide-charging-official-information-under-oia-and-lgoima" TargetMode="External"/><Relationship Id="rId12" Type="http://schemas.openxmlformats.org/officeDocument/2006/relationships/hyperlink" Target="http://www.ombudsman.parliament.nz" TargetMode="External"/><Relationship Id="rId17" Type="http://schemas.openxmlformats.org/officeDocument/2006/relationships/hyperlink" Target="Https://ombudsman.parliament.nz/resources/request-information-held-abortion-supervisory-committee-concerning-court-judgment-and"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ombudsman.parliament.nz/resources/request-prisoner-unable-access-publicly-available-information" TargetMode="External"/><Relationship Id="rId20" Type="http://schemas.openxmlformats.org/officeDocument/2006/relationships/hyperlink" Target="Https://ombudsman.parliament.nz/resources/requests-briefings-incoming-minist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ombudsman.parliament.nz"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legislation.govt.nz/regulation/public/1989/0064/latest/DLM129834.html?src=qs"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www.ombudsman.parliament.nz" TargetMode="External"/><Relationship Id="rId19" Type="http://schemas.openxmlformats.org/officeDocument/2006/relationships/hyperlink" Target="https://www.ombudsman.parliament.nz/resources/request-information-relating-probable-inflationary-effects-personal-tax-cuts" TargetMode="External"/><Relationship Id="rId4" Type="http://schemas.openxmlformats.org/officeDocument/2006/relationships/webSettings" Target="webSettings.xml"/><Relationship Id="rId9" Type="http://schemas.openxmlformats.org/officeDocument/2006/relationships/hyperlink" Target="https://ombudsman.parliament.nz/resources/lgoima-local-government-agencies-guide-processing-requests-and-conducting-meetings" TargetMode="External"/><Relationship Id="rId14" Type="http://schemas.openxmlformats.org/officeDocument/2006/relationships/hyperlink" Target="http://www.ombudsman.parliament.nz" TargetMode="External"/><Relationship Id="rId22" Type="http://schemas.openxmlformats.org/officeDocument/2006/relationships/hyperlink" Target="https://ombudsman.parliament.nz/resources/confidential-advice-government-guide-section-92fiv-oia"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legislation.govt.nz/act/public/2005/0040/latest/DLM345772.html?search=sw_096be8ed8167ff78_official+information_25_se&amp;p=1&amp;sr=7"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OTO Colours">
      <a:dk1>
        <a:srgbClr val="000000"/>
      </a:dk1>
      <a:lt1>
        <a:srgbClr val="FFFFFF"/>
      </a:lt1>
      <a:dk2>
        <a:srgbClr val="262626"/>
      </a:dk2>
      <a:lt2>
        <a:srgbClr val="F2F2F2"/>
      </a:lt2>
      <a:accent1>
        <a:srgbClr val="2BB673"/>
      </a:accent1>
      <a:accent2>
        <a:srgbClr val="93B41A"/>
      </a:accent2>
      <a:accent3>
        <a:srgbClr val="F06A3B"/>
      </a:accent3>
      <a:accent4>
        <a:srgbClr val="9561CC"/>
      </a:accent4>
      <a:accent5>
        <a:srgbClr val="00ADC6"/>
      </a:accent5>
      <a:accent6>
        <a:srgbClr val="FD8F0A"/>
      </a:accent6>
      <a:hlink>
        <a:srgbClr val="0D6AB8"/>
      </a:hlink>
      <a:folHlink>
        <a:srgbClr val="3C98E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10070</Words>
  <Characters>51764</Characters>
  <Application>Microsoft Office Word</Application>
  <DocSecurity>0</DocSecurity>
  <Lines>892</Lines>
  <Paragraphs>343</Paragraphs>
  <ScaleCrop>false</ScaleCrop>
  <Company/>
  <LinksUpToDate>false</LinksUpToDate>
  <CharactersWithSpaces>61491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2026-05-27T04:00:00Z</dcterms:created>
  <dcterms:modified xsi:type="dcterms:W3CDTF">2026-05-27T04:00:00Z</dcterms:modified>
  <cp:contentStatus/>
</cp:coreProperties>
</file>