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2A424" w14:textId="77777777"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57E96431" w14:textId="77777777" w:rsidTr="00C11F64">
        <w:trPr>
          <w:trHeight w:hRule="exact" w:val="3686"/>
        </w:trPr>
        <w:tc>
          <w:tcPr>
            <w:tcW w:w="6520" w:type="dxa"/>
            <w:tcMar>
              <w:top w:w="0" w:type="dxa"/>
              <w:bottom w:w="0" w:type="dxa"/>
            </w:tcMar>
            <w:vAlign w:val="bottom"/>
          </w:tcPr>
          <w:p w14:paraId="229FA9EF" w14:textId="77777777" w:rsidR="00C826F9" w:rsidRPr="00F011BA" w:rsidRDefault="0061364C" w:rsidP="00C11F64">
            <w:pPr>
              <w:pStyle w:val="Title"/>
            </w:pPr>
            <w:r>
              <w:t>Guidance for receivers</w:t>
            </w:r>
          </w:p>
          <w:p w14:paraId="6246F9C8" w14:textId="77777777" w:rsidR="00C826F9" w:rsidRPr="00F011BA" w:rsidRDefault="0061364C" w:rsidP="00F011BA">
            <w:pPr>
              <w:pStyle w:val="Subheading"/>
            </w:pPr>
            <w:r>
              <w:t>Protected Disclosures (Protection of Whistleblowers) Act 2022</w:t>
            </w:r>
          </w:p>
        </w:tc>
      </w:tr>
      <w:tr w:rsidR="00F011BA" w14:paraId="63DFDEB6" w14:textId="77777777" w:rsidTr="00C11F64">
        <w:trPr>
          <w:trHeight w:hRule="exact" w:val="1418"/>
        </w:trPr>
        <w:tc>
          <w:tcPr>
            <w:tcW w:w="6520" w:type="dxa"/>
            <w:tcBorders>
              <w:bottom w:val="nil"/>
            </w:tcBorders>
          </w:tcPr>
          <w:p w14:paraId="2FB59347" w14:textId="77777777" w:rsidR="00F011BA" w:rsidRDefault="00F011BA" w:rsidP="00F011BA">
            <w:pPr>
              <w:pStyle w:val="Subheading"/>
            </w:pPr>
          </w:p>
        </w:tc>
      </w:tr>
    </w:tbl>
    <w:p w14:paraId="1E6FD6BE" w14:textId="77777777" w:rsidR="0061364C" w:rsidRDefault="0061364C" w:rsidP="0061364C">
      <w:pPr>
        <w:pStyle w:val="Introduction"/>
      </w:pPr>
      <w:r>
        <w:t>The Protected Disclosures (Protection of Whistleblowers) Act 2022 enables a person who becomes aware of serious wrongdoing in their work environment to report this within their workplace (to their employer) or externally to an appropriate authority.</w:t>
      </w:r>
    </w:p>
    <w:p w14:paraId="438DFCB5" w14:textId="77777777" w:rsidR="0061364C" w:rsidRDefault="0061364C" w:rsidP="0061364C">
      <w:pPr>
        <w:pStyle w:val="Introduction"/>
      </w:pPr>
      <w:r>
        <w:t>This document provides information and guidance for any person who may receive a protected disclosure.</w:t>
      </w:r>
    </w:p>
    <w:p w14:paraId="392482BF" w14:textId="77777777" w:rsidR="00027F11" w:rsidRDefault="00027F11" w:rsidP="00C11F64">
      <w:pPr>
        <w:pStyle w:val="Introduction"/>
      </w:pPr>
    </w:p>
    <w:p w14:paraId="48B8AECE" w14:textId="77777777" w:rsidR="00555405" w:rsidRDefault="00555405" w:rsidP="00491D17">
      <w:pPr>
        <w:pStyle w:val="Guidelines"/>
        <w:pageBreakBefore/>
      </w:pPr>
    </w:p>
    <w:p w14:paraId="7016F15F" w14:textId="77777777" w:rsidR="00491D17" w:rsidRDefault="00491D17" w:rsidP="009A3143">
      <w:pPr>
        <w:pStyle w:val="TOCHeading"/>
        <w:spacing w:before="480"/>
      </w:pPr>
      <w:bookmarkStart w:id="0" w:name="GoToContents"/>
      <w:bookmarkStart w:id="1" w:name="TOCSection"/>
      <w:bookmarkStart w:id="2" w:name="_Toc200966294"/>
      <w:bookmarkStart w:id="3" w:name="_Toc200966352"/>
      <w:r>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491D17" w14:paraId="51133F96" w14:textId="77777777" w:rsidTr="006A5A35">
        <w:tc>
          <w:tcPr>
            <w:tcW w:w="9354" w:type="dxa"/>
          </w:tcPr>
          <w:bookmarkStart w:id="4" w:name="TOCMain" w:colFirst="0" w:colLast="0"/>
          <w:p w14:paraId="2954E18B" w14:textId="02B2B6AE" w:rsidR="00353A4C" w:rsidRDefault="00491D17">
            <w:pPr>
              <w:pStyle w:val="TOC1"/>
              <w:rPr>
                <w:rFonts w:asciiTheme="minorHAnsi" w:eastAsiaTheme="minorEastAsia" w:hAnsiTheme="minorHAnsi"/>
                <w:b w:val="0"/>
                <w:noProof/>
                <w:color w:val="auto"/>
                <w:kern w:val="2"/>
                <w:sz w:val="24"/>
                <w:szCs w:val="24"/>
                <w:lang w:eastAsia="en-NZ"/>
                <w14:ligatures w14:val="standardContextual"/>
              </w:rPr>
            </w:pPr>
            <w:r>
              <w:rPr>
                <w:color w:val="2BB673"/>
              </w:rPr>
              <w:fldChar w:fldCharType="begin"/>
            </w:r>
            <w:r>
              <w:instrText xml:space="preserve"> TOC \o "1-4" \h \z \t "Heading Appendix, 1" </w:instrText>
            </w:r>
            <w:r>
              <w:rPr>
                <w:color w:val="2BB673"/>
              </w:rPr>
              <w:fldChar w:fldCharType="separate"/>
            </w:r>
            <w:hyperlink w:anchor="_Toc222995632" w:history="1">
              <w:r w:rsidR="00353A4C" w:rsidRPr="006E4F9E">
                <w:rPr>
                  <w:rStyle w:val="Hyperlink"/>
                  <w:noProof/>
                </w:rPr>
                <w:t>Receiving and dealing with protected disclosures</w:t>
              </w:r>
              <w:r w:rsidR="00353A4C">
                <w:rPr>
                  <w:noProof/>
                  <w:webHidden/>
                </w:rPr>
                <w:tab/>
              </w:r>
              <w:r w:rsidR="00353A4C">
                <w:rPr>
                  <w:noProof/>
                  <w:webHidden/>
                </w:rPr>
                <w:fldChar w:fldCharType="begin"/>
              </w:r>
              <w:r w:rsidR="00353A4C">
                <w:rPr>
                  <w:noProof/>
                  <w:webHidden/>
                </w:rPr>
                <w:instrText xml:space="preserve"> PAGEREF _Toc222995632 \h </w:instrText>
              </w:r>
              <w:r w:rsidR="00353A4C">
                <w:rPr>
                  <w:noProof/>
                  <w:webHidden/>
                </w:rPr>
              </w:r>
              <w:r w:rsidR="00353A4C">
                <w:rPr>
                  <w:noProof/>
                  <w:webHidden/>
                </w:rPr>
                <w:fldChar w:fldCharType="separate"/>
              </w:r>
              <w:r w:rsidR="00353A4C">
                <w:rPr>
                  <w:noProof/>
                  <w:webHidden/>
                </w:rPr>
                <w:t>3</w:t>
              </w:r>
              <w:r w:rsidR="00353A4C">
                <w:rPr>
                  <w:noProof/>
                  <w:webHidden/>
                </w:rPr>
                <w:fldChar w:fldCharType="end"/>
              </w:r>
            </w:hyperlink>
          </w:p>
          <w:p w14:paraId="385D5B60" w14:textId="130ADD35"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33" w:history="1">
              <w:r w:rsidRPr="006E4F9E">
                <w:rPr>
                  <w:rStyle w:val="Hyperlink"/>
                  <w:noProof/>
                </w:rPr>
                <w:t>Background</w:t>
              </w:r>
              <w:r>
                <w:rPr>
                  <w:noProof/>
                  <w:webHidden/>
                </w:rPr>
                <w:tab/>
              </w:r>
              <w:r>
                <w:rPr>
                  <w:noProof/>
                  <w:webHidden/>
                </w:rPr>
                <w:fldChar w:fldCharType="begin"/>
              </w:r>
              <w:r>
                <w:rPr>
                  <w:noProof/>
                  <w:webHidden/>
                </w:rPr>
                <w:instrText xml:space="preserve"> PAGEREF _Toc222995633 \h </w:instrText>
              </w:r>
              <w:r>
                <w:rPr>
                  <w:noProof/>
                  <w:webHidden/>
                </w:rPr>
              </w:r>
              <w:r>
                <w:rPr>
                  <w:noProof/>
                  <w:webHidden/>
                </w:rPr>
                <w:fldChar w:fldCharType="separate"/>
              </w:r>
              <w:r>
                <w:rPr>
                  <w:noProof/>
                  <w:webHidden/>
                </w:rPr>
                <w:t>3</w:t>
              </w:r>
              <w:r>
                <w:rPr>
                  <w:noProof/>
                  <w:webHidden/>
                </w:rPr>
                <w:fldChar w:fldCharType="end"/>
              </w:r>
            </w:hyperlink>
          </w:p>
          <w:p w14:paraId="70874F75" w14:textId="612C0883"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34" w:history="1">
              <w:r w:rsidRPr="006E4F9E">
                <w:rPr>
                  <w:rStyle w:val="Hyperlink"/>
                  <w:noProof/>
                </w:rPr>
                <w:t>Procedures for handling protected disclosures</w:t>
              </w:r>
              <w:r>
                <w:rPr>
                  <w:noProof/>
                  <w:webHidden/>
                </w:rPr>
                <w:tab/>
              </w:r>
              <w:r>
                <w:rPr>
                  <w:noProof/>
                  <w:webHidden/>
                </w:rPr>
                <w:fldChar w:fldCharType="begin"/>
              </w:r>
              <w:r>
                <w:rPr>
                  <w:noProof/>
                  <w:webHidden/>
                </w:rPr>
                <w:instrText xml:space="preserve"> PAGEREF _Toc222995634 \h </w:instrText>
              </w:r>
              <w:r>
                <w:rPr>
                  <w:noProof/>
                  <w:webHidden/>
                </w:rPr>
              </w:r>
              <w:r>
                <w:rPr>
                  <w:noProof/>
                  <w:webHidden/>
                </w:rPr>
                <w:fldChar w:fldCharType="separate"/>
              </w:r>
              <w:r>
                <w:rPr>
                  <w:noProof/>
                  <w:webHidden/>
                </w:rPr>
                <w:t>3</w:t>
              </w:r>
              <w:r>
                <w:rPr>
                  <w:noProof/>
                  <w:webHidden/>
                </w:rPr>
                <w:fldChar w:fldCharType="end"/>
              </w:r>
            </w:hyperlink>
          </w:p>
          <w:p w14:paraId="120036B0" w14:textId="119A171D"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35" w:history="1">
              <w:r w:rsidRPr="006E4F9E">
                <w:rPr>
                  <w:rStyle w:val="Hyperlink"/>
                  <w:noProof/>
                </w:rPr>
                <w:t>Handling a protected disclosure</w:t>
              </w:r>
              <w:r>
                <w:rPr>
                  <w:noProof/>
                  <w:webHidden/>
                </w:rPr>
                <w:tab/>
              </w:r>
              <w:r>
                <w:rPr>
                  <w:noProof/>
                  <w:webHidden/>
                </w:rPr>
                <w:fldChar w:fldCharType="begin"/>
              </w:r>
              <w:r>
                <w:rPr>
                  <w:noProof/>
                  <w:webHidden/>
                </w:rPr>
                <w:instrText xml:space="preserve"> PAGEREF _Toc222995635 \h </w:instrText>
              </w:r>
              <w:r>
                <w:rPr>
                  <w:noProof/>
                  <w:webHidden/>
                </w:rPr>
              </w:r>
              <w:r>
                <w:rPr>
                  <w:noProof/>
                  <w:webHidden/>
                </w:rPr>
                <w:fldChar w:fldCharType="separate"/>
              </w:r>
              <w:r>
                <w:rPr>
                  <w:noProof/>
                  <w:webHidden/>
                </w:rPr>
                <w:t>4</w:t>
              </w:r>
              <w:r>
                <w:rPr>
                  <w:noProof/>
                  <w:webHidden/>
                </w:rPr>
                <w:fldChar w:fldCharType="end"/>
              </w:r>
            </w:hyperlink>
          </w:p>
          <w:p w14:paraId="2D3EC918" w14:textId="370623DD" w:rsidR="00353A4C" w:rsidRDefault="00353A4C">
            <w:pPr>
              <w:pStyle w:val="TOC3"/>
              <w:rPr>
                <w:rFonts w:asciiTheme="minorHAnsi" w:eastAsiaTheme="minorEastAsia" w:hAnsiTheme="minorHAnsi"/>
                <w:noProof/>
                <w:color w:val="auto"/>
                <w:kern w:val="2"/>
                <w:szCs w:val="24"/>
                <w:lang w:eastAsia="en-NZ"/>
                <w14:ligatures w14:val="standardContextual"/>
              </w:rPr>
            </w:pPr>
            <w:hyperlink w:anchor="_Toc222995636" w:history="1">
              <w:r w:rsidRPr="006E4F9E">
                <w:rPr>
                  <w:rStyle w:val="Hyperlink"/>
                  <w:noProof/>
                </w:rPr>
                <w:t>1) Engage with the discloser</w:t>
              </w:r>
              <w:r>
                <w:rPr>
                  <w:noProof/>
                  <w:webHidden/>
                </w:rPr>
                <w:tab/>
              </w:r>
              <w:r>
                <w:rPr>
                  <w:noProof/>
                  <w:webHidden/>
                </w:rPr>
                <w:fldChar w:fldCharType="begin"/>
              </w:r>
              <w:r>
                <w:rPr>
                  <w:noProof/>
                  <w:webHidden/>
                </w:rPr>
                <w:instrText xml:space="preserve"> PAGEREF _Toc222995636 \h </w:instrText>
              </w:r>
              <w:r>
                <w:rPr>
                  <w:noProof/>
                  <w:webHidden/>
                </w:rPr>
              </w:r>
              <w:r>
                <w:rPr>
                  <w:noProof/>
                  <w:webHidden/>
                </w:rPr>
                <w:fldChar w:fldCharType="separate"/>
              </w:r>
              <w:r>
                <w:rPr>
                  <w:noProof/>
                  <w:webHidden/>
                </w:rPr>
                <w:t>4</w:t>
              </w:r>
              <w:r>
                <w:rPr>
                  <w:noProof/>
                  <w:webHidden/>
                </w:rPr>
                <w:fldChar w:fldCharType="end"/>
              </w:r>
            </w:hyperlink>
          </w:p>
          <w:p w14:paraId="5CB55850" w14:textId="26D86951" w:rsidR="00353A4C" w:rsidRDefault="00353A4C">
            <w:pPr>
              <w:pStyle w:val="TOC3"/>
              <w:rPr>
                <w:rFonts w:asciiTheme="minorHAnsi" w:eastAsiaTheme="minorEastAsia" w:hAnsiTheme="minorHAnsi"/>
                <w:noProof/>
                <w:color w:val="auto"/>
                <w:kern w:val="2"/>
                <w:szCs w:val="24"/>
                <w:lang w:eastAsia="en-NZ"/>
                <w14:ligatures w14:val="standardContextual"/>
              </w:rPr>
            </w:pPr>
            <w:hyperlink w:anchor="_Toc222995637" w:history="1">
              <w:r w:rsidRPr="006E4F9E">
                <w:rPr>
                  <w:rStyle w:val="Hyperlink"/>
                  <w:noProof/>
                </w:rPr>
                <w:t>2) Decide what steps to take</w:t>
              </w:r>
              <w:r>
                <w:rPr>
                  <w:noProof/>
                  <w:webHidden/>
                </w:rPr>
                <w:tab/>
              </w:r>
              <w:r>
                <w:rPr>
                  <w:noProof/>
                  <w:webHidden/>
                </w:rPr>
                <w:fldChar w:fldCharType="begin"/>
              </w:r>
              <w:r>
                <w:rPr>
                  <w:noProof/>
                  <w:webHidden/>
                </w:rPr>
                <w:instrText xml:space="preserve"> PAGEREF _Toc222995637 \h </w:instrText>
              </w:r>
              <w:r>
                <w:rPr>
                  <w:noProof/>
                  <w:webHidden/>
                </w:rPr>
              </w:r>
              <w:r>
                <w:rPr>
                  <w:noProof/>
                  <w:webHidden/>
                </w:rPr>
                <w:fldChar w:fldCharType="separate"/>
              </w:r>
              <w:r>
                <w:rPr>
                  <w:noProof/>
                  <w:webHidden/>
                </w:rPr>
                <w:t>5</w:t>
              </w:r>
              <w:r>
                <w:rPr>
                  <w:noProof/>
                  <w:webHidden/>
                </w:rPr>
                <w:fldChar w:fldCharType="end"/>
              </w:r>
            </w:hyperlink>
          </w:p>
          <w:p w14:paraId="3409D08D" w14:textId="407C9DAD" w:rsidR="00353A4C" w:rsidRDefault="00353A4C">
            <w:pPr>
              <w:pStyle w:val="TOC4"/>
              <w:rPr>
                <w:rFonts w:asciiTheme="minorHAnsi" w:eastAsiaTheme="minorEastAsia" w:hAnsiTheme="minorHAnsi"/>
                <w:noProof/>
                <w:color w:val="auto"/>
                <w:kern w:val="2"/>
                <w:szCs w:val="24"/>
                <w:lang w:eastAsia="en-NZ"/>
                <w14:ligatures w14:val="standardContextual"/>
              </w:rPr>
            </w:pPr>
            <w:hyperlink w:anchor="_Toc222995638" w:history="1">
              <w:r w:rsidRPr="006E4F9E">
                <w:rPr>
                  <w:rStyle w:val="Hyperlink"/>
                  <w:noProof/>
                </w:rPr>
                <w:t>Investigating the disclosure</w:t>
              </w:r>
              <w:r>
                <w:rPr>
                  <w:noProof/>
                  <w:webHidden/>
                </w:rPr>
                <w:tab/>
              </w:r>
              <w:r>
                <w:rPr>
                  <w:noProof/>
                  <w:webHidden/>
                </w:rPr>
                <w:fldChar w:fldCharType="begin"/>
              </w:r>
              <w:r>
                <w:rPr>
                  <w:noProof/>
                  <w:webHidden/>
                </w:rPr>
                <w:instrText xml:space="preserve"> PAGEREF _Toc222995638 \h </w:instrText>
              </w:r>
              <w:r>
                <w:rPr>
                  <w:noProof/>
                  <w:webHidden/>
                </w:rPr>
              </w:r>
              <w:r>
                <w:rPr>
                  <w:noProof/>
                  <w:webHidden/>
                </w:rPr>
                <w:fldChar w:fldCharType="separate"/>
              </w:r>
              <w:r>
                <w:rPr>
                  <w:noProof/>
                  <w:webHidden/>
                </w:rPr>
                <w:t>5</w:t>
              </w:r>
              <w:r>
                <w:rPr>
                  <w:noProof/>
                  <w:webHidden/>
                </w:rPr>
                <w:fldChar w:fldCharType="end"/>
              </w:r>
            </w:hyperlink>
          </w:p>
          <w:p w14:paraId="779282BE" w14:textId="7EB4C0DB" w:rsidR="00353A4C" w:rsidRDefault="00353A4C">
            <w:pPr>
              <w:pStyle w:val="TOC4"/>
              <w:rPr>
                <w:rFonts w:asciiTheme="minorHAnsi" w:eastAsiaTheme="minorEastAsia" w:hAnsiTheme="minorHAnsi"/>
                <w:noProof/>
                <w:color w:val="auto"/>
                <w:kern w:val="2"/>
                <w:szCs w:val="24"/>
                <w:lang w:eastAsia="en-NZ"/>
                <w14:ligatures w14:val="standardContextual"/>
              </w:rPr>
            </w:pPr>
            <w:hyperlink w:anchor="_Toc222995639" w:history="1">
              <w:r w:rsidRPr="006E4F9E">
                <w:rPr>
                  <w:rStyle w:val="Hyperlink"/>
                  <w:noProof/>
                </w:rPr>
                <w:t>Addressing serious wrongdoing</w:t>
              </w:r>
              <w:r>
                <w:rPr>
                  <w:noProof/>
                  <w:webHidden/>
                </w:rPr>
                <w:tab/>
              </w:r>
              <w:r>
                <w:rPr>
                  <w:noProof/>
                  <w:webHidden/>
                </w:rPr>
                <w:fldChar w:fldCharType="begin"/>
              </w:r>
              <w:r>
                <w:rPr>
                  <w:noProof/>
                  <w:webHidden/>
                </w:rPr>
                <w:instrText xml:space="preserve"> PAGEREF _Toc222995639 \h </w:instrText>
              </w:r>
              <w:r>
                <w:rPr>
                  <w:noProof/>
                  <w:webHidden/>
                </w:rPr>
              </w:r>
              <w:r>
                <w:rPr>
                  <w:noProof/>
                  <w:webHidden/>
                </w:rPr>
                <w:fldChar w:fldCharType="separate"/>
              </w:r>
              <w:r>
                <w:rPr>
                  <w:noProof/>
                  <w:webHidden/>
                </w:rPr>
                <w:t>7</w:t>
              </w:r>
              <w:r>
                <w:rPr>
                  <w:noProof/>
                  <w:webHidden/>
                </w:rPr>
                <w:fldChar w:fldCharType="end"/>
              </w:r>
            </w:hyperlink>
          </w:p>
          <w:p w14:paraId="4AAEA4D7" w14:textId="74C4E011" w:rsidR="00353A4C" w:rsidRDefault="00353A4C">
            <w:pPr>
              <w:pStyle w:val="TOC4"/>
              <w:rPr>
                <w:rFonts w:asciiTheme="minorHAnsi" w:eastAsiaTheme="minorEastAsia" w:hAnsiTheme="minorHAnsi"/>
                <w:noProof/>
                <w:color w:val="auto"/>
                <w:kern w:val="2"/>
                <w:szCs w:val="24"/>
                <w:lang w:eastAsia="en-NZ"/>
                <w14:ligatures w14:val="standardContextual"/>
              </w:rPr>
            </w:pPr>
            <w:hyperlink w:anchor="_Toc222995640" w:history="1">
              <w:r w:rsidRPr="006E4F9E">
                <w:rPr>
                  <w:rStyle w:val="Hyperlink"/>
                  <w:noProof/>
                </w:rPr>
                <w:t>Referring the disclosure</w:t>
              </w:r>
              <w:r>
                <w:rPr>
                  <w:noProof/>
                  <w:webHidden/>
                </w:rPr>
                <w:tab/>
              </w:r>
              <w:r>
                <w:rPr>
                  <w:noProof/>
                  <w:webHidden/>
                </w:rPr>
                <w:fldChar w:fldCharType="begin"/>
              </w:r>
              <w:r>
                <w:rPr>
                  <w:noProof/>
                  <w:webHidden/>
                </w:rPr>
                <w:instrText xml:space="preserve"> PAGEREF _Toc222995640 \h </w:instrText>
              </w:r>
              <w:r>
                <w:rPr>
                  <w:noProof/>
                  <w:webHidden/>
                </w:rPr>
              </w:r>
              <w:r>
                <w:rPr>
                  <w:noProof/>
                  <w:webHidden/>
                </w:rPr>
                <w:fldChar w:fldCharType="separate"/>
              </w:r>
              <w:r>
                <w:rPr>
                  <w:noProof/>
                  <w:webHidden/>
                </w:rPr>
                <w:t>7</w:t>
              </w:r>
              <w:r>
                <w:rPr>
                  <w:noProof/>
                  <w:webHidden/>
                </w:rPr>
                <w:fldChar w:fldCharType="end"/>
              </w:r>
            </w:hyperlink>
          </w:p>
          <w:p w14:paraId="28F6A2A6" w14:textId="62ABC2F4" w:rsidR="00353A4C" w:rsidRDefault="00353A4C">
            <w:pPr>
              <w:pStyle w:val="TOC4"/>
              <w:rPr>
                <w:rFonts w:asciiTheme="minorHAnsi" w:eastAsiaTheme="minorEastAsia" w:hAnsiTheme="minorHAnsi"/>
                <w:noProof/>
                <w:color w:val="auto"/>
                <w:kern w:val="2"/>
                <w:szCs w:val="24"/>
                <w:lang w:eastAsia="en-NZ"/>
                <w14:ligatures w14:val="standardContextual"/>
              </w:rPr>
            </w:pPr>
            <w:hyperlink w:anchor="_Toc222995641" w:history="1">
              <w:r w:rsidRPr="006E4F9E">
                <w:rPr>
                  <w:rStyle w:val="Hyperlink"/>
                  <w:noProof/>
                </w:rPr>
                <w:t>Taking no further action</w:t>
              </w:r>
              <w:r>
                <w:rPr>
                  <w:noProof/>
                  <w:webHidden/>
                </w:rPr>
                <w:tab/>
              </w:r>
              <w:r>
                <w:rPr>
                  <w:noProof/>
                  <w:webHidden/>
                </w:rPr>
                <w:fldChar w:fldCharType="begin"/>
              </w:r>
              <w:r>
                <w:rPr>
                  <w:noProof/>
                  <w:webHidden/>
                </w:rPr>
                <w:instrText xml:space="preserve"> PAGEREF _Toc222995641 \h </w:instrText>
              </w:r>
              <w:r>
                <w:rPr>
                  <w:noProof/>
                  <w:webHidden/>
                </w:rPr>
              </w:r>
              <w:r>
                <w:rPr>
                  <w:noProof/>
                  <w:webHidden/>
                </w:rPr>
                <w:fldChar w:fldCharType="separate"/>
              </w:r>
              <w:r>
                <w:rPr>
                  <w:noProof/>
                  <w:webHidden/>
                </w:rPr>
                <w:t>8</w:t>
              </w:r>
              <w:r>
                <w:rPr>
                  <w:noProof/>
                  <w:webHidden/>
                </w:rPr>
                <w:fldChar w:fldCharType="end"/>
              </w:r>
            </w:hyperlink>
          </w:p>
          <w:p w14:paraId="18CA8C47" w14:textId="5AE08672" w:rsidR="00353A4C" w:rsidRDefault="00353A4C">
            <w:pPr>
              <w:pStyle w:val="TOC3"/>
              <w:rPr>
                <w:rFonts w:asciiTheme="minorHAnsi" w:eastAsiaTheme="minorEastAsia" w:hAnsiTheme="minorHAnsi"/>
                <w:noProof/>
                <w:color w:val="auto"/>
                <w:kern w:val="2"/>
                <w:szCs w:val="24"/>
                <w:lang w:eastAsia="en-NZ"/>
                <w14:ligatures w14:val="standardContextual"/>
              </w:rPr>
            </w:pPr>
            <w:hyperlink w:anchor="_Toc222995642" w:history="1">
              <w:r w:rsidRPr="006E4F9E">
                <w:rPr>
                  <w:rStyle w:val="Hyperlink"/>
                  <w:noProof/>
                </w:rPr>
                <w:t>3) Inform the discloser</w:t>
              </w:r>
              <w:r>
                <w:rPr>
                  <w:noProof/>
                  <w:webHidden/>
                </w:rPr>
                <w:tab/>
              </w:r>
              <w:r>
                <w:rPr>
                  <w:noProof/>
                  <w:webHidden/>
                </w:rPr>
                <w:fldChar w:fldCharType="begin"/>
              </w:r>
              <w:r>
                <w:rPr>
                  <w:noProof/>
                  <w:webHidden/>
                </w:rPr>
                <w:instrText xml:space="preserve"> PAGEREF _Toc222995642 \h </w:instrText>
              </w:r>
              <w:r>
                <w:rPr>
                  <w:noProof/>
                  <w:webHidden/>
                </w:rPr>
              </w:r>
              <w:r>
                <w:rPr>
                  <w:noProof/>
                  <w:webHidden/>
                </w:rPr>
                <w:fldChar w:fldCharType="separate"/>
              </w:r>
              <w:r>
                <w:rPr>
                  <w:noProof/>
                  <w:webHidden/>
                </w:rPr>
                <w:t>9</w:t>
              </w:r>
              <w:r>
                <w:rPr>
                  <w:noProof/>
                  <w:webHidden/>
                </w:rPr>
                <w:fldChar w:fldCharType="end"/>
              </w:r>
            </w:hyperlink>
          </w:p>
          <w:p w14:paraId="2D744EB2" w14:textId="7CD2E1DA" w:rsidR="00353A4C" w:rsidRDefault="00353A4C">
            <w:pPr>
              <w:pStyle w:val="TOC1"/>
              <w:rPr>
                <w:rFonts w:asciiTheme="minorHAnsi" w:eastAsiaTheme="minorEastAsia" w:hAnsiTheme="minorHAnsi"/>
                <w:b w:val="0"/>
                <w:noProof/>
                <w:color w:val="auto"/>
                <w:kern w:val="2"/>
                <w:sz w:val="24"/>
                <w:szCs w:val="24"/>
                <w:lang w:eastAsia="en-NZ"/>
                <w14:ligatures w14:val="standardContextual"/>
              </w:rPr>
            </w:pPr>
            <w:hyperlink w:anchor="_Toc222995643" w:history="1">
              <w:r w:rsidRPr="006E4F9E">
                <w:rPr>
                  <w:rStyle w:val="Hyperlink"/>
                  <w:noProof/>
                </w:rPr>
                <w:t>Protections for disclosers</w:t>
              </w:r>
              <w:r>
                <w:rPr>
                  <w:noProof/>
                  <w:webHidden/>
                </w:rPr>
                <w:tab/>
              </w:r>
              <w:r>
                <w:rPr>
                  <w:noProof/>
                  <w:webHidden/>
                </w:rPr>
                <w:fldChar w:fldCharType="begin"/>
              </w:r>
              <w:r>
                <w:rPr>
                  <w:noProof/>
                  <w:webHidden/>
                </w:rPr>
                <w:instrText xml:space="preserve"> PAGEREF _Toc222995643 \h </w:instrText>
              </w:r>
              <w:r>
                <w:rPr>
                  <w:noProof/>
                  <w:webHidden/>
                </w:rPr>
              </w:r>
              <w:r>
                <w:rPr>
                  <w:noProof/>
                  <w:webHidden/>
                </w:rPr>
                <w:fldChar w:fldCharType="separate"/>
              </w:r>
              <w:r>
                <w:rPr>
                  <w:noProof/>
                  <w:webHidden/>
                </w:rPr>
                <w:t>9</w:t>
              </w:r>
              <w:r>
                <w:rPr>
                  <w:noProof/>
                  <w:webHidden/>
                </w:rPr>
                <w:fldChar w:fldCharType="end"/>
              </w:r>
            </w:hyperlink>
          </w:p>
          <w:p w14:paraId="61FBC067" w14:textId="5268E6F0"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44" w:history="1">
              <w:r w:rsidRPr="006E4F9E">
                <w:rPr>
                  <w:rStyle w:val="Hyperlink"/>
                  <w:noProof/>
                </w:rPr>
                <w:t>Confidentiality</w:t>
              </w:r>
              <w:r>
                <w:rPr>
                  <w:noProof/>
                  <w:webHidden/>
                </w:rPr>
                <w:tab/>
              </w:r>
              <w:r>
                <w:rPr>
                  <w:noProof/>
                  <w:webHidden/>
                </w:rPr>
                <w:fldChar w:fldCharType="begin"/>
              </w:r>
              <w:r>
                <w:rPr>
                  <w:noProof/>
                  <w:webHidden/>
                </w:rPr>
                <w:instrText xml:space="preserve"> PAGEREF _Toc222995644 \h </w:instrText>
              </w:r>
              <w:r>
                <w:rPr>
                  <w:noProof/>
                  <w:webHidden/>
                </w:rPr>
              </w:r>
              <w:r>
                <w:rPr>
                  <w:noProof/>
                  <w:webHidden/>
                </w:rPr>
                <w:fldChar w:fldCharType="separate"/>
              </w:r>
              <w:r>
                <w:rPr>
                  <w:noProof/>
                  <w:webHidden/>
                </w:rPr>
                <w:t>9</w:t>
              </w:r>
              <w:r>
                <w:rPr>
                  <w:noProof/>
                  <w:webHidden/>
                </w:rPr>
                <w:fldChar w:fldCharType="end"/>
              </w:r>
            </w:hyperlink>
          </w:p>
          <w:p w14:paraId="12112309" w14:textId="7E7858FE" w:rsidR="00353A4C" w:rsidRDefault="00353A4C">
            <w:pPr>
              <w:pStyle w:val="TOC3"/>
              <w:rPr>
                <w:rFonts w:asciiTheme="minorHAnsi" w:eastAsiaTheme="minorEastAsia" w:hAnsiTheme="minorHAnsi"/>
                <w:noProof/>
                <w:color w:val="auto"/>
                <w:kern w:val="2"/>
                <w:szCs w:val="24"/>
                <w:lang w:eastAsia="en-NZ"/>
                <w14:ligatures w14:val="standardContextual"/>
              </w:rPr>
            </w:pPr>
            <w:hyperlink w:anchor="_Toc222995645" w:history="1">
              <w:r w:rsidRPr="006E4F9E">
                <w:rPr>
                  <w:rStyle w:val="Hyperlink"/>
                  <w:noProof/>
                </w:rPr>
                <w:t>Anonymous disclosures</w:t>
              </w:r>
              <w:r>
                <w:rPr>
                  <w:noProof/>
                  <w:webHidden/>
                </w:rPr>
                <w:tab/>
              </w:r>
              <w:r>
                <w:rPr>
                  <w:noProof/>
                  <w:webHidden/>
                </w:rPr>
                <w:fldChar w:fldCharType="begin"/>
              </w:r>
              <w:r>
                <w:rPr>
                  <w:noProof/>
                  <w:webHidden/>
                </w:rPr>
                <w:instrText xml:space="preserve"> PAGEREF _Toc222995645 \h </w:instrText>
              </w:r>
              <w:r>
                <w:rPr>
                  <w:noProof/>
                  <w:webHidden/>
                </w:rPr>
              </w:r>
              <w:r>
                <w:rPr>
                  <w:noProof/>
                  <w:webHidden/>
                </w:rPr>
                <w:fldChar w:fldCharType="separate"/>
              </w:r>
              <w:r>
                <w:rPr>
                  <w:noProof/>
                  <w:webHidden/>
                </w:rPr>
                <w:t>10</w:t>
              </w:r>
              <w:r>
                <w:rPr>
                  <w:noProof/>
                  <w:webHidden/>
                </w:rPr>
                <w:fldChar w:fldCharType="end"/>
              </w:r>
            </w:hyperlink>
          </w:p>
          <w:p w14:paraId="3679CE29" w14:textId="5C16FDCC"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46" w:history="1">
              <w:r w:rsidRPr="006E4F9E">
                <w:rPr>
                  <w:rStyle w:val="Hyperlink"/>
                  <w:noProof/>
                </w:rPr>
                <w:t>Protection against retaliation and victimisation</w:t>
              </w:r>
              <w:r>
                <w:rPr>
                  <w:noProof/>
                  <w:webHidden/>
                </w:rPr>
                <w:tab/>
              </w:r>
              <w:r>
                <w:rPr>
                  <w:noProof/>
                  <w:webHidden/>
                </w:rPr>
                <w:fldChar w:fldCharType="begin"/>
              </w:r>
              <w:r>
                <w:rPr>
                  <w:noProof/>
                  <w:webHidden/>
                </w:rPr>
                <w:instrText xml:space="preserve"> PAGEREF _Toc222995646 \h </w:instrText>
              </w:r>
              <w:r>
                <w:rPr>
                  <w:noProof/>
                  <w:webHidden/>
                </w:rPr>
              </w:r>
              <w:r>
                <w:rPr>
                  <w:noProof/>
                  <w:webHidden/>
                </w:rPr>
                <w:fldChar w:fldCharType="separate"/>
              </w:r>
              <w:r>
                <w:rPr>
                  <w:noProof/>
                  <w:webHidden/>
                </w:rPr>
                <w:t>11</w:t>
              </w:r>
              <w:r>
                <w:rPr>
                  <w:noProof/>
                  <w:webHidden/>
                </w:rPr>
                <w:fldChar w:fldCharType="end"/>
              </w:r>
            </w:hyperlink>
          </w:p>
          <w:p w14:paraId="79E6D614" w14:textId="762A5A63" w:rsidR="00353A4C" w:rsidRDefault="00353A4C">
            <w:pPr>
              <w:pStyle w:val="TOC1"/>
              <w:rPr>
                <w:rFonts w:asciiTheme="minorHAnsi" w:eastAsiaTheme="minorEastAsia" w:hAnsiTheme="minorHAnsi"/>
                <w:b w:val="0"/>
                <w:noProof/>
                <w:color w:val="auto"/>
                <w:kern w:val="2"/>
                <w:sz w:val="24"/>
                <w:szCs w:val="24"/>
                <w:lang w:eastAsia="en-NZ"/>
                <w14:ligatures w14:val="standardContextual"/>
              </w:rPr>
            </w:pPr>
            <w:hyperlink w:anchor="_Toc222995647" w:history="1">
              <w:r w:rsidRPr="006E4F9E">
                <w:rPr>
                  <w:rStyle w:val="Hyperlink"/>
                  <w:noProof/>
                </w:rPr>
                <w:t>What to do once you’ve dealt with a disclosure</w:t>
              </w:r>
              <w:r>
                <w:rPr>
                  <w:noProof/>
                  <w:webHidden/>
                </w:rPr>
                <w:tab/>
              </w:r>
              <w:r>
                <w:rPr>
                  <w:noProof/>
                  <w:webHidden/>
                </w:rPr>
                <w:fldChar w:fldCharType="begin"/>
              </w:r>
              <w:r>
                <w:rPr>
                  <w:noProof/>
                  <w:webHidden/>
                </w:rPr>
                <w:instrText xml:space="preserve"> PAGEREF _Toc222995647 \h </w:instrText>
              </w:r>
              <w:r>
                <w:rPr>
                  <w:noProof/>
                  <w:webHidden/>
                </w:rPr>
              </w:r>
              <w:r>
                <w:rPr>
                  <w:noProof/>
                  <w:webHidden/>
                </w:rPr>
                <w:fldChar w:fldCharType="separate"/>
              </w:r>
              <w:r>
                <w:rPr>
                  <w:noProof/>
                  <w:webHidden/>
                </w:rPr>
                <w:t>11</w:t>
              </w:r>
              <w:r>
                <w:rPr>
                  <w:noProof/>
                  <w:webHidden/>
                </w:rPr>
                <w:fldChar w:fldCharType="end"/>
              </w:r>
            </w:hyperlink>
          </w:p>
          <w:p w14:paraId="27AFBFA5" w14:textId="44091503" w:rsidR="00353A4C" w:rsidRDefault="00353A4C">
            <w:pPr>
              <w:pStyle w:val="TOC1"/>
              <w:rPr>
                <w:rFonts w:asciiTheme="minorHAnsi" w:eastAsiaTheme="minorEastAsia" w:hAnsiTheme="minorHAnsi"/>
                <w:b w:val="0"/>
                <w:noProof/>
                <w:color w:val="auto"/>
                <w:kern w:val="2"/>
                <w:sz w:val="24"/>
                <w:szCs w:val="24"/>
                <w:lang w:eastAsia="en-NZ"/>
                <w14:ligatures w14:val="standardContextual"/>
              </w:rPr>
            </w:pPr>
            <w:hyperlink w:anchor="_Toc222995648" w:history="1">
              <w:r w:rsidRPr="006E4F9E">
                <w:rPr>
                  <w:rStyle w:val="Hyperlink"/>
                  <w:noProof/>
                </w:rPr>
                <w:t>Troubleshooting</w:t>
              </w:r>
              <w:r>
                <w:rPr>
                  <w:noProof/>
                  <w:webHidden/>
                </w:rPr>
                <w:tab/>
              </w:r>
              <w:r>
                <w:rPr>
                  <w:noProof/>
                  <w:webHidden/>
                </w:rPr>
                <w:fldChar w:fldCharType="begin"/>
              </w:r>
              <w:r>
                <w:rPr>
                  <w:noProof/>
                  <w:webHidden/>
                </w:rPr>
                <w:instrText xml:space="preserve"> PAGEREF _Toc222995648 \h </w:instrText>
              </w:r>
              <w:r>
                <w:rPr>
                  <w:noProof/>
                  <w:webHidden/>
                </w:rPr>
              </w:r>
              <w:r>
                <w:rPr>
                  <w:noProof/>
                  <w:webHidden/>
                </w:rPr>
                <w:fldChar w:fldCharType="separate"/>
              </w:r>
              <w:r>
                <w:rPr>
                  <w:noProof/>
                  <w:webHidden/>
                </w:rPr>
                <w:t>12</w:t>
              </w:r>
              <w:r>
                <w:rPr>
                  <w:noProof/>
                  <w:webHidden/>
                </w:rPr>
                <w:fldChar w:fldCharType="end"/>
              </w:r>
            </w:hyperlink>
          </w:p>
          <w:p w14:paraId="1C57D285" w14:textId="318E050B"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49" w:history="1">
              <w:r w:rsidRPr="006E4F9E">
                <w:rPr>
                  <w:rStyle w:val="Hyperlink"/>
                  <w:noProof/>
                </w:rPr>
                <w:t>Complaints and disclosures – key differences</w:t>
              </w:r>
              <w:r>
                <w:rPr>
                  <w:noProof/>
                  <w:webHidden/>
                </w:rPr>
                <w:tab/>
              </w:r>
              <w:r>
                <w:rPr>
                  <w:noProof/>
                  <w:webHidden/>
                </w:rPr>
                <w:fldChar w:fldCharType="begin"/>
              </w:r>
              <w:r>
                <w:rPr>
                  <w:noProof/>
                  <w:webHidden/>
                </w:rPr>
                <w:instrText xml:space="preserve"> PAGEREF _Toc222995649 \h </w:instrText>
              </w:r>
              <w:r>
                <w:rPr>
                  <w:noProof/>
                  <w:webHidden/>
                </w:rPr>
              </w:r>
              <w:r>
                <w:rPr>
                  <w:noProof/>
                  <w:webHidden/>
                </w:rPr>
                <w:fldChar w:fldCharType="separate"/>
              </w:r>
              <w:r>
                <w:rPr>
                  <w:noProof/>
                  <w:webHidden/>
                </w:rPr>
                <w:t>12</w:t>
              </w:r>
              <w:r>
                <w:rPr>
                  <w:noProof/>
                  <w:webHidden/>
                </w:rPr>
                <w:fldChar w:fldCharType="end"/>
              </w:r>
            </w:hyperlink>
          </w:p>
          <w:p w14:paraId="7033E6EB" w14:textId="0EE64850" w:rsidR="00353A4C" w:rsidRDefault="00353A4C">
            <w:pPr>
              <w:pStyle w:val="TOC2"/>
              <w:rPr>
                <w:rFonts w:asciiTheme="minorHAnsi" w:eastAsiaTheme="minorEastAsia" w:hAnsiTheme="minorHAnsi"/>
                <w:noProof/>
                <w:color w:val="auto"/>
                <w:kern w:val="2"/>
                <w:szCs w:val="24"/>
                <w:lang w:eastAsia="en-NZ"/>
                <w14:ligatures w14:val="standardContextual"/>
              </w:rPr>
            </w:pPr>
            <w:hyperlink w:anchor="_Toc222995650" w:history="1">
              <w:r w:rsidRPr="006E4F9E">
                <w:rPr>
                  <w:rStyle w:val="Hyperlink"/>
                  <w:noProof/>
                </w:rPr>
                <w:t>Frequent queries</w:t>
              </w:r>
              <w:r>
                <w:rPr>
                  <w:noProof/>
                  <w:webHidden/>
                </w:rPr>
                <w:tab/>
              </w:r>
              <w:r>
                <w:rPr>
                  <w:noProof/>
                  <w:webHidden/>
                </w:rPr>
                <w:fldChar w:fldCharType="begin"/>
              </w:r>
              <w:r>
                <w:rPr>
                  <w:noProof/>
                  <w:webHidden/>
                </w:rPr>
                <w:instrText xml:space="preserve"> PAGEREF _Toc222995650 \h </w:instrText>
              </w:r>
              <w:r>
                <w:rPr>
                  <w:noProof/>
                  <w:webHidden/>
                </w:rPr>
              </w:r>
              <w:r>
                <w:rPr>
                  <w:noProof/>
                  <w:webHidden/>
                </w:rPr>
                <w:fldChar w:fldCharType="separate"/>
              </w:r>
              <w:r>
                <w:rPr>
                  <w:noProof/>
                  <w:webHidden/>
                </w:rPr>
                <w:t>13</w:t>
              </w:r>
              <w:r>
                <w:rPr>
                  <w:noProof/>
                  <w:webHidden/>
                </w:rPr>
                <w:fldChar w:fldCharType="end"/>
              </w:r>
            </w:hyperlink>
          </w:p>
          <w:p w14:paraId="59F96E8F" w14:textId="122EC4D4" w:rsidR="00491D17" w:rsidRDefault="00491D17" w:rsidP="009A3143">
            <w:pPr>
              <w:pStyle w:val="Whitespace"/>
            </w:pPr>
            <w:r>
              <w:fldChar w:fldCharType="end"/>
            </w:r>
          </w:p>
        </w:tc>
      </w:tr>
    </w:tbl>
    <w:p w14:paraId="6A7B3CF3" w14:textId="77777777" w:rsidR="00FE72DD" w:rsidRDefault="0061364C" w:rsidP="00D15698">
      <w:pPr>
        <w:pStyle w:val="Heading1-Start"/>
      </w:pPr>
      <w:bookmarkStart w:id="5" w:name="_Toc222995632"/>
      <w:bookmarkEnd w:id="1"/>
      <w:bookmarkEnd w:id="4"/>
      <w:r>
        <w:t>Receiving and deal</w:t>
      </w:r>
      <w:r w:rsidR="00491D17">
        <w:t>ing</w:t>
      </w:r>
      <w:r>
        <w:t xml:space="preserve"> with protected disclosures</w:t>
      </w:r>
      <w:bookmarkEnd w:id="2"/>
      <w:bookmarkEnd w:id="3"/>
      <w:bookmarkEnd w:id="5"/>
    </w:p>
    <w:p w14:paraId="14DE1FDB" w14:textId="77777777" w:rsidR="0061364C" w:rsidRPr="00004176" w:rsidRDefault="0061364C" w:rsidP="0061364C">
      <w:pPr>
        <w:pStyle w:val="BodyText"/>
      </w:pPr>
      <w:r>
        <w:t>This document provides guidance for employers and appropriate authorities</w:t>
      </w:r>
      <w:r>
        <w:rPr>
          <w:rStyle w:val="FootnoteReference"/>
        </w:rPr>
        <w:footnoteReference w:id="2"/>
      </w:r>
      <w:r>
        <w:t xml:space="preserve"> on receiving and dealing with protected disclosures.</w:t>
      </w:r>
    </w:p>
    <w:p w14:paraId="2878C56A" w14:textId="77777777" w:rsidR="00A96A95" w:rsidRDefault="0061364C" w:rsidP="0061364C">
      <w:pPr>
        <w:pStyle w:val="Heading2"/>
      </w:pPr>
      <w:bookmarkStart w:id="6" w:name="_Toc200966295"/>
      <w:bookmarkStart w:id="7" w:name="_Toc200966353"/>
      <w:bookmarkStart w:id="8" w:name="_Toc222995633"/>
      <w:r>
        <w:t>Background</w:t>
      </w:r>
      <w:bookmarkEnd w:id="6"/>
      <w:bookmarkEnd w:id="7"/>
      <w:bookmarkEnd w:id="8"/>
    </w:p>
    <w:p w14:paraId="3C3A3778" w14:textId="77777777" w:rsidR="0061364C" w:rsidRDefault="0061364C" w:rsidP="0061364C">
      <w:pPr>
        <w:pStyle w:val="BodyText"/>
      </w:pPr>
      <w:r>
        <w:t>The Protected Disclosures (Protection of Whistleblowers) Act 2022 (PDA) supports people to report serious wrongdoing in their workplace. The PDA applies to all organisations and workplaces, including the public, private and non-profit sectors.</w:t>
      </w:r>
    </w:p>
    <w:p w14:paraId="206EC6C5" w14:textId="77777777" w:rsidR="0061364C" w:rsidRDefault="0061364C" w:rsidP="0061364C">
      <w:pPr>
        <w:pStyle w:val="BodyText"/>
      </w:pPr>
      <w:r>
        <w:t xml:space="preserve">This guide is for anyone who might receive a protected disclosure. This could be the head or deputy head of an organisation, or any other person who has been nominated by the organisation to receive a protected disclosure. </w:t>
      </w:r>
    </w:p>
    <w:p w14:paraId="54CC34AE" w14:textId="77777777" w:rsidR="0061364C" w:rsidRDefault="0061364C" w:rsidP="0061364C">
      <w:pPr>
        <w:pStyle w:val="BodyText"/>
      </w:pPr>
      <w:r>
        <w:t>While the PDA provides a framework for what to do when you receive a protected disclosure and creates specific protections for disclosers, there is some flexibility about how to respond to a protected disclosure. This guide outlines best practice for responding to protected disclosures, outlines the key differences between complaints and protected disclosures, and the key responsibilities of organisations when handling protected disclosures.</w:t>
      </w:r>
    </w:p>
    <w:p w14:paraId="390DCB22" w14:textId="77777777" w:rsidR="0061364C" w:rsidRDefault="0061364C" w:rsidP="0061364C">
      <w:pPr>
        <w:pStyle w:val="Heading2"/>
      </w:pPr>
      <w:bookmarkStart w:id="9" w:name="_Toc200966296"/>
      <w:bookmarkStart w:id="10" w:name="_Toc200966354"/>
      <w:bookmarkStart w:id="11" w:name="_Toc222995634"/>
      <w:r>
        <w:t>Procedures for handling protected disclosures</w:t>
      </w:r>
      <w:bookmarkEnd w:id="9"/>
      <w:bookmarkEnd w:id="10"/>
      <w:bookmarkEnd w:id="11"/>
      <w:r>
        <w:t xml:space="preserve"> </w:t>
      </w:r>
    </w:p>
    <w:p w14:paraId="61369B9C" w14:textId="77777777" w:rsidR="0061364C" w:rsidRDefault="0061364C" w:rsidP="0061364C">
      <w:pPr>
        <w:pStyle w:val="BodyText"/>
      </w:pPr>
      <w:r>
        <w:t xml:space="preserve">As an employer, establishing internal procedures that set out how your organisation will handle disclosures will provide a strong foundation for you to work from when dealing with a protected disclosure. Having internal procedures that are accessible and clearly visible to your staff can also help foster a culture of speaking up about wrongdoing by setting clear expectations for staff about how a disclosure will be handled. This is a legal requirement for public sector organisations, and is best practice for any organisation looking to strengthen its capacity to receive and deal with protected disclosures. </w:t>
      </w:r>
    </w:p>
    <w:p w14:paraId="06FC9BB9" w14:textId="77777777" w:rsidR="0061364C" w:rsidRDefault="0061364C" w:rsidP="0061364C">
      <w:pPr>
        <w:pStyle w:val="BodyText"/>
      </w:pPr>
      <w:r>
        <w:t xml:space="preserve">For organisations that are appropriate authorities, you can also expect to receive protected disclosures from people employed in other organisations. Having a procedure for this situation helps to ensure your staff are aware of their obligations and best practice for handling disclosures about other organisations.   </w:t>
      </w:r>
    </w:p>
    <w:p w14:paraId="23EEB8D6" w14:textId="77777777" w:rsidR="0061364C" w:rsidRPr="00E007FB" w:rsidRDefault="0061364C" w:rsidP="0061364C">
      <w:pPr>
        <w:pStyle w:val="BodyText"/>
      </w:pPr>
      <w:r>
        <w:t xml:space="preserve">For detailed guidance on the PDA and establishing procedures for handling protected disclosures, please refer to the Ombudsman’s publication, </w:t>
      </w:r>
      <w:hyperlink r:id="rId8" w:history="1">
        <w:r w:rsidRPr="007817A0">
          <w:rPr>
            <w:rStyle w:val="Hyperlink"/>
          </w:rPr>
          <w:t>Protected disclosures – guidance on internal policies and procedures</w:t>
        </w:r>
      </w:hyperlink>
      <w:r>
        <w:t>.</w:t>
      </w:r>
    </w:p>
    <w:p w14:paraId="1835BF2A" w14:textId="77777777" w:rsidR="0061364C" w:rsidRDefault="0061364C" w:rsidP="0061364C">
      <w:pPr>
        <w:pStyle w:val="Heading2"/>
      </w:pPr>
      <w:bookmarkStart w:id="12" w:name="_Toc200966297"/>
      <w:bookmarkStart w:id="13" w:name="_Toc200966355"/>
      <w:bookmarkStart w:id="14" w:name="_Toc222995635"/>
      <w:r>
        <w:t>Handling a protected disclosure</w:t>
      </w:r>
      <w:bookmarkEnd w:id="12"/>
      <w:bookmarkEnd w:id="13"/>
      <w:bookmarkEnd w:id="14"/>
    </w:p>
    <w:p w14:paraId="60F3646E" w14:textId="77777777" w:rsidR="0061364C" w:rsidRDefault="0061364C" w:rsidP="0061364C">
      <w:pPr>
        <w:pStyle w:val="BodyText"/>
      </w:pPr>
      <w:r>
        <w:t xml:space="preserve">This section sets out key considerations and steps to take when you receive a protected disclosure. </w:t>
      </w:r>
    </w:p>
    <w:p w14:paraId="7460B64F" w14:textId="77777777" w:rsidR="0061364C" w:rsidRDefault="0061364C" w:rsidP="0061364C">
      <w:pPr>
        <w:pStyle w:val="BodyText"/>
      </w:pPr>
      <w:r>
        <w:t xml:space="preserve">These steps should be taken by the person nominated by your organisation to respond to the disclosure. The nominated person may be the person who received the disclosure, or someone else if that is considered more appropriate. The nominated person should be identified in accordance with your organisation’s procedures, with regard to any potential conflicts of interest and the need to keep the disclosure and the identity of the discloser confidential as far as possible. </w:t>
      </w:r>
    </w:p>
    <w:p w14:paraId="3D3EF98C" w14:textId="77777777" w:rsidR="0061364C" w:rsidRPr="00E007FB" w:rsidRDefault="0061364C" w:rsidP="0061364C">
      <w:pPr>
        <w:pStyle w:val="BodyText"/>
      </w:pPr>
      <w:r>
        <w:t xml:space="preserve">These steps should all be taken within 20 working days of receiving the protected disclosure, unless further time is needed to deal with the matter. At a minimum, you should complete the first step to engage with the discloser within 20 working days, and then keep the discloser informed and regularly updated on progress. </w:t>
      </w:r>
    </w:p>
    <w:p w14:paraId="33F84BA6" w14:textId="77777777" w:rsidR="0061364C" w:rsidRDefault="0061364C" w:rsidP="0061364C">
      <w:pPr>
        <w:pStyle w:val="Heading3"/>
      </w:pPr>
      <w:bookmarkStart w:id="15" w:name="_Toc200966298"/>
      <w:bookmarkStart w:id="16" w:name="_Toc200966356"/>
      <w:bookmarkStart w:id="17" w:name="_Toc222995636"/>
      <w:r>
        <w:t>1) Engage with the discloser</w:t>
      </w:r>
      <w:bookmarkEnd w:id="15"/>
      <w:bookmarkEnd w:id="16"/>
      <w:bookmarkEnd w:id="17"/>
    </w:p>
    <w:p w14:paraId="577AE656" w14:textId="77777777" w:rsidR="0061364C" w:rsidRDefault="0061364C" w:rsidP="0061364C">
      <w:pPr>
        <w:pStyle w:val="BodyText"/>
      </w:pPr>
      <w:r>
        <w:t xml:space="preserve">Once a protected disclosure is received, you should, as a first step, engage with the discloser to acknowledge receipt, consider the disclosure, and check whether they have made the same disclosure elsewhere. You should also confirm your contact details and how the discloser wishes to communicate. </w:t>
      </w:r>
    </w:p>
    <w:p w14:paraId="20E35294" w14:textId="77777777" w:rsidR="0061364C" w:rsidRDefault="0061364C" w:rsidP="0061364C">
      <w:pPr>
        <w:pStyle w:val="BodyText"/>
      </w:pPr>
      <w:r>
        <w:t>This can also serve as an opportunity to explain to the discloser how protected disclosures are handled by your organisation, the nature of the protections they are entitled to, and what to expect in terms of your communications and timeframes while you deal with the matter.</w:t>
      </w:r>
    </w:p>
    <w:p w14:paraId="4BE3A95E" w14:textId="77777777" w:rsidR="0061364C" w:rsidRDefault="0061364C" w:rsidP="0061364C">
      <w:pPr>
        <w:pStyle w:val="BodyText"/>
      </w:pPr>
      <w:r>
        <w:t>You can also talk to the discloser about any concerns or worries they may have about the process, and discuss how to address those concerns and what support you can provide for them.</w:t>
      </w:r>
      <w:r>
        <w:rPr>
          <w:rStyle w:val="FootnoteReference"/>
        </w:rPr>
        <w:footnoteReference w:id="3"/>
      </w:r>
      <w:r>
        <w:t xml:space="preserve"> For employers, this could include a staff member to act as the discloser’s day-to-day support person, as well as access to professional support as necessary and appropriate.</w:t>
      </w:r>
      <w:r>
        <w:rPr>
          <w:rStyle w:val="FootnoteReference"/>
        </w:rPr>
        <w:footnoteReference w:id="4"/>
      </w:r>
      <w:r>
        <w:t xml:space="preserve">  </w:t>
      </w:r>
    </w:p>
    <w:p w14:paraId="77E55E6D" w14:textId="77777777" w:rsidR="0061364C" w:rsidRPr="00E007FB" w:rsidRDefault="0061364C" w:rsidP="0061364C">
      <w:pPr>
        <w:pStyle w:val="BodyText"/>
      </w:pPr>
      <w:r>
        <w:t>If a disclosure is made verbally, you should summarise your understanding of it in writing, provide this to the discloser and seek confirmation that it accurately reflects what they wish to disclose.</w:t>
      </w:r>
    </w:p>
    <w:p w14:paraId="35646F4A" w14:textId="77777777" w:rsidR="0061364C" w:rsidRDefault="0061364C" w:rsidP="0061364C">
      <w:pPr>
        <w:pStyle w:val="Bullet1"/>
        <w:numPr>
          <w:ilvl w:val="0"/>
          <w:numId w:val="0"/>
        </w:numPr>
      </w:pPr>
      <w:r>
        <w:t xml:space="preserve">In all situations, but particularly when the discloser’s concerns are not immediately clear to you, it can be helpful to engage further with them to better understand the nature of their concerns. This may include seeking more information from the discloser.  Depending on the preference of the discloser, a face-to-face meeting may be the best first step. This can provide an opportunity to seek further information where required from the discloser, to explain the protected disclosures process (including how their identity will be kept confidential), and answer any queries the discloser may have. Meeting in person will also send the message that your organisation is taking the concerns seriously. </w:t>
      </w:r>
    </w:p>
    <w:tbl>
      <w:tblPr>
        <w:tblStyle w:val="TableBox"/>
        <w:tblW w:w="9297" w:type="dxa"/>
        <w:tblLayout w:type="fixed"/>
        <w:tblLook w:val="04A0" w:firstRow="1" w:lastRow="0" w:firstColumn="1" w:lastColumn="0" w:noHBand="0" w:noVBand="1"/>
        <w:tblCaption w:val="Box to emphasise text"/>
      </w:tblPr>
      <w:tblGrid>
        <w:gridCol w:w="9297"/>
      </w:tblGrid>
      <w:tr w:rsidR="00043DF9" w14:paraId="263DC306" w14:textId="77777777" w:rsidTr="00A96AAC">
        <w:tc>
          <w:tcPr>
            <w:tcW w:w="9297" w:type="dxa"/>
          </w:tcPr>
          <w:p w14:paraId="1FE5ED09" w14:textId="77777777" w:rsidR="00043DF9" w:rsidRDefault="00043DF9" w:rsidP="00A96AAC">
            <w:pPr>
              <w:pStyle w:val="Headingboxtexttop"/>
            </w:pPr>
            <w:r>
              <w:t>Whistleblowing, emotions and impartiality</w:t>
            </w:r>
          </w:p>
          <w:p w14:paraId="52C337BA" w14:textId="7F217D52" w:rsidR="00043DF9" w:rsidRDefault="00043DF9" w:rsidP="00A96AAC">
            <w:pPr>
              <w:pStyle w:val="Tablesinglespacedparagraph"/>
            </w:pPr>
            <w:r>
              <w:t xml:space="preserve">Whistleblowing, at any stage of the process, can be very stressful and emotional for disclosers. This could be due to several reasons, such as the nature of the disclosure, their proximity to the concerns being raised, or even their own personal and professional experiences. Expression of emotions is human and can and should be expected when receiving a disclosure. This must not impact your objective assessment of the concerns. In other words, emotions do not diminish the validity of ones concerns. </w:t>
            </w:r>
          </w:p>
        </w:tc>
      </w:tr>
    </w:tbl>
    <w:p w14:paraId="3CEEAE76" w14:textId="77777777" w:rsidR="00473AF2" w:rsidRPr="0061364C" w:rsidRDefault="00473AF2" w:rsidP="0061364C">
      <w:pPr>
        <w:pStyle w:val="Bullet1"/>
        <w:numPr>
          <w:ilvl w:val="0"/>
          <w:numId w:val="0"/>
        </w:numPr>
      </w:pPr>
    </w:p>
    <w:p w14:paraId="690E2EBD" w14:textId="77777777" w:rsidR="0061364C" w:rsidRDefault="0061364C" w:rsidP="0061364C">
      <w:pPr>
        <w:pStyle w:val="Heading3"/>
      </w:pPr>
      <w:bookmarkStart w:id="18" w:name="_Toc200966299"/>
      <w:bookmarkStart w:id="19" w:name="_Toc200966357"/>
      <w:bookmarkStart w:id="20" w:name="_Toc222995637"/>
      <w:r>
        <w:t>2) Decide what steps to take</w:t>
      </w:r>
      <w:bookmarkEnd w:id="18"/>
      <w:bookmarkEnd w:id="19"/>
      <w:bookmarkEnd w:id="20"/>
    </w:p>
    <w:p w14:paraId="60240617" w14:textId="77777777" w:rsidR="0061364C" w:rsidRDefault="0061364C" w:rsidP="0061364C">
      <w:pPr>
        <w:pStyle w:val="BodyText"/>
      </w:pPr>
      <w:r>
        <w:t xml:space="preserve">Review the disclosure and consider what action you should take. </w:t>
      </w:r>
    </w:p>
    <w:p w14:paraId="610A7CBE" w14:textId="77777777" w:rsidR="0061364C" w:rsidRDefault="0061364C" w:rsidP="0061364C">
      <w:pPr>
        <w:pStyle w:val="BodyText"/>
      </w:pPr>
      <w:r>
        <w:t xml:space="preserve">The options open to you are to: </w:t>
      </w:r>
    </w:p>
    <w:p w14:paraId="6A605D70" w14:textId="77777777" w:rsidR="0061364C" w:rsidRDefault="0061364C" w:rsidP="0061364C">
      <w:pPr>
        <w:pStyle w:val="Bullet1"/>
      </w:pPr>
      <w:r>
        <w:t>investigate the disclosure;</w:t>
      </w:r>
    </w:p>
    <w:p w14:paraId="0DED786B" w14:textId="77777777" w:rsidR="0061364C" w:rsidRDefault="0061364C" w:rsidP="0061364C">
      <w:pPr>
        <w:pStyle w:val="Bullet1"/>
      </w:pPr>
      <w:r>
        <w:t>take or recommend action to address any serious wrongdoing;</w:t>
      </w:r>
    </w:p>
    <w:p w14:paraId="6A315578" w14:textId="77777777" w:rsidR="0061364C" w:rsidRDefault="0061364C" w:rsidP="0061364C">
      <w:pPr>
        <w:pStyle w:val="Bullet1"/>
      </w:pPr>
      <w:r>
        <w:t>refer the disclosure to another organisation; or</w:t>
      </w:r>
    </w:p>
    <w:p w14:paraId="01A8CA11" w14:textId="77777777" w:rsidR="0061364C" w:rsidRDefault="0061364C" w:rsidP="0061364C">
      <w:pPr>
        <w:pStyle w:val="Bullet1"/>
      </w:pPr>
      <w:r>
        <w:t xml:space="preserve">decide that no action is required.  </w:t>
      </w:r>
    </w:p>
    <w:p w14:paraId="435CB01D" w14:textId="77777777" w:rsidR="0061364C" w:rsidRDefault="0061364C" w:rsidP="0061364C">
      <w:pPr>
        <w:pStyle w:val="BodyText"/>
      </w:pPr>
      <w:r>
        <w:t>If the disclosure contains clear evidence of serious wrongdoing, you may be able to act directly on the information received without conducting an investigation. If the disclosure contains unsupported allegations, or if you are unsure whether serious wrongdoing has occurred, you should consider investigating the matter. Alternatively, you may decide to refer the disclosure to another organisation if you think they are best placed to deal with the matter. It can be helpful to seek legal advice at this stage.</w:t>
      </w:r>
    </w:p>
    <w:p w14:paraId="55DD1C61" w14:textId="77777777" w:rsidR="0061364C" w:rsidRDefault="0061364C" w:rsidP="0061364C">
      <w:pPr>
        <w:pStyle w:val="BodyText"/>
      </w:pPr>
      <w:r>
        <w:t xml:space="preserve">Further information about these options is set out below. </w:t>
      </w:r>
    </w:p>
    <w:p w14:paraId="1E96A45C" w14:textId="77777777" w:rsidR="0061364C" w:rsidRDefault="0061364C" w:rsidP="0061364C">
      <w:pPr>
        <w:pStyle w:val="Heading4"/>
      </w:pPr>
      <w:bookmarkStart w:id="21" w:name="_Toc200966358"/>
      <w:bookmarkStart w:id="22" w:name="_Toc222995638"/>
      <w:r>
        <w:t>Investigating the disclosure</w:t>
      </w:r>
      <w:bookmarkEnd w:id="21"/>
      <w:bookmarkEnd w:id="22"/>
    </w:p>
    <w:p w14:paraId="142C1F36" w14:textId="77777777" w:rsidR="0061364C" w:rsidRDefault="0061364C" w:rsidP="0061364C">
      <w:pPr>
        <w:pStyle w:val="BodyText"/>
      </w:pPr>
      <w:r>
        <w:t>Consider whether there is someone in your organisation, such as a lawyer, board member, or human resources professional who has the knowledge and experience to investigate the matter. Ensure that the assigned investigator has no actual or perceived conflicts of interest with the concerns alleged.</w:t>
      </w:r>
    </w:p>
    <w:p w14:paraId="7BB62086" w14:textId="77777777" w:rsidR="0061364C" w:rsidRDefault="0061364C" w:rsidP="0061364C">
      <w:pPr>
        <w:pStyle w:val="BodyText"/>
      </w:pPr>
      <w:r>
        <w:t>If the alleged serious wrongdoing relates to a senior member of your organisation, is highly complex or technical, could result in significant liability for your organisation, or if you’re concerned that there isn’t anyone in your organisation with the skills and experience to investigate, you might wish to consider engaging an external person, such as lawyer or consultant, to do this on your behalf, or to seek general guidance from the Ombudsman.</w:t>
      </w:r>
    </w:p>
    <w:p w14:paraId="150AA094" w14:textId="77777777" w:rsidR="0061364C" w:rsidRDefault="0061364C" w:rsidP="0061364C">
      <w:pPr>
        <w:pStyle w:val="BodyText"/>
      </w:pPr>
      <w:r>
        <w:t xml:space="preserve">If you plan to conduct an investigation, it can be helpful to refer to the Ombudsman’s </w:t>
      </w:r>
      <w:hyperlink r:id="rId9" w:history="1">
        <w:r w:rsidRPr="007B2C93">
          <w:rPr>
            <w:rStyle w:val="Hyperlink"/>
          </w:rPr>
          <w:t>checklist on protecting whistleblower confidentiality</w:t>
        </w:r>
      </w:hyperlink>
      <w:r>
        <w:t xml:space="preserve"> for guidance on how to keep the discloser’s identity confidential while investigating.</w:t>
      </w:r>
      <w:r>
        <w:rPr>
          <w:rStyle w:val="FootnoteReference"/>
        </w:rPr>
        <w:footnoteReference w:id="5"/>
      </w:r>
      <w:r>
        <w:t xml:space="preserve"> </w:t>
      </w:r>
    </w:p>
    <w:p w14:paraId="53BF16D2" w14:textId="77777777" w:rsidR="0061364C" w:rsidRDefault="0061364C" w:rsidP="0061364C">
      <w:pPr>
        <w:pStyle w:val="BodyText"/>
      </w:pPr>
      <w:r>
        <w:t xml:space="preserve">The aim of the investigation should be to establish the facts of the matter, to consider whether serious wrongdoing or any other matter of concern has occurred and, if so, to make recommendations to address those concerns. </w:t>
      </w:r>
    </w:p>
    <w:p w14:paraId="64DB53F3" w14:textId="77777777" w:rsidR="0061364C" w:rsidRDefault="0061364C" w:rsidP="0061364C">
      <w:pPr>
        <w:pStyle w:val="BodyText"/>
      </w:pPr>
      <w:r>
        <w:t>It can be helpful to have terms of reference for the investigation, setting out the issues that will be considered, how relevant parties will be engaged during the investigation, expected deliverables and timeframes, and how the outcome will be reported on and to whom. Where appropriate, draft terms of reference should be shared with the discloser and other parties to the investigation, with an opportunity for them to provide feedback, before the terms of reference is confirmed. Where appropriate, the finalised terms of reference should also be provided to the discloser and any other relevant party</w:t>
      </w:r>
    </w:p>
    <w:p w14:paraId="4D306D10" w14:textId="77777777" w:rsidR="0061364C" w:rsidRDefault="0061364C" w:rsidP="0061364C">
      <w:pPr>
        <w:pStyle w:val="BodyText"/>
      </w:pPr>
      <w:r>
        <w:t xml:space="preserve">The investigation should follow a fair process and observe natural justice. The investigator should: </w:t>
      </w:r>
    </w:p>
    <w:p w14:paraId="55D4EC35" w14:textId="77777777" w:rsidR="0061364C" w:rsidRDefault="0061364C" w:rsidP="0061364C">
      <w:pPr>
        <w:pStyle w:val="Bullet1"/>
      </w:pPr>
      <w:r>
        <w:t>have access to all relevant information;</w:t>
      </w:r>
    </w:p>
    <w:p w14:paraId="64768E95" w14:textId="77777777" w:rsidR="0061364C" w:rsidRDefault="0061364C" w:rsidP="0061364C">
      <w:pPr>
        <w:pStyle w:val="Bullet1"/>
      </w:pPr>
      <w:r>
        <w:t>act independently and have an open mind;</w:t>
      </w:r>
    </w:p>
    <w:p w14:paraId="3348E876" w14:textId="77777777" w:rsidR="0061364C" w:rsidRDefault="0061364C" w:rsidP="0061364C">
      <w:pPr>
        <w:pStyle w:val="Bullet1"/>
      </w:pPr>
      <w:r>
        <w:t xml:space="preserve">consider all information and evidence carefully; </w:t>
      </w:r>
    </w:p>
    <w:p w14:paraId="0F0AB3CA" w14:textId="77777777" w:rsidR="0061364C" w:rsidRDefault="0061364C" w:rsidP="0061364C">
      <w:pPr>
        <w:pStyle w:val="Bullet1"/>
      </w:pPr>
      <w:r>
        <w:t xml:space="preserve">act without undue delay; and </w:t>
      </w:r>
    </w:p>
    <w:p w14:paraId="289FF359" w14:textId="77777777" w:rsidR="0061364C" w:rsidRDefault="0061364C" w:rsidP="0061364C">
      <w:pPr>
        <w:pStyle w:val="Bullet1"/>
      </w:pPr>
      <w:r>
        <w:t>keep the matter confidential as far as possible, with information only disclosed if necessary to properly review the matter, and with particular attention to the requirement in the PDA to keep the identity of the discloser confidential.</w:t>
      </w:r>
      <w:r>
        <w:rPr>
          <w:rStyle w:val="FootnoteReference"/>
        </w:rPr>
        <w:footnoteReference w:id="6"/>
      </w:r>
      <w:r>
        <w:t xml:space="preserve"> </w:t>
      </w:r>
    </w:p>
    <w:p w14:paraId="1B476232" w14:textId="77777777" w:rsidR="0061364C" w:rsidRDefault="0061364C" w:rsidP="0061364C">
      <w:pPr>
        <w:pStyle w:val="BodyText"/>
      </w:pPr>
      <w:r>
        <w:t xml:space="preserve">The discloser and any other party to the investigation must also be given a fair chance to: </w:t>
      </w:r>
    </w:p>
    <w:p w14:paraId="1C8EC8DF" w14:textId="77777777" w:rsidR="0061364C" w:rsidRDefault="0061364C" w:rsidP="0061364C">
      <w:pPr>
        <w:pStyle w:val="Bullet1"/>
      </w:pPr>
      <w:r>
        <w:t xml:space="preserve">present their position; and </w:t>
      </w:r>
    </w:p>
    <w:p w14:paraId="2CBCC909" w14:textId="77777777" w:rsidR="0061364C" w:rsidRDefault="0061364C" w:rsidP="0061364C">
      <w:pPr>
        <w:pStyle w:val="Bullet1"/>
      </w:pPr>
      <w:r>
        <w:t xml:space="preserve">comment on any adverse findings against them before a final decision is made. </w:t>
      </w:r>
    </w:p>
    <w:p w14:paraId="617936AF" w14:textId="77777777" w:rsidR="0061364C" w:rsidRDefault="0061364C" w:rsidP="0061364C">
      <w:pPr>
        <w:pStyle w:val="BodyText"/>
      </w:pPr>
      <w:r>
        <w:t xml:space="preserve">Providing those involved with an opportunity to comment can help the investigator to: </w:t>
      </w:r>
    </w:p>
    <w:p w14:paraId="0233BE4E" w14:textId="77777777" w:rsidR="0061364C" w:rsidRDefault="0061364C" w:rsidP="0061364C">
      <w:pPr>
        <w:pStyle w:val="Bullet1"/>
      </w:pPr>
      <w:r>
        <w:t xml:space="preserve">check they have the correct facts; and </w:t>
      </w:r>
    </w:p>
    <w:p w14:paraId="16186AF0" w14:textId="77777777" w:rsidR="0061364C" w:rsidRDefault="0061364C" w:rsidP="0061364C">
      <w:pPr>
        <w:pStyle w:val="Bullet1"/>
      </w:pPr>
      <w:r>
        <w:t>identify any major issues that may be of concern to the person and which they may seek to challenge later on if they are not addressed.</w:t>
      </w:r>
    </w:p>
    <w:p w14:paraId="41CB404C" w14:textId="77777777" w:rsidR="0061364C" w:rsidRDefault="0061364C" w:rsidP="0061364C">
      <w:pPr>
        <w:pStyle w:val="BodyText"/>
      </w:pPr>
      <w:r>
        <w:t xml:space="preserve">Once the investigation is complete, consideration should be given to how the outcome is reported back to the discloser. </w:t>
      </w:r>
    </w:p>
    <w:p w14:paraId="2D6E7C8D" w14:textId="77777777" w:rsidR="0061364C" w:rsidRDefault="0061364C" w:rsidP="0061364C">
      <w:pPr>
        <w:pStyle w:val="Heading4"/>
      </w:pPr>
      <w:bookmarkStart w:id="23" w:name="_Toc200966359"/>
      <w:bookmarkStart w:id="24" w:name="_Toc222995639"/>
      <w:r>
        <w:t>Addressing serious wrongdoing</w:t>
      </w:r>
      <w:bookmarkEnd w:id="23"/>
      <w:bookmarkEnd w:id="24"/>
    </w:p>
    <w:p w14:paraId="02ACF801" w14:textId="77777777" w:rsidR="0061364C" w:rsidRDefault="0061364C" w:rsidP="0061364C">
      <w:pPr>
        <w:pStyle w:val="BodyText"/>
      </w:pPr>
      <w:r>
        <w:t>If you receive a disclosure that contains clear evidence of serious wrongdoing or another matter of concern, or if an investigation establishes that serious wrongdoing or another matter of concern has occurred, you should either take action or recommend that action be taken to address the matter. This might include:</w:t>
      </w:r>
    </w:p>
    <w:p w14:paraId="40B2FC7B" w14:textId="77777777" w:rsidR="0061364C" w:rsidRDefault="0061364C" w:rsidP="0061364C">
      <w:pPr>
        <w:pStyle w:val="Bullet1"/>
      </w:pPr>
      <w:r>
        <w:t xml:space="preserve">reconsidering or changing a decision; </w:t>
      </w:r>
    </w:p>
    <w:p w14:paraId="2D8CC46B" w14:textId="77777777" w:rsidR="0061364C" w:rsidRDefault="0061364C" w:rsidP="0061364C">
      <w:pPr>
        <w:pStyle w:val="Bullet1"/>
      </w:pPr>
      <w:r>
        <w:t xml:space="preserve">providing information or correcting records; </w:t>
      </w:r>
    </w:p>
    <w:p w14:paraId="0C57FD2A" w14:textId="77777777" w:rsidR="0061364C" w:rsidRDefault="0061364C" w:rsidP="0061364C">
      <w:pPr>
        <w:pStyle w:val="Bullet1"/>
      </w:pPr>
      <w:r>
        <w:t>providing an apology</w:t>
      </w:r>
      <w:r>
        <w:rPr>
          <w:rStyle w:val="FootnoteReference"/>
        </w:rPr>
        <w:footnoteReference w:id="7"/>
      </w:r>
      <w:r>
        <w:t xml:space="preserve"> or other redress to people who have been affected;  </w:t>
      </w:r>
    </w:p>
    <w:p w14:paraId="2697E1E4" w14:textId="77777777" w:rsidR="0061364C" w:rsidRDefault="0061364C" w:rsidP="0061364C">
      <w:pPr>
        <w:pStyle w:val="Bullet1"/>
      </w:pPr>
      <w:r>
        <w:t xml:space="preserve">updating policies, procedures or practices; </w:t>
      </w:r>
    </w:p>
    <w:p w14:paraId="2BC1B30F" w14:textId="77777777" w:rsidR="0061364C" w:rsidRDefault="0061364C" w:rsidP="0061364C">
      <w:pPr>
        <w:pStyle w:val="Bullet1"/>
      </w:pPr>
      <w:r>
        <w:t>providing staff training or coaching;</w:t>
      </w:r>
    </w:p>
    <w:p w14:paraId="40FF0803" w14:textId="77777777" w:rsidR="0061364C" w:rsidRDefault="0061364C" w:rsidP="0061364C">
      <w:pPr>
        <w:pStyle w:val="Bullet1"/>
      </w:pPr>
      <w:r>
        <w:t>improving staff oversight and monitoring;</w:t>
      </w:r>
    </w:p>
    <w:p w14:paraId="12E33276" w14:textId="77777777" w:rsidR="0061364C" w:rsidRDefault="0061364C" w:rsidP="0061364C">
      <w:pPr>
        <w:pStyle w:val="Bullet1"/>
      </w:pPr>
      <w:r>
        <w:t xml:space="preserve">initiating disciplinary proceedings; </w:t>
      </w:r>
    </w:p>
    <w:p w14:paraId="31138467" w14:textId="77777777" w:rsidR="0061364C" w:rsidRDefault="0061364C" w:rsidP="0061364C">
      <w:pPr>
        <w:pStyle w:val="Bullet1"/>
      </w:pPr>
      <w:r>
        <w:t xml:space="preserve">increasing awareness of policies that can help prevent serious wrongdoing, such as codes of conduct;  </w:t>
      </w:r>
    </w:p>
    <w:p w14:paraId="54CB2B59" w14:textId="77777777" w:rsidR="0061364C" w:rsidRDefault="0061364C" w:rsidP="0061364C">
      <w:pPr>
        <w:pStyle w:val="Bullet1"/>
      </w:pPr>
      <w:r>
        <w:t xml:space="preserve">notifying an appropriate regulatory or oversight body (if the matter is related to regulatory compliance, or misconduct by a member of a regulated profession); </w:t>
      </w:r>
    </w:p>
    <w:p w14:paraId="114ADD8F" w14:textId="77777777" w:rsidR="0061364C" w:rsidRDefault="0061364C" w:rsidP="0061364C">
      <w:pPr>
        <w:pStyle w:val="Bullet1"/>
      </w:pPr>
      <w:r>
        <w:t xml:space="preserve">taking regulatory or oversight action (if you are an appropriate authority); or </w:t>
      </w:r>
    </w:p>
    <w:p w14:paraId="002283D4" w14:textId="77777777" w:rsidR="0061364C" w:rsidRDefault="0061364C" w:rsidP="0061364C">
      <w:pPr>
        <w:pStyle w:val="Bullet1"/>
      </w:pPr>
      <w:r>
        <w:t>(where there has been an offence) notifying a law enforcement agency such as Police or the Serious Fraud Office.</w:t>
      </w:r>
    </w:p>
    <w:p w14:paraId="47281D6E" w14:textId="77777777" w:rsidR="0061364C" w:rsidRDefault="0061364C" w:rsidP="0061364C">
      <w:pPr>
        <w:pStyle w:val="Heading4"/>
      </w:pPr>
      <w:bookmarkStart w:id="25" w:name="_Toc200966360"/>
      <w:bookmarkStart w:id="26" w:name="_Toc222995640"/>
      <w:r>
        <w:t>Referring the disclosure</w:t>
      </w:r>
      <w:bookmarkEnd w:id="25"/>
      <w:bookmarkEnd w:id="26"/>
    </w:p>
    <w:p w14:paraId="68FDCE64" w14:textId="77777777" w:rsidR="0061364C" w:rsidRDefault="0061364C" w:rsidP="0061364C">
      <w:pPr>
        <w:pStyle w:val="BodyText"/>
      </w:pPr>
      <w:r>
        <w:t xml:space="preserve">If you are the employer, you can refer the protected disclosure to an appropriate authority. </w:t>
      </w:r>
    </w:p>
    <w:p w14:paraId="6BE3BADA" w14:textId="77777777" w:rsidR="0061364C" w:rsidRDefault="0061364C" w:rsidP="0061364C">
      <w:pPr>
        <w:pStyle w:val="BodyText"/>
      </w:pPr>
      <w:r>
        <w:t xml:space="preserve">If you are an appropriate authority, you can refer the protected disclosure to the employer or to another appropriate authority. </w:t>
      </w:r>
    </w:p>
    <w:p w14:paraId="1A8425F3" w14:textId="77777777" w:rsidR="0061364C" w:rsidRDefault="0061364C" w:rsidP="0061364C">
      <w:pPr>
        <w:pStyle w:val="BodyText"/>
      </w:pPr>
      <w:r>
        <w:t>There are many reasons you may consider referring a protected disclosure, such as:</w:t>
      </w:r>
    </w:p>
    <w:p w14:paraId="5AB08C5B" w14:textId="77777777" w:rsidR="0061364C" w:rsidRDefault="0061364C" w:rsidP="0061364C">
      <w:pPr>
        <w:pStyle w:val="Bullet1"/>
      </w:pPr>
      <w:r>
        <w:t>you may not have the best knowledge, expertise or resources to consider the matter;</w:t>
      </w:r>
    </w:p>
    <w:p w14:paraId="420557EC" w14:textId="77777777" w:rsidR="0061364C" w:rsidRDefault="0061364C" w:rsidP="0061364C">
      <w:pPr>
        <w:pStyle w:val="Bullet1"/>
      </w:pPr>
      <w:r>
        <w:t>it may be more efficient and effective for another organisation to consider the matter (including the employer concerned);</w:t>
      </w:r>
    </w:p>
    <w:p w14:paraId="620AE2E8" w14:textId="77777777" w:rsidR="0061364C" w:rsidRDefault="0061364C" w:rsidP="0061364C">
      <w:pPr>
        <w:pStyle w:val="Bullet1"/>
      </w:pPr>
      <w:r>
        <w:t>you may not have jurisdiction or power to investigate the alleged serious wrongdoing (for example, if the serious wrongdoing is an offence);</w:t>
      </w:r>
    </w:p>
    <w:p w14:paraId="56AFC6E1" w14:textId="77777777" w:rsidR="0061364C" w:rsidRDefault="0061364C" w:rsidP="0061364C">
      <w:pPr>
        <w:pStyle w:val="Bullet1"/>
      </w:pPr>
      <w:r>
        <w:t>you may not have the power to discipline an alleged perpetrator; or</w:t>
      </w:r>
    </w:p>
    <w:p w14:paraId="306D9575" w14:textId="77777777" w:rsidR="0061364C" w:rsidRDefault="0061364C" w:rsidP="0061364C">
      <w:pPr>
        <w:pStyle w:val="Bullet1"/>
      </w:pPr>
      <w:r>
        <w:t>if you are the employer, you may be concerned that the disclosure alleges serious wrongdoing that is pervasive or that implicates the management of your organisation.</w:t>
      </w:r>
    </w:p>
    <w:p w14:paraId="770B7CAC" w14:textId="77777777" w:rsidR="0061364C" w:rsidRDefault="0061364C" w:rsidP="0061364C">
      <w:pPr>
        <w:pStyle w:val="BodyText"/>
      </w:pPr>
      <w:hyperlink r:id="rId10" w:history="1">
        <w:r w:rsidRPr="000574BA">
          <w:rPr>
            <w:rStyle w:val="Hyperlink"/>
          </w:rPr>
          <w:t>Schedule 2</w:t>
        </w:r>
      </w:hyperlink>
      <w:r>
        <w:t xml:space="preserve"> to the PDA provides examples of appropriate authorities who you may refer a matter to for particular concerns. If you are unsure which appropriate authority is best placed to consider the matter, you can contact the Ombudsman for advice and guidance.</w:t>
      </w:r>
    </w:p>
    <w:p w14:paraId="0EBAC427" w14:textId="77777777" w:rsidR="0061364C" w:rsidRDefault="0061364C" w:rsidP="0061364C">
      <w:pPr>
        <w:pStyle w:val="BodyText"/>
      </w:pPr>
      <w:r>
        <w:t xml:space="preserve">Before referring a disclosure you </w:t>
      </w:r>
      <w:r>
        <w:rPr>
          <w:b/>
        </w:rPr>
        <w:t>must</w:t>
      </w:r>
      <w:r>
        <w:t xml:space="preserve"> consult with both the discloser and with the intended recipient of any proposed referral.</w:t>
      </w:r>
    </w:p>
    <w:p w14:paraId="2E03D4C6" w14:textId="77777777" w:rsidR="0061364C" w:rsidRDefault="0061364C" w:rsidP="0061364C">
      <w:pPr>
        <w:pStyle w:val="BodyText"/>
      </w:pPr>
      <w:r>
        <w:t xml:space="preserve">If you are an appropriate authority, and you refer the disclosure to the employer, then the employer must inform you of how it has dealt, or is dealing, with the matter. </w:t>
      </w:r>
    </w:p>
    <w:p w14:paraId="64068A24" w14:textId="77777777" w:rsidR="0061364C" w:rsidRDefault="0061364C" w:rsidP="0061364C">
      <w:pPr>
        <w:pStyle w:val="Heading4"/>
      </w:pPr>
      <w:bookmarkStart w:id="27" w:name="_Toc200966361"/>
      <w:bookmarkStart w:id="28" w:name="_Toc222995641"/>
      <w:r>
        <w:t>Taking no further action</w:t>
      </w:r>
      <w:bookmarkEnd w:id="27"/>
      <w:bookmarkEnd w:id="28"/>
    </w:p>
    <w:p w14:paraId="69EE7B97" w14:textId="77777777" w:rsidR="0061364C" w:rsidRDefault="0061364C" w:rsidP="0061364C">
      <w:pPr>
        <w:pStyle w:val="BodyText"/>
      </w:pPr>
      <w:r>
        <w:t>In some circumstances, you may decide that no action is required. This may be because:</w:t>
      </w:r>
    </w:p>
    <w:p w14:paraId="7D083B00" w14:textId="77777777" w:rsidR="0061364C" w:rsidRDefault="0061364C" w:rsidP="0061364C">
      <w:pPr>
        <w:pStyle w:val="Bullet1"/>
      </w:pPr>
      <w:r>
        <w:t xml:space="preserve">the requirements of the PDA are not met, namely: </w:t>
      </w:r>
    </w:p>
    <w:p w14:paraId="3FCC6576" w14:textId="77777777" w:rsidR="0061364C" w:rsidRDefault="0061364C" w:rsidP="0061364C">
      <w:pPr>
        <w:pStyle w:val="Bullet2"/>
      </w:pPr>
      <w:r>
        <w:t>the person who has made the disclosure does not meet the description of ‘discloser’</w:t>
      </w:r>
      <w:r>
        <w:rPr>
          <w:rStyle w:val="FootnoteReference"/>
        </w:rPr>
        <w:footnoteReference w:id="8"/>
      </w:r>
      <w:r>
        <w:t xml:space="preserve"> (ie they do not work for the organisation concerned);</w:t>
      </w:r>
    </w:p>
    <w:p w14:paraId="1F5D4074" w14:textId="77777777" w:rsidR="0061364C" w:rsidRDefault="0061364C" w:rsidP="0061364C">
      <w:pPr>
        <w:pStyle w:val="Bullet2"/>
      </w:pPr>
      <w:r>
        <w:t xml:space="preserve">the discloser does not have reasonable grounds to believe there is serious wrongdoing; </w:t>
      </w:r>
    </w:p>
    <w:p w14:paraId="577E5AC9" w14:textId="77777777" w:rsidR="0061364C" w:rsidRDefault="0061364C" w:rsidP="0061364C">
      <w:pPr>
        <w:pStyle w:val="Bullet2"/>
      </w:pPr>
      <w:r>
        <w:t xml:space="preserve">the discloser has not made a disclosure in accordance with the requirements in the PDA—to an appropriate authority, to the head or deputy head of their employer, or in accordance with their employer’s internal procedures; </w:t>
      </w:r>
    </w:p>
    <w:p w14:paraId="256DB726" w14:textId="77777777" w:rsidR="0061364C" w:rsidRDefault="0061364C" w:rsidP="0061364C">
      <w:pPr>
        <w:pStyle w:val="Bullet2"/>
      </w:pPr>
      <w:r>
        <w:t xml:space="preserve">the disclosure has been made in bad faith; or </w:t>
      </w:r>
    </w:p>
    <w:p w14:paraId="7D17F662" w14:textId="77777777" w:rsidR="0061364C" w:rsidRDefault="0061364C" w:rsidP="0061364C">
      <w:pPr>
        <w:pStyle w:val="Bullet2"/>
      </w:pPr>
      <w:r>
        <w:t>the substance of the disclosure does not meet the description of ‘serious wrongdoing’</w:t>
      </w:r>
      <w:r>
        <w:rPr>
          <w:rStyle w:val="FootnoteReference"/>
        </w:rPr>
        <w:footnoteReference w:id="9"/>
      </w:r>
      <w:r>
        <w:t xml:space="preserve"> under the PDA;</w:t>
      </w:r>
    </w:p>
    <w:p w14:paraId="1B53F5AE" w14:textId="77777777" w:rsidR="0061364C" w:rsidRDefault="0061364C" w:rsidP="0061364C">
      <w:pPr>
        <w:pStyle w:val="Bullet1"/>
      </w:pPr>
      <w:r>
        <w:t>the length of time between the alleged serious wrongdoing and the disclosure makes an investigation impracticable or undesirable; or</w:t>
      </w:r>
    </w:p>
    <w:p w14:paraId="7F04D339" w14:textId="77777777" w:rsidR="0061364C" w:rsidRDefault="0061364C" w:rsidP="0061364C">
      <w:pPr>
        <w:pStyle w:val="Bullet1"/>
      </w:pPr>
      <w:r>
        <w:t>the matter that the discloser has raised is better addressed by other means.</w:t>
      </w:r>
    </w:p>
    <w:p w14:paraId="772828B1" w14:textId="77777777" w:rsidR="0061364C" w:rsidRDefault="0061364C" w:rsidP="0061364C">
      <w:pPr>
        <w:pStyle w:val="BodyText"/>
      </w:pPr>
      <w:r>
        <w:t xml:space="preserve">Even if you do not consider that the concerns raised amount to ‘serious wrongdoing’ as defined in the PDA (or that other requirements of the PDA have been met), you should still consider whether to take action. Where concerns about conduct are raised, an organisation should be committed to resolving those concerns regardless of their severity, and whether or not the PDA applies. </w:t>
      </w:r>
    </w:p>
    <w:p w14:paraId="5AADF939" w14:textId="77777777" w:rsidR="0061364C" w:rsidRDefault="0061364C" w:rsidP="0061364C">
      <w:pPr>
        <w:pStyle w:val="BodyText"/>
      </w:pPr>
      <w:r>
        <w:t xml:space="preserve">If you decide that no further action is required, you must inform the discloser of your decision and your reasons for making the decision. </w:t>
      </w:r>
    </w:p>
    <w:p w14:paraId="5F3EE156" w14:textId="77777777" w:rsidR="0061364C" w:rsidRDefault="0061364C" w:rsidP="0061364C">
      <w:pPr>
        <w:pStyle w:val="BodyText"/>
      </w:pPr>
      <w:r>
        <w:t xml:space="preserve">It is also good practice to: </w:t>
      </w:r>
    </w:p>
    <w:p w14:paraId="0A579416" w14:textId="77777777" w:rsidR="0061364C" w:rsidRDefault="0061364C" w:rsidP="0061364C">
      <w:pPr>
        <w:pStyle w:val="Bullet1"/>
      </w:pPr>
      <w:r>
        <w:t>advise the discloser of their ability to make a disclosure to an appropriate authority</w:t>
      </w:r>
      <w:r>
        <w:rPr>
          <w:rStyle w:val="FootnoteReference"/>
        </w:rPr>
        <w:footnoteReference w:id="10"/>
      </w:r>
      <w:r>
        <w:t>if they are dissatisfied with your decision and consider the alleged serious wrongdoing remains unaddressed; and</w:t>
      </w:r>
    </w:p>
    <w:p w14:paraId="5CD8BC6C" w14:textId="77777777" w:rsidR="0061364C" w:rsidRDefault="0061364C" w:rsidP="0061364C">
      <w:pPr>
        <w:pStyle w:val="Bullet1"/>
      </w:pPr>
      <w:r>
        <w:t xml:space="preserve">if your organisation is a public sector agency, advise the discloser that they can make a complaint to the head of your organisation and then to the Ombudsman if they are dissatisfied with your decision. </w:t>
      </w:r>
    </w:p>
    <w:p w14:paraId="01C1706D" w14:textId="77777777" w:rsidR="0061364C" w:rsidRDefault="0061364C" w:rsidP="0061364C">
      <w:pPr>
        <w:pStyle w:val="Heading3"/>
      </w:pPr>
      <w:bookmarkStart w:id="29" w:name="_Toc200966300"/>
      <w:bookmarkStart w:id="30" w:name="_Toc200966362"/>
      <w:bookmarkStart w:id="31" w:name="_Toc222995642"/>
      <w:r>
        <w:t>3) Inform the discloser</w:t>
      </w:r>
      <w:bookmarkEnd w:id="29"/>
      <w:bookmarkEnd w:id="30"/>
      <w:bookmarkEnd w:id="31"/>
    </w:p>
    <w:p w14:paraId="7502BC5E" w14:textId="77777777" w:rsidR="0061364C" w:rsidRDefault="0061364C" w:rsidP="0061364C">
      <w:pPr>
        <w:pStyle w:val="BodyText"/>
      </w:pPr>
      <w:r>
        <w:t xml:space="preserve">Once you have engaged with the discloser and decided what steps to take, you should inform the discloser what you have done (or are planning to do) to deal with the matter, including reasons for the steps you have taken. </w:t>
      </w:r>
    </w:p>
    <w:p w14:paraId="050159E4" w14:textId="77777777" w:rsidR="0061364C" w:rsidRDefault="0061364C" w:rsidP="0061364C">
      <w:pPr>
        <w:pStyle w:val="Heading1"/>
      </w:pPr>
      <w:bookmarkStart w:id="32" w:name="_Toc200966301"/>
      <w:bookmarkStart w:id="33" w:name="_Toc200966363"/>
      <w:bookmarkStart w:id="34" w:name="_Toc222995643"/>
      <w:r>
        <w:t>Protections for disclosers</w:t>
      </w:r>
      <w:bookmarkEnd w:id="32"/>
      <w:bookmarkEnd w:id="33"/>
      <w:bookmarkEnd w:id="34"/>
    </w:p>
    <w:p w14:paraId="1FE22E10" w14:textId="77777777" w:rsidR="0061364C" w:rsidRDefault="0061364C" w:rsidP="0061364C">
      <w:pPr>
        <w:pStyle w:val="BodyText"/>
      </w:pPr>
      <w:r>
        <w:t xml:space="preserve">A person who makes a protected disclosure in accordance with the PDA has legal protections against: </w:t>
      </w:r>
    </w:p>
    <w:p w14:paraId="430DD210" w14:textId="77777777" w:rsidR="0061364C" w:rsidRDefault="0061364C" w:rsidP="0061364C">
      <w:pPr>
        <w:pStyle w:val="Bullet1"/>
      </w:pPr>
      <w:r>
        <w:t xml:space="preserve">being identified as having made a disclosure; </w:t>
      </w:r>
    </w:p>
    <w:p w14:paraId="044076C6" w14:textId="77777777" w:rsidR="0061364C" w:rsidRDefault="0061364C" w:rsidP="0061364C">
      <w:pPr>
        <w:pStyle w:val="Bullet1"/>
      </w:pPr>
      <w:r>
        <w:t xml:space="preserve">being retaliated against by their employer for having made a disclosure; </w:t>
      </w:r>
    </w:p>
    <w:p w14:paraId="38193DEE" w14:textId="77777777" w:rsidR="0061364C" w:rsidRDefault="0061364C" w:rsidP="0061364C">
      <w:pPr>
        <w:pStyle w:val="Bullet1"/>
      </w:pPr>
      <w:r>
        <w:t xml:space="preserve">being victimised by anyone for having made a protected disclosure; and </w:t>
      </w:r>
    </w:p>
    <w:p w14:paraId="3B69AF8C" w14:textId="77777777" w:rsidR="0061364C" w:rsidRDefault="0061364C" w:rsidP="0061364C">
      <w:pPr>
        <w:pStyle w:val="Bullet1"/>
      </w:pPr>
      <w:r>
        <w:t xml:space="preserve">any civil, criminal or employment proceedings that arise because they have made a protected disclosure. </w:t>
      </w:r>
    </w:p>
    <w:p w14:paraId="608070C3" w14:textId="77777777" w:rsidR="0061364C" w:rsidRDefault="0061364C" w:rsidP="0061364C">
      <w:pPr>
        <w:pStyle w:val="BodyText"/>
      </w:pPr>
      <w:r>
        <w:t>This section discusses your obligations to ensure disclosers are protected.</w:t>
      </w:r>
    </w:p>
    <w:p w14:paraId="3A72E00D" w14:textId="77777777" w:rsidR="0061364C" w:rsidRDefault="0061364C" w:rsidP="0061364C">
      <w:pPr>
        <w:pStyle w:val="Heading2"/>
      </w:pPr>
      <w:bookmarkStart w:id="35" w:name="_Toc200966302"/>
      <w:bookmarkStart w:id="36" w:name="_Toc200966364"/>
      <w:bookmarkStart w:id="37" w:name="_Toc222995644"/>
      <w:r>
        <w:t>Confidentiality</w:t>
      </w:r>
      <w:bookmarkEnd w:id="35"/>
      <w:bookmarkEnd w:id="36"/>
      <w:bookmarkEnd w:id="37"/>
    </w:p>
    <w:p w14:paraId="640A2C2F" w14:textId="77777777" w:rsidR="0061364C" w:rsidRDefault="0061364C" w:rsidP="0061364C">
      <w:pPr>
        <w:pStyle w:val="BodyText"/>
      </w:pPr>
      <w:r>
        <w:t xml:space="preserve">A person who makes a protected disclosure is entitled to confidentiality of their identity. This means that you, as a receiver, have an obligation to exercise your best endeavours to avoid revealing any information that might identify a person as having made a disclosure. </w:t>
      </w:r>
    </w:p>
    <w:p w14:paraId="754E02A1" w14:textId="77777777" w:rsidR="0061364C" w:rsidRDefault="0061364C" w:rsidP="0061364C">
      <w:pPr>
        <w:pStyle w:val="BodyText"/>
      </w:pPr>
      <w:r>
        <w:t xml:space="preserve">When handling a disclosure, you should consider: </w:t>
      </w:r>
    </w:p>
    <w:p w14:paraId="4CC7C87C" w14:textId="77777777" w:rsidR="0061364C" w:rsidRDefault="0061364C" w:rsidP="0061364C">
      <w:pPr>
        <w:pStyle w:val="Bullet1"/>
      </w:pPr>
      <w:r>
        <w:t xml:space="preserve">who has access to information about the disclosure and the discloser, and how access to this information can be limited; </w:t>
      </w:r>
    </w:p>
    <w:p w14:paraId="27630967" w14:textId="77777777" w:rsidR="0061364C" w:rsidRDefault="0061364C" w:rsidP="0061364C">
      <w:pPr>
        <w:pStyle w:val="Bullet1"/>
      </w:pPr>
      <w:r>
        <w:t xml:space="preserve">how to communicate with the discloser without identifying them to their colleagues or manager; </w:t>
      </w:r>
    </w:p>
    <w:p w14:paraId="1D6C6B6B" w14:textId="77777777" w:rsidR="0061364C" w:rsidRDefault="0061364C" w:rsidP="0061364C">
      <w:pPr>
        <w:pStyle w:val="Bullet1"/>
      </w:pPr>
      <w:r>
        <w:t>how to investigate a disclosure or take action to address serious wrongdoing without inadvertently revealing the identity of the discloser; and</w:t>
      </w:r>
    </w:p>
    <w:p w14:paraId="6361A7C8" w14:textId="77777777" w:rsidR="0061364C" w:rsidRDefault="0061364C" w:rsidP="0061364C">
      <w:pPr>
        <w:pStyle w:val="Bullet1"/>
      </w:pPr>
      <w:r>
        <w:t>if you need to interview the discloser as part of an investigation, how to do so without identifying them as the discloser.</w:t>
      </w:r>
    </w:p>
    <w:p w14:paraId="346EA189" w14:textId="77777777" w:rsidR="0061364C" w:rsidRDefault="0061364C" w:rsidP="0061364C">
      <w:pPr>
        <w:pStyle w:val="BodyText"/>
      </w:pPr>
      <w:r>
        <w:t>Further guidance is available in</w:t>
      </w:r>
      <w:r w:rsidRPr="0050225C">
        <w:t xml:space="preserve"> the Ombudsman’s </w:t>
      </w:r>
      <w:hyperlink r:id="rId11" w:history="1">
        <w:r w:rsidRPr="0050225C">
          <w:rPr>
            <w:rStyle w:val="Hyperlink"/>
          </w:rPr>
          <w:t>Checklist: Protecting whistleblower confidentiality</w:t>
        </w:r>
      </w:hyperlink>
      <w:r w:rsidRPr="0050225C">
        <w:t>.</w:t>
      </w:r>
    </w:p>
    <w:p w14:paraId="1337E49B" w14:textId="77777777" w:rsidR="0061364C" w:rsidRDefault="0061364C" w:rsidP="0061364C">
      <w:pPr>
        <w:pStyle w:val="BodyText"/>
      </w:pPr>
      <w:r>
        <w:t xml:space="preserve">Protection of the discloser’s identity is not absolute—it can be waived with the consent of the discloser, or in situations where you believe it to be </w:t>
      </w:r>
      <w:r w:rsidRPr="0096057E">
        <w:rPr>
          <w:rStyle w:val="Emphasis"/>
        </w:rPr>
        <w:t xml:space="preserve">essential </w:t>
      </w:r>
      <w:r>
        <w:t xml:space="preserve">to identify the discloser in order to effectively investigate the matter, to comply with natural justice requirements, to assist an investigation by law enforcement, or to prevent a serious risk to health and safety or to the environment. The requirement that you believe it to be essential to identify a discloser is a high threshold—you should pursue all other available options before relying on this provision. This might look like providing a summary or redacted version of the disclosure to a person under investigation to comply with the principles of natural justice, or gathering information or evidence about the matter of concern from other sources. For example, if the concern was about monetary fraud, you could look at financial records as a first step to identify a basis for investigation without necessarily revealing there had been a protected disclosure.   </w:t>
      </w:r>
    </w:p>
    <w:p w14:paraId="6249CDFF" w14:textId="77777777" w:rsidR="0061364C" w:rsidRPr="008C4F8A" w:rsidRDefault="0061364C" w:rsidP="0061364C">
      <w:pPr>
        <w:pStyle w:val="BodyText"/>
      </w:pPr>
      <w:r>
        <w:t xml:space="preserve">If you believe it is essential to identify the discloser to effectively investigate the matter, or to comply with the principles of natural justice, you </w:t>
      </w:r>
      <w:r>
        <w:rPr>
          <w:b/>
        </w:rPr>
        <w:t>must</w:t>
      </w:r>
      <w:r>
        <w:t xml:space="preserve"> consult with the discloser before identifying them. If you believe it is essential to identify the discloser to assist a law enforcement investigation, or to prevent a serious risk to health and safety or the environment, you </w:t>
      </w:r>
      <w:r>
        <w:rPr>
          <w:b/>
        </w:rPr>
        <w:t>should</w:t>
      </w:r>
      <w:r>
        <w:t xml:space="preserve"> attempt to consult the discloser first – however, if that is impractical, you may identify them and inform them that you have done so afterwards.</w:t>
      </w:r>
    </w:p>
    <w:p w14:paraId="4470989C" w14:textId="77777777" w:rsidR="0061364C" w:rsidRDefault="0061364C" w:rsidP="0061364C">
      <w:pPr>
        <w:pStyle w:val="BodyText"/>
      </w:pPr>
      <w:r>
        <w:t xml:space="preserve">You can ask the Ombudsman for further guidance about the duty of confidentiality at any time. </w:t>
      </w:r>
    </w:p>
    <w:p w14:paraId="2E9B84DF" w14:textId="77777777" w:rsidR="0061364C" w:rsidRDefault="0061364C" w:rsidP="0061364C">
      <w:pPr>
        <w:pStyle w:val="BodyText"/>
      </w:pPr>
      <w:r>
        <w:t xml:space="preserve">Revealing a discloser’s identity in breach of your confidentiality obligations is an unlawful interference with their privacy under the Privacy Act 2020. If a discloser is concerned that their confidentiality protection has been breached, they can complain to the Privacy Commissioner. The Privacy Commissioner may investigate the alleged breach.  </w:t>
      </w:r>
    </w:p>
    <w:p w14:paraId="1F451D94" w14:textId="77777777" w:rsidR="0061364C" w:rsidRDefault="0061364C" w:rsidP="0061364C">
      <w:pPr>
        <w:pStyle w:val="BodyText"/>
      </w:pPr>
      <w:r>
        <w:t>If your organisation is a public sector agency, a request for information under the Official Information Act 1982 or Local Government Official Information and Meetings Act 1987 may be refused if the information might identify the discloser.</w:t>
      </w:r>
    </w:p>
    <w:p w14:paraId="398C83F1" w14:textId="77777777" w:rsidR="0061364C" w:rsidRDefault="0061364C" w:rsidP="0061364C">
      <w:pPr>
        <w:pStyle w:val="Heading3"/>
      </w:pPr>
      <w:bookmarkStart w:id="38" w:name="_Toc200966303"/>
      <w:bookmarkStart w:id="39" w:name="_Toc200966365"/>
      <w:bookmarkStart w:id="40" w:name="_Toc222995645"/>
      <w:r>
        <w:t>Anonymous disclosures</w:t>
      </w:r>
      <w:bookmarkEnd w:id="38"/>
      <w:bookmarkEnd w:id="39"/>
      <w:bookmarkEnd w:id="40"/>
    </w:p>
    <w:p w14:paraId="5EAE91D6" w14:textId="77777777" w:rsidR="0061364C" w:rsidRDefault="0061364C" w:rsidP="0061364C">
      <w:pPr>
        <w:pStyle w:val="BodyText"/>
      </w:pPr>
      <w:r>
        <w:t xml:space="preserve">People are able to make an anonymous protected disclosure to their employer, or to an appropriate authority. This is envisaged in section 30(3) of the PDA, and reflected in the Ombudsman’s </w:t>
      </w:r>
      <w:hyperlink r:id="rId12" w:history="1">
        <w:r w:rsidRPr="00C21C25">
          <w:rPr>
            <w:rStyle w:val="Hyperlink"/>
          </w:rPr>
          <w:t>guidance on PDA policies and procedures</w:t>
        </w:r>
      </w:hyperlink>
      <w:r>
        <w:t xml:space="preserve"> which says organisations should ‘</w:t>
      </w:r>
      <w:r w:rsidRPr="00C21C25">
        <w:rPr>
          <w:rStyle w:val="Quotationwithinthesentence"/>
        </w:rPr>
        <w:t>anticipate receiving anonymous disclosures of information, and suggest ways in which this can be done</w:t>
      </w:r>
      <w:r>
        <w:rPr>
          <w:rStyle w:val="Quotationwithinthesentence"/>
        </w:rPr>
        <w:t>’</w:t>
      </w:r>
      <w:r w:rsidRPr="00C21C25">
        <w:rPr>
          <w:rStyle w:val="Quotationwithinthesentence"/>
        </w:rPr>
        <w:t>.</w:t>
      </w:r>
      <w:r>
        <w:t xml:space="preserve"> </w:t>
      </w:r>
    </w:p>
    <w:p w14:paraId="6A1D9E0C" w14:textId="77777777" w:rsidR="0061364C" w:rsidRDefault="0061364C" w:rsidP="0061364C">
      <w:pPr>
        <w:pStyle w:val="BodyText"/>
      </w:pPr>
      <w:r>
        <w:t>The fact that a disclosure has been made anonymously should not be considered an automatic barrier to dealing with the disclosure. In some cases it can be challenging to investigate an anonymous disclosure. For example, you may not be able to contact the discloser to seek information necessary to properly investigate the matter. However, in other instances you may be able to gain sufficient information from the disclosure and/or alternative sources for an investigation to proceed.</w:t>
      </w:r>
    </w:p>
    <w:p w14:paraId="0D45345D" w14:textId="77777777" w:rsidR="0061364C" w:rsidRDefault="0061364C" w:rsidP="0061364C">
      <w:pPr>
        <w:pStyle w:val="Heading2"/>
      </w:pPr>
      <w:bookmarkStart w:id="41" w:name="_Toc200966304"/>
      <w:bookmarkStart w:id="42" w:name="_Toc200966366"/>
      <w:bookmarkStart w:id="43" w:name="_Toc222995646"/>
      <w:r>
        <w:t>Protection against retaliation and victimisation</w:t>
      </w:r>
      <w:bookmarkEnd w:id="41"/>
      <w:bookmarkEnd w:id="42"/>
      <w:bookmarkEnd w:id="43"/>
    </w:p>
    <w:p w14:paraId="32F68CE2" w14:textId="77777777" w:rsidR="0061364C" w:rsidRDefault="0061364C" w:rsidP="0061364C">
      <w:pPr>
        <w:pStyle w:val="BodyText"/>
      </w:pPr>
      <w:r>
        <w:t>If you are the employer, you have a legal duty not to retaliate in any way against the person who made the disclosure, or to treat them less favourably than any other person. If your organisation retaliates against an employee for having made a protected disclosure, the employee has a personal grievance under section 103(1)k) of the Employment Relations Act.</w:t>
      </w:r>
    </w:p>
    <w:p w14:paraId="37877D50" w14:textId="77777777" w:rsidR="0061364C" w:rsidRDefault="0061364C" w:rsidP="0061364C">
      <w:pPr>
        <w:pStyle w:val="BodyText"/>
      </w:pPr>
      <w:r>
        <w:t xml:space="preserve">Retaliation includes: </w:t>
      </w:r>
    </w:p>
    <w:p w14:paraId="63DF3D47" w14:textId="77777777" w:rsidR="0061364C" w:rsidRDefault="0061364C" w:rsidP="0061364C">
      <w:pPr>
        <w:pStyle w:val="Bullet1"/>
      </w:pPr>
      <w:r>
        <w:t>dismissal or retirement;</w:t>
      </w:r>
    </w:p>
    <w:p w14:paraId="063EB71F" w14:textId="77777777" w:rsidR="0061364C" w:rsidRDefault="0061364C" w:rsidP="0061364C">
      <w:pPr>
        <w:pStyle w:val="Bullet1"/>
      </w:pPr>
      <w:r>
        <w:t>not providing the discloser the same opportunities as other staff, such as in their terms and conditions, benefits, or opportunities for training, promotion or transfer; and</w:t>
      </w:r>
    </w:p>
    <w:p w14:paraId="2F03CA13" w14:textId="77777777" w:rsidR="0061364C" w:rsidRDefault="0061364C" w:rsidP="0061364C">
      <w:pPr>
        <w:pStyle w:val="Bullet1"/>
      </w:pPr>
      <w:r>
        <w:t xml:space="preserve">treating the discloser differently from other staff to their detriment or disadvantage. </w:t>
      </w:r>
    </w:p>
    <w:p w14:paraId="3F6BFC04" w14:textId="77777777" w:rsidR="0061364C" w:rsidRDefault="0061364C" w:rsidP="0061364C">
      <w:pPr>
        <w:pStyle w:val="BodyText"/>
      </w:pPr>
      <w:r>
        <w:t xml:space="preserve">Disclosers are also protected from being victimised by anyone (including other staff) as a result of making a protected disclosure. </w:t>
      </w:r>
    </w:p>
    <w:p w14:paraId="2CAFF960" w14:textId="77777777" w:rsidR="0061364C" w:rsidRDefault="0061364C" w:rsidP="0061364C">
      <w:pPr>
        <w:pStyle w:val="BodyText"/>
      </w:pPr>
      <w:r>
        <w:t xml:space="preserve">You should take all reasonable action to ensure the discloser is not retaliated against or victimised. For example, if the discloser has agreed to waive the confidentiality of their identity, you may wish to inform their manager and/or your organisation’s human resources staff, and advise them of the discloser’s protection against retaliation and victimisation. If the discloser wants their identity to remain confidential, you should endeavour to keep any action being taken in response to the disclosure confidential. If other staff need to be made (or become) aware there has been a protected disclosure, you should remind them of their obligation to remain professional, and not to treat the discloser (or anyone they suspect of being a discloser) differently than they would any other colleague. </w:t>
      </w:r>
    </w:p>
    <w:p w14:paraId="75FE9C22" w14:textId="77777777" w:rsidR="0061364C" w:rsidRDefault="00864F16" w:rsidP="00864F16">
      <w:pPr>
        <w:pStyle w:val="Heading1"/>
      </w:pPr>
      <w:bookmarkStart w:id="44" w:name="_Toc200966305"/>
      <w:bookmarkStart w:id="45" w:name="_Toc200966367"/>
      <w:bookmarkStart w:id="46" w:name="_Toc222995647"/>
      <w:r>
        <w:t>What to do once you’ve dealt with a disclosure</w:t>
      </w:r>
      <w:bookmarkEnd w:id="44"/>
      <w:bookmarkEnd w:id="45"/>
      <w:bookmarkEnd w:id="46"/>
    </w:p>
    <w:p w14:paraId="43B8B066" w14:textId="77777777" w:rsidR="00864F16" w:rsidRDefault="00864F16" w:rsidP="00864F16">
      <w:pPr>
        <w:pStyle w:val="BodyText"/>
      </w:pPr>
      <w:r>
        <w:t xml:space="preserve">Receiving and dealing with protected disclosures can be complex and at times stressful. However, it can also provide valuable insights into an organisation, and how to foster a culture of speaking up. </w:t>
      </w:r>
    </w:p>
    <w:p w14:paraId="1F541033" w14:textId="77777777" w:rsidR="00864F16" w:rsidRDefault="00864F16" w:rsidP="00864F16">
      <w:pPr>
        <w:pStyle w:val="BodyText"/>
      </w:pPr>
      <w:r>
        <w:t>Once you’ve dealt with a disclosure, it can be valuable to reflect on your process, what went well, and what can be improved. It can also be valuable to engage with the discloser to better understand what led them to speaking up, their experience of engaging with your protected disclosures process, and what could be done to foster a culture where people feel safe and supported to raise their concerns.</w:t>
      </w:r>
    </w:p>
    <w:p w14:paraId="76FE3184" w14:textId="77777777" w:rsidR="00864F16" w:rsidRDefault="00864F16" w:rsidP="00864F16">
      <w:pPr>
        <w:pStyle w:val="BodyText"/>
      </w:pPr>
      <w:r>
        <w:t xml:space="preserve">You should also think about your own wellbeing, and debrief with your manager or other relevant staff, including how to access professional support if you need it. </w:t>
      </w:r>
    </w:p>
    <w:p w14:paraId="10BE8F9D" w14:textId="77777777" w:rsidR="00864F16" w:rsidRDefault="00864F16" w:rsidP="00864F16">
      <w:pPr>
        <w:pStyle w:val="Heading1"/>
      </w:pPr>
      <w:bookmarkStart w:id="47" w:name="_Toc200966306"/>
      <w:bookmarkStart w:id="48" w:name="_Toc200966368"/>
      <w:bookmarkStart w:id="49" w:name="_Toc222995648"/>
      <w:r>
        <w:t>Troubleshooting</w:t>
      </w:r>
      <w:bookmarkEnd w:id="47"/>
      <w:bookmarkEnd w:id="48"/>
      <w:bookmarkEnd w:id="49"/>
    </w:p>
    <w:p w14:paraId="79983AD8" w14:textId="77777777" w:rsidR="00864F16" w:rsidRDefault="00864F16" w:rsidP="00864F16">
      <w:pPr>
        <w:pStyle w:val="Heading2"/>
      </w:pPr>
      <w:bookmarkStart w:id="50" w:name="_Toc200966307"/>
      <w:bookmarkStart w:id="51" w:name="_Toc200966369"/>
      <w:bookmarkStart w:id="52" w:name="_Toc222995649"/>
      <w:r>
        <w:t>Complaints and disclosures – key differences</w:t>
      </w:r>
      <w:bookmarkEnd w:id="50"/>
      <w:bookmarkEnd w:id="51"/>
      <w:bookmarkEnd w:id="52"/>
    </w:p>
    <w:p w14:paraId="6016753D" w14:textId="77777777" w:rsidR="00864F16" w:rsidRDefault="00864F16" w:rsidP="00864F16">
      <w:pPr>
        <w:pStyle w:val="BodyText"/>
      </w:pPr>
      <w:r>
        <w:t xml:space="preserve">While there are similarities between complaints and protected disclosures, they differ in some key ways. When handling any complaint or disclosure, the Ombudsman encourages agencies to follow the principles set out in his guide on </w:t>
      </w:r>
      <w:hyperlink r:id="rId13" w:history="1">
        <w:r w:rsidRPr="00E86C61">
          <w:rPr>
            <w:rStyle w:val="Hyperlink"/>
          </w:rPr>
          <w:t>Effective Complaint Handling</w:t>
        </w:r>
      </w:hyperlink>
      <w:r>
        <w:t>. In addition to this, you should also consider the following when receiving and handling a protected disclosure:</w:t>
      </w:r>
    </w:p>
    <w:p w14:paraId="589CA044" w14:textId="77777777" w:rsidR="00864F16" w:rsidRDefault="00864F16" w:rsidP="00864F16">
      <w:pPr>
        <w:pStyle w:val="Bullet1"/>
      </w:pPr>
      <w:r>
        <w:t xml:space="preserve">Timeframes </w:t>
      </w:r>
    </w:p>
    <w:p w14:paraId="0BBD3B41" w14:textId="77777777" w:rsidR="00864F16" w:rsidRDefault="00864F16" w:rsidP="00864F16">
      <w:pPr>
        <w:pStyle w:val="BodyText"/>
      </w:pPr>
      <w:r>
        <w:t>The PDA includes a timeframe of 20 working days for handling protected disclosures. While this timeframe can be extended where necessary, receivers should undertake to work towards this timeframe, and to communicate any changes to the discloser as soon as practicable. This is further discussed at page 3 of this guide.</w:t>
      </w:r>
    </w:p>
    <w:p w14:paraId="7596EB53" w14:textId="77777777" w:rsidR="00864F16" w:rsidRDefault="00864F16" w:rsidP="00864F16">
      <w:pPr>
        <w:pStyle w:val="Bullet1"/>
      </w:pPr>
      <w:r>
        <w:t>Protections</w:t>
      </w:r>
    </w:p>
    <w:p w14:paraId="39CED0A1" w14:textId="77777777" w:rsidR="00864F16" w:rsidRPr="00A12E9B" w:rsidRDefault="00864F16" w:rsidP="00864F16">
      <w:pPr>
        <w:pStyle w:val="BodyText"/>
      </w:pPr>
      <w:r>
        <w:t xml:space="preserve">The PDA places obligations on organisations handling disclosures to protect people who have made a disclosure. These include keeping the identity of the discloser confidential, and ensuring the discloser does not face retaliation or victimisation for having raised their concerns. For more information on obligations around confidentiality, please refer to the Ombudsman’s </w:t>
      </w:r>
      <w:hyperlink r:id="rId14" w:history="1">
        <w:r w:rsidRPr="006A1072">
          <w:rPr>
            <w:rStyle w:val="Hyperlink"/>
          </w:rPr>
          <w:t>Checklist: Protecting Whistleblower Confidentiality</w:t>
        </w:r>
      </w:hyperlink>
      <w:r>
        <w:rPr>
          <w:i/>
        </w:rPr>
        <w:t>.</w:t>
      </w:r>
    </w:p>
    <w:p w14:paraId="4E268588" w14:textId="77777777" w:rsidR="00864F16" w:rsidRDefault="00864F16" w:rsidP="00864F16">
      <w:pPr>
        <w:pStyle w:val="Bullet1"/>
      </w:pPr>
      <w:r>
        <w:t>Wellbeing of disclosers</w:t>
      </w:r>
    </w:p>
    <w:p w14:paraId="36DD9277" w14:textId="77777777" w:rsidR="00864F16" w:rsidRDefault="00864F16" w:rsidP="00864F16">
      <w:pPr>
        <w:pStyle w:val="BodyText"/>
      </w:pPr>
      <w:r>
        <w:t>The decision to make a protected disclosure can be extremely stressful, and can negatively impact on a discloser’s wellbeing. Organisations should be mindful of the pressures disclosers face, and endeavour to provide them with clear and open communication about the process being followed, the protections the discloser is entitled to, and how to seek recourse if they are concerned that their protections have been breached. If your organisation has access to wellbeing supports for staff, such as an employee assistance programme, you may wish to remind the discloser of their ability to access these services. You may also wish to consider designating a person to act as a single point of contact with the discloser so the discloser understands who to talk to about  their disclosure while your organisation is handling it.</w:t>
      </w:r>
    </w:p>
    <w:p w14:paraId="6D48B3D2" w14:textId="77777777" w:rsidR="00864F16" w:rsidRDefault="00864F16" w:rsidP="00864F16">
      <w:pPr>
        <w:pStyle w:val="Bullet1"/>
      </w:pPr>
      <w:r>
        <w:t>Communication with disclosers</w:t>
      </w:r>
    </w:p>
    <w:p w14:paraId="19278244" w14:textId="77777777" w:rsidR="00864F16" w:rsidRDefault="00864F16" w:rsidP="00864F16">
      <w:pPr>
        <w:pStyle w:val="BodyText"/>
      </w:pPr>
      <w:r>
        <w:t xml:space="preserve">Related to the above, a discloser’s stress can also come from feeling the moral and ethical obligation to speak up and have their concerns resolved. Disclosers are often very invested in the process. Lack of understanding and lack of certainty regarding what is happening can often add to their distress. It is important to provide fulsome explanations and updates to disclosers to alleviate this stress. There may be information that cannot be shared, for instance, where a disciplinary process is involved and the organisation must protect a staff member’s privacy. In these instances, it would be helpful to flag this with the discloser at the earliest opportunity, to manage their expectations. This will help avoid the perception that an organisation has simply ‘swept the problem under the rug’. </w:t>
      </w:r>
    </w:p>
    <w:p w14:paraId="1BBD31AA" w14:textId="77777777" w:rsidR="00864F16" w:rsidRDefault="00864F16" w:rsidP="00864F16">
      <w:pPr>
        <w:pStyle w:val="Heading2"/>
      </w:pPr>
      <w:bookmarkStart w:id="53" w:name="_Toc200966308"/>
      <w:bookmarkStart w:id="54" w:name="_Toc200966370"/>
      <w:bookmarkStart w:id="55" w:name="_Toc222995650"/>
      <w:r>
        <w:t>Frequent queries</w:t>
      </w:r>
      <w:bookmarkEnd w:id="53"/>
      <w:bookmarkEnd w:id="54"/>
      <w:bookmarkEnd w:id="55"/>
    </w:p>
    <w:p w14:paraId="4426FAC2" w14:textId="77777777" w:rsidR="00864F16" w:rsidRDefault="00864F16" w:rsidP="00864F16">
      <w:pPr>
        <w:pStyle w:val="Quotationseparateparagraph"/>
      </w:pPr>
      <w:r>
        <w:t>“I don’t think the discloser’s concerns amount to serious wrongdoing – what should I do?”</w:t>
      </w:r>
    </w:p>
    <w:p w14:paraId="266EC091" w14:textId="77777777" w:rsidR="00864F16" w:rsidRDefault="00864F16" w:rsidP="00864F16">
      <w:pPr>
        <w:pStyle w:val="BodyText"/>
      </w:pPr>
      <w:r>
        <w:t>If the discloser’s concerns don’t amount to serious wrongdoing, you should consider whether there are other methods of addressing them, whether by investigating the concerns as a standard complaint, increasing staff awareness of relevant policies and processes, or engaging in mediation. While in some instances you might decide not to take any further action, you should seriously and fairly consider whether there are other ways of addressing the discloser’s concerns first. This can demonstrate that you’re committed to developing an organisational culture that values the integrity, care and courage required for staff to speak up, and that your organisation is receptive to staff concerns.</w:t>
      </w:r>
    </w:p>
    <w:p w14:paraId="01DE3739" w14:textId="77777777" w:rsidR="00864F16" w:rsidRDefault="00864F16" w:rsidP="00864F16">
      <w:pPr>
        <w:pStyle w:val="Quotationseparateparagraph"/>
      </w:pPr>
      <w:r>
        <w:t>“I don’t think the discloser is acting in good faith – does this mean they’re not protected?”</w:t>
      </w:r>
    </w:p>
    <w:p w14:paraId="44F93031" w14:textId="77777777" w:rsidR="00864F16" w:rsidRDefault="00864F16" w:rsidP="00864F16">
      <w:pPr>
        <w:pStyle w:val="BodyText"/>
      </w:pPr>
      <w:r>
        <w:t>While a person might not be protected if they make a disclosure in bad faith, you should seek legal advice before proceeding on that basis, as this might have significant implications for the discloser and your organisation’s culture, as well as liability for your organisation if you are mistaken.</w:t>
      </w:r>
    </w:p>
    <w:p w14:paraId="26BAA145" w14:textId="77777777" w:rsidR="00864F16" w:rsidRDefault="00864F16" w:rsidP="00864F16">
      <w:pPr>
        <w:pStyle w:val="Quotationseparateparagraph"/>
      </w:pPr>
      <w:r>
        <w:t>“Someone’s raised serious concerns with me, but they haven’t mentioned the PDA – what should I do?”</w:t>
      </w:r>
    </w:p>
    <w:p w14:paraId="60C999E6" w14:textId="77777777" w:rsidR="00864F16" w:rsidRDefault="00864F16" w:rsidP="00864F16">
      <w:pPr>
        <w:pStyle w:val="BodyText"/>
      </w:pPr>
      <w:r>
        <w:t>If the person is a discloser (ie an employee or similar), and they believe their concerns are about serious wrongdoing, they are making a protected disclosure. It is not a requirement for someone to mention the PDA while making a disclosure.</w:t>
      </w:r>
    </w:p>
    <w:p w14:paraId="3121F17C" w14:textId="77777777" w:rsidR="00864F16" w:rsidRDefault="00864F16" w:rsidP="00864F16">
      <w:pPr>
        <w:pStyle w:val="Quotationseparateparagraph"/>
      </w:pPr>
      <w:r>
        <w:t xml:space="preserve"> “I’ve received a disclosure about something classified – what should I do?”</w:t>
      </w:r>
    </w:p>
    <w:p w14:paraId="7E39EF38" w14:textId="77777777" w:rsidR="00864F16" w:rsidRDefault="00864F16" w:rsidP="00864F16">
      <w:pPr>
        <w:pStyle w:val="BodyText"/>
      </w:pPr>
      <w:r>
        <w:t>If you’ve received a disclosure about an intelligence agency, or that relates to classified information, you can contact the Inspector-General of Intelligence and Security (IGIS) for advice on how to proceed. Only IGIS is able to provide information and guidance to disclosers, or to act as an appropriate authority, for disclosures relating to intelligence agencies and/or classified information.</w:t>
      </w:r>
    </w:p>
    <w:p w14:paraId="0F9B3AFF" w14:textId="77777777" w:rsidR="00864F16" w:rsidRDefault="00864F16" w:rsidP="00864F16">
      <w:pPr>
        <w:pStyle w:val="Quotationseparateparagraph"/>
      </w:pPr>
      <w:r>
        <w:t>“I’ve received a disclosure about the New Zealand Defence Force – what should I do?”</w:t>
      </w:r>
    </w:p>
    <w:p w14:paraId="513301A8" w14:textId="77777777" w:rsidR="00864F16" w:rsidRDefault="00864F16" w:rsidP="00864F16">
      <w:pPr>
        <w:pStyle w:val="BodyText"/>
      </w:pPr>
      <w:r>
        <w:t>If the disclosure is about Veterans Affairs, you should proceed as if it were any other disclosure. If the disclosure relates to any other activities of the New Zealand Defence Force, you can contact the Inspector-General of Defence (IGD) for advice on how to proceed. Only IGD is able to provide information and guidance to disclosers, or to act as an appropriate authority, for disclosures relating to defence information.</w:t>
      </w:r>
    </w:p>
    <w:p w14:paraId="2CD36CA3" w14:textId="77777777" w:rsidR="00864F16" w:rsidRDefault="00864F16" w:rsidP="00864F16">
      <w:pPr>
        <w:pStyle w:val="Quotationseparateparagraph"/>
      </w:pPr>
      <w:r>
        <w:t>“I’ve received a disclosure about New Zealand’s international relations – what should I do?”</w:t>
      </w:r>
    </w:p>
    <w:p w14:paraId="45FB848D" w14:textId="77777777" w:rsidR="00864F16" w:rsidRDefault="00864F16" w:rsidP="00864F16">
      <w:pPr>
        <w:pStyle w:val="BodyText"/>
      </w:pPr>
      <w:r>
        <w:t>If you’ve received a disclosure about New Zealand’s international relations, you should check whether the disclosure contains classified information, or is related to an intelligence agency. If you are unsure if the information is classified, you should contact the Inspector-General of Intelligence and Security for advice. If the information is not classified and is not about an intelligence agency, you can contact the Ombudsman for information and guidance. Only the Ombudsman is able to act as an appropriate authority for disclosures relating to New Zealand’s international relations.</w:t>
      </w:r>
    </w:p>
    <w:p w14:paraId="5D18FF2B" w14:textId="77777777" w:rsidR="00864F16" w:rsidRDefault="00864F16" w:rsidP="00864F16">
      <w:pPr>
        <w:pStyle w:val="Quotationseparateparagraph"/>
      </w:pPr>
      <w:r>
        <w:t>“I’m still confused, and I need help”</w:t>
      </w:r>
    </w:p>
    <w:p w14:paraId="23020EAE" w14:textId="77777777" w:rsidR="0061364C" w:rsidRPr="0061364C" w:rsidRDefault="00864F16" w:rsidP="0061364C">
      <w:pPr>
        <w:pStyle w:val="BodyText"/>
      </w:pPr>
      <w:r>
        <w:t xml:space="preserve">If you’re confused or unsure about what to do at any point, you can contact the Ombudsman to seek information and guidance on the PDA. </w:t>
      </w:r>
    </w:p>
    <w:sectPr w:rsidR="0061364C" w:rsidRPr="0061364C" w:rsidSect="00FA5B4B">
      <w:headerReference w:type="default" r:id="rId15"/>
      <w:footerReference w:type="default" r:id="rId16"/>
      <w:headerReference w:type="first" r:id="rId17"/>
      <w:footerReference w:type="first" r:id="rId18"/>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581A5" w14:textId="77777777" w:rsidR="003F3E25" w:rsidRPr="00D45126" w:rsidRDefault="003F3E25" w:rsidP="00554FCD">
      <w:pPr>
        <w:spacing w:after="0" w:line="240" w:lineRule="auto"/>
        <w:rPr>
          <w:color w:val="4D4D4D"/>
        </w:rPr>
      </w:pPr>
      <w:r w:rsidRPr="00D45126">
        <w:rPr>
          <w:color w:val="4D4D4D"/>
        </w:rPr>
        <w:separator/>
      </w:r>
    </w:p>
  </w:endnote>
  <w:endnote w:type="continuationSeparator" w:id="0">
    <w:p w14:paraId="1419A90F" w14:textId="77777777" w:rsidR="003F3E25" w:rsidRPr="00D45126" w:rsidRDefault="003F3E25" w:rsidP="00554FCD">
      <w:pPr>
        <w:spacing w:after="0" w:line="240" w:lineRule="auto"/>
        <w:rPr>
          <w:color w:val="4D4D4D"/>
        </w:rPr>
      </w:pPr>
      <w:r w:rsidRPr="00D45126">
        <w:rPr>
          <w:color w:val="4D4D4D"/>
        </w:rPr>
        <w:continuationSeparator/>
      </w:r>
    </w:p>
  </w:endnote>
  <w:endnote w:type="continuationNotice" w:id="1">
    <w:p w14:paraId="78CE0CC2" w14:textId="77777777" w:rsidR="003F3E25" w:rsidRDefault="003F3E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AAA0" w14:textId="77777777" w:rsidR="00F71F74" w:rsidRPr="0059155D" w:rsidRDefault="00F71F74" w:rsidP="00B81F45">
    <w:pPr>
      <w:pStyle w:val="Footerline"/>
    </w:pPr>
  </w:p>
  <w:p w14:paraId="79F085ED" w14:textId="77777777" w:rsidR="00F71F74" w:rsidRPr="0059155D" w:rsidRDefault="00F71F74" w:rsidP="00B81F45">
    <w:pPr>
      <w:pStyle w:val="Footerline"/>
    </w:pPr>
  </w:p>
  <w:p w14:paraId="1B4ED215" w14:textId="44CB1D1C" w:rsidR="00F71F74" w:rsidRPr="005533D8" w:rsidRDefault="00C33FDC" w:rsidP="00B81F45">
    <w:pPr>
      <w:pStyle w:val="Footer"/>
    </w:pPr>
    <w:r>
      <w:fldChar w:fldCharType="begin"/>
    </w:r>
    <w:r>
      <w:instrText xml:space="preserve"> DOCVARIABLE  dvShortText </w:instrText>
    </w:r>
    <w:r>
      <w:fldChar w:fldCharType="separate"/>
    </w:r>
    <w:r w:rsidR="00353A4C">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sidR="00B51F7A">
      <w:rPr>
        <w:rStyle w:val="PageNumber"/>
        <w:noProof/>
      </w:rPr>
      <w:t>13</w:t>
    </w:r>
    <w:r w:rsidR="00F71F74"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40B3" w14:textId="77777777" w:rsidR="00F71F74" w:rsidRPr="0059155D" w:rsidRDefault="00F71F74" w:rsidP="00AA3322">
    <w:pPr>
      <w:pStyle w:val="Footerline"/>
    </w:pPr>
  </w:p>
  <w:p w14:paraId="6824BC50" w14:textId="77777777" w:rsidR="00F71F74" w:rsidRPr="0059155D" w:rsidRDefault="00F71F74" w:rsidP="00AA3322">
    <w:pPr>
      <w:pStyle w:val="Footerline"/>
    </w:pPr>
  </w:p>
  <w:p w14:paraId="6459261F" w14:textId="068420A3" w:rsidR="00F71F74" w:rsidRPr="005533D8" w:rsidRDefault="00C33FDC" w:rsidP="00AA3322">
    <w:pPr>
      <w:pStyle w:val="Footer"/>
    </w:pPr>
    <w:r>
      <w:fldChar w:fldCharType="begin"/>
    </w:r>
    <w:r>
      <w:instrText xml:space="preserve"> DOCVARIABLE  dvShortText </w:instrText>
    </w:r>
    <w:r>
      <w:fldChar w:fldCharType="separate"/>
    </w:r>
    <w:r w:rsidR="00353A4C">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Pr>
        <w:rStyle w:val="PageNumber"/>
        <w:noProof/>
      </w:rPr>
      <w:t>1</w:t>
    </w:r>
    <w:r w:rsidR="00F71F74"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D50E9" w14:textId="77777777" w:rsidR="003F3E25" w:rsidRPr="00D45126" w:rsidRDefault="003F3E25" w:rsidP="00257DA0">
      <w:pPr>
        <w:spacing w:after="0" w:line="240" w:lineRule="auto"/>
        <w:rPr>
          <w:color w:val="4D4D4D"/>
        </w:rPr>
      </w:pPr>
      <w:r w:rsidRPr="00D45126">
        <w:rPr>
          <w:color w:val="4D4D4D"/>
        </w:rPr>
        <w:separator/>
      </w:r>
    </w:p>
  </w:footnote>
  <w:footnote w:type="continuationSeparator" w:id="0">
    <w:p w14:paraId="044C4EBB" w14:textId="77777777" w:rsidR="003F3E25" w:rsidRPr="00C14083" w:rsidRDefault="003F3E25" w:rsidP="00554FCD">
      <w:pPr>
        <w:spacing w:after="0" w:line="240" w:lineRule="auto"/>
        <w:rPr>
          <w:color w:val="4D4D4D"/>
        </w:rPr>
      </w:pPr>
      <w:r w:rsidRPr="00C14083">
        <w:rPr>
          <w:color w:val="4D4D4D"/>
        </w:rPr>
        <w:continuationSeparator/>
      </w:r>
    </w:p>
  </w:footnote>
  <w:footnote w:type="continuationNotice" w:id="1">
    <w:p w14:paraId="6DB18BBC" w14:textId="77777777" w:rsidR="003F3E25" w:rsidRDefault="003F3E25">
      <w:pPr>
        <w:spacing w:after="0" w:line="240" w:lineRule="auto"/>
      </w:pPr>
    </w:p>
  </w:footnote>
  <w:footnote w:id="2">
    <w:p w14:paraId="42B23CD7" w14:textId="77777777" w:rsidR="0061364C" w:rsidRDefault="0061364C" w:rsidP="0061364C">
      <w:pPr>
        <w:pStyle w:val="FootnoteText"/>
      </w:pPr>
      <w:r>
        <w:rPr>
          <w:rStyle w:val="FootnoteReference"/>
        </w:rPr>
        <w:footnoteRef/>
      </w:r>
      <w:r>
        <w:t xml:space="preserve"> </w:t>
      </w:r>
      <w:r>
        <w:tab/>
        <w:t xml:space="preserve">An appropriate authority includes the head of any public sector organisation, an Officer of Parliament and the membership body of a profession with the power to discipline its members. See  </w:t>
      </w:r>
      <w:hyperlink r:id="rId1" w:history="1">
        <w:r w:rsidRPr="00066398">
          <w:rPr>
            <w:rStyle w:val="Hyperlink"/>
          </w:rPr>
          <w:t>Meaning of ‘appropriate authority’ – a Protected Disclosures Act guide</w:t>
        </w:r>
      </w:hyperlink>
      <w:r>
        <w:t>.</w:t>
      </w:r>
    </w:p>
  </w:footnote>
  <w:footnote w:id="3">
    <w:p w14:paraId="4AD4DFBE" w14:textId="77777777" w:rsidR="0061364C" w:rsidRDefault="0061364C" w:rsidP="0061364C">
      <w:pPr>
        <w:pStyle w:val="FootnoteText"/>
      </w:pPr>
      <w:r>
        <w:rPr>
          <w:rStyle w:val="FootnoteReference"/>
        </w:rPr>
        <w:footnoteRef/>
      </w:r>
      <w:r>
        <w:t xml:space="preserve"> </w:t>
      </w:r>
      <w:r>
        <w:tab/>
        <w:t xml:space="preserve">Australian research suggests 43 percent of whistleblowers experience extreme stress, and 62 percent some stress. See </w:t>
      </w:r>
      <w:hyperlink r:id="rId2" w:history="1">
        <w:r w:rsidRPr="004E1F88">
          <w:rPr>
            <w:rStyle w:val="Hyperlink"/>
          </w:rPr>
          <w:t>Protected disclosures – guidance on internal policies and procedures</w:t>
        </w:r>
      </w:hyperlink>
      <w:r>
        <w:t>, page 21-22.</w:t>
      </w:r>
    </w:p>
  </w:footnote>
  <w:footnote w:id="4">
    <w:p w14:paraId="63985B7B" w14:textId="77777777" w:rsidR="0061364C" w:rsidRDefault="0061364C" w:rsidP="0061364C">
      <w:pPr>
        <w:pStyle w:val="FootnoteText"/>
      </w:pPr>
      <w:r>
        <w:rPr>
          <w:rStyle w:val="FootnoteReference"/>
        </w:rPr>
        <w:footnoteRef/>
      </w:r>
      <w:r>
        <w:t xml:space="preserve"> </w:t>
      </w:r>
      <w:r>
        <w:tab/>
        <w:t xml:space="preserve">For example counselling, legal advice. </w:t>
      </w:r>
    </w:p>
  </w:footnote>
  <w:footnote w:id="5">
    <w:p w14:paraId="66FA6741" w14:textId="77777777" w:rsidR="0061364C" w:rsidRDefault="0061364C" w:rsidP="0061364C">
      <w:pPr>
        <w:pStyle w:val="FootnoteText"/>
      </w:pPr>
      <w:r>
        <w:rPr>
          <w:rStyle w:val="FootnoteReference"/>
        </w:rPr>
        <w:footnoteRef/>
      </w:r>
      <w:r>
        <w:t xml:space="preserve"> </w:t>
      </w:r>
      <w:r>
        <w:tab/>
        <w:t xml:space="preserve">Discussed further below, under </w:t>
      </w:r>
      <w:hyperlink w:anchor="_Confidentiality" w:history="1">
        <w:r w:rsidRPr="009B2FCB">
          <w:rPr>
            <w:rStyle w:val="Hyperlink"/>
          </w:rPr>
          <w:t>Confidentiality</w:t>
        </w:r>
      </w:hyperlink>
      <w:r>
        <w:t>.</w:t>
      </w:r>
    </w:p>
  </w:footnote>
  <w:footnote w:id="6">
    <w:p w14:paraId="2F582632" w14:textId="77777777" w:rsidR="0061364C" w:rsidRDefault="0061364C" w:rsidP="0061364C">
      <w:pPr>
        <w:pStyle w:val="FootnoteText"/>
      </w:pPr>
      <w:r>
        <w:rPr>
          <w:rStyle w:val="FootnoteReference"/>
        </w:rPr>
        <w:footnoteRef/>
      </w:r>
      <w:r>
        <w:t xml:space="preserve"> </w:t>
      </w:r>
      <w:r>
        <w:tab/>
        <w:t xml:space="preserve">With some exceptions, see section 17 of the PDA. </w:t>
      </w:r>
    </w:p>
  </w:footnote>
  <w:footnote w:id="7">
    <w:p w14:paraId="63BE101F" w14:textId="77777777" w:rsidR="0061364C" w:rsidRDefault="0061364C" w:rsidP="0061364C">
      <w:pPr>
        <w:pStyle w:val="FootnoteText"/>
      </w:pPr>
      <w:r>
        <w:rPr>
          <w:rStyle w:val="FootnoteReference"/>
        </w:rPr>
        <w:footnoteRef/>
      </w:r>
      <w:r>
        <w:t xml:space="preserve"> </w:t>
      </w:r>
      <w:r>
        <w:tab/>
        <w:t xml:space="preserve">See the Ombudsman guide </w:t>
      </w:r>
      <w:hyperlink r:id="rId3" w:history="1">
        <w:r w:rsidRPr="00743549">
          <w:rPr>
            <w:rStyle w:val="Hyperlink"/>
          </w:rPr>
          <w:t>He rauemi tātaki ea – A resource for offering an effective apology</w:t>
        </w:r>
      </w:hyperlink>
      <w:r>
        <w:t>.</w:t>
      </w:r>
    </w:p>
  </w:footnote>
  <w:footnote w:id="8">
    <w:p w14:paraId="0D7D6BCD" w14:textId="77777777" w:rsidR="0061364C" w:rsidRDefault="0061364C" w:rsidP="0061364C">
      <w:pPr>
        <w:pStyle w:val="FootnoteText"/>
      </w:pPr>
      <w:r>
        <w:rPr>
          <w:rStyle w:val="FootnoteReference"/>
        </w:rPr>
        <w:footnoteRef/>
      </w:r>
      <w:r>
        <w:t xml:space="preserve"> </w:t>
      </w:r>
      <w:r>
        <w:tab/>
        <w:t>See section 8 of the PDA.</w:t>
      </w:r>
    </w:p>
  </w:footnote>
  <w:footnote w:id="9">
    <w:p w14:paraId="1F9D5896" w14:textId="77777777" w:rsidR="0061364C" w:rsidRDefault="0061364C" w:rsidP="0061364C">
      <w:pPr>
        <w:pStyle w:val="FootnoteText"/>
      </w:pPr>
      <w:r>
        <w:rPr>
          <w:rStyle w:val="FootnoteReference"/>
        </w:rPr>
        <w:footnoteRef/>
      </w:r>
      <w:r>
        <w:t xml:space="preserve"> </w:t>
      </w:r>
      <w:r>
        <w:tab/>
        <w:t xml:space="preserve">See section 10 of the PDA. </w:t>
      </w:r>
    </w:p>
  </w:footnote>
  <w:footnote w:id="10">
    <w:p w14:paraId="725C4669" w14:textId="77777777" w:rsidR="0061364C" w:rsidRDefault="0061364C" w:rsidP="0061364C">
      <w:pPr>
        <w:pStyle w:val="FootnoteText"/>
      </w:pPr>
      <w:r>
        <w:rPr>
          <w:rStyle w:val="FootnoteReference"/>
        </w:rPr>
        <w:footnoteRef/>
      </w:r>
      <w:r>
        <w:t xml:space="preserve"> </w:t>
      </w:r>
      <w:r>
        <w:tab/>
        <w:t>If a discloser believes on reasonable grounds either: that you did not handle the disclosure in line with the provisions of section 13 of the PDA; or that the serious wrongdoing remains unaddressed, section 14 of the PDA provides that they are also entitled to make a protected disclosure to a Minister of the Crown.  Section 14 applies regardless of whether your organisation is in the public or private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AC09" w14:textId="77777777" w:rsidR="00F71F74" w:rsidRDefault="00F71F74" w:rsidP="00B81F45">
    <w:pPr>
      <w:pStyle w:val="Header"/>
      <w:tabs>
        <w:tab w:val="clear" w:pos="9299"/>
        <w:tab w:val="right" w:pos="9321"/>
      </w:tabs>
      <w:rPr>
        <w:rStyle w:val="PageNumber"/>
      </w:rPr>
    </w:pPr>
    <w:r>
      <w:t xml:space="preserve">Office of the Ombudsman | </w:t>
    </w:r>
    <w:r w:rsidRPr="00DD54DF">
      <w:t>Tari o te Kaitiaki Mana Tangata</w:t>
    </w:r>
  </w:p>
  <w:p w14:paraId="2368A346" w14:textId="77777777" w:rsidR="00F71F74" w:rsidRPr="00661EC9" w:rsidRDefault="00F71F74" w:rsidP="00B81F45">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1609" w14:textId="77777777" w:rsidR="00F71F74" w:rsidRPr="0077590F" w:rsidRDefault="00F71F74" w:rsidP="0077590F">
    <w:pPr>
      <w:pStyle w:val="BodyText"/>
    </w:pPr>
    <w:bookmarkStart w:id="56" w:name="BG_Colour"/>
    <w:r>
      <w:rPr>
        <w:noProof/>
        <w:lang w:eastAsia="en-NZ"/>
      </w:rPr>
      <w:drawing>
        <wp:anchor distT="0" distB="0" distL="114300" distR="114300" simplePos="0" relativeHeight="251659264" behindDoc="1" locked="0" layoutInCell="1" allowOverlap="1" wp14:anchorId="1565DAD5" wp14:editId="7F88EB27">
          <wp:simplePos x="0" y="0"/>
          <wp:positionH relativeFrom="page">
            <wp:posOffset>0</wp:posOffset>
          </wp:positionH>
          <wp:positionV relativeFrom="page">
            <wp:posOffset>0</wp:posOffset>
          </wp:positionV>
          <wp:extent cx="7559040" cy="4143375"/>
          <wp:effectExtent l="0" t="0" r="3810" b="9525"/>
          <wp:wrapNone/>
          <wp:docPr id="3" name="Picture 1"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green.tif"/>
                  <pic:cNvPicPr/>
                </pic:nvPicPr>
                <pic:blipFill>
                  <a:blip r:embed="rId1"/>
                  <a:stretch>
                    <a:fillRect/>
                  </a:stretch>
                </pic:blipFill>
                <pic:spPr>
                  <a:xfrm>
                    <a:off x="0" y="0"/>
                    <a:ext cx="7559040" cy="4143375"/>
                  </a:xfrm>
                  <a:prstGeom prst="rect">
                    <a:avLst/>
                  </a:prstGeom>
                </pic:spPr>
              </pic:pic>
            </a:graphicData>
          </a:graphic>
        </wp:anchor>
      </w:drawing>
    </w:r>
    <w:bookmarkEnd w:id="5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3AED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48990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7B45F0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7"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8"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16cid:durableId="280964956">
    <w:abstractNumId w:val="20"/>
  </w:num>
  <w:num w:numId="2" w16cid:durableId="1295481685">
    <w:abstractNumId w:val="5"/>
  </w:num>
  <w:num w:numId="3" w16cid:durableId="1268346221">
    <w:abstractNumId w:val="14"/>
  </w:num>
  <w:num w:numId="4" w16cid:durableId="1322851489">
    <w:abstractNumId w:val="23"/>
  </w:num>
  <w:num w:numId="5" w16cid:durableId="20556897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7361532">
    <w:abstractNumId w:val="21"/>
  </w:num>
  <w:num w:numId="7" w16cid:durableId="1854760765">
    <w:abstractNumId w:val="27"/>
  </w:num>
  <w:num w:numId="8" w16cid:durableId="215433283">
    <w:abstractNumId w:val="18"/>
  </w:num>
  <w:num w:numId="9" w16cid:durableId="882903593">
    <w:abstractNumId w:val="9"/>
  </w:num>
  <w:num w:numId="10" w16cid:durableId="1395735481">
    <w:abstractNumId w:val="12"/>
  </w:num>
  <w:num w:numId="11" w16cid:durableId="613288326">
    <w:abstractNumId w:val="26"/>
  </w:num>
  <w:num w:numId="12" w16cid:durableId="2024355871">
    <w:abstractNumId w:val="13"/>
  </w:num>
  <w:num w:numId="13" w16cid:durableId="1795514907">
    <w:abstractNumId w:val="8"/>
  </w:num>
  <w:num w:numId="14" w16cid:durableId="905723610">
    <w:abstractNumId w:val="11"/>
  </w:num>
  <w:num w:numId="15" w16cid:durableId="45883501">
    <w:abstractNumId w:val="6"/>
  </w:num>
  <w:num w:numId="16" w16cid:durableId="617375202">
    <w:abstractNumId w:val="24"/>
  </w:num>
  <w:num w:numId="17" w16cid:durableId="1673021212">
    <w:abstractNumId w:val="19"/>
  </w:num>
  <w:num w:numId="18" w16cid:durableId="1939630801">
    <w:abstractNumId w:val="25"/>
  </w:num>
  <w:num w:numId="19" w16cid:durableId="750274798">
    <w:abstractNumId w:val="16"/>
  </w:num>
  <w:num w:numId="20" w16cid:durableId="1502038131">
    <w:abstractNumId w:val="28"/>
  </w:num>
  <w:num w:numId="21" w16cid:durableId="178538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0981342">
    <w:abstractNumId w:val="22"/>
  </w:num>
  <w:num w:numId="23" w16cid:durableId="1666012816">
    <w:abstractNumId w:val="3"/>
  </w:num>
  <w:num w:numId="24" w16cid:durableId="1344672837">
    <w:abstractNumId w:val="15"/>
  </w:num>
  <w:num w:numId="25" w16cid:durableId="1904560469">
    <w:abstractNumId w:val="17"/>
  </w:num>
  <w:num w:numId="26" w16cid:durableId="905913957">
    <w:abstractNumId w:val="8"/>
  </w:num>
  <w:num w:numId="27" w16cid:durableId="289212234">
    <w:abstractNumId w:val="11"/>
  </w:num>
  <w:num w:numId="28" w16cid:durableId="575364586">
    <w:abstractNumId w:val="11"/>
  </w:num>
  <w:num w:numId="29" w16cid:durableId="760178038">
    <w:abstractNumId w:val="11"/>
  </w:num>
  <w:num w:numId="30" w16cid:durableId="1547180005">
    <w:abstractNumId w:val="27"/>
  </w:num>
  <w:num w:numId="31" w16cid:durableId="1892575099">
    <w:abstractNumId w:val="7"/>
  </w:num>
  <w:num w:numId="32" w16cid:durableId="265700422">
    <w:abstractNumId w:val="2"/>
  </w:num>
  <w:num w:numId="33" w16cid:durableId="1561020451">
    <w:abstractNumId w:val="1"/>
  </w:num>
  <w:num w:numId="34" w16cid:durableId="82786185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Option" w:val="green"/>
    <w:docVar w:name="ContentsAppendix" w:val="0"/>
    <w:docVar w:name="ContentsCreated" w:val="1"/>
    <w:docVar w:name="ContentsFigure" w:val="0"/>
    <w:docVar w:name="ContentsMain" w:val="1"/>
    <w:docVar w:name="ContentsMainLevel" w:val="4"/>
    <w:docVar w:name="ContentsTable" w:val="0"/>
    <w:docVar w:name="dvShortText" w:val="Guide |"/>
    <w:docVar w:name="dvShortTextFrm" w:val="Guide"/>
    <w:docVar w:name="IsfirstTb" w:val="False"/>
    <w:docVar w:name="IsInTable" w:val="False"/>
    <w:docVar w:name="OOTOTemplate" w:val="OOTO Strategic Services\Guide.dotm"/>
  </w:docVars>
  <w:rsids>
    <w:rsidRoot w:val="0061364C"/>
    <w:rsid w:val="00000AEE"/>
    <w:rsid w:val="0000164C"/>
    <w:rsid w:val="00002E2B"/>
    <w:rsid w:val="000048D2"/>
    <w:rsid w:val="0000771B"/>
    <w:rsid w:val="00010E1D"/>
    <w:rsid w:val="00013095"/>
    <w:rsid w:val="00013791"/>
    <w:rsid w:val="00021382"/>
    <w:rsid w:val="00024F53"/>
    <w:rsid w:val="00026A3B"/>
    <w:rsid w:val="000273F0"/>
    <w:rsid w:val="00027F11"/>
    <w:rsid w:val="00031648"/>
    <w:rsid w:val="000328E9"/>
    <w:rsid w:val="00032A75"/>
    <w:rsid w:val="000332B6"/>
    <w:rsid w:val="00035821"/>
    <w:rsid w:val="000402E7"/>
    <w:rsid w:val="00040F52"/>
    <w:rsid w:val="00041615"/>
    <w:rsid w:val="000419C3"/>
    <w:rsid w:val="00043DF9"/>
    <w:rsid w:val="00045FD7"/>
    <w:rsid w:val="00046B63"/>
    <w:rsid w:val="00047CB7"/>
    <w:rsid w:val="00050123"/>
    <w:rsid w:val="00053114"/>
    <w:rsid w:val="00057C4D"/>
    <w:rsid w:val="00064CFD"/>
    <w:rsid w:val="00065881"/>
    <w:rsid w:val="000754AF"/>
    <w:rsid w:val="000822C8"/>
    <w:rsid w:val="00084FC2"/>
    <w:rsid w:val="00087C5A"/>
    <w:rsid w:val="000929F9"/>
    <w:rsid w:val="00093C9D"/>
    <w:rsid w:val="0009569A"/>
    <w:rsid w:val="00095D05"/>
    <w:rsid w:val="000965D2"/>
    <w:rsid w:val="00097211"/>
    <w:rsid w:val="00097E3A"/>
    <w:rsid w:val="000A18DA"/>
    <w:rsid w:val="000A39DB"/>
    <w:rsid w:val="000A4639"/>
    <w:rsid w:val="000A56A9"/>
    <w:rsid w:val="000B43C3"/>
    <w:rsid w:val="000B60ED"/>
    <w:rsid w:val="000C2A01"/>
    <w:rsid w:val="000C487C"/>
    <w:rsid w:val="000D3B26"/>
    <w:rsid w:val="000D4757"/>
    <w:rsid w:val="000D5790"/>
    <w:rsid w:val="000D6DA5"/>
    <w:rsid w:val="000D6FA6"/>
    <w:rsid w:val="000E2563"/>
    <w:rsid w:val="000E2C2F"/>
    <w:rsid w:val="000E48F3"/>
    <w:rsid w:val="000F09B0"/>
    <w:rsid w:val="000F2DDB"/>
    <w:rsid w:val="000F32C4"/>
    <w:rsid w:val="000F358E"/>
    <w:rsid w:val="000F496B"/>
    <w:rsid w:val="000F4A8C"/>
    <w:rsid w:val="000F5D79"/>
    <w:rsid w:val="00100392"/>
    <w:rsid w:val="001110B8"/>
    <w:rsid w:val="00114C6B"/>
    <w:rsid w:val="00114C7F"/>
    <w:rsid w:val="00123968"/>
    <w:rsid w:val="00134987"/>
    <w:rsid w:val="00137CA3"/>
    <w:rsid w:val="00140996"/>
    <w:rsid w:val="00140DAC"/>
    <w:rsid w:val="00140DD8"/>
    <w:rsid w:val="0014422F"/>
    <w:rsid w:val="00144C1B"/>
    <w:rsid w:val="00150AD4"/>
    <w:rsid w:val="00151F5B"/>
    <w:rsid w:val="00152DE9"/>
    <w:rsid w:val="0015331A"/>
    <w:rsid w:val="00153BD3"/>
    <w:rsid w:val="00157E61"/>
    <w:rsid w:val="001602AB"/>
    <w:rsid w:val="00160E82"/>
    <w:rsid w:val="00162336"/>
    <w:rsid w:val="00166C30"/>
    <w:rsid w:val="00167506"/>
    <w:rsid w:val="0017216A"/>
    <w:rsid w:val="001753BE"/>
    <w:rsid w:val="001760FC"/>
    <w:rsid w:val="00177807"/>
    <w:rsid w:val="001822E3"/>
    <w:rsid w:val="00184B58"/>
    <w:rsid w:val="00186A52"/>
    <w:rsid w:val="001872A2"/>
    <w:rsid w:val="00187D74"/>
    <w:rsid w:val="00190A34"/>
    <w:rsid w:val="001922D6"/>
    <w:rsid w:val="00193B7F"/>
    <w:rsid w:val="00194237"/>
    <w:rsid w:val="00194280"/>
    <w:rsid w:val="001944D8"/>
    <w:rsid w:val="001954BF"/>
    <w:rsid w:val="00197401"/>
    <w:rsid w:val="001A265F"/>
    <w:rsid w:val="001A415D"/>
    <w:rsid w:val="001A4C19"/>
    <w:rsid w:val="001B2F94"/>
    <w:rsid w:val="001B31CF"/>
    <w:rsid w:val="001B688C"/>
    <w:rsid w:val="001C12AF"/>
    <w:rsid w:val="001C3CC2"/>
    <w:rsid w:val="001D0652"/>
    <w:rsid w:val="001E067E"/>
    <w:rsid w:val="001E16D0"/>
    <w:rsid w:val="001E795E"/>
    <w:rsid w:val="001E79D7"/>
    <w:rsid w:val="001F0C1C"/>
    <w:rsid w:val="001F0E26"/>
    <w:rsid w:val="001F14C5"/>
    <w:rsid w:val="001F1F75"/>
    <w:rsid w:val="001F20AE"/>
    <w:rsid w:val="001F46F3"/>
    <w:rsid w:val="001F6FC1"/>
    <w:rsid w:val="00200C37"/>
    <w:rsid w:val="002024C8"/>
    <w:rsid w:val="002028BB"/>
    <w:rsid w:val="00204247"/>
    <w:rsid w:val="00210377"/>
    <w:rsid w:val="0021064F"/>
    <w:rsid w:val="002151BC"/>
    <w:rsid w:val="00217F95"/>
    <w:rsid w:val="00220309"/>
    <w:rsid w:val="00221D0F"/>
    <w:rsid w:val="00222B57"/>
    <w:rsid w:val="00222EA0"/>
    <w:rsid w:val="00224421"/>
    <w:rsid w:val="002262CA"/>
    <w:rsid w:val="0023071A"/>
    <w:rsid w:val="00230D00"/>
    <w:rsid w:val="00230FF4"/>
    <w:rsid w:val="00245ACC"/>
    <w:rsid w:val="00251056"/>
    <w:rsid w:val="00251456"/>
    <w:rsid w:val="00253466"/>
    <w:rsid w:val="002539A9"/>
    <w:rsid w:val="00257DA0"/>
    <w:rsid w:val="00260799"/>
    <w:rsid w:val="00262294"/>
    <w:rsid w:val="00263B2F"/>
    <w:rsid w:val="0027214C"/>
    <w:rsid w:val="00272307"/>
    <w:rsid w:val="00272886"/>
    <w:rsid w:val="00272EB5"/>
    <w:rsid w:val="00274E49"/>
    <w:rsid w:val="00277344"/>
    <w:rsid w:val="002819FD"/>
    <w:rsid w:val="00283493"/>
    <w:rsid w:val="00283CAD"/>
    <w:rsid w:val="00283D4E"/>
    <w:rsid w:val="002841A8"/>
    <w:rsid w:val="00284C51"/>
    <w:rsid w:val="002917E8"/>
    <w:rsid w:val="00292161"/>
    <w:rsid w:val="00295101"/>
    <w:rsid w:val="002A1D84"/>
    <w:rsid w:val="002A67F4"/>
    <w:rsid w:val="002A6F3E"/>
    <w:rsid w:val="002A7B22"/>
    <w:rsid w:val="002B0E1C"/>
    <w:rsid w:val="002B319F"/>
    <w:rsid w:val="002B48BA"/>
    <w:rsid w:val="002B5274"/>
    <w:rsid w:val="002B5D4E"/>
    <w:rsid w:val="002B6A20"/>
    <w:rsid w:val="002B6A6C"/>
    <w:rsid w:val="002B7379"/>
    <w:rsid w:val="002C0241"/>
    <w:rsid w:val="002C04B2"/>
    <w:rsid w:val="002C4624"/>
    <w:rsid w:val="002C54BA"/>
    <w:rsid w:val="002C633B"/>
    <w:rsid w:val="002C6574"/>
    <w:rsid w:val="002D00DA"/>
    <w:rsid w:val="002D09E7"/>
    <w:rsid w:val="002D4A7A"/>
    <w:rsid w:val="002D6610"/>
    <w:rsid w:val="002D6AA9"/>
    <w:rsid w:val="002D6E92"/>
    <w:rsid w:val="002D707B"/>
    <w:rsid w:val="002D7807"/>
    <w:rsid w:val="002E1AEB"/>
    <w:rsid w:val="002E6071"/>
    <w:rsid w:val="002E617A"/>
    <w:rsid w:val="002E6678"/>
    <w:rsid w:val="002E6923"/>
    <w:rsid w:val="002F1071"/>
    <w:rsid w:val="002F2103"/>
    <w:rsid w:val="002F2702"/>
    <w:rsid w:val="002F4E51"/>
    <w:rsid w:val="002F510A"/>
    <w:rsid w:val="002F7D54"/>
    <w:rsid w:val="003002CA"/>
    <w:rsid w:val="0030460D"/>
    <w:rsid w:val="00307592"/>
    <w:rsid w:val="00313ABD"/>
    <w:rsid w:val="00317D8B"/>
    <w:rsid w:val="00321801"/>
    <w:rsid w:val="00321D36"/>
    <w:rsid w:val="003319B5"/>
    <w:rsid w:val="00334221"/>
    <w:rsid w:val="003374ED"/>
    <w:rsid w:val="00342CEE"/>
    <w:rsid w:val="00346DF6"/>
    <w:rsid w:val="003516B6"/>
    <w:rsid w:val="00353A4C"/>
    <w:rsid w:val="00355574"/>
    <w:rsid w:val="0035756E"/>
    <w:rsid w:val="00357FDA"/>
    <w:rsid w:val="0036078D"/>
    <w:rsid w:val="003612FC"/>
    <w:rsid w:val="00363187"/>
    <w:rsid w:val="00371B5E"/>
    <w:rsid w:val="003723B3"/>
    <w:rsid w:val="00373DCE"/>
    <w:rsid w:val="0037732A"/>
    <w:rsid w:val="00377D53"/>
    <w:rsid w:val="003808C4"/>
    <w:rsid w:val="00381FBC"/>
    <w:rsid w:val="00382244"/>
    <w:rsid w:val="003832EA"/>
    <w:rsid w:val="00383460"/>
    <w:rsid w:val="003835E4"/>
    <w:rsid w:val="00385BCC"/>
    <w:rsid w:val="00385F42"/>
    <w:rsid w:val="00396770"/>
    <w:rsid w:val="003967AB"/>
    <w:rsid w:val="003A1465"/>
    <w:rsid w:val="003A4539"/>
    <w:rsid w:val="003A4EB3"/>
    <w:rsid w:val="003A5966"/>
    <w:rsid w:val="003B4400"/>
    <w:rsid w:val="003B46E7"/>
    <w:rsid w:val="003C1714"/>
    <w:rsid w:val="003C2059"/>
    <w:rsid w:val="003D02D4"/>
    <w:rsid w:val="003D139D"/>
    <w:rsid w:val="003D6FB0"/>
    <w:rsid w:val="003E433B"/>
    <w:rsid w:val="003E4400"/>
    <w:rsid w:val="003E51DA"/>
    <w:rsid w:val="003E5BC8"/>
    <w:rsid w:val="003E6107"/>
    <w:rsid w:val="003E7D56"/>
    <w:rsid w:val="003F0032"/>
    <w:rsid w:val="003F0E79"/>
    <w:rsid w:val="003F3280"/>
    <w:rsid w:val="003F3E25"/>
    <w:rsid w:val="003F7B31"/>
    <w:rsid w:val="00400410"/>
    <w:rsid w:val="00404C91"/>
    <w:rsid w:val="00405E1E"/>
    <w:rsid w:val="00406000"/>
    <w:rsid w:val="004061BA"/>
    <w:rsid w:val="00410181"/>
    <w:rsid w:val="004118FD"/>
    <w:rsid w:val="00411A78"/>
    <w:rsid w:val="004213E5"/>
    <w:rsid w:val="00424DBC"/>
    <w:rsid w:val="004302DE"/>
    <w:rsid w:val="00431860"/>
    <w:rsid w:val="00433038"/>
    <w:rsid w:val="00433F89"/>
    <w:rsid w:val="00442610"/>
    <w:rsid w:val="004426B5"/>
    <w:rsid w:val="00442DCD"/>
    <w:rsid w:val="00444754"/>
    <w:rsid w:val="00452CEF"/>
    <w:rsid w:val="00462213"/>
    <w:rsid w:val="00464DEF"/>
    <w:rsid w:val="00467645"/>
    <w:rsid w:val="00473AF2"/>
    <w:rsid w:val="004752AF"/>
    <w:rsid w:val="004903E8"/>
    <w:rsid w:val="00491852"/>
    <w:rsid w:val="00491D17"/>
    <w:rsid w:val="0049294C"/>
    <w:rsid w:val="004938CA"/>
    <w:rsid w:val="00493A27"/>
    <w:rsid w:val="00493EE8"/>
    <w:rsid w:val="00494124"/>
    <w:rsid w:val="004978CE"/>
    <w:rsid w:val="004A2B8E"/>
    <w:rsid w:val="004A3DD0"/>
    <w:rsid w:val="004A5E3E"/>
    <w:rsid w:val="004A60D8"/>
    <w:rsid w:val="004A717A"/>
    <w:rsid w:val="004B1CFB"/>
    <w:rsid w:val="004B3108"/>
    <w:rsid w:val="004B5B00"/>
    <w:rsid w:val="004B6762"/>
    <w:rsid w:val="004C748E"/>
    <w:rsid w:val="004D3A9D"/>
    <w:rsid w:val="004D4947"/>
    <w:rsid w:val="004D4CCB"/>
    <w:rsid w:val="004D4D44"/>
    <w:rsid w:val="004D6360"/>
    <w:rsid w:val="004E37DF"/>
    <w:rsid w:val="004E4498"/>
    <w:rsid w:val="004F143B"/>
    <w:rsid w:val="004F1683"/>
    <w:rsid w:val="004F551B"/>
    <w:rsid w:val="004F5787"/>
    <w:rsid w:val="0050347A"/>
    <w:rsid w:val="00503E51"/>
    <w:rsid w:val="005043FB"/>
    <w:rsid w:val="005054E0"/>
    <w:rsid w:val="005102D8"/>
    <w:rsid w:val="00512CAE"/>
    <w:rsid w:val="00512F6A"/>
    <w:rsid w:val="00515585"/>
    <w:rsid w:val="00515C43"/>
    <w:rsid w:val="00517AD4"/>
    <w:rsid w:val="00520431"/>
    <w:rsid w:val="0052262C"/>
    <w:rsid w:val="0053285B"/>
    <w:rsid w:val="0053394E"/>
    <w:rsid w:val="005409E7"/>
    <w:rsid w:val="00541023"/>
    <w:rsid w:val="00544866"/>
    <w:rsid w:val="00546792"/>
    <w:rsid w:val="005468E9"/>
    <w:rsid w:val="0055465A"/>
    <w:rsid w:val="00554FCD"/>
    <w:rsid w:val="00555405"/>
    <w:rsid w:val="005661BE"/>
    <w:rsid w:val="005671A5"/>
    <w:rsid w:val="00570439"/>
    <w:rsid w:val="00570CA3"/>
    <w:rsid w:val="005719C4"/>
    <w:rsid w:val="00573D48"/>
    <w:rsid w:val="005758E8"/>
    <w:rsid w:val="005772F4"/>
    <w:rsid w:val="005777E2"/>
    <w:rsid w:val="005804D9"/>
    <w:rsid w:val="005805BA"/>
    <w:rsid w:val="005820EE"/>
    <w:rsid w:val="005830DE"/>
    <w:rsid w:val="00585B6A"/>
    <w:rsid w:val="00586A4A"/>
    <w:rsid w:val="00590C6E"/>
    <w:rsid w:val="005910D7"/>
    <w:rsid w:val="005935A5"/>
    <w:rsid w:val="00595347"/>
    <w:rsid w:val="00596025"/>
    <w:rsid w:val="005975D0"/>
    <w:rsid w:val="005A15A5"/>
    <w:rsid w:val="005A1D8F"/>
    <w:rsid w:val="005A2E1B"/>
    <w:rsid w:val="005B1169"/>
    <w:rsid w:val="005B4340"/>
    <w:rsid w:val="005B6E2F"/>
    <w:rsid w:val="005B7F25"/>
    <w:rsid w:val="005C4DB4"/>
    <w:rsid w:val="005C76DD"/>
    <w:rsid w:val="005C7BA2"/>
    <w:rsid w:val="005D2592"/>
    <w:rsid w:val="005D525E"/>
    <w:rsid w:val="005E0B99"/>
    <w:rsid w:val="005E1F34"/>
    <w:rsid w:val="005E2932"/>
    <w:rsid w:val="005E33EC"/>
    <w:rsid w:val="005E50C7"/>
    <w:rsid w:val="005F1945"/>
    <w:rsid w:val="005F3344"/>
    <w:rsid w:val="005F4281"/>
    <w:rsid w:val="005F43B4"/>
    <w:rsid w:val="005F70F0"/>
    <w:rsid w:val="005F799B"/>
    <w:rsid w:val="00604BDC"/>
    <w:rsid w:val="00606871"/>
    <w:rsid w:val="006077BF"/>
    <w:rsid w:val="00607EC0"/>
    <w:rsid w:val="0061020F"/>
    <w:rsid w:val="00610FD3"/>
    <w:rsid w:val="006114DA"/>
    <w:rsid w:val="00611625"/>
    <w:rsid w:val="0061364C"/>
    <w:rsid w:val="00615CE0"/>
    <w:rsid w:val="00616CEE"/>
    <w:rsid w:val="00617F04"/>
    <w:rsid w:val="0062506B"/>
    <w:rsid w:val="006279D4"/>
    <w:rsid w:val="00627E11"/>
    <w:rsid w:val="00631B80"/>
    <w:rsid w:val="00640FA7"/>
    <w:rsid w:val="00644A97"/>
    <w:rsid w:val="00644B46"/>
    <w:rsid w:val="0064708D"/>
    <w:rsid w:val="006473DE"/>
    <w:rsid w:val="00647BBB"/>
    <w:rsid w:val="00655FE7"/>
    <w:rsid w:val="00655FF5"/>
    <w:rsid w:val="0066078A"/>
    <w:rsid w:val="00661FBB"/>
    <w:rsid w:val="0067015F"/>
    <w:rsid w:val="0067318E"/>
    <w:rsid w:val="006741F1"/>
    <w:rsid w:val="006744C4"/>
    <w:rsid w:val="0067485E"/>
    <w:rsid w:val="00681279"/>
    <w:rsid w:val="006820B3"/>
    <w:rsid w:val="006842AB"/>
    <w:rsid w:val="006845E0"/>
    <w:rsid w:val="00684E32"/>
    <w:rsid w:val="00687159"/>
    <w:rsid w:val="00690BDC"/>
    <w:rsid w:val="00691335"/>
    <w:rsid w:val="006920D5"/>
    <w:rsid w:val="006928C5"/>
    <w:rsid w:val="00697F10"/>
    <w:rsid w:val="006A05F7"/>
    <w:rsid w:val="006A12AA"/>
    <w:rsid w:val="006A5545"/>
    <w:rsid w:val="006A5A35"/>
    <w:rsid w:val="006A5CB2"/>
    <w:rsid w:val="006B2725"/>
    <w:rsid w:val="006B4123"/>
    <w:rsid w:val="006B43CF"/>
    <w:rsid w:val="006B72A6"/>
    <w:rsid w:val="006C3811"/>
    <w:rsid w:val="006C3FF6"/>
    <w:rsid w:val="006D1417"/>
    <w:rsid w:val="006D1717"/>
    <w:rsid w:val="006D17A0"/>
    <w:rsid w:val="006D2120"/>
    <w:rsid w:val="006D23B8"/>
    <w:rsid w:val="006D78E8"/>
    <w:rsid w:val="006E05C4"/>
    <w:rsid w:val="006E190D"/>
    <w:rsid w:val="006E1BFE"/>
    <w:rsid w:val="006E43C4"/>
    <w:rsid w:val="006E5E11"/>
    <w:rsid w:val="006F1C9F"/>
    <w:rsid w:val="006F343C"/>
    <w:rsid w:val="006F3AEF"/>
    <w:rsid w:val="006F51DC"/>
    <w:rsid w:val="00700C4A"/>
    <w:rsid w:val="007012C8"/>
    <w:rsid w:val="00703C65"/>
    <w:rsid w:val="00710CB9"/>
    <w:rsid w:val="00712C05"/>
    <w:rsid w:val="00714679"/>
    <w:rsid w:val="00715819"/>
    <w:rsid w:val="00717711"/>
    <w:rsid w:val="00717A58"/>
    <w:rsid w:val="00717B0B"/>
    <w:rsid w:val="007203B5"/>
    <w:rsid w:val="007251D7"/>
    <w:rsid w:val="007265CA"/>
    <w:rsid w:val="0072665E"/>
    <w:rsid w:val="00730E17"/>
    <w:rsid w:val="0073197D"/>
    <w:rsid w:val="00733DAC"/>
    <w:rsid w:val="00734E9C"/>
    <w:rsid w:val="007370C8"/>
    <w:rsid w:val="0073772C"/>
    <w:rsid w:val="00743E91"/>
    <w:rsid w:val="00752CCF"/>
    <w:rsid w:val="00753648"/>
    <w:rsid w:val="007539DA"/>
    <w:rsid w:val="00755C55"/>
    <w:rsid w:val="00763D2B"/>
    <w:rsid w:val="00764619"/>
    <w:rsid w:val="00771680"/>
    <w:rsid w:val="00773694"/>
    <w:rsid w:val="0077590F"/>
    <w:rsid w:val="00776236"/>
    <w:rsid w:val="00776A46"/>
    <w:rsid w:val="00777829"/>
    <w:rsid w:val="0078036A"/>
    <w:rsid w:val="00780FCF"/>
    <w:rsid w:val="00787AEC"/>
    <w:rsid w:val="007A0E41"/>
    <w:rsid w:val="007A6586"/>
    <w:rsid w:val="007A6F0A"/>
    <w:rsid w:val="007A7020"/>
    <w:rsid w:val="007A74A0"/>
    <w:rsid w:val="007B4F3B"/>
    <w:rsid w:val="007C3BDA"/>
    <w:rsid w:val="007C5CD4"/>
    <w:rsid w:val="007C679B"/>
    <w:rsid w:val="007C7995"/>
    <w:rsid w:val="007D3C1B"/>
    <w:rsid w:val="007D4081"/>
    <w:rsid w:val="007D5753"/>
    <w:rsid w:val="007D76FD"/>
    <w:rsid w:val="007E01D2"/>
    <w:rsid w:val="007E1490"/>
    <w:rsid w:val="007E58A0"/>
    <w:rsid w:val="007F760D"/>
    <w:rsid w:val="007F781C"/>
    <w:rsid w:val="00800219"/>
    <w:rsid w:val="0080047F"/>
    <w:rsid w:val="0080145D"/>
    <w:rsid w:val="00802414"/>
    <w:rsid w:val="008028BA"/>
    <w:rsid w:val="00803CA9"/>
    <w:rsid w:val="00807E28"/>
    <w:rsid w:val="00812748"/>
    <w:rsid w:val="00813A70"/>
    <w:rsid w:val="00820C9C"/>
    <w:rsid w:val="008242EE"/>
    <w:rsid w:val="00825420"/>
    <w:rsid w:val="00825D06"/>
    <w:rsid w:val="00830680"/>
    <w:rsid w:val="00831A4E"/>
    <w:rsid w:val="00831EBB"/>
    <w:rsid w:val="00833247"/>
    <w:rsid w:val="00837EA6"/>
    <w:rsid w:val="008429D3"/>
    <w:rsid w:val="00844F64"/>
    <w:rsid w:val="00845368"/>
    <w:rsid w:val="00846D79"/>
    <w:rsid w:val="008471B2"/>
    <w:rsid w:val="00860B01"/>
    <w:rsid w:val="00861C91"/>
    <w:rsid w:val="00864F16"/>
    <w:rsid w:val="00872924"/>
    <w:rsid w:val="008841B5"/>
    <w:rsid w:val="00884716"/>
    <w:rsid w:val="00887AA8"/>
    <w:rsid w:val="0089080C"/>
    <w:rsid w:val="00893A27"/>
    <w:rsid w:val="00896D19"/>
    <w:rsid w:val="008B0D20"/>
    <w:rsid w:val="008B1687"/>
    <w:rsid w:val="008B1A1F"/>
    <w:rsid w:val="008B2199"/>
    <w:rsid w:val="008B3D95"/>
    <w:rsid w:val="008B3DAA"/>
    <w:rsid w:val="008B4AAA"/>
    <w:rsid w:val="008B76D2"/>
    <w:rsid w:val="008C3437"/>
    <w:rsid w:val="008C3608"/>
    <w:rsid w:val="008D2D01"/>
    <w:rsid w:val="008D3FA8"/>
    <w:rsid w:val="008D7744"/>
    <w:rsid w:val="008E0636"/>
    <w:rsid w:val="008E0AAD"/>
    <w:rsid w:val="008E186D"/>
    <w:rsid w:val="008E1EF0"/>
    <w:rsid w:val="008E2CDC"/>
    <w:rsid w:val="008E304A"/>
    <w:rsid w:val="008E3D01"/>
    <w:rsid w:val="008E6C86"/>
    <w:rsid w:val="008F17E0"/>
    <w:rsid w:val="008F1E58"/>
    <w:rsid w:val="008F614F"/>
    <w:rsid w:val="008F746D"/>
    <w:rsid w:val="00903FCC"/>
    <w:rsid w:val="00912F65"/>
    <w:rsid w:val="009135B5"/>
    <w:rsid w:val="0091516E"/>
    <w:rsid w:val="0092033B"/>
    <w:rsid w:val="009203C6"/>
    <w:rsid w:val="00921592"/>
    <w:rsid w:val="00923ED7"/>
    <w:rsid w:val="0092445C"/>
    <w:rsid w:val="00927EE1"/>
    <w:rsid w:val="009300E6"/>
    <w:rsid w:val="009319DE"/>
    <w:rsid w:val="00934224"/>
    <w:rsid w:val="00934411"/>
    <w:rsid w:val="00934443"/>
    <w:rsid w:val="0093534C"/>
    <w:rsid w:val="00935540"/>
    <w:rsid w:val="00936C1D"/>
    <w:rsid w:val="009401E4"/>
    <w:rsid w:val="00940A4B"/>
    <w:rsid w:val="00942420"/>
    <w:rsid w:val="009438B5"/>
    <w:rsid w:val="0094461F"/>
    <w:rsid w:val="00944B48"/>
    <w:rsid w:val="00946D1C"/>
    <w:rsid w:val="009564F1"/>
    <w:rsid w:val="00960123"/>
    <w:rsid w:val="009639D4"/>
    <w:rsid w:val="00966B86"/>
    <w:rsid w:val="00967D11"/>
    <w:rsid w:val="00970955"/>
    <w:rsid w:val="00971D0C"/>
    <w:rsid w:val="00974ABE"/>
    <w:rsid w:val="009779D9"/>
    <w:rsid w:val="00980F22"/>
    <w:rsid w:val="009826E4"/>
    <w:rsid w:val="009909DF"/>
    <w:rsid w:val="0099196C"/>
    <w:rsid w:val="00991F34"/>
    <w:rsid w:val="0099366F"/>
    <w:rsid w:val="00994CBB"/>
    <w:rsid w:val="009954CB"/>
    <w:rsid w:val="00995755"/>
    <w:rsid w:val="009A66D4"/>
    <w:rsid w:val="009B21D4"/>
    <w:rsid w:val="009B47B9"/>
    <w:rsid w:val="009C1083"/>
    <w:rsid w:val="009C1890"/>
    <w:rsid w:val="009C375B"/>
    <w:rsid w:val="009C4723"/>
    <w:rsid w:val="009D244C"/>
    <w:rsid w:val="009D6259"/>
    <w:rsid w:val="009E2446"/>
    <w:rsid w:val="009E3199"/>
    <w:rsid w:val="009E4D59"/>
    <w:rsid w:val="009E78E3"/>
    <w:rsid w:val="009F0996"/>
    <w:rsid w:val="009F1786"/>
    <w:rsid w:val="009F261A"/>
    <w:rsid w:val="009F4E72"/>
    <w:rsid w:val="009F5C3C"/>
    <w:rsid w:val="009F68AD"/>
    <w:rsid w:val="00A004F0"/>
    <w:rsid w:val="00A0089C"/>
    <w:rsid w:val="00A01B68"/>
    <w:rsid w:val="00A13DA1"/>
    <w:rsid w:val="00A14DEB"/>
    <w:rsid w:val="00A17408"/>
    <w:rsid w:val="00A23242"/>
    <w:rsid w:val="00A30994"/>
    <w:rsid w:val="00A31D26"/>
    <w:rsid w:val="00A34057"/>
    <w:rsid w:val="00A34706"/>
    <w:rsid w:val="00A366ED"/>
    <w:rsid w:val="00A4087E"/>
    <w:rsid w:val="00A442D7"/>
    <w:rsid w:val="00A46AF5"/>
    <w:rsid w:val="00A47F79"/>
    <w:rsid w:val="00A511A1"/>
    <w:rsid w:val="00A52EBD"/>
    <w:rsid w:val="00A5469F"/>
    <w:rsid w:val="00A5640F"/>
    <w:rsid w:val="00A6506D"/>
    <w:rsid w:val="00A66569"/>
    <w:rsid w:val="00A7093F"/>
    <w:rsid w:val="00A76E5D"/>
    <w:rsid w:val="00A800F7"/>
    <w:rsid w:val="00A80669"/>
    <w:rsid w:val="00A83F11"/>
    <w:rsid w:val="00A86F4E"/>
    <w:rsid w:val="00A92148"/>
    <w:rsid w:val="00A92165"/>
    <w:rsid w:val="00A95992"/>
    <w:rsid w:val="00A96A95"/>
    <w:rsid w:val="00AA3322"/>
    <w:rsid w:val="00AA4FC3"/>
    <w:rsid w:val="00AA6D42"/>
    <w:rsid w:val="00AA7176"/>
    <w:rsid w:val="00AA73B6"/>
    <w:rsid w:val="00AB2618"/>
    <w:rsid w:val="00AB3608"/>
    <w:rsid w:val="00AB5978"/>
    <w:rsid w:val="00AB6894"/>
    <w:rsid w:val="00AC0259"/>
    <w:rsid w:val="00AC3759"/>
    <w:rsid w:val="00AC5726"/>
    <w:rsid w:val="00AC7F7D"/>
    <w:rsid w:val="00AD230F"/>
    <w:rsid w:val="00AD27AE"/>
    <w:rsid w:val="00AD2CF5"/>
    <w:rsid w:val="00AD6A30"/>
    <w:rsid w:val="00AE4F25"/>
    <w:rsid w:val="00AF00EA"/>
    <w:rsid w:val="00AF220D"/>
    <w:rsid w:val="00B0060F"/>
    <w:rsid w:val="00B03939"/>
    <w:rsid w:val="00B07607"/>
    <w:rsid w:val="00B11D76"/>
    <w:rsid w:val="00B12CFF"/>
    <w:rsid w:val="00B12F2E"/>
    <w:rsid w:val="00B15375"/>
    <w:rsid w:val="00B163F1"/>
    <w:rsid w:val="00B170E0"/>
    <w:rsid w:val="00B175AA"/>
    <w:rsid w:val="00B17D95"/>
    <w:rsid w:val="00B3033C"/>
    <w:rsid w:val="00B31C12"/>
    <w:rsid w:val="00B32513"/>
    <w:rsid w:val="00B331A2"/>
    <w:rsid w:val="00B35C03"/>
    <w:rsid w:val="00B40B34"/>
    <w:rsid w:val="00B40E8C"/>
    <w:rsid w:val="00B41235"/>
    <w:rsid w:val="00B47034"/>
    <w:rsid w:val="00B47E06"/>
    <w:rsid w:val="00B51F7A"/>
    <w:rsid w:val="00B52654"/>
    <w:rsid w:val="00B52EA2"/>
    <w:rsid w:val="00B54EDA"/>
    <w:rsid w:val="00B55CBE"/>
    <w:rsid w:val="00B56954"/>
    <w:rsid w:val="00B57902"/>
    <w:rsid w:val="00B62B24"/>
    <w:rsid w:val="00B634ED"/>
    <w:rsid w:val="00B641D2"/>
    <w:rsid w:val="00B66DA1"/>
    <w:rsid w:val="00B66DB1"/>
    <w:rsid w:val="00B6765D"/>
    <w:rsid w:val="00B7053B"/>
    <w:rsid w:val="00B71B9E"/>
    <w:rsid w:val="00B732D1"/>
    <w:rsid w:val="00B73CB0"/>
    <w:rsid w:val="00B7575F"/>
    <w:rsid w:val="00B76433"/>
    <w:rsid w:val="00B77F39"/>
    <w:rsid w:val="00B816FB"/>
    <w:rsid w:val="00B81F45"/>
    <w:rsid w:val="00B820D3"/>
    <w:rsid w:val="00B8255E"/>
    <w:rsid w:val="00B84178"/>
    <w:rsid w:val="00B923C1"/>
    <w:rsid w:val="00B93A8F"/>
    <w:rsid w:val="00B943B4"/>
    <w:rsid w:val="00B950E4"/>
    <w:rsid w:val="00B9569C"/>
    <w:rsid w:val="00B96F41"/>
    <w:rsid w:val="00BA0204"/>
    <w:rsid w:val="00BA1724"/>
    <w:rsid w:val="00BA755A"/>
    <w:rsid w:val="00BB0529"/>
    <w:rsid w:val="00BB1A2F"/>
    <w:rsid w:val="00BB31A4"/>
    <w:rsid w:val="00BB416B"/>
    <w:rsid w:val="00BB5F7D"/>
    <w:rsid w:val="00BB7C00"/>
    <w:rsid w:val="00BC1291"/>
    <w:rsid w:val="00BD191C"/>
    <w:rsid w:val="00BD1F42"/>
    <w:rsid w:val="00BD58DE"/>
    <w:rsid w:val="00BD5CAD"/>
    <w:rsid w:val="00BD777E"/>
    <w:rsid w:val="00BE1C17"/>
    <w:rsid w:val="00BE3150"/>
    <w:rsid w:val="00BE35FD"/>
    <w:rsid w:val="00BE6576"/>
    <w:rsid w:val="00BE7B8B"/>
    <w:rsid w:val="00BE7E64"/>
    <w:rsid w:val="00BF11EB"/>
    <w:rsid w:val="00BF1B2F"/>
    <w:rsid w:val="00BF2754"/>
    <w:rsid w:val="00BF487E"/>
    <w:rsid w:val="00C01F2E"/>
    <w:rsid w:val="00C01F9C"/>
    <w:rsid w:val="00C0277D"/>
    <w:rsid w:val="00C11F64"/>
    <w:rsid w:val="00C12935"/>
    <w:rsid w:val="00C132A0"/>
    <w:rsid w:val="00C14083"/>
    <w:rsid w:val="00C1755D"/>
    <w:rsid w:val="00C217A8"/>
    <w:rsid w:val="00C21D0B"/>
    <w:rsid w:val="00C21F16"/>
    <w:rsid w:val="00C25130"/>
    <w:rsid w:val="00C261B9"/>
    <w:rsid w:val="00C3029B"/>
    <w:rsid w:val="00C33861"/>
    <w:rsid w:val="00C33FDC"/>
    <w:rsid w:val="00C35659"/>
    <w:rsid w:val="00C4007B"/>
    <w:rsid w:val="00C41EB1"/>
    <w:rsid w:val="00C4225E"/>
    <w:rsid w:val="00C45B15"/>
    <w:rsid w:val="00C46E1D"/>
    <w:rsid w:val="00C521E5"/>
    <w:rsid w:val="00C56640"/>
    <w:rsid w:val="00C57D9E"/>
    <w:rsid w:val="00C60934"/>
    <w:rsid w:val="00C60EB8"/>
    <w:rsid w:val="00C61593"/>
    <w:rsid w:val="00C62415"/>
    <w:rsid w:val="00C635CF"/>
    <w:rsid w:val="00C64852"/>
    <w:rsid w:val="00C67C99"/>
    <w:rsid w:val="00C7291C"/>
    <w:rsid w:val="00C72B74"/>
    <w:rsid w:val="00C72DEC"/>
    <w:rsid w:val="00C731DE"/>
    <w:rsid w:val="00C732FB"/>
    <w:rsid w:val="00C73C41"/>
    <w:rsid w:val="00C7438C"/>
    <w:rsid w:val="00C7744C"/>
    <w:rsid w:val="00C80876"/>
    <w:rsid w:val="00C80DB4"/>
    <w:rsid w:val="00C81873"/>
    <w:rsid w:val="00C826F9"/>
    <w:rsid w:val="00C8417E"/>
    <w:rsid w:val="00C87D78"/>
    <w:rsid w:val="00C90823"/>
    <w:rsid w:val="00C91EA8"/>
    <w:rsid w:val="00CA4D71"/>
    <w:rsid w:val="00CA6C0F"/>
    <w:rsid w:val="00CB40CA"/>
    <w:rsid w:val="00CB7A14"/>
    <w:rsid w:val="00CC0EDA"/>
    <w:rsid w:val="00CC2369"/>
    <w:rsid w:val="00CC642D"/>
    <w:rsid w:val="00CC6CFD"/>
    <w:rsid w:val="00CC712E"/>
    <w:rsid w:val="00CD04FF"/>
    <w:rsid w:val="00CD23A0"/>
    <w:rsid w:val="00CD5BC4"/>
    <w:rsid w:val="00CD5F4F"/>
    <w:rsid w:val="00CD6DCF"/>
    <w:rsid w:val="00CD7106"/>
    <w:rsid w:val="00CD7F6E"/>
    <w:rsid w:val="00CE300A"/>
    <w:rsid w:val="00CE4A63"/>
    <w:rsid w:val="00CE5BDF"/>
    <w:rsid w:val="00CE70D9"/>
    <w:rsid w:val="00CE769E"/>
    <w:rsid w:val="00CF0EA3"/>
    <w:rsid w:val="00CF14EE"/>
    <w:rsid w:val="00CF4230"/>
    <w:rsid w:val="00CF6208"/>
    <w:rsid w:val="00D02730"/>
    <w:rsid w:val="00D034B7"/>
    <w:rsid w:val="00D044F7"/>
    <w:rsid w:val="00D04964"/>
    <w:rsid w:val="00D05C0E"/>
    <w:rsid w:val="00D12C82"/>
    <w:rsid w:val="00D12F64"/>
    <w:rsid w:val="00D137EC"/>
    <w:rsid w:val="00D15698"/>
    <w:rsid w:val="00D15AA4"/>
    <w:rsid w:val="00D15AB8"/>
    <w:rsid w:val="00D17F1C"/>
    <w:rsid w:val="00D20B4B"/>
    <w:rsid w:val="00D23927"/>
    <w:rsid w:val="00D268E7"/>
    <w:rsid w:val="00D271D3"/>
    <w:rsid w:val="00D310B7"/>
    <w:rsid w:val="00D31D2A"/>
    <w:rsid w:val="00D32B72"/>
    <w:rsid w:val="00D37EAB"/>
    <w:rsid w:val="00D41287"/>
    <w:rsid w:val="00D41EBB"/>
    <w:rsid w:val="00D44537"/>
    <w:rsid w:val="00D44CB1"/>
    <w:rsid w:val="00D45126"/>
    <w:rsid w:val="00D54F06"/>
    <w:rsid w:val="00D5554C"/>
    <w:rsid w:val="00D61F80"/>
    <w:rsid w:val="00D663CA"/>
    <w:rsid w:val="00D674E8"/>
    <w:rsid w:val="00D73B0A"/>
    <w:rsid w:val="00D75233"/>
    <w:rsid w:val="00D80614"/>
    <w:rsid w:val="00D82A56"/>
    <w:rsid w:val="00D82DAE"/>
    <w:rsid w:val="00D855F4"/>
    <w:rsid w:val="00D877DB"/>
    <w:rsid w:val="00D91776"/>
    <w:rsid w:val="00D91F07"/>
    <w:rsid w:val="00D933EF"/>
    <w:rsid w:val="00D94920"/>
    <w:rsid w:val="00D96EE7"/>
    <w:rsid w:val="00DA1B9D"/>
    <w:rsid w:val="00DA45D8"/>
    <w:rsid w:val="00DA57CD"/>
    <w:rsid w:val="00DB191E"/>
    <w:rsid w:val="00DB4ABD"/>
    <w:rsid w:val="00DB4B68"/>
    <w:rsid w:val="00DC0572"/>
    <w:rsid w:val="00DC47AB"/>
    <w:rsid w:val="00DC5336"/>
    <w:rsid w:val="00DD242D"/>
    <w:rsid w:val="00DD25BC"/>
    <w:rsid w:val="00DD2DE8"/>
    <w:rsid w:val="00DD3B93"/>
    <w:rsid w:val="00DD54DF"/>
    <w:rsid w:val="00DE17A1"/>
    <w:rsid w:val="00DE1F5C"/>
    <w:rsid w:val="00DE28BA"/>
    <w:rsid w:val="00DF3F06"/>
    <w:rsid w:val="00DF430D"/>
    <w:rsid w:val="00E0133A"/>
    <w:rsid w:val="00E0608B"/>
    <w:rsid w:val="00E06DD9"/>
    <w:rsid w:val="00E11C35"/>
    <w:rsid w:val="00E16FC1"/>
    <w:rsid w:val="00E2627D"/>
    <w:rsid w:val="00E30785"/>
    <w:rsid w:val="00E324A7"/>
    <w:rsid w:val="00E34AE0"/>
    <w:rsid w:val="00E378A9"/>
    <w:rsid w:val="00E42EFF"/>
    <w:rsid w:val="00E43E20"/>
    <w:rsid w:val="00E55601"/>
    <w:rsid w:val="00E70C42"/>
    <w:rsid w:val="00E71F94"/>
    <w:rsid w:val="00E7384F"/>
    <w:rsid w:val="00E74248"/>
    <w:rsid w:val="00E7532C"/>
    <w:rsid w:val="00E77C38"/>
    <w:rsid w:val="00E80904"/>
    <w:rsid w:val="00E80BDD"/>
    <w:rsid w:val="00E80FB8"/>
    <w:rsid w:val="00E81675"/>
    <w:rsid w:val="00E83E7F"/>
    <w:rsid w:val="00E84EFF"/>
    <w:rsid w:val="00E850BC"/>
    <w:rsid w:val="00E85A54"/>
    <w:rsid w:val="00E86A30"/>
    <w:rsid w:val="00E872F9"/>
    <w:rsid w:val="00E87D2B"/>
    <w:rsid w:val="00E93E11"/>
    <w:rsid w:val="00E94844"/>
    <w:rsid w:val="00E9499F"/>
    <w:rsid w:val="00E96424"/>
    <w:rsid w:val="00E97FD1"/>
    <w:rsid w:val="00EA01C2"/>
    <w:rsid w:val="00EA14B1"/>
    <w:rsid w:val="00EA216C"/>
    <w:rsid w:val="00EA3585"/>
    <w:rsid w:val="00EA36BA"/>
    <w:rsid w:val="00EA424F"/>
    <w:rsid w:val="00EA468B"/>
    <w:rsid w:val="00EA5AA7"/>
    <w:rsid w:val="00EA67E8"/>
    <w:rsid w:val="00EA6F27"/>
    <w:rsid w:val="00EB3EAD"/>
    <w:rsid w:val="00EB4832"/>
    <w:rsid w:val="00EB50CB"/>
    <w:rsid w:val="00EB6C3E"/>
    <w:rsid w:val="00EC0268"/>
    <w:rsid w:val="00EC2BAC"/>
    <w:rsid w:val="00EC622D"/>
    <w:rsid w:val="00EC70DD"/>
    <w:rsid w:val="00ED0181"/>
    <w:rsid w:val="00ED06D1"/>
    <w:rsid w:val="00EE15A1"/>
    <w:rsid w:val="00EE5FF3"/>
    <w:rsid w:val="00EF13A7"/>
    <w:rsid w:val="00EF1DF3"/>
    <w:rsid w:val="00EF446F"/>
    <w:rsid w:val="00EF4786"/>
    <w:rsid w:val="00EF4E61"/>
    <w:rsid w:val="00F011BA"/>
    <w:rsid w:val="00F03E2F"/>
    <w:rsid w:val="00F04A11"/>
    <w:rsid w:val="00F05438"/>
    <w:rsid w:val="00F11373"/>
    <w:rsid w:val="00F12913"/>
    <w:rsid w:val="00F14418"/>
    <w:rsid w:val="00F148B2"/>
    <w:rsid w:val="00F15F18"/>
    <w:rsid w:val="00F16C09"/>
    <w:rsid w:val="00F247BC"/>
    <w:rsid w:val="00F3226B"/>
    <w:rsid w:val="00F331AC"/>
    <w:rsid w:val="00F342C7"/>
    <w:rsid w:val="00F35C53"/>
    <w:rsid w:val="00F36627"/>
    <w:rsid w:val="00F400FC"/>
    <w:rsid w:val="00F405F9"/>
    <w:rsid w:val="00F4637E"/>
    <w:rsid w:val="00F46FF8"/>
    <w:rsid w:val="00F47A93"/>
    <w:rsid w:val="00F51502"/>
    <w:rsid w:val="00F55965"/>
    <w:rsid w:val="00F56FAE"/>
    <w:rsid w:val="00F57DBF"/>
    <w:rsid w:val="00F60663"/>
    <w:rsid w:val="00F63084"/>
    <w:rsid w:val="00F71F74"/>
    <w:rsid w:val="00F720D6"/>
    <w:rsid w:val="00F75E07"/>
    <w:rsid w:val="00F7710B"/>
    <w:rsid w:val="00F77137"/>
    <w:rsid w:val="00F777C7"/>
    <w:rsid w:val="00F8132B"/>
    <w:rsid w:val="00F85B74"/>
    <w:rsid w:val="00F90E72"/>
    <w:rsid w:val="00F922BB"/>
    <w:rsid w:val="00F9284B"/>
    <w:rsid w:val="00F93B23"/>
    <w:rsid w:val="00F95E8E"/>
    <w:rsid w:val="00F96FEC"/>
    <w:rsid w:val="00FA206A"/>
    <w:rsid w:val="00FA3979"/>
    <w:rsid w:val="00FA59D2"/>
    <w:rsid w:val="00FA5B27"/>
    <w:rsid w:val="00FA5B4B"/>
    <w:rsid w:val="00FB1F52"/>
    <w:rsid w:val="00FB23DD"/>
    <w:rsid w:val="00FB37A9"/>
    <w:rsid w:val="00FB41D2"/>
    <w:rsid w:val="00FC07DB"/>
    <w:rsid w:val="00FC61E0"/>
    <w:rsid w:val="00FC7E58"/>
    <w:rsid w:val="00FD0B64"/>
    <w:rsid w:val="00FD3DA7"/>
    <w:rsid w:val="00FD55EC"/>
    <w:rsid w:val="00FD662A"/>
    <w:rsid w:val="00FE0312"/>
    <w:rsid w:val="00FE72DD"/>
    <w:rsid w:val="00FE788D"/>
    <w:rsid w:val="00FE7F31"/>
    <w:rsid w:val="00FF306C"/>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2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473AF2"/>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473AF2"/>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73AF2"/>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73AF2"/>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73AF2"/>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rsid w:val="00473AF2"/>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73AF2"/>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73AF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73AF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73AF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473AF2"/>
    <w:rPr>
      <w:vertAlign w:val="superscript"/>
    </w:rPr>
  </w:style>
  <w:style w:type="paragraph" w:styleId="ListBullet">
    <w:name w:val="List Bullet"/>
    <w:basedOn w:val="Normal"/>
    <w:uiPriority w:val="3"/>
    <w:semiHidden/>
    <w:rsid w:val="00473AF2"/>
    <w:pPr>
      <w:numPr>
        <w:numId w:val="2"/>
      </w:numPr>
    </w:pPr>
  </w:style>
  <w:style w:type="paragraph" w:styleId="ListNumber">
    <w:name w:val="List Number"/>
    <w:basedOn w:val="Normal"/>
    <w:uiPriority w:val="5"/>
    <w:semiHidden/>
    <w:rsid w:val="00473AF2"/>
    <w:pPr>
      <w:numPr>
        <w:numId w:val="1"/>
      </w:numPr>
    </w:pPr>
  </w:style>
  <w:style w:type="paragraph" w:styleId="BalloonText">
    <w:name w:val="Balloon Text"/>
    <w:basedOn w:val="Normal"/>
    <w:link w:val="BalloonTextChar"/>
    <w:uiPriority w:val="98"/>
    <w:semiHidden/>
    <w:unhideWhenUsed/>
    <w:rsid w:val="00473AF2"/>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473AF2"/>
    <w:rPr>
      <w:rFonts w:ascii="Calibri" w:hAnsi="Calibri" w:cs="Tahoma"/>
      <w:color w:val="1E1E1E"/>
      <w:sz w:val="16"/>
      <w:szCs w:val="16"/>
    </w:rPr>
  </w:style>
  <w:style w:type="character" w:customStyle="1" w:styleId="Heading1Char">
    <w:name w:val="Heading 1 Char"/>
    <w:basedOn w:val="DefaultParagraphFont"/>
    <w:link w:val="Heading1"/>
    <w:uiPriority w:val="1"/>
    <w:rsid w:val="00473AF2"/>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473AF2"/>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473AF2"/>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473AF2"/>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473AF2"/>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473AF2"/>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473AF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73A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3AF2"/>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473AF2"/>
    <w:pPr>
      <w:ind w:left="567" w:right="567"/>
    </w:pPr>
    <w:rPr>
      <w:i/>
      <w:color w:val="4D4D4D"/>
    </w:rPr>
  </w:style>
  <w:style w:type="paragraph" w:styleId="Caption">
    <w:name w:val="caption"/>
    <w:basedOn w:val="Normal"/>
    <w:next w:val="BodyText"/>
    <w:uiPriority w:val="2"/>
    <w:semiHidden/>
    <w:rsid w:val="00473AF2"/>
    <w:pPr>
      <w:keepNext/>
      <w:spacing w:before="200" w:after="140"/>
    </w:pPr>
    <w:rPr>
      <w:b/>
      <w:bCs/>
      <w:szCs w:val="18"/>
    </w:rPr>
  </w:style>
  <w:style w:type="paragraph" w:styleId="Bibliography">
    <w:name w:val="Bibliography"/>
    <w:basedOn w:val="Normal"/>
    <w:next w:val="Normal"/>
    <w:uiPriority w:val="7"/>
    <w:semiHidden/>
    <w:rsid w:val="00473AF2"/>
  </w:style>
  <w:style w:type="paragraph" w:styleId="TOC1">
    <w:name w:val="toc 1"/>
    <w:basedOn w:val="Normalcolour"/>
    <w:next w:val="Normal"/>
    <w:uiPriority w:val="39"/>
    <w:rsid w:val="00473AF2"/>
    <w:pPr>
      <w:tabs>
        <w:tab w:val="right" w:leader="underscore" w:pos="9299"/>
      </w:tabs>
      <w:spacing w:before="200" w:after="0"/>
      <w:ind w:right="425"/>
    </w:pPr>
    <w:rPr>
      <w:b/>
      <w:sz w:val="26"/>
    </w:rPr>
  </w:style>
  <w:style w:type="paragraph" w:styleId="TOC2">
    <w:name w:val="toc 2"/>
    <w:basedOn w:val="Normal"/>
    <w:next w:val="Normal"/>
    <w:uiPriority w:val="39"/>
    <w:rsid w:val="00473AF2"/>
    <w:pPr>
      <w:tabs>
        <w:tab w:val="right" w:leader="underscore" w:pos="9299"/>
      </w:tabs>
      <w:spacing w:after="0"/>
      <w:ind w:right="425"/>
    </w:pPr>
  </w:style>
  <w:style w:type="paragraph" w:styleId="TOC3">
    <w:name w:val="toc 3"/>
    <w:basedOn w:val="Normal"/>
    <w:next w:val="Normal"/>
    <w:uiPriority w:val="39"/>
    <w:rsid w:val="00473AF2"/>
    <w:pPr>
      <w:tabs>
        <w:tab w:val="right" w:leader="underscore" w:pos="9299"/>
      </w:tabs>
      <w:spacing w:after="0"/>
      <w:ind w:left="284" w:right="425"/>
    </w:pPr>
  </w:style>
  <w:style w:type="paragraph" w:styleId="TOC4">
    <w:name w:val="toc 4"/>
    <w:basedOn w:val="Normal"/>
    <w:next w:val="Normal"/>
    <w:uiPriority w:val="39"/>
    <w:rsid w:val="00473AF2"/>
    <w:pPr>
      <w:tabs>
        <w:tab w:val="right" w:leader="underscore" w:pos="9299"/>
      </w:tabs>
      <w:spacing w:after="0"/>
      <w:ind w:left="567" w:right="425"/>
    </w:pPr>
  </w:style>
  <w:style w:type="paragraph" w:styleId="TOC5">
    <w:name w:val="toc 5"/>
    <w:basedOn w:val="Normal"/>
    <w:next w:val="Normal"/>
    <w:uiPriority w:val="39"/>
    <w:semiHidden/>
    <w:rsid w:val="00473AF2"/>
    <w:pPr>
      <w:tabs>
        <w:tab w:val="right" w:leader="dot" w:pos="9299"/>
      </w:tabs>
      <w:spacing w:after="0" w:line="260" w:lineRule="atLeast"/>
      <w:ind w:left="851" w:right="425"/>
    </w:pPr>
  </w:style>
  <w:style w:type="paragraph" w:styleId="TOC6">
    <w:name w:val="toc 6"/>
    <w:basedOn w:val="Normal"/>
    <w:next w:val="Normal"/>
    <w:autoRedefine/>
    <w:uiPriority w:val="39"/>
    <w:semiHidden/>
    <w:rsid w:val="00473AF2"/>
    <w:pPr>
      <w:spacing w:after="100"/>
      <w:ind w:left="1100"/>
    </w:pPr>
  </w:style>
  <w:style w:type="paragraph" w:styleId="TOC7">
    <w:name w:val="toc 7"/>
    <w:basedOn w:val="Normal"/>
    <w:next w:val="Normal"/>
    <w:autoRedefine/>
    <w:uiPriority w:val="39"/>
    <w:semiHidden/>
    <w:rsid w:val="00473AF2"/>
    <w:pPr>
      <w:spacing w:after="100"/>
      <w:ind w:left="1320"/>
    </w:pPr>
  </w:style>
  <w:style w:type="paragraph" w:styleId="TOC8">
    <w:name w:val="toc 8"/>
    <w:basedOn w:val="Normal"/>
    <w:next w:val="Normal"/>
    <w:autoRedefine/>
    <w:uiPriority w:val="39"/>
    <w:semiHidden/>
    <w:rsid w:val="00473AF2"/>
    <w:pPr>
      <w:spacing w:after="100"/>
      <w:ind w:left="1540"/>
    </w:pPr>
  </w:style>
  <w:style w:type="paragraph" w:styleId="TOC9">
    <w:name w:val="toc 9"/>
    <w:basedOn w:val="Normal"/>
    <w:next w:val="Normal"/>
    <w:autoRedefine/>
    <w:uiPriority w:val="39"/>
    <w:semiHidden/>
    <w:rsid w:val="00473AF2"/>
    <w:pPr>
      <w:spacing w:after="100"/>
      <w:ind w:left="1760"/>
    </w:pPr>
  </w:style>
  <w:style w:type="paragraph" w:styleId="TOCHeading">
    <w:name w:val="TOC Heading"/>
    <w:basedOn w:val="Heading1"/>
    <w:next w:val="BodyText"/>
    <w:uiPriority w:val="1"/>
    <w:rsid w:val="00473AF2"/>
    <w:pPr>
      <w:spacing w:before="0"/>
      <w:outlineLvl w:val="9"/>
    </w:pPr>
  </w:style>
  <w:style w:type="paragraph" w:styleId="BodyText">
    <w:name w:val="Body Text"/>
    <w:basedOn w:val="Normal"/>
    <w:link w:val="BodyTextChar"/>
    <w:uiPriority w:val="2"/>
    <w:unhideWhenUsed/>
    <w:rsid w:val="00473AF2"/>
  </w:style>
  <w:style w:type="character" w:customStyle="1" w:styleId="BodyTextChar">
    <w:name w:val="Body Text Char"/>
    <w:basedOn w:val="DefaultParagraphFont"/>
    <w:link w:val="BodyText"/>
    <w:uiPriority w:val="2"/>
    <w:rsid w:val="00473AF2"/>
    <w:rPr>
      <w:rFonts w:ascii="Calibri" w:hAnsi="Calibri"/>
      <w:color w:val="1E1E1E"/>
      <w:sz w:val="24"/>
    </w:rPr>
  </w:style>
  <w:style w:type="paragraph" w:styleId="CommentText">
    <w:name w:val="annotation text"/>
    <w:basedOn w:val="Normal"/>
    <w:link w:val="CommentTextChar"/>
    <w:uiPriority w:val="12"/>
    <w:semiHidden/>
    <w:rsid w:val="00473AF2"/>
    <w:pPr>
      <w:spacing w:line="240" w:lineRule="auto"/>
    </w:pPr>
    <w:rPr>
      <w:sz w:val="22"/>
      <w:szCs w:val="20"/>
    </w:rPr>
  </w:style>
  <w:style w:type="character" w:customStyle="1" w:styleId="CommentTextChar">
    <w:name w:val="Comment Text Char"/>
    <w:basedOn w:val="DefaultParagraphFont"/>
    <w:link w:val="CommentText"/>
    <w:uiPriority w:val="12"/>
    <w:semiHidden/>
    <w:rsid w:val="00473AF2"/>
    <w:rPr>
      <w:rFonts w:ascii="Calibri" w:hAnsi="Calibri"/>
      <w:color w:val="1E1E1E"/>
      <w:szCs w:val="20"/>
    </w:rPr>
  </w:style>
  <w:style w:type="paragraph" w:styleId="CommentSubject">
    <w:name w:val="annotation subject"/>
    <w:basedOn w:val="CommentText"/>
    <w:next w:val="CommentText"/>
    <w:link w:val="CommentSubjectChar"/>
    <w:uiPriority w:val="12"/>
    <w:semiHidden/>
    <w:rsid w:val="00473AF2"/>
    <w:rPr>
      <w:b/>
      <w:bCs/>
    </w:rPr>
  </w:style>
  <w:style w:type="character" w:customStyle="1" w:styleId="CommentSubjectChar">
    <w:name w:val="Comment Subject Char"/>
    <w:basedOn w:val="CommentTextChar"/>
    <w:link w:val="CommentSubject"/>
    <w:uiPriority w:val="12"/>
    <w:semiHidden/>
    <w:rsid w:val="00473AF2"/>
    <w:rPr>
      <w:rFonts w:ascii="Calibri" w:hAnsi="Calibri"/>
      <w:b/>
      <w:bCs/>
      <w:color w:val="1E1E1E"/>
      <w:szCs w:val="20"/>
    </w:rPr>
  </w:style>
  <w:style w:type="paragraph" w:styleId="Date">
    <w:name w:val="Date"/>
    <w:basedOn w:val="Normal"/>
    <w:next w:val="Normal"/>
    <w:link w:val="DateChar"/>
    <w:uiPriority w:val="99"/>
    <w:semiHidden/>
    <w:rsid w:val="00473AF2"/>
  </w:style>
  <w:style w:type="character" w:customStyle="1" w:styleId="DateChar">
    <w:name w:val="Date Char"/>
    <w:basedOn w:val="DefaultParagraphFont"/>
    <w:link w:val="Date"/>
    <w:uiPriority w:val="99"/>
    <w:semiHidden/>
    <w:rsid w:val="00473AF2"/>
    <w:rPr>
      <w:rFonts w:ascii="Calibri" w:hAnsi="Calibri"/>
      <w:color w:val="1E1E1E"/>
      <w:sz w:val="24"/>
    </w:rPr>
  </w:style>
  <w:style w:type="paragraph" w:styleId="EmailSignature">
    <w:name w:val="E-mail Signature"/>
    <w:basedOn w:val="Normal"/>
    <w:link w:val="EmailSignatureChar"/>
    <w:uiPriority w:val="99"/>
    <w:semiHidden/>
    <w:rsid w:val="00473AF2"/>
    <w:pPr>
      <w:spacing w:after="0" w:line="240" w:lineRule="auto"/>
    </w:pPr>
  </w:style>
  <w:style w:type="character" w:customStyle="1" w:styleId="EmailSignatureChar">
    <w:name w:val="Email Signature Char"/>
    <w:basedOn w:val="DefaultParagraphFont"/>
    <w:link w:val="EmailSignature"/>
    <w:uiPriority w:val="99"/>
    <w:semiHidden/>
    <w:rsid w:val="00473AF2"/>
    <w:rPr>
      <w:rFonts w:ascii="Calibri" w:hAnsi="Calibri"/>
      <w:color w:val="1E1E1E"/>
      <w:sz w:val="24"/>
    </w:rPr>
  </w:style>
  <w:style w:type="paragraph" w:styleId="EndnoteText">
    <w:name w:val="endnote text"/>
    <w:basedOn w:val="Normal"/>
    <w:link w:val="EndnoteTextChar"/>
    <w:uiPriority w:val="7"/>
    <w:rsid w:val="00473AF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473AF2"/>
    <w:rPr>
      <w:rFonts w:ascii="Calibri" w:hAnsi="Calibri"/>
      <w:color w:val="4D4D4D"/>
      <w:sz w:val="20"/>
      <w:szCs w:val="20"/>
    </w:rPr>
  </w:style>
  <w:style w:type="paragraph" w:styleId="EnvelopeAddress">
    <w:name w:val="envelope address"/>
    <w:basedOn w:val="Normal"/>
    <w:uiPriority w:val="99"/>
    <w:semiHidden/>
    <w:rsid w:val="00473AF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473AF2"/>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473AF2"/>
    <w:pPr>
      <w:spacing w:after="0" w:line="240" w:lineRule="auto"/>
      <w:jc w:val="right"/>
    </w:pPr>
    <w:rPr>
      <w:color w:val="696969"/>
      <w:sz w:val="20"/>
    </w:rPr>
  </w:style>
  <w:style w:type="character" w:customStyle="1" w:styleId="FooterChar">
    <w:name w:val="Footer Char"/>
    <w:basedOn w:val="DefaultParagraphFont"/>
    <w:link w:val="Footer"/>
    <w:uiPriority w:val="10"/>
    <w:rsid w:val="00473AF2"/>
    <w:rPr>
      <w:rFonts w:ascii="Calibri" w:hAnsi="Calibri"/>
      <w:color w:val="696969"/>
      <w:sz w:val="20"/>
    </w:rPr>
  </w:style>
  <w:style w:type="paragraph" w:styleId="FootnoteText">
    <w:name w:val="footnote text"/>
    <w:basedOn w:val="Normal"/>
    <w:link w:val="FootnoteTextChar"/>
    <w:uiPriority w:val="7"/>
    <w:rsid w:val="00473AF2"/>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473AF2"/>
    <w:rPr>
      <w:rFonts w:ascii="Calibri" w:hAnsi="Calibri"/>
      <w:color w:val="4D4D4D"/>
      <w:sz w:val="20"/>
      <w:szCs w:val="20"/>
    </w:rPr>
  </w:style>
  <w:style w:type="paragraph" w:styleId="Header">
    <w:name w:val="header"/>
    <w:basedOn w:val="Normal"/>
    <w:link w:val="HeaderChar"/>
    <w:rsid w:val="00473AF2"/>
    <w:pPr>
      <w:tabs>
        <w:tab w:val="right" w:pos="9299"/>
      </w:tabs>
      <w:spacing w:after="0" w:line="240" w:lineRule="auto"/>
    </w:pPr>
    <w:rPr>
      <w:color w:val="696969"/>
      <w:sz w:val="20"/>
    </w:rPr>
  </w:style>
  <w:style w:type="character" w:customStyle="1" w:styleId="HeaderChar">
    <w:name w:val="Header Char"/>
    <w:basedOn w:val="DefaultParagraphFont"/>
    <w:link w:val="Header"/>
    <w:rsid w:val="00473AF2"/>
    <w:rPr>
      <w:rFonts w:ascii="Calibri" w:hAnsi="Calibri"/>
      <w:color w:val="696969"/>
      <w:sz w:val="20"/>
    </w:rPr>
  </w:style>
  <w:style w:type="paragraph" w:styleId="HTMLAddress">
    <w:name w:val="HTML Address"/>
    <w:basedOn w:val="Normal"/>
    <w:link w:val="HTMLAddressChar"/>
    <w:uiPriority w:val="87"/>
    <w:semiHidden/>
    <w:rsid w:val="00473AF2"/>
    <w:pPr>
      <w:spacing w:after="0" w:line="240" w:lineRule="auto"/>
    </w:pPr>
    <w:rPr>
      <w:i/>
      <w:iCs/>
    </w:rPr>
  </w:style>
  <w:style w:type="character" w:customStyle="1" w:styleId="HTMLAddressChar">
    <w:name w:val="HTML Address Char"/>
    <w:basedOn w:val="DefaultParagraphFont"/>
    <w:link w:val="HTMLAddress"/>
    <w:uiPriority w:val="87"/>
    <w:semiHidden/>
    <w:rsid w:val="00473AF2"/>
    <w:rPr>
      <w:rFonts w:ascii="Calibri" w:hAnsi="Calibri"/>
      <w:i/>
      <w:iCs/>
      <w:color w:val="1E1E1E"/>
      <w:sz w:val="24"/>
    </w:rPr>
  </w:style>
  <w:style w:type="paragraph" w:styleId="HTMLPreformatted">
    <w:name w:val="HTML Preformatted"/>
    <w:basedOn w:val="Normal"/>
    <w:link w:val="HTMLPreformattedChar"/>
    <w:uiPriority w:val="87"/>
    <w:semiHidden/>
    <w:rsid w:val="00473AF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473AF2"/>
    <w:rPr>
      <w:rFonts w:ascii="Consolas" w:hAnsi="Consolas"/>
      <w:color w:val="1E1E1E"/>
      <w:sz w:val="20"/>
      <w:szCs w:val="20"/>
    </w:rPr>
  </w:style>
  <w:style w:type="paragraph" w:styleId="Index1">
    <w:name w:val="index 1"/>
    <w:basedOn w:val="Normal"/>
    <w:uiPriority w:val="99"/>
    <w:semiHidden/>
    <w:rsid w:val="00473AF2"/>
    <w:pPr>
      <w:spacing w:after="0"/>
      <w:ind w:left="220" w:hanging="220"/>
    </w:pPr>
    <w:rPr>
      <w:szCs w:val="18"/>
    </w:rPr>
  </w:style>
  <w:style w:type="paragraph" w:styleId="Index2">
    <w:name w:val="index 2"/>
    <w:basedOn w:val="Normal"/>
    <w:uiPriority w:val="99"/>
    <w:semiHidden/>
    <w:rsid w:val="00473AF2"/>
    <w:pPr>
      <w:spacing w:after="0"/>
      <w:ind w:left="440" w:hanging="220"/>
    </w:pPr>
    <w:rPr>
      <w:szCs w:val="18"/>
    </w:rPr>
  </w:style>
  <w:style w:type="paragraph" w:styleId="Index3">
    <w:name w:val="index 3"/>
    <w:basedOn w:val="Normal"/>
    <w:uiPriority w:val="99"/>
    <w:semiHidden/>
    <w:rsid w:val="00473AF2"/>
    <w:pPr>
      <w:spacing w:after="0"/>
      <w:ind w:left="660" w:hanging="220"/>
    </w:pPr>
    <w:rPr>
      <w:szCs w:val="18"/>
    </w:rPr>
  </w:style>
  <w:style w:type="paragraph" w:styleId="Index4">
    <w:name w:val="index 4"/>
    <w:basedOn w:val="Normal"/>
    <w:uiPriority w:val="99"/>
    <w:semiHidden/>
    <w:rsid w:val="00473AF2"/>
    <w:pPr>
      <w:spacing w:after="0"/>
      <w:ind w:left="880" w:hanging="220"/>
    </w:pPr>
    <w:rPr>
      <w:szCs w:val="18"/>
    </w:rPr>
  </w:style>
  <w:style w:type="paragraph" w:styleId="Index5">
    <w:name w:val="index 5"/>
    <w:basedOn w:val="Normal"/>
    <w:uiPriority w:val="99"/>
    <w:semiHidden/>
    <w:rsid w:val="00473AF2"/>
    <w:pPr>
      <w:spacing w:after="0"/>
      <w:ind w:left="1100" w:hanging="220"/>
    </w:pPr>
    <w:rPr>
      <w:szCs w:val="18"/>
    </w:rPr>
  </w:style>
  <w:style w:type="paragraph" w:styleId="Index6">
    <w:name w:val="index 6"/>
    <w:basedOn w:val="Normal"/>
    <w:uiPriority w:val="99"/>
    <w:semiHidden/>
    <w:rsid w:val="00473AF2"/>
    <w:pPr>
      <w:spacing w:after="0"/>
      <w:ind w:left="1320" w:hanging="220"/>
    </w:pPr>
    <w:rPr>
      <w:szCs w:val="18"/>
    </w:rPr>
  </w:style>
  <w:style w:type="paragraph" w:styleId="Index7">
    <w:name w:val="index 7"/>
    <w:basedOn w:val="Normal"/>
    <w:uiPriority w:val="99"/>
    <w:semiHidden/>
    <w:rsid w:val="00473AF2"/>
    <w:pPr>
      <w:spacing w:after="0"/>
      <w:ind w:left="1540" w:hanging="220"/>
    </w:pPr>
    <w:rPr>
      <w:szCs w:val="18"/>
    </w:rPr>
  </w:style>
  <w:style w:type="paragraph" w:styleId="Index8">
    <w:name w:val="index 8"/>
    <w:basedOn w:val="Normal"/>
    <w:uiPriority w:val="99"/>
    <w:semiHidden/>
    <w:rsid w:val="00473AF2"/>
    <w:pPr>
      <w:spacing w:after="0"/>
      <w:ind w:left="1760" w:hanging="220"/>
    </w:pPr>
    <w:rPr>
      <w:szCs w:val="18"/>
    </w:rPr>
  </w:style>
  <w:style w:type="paragraph" w:styleId="Index9">
    <w:name w:val="index 9"/>
    <w:basedOn w:val="Normal"/>
    <w:uiPriority w:val="99"/>
    <w:semiHidden/>
    <w:rsid w:val="00473AF2"/>
    <w:pPr>
      <w:spacing w:after="0"/>
      <w:ind w:left="1980" w:hanging="220"/>
    </w:pPr>
    <w:rPr>
      <w:szCs w:val="18"/>
    </w:rPr>
  </w:style>
  <w:style w:type="paragraph" w:styleId="IndexHeading">
    <w:name w:val="index heading"/>
    <w:basedOn w:val="Normal"/>
    <w:next w:val="Index1"/>
    <w:uiPriority w:val="1"/>
    <w:semiHidden/>
    <w:rsid w:val="00473AF2"/>
    <w:pPr>
      <w:pBdr>
        <w:bottom w:val="single" w:sz="8" w:space="1" w:color="93B41A"/>
      </w:pBdr>
      <w:spacing w:before="200" w:after="60"/>
    </w:pPr>
    <w:rPr>
      <w:rFonts w:eastAsiaTheme="majorEastAsia" w:cstheme="majorBidi"/>
      <w:b/>
      <w:bCs/>
      <w:color w:val="93B41A"/>
      <w:sz w:val="26"/>
    </w:rPr>
  </w:style>
  <w:style w:type="paragraph" w:styleId="ListBullet2">
    <w:name w:val="List Bullet 2"/>
    <w:basedOn w:val="Normal"/>
    <w:uiPriority w:val="3"/>
    <w:semiHidden/>
    <w:rsid w:val="00473AF2"/>
    <w:pPr>
      <w:numPr>
        <w:ilvl w:val="1"/>
        <w:numId w:val="2"/>
      </w:numPr>
    </w:pPr>
  </w:style>
  <w:style w:type="paragraph" w:styleId="ListBullet3">
    <w:name w:val="List Bullet 3"/>
    <w:basedOn w:val="Normal"/>
    <w:uiPriority w:val="3"/>
    <w:semiHidden/>
    <w:rsid w:val="00473AF2"/>
    <w:pPr>
      <w:numPr>
        <w:ilvl w:val="2"/>
        <w:numId w:val="2"/>
      </w:numPr>
    </w:pPr>
  </w:style>
  <w:style w:type="paragraph" w:styleId="ListBullet4">
    <w:name w:val="List Bullet 4"/>
    <w:basedOn w:val="Normal"/>
    <w:uiPriority w:val="3"/>
    <w:semiHidden/>
    <w:rsid w:val="00473AF2"/>
    <w:pPr>
      <w:numPr>
        <w:ilvl w:val="3"/>
        <w:numId w:val="2"/>
      </w:numPr>
    </w:pPr>
  </w:style>
  <w:style w:type="paragraph" w:styleId="ListContinue">
    <w:name w:val="List Continue"/>
    <w:basedOn w:val="Normal"/>
    <w:uiPriority w:val="4"/>
    <w:semiHidden/>
    <w:rsid w:val="00473AF2"/>
    <w:pPr>
      <w:ind w:left="567"/>
    </w:pPr>
  </w:style>
  <w:style w:type="paragraph" w:styleId="ListContinue2">
    <w:name w:val="List Continue 2"/>
    <w:basedOn w:val="Normal"/>
    <w:uiPriority w:val="4"/>
    <w:semiHidden/>
    <w:rsid w:val="00473AF2"/>
    <w:pPr>
      <w:ind w:left="1134"/>
    </w:pPr>
  </w:style>
  <w:style w:type="paragraph" w:styleId="ListContinue3">
    <w:name w:val="List Continue 3"/>
    <w:basedOn w:val="Normal"/>
    <w:uiPriority w:val="4"/>
    <w:semiHidden/>
    <w:rsid w:val="00473AF2"/>
    <w:pPr>
      <w:ind w:left="1701"/>
    </w:pPr>
  </w:style>
  <w:style w:type="paragraph" w:styleId="ListContinue4">
    <w:name w:val="List Continue 4"/>
    <w:basedOn w:val="Normal"/>
    <w:uiPriority w:val="4"/>
    <w:semiHidden/>
    <w:rsid w:val="00473AF2"/>
    <w:pPr>
      <w:ind w:left="2268"/>
    </w:pPr>
  </w:style>
  <w:style w:type="paragraph" w:styleId="ListContinue5">
    <w:name w:val="List Continue 5"/>
    <w:basedOn w:val="Normal"/>
    <w:uiPriority w:val="99"/>
    <w:semiHidden/>
    <w:rsid w:val="00473AF2"/>
    <w:pPr>
      <w:spacing w:after="120"/>
      <w:ind w:left="1415"/>
      <w:contextualSpacing/>
    </w:pPr>
  </w:style>
  <w:style w:type="paragraph" w:styleId="ListNumber2">
    <w:name w:val="List Number 2"/>
    <w:basedOn w:val="Normal"/>
    <w:uiPriority w:val="5"/>
    <w:semiHidden/>
    <w:rsid w:val="00473AF2"/>
    <w:pPr>
      <w:numPr>
        <w:ilvl w:val="1"/>
        <w:numId w:val="1"/>
      </w:numPr>
    </w:pPr>
  </w:style>
  <w:style w:type="paragraph" w:styleId="ListNumber3">
    <w:name w:val="List Number 3"/>
    <w:basedOn w:val="Normal"/>
    <w:uiPriority w:val="5"/>
    <w:semiHidden/>
    <w:rsid w:val="00473AF2"/>
    <w:pPr>
      <w:numPr>
        <w:ilvl w:val="2"/>
        <w:numId w:val="1"/>
      </w:numPr>
    </w:pPr>
  </w:style>
  <w:style w:type="paragraph" w:styleId="NormalWeb">
    <w:name w:val="Normal (Web)"/>
    <w:basedOn w:val="Normal"/>
    <w:uiPriority w:val="97"/>
    <w:semiHidden/>
    <w:rsid w:val="00473AF2"/>
    <w:rPr>
      <w:rFonts w:cs="Times New Roman"/>
      <w:szCs w:val="24"/>
    </w:rPr>
  </w:style>
  <w:style w:type="paragraph" w:styleId="TableofAuthorities">
    <w:name w:val="table of authorities"/>
    <w:basedOn w:val="Normal"/>
    <w:next w:val="Normal"/>
    <w:uiPriority w:val="9"/>
    <w:semiHidden/>
    <w:rsid w:val="00473AF2"/>
    <w:pPr>
      <w:spacing w:after="0"/>
      <w:ind w:left="220" w:hanging="220"/>
    </w:pPr>
  </w:style>
  <w:style w:type="paragraph" w:styleId="TableofFigures">
    <w:name w:val="table of figures"/>
    <w:basedOn w:val="Normal"/>
    <w:next w:val="BodyText"/>
    <w:uiPriority w:val="99"/>
    <w:rsid w:val="00473AF2"/>
    <w:pPr>
      <w:tabs>
        <w:tab w:val="right" w:leader="underscore" w:pos="9299"/>
      </w:tabs>
      <w:spacing w:after="0"/>
      <w:ind w:right="425"/>
    </w:pPr>
  </w:style>
  <w:style w:type="paragraph" w:styleId="TOAHeading">
    <w:name w:val="toa heading"/>
    <w:basedOn w:val="Normal"/>
    <w:next w:val="Normal"/>
    <w:uiPriority w:val="9"/>
    <w:semiHidden/>
    <w:rsid w:val="00473AF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473AF2"/>
    <w:rPr>
      <w:color w:val="93B41A"/>
    </w:rPr>
  </w:style>
  <w:style w:type="character" w:styleId="PageNumber">
    <w:name w:val="page number"/>
    <w:basedOn w:val="DefaultParagraphFont"/>
    <w:rsid w:val="00473AF2"/>
    <w:rPr>
      <w:b/>
      <w:color w:val="1E1E1E"/>
      <w:sz w:val="20"/>
    </w:rPr>
  </w:style>
  <w:style w:type="paragraph" w:customStyle="1" w:styleId="Heading1line">
    <w:name w:val="Heading 1 line"/>
    <w:basedOn w:val="Normal"/>
    <w:next w:val="BodyText"/>
    <w:uiPriority w:val="1"/>
    <w:rsid w:val="00473AF2"/>
    <w:pPr>
      <w:pBdr>
        <w:bottom w:val="single" w:sz="4" w:space="1" w:color="93B41A"/>
      </w:pBdr>
      <w:spacing w:before="200" w:line="240" w:lineRule="auto"/>
    </w:pPr>
    <w:rPr>
      <w:color w:val="696969"/>
    </w:rPr>
  </w:style>
  <w:style w:type="table" w:styleId="TableGrid">
    <w:name w:val="Table Grid"/>
    <w:basedOn w:val="TableNormal"/>
    <w:uiPriority w:val="59"/>
    <w:rsid w:val="00473AF2"/>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473AF2"/>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473AF2"/>
    <w:pPr>
      <w:numPr>
        <w:numId w:val="3"/>
      </w:numPr>
    </w:pPr>
  </w:style>
  <w:style w:type="paragraph" w:customStyle="1" w:styleId="Listoutline2-11">
    <w:name w:val="List outline 2 - 1.1"/>
    <w:basedOn w:val="Normal"/>
    <w:uiPriority w:val="5"/>
    <w:semiHidden/>
    <w:rsid w:val="00473AF2"/>
    <w:pPr>
      <w:numPr>
        <w:ilvl w:val="1"/>
        <w:numId w:val="3"/>
      </w:numPr>
    </w:pPr>
  </w:style>
  <w:style w:type="paragraph" w:customStyle="1" w:styleId="Listoutline3-111">
    <w:name w:val="List outline 3 - 1.1.1"/>
    <w:basedOn w:val="Normal"/>
    <w:uiPriority w:val="5"/>
    <w:semiHidden/>
    <w:rsid w:val="00473AF2"/>
    <w:pPr>
      <w:numPr>
        <w:ilvl w:val="2"/>
        <w:numId w:val="3"/>
      </w:numPr>
    </w:pPr>
  </w:style>
  <w:style w:type="paragraph" w:customStyle="1" w:styleId="Listoutline4-a">
    <w:name w:val="List outline 4 - a."/>
    <w:basedOn w:val="Normal"/>
    <w:uiPriority w:val="5"/>
    <w:semiHidden/>
    <w:rsid w:val="00473AF2"/>
    <w:pPr>
      <w:numPr>
        <w:ilvl w:val="3"/>
        <w:numId w:val="3"/>
      </w:numPr>
    </w:pPr>
  </w:style>
  <w:style w:type="character" w:styleId="Hyperlink">
    <w:name w:val="Hyperlink"/>
    <w:basedOn w:val="DefaultParagraphFont"/>
    <w:uiPriority w:val="99"/>
    <w:rsid w:val="00473AF2"/>
    <w:rPr>
      <w:color w:val="0D6AB8"/>
      <w:u w:val="single"/>
    </w:rPr>
  </w:style>
  <w:style w:type="paragraph" w:customStyle="1" w:styleId="Heading2-Start">
    <w:name w:val="Heading 2 - Start"/>
    <w:basedOn w:val="Heading2"/>
    <w:next w:val="BodyText"/>
    <w:uiPriority w:val="1"/>
    <w:rsid w:val="00473AF2"/>
    <w:pPr>
      <w:spacing w:before="200"/>
    </w:pPr>
  </w:style>
  <w:style w:type="paragraph" w:customStyle="1" w:styleId="Quotationparagraphbefore">
    <w:name w:val="Quotation (paragraph before)"/>
    <w:basedOn w:val="Normal"/>
    <w:next w:val="Quotationseparateparagraph"/>
    <w:uiPriority w:val="6"/>
    <w:rsid w:val="00473AF2"/>
    <w:pPr>
      <w:spacing w:after="120"/>
    </w:pPr>
  </w:style>
  <w:style w:type="character" w:styleId="Emphasis">
    <w:name w:val="Emphasis"/>
    <w:uiPriority w:val="2"/>
    <w:rsid w:val="00473AF2"/>
    <w:rPr>
      <w:rFonts w:ascii="Calibri" w:hAnsi="Calibri"/>
      <w:b/>
      <w:bCs/>
      <w:iCs/>
      <w:spacing w:val="0"/>
      <w:lang w:val="en-NZ"/>
    </w:rPr>
  </w:style>
  <w:style w:type="paragraph" w:customStyle="1" w:styleId="Listcheckbox">
    <w:name w:val="List check box"/>
    <w:basedOn w:val="BodyText"/>
    <w:uiPriority w:val="3"/>
    <w:semiHidden/>
    <w:rsid w:val="00473AF2"/>
  </w:style>
  <w:style w:type="paragraph" w:customStyle="1" w:styleId="Boxsmalltext">
    <w:name w:val="Box small text"/>
    <w:basedOn w:val="Normalcolour"/>
    <w:uiPriority w:val="2"/>
    <w:qFormat/>
    <w:rsid w:val="00473AF2"/>
    <w:rPr>
      <w:color w:val="1E1E1E"/>
    </w:rPr>
  </w:style>
  <w:style w:type="paragraph" w:customStyle="1" w:styleId="Boxlargetext">
    <w:name w:val="Box large text"/>
    <w:basedOn w:val="Normalcolour"/>
    <w:uiPriority w:val="2"/>
    <w:qFormat/>
    <w:rsid w:val="00473AF2"/>
    <w:pPr>
      <w:spacing w:line="320" w:lineRule="atLeast"/>
    </w:pPr>
    <w:rPr>
      <w:sz w:val="26"/>
    </w:rPr>
  </w:style>
  <w:style w:type="paragraph" w:customStyle="1" w:styleId="Listoutline5-i">
    <w:name w:val="List outline 5 - i."/>
    <w:basedOn w:val="Normal"/>
    <w:uiPriority w:val="5"/>
    <w:semiHidden/>
    <w:rsid w:val="00473AF2"/>
    <w:pPr>
      <w:numPr>
        <w:ilvl w:val="4"/>
        <w:numId w:val="3"/>
      </w:numPr>
    </w:pPr>
  </w:style>
  <w:style w:type="character" w:styleId="EndnoteReference">
    <w:name w:val="endnote reference"/>
    <w:basedOn w:val="DefaultParagraphFont"/>
    <w:uiPriority w:val="7"/>
    <w:rsid w:val="00473AF2"/>
    <w:rPr>
      <w:vertAlign w:val="superscript"/>
    </w:rPr>
  </w:style>
  <w:style w:type="paragraph" w:customStyle="1" w:styleId="HeadingAppendix">
    <w:name w:val="Heading Appendix"/>
    <w:basedOn w:val="Heading1"/>
    <w:next w:val="BodyText"/>
    <w:uiPriority w:val="1"/>
    <w:rsid w:val="00473AF2"/>
    <w:pPr>
      <w:pageBreakBefore/>
      <w:numPr>
        <w:numId w:val="4"/>
      </w:numPr>
      <w:spacing w:before="0"/>
    </w:pPr>
  </w:style>
  <w:style w:type="table" w:customStyle="1" w:styleId="TableGridnoborders">
    <w:name w:val="Table Grid (no borders)"/>
    <w:basedOn w:val="TableNormal"/>
    <w:uiPriority w:val="99"/>
    <w:rsid w:val="00473AF2"/>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473AF2"/>
    <w:rPr>
      <w:b/>
    </w:rPr>
  </w:style>
  <w:style w:type="paragraph" w:customStyle="1" w:styleId="Whitespace">
    <w:name w:val="White space"/>
    <w:basedOn w:val="BodyText"/>
    <w:uiPriority w:val="2"/>
    <w:rsid w:val="00473AF2"/>
    <w:pPr>
      <w:spacing w:after="0" w:line="240" w:lineRule="auto"/>
    </w:pPr>
    <w:rPr>
      <w:sz w:val="16"/>
    </w:rPr>
  </w:style>
  <w:style w:type="character" w:customStyle="1" w:styleId="Quotationwithinthesentence">
    <w:name w:val="Quotation (within the sentence)"/>
    <w:basedOn w:val="DefaultParagraphFont"/>
    <w:uiPriority w:val="6"/>
    <w:rsid w:val="00473AF2"/>
    <w:rPr>
      <w:i/>
    </w:rPr>
  </w:style>
  <w:style w:type="paragraph" w:customStyle="1" w:styleId="Heading1-Subnonboldtext">
    <w:name w:val="Heading 1 - Sub (non bold text)"/>
    <w:basedOn w:val="BodyText"/>
    <w:uiPriority w:val="1"/>
    <w:rsid w:val="00473AF2"/>
    <w:pPr>
      <w:tabs>
        <w:tab w:val="left" w:pos="2552"/>
      </w:tabs>
      <w:spacing w:after="0"/>
      <w:ind w:left="2552" w:hanging="2552"/>
    </w:pPr>
  </w:style>
  <w:style w:type="paragraph" w:customStyle="1" w:styleId="Tablebodytext">
    <w:name w:val="Table body text"/>
    <w:basedOn w:val="BodyText"/>
    <w:uiPriority w:val="2"/>
    <w:rsid w:val="00473AF2"/>
    <w:pPr>
      <w:spacing w:before="120" w:after="120"/>
    </w:pPr>
    <w:rPr>
      <w:sz w:val="22"/>
    </w:rPr>
  </w:style>
  <w:style w:type="paragraph" w:customStyle="1" w:styleId="Tablebodytextnospaceafter">
    <w:name w:val="Table body text (no space after)"/>
    <w:basedOn w:val="BodyText"/>
    <w:uiPriority w:val="2"/>
    <w:rsid w:val="00473AF2"/>
    <w:pPr>
      <w:spacing w:after="0"/>
    </w:pPr>
  </w:style>
  <w:style w:type="table" w:customStyle="1" w:styleId="TableBox">
    <w:name w:val="Table Box"/>
    <w:basedOn w:val="TableNormal"/>
    <w:uiPriority w:val="99"/>
    <w:rsid w:val="00473AF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473AF2"/>
    <w:rPr>
      <w:color w:val="3C98E7"/>
      <w:u w:val="single"/>
    </w:rPr>
  </w:style>
  <w:style w:type="paragraph" w:customStyle="1" w:styleId="Headingboxtextinbody">
    <w:name w:val="Heading box text (in body)"/>
    <w:basedOn w:val="Normalcolour"/>
    <w:uiPriority w:val="1"/>
    <w:rsid w:val="00473AF2"/>
    <w:pPr>
      <w:keepNext/>
      <w:spacing w:before="360" w:after="60" w:line="320" w:lineRule="atLeast"/>
    </w:pPr>
    <w:rPr>
      <w:b/>
      <w:sz w:val="26"/>
    </w:rPr>
  </w:style>
  <w:style w:type="paragraph" w:customStyle="1" w:styleId="Headingboxtexttop">
    <w:name w:val="Heading box text (top)"/>
    <w:basedOn w:val="Normalcolour"/>
    <w:uiPriority w:val="1"/>
    <w:rsid w:val="00473AF2"/>
    <w:pPr>
      <w:spacing w:after="60" w:line="320" w:lineRule="atLeast"/>
    </w:pPr>
    <w:rPr>
      <w:b/>
      <w:sz w:val="26"/>
    </w:rPr>
  </w:style>
  <w:style w:type="paragraph" w:customStyle="1" w:styleId="Singlespacedparagraph">
    <w:name w:val="Single spaced paragraph"/>
    <w:basedOn w:val="BodyText"/>
    <w:uiPriority w:val="2"/>
    <w:rsid w:val="00473AF2"/>
    <w:pPr>
      <w:spacing w:after="0"/>
    </w:pPr>
  </w:style>
  <w:style w:type="paragraph" w:customStyle="1" w:styleId="Footerline">
    <w:name w:val="Footer line"/>
    <w:basedOn w:val="Footer"/>
    <w:next w:val="Footer"/>
    <w:uiPriority w:val="10"/>
    <w:rsid w:val="00473AF2"/>
    <w:pPr>
      <w:pBdr>
        <w:top w:val="single" w:sz="4" w:space="5" w:color="696969"/>
      </w:pBdr>
      <w:ind w:left="23" w:right="23"/>
    </w:pPr>
    <w:rPr>
      <w:sz w:val="2"/>
    </w:rPr>
  </w:style>
  <w:style w:type="paragraph" w:customStyle="1" w:styleId="Headerline">
    <w:name w:val="Header line"/>
    <w:basedOn w:val="Header"/>
    <w:rsid w:val="00473AF2"/>
    <w:pPr>
      <w:pBdr>
        <w:bottom w:val="single" w:sz="4" w:space="5" w:color="696969"/>
      </w:pBdr>
      <w:ind w:left="23" w:right="23"/>
    </w:pPr>
    <w:rPr>
      <w:sz w:val="2"/>
    </w:rPr>
  </w:style>
  <w:style w:type="paragraph" w:customStyle="1" w:styleId="QLegindent1">
    <w:name w:val="QLeg indent 1"/>
    <w:basedOn w:val="Normal"/>
    <w:uiPriority w:val="2"/>
    <w:semiHidden/>
    <w:rsid w:val="00473AF2"/>
    <w:pPr>
      <w:ind w:left="1985" w:right="567"/>
    </w:pPr>
    <w:rPr>
      <w:i/>
      <w:color w:val="4D4D4D"/>
    </w:rPr>
  </w:style>
  <w:style w:type="paragraph" w:customStyle="1" w:styleId="QLegindent2">
    <w:name w:val="QLeg indent 2"/>
    <w:basedOn w:val="Normal"/>
    <w:uiPriority w:val="2"/>
    <w:semiHidden/>
    <w:rsid w:val="00473AF2"/>
    <w:pPr>
      <w:ind w:left="2693" w:right="567"/>
    </w:pPr>
    <w:rPr>
      <w:i/>
      <w:color w:val="4D4D4D"/>
    </w:rPr>
  </w:style>
  <w:style w:type="paragraph" w:customStyle="1" w:styleId="QLegindent3">
    <w:name w:val="QLeg indent 3"/>
    <w:basedOn w:val="Normal"/>
    <w:uiPriority w:val="2"/>
    <w:semiHidden/>
    <w:rsid w:val="00473AF2"/>
    <w:pPr>
      <w:ind w:left="3402" w:right="567"/>
    </w:pPr>
    <w:rPr>
      <w:i/>
      <w:color w:val="4D4D4D"/>
    </w:rPr>
  </w:style>
  <w:style w:type="paragraph" w:customStyle="1" w:styleId="QLegstyle-1">
    <w:name w:val="QLeg style - (1)"/>
    <w:basedOn w:val="Normal"/>
    <w:uiPriority w:val="2"/>
    <w:semiHidden/>
    <w:rsid w:val="00473AF2"/>
    <w:pPr>
      <w:tabs>
        <w:tab w:val="left" w:pos="1985"/>
      </w:tabs>
      <w:ind w:left="1985" w:right="567" w:hanging="851"/>
    </w:pPr>
    <w:rPr>
      <w:i/>
      <w:color w:val="4D4D4D"/>
    </w:rPr>
  </w:style>
  <w:style w:type="paragraph" w:customStyle="1" w:styleId="QLegstyle-a">
    <w:name w:val="QLeg style - (a)"/>
    <w:basedOn w:val="Normal"/>
    <w:uiPriority w:val="2"/>
    <w:semiHidden/>
    <w:rsid w:val="00473AF2"/>
    <w:pPr>
      <w:tabs>
        <w:tab w:val="left" w:pos="2693"/>
      </w:tabs>
      <w:ind w:left="2694" w:right="567" w:hanging="709"/>
    </w:pPr>
    <w:rPr>
      <w:i/>
      <w:color w:val="4D4D4D"/>
    </w:rPr>
  </w:style>
  <w:style w:type="paragraph" w:customStyle="1" w:styleId="QLegstyle-i">
    <w:name w:val="QLeg style - (i)"/>
    <w:basedOn w:val="Normal"/>
    <w:uiPriority w:val="2"/>
    <w:semiHidden/>
    <w:rsid w:val="00473AF2"/>
    <w:pPr>
      <w:tabs>
        <w:tab w:val="left" w:pos="3402"/>
      </w:tabs>
      <w:ind w:left="3402" w:right="567" w:hanging="709"/>
    </w:pPr>
    <w:rPr>
      <w:i/>
      <w:color w:val="4D4D4D"/>
    </w:rPr>
  </w:style>
  <w:style w:type="paragraph" w:customStyle="1" w:styleId="QLegstyle-10">
    <w:name w:val="QLeg style - 1"/>
    <w:basedOn w:val="Normal"/>
    <w:uiPriority w:val="2"/>
    <w:semiHidden/>
    <w:rsid w:val="00473AF2"/>
    <w:pPr>
      <w:tabs>
        <w:tab w:val="left" w:pos="1985"/>
      </w:tabs>
      <w:ind w:left="1985" w:right="567" w:hanging="851"/>
    </w:pPr>
    <w:rPr>
      <w:b/>
      <w:i/>
      <w:color w:val="4D4D4D"/>
    </w:rPr>
  </w:style>
  <w:style w:type="paragraph" w:customStyle="1" w:styleId="Legindent1">
    <w:name w:val="Leg indent 1"/>
    <w:basedOn w:val="Normal"/>
    <w:uiPriority w:val="9"/>
    <w:semiHidden/>
    <w:rsid w:val="00473AF2"/>
    <w:pPr>
      <w:ind w:left="851"/>
    </w:pPr>
  </w:style>
  <w:style w:type="paragraph" w:customStyle="1" w:styleId="Legindent2">
    <w:name w:val="Leg indent 2"/>
    <w:basedOn w:val="Normal"/>
    <w:uiPriority w:val="9"/>
    <w:semiHidden/>
    <w:rsid w:val="00473AF2"/>
    <w:pPr>
      <w:ind w:left="1559"/>
    </w:pPr>
  </w:style>
  <w:style w:type="paragraph" w:customStyle="1" w:styleId="Legindent3">
    <w:name w:val="Leg indent 3"/>
    <w:basedOn w:val="Normal"/>
    <w:uiPriority w:val="9"/>
    <w:semiHidden/>
    <w:rsid w:val="00473AF2"/>
    <w:pPr>
      <w:ind w:left="2268"/>
    </w:pPr>
  </w:style>
  <w:style w:type="paragraph" w:customStyle="1" w:styleId="Legstyle-1">
    <w:name w:val="Leg style - (1)"/>
    <w:basedOn w:val="Normal"/>
    <w:uiPriority w:val="9"/>
    <w:semiHidden/>
    <w:rsid w:val="00473AF2"/>
    <w:pPr>
      <w:tabs>
        <w:tab w:val="left" w:pos="851"/>
      </w:tabs>
      <w:ind w:left="851" w:hanging="851"/>
    </w:pPr>
  </w:style>
  <w:style w:type="paragraph" w:customStyle="1" w:styleId="Legstyle-a">
    <w:name w:val="Leg style - (a)"/>
    <w:basedOn w:val="Normal"/>
    <w:uiPriority w:val="9"/>
    <w:semiHidden/>
    <w:rsid w:val="00473AF2"/>
    <w:pPr>
      <w:tabs>
        <w:tab w:val="left" w:pos="1559"/>
      </w:tabs>
      <w:ind w:left="1560" w:hanging="709"/>
    </w:pPr>
  </w:style>
  <w:style w:type="paragraph" w:customStyle="1" w:styleId="Legstyle-i">
    <w:name w:val="Leg style - (i)"/>
    <w:basedOn w:val="Normal"/>
    <w:uiPriority w:val="9"/>
    <w:semiHidden/>
    <w:rsid w:val="00473AF2"/>
    <w:pPr>
      <w:tabs>
        <w:tab w:val="left" w:pos="2268"/>
      </w:tabs>
      <w:ind w:left="2268" w:hanging="709"/>
    </w:pPr>
  </w:style>
  <w:style w:type="paragraph" w:customStyle="1" w:styleId="Legstyle-10">
    <w:name w:val="Leg style - 1"/>
    <w:basedOn w:val="Normal"/>
    <w:uiPriority w:val="9"/>
    <w:semiHidden/>
    <w:rsid w:val="00473AF2"/>
    <w:pPr>
      <w:tabs>
        <w:tab w:val="left" w:pos="851"/>
      </w:tabs>
      <w:ind w:left="851" w:hanging="851"/>
    </w:pPr>
    <w:rPr>
      <w:b/>
    </w:rPr>
  </w:style>
  <w:style w:type="paragraph" w:customStyle="1" w:styleId="Guidelines">
    <w:name w:val="Guidelines"/>
    <w:basedOn w:val="Normal"/>
    <w:next w:val="BodyText"/>
    <w:uiPriority w:val="2"/>
    <w:rsid w:val="00473AF2"/>
    <w:rPr>
      <w:color w:val="00B050"/>
    </w:rPr>
  </w:style>
  <w:style w:type="paragraph" w:customStyle="1" w:styleId="Heading1-Start">
    <w:name w:val="Heading 1 - Start"/>
    <w:basedOn w:val="Heading1"/>
    <w:next w:val="BodyText"/>
    <w:uiPriority w:val="1"/>
    <w:rsid w:val="00473AF2"/>
    <w:pPr>
      <w:pageBreakBefore/>
      <w:spacing w:before="0"/>
    </w:pPr>
  </w:style>
  <w:style w:type="paragraph" w:styleId="Title">
    <w:name w:val="Title"/>
    <w:basedOn w:val="Normalcolour"/>
    <w:next w:val="BodyText"/>
    <w:link w:val="TitleChar"/>
    <w:uiPriority w:val="1"/>
    <w:rsid w:val="00473AF2"/>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473AF2"/>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473AF2"/>
    <w:pPr>
      <w:ind w:left="1134" w:right="567"/>
    </w:pPr>
    <w:rPr>
      <w:i/>
      <w:color w:val="4D4D4D"/>
    </w:rPr>
  </w:style>
  <w:style w:type="paragraph" w:customStyle="1" w:styleId="QIndent2">
    <w:name w:val="QIndent 2"/>
    <w:basedOn w:val="Normal"/>
    <w:uiPriority w:val="6"/>
    <w:rsid w:val="00473AF2"/>
    <w:pPr>
      <w:ind w:left="1701" w:right="567"/>
    </w:pPr>
    <w:rPr>
      <w:i/>
      <w:color w:val="4D4D4D"/>
    </w:rPr>
  </w:style>
  <w:style w:type="paragraph" w:customStyle="1" w:styleId="QIndent3">
    <w:name w:val="QIndent 3"/>
    <w:basedOn w:val="Normal"/>
    <w:uiPriority w:val="6"/>
    <w:rsid w:val="00473AF2"/>
    <w:pPr>
      <w:ind w:left="2268" w:right="567"/>
    </w:pPr>
    <w:rPr>
      <w:i/>
      <w:color w:val="4D4D4D"/>
    </w:rPr>
  </w:style>
  <w:style w:type="paragraph" w:customStyle="1" w:styleId="QListalpha">
    <w:name w:val="QList alpha"/>
    <w:basedOn w:val="Normal"/>
    <w:uiPriority w:val="6"/>
    <w:rsid w:val="00473AF2"/>
    <w:pPr>
      <w:numPr>
        <w:numId w:val="18"/>
      </w:numPr>
      <w:ind w:right="567"/>
    </w:pPr>
    <w:rPr>
      <w:i/>
      <w:color w:val="4D4D4D"/>
    </w:rPr>
  </w:style>
  <w:style w:type="paragraph" w:customStyle="1" w:styleId="QListbullet">
    <w:name w:val="QList bullet"/>
    <w:basedOn w:val="Normal"/>
    <w:uiPriority w:val="6"/>
    <w:rsid w:val="00473AF2"/>
    <w:pPr>
      <w:numPr>
        <w:numId w:val="19"/>
      </w:numPr>
      <w:ind w:right="567"/>
    </w:pPr>
    <w:rPr>
      <w:i/>
      <w:color w:val="4D4D4D"/>
    </w:rPr>
  </w:style>
  <w:style w:type="paragraph" w:customStyle="1" w:styleId="QListnumber">
    <w:name w:val="QList number"/>
    <w:basedOn w:val="Normal"/>
    <w:uiPriority w:val="6"/>
    <w:rsid w:val="00473AF2"/>
    <w:pPr>
      <w:numPr>
        <w:numId w:val="20"/>
      </w:numPr>
      <w:ind w:right="567"/>
    </w:pPr>
    <w:rPr>
      <w:i/>
      <w:color w:val="4D4D4D"/>
    </w:rPr>
  </w:style>
  <w:style w:type="paragraph" w:customStyle="1" w:styleId="QListroman">
    <w:name w:val="QList roman"/>
    <w:basedOn w:val="Normal"/>
    <w:uiPriority w:val="6"/>
    <w:rsid w:val="00473AF2"/>
    <w:pPr>
      <w:numPr>
        <w:numId w:val="21"/>
      </w:numPr>
      <w:ind w:right="567"/>
    </w:pPr>
    <w:rPr>
      <w:rFonts w:eastAsia="Times New Roman" w:cs="Times New Roman"/>
      <w:i/>
      <w:color w:val="4D4D4D"/>
      <w:szCs w:val="20"/>
    </w:rPr>
  </w:style>
  <w:style w:type="paragraph" w:customStyle="1" w:styleId="Bullet1">
    <w:name w:val="Bullet 1"/>
    <w:basedOn w:val="Normal"/>
    <w:uiPriority w:val="2"/>
    <w:rsid w:val="00473AF2"/>
    <w:pPr>
      <w:numPr>
        <w:numId w:val="11"/>
      </w:numPr>
    </w:pPr>
  </w:style>
  <w:style w:type="paragraph" w:customStyle="1" w:styleId="Bullet2">
    <w:name w:val="Bullet 2"/>
    <w:basedOn w:val="Normal"/>
    <w:uiPriority w:val="2"/>
    <w:rsid w:val="00473AF2"/>
    <w:pPr>
      <w:numPr>
        <w:ilvl w:val="1"/>
        <w:numId w:val="11"/>
      </w:numPr>
    </w:pPr>
  </w:style>
  <w:style w:type="paragraph" w:customStyle="1" w:styleId="Bullet3">
    <w:name w:val="Bullet 3"/>
    <w:basedOn w:val="Normal"/>
    <w:uiPriority w:val="2"/>
    <w:rsid w:val="00473AF2"/>
    <w:pPr>
      <w:numPr>
        <w:ilvl w:val="2"/>
        <w:numId w:val="11"/>
      </w:numPr>
    </w:pPr>
  </w:style>
  <w:style w:type="paragraph" w:customStyle="1" w:styleId="Bullet4">
    <w:name w:val="Bullet 4"/>
    <w:basedOn w:val="Normal"/>
    <w:uiPriority w:val="2"/>
    <w:rsid w:val="00473AF2"/>
    <w:pPr>
      <w:numPr>
        <w:ilvl w:val="3"/>
        <w:numId w:val="11"/>
      </w:numPr>
    </w:pPr>
  </w:style>
  <w:style w:type="paragraph" w:customStyle="1" w:styleId="InsertPictureLeft">
    <w:name w:val="InsertPictureLeft"/>
    <w:rsid w:val="00473AF2"/>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473AF2"/>
    <w:pPr>
      <w:ind w:left="567"/>
    </w:pPr>
  </w:style>
  <w:style w:type="paragraph" w:customStyle="1" w:styleId="Indent2">
    <w:name w:val="Indent 2"/>
    <w:basedOn w:val="Normal"/>
    <w:uiPriority w:val="4"/>
    <w:rsid w:val="00473AF2"/>
    <w:pPr>
      <w:ind w:left="1134"/>
    </w:pPr>
  </w:style>
  <w:style w:type="paragraph" w:customStyle="1" w:styleId="Indent3">
    <w:name w:val="Indent 3"/>
    <w:basedOn w:val="Normal"/>
    <w:uiPriority w:val="4"/>
    <w:rsid w:val="00473AF2"/>
    <w:pPr>
      <w:ind w:left="1701"/>
    </w:pPr>
  </w:style>
  <w:style w:type="paragraph" w:customStyle="1" w:styleId="Indent4">
    <w:name w:val="Indent 4"/>
    <w:basedOn w:val="Normal"/>
    <w:uiPriority w:val="4"/>
    <w:rsid w:val="00473AF2"/>
    <w:pPr>
      <w:ind w:left="2268"/>
    </w:pPr>
  </w:style>
  <w:style w:type="paragraph" w:customStyle="1" w:styleId="Number-1">
    <w:name w:val="Number - 1."/>
    <w:basedOn w:val="BodyText"/>
    <w:uiPriority w:val="5"/>
    <w:rsid w:val="00473AF2"/>
    <w:pPr>
      <w:numPr>
        <w:numId w:val="15"/>
      </w:numPr>
    </w:pPr>
  </w:style>
  <w:style w:type="paragraph" w:customStyle="1" w:styleId="Number-11">
    <w:name w:val="Number - 1.1"/>
    <w:basedOn w:val="Normal"/>
    <w:uiPriority w:val="5"/>
    <w:rsid w:val="00473AF2"/>
    <w:pPr>
      <w:numPr>
        <w:ilvl w:val="1"/>
        <w:numId w:val="15"/>
      </w:numPr>
    </w:pPr>
  </w:style>
  <w:style w:type="paragraph" w:customStyle="1" w:styleId="Number-111">
    <w:name w:val="Number - 1.1.1"/>
    <w:basedOn w:val="Normal"/>
    <w:uiPriority w:val="5"/>
    <w:rsid w:val="00473AF2"/>
    <w:pPr>
      <w:numPr>
        <w:ilvl w:val="2"/>
        <w:numId w:val="15"/>
      </w:numPr>
    </w:pPr>
  </w:style>
  <w:style w:type="paragraph" w:customStyle="1" w:styleId="Number-a">
    <w:name w:val="Number - a."/>
    <w:basedOn w:val="Normal"/>
    <w:uiPriority w:val="5"/>
    <w:rsid w:val="00473AF2"/>
    <w:pPr>
      <w:numPr>
        <w:numId w:val="16"/>
      </w:numPr>
    </w:pPr>
  </w:style>
  <w:style w:type="paragraph" w:customStyle="1" w:styleId="Number-i">
    <w:name w:val="Number - i."/>
    <w:basedOn w:val="Normal"/>
    <w:uiPriority w:val="5"/>
    <w:rsid w:val="00473AF2"/>
    <w:pPr>
      <w:numPr>
        <w:ilvl w:val="1"/>
        <w:numId w:val="16"/>
      </w:numPr>
    </w:pPr>
  </w:style>
  <w:style w:type="paragraph" w:customStyle="1" w:styleId="Number1">
    <w:name w:val="Number 1"/>
    <w:basedOn w:val="Normal"/>
    <w:uiPriority w:val="5"/>
    <w:rsid w:val="00473AF2"/>
    <w:pPr>
      <w:numPr>
        <w:numId w:val="17"/>
      </w:numPr>
    </w:pPr>
  </w:style>
  <w:style w:type="paragraph" w:customStyle="1" w:styleId="Number2">
    <w:name w:val="Number 2"/>
    <w:basedOn w:val="Normal"/>
    <w:uiPriority w:val="5"/>
    <w:rsid w:val="00473AF2"/>
    <w:pPr>
      <w:numPr>
        <w:ilvl w:val="1"/>
        <w:numId w:val="17"/>
      </w:numPr>
    </w:pPr>
  </w:style>
  <w:style w:type="paragraph" w:customStyle="1" w:styleId="Number3">
    <w:name w:val="Number 3"/>
    <w:basedOn w:val="Normal"/>
    <w:uiPriority w:val="5"/>
    <w:rsid w:val="00473AF2"/>
    <w:pPr>
      <w:numPr>
        <w:ilvl w:val="2"/>
        <w:numId w:val="17"/>
      </w:numPr>
    </w:pPr>
  </w:style>
  <w:style w:type="paragraph" w:customStyle="1" w:styleId="TableBullet1">
    <w:name w:val="Table Bullet 1"/>
    <w:basedOn w:val="Normal"/>
    <w:uiPriority w:val="2"/>
    <w:rsid w:val="00473AF2"/>
    <w:pPr>
      <w:numPr>
        <w:numId w:val="22"/>
      </w:numPr>
      <w:spacing w:before="120" w:after="120"/>
    </w:pPr>
    <w:rPr>
      <w:sz w:val="22"/>
    </w:rPr>
  </w:style>
  <w:style w:type="paragraph" w:customStyle="1" w:styleId="TableBullet2">
    <w:name w:val="Table Bullet 2"/>
    <w:basedOn w:val="Normal"/>
    <w:uiPriority w:val="2"/>
    <w:rsid w:val="00473AF2"/>
    <w:pPr>
      <w:numPr>
        <w:ilvl w:val="1"/>
        <w:numId w:val="22"/>
      </w:numPr>
      <w:spacing w:before="120" w:after="120"/>
    </w:pPr>
    <w:rPr>
      <w:sz w:val="22"/>
    </w:rPr>
  </w:style>
  <w:style w:type="paragraph" w:customStyle="1" w:styleId="TableBullet3">
    <w:name w:val="Table Bullet 3"/>
    <w:basedOn w:val="Normal"/>
    <w:uiPriority w:val="2"/>
    <w:rsid w:val="00473AF2"/>
    <w:pPr>
      <w:numPr>
        <w:ilvl w:val="2"/>
        <w:numId w:val="22"/>
      </w:numPr>
      <w:spacing w:before="120" w:after="120"/>
    </w:pPr>
    <w:rPr>
      <w:sz w:val="22"/>
    </w:rPr>
  </w:style>
  <w:style w:type="paragraph" w:customStyle="1" w:styleId="Tableheading">
    <w:name w:val="Table heading"/>
    <w:basedOn w:val="Tablebodytext"/>
    <w:next w:val="Tablebodytext"/>
    <w:uiPriority w:val="2"/>
    <w:rsid w:val="00473AF2"/>
    <w:pPr>
      <w:keepNext/>
      <w:spacing w:after="60"/>
    </w:pPr>
    <w:rPr>
      <w:b/>
    </w:rPr>
  </w:style>
  <w:style w:type="paragraph" w:customStyle="1" w:styleId="TableIndent1">
    <w:name w:val="Table Indent 1"/>
    <w:basedOn w:val="Normal"/>
    <w:uiPriority w:val="2"/>
    <w:rsid w:val="00473AF2"/>
    <w:pPr>
      <w:spacing w:before="120" w:after="120"/>
      <w:ind w:left="357"/>
    </w:pPr>
    <w:rPr>
      <w:sz w:val="22"/>
    </w:rPr>
  </w:style>
  <w:style w:type="paragraph" w:customStyle="1" w:styleId="TableIndent2">
    <w:name w:val="Table Indent 2"/>
    <w:basedOn w:val="Normal"/>
    <w:uiPriority w:val="2"/>
    <w:rsid w:val="00473AF2"/>
    <w:pPr>
      <w:spacing w:before="120" w:after="120"/>
      <w:ind w:left="714"/>
    </w:pPr>
    <w:rPr>
      <w:sz w:val="22"/>
    </w:rPr>
  </w:style>
  <w:style w:type="paragraph" w:customStyle="1" w:styleId="TableIndent3">
    <w:name w:val="Table Indent 3"/>
    <w:basedOn w:val="Normal"/>
    <w:uiPriority w:val="2"/>
    <w:rsid w:val="00473AF2"/>
    <w:pPr>
      <w:spacing w:before="120" w:after="120"/>
      <w:ind w:left="1072"/>
    </w:pPr>
    <w:rPr>
      <w:sz w:val="22"/>
    </w:rPr>
  </w:style>
  <w:style w:type="paragraph" w:customStyle="1" w:styleId="TableNumber1">
    <w:name w:val="Table Number 1."/>
    <w:basedOn w:val="Normal"/>
    <w:uiPriority w:val="2"/>
    <w:rsid w:val="00473AF2"/>
    <w:pPr>
      <w:numPr>
        <w:numId w:val="24"/>
      </w:numPr>
      <w:spacing w:before="120" w:after="120"/>
    </w:pPr>
    <w:rPr>
      <w:sz w:val="22"/>
    </w:rPr>
  </w:style>
  <w:style w:type="paragraph" w:customStyle="1" w:styleId="TableNumbera">
    <w:name w:val="Table Number a."/>
    <w:basedOn w:val="Normal"/>
    <w:uiPriority w:val="2"/>
    <w:rsid w:val="00473AF2"/>
    <w:pPr>
      <w:numPr>
        <w:ilvl w:val="1"/>
        <w:numId w:val="24"/>
      </w:numPr>
      <w:spacing w:before="120" w:after="120"/>
    </w:pPr>
    <w:rPr>
      <w:sz w:val="22"/>
    </w:rPr>
  </w:style>
  <w:style w:type="paragraph" w:customStyle="1" w:styleId="TableNumberi">
    <w:name w:val="Table Number i."/>
    <w:basedOn w:val="Normal"/>
    <w:uiPriority w:val="2"/>
    <w:rsid w:val="00473AF2"/>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473AF2"/>
    <w:pPr>
      <w:spacing w:after="120"/>
      <w:ind w:left="357" w:right="357"/>
    </w:pPr>
    <w:rPr>
      <w:sz w:val="22"/>
    </w:rPr>
  </w:style>
  <w:style w:type="paragraph" w:customStyle="1" w:styleId="Tablesinglespacedparagraph">
    <w:name w:val="Table single spaced paragraph"/>
    <w:basedOn w:val="BodyText"/>
    <w:uiPriority w:val="2"/>
    <w:rsid w:val="00473AF2"/>
    <w:pPr>
      <w:spacing w:before="40" w:after="40"/>
    </w:pPr>
    <w:rPr>
      <w:sz w:val="22"/>
    </w:rPr>
  </w:style>
  <w:style w:type="paragraph" w:customStyle="1" w:styleId="Tablesinglespacedparagraphlast">
    <w:name w:val="Table single spaced paragraph (last)"/>
    <w:basedOn w:val="Tablesinglespacedparagraph"/>
    <w:uiPriority w:val="2"/>
    <w:rsid w:val="00473AF2"/>
  </w:style>
  <w:style w:type="character" w:styleId="CommentReference">
    <w:name w:val="annotation reference"/>
    <w:basedOn w:val="DefaultParagraphFont"/>
    <w:uiPriority w:val="99"/>
    <w:semiHidden/>
    <w:unhideWhenUsed/>
    <w:rsid w:val="00473AF2"/>
    <w:rPr>
      <w:sz w:val="16"/>
      <w:szCs w:val="16"/>
    </w:rPr>
  </w:style>
  <w:style w:type="paragraph" w:customStyle="1" w:styleId="Tablecaption">
    <w:name w:val="Table caption"/>
    <w:basedOn w:val="Normal"/>
    <w:next w:val="BodyText"/>
    <w:uiPriority w:val="98"/>
    <w:rsid w:val="00473AF2"/>
    <w:pPr>
      <w:keepNext/>
      <w:spacing w:before="360" w:after="60" w:line="260" w:lineRule="atLeast"/>
    </w:pPr>
    <w:rPr>
      <w:b/>
      <w:sz w:val="26"/>
    </w:rPr>
  </w:style>
  <w:style w:type="paragraph" w:customStyle="1" w:styleId="Footerlandscape">
    <w:name w:val="Footer landscape"/>
    <w:basedOn w:val="Footer"/>
    <w:uiPriority w:val="10"/>
    <w:rsid w:val="00473AF2"/>
  </w:style>
  <w:style w:type="paragraph" w:customStyle="1" w:styleId="Headerlandscape">
    <w:name w:val="Header landscape"/>
    <w:basedOn w:val="Header"/>
    <w:rsid w:val="00473AF2"/>
    <w:pPr>
      <w:tabs>
        <w:tab w:val="clear" w:pos="9299"/>
        <w:tab w:val="right" w:pos="14232"/>
      </w:tabs>
    </w:pPr>
  </w:style>
  <w:style w:type="paragraph" w:customStyle="1" w:styleId="FigureCaption">
    <w:name w:val="Figure Caption"/>
    <w:basedOn w:val="Normal"/>
    <w:next w:val="BodyText"/>
    <w:uiPriority w:val="2"/>
    <w:rsid w:val="00473AF2"/>
    <w:pPr>
      <w:spacing w:line="240" w:lineRule="auto"/>
    </w:pPr>
    <w:rPr>
      <w:i/>
    </w:rPr>
  </w:style>
  <w:style w:type="character" w:customStyle="1" w:styleId="Italics">
    <w:name w:val="Italics"/>
    <w:basedOn w:val="DefaultParagraphFont"/>
    <w:uiPriority w:val="2"/>
    <w:rsid w:val="00473AF2"/>
    <w:rPr>
      <w:i/>
    </w:rPr>
  </w:style>
  <w:style w:type="character" w:customStyle="1" w:styleId="Bluetext">
    <w:name w:val="Blue text"/>
    <w:basedOn w:val="DefaultParagraphFont"/>
    <w:uiPriority w:val="2"/>
    <w:rsid w:val="00473AF2"/>
    <w:rPr>
      <w:color w:val="0070C0"/>
    </w:rPr>
  </w:style>
  <w:style w:type="paragraph" w:customStyle="1" w:styleId="Boxsmallbullet1">
    <w:name w:val="Box small bullet 1"/>
    <w:basedOn w:val="Normal"/>
    <w:uiPriority w:val="2"/>
    <w:rsid w:val="00473AF2"/>
    <w:pPr>
      <w:numPr>
        <w:numId w:val="9"/>
      </w:numPr>
    </w:pPr>
  </w:style>
  <w:style w:type="paragraph" w:customStyle="1" w:styleId="Boxsmallbullet2">
    <w:name w:val="Box small bullet 2"/>
    <w:basedOn w:val="Normal"/>
    <w:uiPriority w:val="2"/>
    <w:rsid w:val="00473AF2"/>
    <w:pPr>
      <w:numPr>
        <w:ilvl w:val="1"/>
        <w:numId w:val="9"/>
      </w:numPr>
    </w:pPr>
  </w:style>
  <w:style w:type="character" w:customStyle="1" w:styleId="HyperlinkSourceTextReference">
    <w:name w:val="Hyperlink (Source Text Reference)"/>
    <w:basedOn w:val="Hyperlink"/>
    <w:uiPriority w:val="2"/>
    <w:rsid w:val="00473AF2"/>
    <w:rPr>
      <w:color w:val="0D6AB8"/>
      <w:u w:val="single"/>
    </w:rPr>
  </w:style>
  <w:style w:type="paragraph" w:customStyle="1" w:styleId="Pictureindent">
    <w:name w:val="Picture indent"/>
    <w:basedOn w:val="Indent1"/>
    <w:uiPriority w:val="98"/>
    <w:rsid w:val="00473AF2"/>
    <w:pPr>
      <w:ind w:left="-28"/>
    </w:pPr>
  </w:style>
  <w:style w:type="numbering" w:styleId="ArticleSection">
    <w:name w:val="Outline List 3"/>
    <w:basedOn w:val="NoList"/>
    <w:uiPriority w:val="99"/>
    <w:semiHidden/>
    <w:unhideWhenUsed/>
    <w:rsid w:val="00473AF2"/>
    <w:pPr>
      <w:numPr>
        <w:numId w:val="8"/>
      </w:numPr>
    </w:pPr>
  </w:style>
  <w:style w:type="paragraph" w:customStyle="1" w:styleId="Boxsmallnumber-1">
    <w:name w:val="Box small number - 1."/>
    <w:basedOn w:val="Normal"/>
    <w:uiPriority w:val="2"/>
    <w:rsid w:val="00473AF2"/>
    <w:pPr>
      <w:numPr>
        <w:numId w:val="10"/>
      </w:numPr>
    </w:pPr>
  </w:style>
  <w:style w:type="paragraph" w:customStyle="1" w:styleId="Boxsmallnumber-a">
    <w:name w:val="Box small number - a."/>
    <w:basedOn w:val="Normal"/>
    <w:uiPriority w:val="2"/>
    <w:rsid w:val="00473AF2"/>
    <w:pPr>
      <w:numPr>
        <w:ilvl w:val="1"/>
        <w:numId w:val="10"/>
      </w:numPr>
    </w:pPr>
  </w:style>
  <w:style w:type="paragraph" w:customStyle="1" w:styleId="Boxsmallnumber-i">
    <w:name w:val="Box small number - i."/>
    <w:basedOn w:val="Normal"/>
    <w:uiPriority w:val="2"/>
    <w:rsid w:val="00473AF2"/>
    <w:pPr>
      <w:numPr>
        <w:ilvl w:val="2"/>
        <w:numId w:val="10"/>
      </w:numPr>
    </w:pPr>
  </w:style>
  <w:style w:type="paragraph" w:customStyle="1" w:styleId="FootnoteBullet">
    <w:name w:val="Footnote Bullet"/>
    <w:basedOn w:val="FootnoteText"/>
    <w:uiPriority w:val="7"/>
    <w:rsid w:val="00473AF2"/>
    <w:pPr>
      <w:numPr>
        <w:numId w:val="14"/>
      </w:numPr>
      <w:tabs>
        <w:tab w:val="clear" w:pos="284"/>
      </w:tabs>
    </w:pPr>
  </w:style>
  <w:style w:type="paragraph" w:customStyle="1" w:styleId="Introduction">
    <w:name w:val="Introduction"/>
    <w:basedOn w:val="Normal"/>
    <w:uiPriority w:val="2"/>
    <w:rsid w:val="00473AF2"/>
    <w:pPr>
      <w:ind w:right="1304"/>
    </w:pPr>
    <w:rPr>
      <w:i/>
      <w:color w:val="auto"/>
      <w:sz w:val="28"/>
    </w:rPr>
  </w:style>
  <w:style w:type="paragraph" w:customStyle="1" w:styleId="Checkbox1">
    <w:name w:val="Check box 1"/>
    <w:basedOn w:val="BodyText"/>
    <w:uiPriority w:val="3"/>
    <w:rsid w:val="00473AF2"/>
    <w:pPr>
      <w:numPr>
        <w:numId w:val="12"/>
      </w:numPr>
    </w:pPr>
  </w:style>
  <w:style w:type="paragraph" w:customStyle="1" w:styleId="Checkbox2">
    <w:name w:val="Check box 2"/>
    <w:basedOn w:val="Checkbox1"/>
    <w:uiPriority w:val="3"/>
    <w:rsid w:val="00473AF2"/>
    <w:pPr>
      <w:numPr>
        <w:ilvl w:val="1"/>
      </w:numPr>
    </w:pPr>
  </w:style>
  <w:style w:type="paragraph" w:customStyle="1" w:styleId="Checkbox3">
    <w:name w:val="Check box 3"/>
    <w:basedOn w:val="Checkbox1"/>
    <w:uiPriority w:val="3"/>
    <w:rsid w:val="00473AF2"/>
    <w:pPr>
      <w:numPr>
        <w:ilvl w:val="2"/>
      </w:numPr>
    </w:pPr>
  </w:style>
  <w:style w:type="paragraph" w:customStyle="1" w:styleId="Checkbox4">
    <w:name w:val="Check box 4"/>
    <w:basedOn w:val="Checkbox1"/>
    <w:uiPriority w:val="3"/>
    <w:rsid w:val="00473AF2"/>
    <w:pPr>
      <w:numPr>
        <w:ilvl w:val="3"/>
      </w:numPr>
    </w:pPr>
  </w:style>
  <w:style w:type="paragraph" w:customStyle="1" w:styleId="Tablecheckbox1">
    <w:name w:val="Table check box 1"/>
    <w:basedOn w:val="Normal"/>
    <w:uiPriority w:val="2"/>
    <w:rsid w:val="00473AF2"/>
    <w:pPr>
      <w:numPr>
        <w:numId w:val="23"/>
      </w:numPr>
      <w:spacing w:before="120" w:after="120"/>
    </w:pPr>
    <w:rPr>
      <w:sz w:val="22"/>
    </w:rPr>
  </w:style>
  <w:style w:type="paragraph" w:customStyle="1" w:styleId="Tablecheckbox2">
    <w:name w:val="Table check box 2"/>
    <w:basedOn w:val="Tablecheckbox1"/>
    <w:uiPriority w:val="2"/>
    <w:rsid w:val="00473AF2"/>
    <w:pPr>
      <w:numPr>
        <w:ilvl w:val="1"/>
      </w:numPr>
    </w:pPr>
  </w:style>
  <w:style w:type="paragraph" w:customStyle="1" w:styleId="Tablecheckbox3">
    <w:name w:val="Table check box 3"/>
    <w:basedOn w:val="Tablecheckbox1"/>
    <w:uiPriority w:val="2"/>
    <w:rsid w:val="00473AF2"/>
    <w:pPr>
      <w:numPr>
        <w:ilvl w:val="2"/>
      </w:numPr>
    </w:pPr>
  </w:style>
  <w:style w:type="paragraph" w:customStyle="1" w:styleId="EndnoteBullet">
    <w:name w:val="Endnote Bullet"/>
    <w:uiPriority w:val="7"/>
    <w:rsid w:val="00473AF2"/>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473AF2"/>
    <w:pPr>
      <w:ind w:left="2268" w:right="567"/>
    </w:pPr>
    <w:rPr>
      <w:i/>
      <w:color w:val="4D4D4D"/>
    </w:rPr>
  </w:style>
  <w:style w:type="paragraph" w:customStyle="1" w:styleId="CQLegindent2">
    <w:name w:val="CQLeg indent 2"/>
    <w:basedOn w:val="Normal"/>
    <w:uiPriority w:val="6"/>
    <w:rsid w:val="00473AF2"/>
    <w:pPr>
      <w:ind w:left="2977" w:right="567"/>
    </w:pPr>
    <w:rPr>
      <w:i/>
      <w:color w:val="4D4D4D"/>
    </w:rPr>
  </w:style>
  <w:style w:type="paragraph" w:customStyle="1" w:styleId="CQLegindent3">
    <w:name w:val="CQLeg indent 3"/>
    <w:basedOn w:val="Normal"/>
    <w:uiPriority w:val="6"/>
    <w:rsid w:val="00473AF2"/>
    <w:pPr>
      <w:ind w:left="3686" w:right="567"/>
    </w:pPr>
    <w:rPr>
      <w:i/>
      <w:color w:val="4D4D4D"/>
    </w:rPr>
  </w:style>
  <w:style w:type="paragraph" w:customStyle="1" w:styleId="CQLegstyle-1">
    <w:name w:val="CQLeg style - (1)"/>
    <w:basedOn w:val="Normal"/>
    <w:uiPriority w:val="6"/>
    <w:rsid w:val="00473AF2"/>
    <w:pPr>
      <w:tabs>
        <w:tab w:val="left" w:pos="2268"/>
      </w:tabs>
      <w:ind w:left="2269" w:right="567" w:hanging="851"/>
    </w:pPr>
    <w:rPr>
      <w:i/>
      <w:color w:val="4D4D4D"/>
    </w:rPr>
  </w:style>
  <w:style w:type="paragraph" w:customStyle="1" w:styleId="CQLegstyle-a">
    <w:name w:val="CQLeg style - (a)"/>
    <w:basedOn w:val="Normal"/>
    <w:uiPriority w:val="6"/>
    <w:rsid w:val="00473AF2"/>
    <w:pPr>
      <w:tabs>
        <w:tab w:val="left" w:pos="2977"/>
      </w:tabs>
      <w:ind w:left="2977" w:right="567" w:hanging="709"/>
    </w:pPr>
    <w:rPr>
      <w:i/>
      <w:color w:val="4D4D4D"/>
    </w:rPr>
  </w:style>
  <w:style w:type="paragraph" w:customStyle="1" w:styleId="CQLegstyle-i">
    <w:name w:val="CQLeg style - (i)"/>
    <w:basedOn w:val="Normal"/>
    <w:uiPriority w:val="6"/>
    <w:rsid w:val="00473AF2"/>
    <w:pPr>
      <w:tabs>
        <w:tab w:val="left" w:pos="3686"/>
      </w:tabs>
      <w:ind w:left="3686" w:right="567" w:hanging="709"/>
    </w:pPr>
    <w:rPr>
      <w:i/>
      <w:color w:val="4D4D4D"/>
    </w:rPr>
  </w:style>
  <w:style w:type="paragraph" w:customStyle="1" w:styleId="CQLegstyle-10">
    <w:name w:val="CQLeg style - 1"/>
    <w:basedOn w:val="Normal"/>
    <w:uiPriority w:val="6"/>
    <w:rsid w:val="00473AF2"/>
    <w:pPr>
      <w:keepNext/>
      <w:tabs>
        <w:tab w:val="left" w:pos="2268"/>
      </w:tabs>
      <w:ind w:left="2269" w:right="567" w:hanging="851"/>
    </w:pPr>
    <w:rPr>
      <w:b/>
      <w:i/>
      <w:color w:val="4D4D4D"/>
    </w:rPr>
  </w:style>
  <w:style w:type="paragraph" w:customStyle="1" w:styleId="ALegindent1">
    <w:name w:val="ALeg indent 1"/>
    <w:basedOn w:val="Normal"/>
    <w:uiPriority w:val="6"/>
    <w:rsid w:val="00473AF2"/>
    <w:pPr>
      <w:ind w:left="851"/>
    </w:pPr>
  </w:style>
  <w:style w:type="paragraph" w:customStyle="1" w:styleId="ALegindent2">
    <w:name w:val="ALeg indent 2"/>
    <w:basedOn w:val="Normal"/>
    <w:uiPriority w:val="6"/>
    <w:rsid w:val="00473AF2"/>
    <w:pPr>
      <w:ind w:left="1559"/>
    </w:pPr>
  </w:style>
  <w:style w:type="paragraph" w:customStyle="1" w:styleId="ALegindent3">
    <w:name w:val="ALeg indent 3"/>
    <w:basedOn w:val="Normal"/>
    <w:uiPriority w:val="6"/>
    <w:rsid w:val="00473AF2"/>
    <w:pPr>
      <w:ind w:left="2268"/>
    </w:pPr>
  </w:style>
  <w:style w:type="paragraph" w:customStyle="1" w:styleId="ALegstyle-1">
    <w:name w:val="ALeg style - (1)"/>
    <w:basedOn w:val="Normal"/>
    <w:uiPriority w:val="6"/>
    <w:rsid w:val="00473AF2"/>
    <w:pPr>
      <w:tabs>
        <w:tab w:val="left" w:pos="851"/>
      </w:tabs>
      <w:ind w:left="851" w:hanging="851"/>
    </w:pPr>
  </w:style>
  <w:style w:type="paragraph" w:customStyle="1" w:styleId="ALegstyle-a">
    <w:name w:val="ALeg style - (a)"/>
    <w:basedOn w:val="Normal"/>
    <w:uiPriority w:val="6"/>
    <w:rsid w:val="00473AF2"/>
    <w:pPr>
      <w:tabs>
        <w:tab w:val="left" w:pos="1559"/>
      </w:tabs>
      <w:ind w:left="1560" w:hanging="709"/>
    </w:pPr>
  </w:style>
  <w:style w:type="paragraph" w:customStyle="1" w:styleId="ALegstyle-i">
    <w:name w:val="ALeg style - (i)"/>
    <w:basedOn w:val="Normal"/>
    <w:uiPriority w:val="6"/>
    <w:rsid w:val="00473AF2"/>
    <w:pPr>
      <w:tabs>
        <w:tab w:val="left" w:pos="2268"/>
      </w:tabs>
      <w:ind w:left="2268" w:hanging="709"/>
    </w:pPr>
  </w:style>
  <w:style w:type="paragraph" w:customStyle="1" w:styleId="ALegstyle-10">
    <w:name w:val="ALeg style - 1"/>
    <w:basedOn w:val="Normal"/>
    <w:uiPriority w:val="6"/>
    <w:rsid w:val="00473AF2"/>
    <w:pPr>
      <w:keepNext/>
      <w:tabs>
        <w:tab w:val="left" w:pos="851"/>
      </w:tabs>
      <w:ind w:left="851" w:hanging="851"/>
    </w:pPr>
    <w:rPr>
      <w:b/>
    </w:rPr>
  </w:style>
  <w:style w:type="paragraph" w:customStyle="1" w:styleId="BQLegindent1">
    <w:name w:val="BQLeg indent 1"/>
    <w:basedOn w:val="Normal"/>
    <w:uiPriority w:val="6"/>
    <w:rsid w:val="00473AF2"/>
    <w:pPr>
      <w:ind w:left="1418" w:right="567"/>
    </w:pPr>
    <w:rPr>
      <w:i/>
      <w:color w:val="4D4D4D"/>
    </w:rPr>
  </w:style>
  <w:style w:type="paragraph" w:customStyle="1" w:styleId="BQLegindent2">
    <w:name w:val="BQLeg indent 2"/>
    <w:basedOn w:val="Normal"/>
    <w:uiPriority w:val="6"/>
    <w:rsid w:val="00473AF2"/>
    <w:pPr>
      <w:ind w:left="2126" w:right="567"/>
    </w:pPr>
    <w:rPr>
      <w:i/>
      <w:color w:val="4D4D4D"/>
    </w:rPr>
  </w:style>
  <w:style w:type="paragraph" w:customStyle="1" w:styleId="BQLegindent3">
    <w:name w:val="BQLeg indent 3"/>
    <w:basedOn w:val="Normal"/>
    <w:uiPriority w:val="6"/>
    <w:rsid w:val="00473AF2"/>
    <w:pPr>
      <w:ind w:left="2835" w:right="567"/>
    </w:pPr>
    <w:rPr>
      <w:i/>
      <w:color w:val="4D4D4D"/>
    </w:rPr>
  </w:style>
  <w:style w:type="paragraph" w:customStyle="1" w:styleId="BQLegstyle-1">
    <w:name w:val="BQLeg style - (1)"/>
    <w:basedOn w:val="Normal"/>
    <w:uiPriority w:val="6"/>
    <w:rsid w:val="00473AF2"/>
    <w:pPr>
      <w:tabs>
        <w:tab w:val="left" w:pos="1418"/>
      </w:tabs>
      <w:ind w:left="1418" w:right="567" w:hanging="851"/>
    </w:pPr>
    <w:rPr>
      <w:i/>
      <w:color w:val="4D4D4D"/>
    </w:rPr>
  </w:style>
  <w:style w:type="paragraph" w:customStyle="1" w:styleId="BQLegstyle-a">
    <w:name w:val="BQLeg style - (a)"/>
    <w:basedOn w:val="Normal"/>
    <w:uiPriority w:val="6"/>
    <w:rsid w:val="00473AF2"/>
    <w:pPr>
      <w:tabs>
        <w:tab w:val="left" w:pos="2126"/>
      </w:tabs>
      <w:ind w:left="2127" w:right="567" w:hanging="709"/>
    </w:pPr>
    <w:rPr>
      <w:i/>
      <w:color w:val="4D4D4D"/>
    </w:rPr>
  </w:style>
  <w:style w:type="paragraph" w:customStyle="1" w:styleId="BQLegstyle-i">
    <w:name w:val="BQLeg style - (i)"/>
    <w:basedOn w:val="Normal"/>
    <w:uiPriority w:val="6"/>
    <w:rsid w:val="00473AF2"/>
    <w:pPr>
      <w:tabs>
        <w:tab w:val="left" w:pos="2835"/>
      </w:tabs>
      <w:ind w:left="2835" w:right="567" w:hanging="709"/>
    </w:pPr>
    <w:rPr>
      <w:i/>
      <w:color w:val="4D4D4D"/>
    </w:rPr>
  </w:style>
  <w:style w:type="paragraph" w:customStyle="1" w:styleId="BQLegstyle-10">
    <w:name w:val="BQLeg style - 1"/>
    <w:basedOn w:val="Normal"/>
    <w:uiPriority w:val="6"/>
    <w:rsid w:val="00473AF2"/>
    <w:pPr>
      <w:keepNext/>
      <w:tabs>
        <w:tab w:val="left" w:pos="1418"/>
      </w:tabs>
      <w:ind w:left="1418" w:right="567" w:hanging="851"/>
    </w:pPr>
    <w:rPr>
      <w:b/>
      <w:i/>
      <w:color w:val="4D4D4D"/>
    </w:rPr>
  </w:style>
  <w:style w:type="paragraph" w:customStyle="1" w:styleId="SQLegindent1">
    <w:name w:val="SQLeg indent 1"/>
    <w:basedOn w:val="Normal"/>
    <w:uiPriority w:val="6"/>
    <w:rsid w:val="00473AF2"/>
    <w:pPr>
      <w:ind w:left="1985" w:right="567"/>
    </w:pPr>
    <w:rPr>
      <w:i/>
      <w:color w:val="4D4D4D"/>
    </w:rPr>
  </w:style>
  <w:style w:type="paragraph" w:customStyle="1" w:styleId="SQLegindent2">
    <w:name w:val="SQLeg indent 2"/>
    <w:basedOn w:val="Normal"/>
    <w:uiPriority w:val="6"/>
    <w:rsid w:val="00473AF2"/>
    <w:pPr>
      <w:ind w:left="2693" w:right="567"/>
    </w:pPr>
    <w:rPr>
      <w:i/>
      <w:color w:val="4D4D4D"/>
    </w:rPr>
  </w:style>
  <w:style w:type="paragraph" w:customStyle="1" w:styleId="SQLegindent3">
    <w:name w:val="SQLeg indent 3"/>
    <w:basedOn w:val="Normal"/>
    <w:uiPriority w:val="6"/>
    <w:rsid w:val="00473AF2"/>
    <w:pPr>
      <w:ind w:left="3402" w:right="567"/>
    </w:pPr>
    <w:rPr>
      <w:i/>
      <w:color w:val="4D4D4D"/>
    </w:rPr>
  </w:style>
  <w:style w:type="paragraph" w:customStyle="1" w:styleId="SQLegstyle-1">
    <w:name w:val="SQLeg style - (1)"/>
    <w:basedOn w:val="Normal"/>
    <w:uiPriority w:val="6"/>
    <w:rsid w:val="00473AF2"/>
    <w:pPr>
      <w:tabs>
        <w:tab w:val="left" w:pos="1985"/>
      </w:tabs>
      <w:ind w:left="1985" w:right="567" w:hanging="851"/>
    </w:pPr>
    <w:rPr>
      <w:i/>
      <w:color w:val="4D4D4D"/>
    </w:rPr>
  </w:style>
  <w:style w:type="paragraph" w:customStyle="1" w:styleId="SQLegstyle-a">
    <w:name w:val="SQLeg style - (a)"/>
    <w:basedOn w:val="Normal"/>
    <w:uiPriority w:val="6"/>
    <w:rsid w:val="00473AF2"/>
    <w:pPr>
      <w:tabs>
        <w:tab w:val="left" w:pos="2693"/>
      </w:tabs>
      <w:ind w:left="2694" w:right="567" w:hanging="709"/>
    </w:pPr>
    <w:rPr>
      <w:i/>
      <w:color w:val="4D4D4D"/>
    </w:rPr>
  </w:style>
  <w:style w:type="paragraph" w:customStyle="1" w:styleId="SQLegstyle-i">
    <w:name w:val="SQLeg style - (i)"/>
    <w:basedOn w:val="Normal"/>
    <w:uiPriority w:val="6"/>
    <w:rsid w:val="00473AF2"/>
    <w:pPr>
      <w:tabs>
        <w:tab w:val="left" w:pos="3402"/>
      </w:tabs>
      <w:ind w:left="3402" w:right="567" w:hanging="709"/>
    </w:pPr>
    <w:rPr>
      <w:i/>
      <w:color w:val="4D4D4D"/>
    </w:rPr>
  </w:style>
  <w:style w:type="paragraph" w:customStyle="1" w:styleId="SQLegstyle-10">
    <w:name w:val="SQLeg style - 1"/>
    <w:basedOn w:val="Normal"/>
    <w:uiPriority w:val="6"/>
    <w:rsid w:val="00473AF2"/>
    <w:pPr>
      <w:keepNext/>
      <w:tabs>
        <w:tab w:val="left" w:pos="1985"/>
      </w:tabs>
      <w:ind w:left="1985" w:right="567" w:hanging="851"/>
    </w:pPr>
    <w:rPr>
      <w:b/>
      <w:i/>
      <w:color w:val="4D4D4D"/>
    </w:rPr>
  </w:style>
  <w:style w:type="paragraph" w:customStyle="1" w:styleId="Subheading">
    <w:name w:val="Subheading"/>
    <w:basedOn w:val="Normal"/>
    <w:uiPriority w:val="1"/>
    <w:rsid w:val="00473AF2"/>
    <w:pPr>
      <w:spacing w:after="0" w:line="240" w:lineRule="auto"/>
    </w:pPr>
    <w:rPr>
      <w:sz w:val="32"/>
    </w:rPr>
  </w:style>
  <w:style w:type="paragraph" w:customStyle="1" w:styleId="Tableoffiguresheading">
    <w:name w:val="Table of figures heading"/>
    <w:basedOn w:val="Heading4"/>
    <w:next w:val="TableofFigures"/>
    <w:uiPriority w:val="1"/>
    <w:rsid w:val="00473AF2"/>
    <w:pPr>
      <w:numPr>
        <w:ilvl w:val="0"/>
        <w:numId w:val="0"/>
      </w:numPr>
      <w:outlineLvl w:val="9"/>
    </w:pPr>
  </w:style>
  <w:style w:type="paragraph" w:customStyle="1" w:styleId="Introductionbullet1">
    <w:name w:val="Introduction bullet 1"/>
    <w:basedOn w:val="Introduction"/>
    <w:uiPriority w:val="2"/>
    <w:qFormat/>
    <w:rsid w:val="00473AF2"/>
    <w:pPr>
      <w:numPr>
        <w:numId w:val="7"/>
      </w:numPr>
    </w:pPr>
  </w:style>
  <w:style w:type="paragraph" w:customStyle="1" w:styleId="Introductionnumber1">
    <w:name w:val="Introduction number 1"/>
    <w:basedOn w:val="Introduction"/>
    <w:uiPriority w:val="2"/>
    <w:qFormat/>
    <w:rsid w:val="00473AF2"/>
    <w:pPr>
      <w:numPr>
        <w:numId w:val="31"/>
      </w:numPr>
    </w:pPr>
  </w:style>
  <w:style w:type="character" w:customStyle="1" w:styleId="EmphasisItalics">
    <w:name w:val="Emphasis Italics"/>
    <w:basedOn w:val="DefaultParagraphFont"/>
    <w:uiPriority w:val="2"/>
    <w:rsid w:val="00473AF2"/>
    <w:rPr>
      <w:b/>
      <w:i/>
    </w:rPr>
  </w:style>
  <w:style w:type="character" w:styleId="SubtleEmphasis">
    <w:name w:val="Subtle Emphasis"/>
    <w:basedOn w:val="DefaultParagraphFont"/>
    <w:uiPriority w:val="19"/>
    <w:semiHidden/>
    <w:rsid w:val="00473AF2"/>
    <w:rPr>
      <w:i/>
      <w:iCs/>
      <w:color w:val="404040" w:themeColor="text1" w:themeTint="BF"/>
    </w:rPr>
  </w:style>
  <w:style w:type="paragraph" w:styleId="Revision">
    <w:name w:val="Revision"/>
    <w:hidden/>
    <w:uiPriority w:val="99"/>
    <w:semiHidden/>
    <w:rsid w:val="008471B2"/>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mbudsman.parliament.nz/resources/protected-disclosures-guidance-internal-policies-and-procedures" TargetMode="External"/><Relationship Id="rId13" Type="http://schemas.openxmlformats.org/officeDocument/2006/relationships/hyperlink" Target="https://www.ombudsman.parliament.nz/resources/effective-complaint-handlin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mbudsman.parliament.nz/sites/default/files/2022-08/Protected%20disclosures%20-%20internal%20policies%20and%20procedures%20-%20July%202022_0.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mbudsman.parliament.nz/resources/checklist-protecting-whistleblower-confidentialit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egislation.govt.nz/act/public/2022/0020/latest/LMS305903.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mbudsman.parliament.nz/resources/checklist-protecting-whistleblower-confidentiality" TargetMode="External"/><Relationship Id="rId14" Type="http://schemas.openxmlformats.org/officeDocument/2006/relationships/hyperlink" Target="https://www.ombudsman.parliament.nz/resources/checklist-protecting-whistleblower-confidentialit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mbudsman.parliament.nz/resources/he-rauemi-tataki-ea-resource-offering-effective-apology" TargetMode="External"/><Relationship Id="rId2" Type="http://schemas.openxmlformats.org/officeDocument/2006/relationships/hyperlink" Target="https://www.ombudsman.parliament.nz/resources/protected-disclosures-guidance-internal-policies-and-procedures" TargetMode="External"/><Relationship Id="rId1" Type="http://schemas.openxmlformats.org/officeDocument/2006/relationships/hyperlink" Target="https://www.ombudsman.parliament.nz/resources/meaning-appropriate-authority-protected-disclosures-act-gui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A33C5-3347-422E-AD2E-F3D48BC3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4573</Words>
  <Characters>26072</Characters>
  <Application>Microsoft Office Word</Application>
  <DocSecurity>0</DocSecurity>
  <Lines>217</Lines>
  <Paragraphs>61</Paragraphs>
  <ScaleCrop>false</ScaleCrop>
  <Company/>
  <LinksUpToDate>false</LinksUpToDate>
  <CharactersWithSpaces>30584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2026-02-27T01:17:00Z</dcterms:created>
  <dcterms:modified xsi:type="dcterms:W3CDTF">2026-02-27T01:17:00Z</dcterms:modified>
  <cp:contentStatus/>
</cp:coreProperties>
</file>