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DAA4609" w14:textId="1F6796BD" w:rsidR="003C71B5" w:rsidRPr="00284C17" w:rsidRDefault="003C71B5" w:rsidP="008C5CFC">
      <w:pPr>
        <w:tabs>
          <w:tab w:val="left" w:pos="1418"/>
          <w:tab w:val="left" w:pos="5387"/>
        </w:tabs>
      </w:pPr>
    </w:p>
    <w:tbl>
      <w:tblPr>
        <w:tblStyle w:val="TableGridnoborders"/>
        <w:tblW w:w="9299" w:type="dxa"/>
        <w:tblInd w:w="79" w:type="dxa"/>
        <w:tblCellMar>
          <w:left w:w="0" w:type="dxa"/>
          <w:right w:w="0" w:type="dxa"/>
        </w:tblCellMar>
        <w:tblLook w:val="04A0" w:firstRow="1" w:lastRow="0" w:firstColumn="1" w:lastColumn="0" w:noHBand="0" w:noVBand="1"/>
        <w:tblCaption w:val="Table for formatting purposes"/>
      </w:tblPr>
      <w:tblGrid>
        <w:gridCol w:w="9299"/>
      </w:tblGrid>
      <w:tr w:rsidR="009B2AA5" w:rsidRPr="006C0089" w14:paraId="6635D4D0" w14:textId="77777777" w:rsidTr="009B2AA5">
        <w:trPr>
          <w:trHeight w:val="2408"/>
        </w:trPr>
        <w:tc>
          <w:tcPr>
            <w:tcW w:w="9299" w:type="dxa"/>
            <w:vAlign w:val="bottom"/>
            <w:hideMark/>
          </w:tcPr>
          <w:p w14:paraId="484DA814" w14:textId="77777777" w:rsidR="009B2AA5" w:rsidRPr="006C0089" w:rsidRDefault="000A6513" w:rsidP="005A0803">
            <w:pPr>
              <w:pStyle w:val="Title1"/>
            </w:pPr>
            <w:r w:rsidRPr="006C0089">
              <w:t>OPCAT</w:t>
            </w:r>
            <w:r w:rsidR="009B2AA5" w:rsidRPr="006C0089">
              <w:t xml:space="preserve"> Repor</w:t>
            </w:r>
            <w:r w:rsidR="003622A7" w:rsidRPr="006C0089">
              <w:t>t</w:t>
            </w:r>
            <w:r w:rsidR="00B6797E" w:rsidRPr="006C0089">
              <w:t xml:space="preserve"> </w:t>
            </w:r>
          </w:p>
        </w:tc>
      </w:tr>
      <w:tr w:rsidR="009B2AA5" w:rsidRPr="006C0089" w14:paraId="325C6401" w14:textId="77777777" w:rsidTr="009B2AA5">
        <w:trPr>
          <w:trHeight w:val="2954"/>
        </w:trPr>
        <w:tc>
          <w:tcPr>
            <w:tcW w:w="9299" w:type="dxa"/>
            <w:tcMar>
              <w:top w:w="284" w:type="dxa"/>
            </w:tcMar>
          </w:tcPr>
          <w:p w14:paraId="3A322FB1" w14:textId="7FB1441B" w:rsidR="009B2AA5" w:rsidRPr="006C0089" w:rsidRDefault="002F166B" w:rsidP="008D00B3">
            <w:pPr>
              <w:pStyle w:val="Title2"/>
            </w:pPr>
            <w:r w:rsidRPr="006C0089">
              <w:t>R</w:t>
            </w:r>
            <w:r w:rsidR="009B2AA5" w:rsidRPr="006C0089">
              <w:t xml:space="preserve">eport on </w:t>
            </w:r>
            <w:bookmarkStart w:id="0" w:name="start"/>
            <w:r w:rsidR="008D00B3" w:rsidRPr="006C0089">
              <w:t xml:space="preserve">an </w:t>
            </w:r>
            <w:r w:rsidR="00762017" w:rsidRPr="006C0089">
              <w:t xml:space="preserve">announced follow up inspection of </w:t>
            </w:r>
            <w:bookmarkEnd w:id="0"/>
            <w:r w:rsidR="008D00B3" w:rsidRPr="006C0089">
              <w:t>H</w:t>
            </w:r>
            <w:bookmarkStart w:id="1" w:name="_GoBack"/>
            <w:bookmarkEnd w:id="1"/>
            <w:r w:rsidR="00AC2708" w:rsidRPr="006C0089">
              <w:t>e Puna Wa</w:t>
            </w:r>
            <w:r w:rsidR="008D00B3" w:rsidRPr="006C0089">
              <w:t>iora Mental Health Inpatient Unit</w:t>
            </w:r>
            <w:r w:rsidR="00762017" w:rsidRPr="006C0089">
              <w:t>,</w:t>
            </w:r>
            <w:r w:rsidR="00177448">
              <w:t xml:space="preserve"> North Shore Hospital,</w:t>
            </w:r>
            <w:r w:rsidR="00762017" w:rsidRPr="006C0089">
              <w:t xml:space="preserve"> under the Crimes of Torture Act 1989</w:t>
            </w:r>
          </w:p>
        </w:tc>
      </w:tr>
      <w:tr w:rsidR="009B2AA5" w:rsidRPr="006C0089" w14:paraId="17BBE790" w14:textId="77777777" w:rsidTr="009B2AA5">
        <w:trPr>
          <w:trHeight w:val="6050"/>
        </w:trPr>
        <w:tc>
          <w:tcPr>
            <w:tcW w:w="9299" w:type="dxa"/>
            <w:tcMar>
              <w:top w:w="284" w:type="dxa"/>
            </w:tcMar>
            <w:vAlign w:val="bottom"/>
          </w:tcPr>
          <w:p w14:paraId="1D7557E0" w14:textId="033C3582" w:rsidR="009B2AA5" w:rsidRPr="006C0089" w:rsidRDefault="00BC3D72" w:rsidP="00865E8F">
            <w:pPr>
              <w:pStyle w:val="Datecover"/>
            </w:pPr>
            <w:r>
              <w:t>13 July 2023</w:t>
            </w:r>
          </w:p>
          <w:p w14:paraId="39B8FA3A" w14:textId="77777777" w:rsidR="000A6513" w:rsidRPr="006C0089" w:rsidRDefault="000A6513" w:rsidP="000A6513">
            <w:pPr>
              <w:pStyle w:val="ChiefOmbudsman"/>
            </w:pPr>
            <w:r w:rsidRPr="006C0089">
              <w:t>Peter Boshier</w:t>
            </w:r>
          </w:p>
          <w:p w14:paraId="08645259" w14:textId="77777777" w:rsidR="000A6513" w:rsidRPr="006C0089" w:rsidRDefault="000A6513" w:rsidP="000A6513">
            <w:pPr>
              <w:pStyle w:val="ChiefOmbudsmantitle"/>
            </w:pPr>
            <w:r w:rsidRPr="006C0089">
              <w:t>Chief Ombudsman</w:t>
            </w:r>
          </w:p>
          <w:p w14:paraId="0BB7DA8E" w14:textId="77777777" w:rsidR="009B2AA5" w:rsidRPr="006C0089" w:rsidRDefault="000A6513" w:rsidP="00BA7E8C">
            <w:pPr>
              <w:pStyle w:val="ChiefOmbudsmantitle"/>
            </w:pPr>
            <w:r w:rsidRPr="006C0089">
              <w:t>National Preventive Mechanism</w:t>
            </w:r>
          </w:p>
          <w:p w14:paraId="2748323C" w14:textId="77777777" w:rsidR="004E01BB" w:rsidRPr="006C0089" w:rsidRDefault="004E01BB" w:rsidP="00BA7E8C">
            <w:pPr>
              <w:pStyle w:val="ChiefOmbudsmantitle"/>
            </w:pPr>
          </w:p>
        </w:tc>
      </w:tr>
    </w:tbl>
    <w:p w14:paraId="1EAF48E5" w14:textId="77777777" w:rsidR="00AE27D4" w:rsidRPr="006C0089" w:rsidRDefault="00AE27D4" w:rsidP="00A46A23"/>
    <w:p w14:paraId="458C3AE7" w14:textId="77777777" w:rsidR="00E671C1" w:rsidRPr="006C0089" w:rsidRDefault="00E671C1" w:rsidP="00A46A23">
      <w:pPr>
        <w:sectPr w:rsidR="00E671C1" w:rsidRPr="006C0089" w:rsidSect="00D551D1">
          <w:headerReference w:type="even" r:id="rId8"/>
          <w:headerReference w:type="default" r:id="rId9"/>
          <w:footerReference w:type="even" r:id="rId10"/>
          <w:footerReference w:type="default" r:id="rId11"/>
          <w:headerReference w:type="first" r:id="rId12"/>
          <w:footerReference w:type="first" r:id="rId13"/>
          <w:endnotePr>
            <w:numFmt w:val="decimal"/>
          </w:endnotePr>
          <w:type w:val="continuous"/>
          <w:pgSz w:w="11906" w:h="16838" w:code="9"/>
          <w:pgMar w:top="1701" w:right="1304" w:bottom="1701" w:left="1134" w:header="680" w:footer="680" w:gutter="0"/>
          <w:cols w:space="708"/>
          <w:titlePg/>
          <w:docGrid w:linePitch="360"/>
        </w:sectPr>
      </w:pPr>
    </w:p>
    <w:p w14:paraId="60142EAC" w14:textId="08C1D125" w:rsidR="00F94350" w:rsidRPr="006C0089" w:rsidRDefault="00F94350">
      <w:pPr>
        <w:spacing w:after="200" w:line="276" w:lineRule="auto"/>
      </w:pPr>
      <w:bookmarkStart w:id="2" w:name="GoToContents"/>
      <w:bookmarkStart w:id="3" w:name="TOCSection"/>
    </w:p>
    <w:p w14:paraId="60A326CA" w14:textId="77777777" w:rsidR="00F94350" w:rsidRPr="006C0089" w:rsidRDefault="00F94350">
      <w:pPr>
        <w:spacing w:after="200" w:line="276" w:lineRule="auto"/>
        <w:rPr>
          <w:lang w:val="mi-NZ"/>
        </w:rPr>
      </w:pPr>
    </w:p>
    <w:p w14:paraId="1109F81C" w14:textId="77777777" w:rsidR="00F94350" w:rsidRPr="006C0089" w:rsidRDefault="00F94350">
      <w:pPr>
        <w:spacing w:after="200" w:line="276" w:lineRule="auto"/>
      </w:pPr>
    </w:p>
    <w:p w14:paraId="36E21E99" w14:textId="77777777" w:rsidR="00F94350" w:rsidRPr="006C0089" w:rsidRDefault="00F94350">
      <w:pPr>
        <w:spacing w:after="200" w:line="276" w:lineRule="auto"/>
      </w:pPr>
    </w:p>
    <w:p w14:paraId="30501A2B" w14:textId="77777777" w:rsidR="00F94350" w:rsidRPr="006C0089" w:rsidRDefault="00F94350">
      <w:pPr>
        <w:spacing w:after="200" w:line="276" w:lineRule="auto"/>
      </w:pPr>
    </w:p>
    <w:p w14:paraId="41C45E4E" w14:textId="77777777" w:rsidR="00F94350" w:rsidRPr="006C0089" w:rsidRDefault="00F94350">
      <w:pPr>
        <w:spacing w:after="200" w:line="276" w:lineRule="auto"/>
      </w:pPr>
    </w:p>
    <w:p w14:paraId="54FF4C2D" w14:textId="77777777" w:rsidR="00F94350" w:rsidRPr="006C0089" w:rsidRDefault="00F94350">
      <w:pPr>
        <w:spacing w:after="200" w:line="276" w:lineRule="auto"/>
      </w:pPr>
    </w:p>
    <w:p w14:paraId="45CF616B" w14:textId="77777777" w:rsidR="00F94350" w:rsidRPr="006C0089" w:rsidRDefault="00F94350">
      <w:pPr>
        <w:spacing w:after="200" w:line="276" w:lineRule="auto"/>
      </w:pPr>
    </w:p>
    <w:p w14:paraId="09238977" w14:textId="77777777" w:rsidR="00F94350" w:rsidRPr="006C0089" w:rsidRDefault="00F94350">
      <w:pPr>
        <w:spacing w:after="200" w:line="276" w:lineRule="auto"/>
      </w:pPr>
    </w:p>
    <w:p w14:paraId="1B250554" w14:textId="77777777" w:rsidR="00F94350" w:rsidRPr="006C0089" w:rsidRDefault="00F94350">
      <w:pPr>
        <w:spacing w:after="200" w:line="276" w:lineRule="auto"/>
      </w:pPr>
    </w:p>
    <w:p w14:paraId="15E2FDF6" w14:textId="77777777" w:rsidR="00F94350" w:rsidRPr="006C0089" w:rsidRDefault="00F94350">
      <w:pPr>
        <w:spacing w:after="200" w:line="276" w:lineRule="auto"/>
      </w:pPr>
    </w:p>
    <w:p w14:paraId="62BD7508" w14:textId="77777777" w:rsidR="00F94350" w:rsidRPr="006C0089" w:rsidRDefault="00F94350">
      <w:pPr>
        <w:spacing w:after="200" w:line="276" w:lineRule="auto"/>
      </w:pPr>
    </w:p>
    <w:p w14:paraId="3655E840" w14:textId="77777777" w:rsidR="00F94350" w:rsidRPr="006C0089" w:rsidRDefault="00F94350">
      <w:pPr>
        <w:spacing w:after="200" w:line="276" w:lineRule="auto"/>
      </w:pPr>
    </w:p>
    <w:p w14:paraId="71C19B2B" w14:textId="77777777" w:rsidR="00F94350" w:rsidRPr="006C0089" w:rsidRDefault="00F94350">
      <w:pPr>
        <w:spacing w:after="200" w:line="276" w:lineRule="auto"/>
      </w:pPr>
    </w:p>
    <w:p w14:paraId="6252DDE6" w14:textId="77777777" w:rsidR="00F94350" w:rsidRPr="006C0089" w:rsidRDefault="00F94350">
      <w:pPr>
        <w:spacing w:after="200" w:line="276" w:lineRule="auto"/>
      </w:pPr>
    </w:p>
    <w:p w14:paraId="49450FEB" w14:textId="77777777" w:rsidR="00F94350" w:rsidRPr="006C0089" w:rsidRDefault="00F94350">
      <w:pPr>
        <w:spacing w:after="200" w:line="276" w:lineRule="auto"/>
      </w:pPr>
    </w:p>
    <w:p w14:paraId="51010CF0" w14:textId="77777777" w:rsidR="00F94350" w:rsidRPr="006C0089" w:rsidRDefault="00F94350">
      <w:pPr>
        <w:spacing w:after="200" w:line="276" w:lineRule="auto"/>
      </w:pPr>
    </w:p>
    <w:p w14:paraId="0E6CF7FE" w14:textId="77777777" w:rsidR="00F94350" w:rsidRPr="006C0089" w:rsidRDefault="00F94350">
      <w:pPr>
        <w:spacing w:after="200" w:line="276" w:lineRule="auto"/>
      </w:pPr>
    </w:p>
    <w:p w14:paraId="1818B386" w14:textId="77777777" w:rsidR="00F94350" w:rsidRPr="006C0089" w:rsidRDefault="00F94350">
      <w:pPr>
        <w:spacing w:after="200" w:line="276" w:lineRule="auto"/>
      </w:pPr>
    </w:p>
    <w:p w14:paraId="0945370D" w14:textId="77777777" w:rsidR="00F94350" w:rsidRPr="006C0089" w:rsidRDefault="00F94350">
      <w:pPr>
        <w:spacing w:after="200" w:line="276" w:lineRule="auto"/>
      </w:pPr>
    </w:p>
    <w:p w14:paraId="055CFA72" w14:textId="77777777" w:rsidR="00F94350" w:rsidRPr="006C0089" w:rsidRDefault="00F94350">
      <w:pPr>
        <w:spacing w:after="200" w:line="276" w:lineRule="auto"/>
      </w:pPr>
    </w:p>
    <w:p w14:paraId="31921B46" w14:textId="39B1F26D" w:rsidR="00F94350" w:rsidRPr="006C0089" w:rsidRDefault="00457B81">
      <w:pPr>
        <w:spacing w:after="200" w:line="276" w:lineRule="auto"/>
      </w:pPr>
      <w:r>
        <w:rPr>
          <w:noProof/>
          <w:lang w:eastAsia="en-NZ"/>
        </w:rPr>
        <mc:AlternateContent>
          <mc:Choice Requires="wpg">
            <w:drawing>
              <wp:anchor distT="0" distB="0" distL="114300" distR="114300" simplePos="0" relativeHeight="251659264" behindDoc="0" locked="0" layoutInCell="1" allowOverlap="1" wp14:anchorId="7D862AE6" wp14:editId="4016377A">
                <wp:simplePos x="0" y="0"/>
                <wp:positionH relativeFrom="margin">
                  <wp:posOffset>29210</wp:posOffset>
                </wp:positionH>
                <wp:positionV relativeFrom="paragraph">
                  <wp:posOffset>294640</wp:posOffset>
                </wp:positionV>
                <wp:extent cx="6031865" cy="2019300"/>
                <wp:effectExtent l="0" t="0" r="6985" b="0"/>
                <wp:wrapNone/>
                <wp:docPr id="3" name="Group 3"/>
                <wp:cNvGraphicFramePr/>
                <a:graphic xmlns:a="http://schemas.openxmlformats.org/drawingml/2006/main">
                  <a:graphicData uri="http://schemas.microsoft.com/office/word/2010/wordprocessingGroup">
                    <wpg:wgp>
                      <wpg:cNvGrpSpPr/>
                      <wpg:grpSpPr>
                        <a:xfrm>
                          <a:off x="0" y="0"/>
                          <a:ext cx="6031865" cy="2019300"/>
                          <a:chOff x="-129977" y="-47510"/>
                          <a:chExt cx="5820314" cy="1846813"/>
                        </a:xfrm>
                      </wpg:grpSpPr>
                      <pic:pic xmlns:pic="http://schemas.openxmlformats.org/drawingml/2006/picture">
                        <pic:nvPicPr>
                          <pic:cNvPr id="6" name="Picture 6"/>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129977" y="353119"/>
                            <a:ext cx="837798" cy="903334"/>
                          </a:xfrm>
                          <a:prstGeom prst="rect">
                            <a:avLst/>
                          </a:prstGeom>
                        </pic:spPr>
                      </pic:pic>
                      <wps:wsp>
                        <wps:cNvPr id="10" name="Text Box 10"/>
                        <wps:cNvSpPr txBox="1"/>
                        <wps:spPr>
                          <a:xfrm>
                            <a:off x="707757" y="-47510"/>
                            <a:ext cx="4982580" cy="1846813"/>
                          </a:xfrm>
                          <a:prstGeom prst="rect">
                            <a:avLst/>
                          </a:prstGeom>
                          <a:solidFill>
                            <a:srgbClr val="FFFFFF"/>
                          </a:solidFill>
                          <a:ln w="6350">
                            <a:noFill/>
                          </a:ln>
                        </wps:spPr>
                        <wps:txbx>
                          <w:txbxContent>
                            <w:p w14:paraId="2E5CD58E" w14:textId="572B9130" w:rsidR="0052453C" w:rsidRDefault="0052453C" w:rsidP="00330C9D">
                              <w:pPr>
                                <w:rPr>
                                  <w:b/>
                                  <w:sz w:val="20"/>
                                  <w:szCs w:val="20"/>
                                </w:rPr>
                              </w:pPr>
                              <w:r>
                                <w:rPr>
                                  <w:b/>
                                  <w:sz w:val="20"/>
                                  <w:szCs w:val="20"/>
                                </w:rPr>
                                <w:t xml:space="preserve">OPCAT Report: Report of an </w:t>
                              </w:r>
                              <w:r w:rsidRPr="00B2514A">
                                <w:rPr>
                                  <w:b/>
                                  <w:sz w:val="20"/>
                                  <w:szCs w:val="20"/>
                                </w:rPr>
                                <w:t>announced</w:t>
                              </w:r>
                              <w:r>
                                <w:rPr>
                                  <w:b/>
                                  <w:sz w:val="20"/>
                                  <w:szCs w:val="20"/>
                                </w:rPr>
                                <w:t xml:space="preserve"> inspection of </w:t>
                              </w:r>
                              <w:r w:rsidRPr="00082E7A">
                                <w:rPr>
                                  <w:b/>
                                  <w:sz w:val="20"/>
                                  <w:szCs w:val="20"/>
                                </w:rPr>
                                <w:t>He Puna Waiora Mental Health Inpatient Unit, North</w:t>
                              </w:r>
                              <w:r w:rsidRPr="00082E7A">
                                <w:rPr>
                                  <w:b/>
                                </w:rPr>
                                <w:t xml:space="preserve"> </w:t>
                              </w:r>
                              <w:r w:rsidRPr="00082E7A">
                                <w:rPr>
                                  <w:b/>
                                  <w:sz w:val="20"/>
                                  <w:szCs w:val="20"/>
                                </w:rPr>
                                <w:t>Shore</w:t>
                              </w:r>
                              <w:r>
                                <w:rPr>
                                  <w:sz w:val="20"/>
                                  <w:szCs w:val="20"/>
                                </w:rPr>
                                <w:t xml:space="preserve"> </w:t>
                              </w:r>
                              <w:r w:rsidRPr="00B2514A">
                                <w:rPr>
                                  <w:b/>
                                  <w:sz w:val="20"/>
                                  <w:szCs w:val="20"/>
                                </w:rPr>
                                <w:t>Hospital</w:t>
                              </w:r>
                              <w:r>
                                <w:rPr>
                                  <w:b/>
                                  <w:sz w:val="20"/>
                                  <w:szCs w:val="20"/>
                                </w:rPr>
                                <w:t>, under the Crimes of Torture Act 1989</w:t>
                              </w:r>
                            </w:p>
                            <w:p w14:paraId="3A797F81" w14:textId="79783BDB" w:rsidR="0052453C" w:rsidRDefault="0052453C" w:rsidP="00330C9D">
                              <w:pPr>
                                <w:spacing w:before="20" w:after="40" w:line="240" w:lineRule="auto"/>
                                <w:rPr>
                                  <w:sz w:val="20"/>
                                  <w:szCs w:val="20"/>
                                </w:rPr>
                              </w:pPr>
                              <w:r w:rsidRPr="00D42751">
                                <w:rPr>
                                  <w:sz w:val="20"/>
                                  <w:szCs w:val="20"/>
                                </w:rPr>
                                <w:t xml:space="preserve">ISBN: </w:t>
                              </w:r>
                              <w:r w:rsidRPr="00082E7A">
                                <w:rPr>
                                  <w:color w:val="000000"/>
                                  <w:sz w:val="20"/>
                                  <w:szCs w:val="20"/>
                                  <w:lang w:eastAsia="en-NZ"/>
                                </w:rPr>
                                <w:t>978-1-7386260-7-6</w:t>
                              </w:r>
                            </w:p>
                            <w:p w14:paraId="621D4650" w14:textId="2F403B63" w:rsidR="0052453C" w:rsidRDefault="0052453C" w:rsidP="00330C9D">
                              <w:pPr>
                                <w:spacing w:before="20" w:after="40" w:line="240" w:lineRule="auto"/>
                                <w:rPr>
                                  <w:sz w:val="20"/>
                                  <w:szCs w:val="20"/>
                                </w:rPr>
                              </w:pPr>
                              <w:r w:rsidRPr="00D42751">
                                <w:rPr>
                                  <w:sz w:val="20"/>
                                  <w:szCs w:val="20"/>
                                </w:rPr>
                                <w:t xml:space="preserve">Published </w:t>
                              </w:r>
                              <w:r w:rsidRPr="006F589B">
                                <w:rPr>
                                  <w:sz w:val="20"/>
                                  <w:szCs w:val="20"/>
                                </w:rPr>
                                <w:t>Ju</w:t>
                              </w:r>
                              <w:r>
                                <w:rPr>
                                  <w:sz w:val="20"/>
                                  <w:szCs w:val="20"/>
                                </w:rPr>
                                <w:t>ly</w:t>
                              </w:r>
                              <w:r w:rsidRPr="006F589B">
                                <w:rPr>
                                  <w:sz w:val="20"/>
                                  <w:szCs w:val="20"/>
                                </w:rPr>
                                <w:t xml:space="preserve"> 202</w:t>
                              </w:r>
                              <w:r>
                                <w:rPr>
                                  <w:sz w:val="20"/>
                                  <w:szCs w:val="20"/>
                                </w:rPr>
                                <w:t>4</w:t>
                              </w:r>
                            </w:p>
                            <w:p w14:paraId="181F4BB9" w14:textId="77777777" w:rsidR="0052453C" w:rsidRPr="00156409" w:rsidRDefault="0052453C" w:rsidP="00330C9D">
                              <w:pPr>
                                <w:spacing w:before="20" w:after="40" w:line="240" w:lineRule="auto"/>
                                <w:rPr>
                                  <w:sz w:val="4"/>
                                  <w:szCs w:val="16"/>
                                </w:rPr>
                              </w:pPr>
                            </w:p>
                            <w:p w14:paraId="4CF4E595" w14:textId="654DB7AC" w:rsidR="0052453C" w:rsidRPr="00457B81" w:rsidRDefault="0052453C" w:rsidP="00457B81">
                              <w:pPr>
                                <w:spacing w:line="220" w:lineRule="atLeast"/>
                                <w:rPr>
                                  <w:color w:val="auto"/>
                                  <w:sz w:val="20"/>
                                  <w:szCs w:val="20"/>
                                </w:rPr>
                              </w:pPr>
                              <w:r w:rsidRPr="00457B81">
                                <w:rPr>
                                  <w:color w:val="auto"/>
                                  <w:sz w:val="20"/>
                                  <w:szCs w:val="20"/>
                                </w:rPr>
                                <w:t xml:space="preserve">Please note that some information where individuals are identifiable has been removed from this published version in accordance with section 33(4) of the Crimes of Torture Act 1989. </w:t>
                              </w:r>
                            </w:p>
                            <w:p w14:paraId="2A924D79" w14:textId="77777777" w:rsidR="0052453C" w:rsidRPr="00E138F9" w:rsidRDefault="0052453C" w:rsidP="00457B81">
                              <w:pPr>
                                <w:pStyle w:val="Body"/>
                                <w:spacing w:after="113"/>
                                <w:rPr>
                                  <w:rFonts w:asciiTheme="minorHAnsi" w:hAnsiTheme="minorHAnsi" w:cstheme="minorHAnsi"/>
                                  <w:spacing w:val="4"/>
                                  <w:sz w:val="20"/>
                                  <w:szCs w:val="20"/>
                                </w:rPr>
                              </w:pPr>
                              <w:r w:rsidRPr="00E138F9">
                                <w:rPr>
                                  <w:rFonts w:asciiTheme="minorHAnsi" w:hAnsiTheme="minorHAnsi" w:cstheme="minorHAnsi"/>
                                  <w:spacing w:val="2"/>
                                  <w:sz w:val="20"/>
                                  <w:szCs w:val="20"/>
                                </w:rPr>
                                <w:t xml:space="preserve">All text and images copyright © Office of the Ombudsman 2024. </w:t>
                              </w:r>
                              <w:r>
                                <w:rPr>
                                  <w:rFonts w:asciiTheme="minorHAnsi" w:hAnsiTheme="minorHAnsi" w:cstheme="minorHAnsi"/>
                                  <w:spacing w:val="2"/>
                                  <w:sz w:val="20"/>
                                  <w:szCs w:val="20"/>
                                </w:rPr>
                                <w:br/>
                              </w:r>
                              <w:r w:rsidRPr="00E138F9">
                                <w:rPr>
                                  <w:rFonts w:asciiTheme="minorHAnsi" w:hAnsiTheme="minorHAnsi" w:cstheme="minorHAnsi"/>
                                  <w:spacing w:val="2"/>
                                  <w:sz w:val="20"/>
                                  <w:szCs w:val="20"/>
                                </w:rPr>
                                <w:t>All rights reserved.</w:t>
                              </w:r>
                              <w:r w:rsidRPr="00E138F9">
                                <w:rPr>
                                  <w:rFonts w:asciiTheme="minorHAnsi" w:hAnsiTheme="minorHAnsi" w:cstheme="minorHAnsi"/>
                                  <w:spacing w:val="4"/>
                                  <w:sz w:val="20"/>
                                  <w:szCs w:val="20"/>
                                </w:rPr>
                                <w:t xml:space="preserve"> </w:t>
                              </w:r>
                            </w:p>
                            <w:p w14:paraId="49B2EE80" w14:textId="77777777" w:rsidR="0052453C" w:rsidRPr="00E138F9" w:rsidRDefault="0052453C" w:rsidP="00457B81">
                              <w:pPr>
                                <w:spacing w:before="20" w:after="40" w:line="240" w:lineRule="auto"/>
                                <w:rPr>
                                  <w:rFonts w:asciiTheme="minorHAnsi" w:hAnsiTheme="minorHAnsi" w:cstheme="minorHAnsi"/>
                                  <w:sz w:val="20"/>
                                  <w:szCs w:val="20"/>
                                </w:rPr>
                              </w:pPr>
                              <w:r w:rsidRPr="00E138F9">
                                <w:rPr>
                                  <w:rFonts w:asciiTheme="minorHAnsi" w:hAnsiTheme="minorHAnsi" w:cstheme="minorHAnsi"/>
                                  <w:sz w:val="20"/>
                                  <w:szCs w:val="20"/>
                                </w:rPr>
                                <w:t>www.ombudsman.parliament.nz</w:t>
                              </w:r>
                            </w:p>
                            <w:p w14:paraId="718C35EC" w14:textId="77777777" w:rsidR="0052453C" w:rsidRDefault="0052453C" w:rsidP="00390B20">
                              <w:pPr>
                                <w:rPr>
                                  <w:color w:val="auto"/>
                                  <w:sz w:val="20"/>
                                  <w:szCs w:val="20"/>
                                </w:rPr>
                              </w:pPr>
                            </w:p>
                            <w:p w14:paraId="79E1DFAA" w14:textId="77777777" w:rsidR="0052453C" w:rsidRPr="00E138F9" w:rsidRDefault="0052453C" w:rsidP="00457B81">
                              <w:pPr>
                                <w:pStyle w:val="Body"/>
                                <w:spacing w:after="113"/>
                                <w:rPr>
                                  <w:rFonts w:asciiTheme="minorHAnsi" w:hAnsiTheme="minorHAnsi" w:cstheme="minorHAnsi"/>
                                  <w:spacing w:val="4"/>
                                  <w:sz w:val="20"/>
                                  <w:szCs w:val="20"/>
                                </w:rPr>
                              </w:pPr>
                              <w:r w:rsidRPr="00E138F9">
                                <w:rPr>
                                  <w:rFonts w:asciiTheme="minorHAnsi" w:hAnsiTheme="minorHAnsi" w:cstheme="minorHAnsi"/>
                                  <w:spacing w:val="2"/>
                                  <w:sz w:val="20"/>
                                  <w:szCs w:val="20"/>
                                </w:rPr>
                                <w:t xml:space="preserve">All text and images copyright © Office of the Ombudsman 2024. </w:t>
                              </w:r>
                              <w:r>
                                <w:rPr>
                                  <w:rFonts w:asciiTheme="minorHAnsi" w:hAnsiTheme="minorHAnsi" w:cstheme="minorHAnsi"/>
                                  <w:spacing w:val="2"/>
                                  <w:sz w:val="20"/>
                                  <w:szCs w:val="20"/>
                                </w:rPr>
                                <w:br/>
                              </w:r>
                              <w:r w:rsidRPr="00E138F9">
                                <w:rPr>
                                  <w:rFonts w:asciiTheme="minorHAnsi" w:hAnsiTheme="minorHAnsi" w:cstheme="minorHAnsi"/>
                                  <w:spacing w:val="2"/>
                                  <w:sz w:val="20"/>
                                  <w:szCs w:val="20"/>
                                </w:rPr>
                                <w:t>All rights reserved.</w:t>
                              </w:r>
                              <w:r w:rsidRPr="00E138F9">
                                <w:rPr>
                                  <w:rFonts w:asciiTheme="minorHAnsi" w:hAnsiTheme="minorHAnsi" w:cstheme="minorHAnsi"/>
                                  <w:spacing w:val="4"/>
                                  <w:sz w:val="20"/>
                                  <w:szCs w:val="20"/>
                                </w:rPr>
                                <w:t xml:space="preserve"> </w:t>
                              </w:r>
                            </w:p>
                            <w:p w14:paraId="694E6342" w14:textId="77777777" w:rsidR="0052453C" w:rsidRPr="00E138F9" w:rsidRDefault="0052453C" w:rsidP="00457B81">
                              <w:pPr>
                                <w:spacing w:before="20" w:after="40" w:line="240" w:lineRule="auto"/>
                                <w:rPr>
                                  <w:rFonts w:asciiTheme="minorHAnsi" w:hAnsiTheme="minorHAnsi" w:cstheme="minorHAnsi"/>
                                  <w:sz w:val="20"/>
                                  <w:szCs w:val="20"/>
                                </w:rPr>
                              </w:pPr>
                              <w:r w:rsidRPr="00E138F9">
                                <w:rPr>
                                  <w:rFonts w:asciiTheme="minorHAnsi" w:hAnsiTheme="minorHAnsi" w:cstheme="minorHAnsi"/>
                                  <w:sz w:val="20"/>
                                  <w:szCs w:val="20"/>
                                </w:rPr>
                                <w:t>www.ombudsman.parliament.nz</w:t>
                              </w:r>
                            </w:p>
                            <w:p w14:paraId="49FAF796" w14:textId="77777777" w:rsidR="0052453C" w:rsidRPr="00390B20" w:rsidRDefault="0052453C" w:rsidP="00390B20">
                              <w:pPr>
                                <w:rPr>
                                  <w:sz w:val="20"/>
                                  <w:szCs w:val="20"/>
                                </w:rPr>
                              </w:pPr>
                            </w:p>
                            <w:p w14:paraId="7AA0D54B" w14:textId="77777777" w:rsidR="0052453C" w:rsidRPr="00156409" w:rsidRDefault="0052453C" w:rsidP="00330C9D">
                              <w:pPr>
                                <w:spacing w:before="20" w:after="40" w:line="240" w:lineRule="auto"/>
                                <w:rPr>
                                  <w:sz w:val="4"/>
                                  <w:szCs w:val="16"/>
                                </w:rPr>
                              </w:pPr>
                            </w:p>
                            <w:p w14:paraId="07238E91" w14:textId="360E4635" w:rsidR="0052453C" w:rsidRPr="00A80FE8" w:rsidRDefault="0052453C" w:rsidP="00330C9D">
                              <w:pPr>
                                <w:spacing w:before="20" w:after="40" w:line="240" w:lineRule="auto"/>
                                <w:rPr>
                                  <w:sz w:val="20"/>
                                  <w:szCs w:val="20"/>
                                </w:rPr>
                              </w:pPr>
                              <w:r w:rsidRPr="00A80FE8">
                                <w:rPr>
                                  <w:sz w:val="20"/>
                                  <w:szCs w:val="20"/>
                                </w:rPr>
                                <w:t>Office of the Ombudsman  |  Wellington, New Zealand  |  www.ombudsman.parliament.nz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D862AE6" id="Group 3" o:spid="_x0000_s1026" style="position:absolute;margin-left:2.3pt;margin-top:23.2pt;width:474.95pt;height:159pt;z-index:251659264;mso-position-horizontal-relative:margin;mso-width-relative:margin;mso-height-relative:margin" coordorigin="-1299,-475" coordsize="58203,1846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left:-1299;top:3531;width:8377;height:90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">
                  <v:imagedata r:id="rId15" o:title=""/>
                  <v:path arrowok="t"/>
                </v:shape>
                <v:shapetype id="_x0000_t202" coordsize="21600,21600" o:spt="202" path="m,l,21600r21600,l21600,xe">
                  <v:stroke joinstyle="miter"/>
                  <v:path gradientshapeok="t" o:connecttype="rect"/>
                </v:shapetype>
                <v:shape id="Text Box 10" o:spid="_x0000_s1028" type="#_x0000_t202" style="position:absolute;left:7077;top:-475;width:49826;height:18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" stroked="f" strokeweight=".5pt">
                  <v:textbox>
                    <w:txbxContent>
                      <w:p w14:paraId="2E5CD58E" w14:textId="572B9130" w:rsidR="0052453C" w:rsidRDefault="0052453C" w:rsidP="00330C9D">
                        <w:pPr>
                          <w:rPr>
                            <w:b/>
                            <w:sz w:val="20"/>
                            <w:szCs w:val="20"/>
                          </w:rPr>
                        </w:pPr>
                        <w:r>
                          <w:rPr>
                            <w:b/>
                            <w:sz w:val="20"/>
                            <w:szCs w:val="20"/>
                          </w:rPr>
                          <w:t xml:space="preserve">OPCAT Report: Report of an </w:t>
                        </w:r>
                        <w:r w:rsidRPr="00B2514A">
                          <w:rPr>
                            <w:b/>
                            <w:sz w:val="20"/>
                            <w:szCs w:val="20"/>
                          </w:rPr>
                          <w:t>announced</w:t>
                        </w:r>
                        <w:r>
                          <w:rPr>
                            <w:b/>
                            <w:sz w:val="20"/>
                            <w:szCs w:val="20"/>
                          </w:rPr>
                          <w:t xml:space="preserve"> inspection of </w:t>
                        </w:r>
                        <w:r w:rsidRPr="00082E7A">
                          <w:rPr>
                            <w:b/>
                            <w:sz w:val="20"/>
                            <w:szCs w:val="20"/>
                          </w:rPr>
                          <w:t>He Puna Waiora Mental Health Inpatient Unit, North</w:t>
                        </w:r>
                        <w:r w:rsidRPr="00082E7A">
                          <w:rPr>
                            <w:b/>
                          </w:rPr>
                          <w:t xml:space="preserve"> </w:t>
                        </w:r>
                        <w:r w:rsidRPr="00082E7A">
                          <w:rPr>
                            <w:b/>
                            <w:sz w:val="20"/>
                            <w:szCs w:val="20"/>
                          </w:rPr>
                          <w:t>Shore</w:t>
                        </w:r>
                        <w:r>
                          <w:rPr>
                            <w:sz w:val="20"/>
                            <w:szCs w:val="20"/>
                          </w:rPr>
                          <w:t xml:space="preserve"> </w:t>
                        </w:r>
                        <w:r w:rsidRPr="00B2514A">
                          <w:rPr>
                            <w:b/>
                            <w:sz w:val="20"/>
                            <w:szCs w:val="20"/>
                          </w:rPr>
                          <w:t>Hospital</w:t>
                        </w:r>
                        <w:r>
                          <w:rPr>
                            <w:b/>
                            <w:sz w:val="20"/>
                            <w:szCs w:val="20"/>
                          </w:rPr>
                          <w:t>, under the Crimes of Torture Act 1989</w:t>
                        </w:r>
                      </w:p>
                      <w:p w14:paraId="3A797F81" w14:textId="79783BDB" w:rsidR="0052453C" w:rsidRDefault="0052453C" w:rsidP="00330C9D">
                        <w:pPr>
                          <w:spacing w:before="20" w:after="40" w:line="240" w:lineRule="auto"/>
                          <w:rPr>
                            <w:sz w:val="20"/>
                            <w:szCs w:val="20"/>
                          </w:rPr>
                        </w:pPr>
                        <w:r w:rsidRPr="00D42751">
                          <w:rPr>
                            <w:sz w:val="20"/>
                            <w:szCs w:val="20"/>
                          </w:rPr>
                          <w:t xml:space="preserve">ISBN: </w:t>
                        </w:r>
                        <w:r w:rsidRPr="00082E7A">
                          <w:rPr>
                            <w:color w:val="000000"/>
                            <w:sz w:val="20"/>
                            <w:szCs w:val="20"/>
                            <w:lang w:eastAsia="en-NZ"/>
                          </w:rPr>
                          <w:t>978-1-7386260-7-6</w:t>
                        </w:r>
                      </w:p>
                      <w:p w14:paraId="621D4650" w14:textId="2F403B63" w:rsidR="0052453C" w:rsidRDefault="0052453C" w:rsidP="00330C9D">
                        <w:pPr>
                          <w:spacing w:before="20" w:after="40" w:line="240" w:lineRule="auto"/>
                          <w:rPr>
                            <w:sz w:val="20"/>
                            <w:szCs w:val="20"/>
                          </w:rPr>
                        </w:pPr>
                        <w:r w:rsidRPr="00D42751">
                          <w:rPr>
                            <w:sz w:val="20"/>
                            <w:szCs w:val="20"/>
                          </w:rPr>
                          <w:t xml:space="preserve">Published </w:t>
                        </w:r>
                        <w:r w:rsidRPr="006F589B">
                          <w:rPr>
                            <w:sz w:val="20"/>
                            <w:szCs w:val="20"/>
                          </w:rPr>
                          <w:t>Ju</w:t>
                        </w:r>
                        <w:r>
                          <w:rPr>
                            <w:sz w:val="20"/>
                            <w:szCs w:val="20"/>
                          </w:rPr>
                          <w:t>ly</w:t>
                        </w:r>
                        <w:r w:rsidRPr="006F589B">
                          <w:rPr>
                            <w:sz w:val="20"/>
                            <w:szCs w:val="20"/>
                          </w:rPr>
                          <w:t xml:space="preserve"> 202</w:t>
                        </w:r>
                        <w:r>
                          <w:rPr>
                            <w:sz w:val="20"/>
                            <w:szCs w:val="20"/>
                          </w:rPr>
                          <w:t>4</w:t>
                        </w:r>
                      </w:p>
                      <w:p w14:paraId="181F4BB9" w14:textId="77777777" w:rsidR="0052453C" w:rsidRPr="00156409" w:rsidRDefault="0052453C" w:rsidP="00330C9D">
                        <w:pPr>
                          <w:spacing w:before="20" w:after="40" w:line="240" w:lineRule="auto"/>
                          <w:rPr>
                            <w:sz w:val="4"/>
                            <w:szCs w:val="16"/>
                          </w:rPr>
                        </w:pPr>
                      </w:p>
                      <w:p w14:paraId="4CF4E595" w14:textId="654DB7AC" w:rsidR="0052453C" w:rsidRPr="00457B81" w:rsidRDefault="0052453C" w:rsidP="00457B81">
                        <w:pPr>
                          <w:spacing w:line="220" w:lineRule="atLeast"/>
                          <w:rPr>
                            <w:color w:val="auto"/>
                            <w:sz w:val="20"/>
                            <w:szCs w:val="20"/>
                          </w:rPr>
                        </w:pPr>
                        <w:r w:rsidRPr="00457B81">
                          <w:rPr>
                            <w:color w:val="auto"/>
                            <w:sz w:val="20"/>
                            <w:szCs w:val="20"/>
                          </w:rPr>
                          <w:t xml:space="preserve">Please note that some information where individuals are identifiable has been removed from this published version in accordance with section 33(4) of the Crimes of Torture Act 1989. </w:t>
                        </w:r>
                      </w:p>
                      <w:p w14:paraId="2A924D79" w14:textId="77777777" w:rsidR="0052453C" w:rsidRPr="00E138F9" w:rsidRDefault="0052453C" w:rsidP="00457B81">
                        <w:pPr>
                          <w:pStyle w:val="Body"/>
                          <w:spacing w:after="113"/>
                          <w:rPr>
                            <w:rFonts w:asciiTheme="minorHAnsi" w:hAnsiTheme="minorHAnsi" w:cstheme="minorHAnsi"/>
                            <w:spacing w:val="4"/>
                            <w:sz w:val="20"/>
                            <w:szCs w:val="20"/>
                          </w:rPr>
                        </w:pPr>
                        <w:r w:rsidRPr="00E138F9">
                          <w:rPr>
                            <w:rFonts w:asciiTheme="minorHAnsi" w:hAnsiTheme="minorHAnsi" w:cstheme="minorHAnsi"/>
                            <w:spacing w:val="2"/>
                            <w:sz w:val="20"/>
                            <w:szCs w:val="20"/>
                          </w:rPr>
                          <w:t xml:space="preserve">All text and images copyright © Office of the Ombudsman 2024. </w:t>
                        </w:r>
                        <w:r>
                          <w:rPr>
                            <w:rFonts w:asciiTheme="minorHAnsi" w:hAnsiTheme="minorHAnsi" w:cstheme="minorHAnsi"/>
                            <w:spacing w:val="2"/>
                            <w:sz w:val="20"/>
                            <w:szCs w:val="20"/>
                          </w:rPr>
                          <w:br/>
                        </w:r>
                        <w:r w:rsidRPr="00E138F9">
                          <w:rPr>
                            <w:rFonts w:asciiTheme="minorHAnsi" w:hAnsiTheme="minorHAnsi" w:cstheme="minorHAnsi"/>
                            <w:spacing w:val="2"/>
                            <w:sz w:val="20"/>
                            <w:szCs w:val="20"/>
                          </w:rPr>
                          <w:t>All rights reserved.</w:t>
                        </w:r>
                        <w:r w:rsidRPr="00E138F9">
                          <w:rPr>
                            <w:rFonts w:asciiTheme="minorHAnsi" w:hAnsiTheme="minorHAnsi" w:cstheme="minorHAnsi"/>
                            <w:spacing w:val="4"/>
                            <w:sz w:val="20"/>
                            <w:szCs w:val="20"/>
                          </w:rPr>
                          <w:t xml:space="preserve"> </w:t>
                        </w:r>
                      </w:p>
                      <w:p w14:paraId="49B2EE80" w14:textId="77777777" w:rsidR="0052453C" w:rsidRPr="00E138F9" w:rsidRDefault="0052453C" w:rsidP="00457B81">
                        <w:pPr>
                          <w:spacing w:before="20" w:after="40" w:line="240" w:lineRule="auto"/>
                          <w:rPr>
                            <w:rFonts w:asciiTheme="minorHAnsi" w:hAnsiTheme="minorHAnsi" w:cstheme="minorHAnsi"/>
                            <w:sz w:val="20"/>
                            <w:szCs w:val="20"/>
                          </w:rPr>
                        </w:pPr>
                        <w:r w:rsidRPr="00E138F9">
                          <w:rPr>
                            <w:rFonts w:asciiTheme="minorHAnsi" w:hAnsiTheme="minorHAnsi" w:cstheme="minorHAnsi"/>
                            <w:sz w:val="20"/>
                            <w:szCs w:val="20"/>
                          </w:rPr>
                          <w:t>www.ombudsman.parliament.nz</w:t>
                        </w:r>
                      </w:p>
                      <w:p w14:paraId="718C35EC" w14:textId="77777777" w:rsidR="0052453C" w:rsidRDefault="0052453C" w:rsidP="00390B20">
                        <w:pPr>
                          <w:rPr>
                            <w:color w:val="auto"/>
                            <w:sz w:val="20"/>
                            <w:szCs w:val="20"/>
                          </w:rPr>
                        </w:pPr>
                      </w:p>
                      <w:p w14:paraId="79E1DFAA" w14:textId="77777777" w:rsidR="0052453C" w:rsidRPr="00E138F9" w:rsidRDefault="0052453C" w:rsidP="00457B81">
                        <w:pPr>
                          <w:pStyle w:val="Body"/>
                          <w:spacing w:after="113"/>
                          <w:rPr>
                            <w:rFonts w:asciiTheme="minorHAnsi" w:hAnsiTheme="minorHAnsi" w:cstheme="minorHAnsi"/>
                            <w:spacing w:val="4"/>
                            <w:sz w:val="20"/>
                            <w:szCs w:val="20"/>
                          </w:rPr>
                        </w:pPr>
                        <w:r w:rsidRPr="00E138F9">
                          <w:rPr>
                            <w:rFonts w:asciiTheme="minorHAnsi" w:hAnsiTheme="minorHAnsi" w:cstheme="minorHAnsi"/>
                            <w:spacing w:val="2"/>
                            <w:sz w:val="20"/>
                            <w:szCs w:val="20"/>
                          </w:rPr>
                          <w:t xml:space="preserve">All text and images copyright © Office of the Ombudsman 2024. </w:t>
                        </w:r>
                        <w:r>
                          <w:rPr>
                            <w:rFonts w:asciiTheme="minorHAnsi" w:hAnsiTheme="minorHAnsi" w:cstheme="minorHAnsi"/>
                            <w:spacing w:val="2"/>
                            <w:sz w:val="20"/>
                            <w:szCs w:val="20"/>
                          </w:rPr>
                          <w:br/>
                        </w:r>
                        <w:r w:rsidRPr="00E138F9">
                          <w:rPr>
                            <w:rFonts w:asciiTheme="minorHAnsi" w:hAnsiTheme="minorHAnsi" w:cstheme="minorHAnsi"/>
                            <w:spacing w:val="2"/>
                            <w:sz w:val="20"/>
                            <w:szCs w:val="20"/>
                          </w:rPr>
                          <w:t>All rights reserved.</w:t>
                        </w:r>
                        <w:r w:rsidRPr="00E138F9">
                          <w:rPr>
                            <w:rFonts w:asciiTheme="minorHAnsi" w:hAnsiTheme="minorHAnsi" w:cstheme="minorHAnsi"/>
                            <w:spacing w:val="4"/>
                            <w:sz w:val="20"/>
                            <w:szCs w:val="20"/>
                          </w:rPr>
                          <w:t xml:space="preserve"> </w:t>
                        </w:r>
                      </w:p>
                      <w:p w14:paraId="694E6342" w14:textId="77777777" w:rsidR="0052453C" w:rsidRPr="00E138F9" w:rsidRDefault="0052453C" w:rsidP="00457B81">
                        <w:pPr>
                          <w:spacing w:before="20" w:after="40" w:line="240" w:lineRule="auto"/>
                          <w:rPr>
                            <w:rFonts w:asciiTheme="minorHAnsi" w:hAnsiTheme="minorHAnsi" w:cstheme="minorHAnsi"/>
                            <w:sz w:val="20"/>
                            <w:szCs w:val="20"/>
                          </w:rPr>
                        </w:pPr>
                        <w:r w:rsidRPr="00E138F9">
                          <w:rPr>
                            <w:rFonts w:asciiTheme="minorHAnsi" w:hAnsiTheme="minorHAnsi" w:cstheme="minorHAnsi"/>
                            <w:sz w:val="20"/>
                            <w:szCs w:val="20"/>
                          </w:rPr>
                          <w:t>www.ombudsman.parliament.nz</w:t>
                        </w:r>
                      </w:p>
                      <w:p w14:paraId="49FAF796" w14:textId="77777777" w:rsidR="0052453C" w:rsidRPr="00390B20" w:rsidRDefault="0052453C" w:rsidP="00390B20">
                        <w:pPr>
                          <w:rPr>
                            <w:sz w:val="20"/>
                            <w:szCs w:val="20"/>
                          </w:rPr>
                        </w:pPr>
                      </w:p>
                      <w:p w14:paraId="7AA0D54B" w14:textId="77777777" w:rsidR="0052453C" w:rsidRPr="00156409" w:rsidRDefault="0052453C" w:rsidP="00330C9D">
                        <w:pPr>
                          <w:spacing w:before="20" w:after="40" w:line="240" w:lineRule="auto"/>
                          <w:rPr>
                            <w:sz w:val="4"/>
                            <w:szCs w:val="16"/>
                          </w:rPr>
                        </w:pPr>
                      </w:p>
                      <w:p w14:paraId="07238E91" w14:textId="360E4635" w:rsidR="0052453C" w:rsidRPr="00A80FE8" w:rsidRDefault="0052453C" w:rsidP="00330C9D">
                        <w:pPr>
                          <w:spacing w:before="20" w:after="40" w:line="240" w:lineRule="auto"/>
                          <w:rPr>
                            <w:sz w:val="20"/>
                            <w:szCs w:val="20"/>
                          </w:rPr>
                        </w:pPr>
                        <w:r w:rsidRPr="00A80FE8">
                          <w:rPr>
                            <w:sz w:val="20"/>
                            <w:szCs w:val="20"/>
                          </w:rPr>
                          <w:t>Office of the Ombudsman  |  Wellington, New Zealand  |  www.ombudsman.parliament.nz</w:t>
                        </w:r>
                      </w:p>
                    </w:txbxContent>
                  </v:textbox>
                </v:shape>
                <w10:wrap anchorx="margin"/>
              </v:group>
            </w:pict>
          </mc:Fallback>
        </mc:AlternateContent>
      </w:r>
    </w:p>
    <w:p w14:paraId="550A4AEE" w14:textId="573F7D2C" w:rsidR="00F94350" w:rsidRPr="006C0089" w:rsidRDefault="00F94350">
      <w:pPr>
        <w:spacing w:after="200" w:line="276" w:lineRule="auto"/>
      </w:pPr>
    </w:p>
    <w:p w14:paraId="0C2AEF7C" w14:textId="4AEE6131" w:rsidR="00F94350" w:rsidRPr="006C0089" w:rsidRDefault="00F94350">
      <w:pPr>
        <w:spacing w:after="200" w:line="276" w:lineRule="auto"/>
      </w:pPr>
    </w:p>
    <w:p w14:paraId="217A68E8" w14:textId="52C9DE38" w:rsidR="00E800E9" w:rsidRPr="006C0089" w:rsidRDefault="00E800E9">
      <w:pPr>
        <w:spacing w:after="200" w:line="276" w:lineRule="auto"/>
        <w:rPr>
          <w:rFonts w:eastAsiaTheme="majorEastAsia" w:cstheme="majorBidi"/>
          <w:bCs/>
          <w:color w:val="9561CC"/>
          <w:sz w:val="38"/>
          <w:szCs w:val="28"/>
        </w:rPr>
      </w:pPr>
      <w:r w:rsidRPr="006C0089">
        <w:br w:type="page"/>
      </w:r>
    </w:p>
    <w:p w14:paraId="03B014A2" w14:textId="3753B603" w:rsidR="005900F7" w:rsidRPr="006C0089" w:rsidRDefault="005900F7" w:rsidP="008D00B3">
      <w:pPr>
        <w:pStyle w:val="TOCHeading"/>
        <w:numPr>
          <w:ilvl w:val="0"/>
          <w:numId w:val="24"/>
        </w:numPr>
        <w:spacing w:before="480"/>
      </w:pPr>
      <w:r w:rsidRPr="006C0089">
        <w:t>Contents</w:t>
      </w:r>
      <w:bookmarkEnd w:id="2"/>
    </w:p>
    <w:tbl>
      <w:tblPr>
        <w:tblStyle w:val="TableGridnoborders"/>
        <w:tblW w:w="9354" w:type="dxa"/>
        <w:tblInd w:w="0" w:type="dxa"/>
        <w:tblCellMar>
          <w:top w:w="0" w:type="dxa"/>
          <w:left w:w="0" w:type="dxa"/>
          <w:bottom w:w="0" w:type="dxa"/>
          <w:right w:w="0" w:type="dxa"/>
        </w:tblCellMar>
        <w:tblLook w:val="04A0" w:firstRow="1" w:lastRow="0" w:firstColumn="1" w:lastColumn="0" w:noHBand="0" w:noVBand="1"/>
        <w:tblCaption w:val="Contents page table"/>
      </w:tblPr>
      <w:tblGrid>
        <w:gridCol w:w="9354"/>
      </w:tblGrid>
      <w:tr w:rsidR="005900F7" w:rsidRPr="006C0089" w14:paraId="61E74B5E" w14:textId="77777777" w:rsidTr="00E50E38">
        <w:tc>
          <w:tcPr>
            <w:tcW w:w="9354" w:type="dxa"/>
          </w:tcPr>
          <w:bookmarkStart w:id="4" w:name="TOCMain" w:colFirst="0" w:colLast="0"/>
          <w:p w14:paraId="6F772D29" w14:textId="6A22EF89" w:rsidR="005041F8" w:rsidRDefault="005900F7">
            <w:pPr>
              <w:pStyle w:val="TOC1"/>
              <w:rPr>
                <w:rFonts w:asciiTheme="minorHAnsi" w:eastAsiaTheme="minorEastAsia" w:hAnsiTheme="minorHAnsi"/>
                <w:b w:val="0"/>
                <w:noProof/>
                <w:color w:val="auto"/>
                <w:sz w:val="22"/>
                <w:lang w:eastAsia="en-NZ"/>
              </w:rPr>
            </w:pPr>
            <w:r w:rsidRPr="006C0089">
              <w:rPr>
                <w:color w:val="2BB673"/>
              </w:rPr>
              <w:fldChar w:fldCharType="begin"/>
            </w:r>
            <w:r w:rsidRPr="006C0089">
              <w:instrText xml:space="preserve"> TOC \o "1-2" \h \z \t "Heading Appendix, 1" </w:instrText>
            </w:r>
            <w:r w:rsidRPr="006C0089">
              <w:rPr>
                <w:color w:val="2BB673"/>
              </w:rPr>
              <w:fldChar w:fldCharType="separate"/>
            </w:r>
            <w:hyperlink w:anchor="_Toc170115742" w:history="1">
              <w:r w:rsidR="005041F8" w:rsidRPr="002A5F5F">
                <w:rPr>
                  <w:rStyle w:val="Hyperlink"/>
                  <w:noProof/>
                </w:rPr>
                <w:t>Introduction</w:t>
              </w:r>
              <w:r w:rsidR="005041F8">
                <w:rPr>
                  <w:noProof/>
                  <w:webHidden/>
                </w:rPr>
                <w:tab/>
              </w:r>
              <w:r w:rsidR="005041F8">
                <w:rPr>
                  <w:noProof/>
                  <w:webHidden/>
                </w:rPr>
                <w:fldChar w:fldCharType="begin"/>
              </w:r>
              <w:r w:rsidR="005041F8">
                <w:rPr>
                  <w:noProof/>
                  <w:webHidden/>
                </w:rPr>
                <w:instrText xml:space="preserve"> PAGEREF _Toc170115742 \h </w:instrText>
              </w:r>
              <w:r w:rsidR="005041F8">
                <w:rPr>
                  <w:noProof/>
                  <w:webHidden/>
                </w:rPr>
              </w:r>
              <w:r w:rsidR="005041F8">
                <w:rPr>
                  <w:noProof/>
                  <w:webHidden/>
                </w:rPr>
                <w:fldChar w:fldCharType="separate"/>
              </w:r>
              <w:r w:rsidR="005041F8">
                <w:rPr>
                  <w:noProof/>
                  <w:webHidden/>
                </w:rPr>
                <w:t>1</w:t>
              </w:r>
              <w:r w:rsidR="005041F8">
                <w:rPr>
                  <w:noProof/>
                  <w:webHidden/>
                </w:rPr>
                <w:fldChar w:fldCharType="end"/>
              </w:r>
            </w:hyperlink>
          </w:p>
          <w:p w14:paraId="4A0C71A9" w14:textId="618FD106" w:rsidR="005041F8" w:rsidRDefault="0052453C">
            <w:pPr>
              <w:pStyle w:val="TOC2"/>
              <w:rPr>
                <w:rFonts w:asciiTheme="minorHAnsi" w:eastAsiaTheme="minorEastAsia" w:hAnsiTheme="minorHAnsi"/>
                <w:noProof/>
                <w:color w:val="auto"/>
                <w:sz w:val="22"/>
                <w:lang w:eastAsia="en-NZ"/>
              </w:rPr>
            </w:pPr>
            <w:hyperlink w:anchor="_Toc170115743" w:history="1">
              <w:r w:rsidR="005041F8" w:rsidRPr="002A5F5F">
                <w:rPr>
                  <w:rStyle w:val="Hyperlink"/>
                  <w:noProof/>
                </w:rPr>
                <w:t>More information</w:t>
              </w:r>
              <w:r w:rsidR="005041F8">
                <w:rPr>
                  <w:noProof/>
                  <w:webHidden/>
                </w:rPr>
                <w:tab/>
              </w:r>
              <w:r w:rsidR="005041F8">
                <w:rPr>
                  <w:noProof/>
                  <w:webHidden/>
                </w:rPr>
                <w:fldChar w:fldCharType="begin"/>
              </w:r>
              <w:r w:rsidR="005041F8">
                <w:rPr>
                  <w:noProof/>
                  <w:webHidden/>
                </w:rPr>
                <w:instrText xml:space="preserve"> PAGEREF _Toc170115743 \h </w:instrText>
              </w:r>
              <w:r w:rsidR="005041F8">
                <w:rPr>
                  <w:noProof/>
                  <w:webHidden/>
                </w:rPr>
              </w:r>
              <w:r w:rsidR="005041F8">
                <w:rPr>
                  <w:noProof/>
                  <w:webHidden/>
                </w:rPr>
                <w:fldChar w:fldCharType="separate"/>
              </w:r>
              <w:r w:rsidR="005041F8">
                <w:rPr>
                  <w:noProof/>
                  <w:webHidden/>
                </w:rPr>
                <w:t>1</w:t>
              </w:r>
              <w:r w:rsidR="005041F8">
                <w:rPr>
                  <w:noProof/>
                  <w:webHidden/>
                </w:rPr>
                <w:fldChar w:fldCharType="end"/>
              </w:r>
            </w:hyperlink>
          </w:p>
          <w:p w14:paraId="5A712C4C" w14:textId="32200F55" w:rsidR="005041F8" w:rsidRDefault="0052453C">
            <w:pPr>
              <w:pStyle w:val="TOC1"/>
              <w:rPr>
                <w:rFonts w:asciiTheme="minorHAnsi" w:eastAsiaTheme="minorEastAsia" w:hAnsiTheme="minorHAnsi"/>
                <w:b w:val="0"/>
                <w:noProof/>
                <w:color w:val="auto"/>
                <w:sz w:val="22"/>
                <w:lang w:eastAsia="en-NZ"/>
              </w:rPr>
            </w:pPr>
            <w:hyperlink w:anchor="_Toc170115744" w:history="1">
              <w:r w:rsidR="005041F8" w:rsidRPr="002A5F5F">
                <w:rPr>
                  <w:rStyle w:val="Hyperlink"/>
                  <w:noProof/>
                </w:rPr>
                <w:t>Overview of inspection</w:t>
              </w:r>
              <w:r w:rsidR="005041F8">
                <w:rPr>
                  <w:noProof/>
                  <w:webHidden/>
                </w:rPr>
                <w:tab/>
              </w:r>
              <w:r w:rsidR="005041F8">
                <w:rPr>
                  <w:noProof/>
                  <w:webHidden/>
                </w:rPr>
                <w:fldChar w:fldCharType="begin"/>
              </w:r>
              <w:r w:rsidR="005041F8">
                <w:rPr>
                  <w:noProof/>
                  <w:webHidden/>
                </w:rPr>
                <w:instrText xml:space="preserve"> PAGEREF _Toc170115744 \h </w:instrText>
              </w:r>
              <w:r w:rsidR="005041F8">
                <w:rPr>
                  <w:noProof/>
                  <w:webHidden/>
                </w:rPr>
              </w:r>
              <w:r w:rsidR="005041F8">
                <w:rPr>
                  <w:noProof/>
                  <w:webHidden/>
                </w:rPr>
                <w:fldChar w:fldCharType="separate"/>
              </w:r>
              <w:r w:rsidR="005041F8">
                <w:rPr>
                  <w:noProof/>
                  <w:webHidden/>
                </w:rPr>
                <w:t>2</w:t>
              </w:r>
              <w:r w:rsidR="005041F8">
                <w:rPr>
                  <w:noProof/>
                  <w:webHidden/>
                </w:rPr>
                <w:fldChar w:fldCharType="end"/>
              </w:r>
            </w:hyperlink>
          </w:p>
          <w:p w14:paraId="42BD3986" w14:textId="73AF4F47" w:rsidR="005041F8" w:rsidRDefault="0052453C">
            <w:pPr>
              <w:pStyle w:val="TOC2"/>
              <w:rPr>
                <w:rFonts w:asciiTheme="minorHAnsi" w:eastAsiaTheme="minorEastAsia" w:hAnsiTheme="minorHAnsi"/>
                <w:noProof/>
                <w:color w:val="auto"/>
                <w:sz w:val="22"/>
                <w:lang w:eastAsia="en-NZ"/>
              </w:rPr>
            </w:pPr>
            <w:hyperlink w:anchor="_Toc170115745" w:history="1">
              <w:r w:rsidR="005041F8" w:rsidRPr="002A5F5F">
                <w:rPr>
                  <w:rStyle w:val="Hyperlink"/>
                  <w:noProof/>
                </w:rPr>
                <w:t>Inspection approach</w:t>
              </w:r>
              <w:r w:rsidR="005041F8">
                <w:rPr>
                  <w:noProof/>
                  <w:webHidden/>
                </w:rPr>
                <w:tab/>
              </w:r>
              <w:r w:rsidR="005041F8">
                <w:rPr>
                  <w:noProof/>
                  <w:webHidden/>
                </w:rPr>
                <w:fldChar w:fldCharType="begin"/>
              </w:r>
              <w:r w:rsidR="005041F8">
                <w:rPr>
                  <w:noProof/>
                  <w:webHidden/>
                </w:rPr>
                <w:instrText xml:space="preserve"> PAGEREF _Toc170115745 \h </w:instrText>
              </w:r>
              <w:r w:rsidR="005041F8">
                <w:rPr>
                  <w:noProof/>
                  <w:webHidden/>
                </w:rPr>
              </w:r>
              <w:r w:rsidR="005041F8">
                <w:rPr>
                  <w:noProof/>
                  <w:webHidden/>
                </w:rPr>
                <w:fldChar w:fldCharType="separate"/>
              </w:r>
              <w:r w:rsidR="005041F8">
                <w:rPr>
                  <w:noProof/>
                  <w:webHidden/>
                </w:rPr>
                <w:t>2</w:t>
              </w:r>
              <w:r w:rsidR="005041F8">
                <w:rPr>
                  <w:noProof/>
                  <w:webHidden/>
                </w:rPr>
                <w:fldChar w:fldCharType="end"/>
              </w:r>
            </w:hyperlink>
          </w:p>
          <w:p w14:paraId="7054A251" w14:textId="243EB110" w:rsidR="005041F8" w:rsidRDefault="0052453C">
            <w:pPr>
              <w:pStyle w:val="TOC2"/>
              <w:rPr>
                <w:rFonts w:asciiTheme="minorHAnsi" w:eastAsiaTheme="minorEastAsia" w:hAnsiTheme="minorHAnsi"/>
                <w:noProof/>
                <w:color w:val="auto"/>
                <w:sz w:val="22"/>
                <w:lang w:eastAsia="en-NZ"/>
              </w:rPr>
            </w:pPr>
            <w:hyperlink w:anchor="_Toc170115746" w:history="1">
              <w:r w:rsidR="005041F8" w:rsidRPr="002A5F5F">
                <w:rPr>
                  <w:rStyle w:val="Hyperlink"/>
                  <w:noProof/>
                </w:rPr>
                <w:t>Facility facts</w:t>
              </w:r>
              <w:r w:rsidR="005041F8">
                <w:rPr>
                  <w:noProof/>
                  <w:webHidden/>
                </w:rPr>
                <w:tab/>
              </w:r>
              <w:r w:rsidR="005041F8">
                <w:rPr>
                  <w:noProof/>
                  <w:webHidden/>
                </w:rPr>
                <w:fldChar w:fldCharType="begin"/>
              </w:r>
              <w:r w:rsidR="005041F8">
                <w:rPr>
                  <w:noProof/>
                  <w:webHidden/>
                </w:rPr>
                <w:instrText xml:space="preserve"> PAGEREF _Toc170115746 \h </w:instrText>
              </w:r>
              <w:r w:rsidR="005041F8">
                <w:rPr>
                  <w:noProof/>
                  <w:webHidden/>
                </w:rPr>
              </w:r>
              <w:r w:rsidR="005041F8">
                <w:rPr>
                  <w:noProof/>
                  <w:webHidden/>
                </w:rPr>
                <w:fldChar w:fldCharType="separate"/>
              </w:r>
              <w:r w:rsidR="005041F8">
                <w:rPr>
                  <w:noProof/>
                  <w:webHidden/>
                </w:rPr>
                <w:t>2</w:t>
              </w:r>
              <w:r w:rsidR="005041F8">
                <w:rPr>
                  <w:noProof/>
                  <w:webHidden/>
                </w:rPr>
                <w:fldChar w:fldCharType="end"/>
              </w:r>
            </w:hyperlink>
          </w:p>
          <w:p w14:paraId="79E3F90E" w14:textId="7DBF2D8E" w:rsidR="005041F8" w:rsidRDefault="0052453C">
            <w:pPr>
              <w:pStyle w:val="TOC2"/>
              <w:rPr>
                <w:rFonts w:asciiTheme="minorHAnsi" w:eastAsiaTheme="minorEastAsia" w:hAnsiTheme="minorHAnsi"/>
                <w:noProof/>
                <w:color w:val="auto"/>
                <w:sz w:val="22"/>
                <w:lang w:eastAsia="en-NZ"/>
              </w:rPr>
            </w:pPr>
            <w:hyperlink w:anchor="_Toc170115747" w:history="1">
              <w:r w:rsidR="005041F8" w:rsidRPr="002A5F5F">
                <w:rPr>
                  <w:rStyle w:val="Hyperlink"/>
                  <w:noProof/>
                </w:rPr>
                <w:t>Recommendations</w:t>
              </w:r>
              <w:r w:rsidR="005041F8">
                <w:rPr>
                  <w:noProof/>
                  <w:webHidden/>
                </w:rPr>
                <w:tab/>
              </w:r>
              <w:r w:rsidR="005041F8">
                <w:rPr>
                  <w:noProof/>
                  <w:webHidden/>
                </w:rPr>
                <w:fldChar w:fldCharType="begin"/>
              </w:r>
              <w:r w:rsidR="005041F8">
                <w:rPr>
                  <w:noProof/>
                  <w:webHidden/>
                </w:rPr>
                <w:instrText xml:space="preserve"> PAGEREF _Toc170115747 \h </w:instrText>
              </w:r>
              <w:r w:rsidR="005041F8">
                <w:rPr>
                  <w:noProof/>
                  <w:webHidden/>
                </w:rPr>
              </w:r>
              <w:r w:rsidR="005041F8">
                <w:rPr>
                  <w:noProof/>
                  <w:webHidden/>
                </w:rPr>
                <w:fldChar w:fldCharType="separate"/>
              </w:r>
              <w:r w:rsidR="005041F8">
                <w:rPr>
                  <w:noProof/>
                  <w:webHidden/>
                </w:rPr>
                <w:t>3</w:t>
              </w:r>
              <w:r w:rsidR="005041F8">
                <w:rPr>
                  <w:noProof/>
                  <w:webHidden/>
                </w:rPr>
                <w:fldChar w:fldCharType="end"/>
              </w:r>
            </w:hyperlink>
          </w:p>
          <w:p w14:paraId="39D68333" w14:textId="7F1D5B78" w:rsidR="005041F8" w:rsidRDefault="0052453C">
            <w:pPr>
              <w:pStyle w:val="TOC1"/>
              <w:rPr>
                <w:rFonts w:asciiTheme="minorHAnsi" w:eastAsiaTheme="minorEastAsia" w:hAnsiTheme="minorHAnsi"/>
                <w:b w:val="0"/>
                <w:noProof/>
                <w:color w:val="auto"/>
                <w:sz w:val="22"/>
                <w:lang w:eastAsia="en-NZ"/>
              </w:rPr>
            </w:pPr>
            <w:hyperlink w:anchor="_Toc170115748" w:history="1">
              <w:r w:rsidR="005041F8" w:rsidRPr="002A5F5F">
                <w:rPr>
                  <w:rStyle w:val="Hyperlink"/>
                  <w:noProof/>
                </w:rPr>
                <w:t>Discussion of key observations</w:t>
              </w:r>
              <w:r w:rsidR="005041F8">
                <w:rPr>
                  <w:noProof/>
                  <w:webHidden/>
                </w:rPr>
                <w:tab/>
              </w:r>
              <w:r w:rsidR="005041F8">
                <w:rPr>
                  <w:noProof/>
                  <w:webHidden/>
                </w:rPr>
                <w:fldChar w:fldCharType="begin"/>
              </w:r>
              <w:r w:rsidR="005041F8">
                <w:rPr>
                  <w:noProof/>
                  <w:webHidden/>
                </w:rPr>
                <w:instrText xml:space="preserve"> PAGEREF _Toc170115748 \h </w:instrText>
              </w:r>
              <w:r w:rsidR="005041F8">
                <w:rPr>
                  <w:noProof/>
                  <w:webHidden/>
                </w:rPr>
              </w:r>
              <w:r w:rsidR="005041F8">
                <w:rPr>
                  <w:noProof/>
                  <w:webHidden/>
                </w:rPr>
                <w:fldChar w:fldCharType="separate"/>
              </w:r>
              <w:r w:rsidR="005041F8">
                <w:rPr>
                  <w:noProof/>
                  <w:webHidden/>
                </w:rPr>
                <w:t>5</w:t>
              </w:r>
              <w:r w:rsidR="005041F8">
                <w:rPr>
                  <w:noProof/>
                  <w:webHidden/>
                </w:rPr>
                <w:fldChar w:fldCharType="end"/>
              </w:r>
            </w:hyperlink>
          </w:p>
          <w:p w14:paraId="757411C4" w14:textId="6D51ACC8" w:rsidR="005041F8" w:rsidRDefault="0052453C">
            <w:pPr>
              <w:pStyle w:val="TOC2"/>
              <w:rPr>
                <w:rFonts w:asciiTheme="minorHAnsi" w:eastAsiaTheme="minorEastAsia" w:hAnsiTheme="minorHAnsi"/>
                <w:noProof/>
                <w:color w:val="auto"/>
                <w:sz w:val="22"/>
                <w:lang w:eastAsia="en-NZ"/>
              </w:rPr>
            </w:pPr>
            <w:hyperlink w:anchor="_Toc170115749" w:history="1">
              <w:r w:rsidR="005041F8" w:rsidRPr="002A5F5F">
                <w:rPr>
                  <w:rStyle w:val="Hyperlink"/>
                  <w:noProof/>
                </w:rPr>
                <w:t>Treatment</w:t>
              </w:r>
              <w:r w:rsidR="005041F8">
                <w:rPr>
                  <w:noProof/>
                  <w:webHidden/>
                </w:rPr>
                <w:tab/>
              </w:r>
              <w:r w:rsidR="005041F8">
                <w:rPr>
                  <w:noProof/>
                  <w:webHidden/>
                </w:rPr>
                <w:fldChar w:fldCharType="begin"/>
              </w:r>
              <w:r w:rsidR="005041F8">
                <w:rPr>
                  <w:noProof/>
                  <w:webHidden/>
                </w:rPr>
                <w:instrText xml:space="preserve"> PAGEREF _Toc170115749 \h </w:instrText>
              </w:r>
              <w:r w:rsidR="005041F8">
                <w:rPr>
                  <w:noProof/>
                  <w:webHidden/>
                </w:rPr>
              </w:r>
              <w:r w:rsidR="005041F8">
                <w:rPr>
                  <w:noProof/>
                  <w:webHidden/>
                </w:rPr>
                <w:fldChar w:fldCharType="separate"/>
              </w:r>
              <w:r w:rsidR="005041F8">
                <w:rPr>
                  <w:noProof/>
                  <w:webHidden/>
                </w:rPr>
                <w:t>5</w:t>
              </w:r>
              <w:r w:rsidR="005041F8">
                <w:rPr>
                  <w:noProof/>
                  <w:webHidden/>
                </w:rPr>
                <w:fldChar w:fldCharType="end"/>
              </w:r>
            </w:hyperlink>
          </w:p>
          <w:p w14:paraId="00DA8F08" w14:textId="4FF80AC5" w:rsidR="005041F8" w:rsidRDefault="0052453C">
            <w:pPr>
              <w:pStyle w:val="TOC2"/>
              <w:rPr>
                <w:rFonts w:asciiTheme="minorHAnsi" w:eastAsiaTheme="minorEastAsia" w:hAnsiTheme="minorHAnsi"/>
                <w:noProof/>
                <w:color w:val="auto"/>
                <w:sz w:val="22"/>
                <w:lang w:eastAsia="en-NZ"/>
              </w:rPr>
            </w:pPr>
            <w:hyperlink w:anchor="_Toc170115750" w:history="1">
              <w:r w:rsidR="005041F8" w:rsidRPr="002A5F5F">
                <w:rPr>
                  <w:rStyle w:val="Hyperlink"/>
                  <w:noProof/>
                </w:rPr>
                <w:t>Protective measures</w:t>
              </w:r>
              <w:r w:rsidR="005041F8">
                <w:rPr>
                  <w:noProof/>
                  <w:webHidden/>
                </w:rPr>
                <w:tab/>
              </w:r>
              <w:r w:rsidR="005041F8">
                <w:rPr>
                  <w:noProof/>
                  <w:webHidden/>
                </w:rPr>
                <w:fldChar w:fldCharType="begin"/>
              </w:r>
              <w:r w:rsidR="005041F8">
                <w:rPr>
                  <w:noProof/>
                  <w:webHidden/>
                </w:rPr>
                <w:instrText xml:space="preserve"> PAGEREF _Toc170115750 \h </w:instrText>
              </w:r>
              <w:r w:rsidR="005041F8">
                <w:rPr>
                  <w:noProof/>
                  <w:webHidden/>
                </w:rPr>
              </w:r>
              <w:r w:rsidR="005041F8">
                <w:rPr>
                  <w:noProof/>
                  <w:webHidden/>
                </w:rPr>
                <w:fldChar w:fldCharType="separate"/>
              </w:r>
              <w:r w:rsidR="005041F8">
                <w:rPr>
                  <w:noProof/>
                  <w:webHidden/>
                </w:rPr>
                <w:t>11</w:t>
              </w:r>
              <w:r w:rsidR="005041F8">
                <w:rPr>
                  <w:noProof/>
                  <w:webHidden/>
                </w:rPr>
                <w:fldChar w:fldCharType="end"/>
              </w:r>
            </w:hyperlink>
          </w:p>
          <w:p w14:paraId="5BADDF13" w14:textId="22104C37" w:rsidR="005041F8" w:rsidRDefault="0052453C">
            <w:pPr>
              <w:pStyle w:val="TOC2"/>
              <w:rPr>
                <w:rFonts w:asciiTheme="minorHAnsi" w:eastAsiaTheme="minorEastAsia" w:hAnsiTheme="minorHAnsi"/>
                <w:noProof/>
                <w:color w:val="auto"/>
                <w:sz w:val="22"/>
                <w:lang w:eastAsia="en-NZ"/>
              </w:rPr>
            </w:pPr>
            <w:hyperlink w:anchor="_Toc170115751" w:history="1">
              <w:r w:rsidR="005041F8" w:rsidRPr="002A5F5F">
                <w:rPr>
                  <w:rStyle w:val="Hyperlink"/>
                  <w:noProof/>
                </w:rPr>
                <w:t>Material conditions</w:t>
              </w:r>
              <w:r w:rsidR="005041F8">
                <w:rPr>
                  <w:noProof/>
                  <w:webHidden/>
                </w:rPr>
                <w:tab/>
              </w:r>
              <w:r w:rsidR="005041F8">
                <w:rPr>
                  <w:noProof/>
                  <w:webHidden/>
                </w:rPr>
                <w:fldChar w:fldCharType="begin"/>
              </w:r>
              <w:r w:rsidR="005041F8">
                <w:rPr>
                  <w:noProof/>
                  <w:webHidden/>
                </w:rPr>
                <w:instrText xml:space="preserve"> PAGEREF _Toc170115751 \h </w:instrText>
              </w:r>
              <w:r w:rsidR="005041F8">
                <w:rPr>
                  <w:noProof/>
                  <w:webHidden/>
                </w:rPr>
              </w:r>
              <w:r w:rsidR="005041F8">
                <w:rPr>
                  <w:noProof/>
                  <w:webHidden/>
                </w:rPr>
                <w:fldChar w:fldCharType="separate"/>
              </w:r>
              <w:r w:rsidR="005041F8">
                <w:rPr>
                  <w:noProof/>
                  <w:webHidden/>
                </w:rPr>
                <w:t>14</w:t>
              </w:r>
              <w:r w:rsidR="005041F8">
                <w:rPr>
                  <w:noProof/>
                  <w:webHidden/>
                </w:rPr>
                <w:fldChar w:fldCharType="end"/>
              </w:r>
            </w:hyperlink>
          </w:p>
          <w:p w14:paraId="3853CC72" w14:textId="0AEB7636" w:rsidR="005041F8" w:rsidRDefault="0052453C">
            <w:pPr>
              <w:pStyle w:val="TOC2"/>
              <w:rPr>
                <w:rFonts w:asciiTheme="minorHAnsi" w:eastAsiaTheme="minorEastAsia" w:hAnsiTheme="minorHAnsi"/>
                <w:noProof/>
                <w:color w:val="auto"/>
                <w:sz w:val="22"/>
                <w:lang w:eastAsia="en-NZ"/>
              </w:rPr>
            </w:pPr>
            <w:hyperlink w:anchor="_Toc170115752" w:history="1">
              <w:r w:rsidR="005041F8" w:rsidRPr="002A5F5F">
                <w:rPr>
                  <w:rStyle w:val="Hyperlink"/>
                  <w:noProof/>
                </w:rPr>
                <w:t>Activities and programmes</w:t>
              </w:r>
              <w:r w:rsidR="005041F8">
                <w:rPr>
                  <w:noProof/>
                  <w:webHidden/>
                </w:rPr>
                <w:tab/>
              </w:r>
              <w:r w:rsidR="005041F8">
                <w:rPr>
                  <w:noProof/>
                  <w:webHidden/>
                </w:rPr>
                <w:fldChar w:fldCharType="begin"/>
              </w:r>
              <w:r w:rsidR="005041F8">
                <w:rPr>
                  <w:noProof/>
                  <w:webHidden/>
                </w:rPr>
                <w:instrText xml:space="preserve"> PAGEREF _Toc170115752 \h </w:instrText>
              </w:r>
              <w:r w:rsidR="005041F8">
                <w:rPr>
                  <w:noProof/>
                  <w:webHidden/>
                </w:rPr>
              </w:r>
              <w:r w:rsidR="005041F8">
                <w:rPr>
                  <w:noProof/>
                  <w:webHidden/>
                </w:rPr>
                <w:fldChar w:fldCharType="separate"/>
              </w:r>
              <w:r w:rsidR="005041F8">
                <w:rPr>
                  <w:noProof/>
                  <w:webHidden/>
                </w:rPr>
                <w:t>15</w:t>
              </w:r>
              <w:r w:rsidR="005041F8">
                <w:rPr>
                  <w:noProof/>
                  <w:webHidden/>
                </w:rPr>
                <w:fldChar w:fldCharType="end"/>
              </w:r>
            </w:hyperlink>
          </w:p>
          <w:p w14:paraId="01D70FFA" w14:textId="7A50944D" w:rsidR="005041F8" w:rsidRDefault="0052453C">
            <w:pPr>
              <w:pStyle w:val="TOC2"/>
              <w:rPr>
                <w:rFonts w:asciiTheme="minorHAnsi" w:eastAsiaTheme="minorEastAsia" w:hAnsiTheme="minorHAnsi"/>
                <w:noProof/>
                <w:color w:val="auto"/>
                <w:sz w:val="22"/>
                <w:lang w:eastAsia="en-NZ"/>
              </w:rPr>
            </w:pPr>
            <w:hyperlink w:anchor="_Toc170115753" w:history="1">
              <w:r w:rsidR="005041F8" w:rsidRPr="002A5F5F">
                <w:rPr>
                  <w:rStyle w:val="Hyperlink"/>
                  <w:noProof/>
                </w:rPr>
                <w:t>Communications</w:t>
              </w:r>
              <w:r w:rsidR="005041F8">
                <w:rPr>
                  <w:noProof/>
                  <w:webHidden/>
                </w:rPr>
                <w:tab/>
              </w:r>
              <w:r w:rsidR="005041F8">
                <w:rPr>
                  <w:noProof/>
                  <w:webHidden/>
                </w:rPr>
                <w:fldChar w:fldCharType="begin"/>
              </w:r>
              <w:r w:rsidR="005041F8">
                <w:rPr>
                  <w:noProof/>
                  <w:webHidden/>
                </w:rPr>
                <w:instrText xml:space="preserve"> PAGEREF _Toc170115753 \h </w:instrText>
              </w:r>
              <w:r w:rsidR="005041F8">
                <w:rPr>
                  <w:noProof/>
                  <w:webHidden/>
                </w:rPr>
              </w:r>
              <w:r w:rsidR="005041F8">
                <w:rPr>
                  <w:noProof/>
                  <w:webHidden/>
                </w:rPr>
                <w:fldChar w:fldCharType="separate"/>
              </w:r>
              <w:r w:rsidR="005041F8">
                <w:rPr>
                  <w:noProof/>
                  <w:webHidden/>
                </w:rPr>
                <w:t>18</w:t>
              </w:r>
              <w:r w:rsidR="005041F8">
                <w:rPr>
                  <w:noProof/>
                  <w:webHidden/>
                </w:rPr>
                <w:fldChar w:fldCharType="end"/>
              </w:r>
            </w:hyperlink>
          </w:p>
          <w:p w14:paraId="328CA624" w14:textId="0A696171" w:rsidR="005041F8" w:rsidRDefault="0052453C">
            <w:pPr>
              <w:pStyle w:val="TOC2"/>
              <w:rPr>
                <w:rFonts w:asciiTheme="minorHAnsi" w:eastAsiaTheme="minorEastAsia" w:hAnsiTheme="minorHAnsi"/>
                <w:noProof/>
                <w:color w:val="auto"/>
                <w:sz w:val="22"/>
                <w:lang w:eastAsia="en-NZ"/>
              </w:rPr>
            </w:pPr>
            <w:hyperlink w:anchor="_Toc170115754" w:history="1">
              <w:r w:rsidR="005041F8" w:rsidRPr="002A5F5F">
                <w:rPr>
                  <w:rStyle w:val="Hyperlink"/>
                  <w:noProof/>
                </w:rPr>
                <w:t>Staffing</w:t>
              </w:r>
              <w:r w:rsidR="005041F8">
                <w:rPr>
                  <w:noProof/>
                  <w:webHidden/>
                </w:rPr>
                <w:tab/>
              </w:r>
              <w:r w:rsidR="005041F8">
                <w:rPr>
                  <w:noProof/>
                  <w:webHidden/>
                </w:rPr>
                <w:fldChar w:fldCharType="begin"/>
              </w:r>
              <w:r w:rsidR="005041F8">
                <w:rPr>
                  <w:noProof/>
                  <w:webHidden/>
                </w:rPr>
                <w:instrText xml:space="preserve"> PAGEREF _Toc170115754 \h </w:instrText>
              </w:r>
              <w:r w:rsidR="005041F8">
                <w:rPr>
                  <w:noProof/>
                  <w:webHidden/>
                </w:rPr>
              </w:r>
              <w:r w:rsidR="005041F8">
                <w:rPr>
                  <w:noProof/>
                  <w:webHidden/>
                </w:rPr>
                <w:fldChar w:fldCharType="separate"/>
              </w:r>
              <w:r w:rsidR="005041F8">
                <w:rPr>
                  <w:noProof/>
                  <w:webHidden/>
                </w:rPr>
                <w:t>20</w:t>
              </w:r>
              <w:r w:rsidR="005041F8">
                <w:rPr>
                  <w:noProof/>
                  <w:webHidden/>
                </w:rPr>
                <w:fldChar w:fldCharType="end"/>
              </w:r>
            </w:hyperlink>
          </w:p>
          <w:p w14:paraId="58CE6F06" w14:textId="3508AA0C" w:rsidR="005041F8" w:rsidRDefault="0052453C">
            <w:pPr>
              <w:pStyle w:val="TOC2"/>
              <w:rPr>
                <w:rFonts w:asciiTheme="minorHAnsi" w:eastAsiaTheme="minorEastAsia" w:hAnsiTheme="minorHAnsi"/>
                <w:noProof/>
                <w:color w:val="auto"/>
                <w:sz w:val="22"/>
                <w:lang w:eastAsia="en-NZ"/>
              </w:rPr>
            </w:pPr>
            <w:hyperlink w:anchor="_Toc170115755" w:history="1">
              <w:r w:rsidR="005041F8" w:rsidRPr="002A5F5F">
                <w:rPr>
                  <w:rStyle w:val="Hyperlink"/>
                  <w:noProof/>
                </w:rPr>
                <w:t>Additional observations from 2022 follow up inspection</w:t>
              </w:r>
              <w:r w:rsidR="005041F8">
                <w:rPr>
                  <w:noProof/>
                  <w:webHidden/>
                </w:rPr>
                <w:tab/>
              </w:r>
              <w:r w:rsidR="005041F8">
                <w:rPr>
                  <w:noProof/>
                  <w:webHidden/>
                </w:rPr>
                <w:fldChar w:fldCharType="begin"/>
              </w:r>
              <w:r w:rsidR="005041F8">
                <w:rPr>
                  <w:noProof/>
                  <w:webHidden/>
                </w:rPr>
                <w:instrText xml:space="preserve"> PAGEREF _Toc170115755 \h </w:instrText>
              </w:r>
              <w:r w:rsidR="005041F8">
                <w:rPr>
                  <w:noProof/>
                  <w:webHidden/>
                </w:rPr>
              </w:r>
              <w:r w:rsidR="005041F8">
                <w:rPr>
                  <w:noProof/>
                  <w:webHidden/>
                </w:rPr>
                <w:fldChar w:fldCharType="separate"/>
              </w:r>
              <w:r w:rsidR="005041F8">
                <w:rPr>
                  <w:noProof/>
                  <w:webHidden/>
                </w:rPr>
                <w:t>22</w:t>
              </w:r>
              <w:r w:rsidR="005041F8">
                <w:rPr>
                  <w:noProof/>
                  <w:webHidden/>
                </w:rPr>
                <w:fldChar w:fldCharType="end"/>
              </w:r>
            </w:hyperlink>
          </w:p>
          <w:p w14:paraId="02860FA7" w14:textId="7A4A3E71" w:rsidR="005041F8" w:rsidRDefault="0052453C">
            <w:pPr>
              <w:pStyle w:val="TOC1"/>
              <w:rPr>
                <w:rFonts w:asciiTheme="minorHAnsi" w:eastAsiaTheme="minorEastAsia" w:hAnsiTheme="minorHAnsi"/>
                <w:b w:val="0"/>
                <w:noProof/>
                <w:color w:val="auto"/>
                <w:sz w:val="22"/>
                <w:lang w:eastAsia="en-NZ"/>
              </w:rPr>
            </w:pPr>
            <w:hyperlink w:anchor="_Toc170115756" w:history="1">
              <w:r w:rsidR="005041F8" w:rsidRPr="002A5F5F">
                <w:rPr>
                  <w:rStyle w:val="Hyperlink"/>
                  <w:noProof/>
                </w:rPr>
                <w:t>Acknowledgement</w:t>
              </w:r>
              <w:r w:rsidR="005041F8">
                <w:rPr>
                  <w:noProof/>
                  <w:webHidden/>
                </w:rPr>
                <w:tab/>
              </w:r>
              <w:r w:rsidR="005041F8">
                <w:rPr>
                  <w:noProof/>
                  <w:webHidden/>
                </w:rPr>
                <w:fldChar w:fldCharType="begin"/>
              </w:r>
              <w:r w:rsidR="005041F8">
                <w:rPr>
                  <w:noProof/>
                  <w:webHidden/>
                </w:rPr>
                <w:instrText xml:space="preserve"> PAGEREF _Toc170115756 \h </w:instrText>
              </w:r>
              <w:r w:rsidR="005041F8">
                <w:rPr>
                  <w:noProof/>
                  <w:webHidden/>
                </w:rPr>
              </w:r>
              <w:r w:rsidR="005041F8">
                <w:rPr>
                  <w:noProof/>
                  <w:webHidden/>
                </w:rPr>
                <w:fldChar w:fldCharType="separate"/>
              </w:r>
              <w:r w:rsidR="005041F8">
                <w:rPr>
                  <w:noProof/>
                  <w:webHidden/>
                </w:rPr>
                <w:t>23</w:t>
              </w:r>
              <w:r w:rsidR="005041F8">
                <w:rPr>
                  <w:noProof/>
                  <w:webHidden/>
                </w:rPr>
                <w:fldChar w:fldCharType="end"/>
              </w:r>
            </w:hyperlink>
          </w:p>
          <w:p w14:paraId="6C131E4E" w14:textId="7D83C4B8" w:rsidR="005041F8" w:rsidRDefault="0052453C">
            <w:pPr>
              <w:pStyle w:val="TOC1"/>
              <w:rPr>
                <w:rFonts w:asciiTheme="minorHAnsi" w:eastAsiaTheme="minorEastAsia" w:hAnsiTheme="minorHAnsi"/>
                <w:b w:val="0"/>
                <w:noProof/>
                <w:color w:val="auto"/>
                <w:sz w:val="22"/>
                <w:lang w:eastAsia="en-NZ"/>
              </w:rPr>
            </w:pPr>
            <w:hyperlink w:anchor="_Toc170115757" w:history="1">
              <w:r w:rsidR="005041F8" w:rsidRPr="002A5F5F">
                <w:rPr>
                  <w:rStyle w:val="Hyperlink"/>
                  <w:noProof/>
                </w:rPr>
                <w:t>Appendix 1. Legislative framework</w:t>
              </w:r>
              <w:r w:rsidR="005041F8">
                <w:rPr>
                  <w:noProof/>
                  <w:webHidden/>
                </w:rPr>
                <w:tab/>
              </w:r>
              <w:r w:rsidR="005041F8">
                <w:rPr>
                  <w:noProof/>
                  <w:webHidden/>
                </w:rPr>
                <w:fldChar w:fldCharType="begin"/>
              </w:r>
              <w:r w:rsidR="005041F8">
                <w:rPr>
                  <w:noProof/>
                  <w:webHidden/>
                </w:rPr>
                <w:instrText xml:space="preserve"> PAGEREF _Toc170115757 \h </w:instrText>
              </w:r>
              <w:r w:rsidR="005041F8">
                <w:rPr>
                  <w:noProof/>
                  <w:webHidden/>
                </w:rPr>
              </w:r>
              <w:r w:rsidR="005041F8">
                <w:rPr>
                  <w:noProof/>
                  <w:webHidden/>
                </w:rPr>
                <w:fldChar w:fldCharType="separate"/>
              </w:r>
              <w:r w:rsidR="005041F8">
                <w:rPr>
                  <w:noProof/>
                  <w:webHidden/>
                </w:rPr>
                <w:t>25</w:t>
              </w:r>
              <w:r w:rsidR="005041F8">
                <w:rPr>
                  <w:noProof/>
                  <w:webHidden/>
                </w:rPr>
                <w:fldChar w:fldCharType="end"/>
              </w:r>
            </w:hyperlink>
          </w:p>
          <w:p w14:paraId="31854CFD" w14:textId="644CC039" w:rsidR="005900F7" w:rsidRPr="006C0089" w:rsidRDefault="005900F7" w:rsidP="00E50E38">
            <w:pPr>
              <w:pStyle w:val="Whitespace"/>
            </w:pPr>
            <w:r w:rsidRPr="006C0089">
              <w:fldChar w:fldCharType="end"/>
            </w:r>
          </w:p>
        </w:tc>
      </w:tr>
      <w:bookmarkEnd w:id="3"/>
      <w:bookmarkEnd w:id="4"/>
    </w:tbl>
    <w:p w14:paraId="2D10F463" w14:textId="77777777" w:rsidR="00672F95" w:rsidRPr="006C0089" w:rsidRDefault="00672F95" w:rsidP="0038471E">
      <w:pPr>
        <w:pStyle w:val="BodyText"/>
      </w:pPr>
    </w:p>
    <w:p w14:paraId="7E7C366E" w14:textId="77777777" w:rsidR="00524222" w:rsidRPr="006C0089" w:rsidRDefault="00524222" w:rsidP="0038471E">
      <w:pPr>
        <w:pStyle w:val="BodyText"/>
      </w:pPr>
    </w:p>
    <w:p w14:paraId="7E410A33" w14:textId="77777777" w:rsidR="0038471E" w:rsidRPr="006C0089" w:rsidRDefault="0038471E" w:rsidP="00524222">
      <w:pPr>
        <w:pStyle w:val="Number1"/>
        <w:numPr>
          <w:ilvl w:val="0"/>
          <w:numId w:val="0"/>
        </w:numPr>
        <w:ind w:left="567" w:hanging="567"/>
        <w:sectPr w:rsidR="0038471E" w:rsidRPr="006C0089" w:rsidSect="00AD22CF">
          <w:headerReference w:type="even" r:id="rId16"/>
          <w:headerReference w:type="default" r:id="rId17"/>
          <w:footerReference w:type="default" r:id="rId18"/>
          <w:headerReference w:type="first" r:id="rId19"/>
          <w:footerReference w:type="first" r:id="rId20"/>
          <w:endnotePr>
            <w:numFmt w:val="decimal"/>
          </w:endnotePr>
          <w:type w:val="oddPage"/>
          <w:pgSz w:w="11906" w:h="16838" w:code="9"/>
          <w:pgMar w:top="1701" w:right="1304" w:bottom="1701" w:left="1304" w:header="680" w:footer="680" w:gutter="0"/>
          <w:cols w:space="708"/>
          <w:docGrid w:linePitch="360"/>
        </w:sectPr>
      </w:pPr>
    </w:p>
    <w:p w14:paraId="3D2869FE" w14:textId="77777777" w:rsidR="008D00B3" w:rsidRPr="006C0089" w:rsidRDefault="008D00B3" w:rsidP="008D00B3">
      <w:pPr>
        <w:pStyle w:val="Heading1"/>
        <w:spacing w:after="0"/>
      </w:pPr>
      <w:bookmarkStart w:id="5" w:name="_Toc116914023"/>
      <w:bookmarkStart w:id="6" w:name="_Toc170115742"/>
      <w:bookmarkStart w:id="7" w:name="_Toc3377016"/>
      <w:bookmarkStart w:id="8" w:name="_Toc6910393"/>
      <w:bookmarkStart w:id="9" w:name="_Toc6910481"/>
      <w:r w:rsidRPr="006C0089">
        <w:t>Introduction</w:t>
      </w:r>
      <w:bookmarkEnd w:id="5"/>
      <w:bookmarkEnd w:id="6"/>
      <w:r w:rsidRPr="006C0089">
        <w:t xml:space="preserve"> </w:t>
      </w:r>
    </w:p>
    <w:p w14:paraId="5276F6FC" w14:textId="77616D2C" w:rsidR="008D00B3" w:rsidRPr="006C0089" w:rsidRDefault="008D00B3" w:rsidP="008D00B3">
      <w:pPr>
        <w:spacing w:after="176"/>
        <w:ind w:left="-5"/>
      </w:pPr>
      <w:r w:rsidRPr="006C0089">
        <w:t>The following report has been prepared in my capacity as a National Preventive Mechanism (NPM), as designated under the Crimes of Torture Act 1989 (COTA). The purpose of the COTA is to enable New Zealand to meet its international obligations under the Convention against Torture and Other Cruel, Inhuman or Degrading Treatment or Punishment and its Optional Protocol (OPCAT).</w:t>
      </w:r>
      <w:r w:rsidRPr="006C0089">
        <w:rPr>
          <w:vertAlign w:val="superscript"/>
        </w:rPr>
        <w:footnoteReference w:id="2"/>
      </w:r>
      <w:r w:rsidRPr="006C0089">
        <w:rPr>
          <w:vertAlign w:val="superscript"/>
        </w:rPr>
        <w:t xml:space="preserve"> </w:t>
      </w:r>
    </w:p>
    <w:p w14:paraId="38EE06DA" w14:textId="5DFCF02F" w:rsidR="008D00B3" w:rsidRPr="006C0089" w:rsidRDefault="008D00B3" w:rsidP="008D00B3">
      <w:pPr>
        <w:ind w:left="-5"/>
      </w:pPr>
      <w:r w:rsidRPr="006C0089">
        <w:t xml:space="preserve">I am empowered to examine places of detention: where people are unable to leave at will. My designation includes health and disability facilities. Central to this is conducting visits and inspections. This has a preventive purpose, to ensure that safeguards against ill-treatment are in place and that poor practices, or systemic problems, are identified and addressed promptly. </w:t>
      </w:r>
    </w:p>
    <w:p w14:paraId="1E89A2DA" w14:textId="2BEC1D2A" w:rsidR="008D00B3" w:rsidRPr="006C0089" w:rsidRDefault="008D00B3" w:rsidP="008D00B3">
      <w:pPr>
        <w:spacing w:after="401"/>
        <w:ind w:left="-5"/>
      </w:pPr>
      <w:r w:rsidRPr="006C0089">
        <w:t xml:space="preserve">My role is to form an independent opinion as to the conditions and treatment in these places, report my </w:t>
      </w:r>
      <w:r w:rsidR="00DE31C7" w:rsidRPr="006C0089">
        <w:t xml:space="preserve">observations </w:t>
      </w:r>
      <w:r w:rsidRPr="006C0089">
        <w:t xml:space="preserve">and if necessary make recommendations for improvement. </w:t>
      </w:r>
    </w:p>
    <w:p w14:paraId="21394DE1" w14:textId="77777777" w:rsidR="008D00B3" w:rsidRPr="006C0089" w:rsidRDefault="008D00B3" w:rsidP="008D00B3">
      <w:pPr>
        <w:pStyle w:val="Heading2"/>
      </w:pPr>
      <w:bookmarkStart w:id="10" w:name="_Toc116914024"/>
      <w:bookmarkStart w:id="11" w:name="_Toc170115743"/>
      <w:r w:rsidRPr="006C0089">
        <w:t>More information</w:t>
      </w:r>
      <w:bookmarkEnd w:id="10"/>
      <w:bookmarkEnd w:id="11"/>
      <w:r w:rsidRPr="006C0089">
        <w:t xml:space="preserve"> </w:t>
      </w:r>
    </w:p>
    <w:p w14:paraId="2E6D6B8F" w14:textId="046100EA" w:rsidR="008D00B3" w:rsidRPr="006C0089" w:rsidRDefault="008D00B3" w:rsidP="008D00B3">
      <w:pPr>
        <w:spacing w:after="601"/>
        <w:ind w:left="-5"/>
      </w:pPr>
      <w:r w:rsidRPr="006C0089">
        <w:t xml:space="preserve">Find out more about the Chief Ombudsman’s OPCAT role, and read </w:t>
      </w:r>
      <w:r w:rsidR="003F390E" w:rsidRPr="006C0089">
        <w:t>my</w:t>
      </w:r>
      <w:r w:rsidR="00D36C04" w:rsidRPr="006C0089">
        <w:t xml:space="preserve"> </w:t>
      </w:r>
      <w:r w:rsidRPr="006C0089">
        <w:t xml:space="preserve">reports online: </w:t>
      </w:r>
      <w:hyperlink r:id="rId21">
        <w:r w:rsidRPr="006C0089">
          <w:rPr>
            <w:color w:val="0D6AB8"/>
            <w:u w:val="single" w:color="0D6AB8"/>
          </w:rPr>
          <w:t>ombudsman.parliament.nz/opcat</w:t>
        </w:r>
      </w:hyperlink>
      <w:hyperlink r:id="rId22">
        <w:r w:rsidRPr="006C0089">
          <w:t xml:space="preserve"> </w:t>
        </w:r>
      </w:hyperlink>
    </w:p>
    <w:p w14:paraId="64D7C2D5" w14:textId="26CDCE25" w:rsidR="00306F5D" w:rsidRPr="006C0089" w:rsidRDefault="00306F5D" w:rsidP="008D00B3">
      <w:pPr>
        <w:spacing w:after="601"/>
        <w:ind w:left="-5"/>
      </w:pPr>
    </w:p>
    <w:p w14:paraId="406A3450" w14:textId="56484013" w:rsidR="00306F5D" w:rsidRPr="006C0089" w:rsidRDefault="00306F5D" w:rsidP="008D00B3">
      <w:pPr>
        <w:spacing w:after="601"/>
        <w:ind w:left="-5"/>
      </w:pPr>
    </w:p>
    <w:p w14:paraId="55B5330C" w14:textId="7437259E" w:rsidR="00306F5D" w:rsidRPr="006C0089" w:rsidRDefault="00306F5D" w:rsidP="008D00B3">
      <w:pPr>
        <w:spacing w:after="601"/>
        <w:ind w:left="-5"/>
      </w:pPr>
    </w:p>
    <w:p w14:paraId="02AB1324" w14:textId="77777777" w:rsidR="00306F5D" w:rsidRPr="006C0089" w:rsidRDefault="00306F5D" w:rsidP="008D00B3">
      <w:pPr>
        <w:spacing w:after="601"/>
        <w:ind w:left="-5"/>
      </w:pPr>
    </w:p>
    <w:p w14:paraId="45123896" w14:textId="77777777" w:rsidR="008D00B3" w:rsidRPr="006C0089" w:rsidRDefault="008D00B3" w:rsidP="002E05C5">
      <w:pPr>
        <w:pStyle w:val="Heading1"/>
        <w:spacing w:after="240"/>
        <w:ind w:left="-5"/>
      </w:pPr>
      <w:bookmarkStart w:id="12" w:name="_Toc116914025"/>
      <w:bookmarkStart w:id="13" w:name="_Toc170115744"/>
      <w:r w:rsidRPr="006C0089">
        <w:t>Overview of inspection</w:t>
      </w:r>
      <w:bookmarkEnd w:id="12"/>
      <w:bookmarkEnd w:id="13"/>
      <w:r w:rsidRPr="006C0089">
        <w:t xml:space="preserve"> </w:t>
      </w:r>
    </w:p>
    <w:p w14:paraId="67119EFE" w14:textId="77777777" w:rsidR="008D00B3" w:rsidRPr="006C0089" w:rsidRDefault="008D00B3" w:rsidP="002E05C5">
      <w:pPr>
        <w:pStyle w:val="Heading2"/>
        <w:spacing w:before="240"/>
      </w:pPr>
      <w:bookmarkStart w:id="14" w:name="_Toc116914026"/>
      <w:bookmarkStart w:id="15" w:name="_Toc170115745"/>
      <w:r w:rsidRPr="006C0089">
        <w:t>Inspection approach</w:t>
      </w:r>
      <w:bookmarkEnd w:id="14"/>
      <w:bookmarkEnd w:id="15"/>
      <w:r w:rsidRPr="006C0089">
        <w:t xml:space="preserve"> </w:t>
      </w:r>
    </w:p>
    <w:p w14:paraId="2A0D6193" w14:textId="681275A5" w:rsidR="008D00B3" w:rsidRPr="006C0089" w:rsidRDefault="007B4A5E" w:rsidP="00217299">
      <w:pPr>
        <w:pStyle w:val="BodyText"/>
      </w:pPr>
      <w:r w:rsidRPr="006C0089">
        <w:t>From 2</w:t>
      </w:r>
      <w:r w:rsidR="003F390E" w:rsidRPr="006C0089">
        <w:t>3</w:t>
      </w:r>
      <w:r w:rsidRPr="006C0089">
        <w:t xml:space="preserve"> to 26 August</w:t>
      </w:r>
      <w:r w:rsidR="008D00B3" w:rsidRPr="006C0089">
        <w:t xml:space="preserve"> 202</w:t>
      </w:r>
      <w:r w:rsidR="00F01D0A" w:rsidRPr="006C0089">
        <w:t>2</w:t>
      </w:r>
      <w:r w:rsidR="00BE266A" w:rsidRPr="006C0089">
        <w:t xml:space="preserve">, two Inspectors </w:t>
      </w:r>
      <w:r w:rsidR="008D00B3" w:rsidRPr="006C0089">
        <w:t>made an</w:t>
      </w:r>
      <w:r w:rsidR="009D79F4" w:rsidRPr="006C0089">
        <w:t xml:space="preserve"> announced </w:t>
      </w:r>
      <w:r w:rsidR="00DE348B" w:rsidRPr="006C0089">
        <w:t>four</w:t>
      </w:r>
      <w:r w:rsidR="009D79F4" w:rsidRPr="006C0089">
        <w:t>-day inspection</w:t>
      </w:r>
      <w:r w:rsidR="008D00B3" w:rsidRPr="006C0089">
        <w:t xml:space="preserve"> </w:t>
      </w:r>
      <w:r w:rsidR="00BE266A" w:rsidRPr="006C0089">
        <w:t xml:space="preserve">of </w:t>
      </w:r>
      <w:r w:rsidR="008D00B3" w:rsidRPr="006C0089">
        <w:t xml:space="preserve">the </w:t>
      </w:r>
      <w:r w:rsidR="0074385A" w:rsidRPr="006C0089">
        <w:t>He Puna Wa</w:t>
      </w:r>
      <w:r w:rsidR="009D79F4" w:rsidRPr="006C0089">
        <w:t>iora Mental Health Inpatient Unit</w:t>
      </w:r>
      <w:r w:rsidR="00416217" w:rsidRPr="006C0089">
        <w:t xml:space="preserve"> (the Unit)</w:t>
      </w:r>
      <w:r w:rsidR="009D79F4" w:rsidRPr="006C0089">
        <w:t xml:space="preserve"> </w:t>
      </w:r>
      <w:r w:rsidR="008D00B3" w:rsidRPr="006C0089">
        <w:t xml:space="preserve">to follow up on recommendations made </w:t>
      </w:r>
      <w:r w:rsidR="00416217" w:rsidRPr="006C0089">
        <w:t xml:space="preserve">when </w:t>
      </w:r>
      <w:r w:rsidR="00F17B5B" w:rsidRPr="006C0089">
        <w:t>I inspected</w:t>
      </w:r>
      <w:r w:rsidR="008D00B3" w:rsidRPr="006C0089">
        <w:t xml:space="preserve"> in 2019.</w:t>
      </w:r>
      <w:r w:rsidR="008D00B3" w:rsidRPr="006C0089">
        <w:rPr>
          <w:vertAlign w:val="superscript"/>
        </w:rPr>
        <w:footnoteReference w:id="3"/>
      </w:r>
      <w:r w:rsidR="008D00B3" w:rsidRPr="006C0089">
        <w:t xml:space="preserve"> </w:t>
      </w:r>
      <w:r w:rsidR="00BE266A" w:rsidRPr="006C0089">
        <w:t>Therefore, th</w:t>
      </w:r>
      <w:r w:rsidR="00416217" w:rsidRPr="006C0089">
        <w:t>is</w:t>
      </w:r>
      <w:r w:rsidR="00BE266A" w:rsidRPr="006C0089">
        <w:t xml:space="preserve"> inspection is referred to as a ‘</w:t>
      </w:r>
      <w:r w:rsidR="00E10DCC" w:rsidRPr="006C0089">
        <w:t xml:space="preserve">follow </w:t>
      </w:r>
      <w:r w:rsidR="00193EF6" w:rsidRPr="006C0089">
        <w:t>up inspection’</w:t>
      </w:r>
      <w:r w:rsidR="00BE266A" w:rsidRPr="006C0089">
        <w:t xml:space="preserve">. </w:t>
      </w:r>
      <w:r w:rsidR="002751D7" w:rsidRPr="006C0089">
        <w:t xml:space="preserve">The </w:t>
      </w:r>
      <w:r w:rsidR="00193EF6" w:rsidRPr="006C0089">
        <w:t>follow up</w:t>
      </w:r>
      <w:r w:rsidR="002751D7" w:rsidRPr="006C0089">
        <w:t xml:space="preserve"> inspection was undertaken when all of New Zealand was at the COVID-19 Protection Framework (traffic light) orange setting</w:t>
      </w:r>
      <w:r w:rsidR="008D00B3" w:rsidRPr="006C0089">
        <w:t>.</w:t>
      </w:r>
      <w:r w:rsidR="002E05C5" w:rsidRPr="006C0089">
        <w:rPr>
          <w:rStyle w:val="FootnoteReference"/>
        </w:rPr>
        <w:footnoteReference w:id="4"/>
      </w:r>
    </w:p>
    <w:p w14:paraId="5E64FC13" w14:textId="05EB9DDE" w:rsidR="008D00B3" w:rsidRPr="006C0089" w:rsidRDefault="008D00B3" w:rsidP="00217299">
      <w:pPr>
        <w:pStyle w:val="BodyText"/>
      </w:pPr>
      <w:r w:rsidRPr="006C0089">
        <w:t xml:space="preserve">The </w:t>
      </w:r>
      <w:r w:rsidR="00416217" w:rsidRPr="006C0089">
        <w:t xml:space="preserve">follow </w:t>
      </w:r>
      <w:r w:rsidR="00F32721" w:rsidRPr="006C0089">
        <w:t>up inspection</w:t>
      </w:r>
      <w:r w:rsidR="006764A9" w:rsidRPr="006C0089">
        <w:t xml:space="preserve"> focussed on </w:t>
      </w:r>
      <w:r w:rsidRPr="006C0089">
        <w:t>progress in implementing th</w:t>
      </w:r>
      <w:r w:rsidR="002E05C5" w:rsidRPr="006C0089">
        <w:t xml:space="preserve">e recommendations I made as a result of my 2019 inspection, </w:t>
      </w:r>
      <w:r w:rsidR="002751D7" w:rsidRPr="006C0089">
        <w:t xml:space="preserve">and whether I consider these recommendations to have been achieved, </w:t>
      </w:r>
      <w:r w:rsidR="00DE31C7" w:rsidRPr="006C0089">
        <w:t xml:space="preserve">or </w:t>
      </w:r>
      <w:r w:rsidR="002751D7" w:rsidRPr="006C0089">
        <w:t xml:space="preserve">not. </w:t>
      </w:r>
      <w:r w:rsidRPr="006C0089">
        <w:t xml:space="preserve">To ensure an evidence-based approach, my Inspectors gathered and assessed a range of information including: </w:t>
      </w:r>
    </w:p>
    <w:p w14:paraId="63273D2B" w14:textId="52F15099" w:rsidR="008D00B3" w:rsidRPr="006C0089" w:rsidRDefault="00D03C30" w:rsidP="002E05C5">
      <w:pPr>
        <w:pStyle w:val="Bullet1"/>
      </w:pPr>
      <w:r>
        <w:t>I</w:t>
      </w:r>
      <w:r w:rsidR="008D00B3" w:rsidRPr="006C0089">
        <w:t>nformation and documents from the Unit, including clinical records, incident reports and meeting minutes, policies and procedures produced by the Unit and</w:t>
      </w:r>
      <w:r w:rsidR="00AC2708" w:rsidRPr="006C0089">
        <w:t xml:space="preserve"> Te Whatu Ora Waitemat</w:t>
      </w:r>
      <w:r w:rsidR="00AC2708" w:rsidRPr="006C0089">
        <w:rPr>
          <w:rFonts w:cs="Calibri"/>
        </w:rPr>
        <w:t>ā</w:t>
      </w:r>
      <w:r w:rsidR="00AC2708" w:rsidRPr="006C0089">
        <w:t>;</w:t>
      </w:r>
      <w:r w:rsidR="00AD3E9D" w:rsidRPr="006C0089">
        <w:t xml:space="preserve"> </w:t>
      </w:r>
    </w:p>
    <w:p w14:paraId="73627369" w14:textId="39342A4D" w:rsidR="008D00B3" w:rsidRPr="006C0089" w:rsidRDefault="00D03C30" w:rsidP="002E05C5">
      <w:pPr>
        <w:pStyle w:val="Bullet1"/>
      </w:pPr>
      <w:r>
        <w:t>O</w:t>
      </w:r>
      <w:r w:rsidR="008D00B3" w:rsidRPr="006C0089">
        <w:t xml:space="preserve">ne-to-one interviews with </w:t>
      </w:r>
      <w:r w:rsidR="00CF17EF" w:rsidRPr="006C0089">
        <w:t>tāngata whai ora</w:t>
      </w:r>
      <w:r w:rsidR="008D00B3" w:rsidRPr="006C0089">
        <w:t xml:space="preserve">, staff and other relevant stakeholders; </w:t>
      </w:r>
      <w:r>
        <w:t>and</w:t>
      </w:r>
    </w:p>
    <w:p w14:paraId="76166B71" w14:textId="333B6B64" w:rsidR="003122EF" w:rsidRPr="006C0089" w:rsidRDefault="00D03C30" w:rsidP="003122EF">
      <w:pPr>
        <w:pStyle w:val="Bullet1"/>
      </w:pPr>
      <w:r>
        <w:t>O</w:t>
      </w:r>
      <w:r w:rsidR="008D00B3" w:rsidRPr="006C0089">
        <w:t xml:space="preserve">bservations within the Unit, with a focus on </w:t>
      </w:r>
      <w:r w:rsidR="00CF17EF" w:rsidRPr="006C0089">
        <w:t xml:space="preserve">issues </w:t>
      </w:r>
      <w:r w:rsidR="008D00B3" w:rsidRPr="006C0089">
        <w:t xml:space="preserve">impacting on both </w:t>
      </w:r>
      <w:r w:rsidR="00CF17EF" w:rsidRPr="006C0089">
        <w:t xml:space="preserve">tāngata whai ora </w:t>
      </w:r>
      <w:r w:rsidR="008D00B3" w:rsidRPr="006C0089">
        <w:t xml:space="preserve">and staff. </w:t>
      </w:r>
    </w:p>
    <w:p w14:paraId="0A16A3C7" w14:textId="68571919" w:rsidR="003122EF" w:rsidRPr="006C0089" w:rsidRDefault="003122EF" w:rsidP="00BC3D72">
      <w:pPr>
        <w:pStyle w:val="BodyText"/>
      </w:pPr>
      <w:bookmarkStart w:id="16" w:name="_Toc134438056"/>
      <w:bookmarkStart w:id="17" w:name="_Toc116914028"/>
      <w:r w:rsidRPr="006C0089">
        <w:t>Te Whatu Ora and the Ministry of Health received a copy of my provisional report and were invited to comment. I received responses</w:t>
      </w:r>
      <w:r w:rsidR="00A447DD" w:rsidRPr="006C0089">
        <w:t xml:space="preserve"> </w:t>
      </w:r>
      <w:r w:rsidR="003A5910" w:rsidRPr="006C0089">
        <w:t xml:space="preserve">from both Te Whatu Ora - </w:t>
      </w:r>
      <w:r w:rsidR="004D09FE" w:rsidRPr="006C0089">
        <w:t xml:space="preserve">Waitematā </w:t>
      </w:r>
      <w:r w:rsidR="003A5910" w:rsidRPr="006C0089">
        <w:t xml:space="preserve">and the Ministry of Health, </w:t>
      </w:r>
      <w:r w:rsidR="005F1806" w:rsidRPr="006C0089">
        <w:t>and I</w:t>
      </w:r>
      <w:r w:rsidRPr="006C0089">
        <w:t xml:space="preserve"> have considered their feedback when preparing my final report.</w:t>
      </w:r>
      <w:bookmarkEnd w:id="16"/>
      <w:r w:rsidR="00570E15" w:rsidRPr="006C0089">
        <w:t xml:space="preserve"> The Ministry of Health stated they will work with the Director of Area Mental Health Services (DAMHS) and local </w:t>
      </w:r>
      <w:r w:rsidR="00265125" w:rsidRPr="006C0089">
        <w:t>D</w:t>
      </w:r>
      <w:r w:rsidR="00570E15" w:rsidRPr="006C0089">
        <w:t xml:space="preserve">istrict </w:t>
      </w:r>
      <w:r w:rsidR="00265125" w:rsidRPr="006C0089">
        <w:t>I</w:t>
      </w:r>
      <w:r w:rsidR="00570E15" w:rsidRPr="006C0089">
        <w:t xml:space="preserve">nspectors to monitor the implementation of my final recommendations. </w:t>
      </w:r>
      <w:r w:rsidRPr="006C0089">
        <w:t xml:space="preserve"> </w:t>
      </w:r>
    </w:p>
    <w:p w14:paraId="3918B02A" w14:textId="042E94FF" w:rsidR="008D00B3" w:rsidRPr="006C0089" w:rsidRDefault="008D00B3" w:rsidP="002E05C5">
      <w:pPr>
        <w:pStyle w:val="Heading2"/>
      </w:pPr>
      <w:bookmarkStart w:id="18" w:name="_Toc170115746"/>
      <w:r w:rsidRPr="006C0089">
        <w:t>Facility facts</w:t>
      </w:r>
      <w:bookmarkEnd w:id="17"/>
      <w:bookmarkEnd w:id="18"/>
      <w:r w:rsidRPr="006C0089">
        <w:t xml:space="preserve"> </w:t>
      </w:r>
    </w:p>
    <w:p w14:paraId="10539E12" w14:textId="26A92E79" w:rsidR="000E3418" w:rsidRPr="006C0089" w:rsidRDefault="0074385A" w:rsidP="00217299">
      <w:pPr>
        <w:pStyle w:val="BodyText"/>
      </w:pPr>
      <w:r w:rsidRPr="006C0089">
        <w:t>He Puna Wa</w:t>
      </w:r>
      <w:r w:rsidR="009D79F4" w:rsidRPr="006C0089">
        <w:t xml:space="preserve">iora Mental Health </w:t>
      </w:r>
      <w:r w:rsidR="008D42CF" w:rsidRPr="006C0089">
        <w:t xml:space="preserve">Inpatient </w:t>
      </w:r>
      <w:r w:rsidR="009D79F4" w:rsidRPr="006C0089">
        <w:t xml:space="preserve">Unit </w:t>
      </w:r>
      <w:r w:rsidR="009D79F4" w:rsidRPr="006C0089">
        <w:rPr>
          <w:rStyle w:val="Hyperlink"/>
          <w:color w:val="auto"/>
          <w:u w:val="none"/>
        </w:rPr>
        <w:t>is a 35</w:t>
      </w:r>
      <w:r w:rsidR="00D03C30">
        <w:rPr>
          <w:rStyle w:val="Hyperlink"/>
          <w:color w:val="auto"/>
          <w:u w:val="none"/>
        </w:rPr>
        <w:t>-</w:t>
      </w:r>
      <w:r w:rsidR="009D79F4" w:rsidRPr="006C0089">
        <w:rPr>
          <w:rStyle w:val="Hyperlink"/>
          <w:color w:val="auto"/>
          <w:u w:val="none"/>
        </w:rPr>
        <w:t xml:space="preserve">bed </w:t>
      </w:r>
      <w:r w:rsidR="00061282" w:rsidRPr="006C0089">
        <w:rPr>
          <w:rStyle w:val="Hyperlink"/>
          <w:color w:val="auto"/>
          <w:u w:val="none"/>
        </w:rPr>
        <w:t xml:space="preserve">inpatient </w:t>
      </w:r>
      <w:r w:rsidR="009D79F4" w:rsidRPr="006C0089">
        <w:rPr>
          <w:rStyle w:val="Hyperlink"/>
          <w:color w:val="auto"/>
          <w:u w:val="none"/>
        </w:rPr>
        <w:t>acute mental health facility</w:t>
      </w:r>
      <w:r w:rsidR="008C19CF" w:rsidRPr="006C0089">
        <w:rPr>
          <w:color w:val="auto"/>
        </w:rPr>
        <w:t xml:space="preserve">. </w:t>
      </w:r>
      <w:r w:rsidR="00725654" w:rsidRPr="006C0089">
        <w:t>The Unit provides assessment, diagnosis, treatment, stabilisation, and crisis care for adult tāngata whai ora</w:t>
      </w:r>
      <w:r w:rsidR="00207E3F" w:rsidRPr="006C0089">
        <w:t>.</w:t>
      </w:r>
      <w:r w:rsidR="00725654" w:rsidRPr="006C0089">
        <w:rPr>
          <w:vertAlign w:val="superscript"/>
        </w:rPr>
        <w:footnoteReference w:id="5"/>
      </w:r>
      <w:r w:rsidR="00207E3F" w:rsidRPr="006C0089">
        <w:t xml:space="preserve"> </w:t>
      </w:r>
      <w:r w:rsidR="00725654" w:rsidRPr="006C0089">
        <w:rPr>
          <w:color w:val="auto"/>
        </w:rPr>
        <w:t>The Unit is located in the grounds of North Shore Hospital Campus, Auckland</w:t>
      </w:r>
      <w:r w:rsidR="00725654" w:rsidRPr="006C0089">
        <w:t xml:space="preserve">. </w:t>
      </w:r>
      <w:r w:rsidR="002978B1" w:rsidRPr="006C0089">
        <w:t>T</w:t>
      </w:r>
      <w:r w:rsidR="008D00B3" w:rsidRPr="006C0089">
        <w:t>he Uni</w:t>
      </w:r>
      <w:r w:rsidR="00AC2708" w:rsidRPr="006C0089">
        <w:t xml:space="preserve">t was </w:t>
      </w:r>
      <w:r w:rsidR="00A11976" w:rsidRPr="006C0089">
        <w:t xml:space="preserve">under the management of </w:t>
      </w:r>
      <w:r w:rsidR="00AC2708" w:rsidRPr="006C0089">
        <w:t xml:space="preserve">Te Whatu Ora </w:t>
      </w:r>
      <w:r w:rsidR="00666048" w:rsidRPr="006C0089">
        <w:t xml:space="preserve">- </w:t>
      </w:r>
      <w:r w:rsidR="00AC2708" w:rsidRPr="006C0089">
        <w:t>Waitemat</w:t>
      </w:r>
      <w:r w:rsidR="00AC2708" w:rsidRPr="006C0089">
        <w:rPr>
          <w:rFonts w:cs="Calibri"/>
        </w:rPr>
        <w:t>ā</w:t>
      </w:r>
      <w:r w:rsidR="00AC2708" w:rsidRPr="006C0089">
        <w:t>.</w:t>
      </w:r>
      <w:r w:rsidR="003959CF" w:rsidRPr="006C0089">
        <w:t xml:space="preserve"> </w:t>
      </w:r>
    </w:p>
    <w:p w14:paraId="61BAD499" w14:textId="20C03BD0" w:rsidR="000E3418" w:rsidRPr="006C0089" w:rsidRDefault="00F10550" w:rsidP="00217299">
      <w:pPr>
        <w:pStyle w:val="BodyText"/>
      </w:pPr>
      <w:r w:rsidRPr="006C0089">
        <w:t>The Unit is a ‘locked’ Unit, where the doors leading to the wards inside the Unit are locked</w:t>
      </w:r>
      <w:r w:rsidR="003D36A4" w:rsidRPr="006C0089">
        <w:t xml:space="preserve"> </w:t>
      </w:r>
      <w:r w:rsidRPr="006C0089">
        <w:t xml:space="preserve">as a permanent feature of service delivery. </w:t>
      </w:r>
      <w:r w:rsidR="003D36A4" w:rsidRPr="006C0089">
        <w:rPr>
          <w:rStyle w:val="Hyperlink"/>
          <w:color w:val="auto"/>
          <w:u w:val="none"/>
        </w:rPr>
        <w:t xml:space="preserve">Staff shortages </w:t>
      </w:r>
      <w:r w:rsidR="00E70222" w:rsidRPr="006C0089">
        <w:rPr>
          <w:rStyle w:val="Hyperlink"/>
          <w:color w:val="auto"/>
          <w:u w:val="none"/>
        </w:rPr>
        <w:t xml:space="preserve">– </w:t>
      </w:r>
      <w:r w:rsidR="003D36A4" w:rsidRPr="006C0089">
        <w:rPr>
          <w:rStyle w:val="Hyperlink"/>
          <w:color w:val="auto"/>
          <w:u w:val="none"/>
        </w:rPr>
        <w:t xml:space="preserve">due to </w:t>
      </w:r>
      <w:r w:rsidR="000E3418" w:rsidRPr="006C0089">
        <w:rPr>
          <w:rStyle w:val="Hyperlink"/>
          <w:color w:val="auto"/>
          <w:u w:val="none"/>
        </w:rPr>
        <w:t xml:space="preserve">staff </w:t>
      </w:r>
      <w:r w:rsidR="003D36A4" w:rsidRPr="006C0089">
        <w:rPr>
          <w:rStyle w:val="Hyperlink"/>
          <w:color w:val="auto"/>
          <w:u w:val="none"/>
        </w:rPr>
        <w:t xml:space="preserve">illness from COVID-19 </w:t>
      </w:r>
      <w:r w:rsidR="000E3418" w:rsidRPr="006C0089">
        <w:rPr>
          <w:rStyle w:val="Hyperlink"/>
          <w:color w:val="auto"/>
          <w:u w:val="none"/>
        </w:rPr>
        <w:t xml:space="preserve">as well as </w:t>
      </w:r>
      <w:r w:rsidR="003D36A4" w:rsidRPr="006C0089">
        <w:rPr>
          <w:rStyle w:val="Hyperlink"/>
          <w:color w:val="auto"/>
          <w:u w:val="none"/>
        </w:rPr>
        <w:t>recruitment challenges</w:t>
      </w:r>
      <w:r w:rsidR="00E70222" w:rsidRPr="006C0089">
        <w:rPr>
          <w:rStyle w:val="Hyperlink"/>
          <w:color w:val="auto"/>
          <w:u w:val="none"/>
        </w:rPr>
        <w:t xml:space="preserve"> –</w:t>
      </w:r>
      <w:r w:rsidR="003D36A4" w:rsidRPr="006C0089">
        <w:rPr>
          <w:rStyle w:val="Hyperlink"/>
          <w:color w:val="auto"/>
          <w:u w:val="none"/>
        </w:rPr>
        <w:t xml:space="preserve"> had resul</w:t>
      </w:r>
      <w:r w:rsidR="00140E1D" w:rsidRPr="006C0089">
        <w:rPr>
          <w:rStyle w:val="Hyperlink"/>
          <w:color w:val="auto"/>
          <w:u w:val="none"/>
        </w:rPr>
        <w:t>ted in reduced bed numbers,</w:t>
      </w:r>
      <w:r w:rsidR="003D36A4" w:rsidRPr="006C0089">
        <w:rPr>
          <w:rStyle w:val="Hyperlink"/>
          <w:color w:val="auto"/>
          <w:u w:val="none"/>
        </w:rPr>
        <w:t xml:space="preserve"> to 28</w:t>
      </w:r>
      <w:r w:rsidR="00140E1D" w:rsidRPr="006C0089">
        <w:rPr>
          <w:rStyle w:val="Hyperlink"/>
          <w:color w:val="auto"/>
          <w:u w:val="none"/>
        </w:rPr>
        <w:t xml:space="preserve"> from 35</w:t>
      </w:r>
      <w:r w:rsidR="003D36A4" w:rsidRPr="006C0089">
        <w:rPr>
          <w:rStyle w:val="Hyperlink"/>
          <w:color w:val="auto"/>
          <w:u w:val="none"/>
        </w:rPr>
        <w:t>. Inspectors were advised that the reduced bed numbers would continue in the near future to suppo</w:t>
      </w:r>
      <w:r w:rsidR="002978B1" w:rsidRPr="006C0089">
        <w:rPr>
          <w:rStyle w:val="Hyperlink"/>
          <w:color w:val="auto"/>
          <w:u w:val="none"/>
        </w:rPr>
        <w:t xml:space="preserve">rt the orientation of new staff, </w:t>
      </w:r>
      <w:r w:rsidR="00140E1D" w:rsidRPr="006C0089">
        <w:t>reduce staff turnover</w:t>
      </w:r>
      <w:r w:rsidR="00140E1D" w:rsidRPr="006C0089">
        <w:rPr>
          <w:rStyle w:val="Hyperlink"/>
          <w:color w:val="auto"/>
          <w:u w:val="none"/>
        </w:rPr>
        <w:t xml:space="preserve"> and support </w:t>
      </w:r>
      <w:r w:rsidR="003D36A4" w:rsidRPr="006C0089">
        <w:rPr>
          <w:rStyle w:val="Hyperlink"/>
          <w:color w:val="auto"/>
          <w:u w:val="none"/>
        </w:rPr>
        <w:t xml:space="preserve">the development </w:t>
      </w:r>
      <w:r w:rsidR="002978B1" w:rsidRPr="006C0089">
        <w:t>of a positive culture i</w:t>
      </w:r>
      <w:r w:rsidR="00140E1D" w:rsidRPr="006C0089">
        <w:t>n the Unit</w:t>
      </w:r>
      <w:r w:rsidR="003D36A4" w:rsidRPr="006C0089">
        <w:t>.</w:t>
      </w:r>
    </w:p>
    <w:p w14:paraId="4F3E7E1D" w14:textId="29E8965A" w:rsidR="00813730" w:rsidRPr="006C0089" w:rsidRDefault="003D36A4" w:rsidP="00217299">
      <w:pPr>
        <w:pStyle w:val="BodyText"/>
        <w:rPr>
          <w:color w:val="auto"/>
        </w:rPr>
      </w:pPr>
      <w:r w:rsidRPr="006C0089">
        <w:t>The</w:t>
      </w:r>
      <w:r w:rsidRPr="006C0089">
        <w:rPr>
          <w:color w:val="auto"/>
        </w:rPr>
        <w:t xml:space="preserve"> Unit</w:t>
      </w:r>
      <w:r w:rsidR="000E3418" w:rsidRPr="006C0089">
        <w:rPr>
          <w:color w:val="auto"/>
        </w:rPr>
        <w:t xml:space="preserve"> consisted </w:t>
      </w:r>
      <w:r w:rsidRPr="006C0089">
        <w:rPr>
          <w:color w:val="auto"/>
        </w:rPr>
        <w:t>of two</w:t>
      </w:r>
      <w:r w:rsidR="000E3418" w:rsidRPr="006C0089">
        <w:rPr>
          <w:color w:val="auto"/>
        </w:rPr>
        <w:t xml:space="preserve"> mixed gender</w:t>
      </w:r>
      <w:r w:rsidR="003A5ECF" w:rsidRPr="006C0089">
        <w:rPr>
          <w:color w:val="auto"/>
        </w:rPr>
        <w:t xml:space="preserve"> Wards (</w:t>
      </w:r>
      <w:r w:rsidR="00D36178" w:rsidRPr="006C0089">
        <w:rPr>
          <w:color w:val="auto"/>
        </w:rPr>
        <w:t>Rongoa and Rerewai</w:t>
      </w:r>
      <w:r w:rsidR="003A5ECF" w:rsidRPr="006C0089">
        <w:rPr>
          <w:color w:val="auto"/>
        </w:rPr>
        <w:t>)</w:t>
      </w:r>
      <w:r w:rsidR="00D36178" w:rsidRPr="006C0089">
        <w:rPr>
          <w:color w:val="auto"/>
        </w:rPr>
        <w:t xml:space="preserve">. Each </w:t>
      </w:r>
      <w:r w:rsidR="008500E1" w:rsidRPr="006C0089">
        <w:rPr>
          <w:color w:val="auto"/>
        </w:rPr>
        <w:t>W</w:t>
      </w:r>
      <w:r w:rsidR="00D36178" w:rsidRPr="006C0089">
        <w:rPr>
          <w:color w:val="auto"/>
        </w:rPr>
        <w:t xml:space="preserve">ard had </w:t>
      </w:r>
      <w:r w:rsidR="00F848B9" w:rsidRPr="006C0089">
        <w:rPr>
          <w:color w:val="auto"/>
        </w:rPr>
        <w:t xml:space="preserve">two wings, these </w:t>
      </w:r>
      <w:r w:rsidR="00CF6DB1" w:rsidRPr="006C0089">
        <w:rPr>
          <w:color w:val="auto"/>
        </w:rPr>
        <w:t xml:space="preserve">each </w:t>
      </w:r>
      <w:r w:rsidRPr="006C0089">
        <w:rPr>
          <w:color w:val="auto"/>
        </w:rPr>
        <w:t>i</w:t>
      </w:r>
      <w:r w:rsidR="000E3418" w:rsidRPr="006C0089">
        <w:rPr>
          <w:color w:val="auto"/>
        </w:rPr>
        <w:t>ncluded</w:t>
      </w:r>
      <w:r w:rsidRPr="006C0089">
        <w:rPr>
          <w:color w:val="auto"/>
        </w:rPr>
        <w:t xml:space="preserve"> a High Care Area</w:t>
      </w:r>
      <w:r w:rsidR="00C17AF7" w:rsidRPr="006C0089">
        <w:rPr>
          <w:color w:val="auto"/>
        </w:rPr>
        <w:t>.</w:t>
      </w:r>
      <w:r w:rsidR="00813730" w:rsidRPr="006C0089">
        <w:rPr>
          <w:rStyle w:val="FootnoteReference"/>
          <w:color w:val="auto"/>
        </w:rPr>
        <w:footnoteReference w:id="6"/>
      </w:r>
      <w:r w:rsidR="000E3418" w:rsidRPr="006C0089">
        <w:t xml:space="preserve"> </w:t>
      </w:r>
      <w:r w:rsidRPr="006C0089">
        <w:rPr>
          <w:color w:val="auto"/>
        </w:rPr>
        <w:t>One wing of the Rongoa</w:t>
      </w:r>
      <w:r w:rsidR="000E3418" w:rsidRPr="006C0089">
        <w:rPr>
          <w:color w:val="auto"/>
        </w:rPr>
        <w:t xml:space="preserve"> </w:t>
      </w:r>
      <w:r w:rsidR="008500E1" w:rsidRPr="006C0089">
        <w:rPr>
          <w:color w:val="auto"/>
        </w:rPr>
        <w:t>W</w:t>
      </w:r>
      <w:r w:rsidR="000E3418" w:rsidRPr="006C0089">
        <w:rPr>
          <w:color w:val="auto"/>
        </w:rPr>
        <w:t xml:space="preserve">ard, </w:t>
      </w:r>
      <w:r w:rsidRPr="006C0089">
        <w:rPr>
          <w:color w:val="auto"/>
        </w:rPr>
        <w:t xml:space="preserve">referred to as the Gold </w:t>
      </w:r>
      <w:r w:rsidR="00AE6FEF" w:rsidRPr="006C0089">
        <w:rPr>
          <w:color w:val="auto"/>
        </w:rPr>
        <w:t>W</w:t>
      </w:r>
      <w:r w:rsidRPr="006C0089">
        <w:rPr>
          <w:color w:val="auto"/>
        </w:rPr>
        <w:t>ing (</w:t>
      </w:r>
      <w:r w:rsidR="000E3418" w:rsidRPr="006C0089">
        <w:rPr>
          <w:color w:val="auto"/>
        </w:rPr>
        <w:t>9 beds)</w:t>
      </w:r>
      <w:r w:rsidR="002978B1" w:rsidRPr="006C0089">
        <w:rPr>
          <w:color w:val="auto"/>
        </w:rPr>
        <w:t>,</w:t>
      </w:r>
      <w:r w:rsidR="000E3418" w:rsidRPr="006C0089">
        <w:rPr>
          <w:color w:val="auto"/>
        </w:rPr>
        <w:t xml:space="preserve"> was</w:t>
      </w:r>
      <w:r w:rsidRPr="006C0089">
        <w:rPr>
          <w:color w:val="auto"/>
        </w:rPr>
        <w:t xml:space="preserve"> set up with a negative pressure syst</w:t>
      </w:r>
      <w:r w:rsidR="000E3418" w:rsidRPr="006C0089">
        <w:rPr>
          <w:color w:val="auto"/>
        </w:rPr>
        <w:t>em</w:t>
      </w:r>
      <w:r w:rsidR="00F17B5B" w:rsidRPr="006C0089">
        <w:rPr>
          <w:rStyle w:val="FootnoteReference"/>
          <w:color w:val="auto"/>
        </w:rPr>
        <w:footnoteReference w:id="7"/>
      </w:r>
      <w:r w:rsidR="000E3418" w:rsidRPr="006C0089">
        <w:rPr>
          <w:color w:val="auto"/>
        </w:rPr>
        <w:t xml:space="preserve"> to manage COVID-19 positive </w:t>
      </w:r>
      <w:r w:rsidR="00834674" w:rsidRPr="006C0089">
        <w:rPr>
          <w:color w:val="auto"/>
        </w:rPr>
        <w:t>tāngata</w:t>
      </w:r>
      <w:r w:rsidRPr="006C0089">
        <w:rPr>
          <w:color w:val="auto"/>
        </w:rPr>
        <w:t xml:space="preserve"> </w:t>
      </w:r>
      <w:r w:rsidR="000E3418" w:rsidRPr="006C0089">
        <w:rPr>
          <w:color w:val="auto"/>
        </w:rPr>
        <w:t>whai o</w:t>
      </w:r>
      <w:r w:rsidR="00AD3E9D" w:rsidRPr="006C0089">
        <w:rPr>
          <w:color w:val="auto"/>
        </w:rPr>
        <w:t xml:space="preserve">ra. </w:t>
      </w:r>
    </w:p>
    <w:p w14:paraId="7C4A6B36" w14:textId="15752C72" w:rsidR="000E3418" w:rsidRPr="006C0089" w:rsidRDefault="00CF6DB1" w:rsidP="00217299">
      <w:pPr>
        <w:pStyle w:val="BodyText"/>
      </w:pPr>
      <w:r w:rsidRPr="006C0089">
        <w:rPr>
          <w:color w:val="auto"/>
        </w:rPr>
        <w:t>Tāngata whai ora could</w:t>
      </w:r>
      <w:r w:rsidR="00725654" w:rsidRPr="006C0089">
        <w:rPr>
          <w:color w:val="auto"/>
        </w:rPr>
        <w:t xml:space="preserve"> be admitted to the Unit voluntarily or by orders made under</w:t>
      </w:r>
      <w:r w:rsidR="00725654" w:rsidRPr="006C0089">
        <w:t xml:space="preserve"> the Mental Health (Compulsory Assessment and Treatment) Act 1992 (the MHA)</w:t>
      </w:r>
      <w:r w:rsidR="001E0EF5" w:rsidRPr="006C0089">
        <w:t>.</w:t>
      </w:r>
      <w:r w:rsidR="00725654" w:rsidRPr="006C0089">
        <w:t xml:space="preserve"> </w:t>
      </w:r>
      <w:r w:rsidR="003D36A4" w:rsidRPr="006C0089">
        <w:t xml:space="preserve">At the time of inspection there were 26 </w:t>
      </w:r>
      <w:r w:rsidR="00725654" w:rsidRPr="006C0089">
        <w:t>t</w:t>
      </w:r>
      <w:r w:rsidR="00725654" w:rsidRPr="006C0089">
        <w:rPr>
          <w:color w:val="auto"/>
        </w:rPr>
        <w:t>āngata</w:t>
      </w:r>
      <w:r w:rsidRPr="006C0089">
        <w:rPr>
          <w:color w:val="auto"/>
        </w:rPr>
        <w:t xml:space="preserve"> whai o</w:t>
      </w:r>
      <w:r w:rsidR="003D36A4" w:rsidRPr="006C0089">
        <w:rPr>
          <w:color w:val="auto"/>
        </w:rPr>
        <w:t xml:space="preserve">ra </w:t>
      </w:r>
      <w:r w:rsidR="009F002D" w:rsidRPr="006C0089">
        <w:t>in the Unit</w:t>
      </w:r>
      <w:r w:rsidR="003C0B32" w:rsidRPr="006C0089">
        <w:t>.</w:t>
      </w:r>
      <w:r w:rsidR="009979E6" w:rsidRPr="006C0089">
        <w:t xml:space="preserve"> There were no t</w:t>
      </w:r>
      <w:r w:rsidR="009979E6" w:rsidRPr="006C0089">
        <w:rPr>
          <w:color w:val="auto"/>
        </w:rPr>
        <w:t>āngata whai ora with voluntary status</w:t>
      </w:r>
      <w:r w:rsidR="00193EF6" w:rsidRPr="006C0089">
        <w:rPr>
          <w:color w:val="auto"/>
        </w:rPr>
        <w:t xml:space="preserve">. </w:t>
      </w:r>
      <w:r w:rsidR="00E70222" w:rsidRPr="006C0089">
        <w:t>T</w:t>
      </w:r>
      <w:r w:rsidR="003A5ECF" w:rsidRPr="006C0089">
        <w:t>he average number of days i</w:t>
      </w:r>
      <w:r w:rsidR="003D36A4" w:rsidRPr="006C0089">
        <w:t xml:space="preserve">n the Unit was </w:t>
      </w:r>
      <w:r w:rsidR="00C17AF7" w:rsidRPr="006C0089">
        <w:t>23.13</w:t>
      </w:r>
      <w:r w:rsidR="003D36A4" w:rsidRPr="006C0089">
        <w:t xml:space="preserve"> days.</w:t>
      </w:r>
      <w:r w:rsidR="003D36A4" w:rsidRPr="006C0089">
        <w:rPr>
          <w:vertAlign w:val="superscript"/>
        </w:rPr>
        <w:footnoteReference w:id="8"/>
      </w:r>
      <w:r w:rsidR="003D36A4" w:rsidRPr="006C0089">
        <w:t xml:space="preserve"> </w:t>
      </w:r>
    </w:p>
    <w:p w14:paraId="3E407BA8" w14:textId="77777777" w:rsidR="00E749C5" w:rsidRPr="006C0089" w:rsidRDefault="00E749C5" w:rsidP="00E749C5">
      <w:pPr>
        <w:pStyle w:val="Heading3"/>
      </w:pPr>
      <w:bookmarkStart w:id="19" w:name="_Toc120276175"/>
      <w:r w:rsidRPr="006C0089">
        <w:t>References to the District Health Board</w:t>
      </w:r>
      <w:bookmarkEnd w:id="19"/>
    </w:p>
    <w:p w14:paraId="3FE46C13" w14:textId="68F400E9" w:rsidR="00E749C5" w:rsidRPr="006C0089" w:rsidRDefault="004C1B2E" w:rsidP="00217299">
      <w:pPr>
        <w:pStyle w:val="BodyText"/>
      </w:pPr>
      <w:r w:rsidRPr="006C0089">
        <w:t xml:space="preserve">At the time of the follow up inspection, the Unit was under the management </w:t>
      </w:r>
      <w:r w:rsidR="001C6D65" w:rsidRPr="006C0089">
        <w:t xml:space="preserve">of Te Whatu Ora - </w:t>
      </w:r>
      <w:r w:rsidRPr="006C0089">
        <w:t>Waitemat</w:t>
      </w:r>
      <w:r w:rsidRPr="006C0089">
        <w:rPr>
          <w:rFonts w:cs="Calibri"/>
        </w:rPr>
        <w:t>ā</w:t>
      </w:r>
      <w:r w:rsidRPr="006C0089">
        <w:t xml:space="preserve"> (formerly Waitemat</w:t>
      </w:r>
      <w:r w:rsidRPr="006C0089">
        <w:rPr>
          <w:rFonts w:cs="Calibri"/>
        </w:rPr>
        <w:t>ā</w:t>
      </w:r>
      <w:r w:rsidRPr="006C0089">
        <w:t xml:space="preserve"> District Health Board).</w:t>
      </w:r>
      <w:r w:rsidRPr="006C0089">
        <w:rPr>
          <w:rStyle w:val="FootnoteReference"/>
        </w:rPr>
        <w:footnoteReference w:id="9"/>
      </w:r>
      <w:r w:rsidRPr="006C0089">
        <w:t xml:space="preserve"> Throughout this report there are references to the DHB</w:t>
      </w:r>
      <w:r w:rsidR="001F63A3" w:rsidRPr="006C0089">
        <w:t xml:space="preserve"> as the responsible body at the time of </w:t>
      </w:r>
      <w:r w:rsidR="00666048" w:rsidRPr="006C0089">
        <w:t>my 2019</w:t>
      </w:r>
      <w:r w:rsidR="001F63A3" w:rsidRPr="006C0089">
        <w:t xml:space="preserve"> inspection. However, where appropriate, recommendations are made to Te Whatu Ora, as the responsible agency at the time of finalising this report.</w:t>
      </w:r>
    </w:p>
    <w:p w14:paraId="45863BF7" w14:textId="7889EBD2" w:rsidR="008D00B3" w:rsidRPr="006C0089" w:rsidRDefault="00912622" w:rsidP="002E05C5">
      <w:pPr>
        <w:pStyle w:val="Heading2"/>
      </w:pPr>
      <w:bookmarkStart w:id="20" w:name="_Toc116914029"/>
      <w:bookmarkStart w:id="21" w:name="_Toc170115747"/>
      <w:r w:rsidRPr="006C0089">
        <w:t>R</w:t>
      </w:r>
      <w:r w:rsidR="008D00B3" w:rsidRPr="006C0089">
        <w:t>ecommendations</w:t>
      </w:r>
      <w:bookmarkEnd w:id="20"/>
      <w:bookmarkEnd w:id="21"/>
      <w:r w:rsidR="008D00B3" w:rsidRPr="006C0089">
        <w:t xml:space="preserve"> </w:t>
      </w:r>
    </w:p>
    <w:p w14:paraId="62A136ED" w14:textId="34EFD5BF" w:rsidR="00B55C35" w:rsidRPr="006C0089" w:rsidRDefault="00B55C35" w:rsidP="008D00B3">
      <w:pPr>
        <w:spacing w:after="113"/>
        <w:ind w:left="-5"/>
        <w:rPr>
          <w:color w:val="000000"/>
        </w:rPr>
      </w:pPr>
      <w:r w:rsidRPr="006C0089">
        <w:t xml:space="preserve">My November 2019 inspection resulted in </w:t>
      </w:r>
      <w:r w:rsidR="00D03C30">
        <w:t>me</w:t>
      </w:r>
      <w:r w:rsidR="00D03C30" w:rsidRPr="006C0089">
        <w:t xml:space="preserve"> </w:t>
      </w:r>
      <w:r w:rsidRPr="006C0089">
        <w:t xml:space="preserve">making 15 recommendations. The DHB accepted </w:t>
      </w:r>
      <w:r w:rsidR="0037225E" w:rsidRPr="006C0089">
        <w:t>11</w:t>
      </w:r>
      <w:r w:rsidRPr="006C0089">
        <w:t xml:space="preserve"> of those recommendations</w:t>
      </w:r>
      <w:r w:rsidR="00B22A26" w:rsidRPr="006C0089">
        <w:t xml:space="preserve"> </w:t>
      </w:r>
      <w:r w:rsidRPr="006C0089">
        <w:t>and rejected four recommendations</w:t>
      </w:r>
      <w:r w:rsidR="00912622" w:rsidRPr="006C0089">
        <w:rPr>
          <w:color w:val="000000"/>
        </w:rPr>
        <w:t>.</w:t>
      </w:r>
    </w:p>
    <w:p w14:paraId="4DA86A11" w14:textId="41280A56" w:rsidR="00912622" w:rsidRPr="006C0089" w:rsidRDefault="00912622" w:rsidP="008D00B3">
      <w:pPr>
        <w:spacing w:after="113"/>
        <w:ind w:left="-5"/>
        <w:rPr>
          <w:color w:val="000000"/>
        </w:rPr>
      </w:pPr>
      <w:r w:rsidRPr="006C0089">
        <w:rPr>
          <w:color w:val="000000"/>
        </w:rPr>
        <w:t xml:space="preserve">As a result of my 2022 follow up inspection I consider that </w:t>
      </w:r>
      <w:r w:rsidR="00B22A26" w:rsidRPr="006C0089">
        <w:rPr>
          <w:color w:val="000000"/>
        </w:rPr>
        <w:t>three</w:t>
      </w:r>
      <w:r w:rsidRPr="006C0089">
        <w:rPr>
          <w:color w:val="000000"/>
        </w:rPr>
        <w:t xml:space="preserve"> of my recommendations </w:t>
      </w:r>
      <w:r w:rsidR="001F63A3" w:rsidRPr="006C0089">
        <w:rPr>
          <w:color w:val="000000"/>
        </w:rPr>
        <w:t xml:space="preserve">were </w:t>
      </w:r>
      <w:r w:rsidR="008D00B3" w:rsidRPr="006C0089">
        <w:rPr>
          <w:color w:val="000000"/>
        </w:rPr>
        <w:t xml:space="preserve">achieved, </w:t>
      </w:r>
      <w:r w:rsidR="00F81E08" w:rsidRPr="006C0089">
        <w:rPr>
          <w:color w:val="000000"/>
        </w:rPr>
        <w:t xml:space="preserve">seven </w:t>
      </w:r>
      <w:r w:rsidR="00E70222" w:rsidRPr="006C0089">
        <w:rPr>
          <w:color w:val="000000"/>
        </w:rPr>
        <w:t>were progressing but not yet achieved,</w:t>
      </w:r>
      <w:r w:rsidR="008D00B3" w:rsidRPr="006C0089">
        <w:rPr>
          <w:color w:val="000000"/>
        </w:rPr>
        <w:t xml:space="preserve"> </w:t>
      </w:r>
      <w:r w:rsidR="00A77EB6" w:rsidRPr="006C0089">
        <w:rPr>
          <w:color w:val="000000"/>
        </w:rPr>
        <w:t xml:space="preserve">and </w:t>
      </w:r>
      <w:r w:rsidR="00F81E08" w:rsidRPr="006C0089">
        <w:rPr>
          <w:color w:val="000000"/>
        </w:rPr>
        <w:t xml:space="preserve">five </w:t>
      </w:r>
      <w:r w:rsidR="008D00B3" w:rsidRPr="006C0089">
        <w:rPr>
          <w:color w:val="000000"/>
        </w:rPr>
        <w:t>were not achieved</w:t>
      </w:r>
      <w:r w:rsidR="00A77EB6" w:rsidRPr="006C0089">
        <w:rPr>
          <w:color w:val="000000"/>
        </w:rPr>
        <w:t>.</w:t>
      </w:r>
    </w:p>
    <w:p w14:paraId="49B7575C" w14:textId="19420EE9" w:rsidR="008D00B3" w:rsidRPr="006C0089" w:rsidRDefault="00912622" w:rsidP="00A77EB6">
      <w:pPr>
        <w:spacing w:after="92"/>
        <w:ind w:left="-5"/>
      </w:pPr>
      <w:r w:rsidRPr="006C0089">
        <w:rPr>
          <w:color w:val="000000"/>
        </w:rPr>
        <w:t xml:space="preserve">On the basis of my follow up inspection, I make </w:t>
      </w:r>
      <w:r w:rsidR="00951E45" w:rsidRPr="006C0089">
        <w:rPr>
          <w:color w:val="000000"/>
        </w:rPr>
        <w:t>eight</w:t>
      </w:r>
      <w:r w:rsidR="00B22A26" w:rsidRPr="006C0089">
        <w:rPr>
          <w:color w:val="000000"/>
        </w:rPr>
        <w:t xml:space="preserve"> </w:t>
      </w:r>
      <w:r w:rsidR="008D00B3" w:rsidRPr="006C0089">
        <w:rPr>
          <w:color w:val="000000"/>
        </w:rPr>
        <w:t>recomme</w:t>
      </w:r>
      <w:r w:rsidR="00B22A26" w:rsidRPr="006C0089">
        <w:rPr>
          <w:color w:val="000000"/>
        </w:rPr>
        <w:t>ndations</w:t>
      </w:r>
      <w:r w:rsidRPr="006C0089">
        <w:rPr>
          <w:color w:val="000000"/>
        </w:rPr>
        <w:t>. These are generally amended repeat recommendations from my 2019 inspection. I</w:t>
      </w:r>
      <w:r w:rsidR="001F63A3" w:rsidRPr="006C0089">
        <w:rPr>
          <w:color w:val="000000"/>
        </w:rPr>
        <w:t>n</w:t>
      </w:r>
      <w:r w:rsidRPr="006C0089">
        <w:rPr>
          <w:color w:val="000000"/>
        </w:rPr>
        <w:t xml:space="preserve"> addition</w:t>
      </w:r>
      <w:r w:rsidR="00BC3D72">
        <w:rPr>
          <w:color w:val="000000"/>
        </w:rPr>
        <w:t>,</w:t>
      </w:r>
      <w:r w:rsidRPr="006C0089">
        <w:rPr>
          <w:color w:val="000000"/>
        </w:rPr>
        <w:t xml:space="preserve"> I </w:t>
      </w:r>
      <w:r w:rsidR="002C1C93" w:rsidRPr="006C0089">
        <w:rPr>
          <w:color w:val="000000"/>
        </w:rPr>
        <w:t>make one</w:t>
      </w:r>
      <w:r w:rsidR="00B22A26" w:rsidRPr="006C0089">
        <w:rPr>
          <w:color w:val="000000"/>
        </w:rPr>
        <w:t xml:space="preserve"> </w:t>
      </w:r>
      <w:r w:rsidRPr="006C0089">
        <w:rPr>
          <w:color w:val="000000"/>
        </w:rPr>
        <w:t>new</w:t>
      </w:r>
      <w:r w:rsidR="00B22A26" w:rsidRPr="006C0089">
        <w:rPr>
          <w:color w:val="000000"/>
        </w:rPr>
        <w:t xml:space="preserve"> </w:t>
      </w:r>
      <w:r w:rsidR="002C1C93" w:rsidRPr="006C0089">
        <w:rPr>
          <w:color w:val="000000"/>
        </w:rPr>
        <w:t>recommendation</w:t>
      </w:r>
      <w:r w:rsidR="00A77EB6" w:rsidRPr="006C0089">
        <w:rPr>
          <w:color w:val="000000"/>
        </w:rPr>
        <w:t xml:space="preserve"> </w:t>
      </w:r>
      <w:r w:rsidR="00A77EB6" w:rsidRPr="006C0089">
        <w:t>as a result of my 2022 Inspection.</w:t>
      </w:r>
    </w:p>
    <w:p w14:paraId="0CD105C4" w14:textId="77777777" w:rsidR="008D00B3" w:rsidRPr="006C0089" w:rsidRDefault="008D00B3" w:rsidP="002E05C5">
      <w:pPr>
        <w:pStyle w:val="Heading3"/>
      </w:pPr>
      <w:bookmarkStart w:id="22" w:name="_Toc116914030"/>
      <w:r w:rsidRPr="006C0089">
        <w:t>Recommendations</w:t>
      </w:r>
      <w:bookmarkEnd w:id="22"/>
      <w:r w:rsidRPr="006C0089">
        <w:t xml:space="preserve"> </w:t>
      </w:r>
    </w:p>
    <w:p w14:paraId="49D6E7A6" w14:textId="1EB5C007" w:rsidR="008D00B3" w:rsidRPr="006C0089" w:rsidRDefault="008D00B3" w:rsidP="008D00B3">
      <w:pPr>
        <w:spacing w:after="273"/>
        <w:ind w:left="-5"/>
      </w:pPr>
      <w:r w:rsidRPr="006C0089">
        <w:t xml:space="preserve">I make the following recommendations as a result of the </w:t>
      </w:r>
      <w:r w:rsidR="00E10DCC" w:rsidRPr="006C0089">
        <w:t>follow up</w:t>
      </w:r>
      <w:r w:rsidRPr="006C0089">
        <w:t xml:space="preserve"> inspection:</w:t>
      </w:r>
      <w:r w:rsidRPr="006C0089">
        <w:rPr>
          <w:vertAlign w:val="superscript"/>
        </w:rPr>
        <w:footnoteReference w:id="10"/>
      </w:r>
      <w:r w:rsidR="00AD3E9D" w:rsidRPr="006C0089">
        <w:t xml:space="preserve"> </w:t>
      </w:r>
    </w:p>
    <w:p w14:paraId="5481B507" w14:textId="5679E4AA" w:rsidR="008D00B3" w:rsidRPr="006C0089" w:rsidRDefault="008D00B3" w:rsidP="008D00B3">
      <w:pPr>
        <w:spacing w:after="92"/>
        <w:ind w:left="-5"/>
        <w:rPr>
          <w:b/>
        </w:rPr>
      </w:pPr>
      <w:r w:rsidRPr="006C0089">
        <w:rPr>
          <w:b/>
        </w:rPr>
        <w:t xml:space="preserve">Recommendations </w:t>
      </w:r>
      <w:r w:rsidR="00B55C35" w:rsidRPr="006C0089">
        <w:rPr>
          <w:b/>
        </w:rPr>
        <w:t>to the management of the Unit</w:t>
      </w:r>
      <w:r w:rsidR="00B55C35" w:rsidRPr="006C0089">
        <w:t xml:space="preserve"> </w:t>
      </w:r>
    </w:p>
    <w:p w14:paraId="4A478FDD" w14:textId="186CCCE1" w:rsidR="00720AF3" w:rsidRPr="006C0089" w:rsidRDefault="00720AF3" w:rsidP="00720AF3">
      <w:pPr>
        <w:pStyle w:val="Boxsmallnumber-1"/>
        <w:numPr>
          <w:ilvl w:val="0"/>
          <w:numId w:val="28"/>
        </w:numPr>
        <w:tabs>
          <w:tab w:val="left" w:pos="720"/>
        </w:tabs>
      </w:pPr>
      <w:r w:rsidRPr="006C0089">
        <w:t xml:space="preserve">Unit management ensure tāngata whai ora in seclusion always have access to bathroom facilities. This is an amended repeat recommendation, </w:t>
      </w:r>
      <w:hyperlink w:anchor="Bathroom" w:history="1">
        <w:r w:rsidRPr="006C0089">
          <w:rPr>
            <w:rStyle w:val="Hyperlink"/>
          </w:rPr>
          <w:t>discussed on page 6 and</w:t>
        </w:r>
        <w:r w:rsidR="00D275F5" w:rsidRPr="006C0089">
          <w:rPr>
            <w:rStyle w:val="Hyperlink"/>
          </w:rPr>
          <w:t xml:space="preserve"> 7.</w:t>
        </w:r>
      </w:hyperlink>
    </w:p>
    <w:p w14:paraId="0F0AB2B3" w14:textId="20FC8C3D" w:rsidR="008D00B3" w:rsidRPr="006C0089" w:rsidRDefault="00487FCB" w:rsidP="00416387">
      <w:pPr>
        <w:pStyle w:val="ListParagraph"/>
        <w:numPr>
          <w:ilvl w:val="0"/>
          <w:numId w:val="28"/>
        </w:numPr>
        <w:spacing w:after="92" w:line="252" w:lineRule="auto"/>
      </w:pPr>
      <w:r w:rsidRPr="006C0089">
        <w:t xml:space="preserve">Unit management </w:t>
      </w:r>
      <w:r w:rsidR="00B22A26" w:rsidRPr="006C0089">
        <w:rPr>
          <w:color w:val="auto"/>
        </w:rPr>
        <w:t xml:space="preserve">ensure </w:t>
      </w:r>
      <w:r w:rsidR="00B22A26" w:rsidRPr="006C0089">
        <w:t xml:space="preserve">all seclusion paperwork is fully and accurately completed. This is a repeat recommendation, </w:t>
      </w:r>
      <w:hyperlink w:anchor="Paperwork" w:history="1">
        <w:r w:rsidR="00B22A26" w:rsidRPr="006C0089">
          <w:rPr>
            <w:rStyle w:val="Hyperlink"/>
          </w:rPr>
          <w:t>discussed on page</w:t>
        </w:r>
        <w:r w:rsidR="009D5173" w:rsidRPr="006C0089">
          <w:rPr>
            <w:rStyle w:val="Hyperlink"/>
          </w:rPr>
          <w:t xml:space="preserve"> 8</w:t>
        </w:r>
        <w:r w:rsidR="00B201DE" w:rsidRPr="006C0089">
          <w:rPr>
            <w:rStyle w:val="Hyperlink"/>
          </w:rPr>
          <w:t xml:space="preserve"> and </w:t>
        </w:r>
        <w:r w:rsidR="009D5173" w:rsidRPr="006C0089">
          <w:rPr>
            <w:rStyle w:val="Hyperlink"/>
          </w:rPr>
          <w:t>9</w:t>
        </w:r>
        <w:r w:rsidR="00B22A26" w:rsidRPr="006C0089">
          <w:rPr>
            <w:rStyle w:val="Hyperlink"/>
          </w:rPr>
          <w:t>.</w:t>
        </w:r>
      </w:hyperlink>
    </w:p>
    <w:p w14:paraId="152A4BEA" w14:textId="139CB1FE" w:rsidR="00B22A26" w:rsidRPr="006C0089" w:rsidRDefault="0016641E" w:rsidP="00B22A26">
      <w:pPr>
        <w:pStyle w:val="Bullet1"/>
        <w:numPr>
          <w:ilvl w:val="0"/>
          <w:numId w:val="28"/>
        </w:numPr>
      </w:pPr>
      <w:r w:rsidRPr="006C0089">
        <w:t xml:space="preserve">Unit management ensure tāngata whai ora have the opportunity to be actively involved in their treatment pathway </w:t>
      </w:r>
      <w:r w:rsidR="006211A2" w:rsidRPr="006C0089">
        <w:t xml:space="preserve">and </w:t>
      </w:r>
      <w:r w:rsidRPr="006C0089">
        <w:t>planning</w:t>
      </w:r>
      <w:r w:rsidR="006211A2" w:rsidRPr="006C0089">
        <w:t>, including</w:t>
      </w:r>
      <w:r w:rsidRPr="006C0089">
        <w:t xml:space="preserve"> </w:t>
      </w:r>
      <w:r w:rsidR="006211A2" w:rsidRPr="006C0089">
        <w:t xml:space="preserve">relevant </w:t>
      </w:r>
      <w:r w:rsidRPr="006C0089">
        <w:t xml:space="preserve">meetings. </w:t>
      </w:r>
      <w:r w:rsidR="00B22A26" w:rsidRPr="006C0089">
        <w:t xml:space="preserve">This is </w:t>
      </w:r>
      <w:r w:rsidR="00B201DE" w:rsidRPr="006C0089">
        <w:t>an</w:t>
      </w:r>
      <w:r w:rsidRPr="006C0089">
        <w:t xml:space="preserve"> </w:t>
      </w:r>
      <w:r w:rsidR="00B22A26" w:rsidRPr="006C0089">
        <w:t>a</w:t>
      </w:r>
      <w:r w:rsidRPr="006C0089">
        <w:t>mended</w:t>
      </w:r>
      <w:r w:rsidR="00B22A26" w:rsidRPr="006C0089">
        <w:t xml:space="preserve"> </w:t>
      </w:r>
      <w:r w:rsidR="003A5ECF" w:rsidRPr="006C0089">
        <w:t xml:space="preserve">repeat </w:t>
      </w:r>
      <w:r w:rsidR="00B22A26" w:rsidRPr="006C0089">
        <w:t xml:space="preserve">recommendation, </w:t>
      </w:r>
      <w:hyperlink w:anchor="TreatmentPathway" w:history="1">
        <w:r w:rsidR="00B22A26" w:rsidRPr="006C0089">
          <w:rPr>
            <w:rStyle w:val="Hyperlink"/>
          </w:rPr>
          <w:t xml:space="preserve">discussed on page </w:t>
        </w:r>
        <w:r w:rsidR="009D5173" w:rsidRPr="006C0089">
          <w:rPr>
            <w:rStyle w:val="Hyperlink"/>
          </w:rPr>
          <w:t>13</w:t>
        </w:r>
        <w:r w:rsidR="00B22A26" w:rsidRPr="006C0089">
          <w:rPr>
            <w:rStyle w:val="Hyperlink"/>
          </w:rPr>
          <w:t xml:space="preserve"> and </w:t>
        </w:r>
        <w:r w:rsidR="006211A2" w:rsidRPr="006C0089">
          <w:rPr>
            <w:rStyle w:val="Hyperlink"/>
          </w:rPr>
          <w:t>1</w:t>
        </w:r>
        <w:r w:rsidR="009D5173" w:rsidRPr="006C0089">
          <w:rPr>
            <w:rStyle w:val="Hyperlink"/>
          </w:rPr>
          <w:t>4</w:t>
        </w:r>
        <w:r w:rsidR="00B22A26" w:rsidRPr="006C0089">
          <w:rPr>
            <w:rStyle w:val="Hyperlink"/>
          </w:rPr>
          <w:t>.</w:t>
        </w:r>
      </w:hyperlink>
    </w:p>
    <w:p w14:paraId="0FC153E6" w14:textId="7D6508BA" w:rsidR="006211A2" w:rsidRPr="006C0089" w:rsidRDefault="00487FCB" w:rsidP="008A41C2">
      <w:pPr>
        <w:pStyle w:val="Bullet1"/>
        <w:numPr>
          <w:ilvl w:val="0"/>
          <w:numId w:val="28"/>
        </w:numPr>
        <w:tabs>
          <w:tab w:val="left" w:pos="720"/>
        </w:tabs>
      </w:pPr>
      <w:r w:rsidRPr="006C0089">
        <w:t xml:space="preserve">Unit management </w:t>
      </w:r>
      <w:r w:rsidR="00B22A26" w:rsidRPr="006C0089">
        <w:t xml:space="preserve">ensure </w:t>
      </w:r>
      <w:r w:rsidR="009D5173" w:rsidRPr="006C0089">
        <w:rPr>
          <w:szCs w:val="24"/>
        </w:rPr>
        <w:t xml:space="preserve">cultural support is always available to meet the needs of tāngata whai ora in the Unit. </w:t>
      </w:r>
      <w:r w:rsidR="006211A2" w:rsidRPr="006C0089">
        <w:t xml:space="preserve">This is an </w:t>
      </w:r>
      <w:r w:rsidR="003A5ECF" w:rsidRPr="006C0089">
        <w:t>amended repeat</w:t>
      </w:r>
      <w:r w:rsidR="00307C31" w:rsidRPr="006C0089">
        <w:t xml:space="preserve"> </w:t>
      </w:r>
      <w:r w:rsidR="00B22A26" w:rsidRPr="006C0089">
        <w:t>reco</w:t>
      </w:r>
      <w:r w:rsidR="006211A2" w:rsidRPr="006C0089">
        <w:t xml:space="preserve">mmendation, </w:t>
      </w:r>
      <w:hyperlink w:anchor="CulturalSupport" w:history="1">
        <w:r w:rsidR="006211A2" w:rsidRPr="006C0089">
          <w:rPr>
            <w:rStyle w:val="Hyperlink"/>
          </w:rPr>
          <w:t>discussed on page 1</w:t>
        </w:r>
        <w:r w:rsidR="009D5173" w:rsidRPr="006C0089">
          <w:rPr>
            <w:rStyle w:val="Hyperlink"/>
          </w:rPr>
          <w:t>5</w:t>
        </w:r>
        <w:r w:rsidR="006211A2" w:rsidRPr="006C0089">
          <w:rPr>
            <w:rStyle w:val="Hyperlink"/>
          </w:rPr>
          <w:t xml:space="preserve"> and 1</w:t>
        </w:r>
        <w:r w:rsidR="009D5173" w:rsidRPr="006C0089">
          <w:rPr>
            <w:rStyle w:val="Hyperlink"/>
          </w:rPr>
          <w:t>6</w:t>
        </w:r>
        <w:r w:rsidR="00B22A26" w:rsidRPr="006C0089">
          <w:rPr>
            <w:rStyle w:val="Hyperlink"/>
          </w:rPr>
          <w:t>.</w:t>
        </w:r>
      </w:hyperlink>
    </w:p>
    <w:p w14:paraId="7AD9E67B" w14:textId="280CD543" w:rsidR="006211A2" w:rsidRPr="006C0089" w:rsidRDefault="006211A2" w:rsidP="008A41C2">
      <w:pPr>
        <w:pStyle w:val="Bullet1"/>
        <w:numPr>
          <w:ilvl w:val="0"/>
          <w:numId w:val="28"/>
        </w:numPr>
        <w:tabs>
          <w:tab w:val="left" w:pos="720"/>
        </w:tabs>
      </w:pPr>
      <w:r w:rsidRPr="006C0089">
        <w:t>Unit management ensure the admissions experience and environment upholds the dignity, mana and wellbeing of t</w:t>
      </w:r>
      <w:r w:rsidR="003B2E52" w:rsidRPr="006C0089">
        <w:t>ā</w:t>
      </w:r>
      <w:r w:rsidRPr="006C0089">
        <w:t>ngata whai ora, and is culturally safe</w:t>
      </w:r>
      <w:r w:rsidR="00307C31" w:rsidRPr="006C0089">
        <w:t>.</w:t>
      </w:r>
      <w:r w:rsidRPr="006C0089">
        <w:t xml:space="preserve"> </w:t>
      </w:r>
      <w:r w:rsidR="00307C31" w:rsidRPr="006C0089">
        <w:t>T</w:t>
      </w:r>
      <w:r w:rsidRPr="006C0089">
        <w:t>his is an amended</w:t>
      </w:r>
      <w:r w:rsidR="00307C31" w:rsidRPr="006C0089">
        <w:t xml:space="preserve"> repeat</w:t>
      </w:r>
      <w:r w:rsidRPr="006C0089">
        <w:t xml:space="preserve"> recommendation, </w:t>
      </w:r>
      <w:hyperlink w:anchor="Admissions" w:history="1">
        <w:r w:rsidRPr="006C0089">
          <w:rPr>
            <w:rStyle w:val="Hyperlink"/>
          </w:rPr>
          <w:t>discussed on page 1</w:t>
        </w:r>
        <w:r w:rsidR="009D5173" w:rsidRPr="006C0089">
          <w:rPr>
            <w:rStyle w:val="Hyperlink"/>
          </w:rPr>
          <w:t>6</w:t>
        </w:r>
        <w:r w:rsidRPr="006C0089">
          <w:rPr>
            <w:rStyle w:val="Hyperlink"/>
          </w:rPr>
          <w:t xml:space="preserve"> and 1</w:t>
        </w:r>
        <w:r w:rsidR="009D5173" w:rsidRPr="006C0089">
          <w:rPr>
            <w:rStyle w:val="Hyperlink"/>
          </w:rPr>
          <w:t>7</w:t>
        </w:r>
        <w:r w:rsidRPr="006C0089">
          <w:rPr>
            <w:rStyle w:val="Hyperlink"/>
          </w:rPr>
          <w:t>.</w:t>
        </w:r>
      </w:hyperlink>
    </w:p>
    <w:p w14:paraId="08988B47" w14:textId="0F5E3167" w:rsidR="00B22A26" w:rsidRPr="006C0089" w:rsidRDefault="00487FCB" w:rsidP="008A41C2">
      <w:pPr>
        <w:pStyle w:val="Bullet1"/>
        <w:numPr>
          <w:ilvl w:val="0"/>
          <w:numId w:val="28"/>
        </w:numPr>
        <w:tabs>
          <w:tab w:val="left" w:pos="720"/>
        </w:tabs>
      </w:pPr>
      <w:r w:rsidRPr="006C0089">
        <w:t xml:space="preserve">Unit management </w:t>
      </w:r>
      <w:r w:rsidR="00B22A26" w:rsidRPr="006C0089">
        <w:t>ensure tāngata whai ora have access to a telephone, independent of staff, unless this is deemed unsafe based on individual risk assessments. This is a repeat recommendat</w:t>
      </w:r>
      <w:r w:rsidR="006211A2" w:rsidRPr="006C0089">
        <w:t xml:space="preserve">ion, </w:t>
      </w:r>
      <w:hyperlink w:anchor="Telephone" w:history="1">
        <w:r w:rsidR="009D5173" w:rsidRPr="006C0089">
          <w:rPr>
            <w:rStyle w:val="Hyperlink"/>
          </w:rPr>
          <w:t xml:space="preserve">discussed on page 18, 19 </w:t>
        </w:r>
        <w:r w:rsidR="006211A2" w:rsidRPr="006C0089">
          <w:rPr>
            <w:rStyle w:val="Hyperlink"/>
          </w:rPr>
          <w:t xml:space="preserve">and </w:t>
        </w:r>
        <w:r w:rsidR="009D5173" w:rsidRPr="006C0089">
          <w:rPr>
            <w:rStyle w:val="Hyperlink"/>
          </w:rPr>
          <w:t>20</w:t>
        </w:r>
        <w:r w:rsidR="00B22A26" w:rsidRPr="006C0089">
          <w:rPr>
            <w:rStyle w:val="Hyperlink"/>
          </w:rPr>
          <w:t>.</w:t>
        </w:r>
      </w:hyperlink>
    </w:p>
    <w:p w14:paraId="3C5BFE1C" w14:textId="6B682F23" w:rsidR="00720AF3" w:rsidRPr="006C0089" w:rsidRDefault="00720AF3" w:rsidP="00720AF3">
      <w:pPr>
        <w:pStyle w:val="Boxsmallnumber-1"/>
        <w:numPr>
          <w:ilvl w:val="0"/>
          <w:numId w:val="0"/>
        </w:numPr>
        <w:tabs>
          <w:tab w:val="left" w:pos="720"/>
        </w:tabs>
      </w:pPr>
      <w:r w:rsidRPr="006C0089">
        <w:rPr>
          <w:b/>
        </w:rPr>
        <w:t xml:space="preserve">Recommendations to Te Whatu Ora </w:t>
      </w:r>
    </w:p>
    <w:p w14:paraId="30305708" w14:textId="2B99E987" w:rsidR="00720AF3" w:rsidRPr="006C0089" w:rsidRDefault="00720AF3" w:rsidP="00720AF3">
      <w:pPr>
        <w:pStyle w:val="Boxsmallnumber-1"/>
        <w:numPr>
          <w:ilvl w:val="0"/>
          <w:numId w:val="28"/>
        </w:numPr>
        <w:tabs>
          <w:tab w:val="left" w:pos="720"/>
        </w:tabs>
        <w:rPr>
          <w:rStyle w:val="Hyperlink"/>
          <w:color w:val="1E1E1E"/>
          <w:u w:val="none"/>
        </w:rPr>
      </w:pPr>
      <w:r w:rsidRPr="006C0089">
        <w:t xml:space="preserve">Te Whatu Ora ensure rooms used for seclusion always </w:t>
      </w:r>
      <w:r w:rsidR="00255649" w:rsidRPr="006C0089">
        <w:t xml:space="preserve">allow for </w:t>
      </w:r>
      <w:r w:rsidRPr="006C0089">
        <w:t xml:space="preserve">independent access to bathroom facilities. This is an amended repeat recommendation, </w:t>
      </w:r>
      <w:hyperlink w:anchor="Bathroom" w:history="1">
        <w:r w:rsidRPr="006C0089">
          <w:rPr>
            <w:rStyle w:val="Hyperlink"/>
          </w:rPr>
          <w:t>discussed on page 6 and 7.</w:t>
        </w:r>
      </w:hyperlink>
    </w:p>
    <w:p w14:paraId="1DA6C451" w14:textId="77777777" w:rsidR="004D09FE" w:rsidRPr="006C0089" w:rsidRDefault="004D09FE" w:rsidP="00203EEE">
      <w:pPr>
        <w:pStyle w:val="Boxsmallnumber-1"/>
        <w:numPr>
          <w:ilvl w:val="0"/>
          <w:numId w:val="0"/>
        </w:numPr>
        <w:tabs>
          <w:tab w:val="left" w:pos="720"/>
        </w:tabs>
        <w:ind w:left="360"/>
      </w:pPr>
    </w:p>
    <w:p w14:paraId="159E9960" w14:textId="0A4F595E" w:rsidR="006211A2" w:rsidRPr="006C0089" w:rsidRDefault="00307C31" w:rsidP="006211A2">
      <w:pPr>
        <w:pStyle w:val="Boxsmallnumber-1"/>
        <w:numPr>
          <w:ilvl w:val="0"/>
          <w:numId w:val="0"/>
        </w:numPr>
        <w:tabs>
          <w:tab w:val="left" w:pos="720"/>
        </w:tabs>
      </w:pPr>
      <w:r w:rsidRPr="006C0089">
        <w:rPr>
          <w:b/>
        </w:rPr>
        <w:t>R</w:t>
      </w:r>
      <w:r w:rsidR="006211A2" w:rsidRPr="006C0089">
        <w:rPr>
          <w:b/>
        </w:rPr>
        <w:t>ecommendation</w:t>
      </w:r>
      <w:r w:rsidRPr="006C0089">
        <w:rPr>
          <w:b/>
        </w:rPr>
        <w:t>s</w:t>
      </w:r>
      <w:r w:rsidR="006211A2" w:rsidRPr="006C0089">
        <w:rPr>
          <w:b/>
        </w:rPr>
        <w:t xml:space="preserve"> to the management of the Unit and</w:t>
      </w:r>
      <w:r w:rsidR="0093237F" w:rsidRPr="006C0089">
        <w:rPr>
          <w:b/>
        </w:rPr>
        <w:t xml:space="preserve"> </w:t>
      </w:r>
      <w:r w:rsidR="006D3F31" w:rsidRPr="006C0089">
        <w:rPr>
          <w:b/>
        </w:rPr>
        <w:t xml:space="preserve">Te Whatu Ora </w:t>
      </w:r>
    </w:p>
    <w:p w14:paraId="4239BE99" w14:textId="4AA0A0DB" w:rsidR="007F5C28" w:rsidRPr="006C0089" w:rsidRDefault="007F5C28" w:rsidP="00FD5E8B">
      <w:pPr>
        <w:pStyle w:val="Boxsmallnumber-1"/>
        <w:numPr>
          <w:ilvl w:val="0"/>
          <w:numId w:val="28"/>
        </w:numPr>
        <w:tabs>
          <w:tab w:val="left" w:pos="720"/>
        </w:tabs>
      </w:pPr>
      <w:r w:rsidRPr="006C0089">
        <w:t>U</w:t>
      </w:r>
      <w:r w:rsidR="001C6D65" w:rsidRPr="006C0089">
        <w:t xml:space="preserve">nit management and Te Whatu Ora </w:t>
      </w:r>
      <w:r w:rsidR="009D5173" w:rsidRPr="006C0089">
        <w:t xml:space="preserve">ensure that staffing levels do not negatively impact on staff or on the safety, dignity, and wellbeing of tāngata whai ora. </w:t>
      </w:r>
      <w:r w:rsidR="005A74C9" w:rsidRPr="006C0089">
        <w:t>This is an amended</w:t>
      </w:r>
      <w:r w:rsidR="00307C31" w:rsidRPr="006C0089">
        <w:t xml:space="preserve"> repeat</w:t>
      </w:r>
      <w:r w:rsidR="005A74C9" w:rsidRPr="006C0089">
        <w:t xml:space="preserve"> recommendation</w:t>
      </w:r>
      <w:r w:rsidR="008E4D67" w:rsidRPr="006C0089">
        <w:t>,</w:t>
      </w:r>
      <w:r w:rsidR="00307C31" w:rsidRPr="006C0089">
        <w:t xml:space="preserve"> </w:t>
      </w:r>
      <w:hyperlink w:anchor="Staffing" w:history="1">
        <w:r w:rsidRPr="006C0089">
          <w:rPr>
            <w:rStyle w:val="Hyperlink"/>
          </w:rPr>
          <w:t xml:space="preserve">discussed </w:t>
        </w:r>
        <w:r w:rsidR="008E4D67" w:rsidRPr="006C0089">
          <w:rPr>
            <w:rStyle w:val="Hyperlink"/>
          </w:rPr>
          <w:t xml:space="preserve">on page </w:t>
        </w:r>
        <w:r w:rsidR="00A45A4A" w:rsidRPr="006C0089">
          <w:rPr>
            <w:rStyle w:val="Hyperlink"/>
          </w:rPr>
          <w:t xml:space="preserve">20, 21, </w:t>
        </w:r>
        <w:r w:rsidR="008E4D67" w:rsidRPr="006C0089">
          <w:rPr>
            <w:rStyle w:val="Hyperlink"/>
          </w:rPr>
          <w:t xml:space="preserve">and </w:t>
        </w:r>
        <w:r w:rsidR="00A45A4A" w:rsidRPr="006C0089">
          <w:rPr>
            <w:rStyle w:val="Hyperlink"/>
          </w:rPr>
          <w:t>22</w:t>
        </w:r>
        <w:r w:rsidRPr="006C0089">
          <w:rPr>
            <w:rStyle w:val="Hyperlink"/>
          </w:rPr>
          <w:t>.</w:t>
        </w:r>
      </w:hyperlink>
    </w:p>
    <w:p w14:paraId="287638BF" w14:textId="7603C0EC" w:rsidR="008D00B3" w:rsidRPr="006C0089" w:rsidRDefault="002C1C93" w:rsidP="008D00B3">
      <w:pPr>
        <w:spacing w:after="92"/>
        <w:ind w:left="-5"/>
      </w:pPr>
      <w:r w:rsidRPr="006C0089">
        <w:t>I make the following</w:t>
      </w:r>
      <w:r w:rsidR="00FD5E8B" w:rsidRPr="006C0089">
        <w:t xml:space="preserve"> new</w:t>
      </w:r>
      <w:r w:rsidRPr="006C0089">
        <w:t xml:space="preserve"> recommendation to the management of the Unit as a result of </w:t>
      </w:r>
      <w:r w:rsidR="00307C31" w:rsidRPr="006C0089">
        <w:t xml:space="preserve">my </w:t>
      </w:r>
      <w:r w:rsidR="00B22A26" w:rsidRPr="006C0089">
        <w:t>20</w:t>
      </w:r>
      <w:r w:rsidR="00FD5E8B" w:rsidRPr="006C0089">
        <w:t>22 Inspection.</w:t>
      </w:r>
    </w:p>
    <w:p w14:paraId="5A6BC84F" w14:textId="0F47CFF9" w:rsidR="008D00B3" w:rsidRPr="006C0089" w:rsidRDefault="00487FCB" w:rsidP="00416387">
      <w:pPr>
        <w:pStyle w:val="ListParagraph"/>
        <w:numPr>
          <w:ilvl w:val="0"/>
          <w:numId w:val="28"/>
        </w:numPr>
        <w:spacing w:after="92" w:line="252" w:lineRule="auto"/>
      </w:pPr>
      <w:r w:rsidRPr="006C0089">
        <w:t xml:space="preserve">Unit management </w:t>
      </w:r>
      <w:r w:rsidR="00255649" w:rsidRPr="006C0089">
        <w:t xml:space="preserve">only use seclusion and restraint as defined in law. </w:t>
      </w:r>
      <w:hyperlink w:anchor="OpenSeclusion" w:history="1">
        <w:r w:rsidR="00B22A26" w:rsidRPr="006C0089">
          <w:rPr>
            <w:rStyle w:val="Hyperlink"/>
          </w:rPr>
          <w:t xml:space="preserve">Discussed on page </w:t>
        </w:r>
        <w:r w:rsidR="00A45A4A" w:rsidRPr="006C0089">
          <w:rPr>
            <w:rStyle w:val="Hyperlink"/>
          </w:rPr>
          <w:t>22</w:t>
        </w:r>
        <w:r w:rsidR="00D275F5" w:rsidRPr="006C0089">
          <w:rPr>
            <w:rStyle w:val="Hyperlink"/>
          </w:rPr>
          <w:t xml:space="preserve"> and </w:t>
        </w:r>
        <w:r w:rsidR="00A45A4A" w:rsidRPr="006C0089">
          <w:rPr>
            <w:rStyle w:val="Hyperlink"/>
          </w:rPr>
          <w:t>23</w:t>
        </w:r>
        <w:r w:rsidR="00B22A26" w:rsidRPr="006C0089">
          <w:rPr>
            <w:rStyle w:val="Hyperlink"/>
          </w:rPr>
          <w:t>.</w:t>
        </w:r>
      </w:hyperlink>
    </w:p>
    <w:p w14:paraId="73F05F21" w14:textId="77777777" w:rsidR="008D00B3" w:rsidRPr="006C0089" w:rsidRDefault="008D00B3" w:rsidP="00AD10D1">
      <w:pPr>
        <w:pStyle w:val="Heading1"/>
        <w:spacing w:after="240"/>
        <w:ind w:left="-5"/>
      </w:pPr>
      <w:bookmarkStart w:id="23" w:name="_Toc116914031"/>
      <w:bookmarkStart w:id="24" w:name="_Toc170115748"/>
      <w:r w:rsidRPr="006C0089">
        <w:t>Discussion of key observations</w:t>
      </w:r>
      <w:bookmarkEnd w:id="23"/>
      <w:bookmarkEnd w:id="24"/>
      <w:r w:rsidRPr="006C0089">
        <w:t xml:space="preserve"> </w:t>
      </w:r>
    </w:p>
    <w:p w14:paraId="677E6C6C" w14:textId="316E0FFF" w:rsidR="008D00B3" w:rsidRPr="006C0089" w:rsidRDefault="008D00B3" w:rsidP="00AD10D1">
      <w:pPr>
        <w:pStyle w:val="Heading2"/>
        <w:spacing w:before="240" w:after="240"/>
      </w:pPr>
      <w:bookmarkStart w:id="25" w:name="_Toc116914032"/>
      <w:bookmarkStart w:id="26" w:name="_Toc170115749"/>
      <w:r w:rsidRPr="006C0089">
        <w:t>Treatment</w:t>
      </w:r>
      <w:bookmarkEnd w:id="25"/>
      <w:bookmarkEnd w:id="26"/>
      <w:r w:rsidRPr="006C0089">
        <w:t xml:space="preserve"> </w:t>
      </w:r>
    </w:p>
    <w:p w14:paraId="6668698C" w14:textId="26F16B42" w:rsidR="00AD10D1" w:rsidRPr="006C0089" w:rsidRDefault="00AD10D1" w:rsidP="00AD10D1">
      <w:pPr>
        <w:pStyle w:val="Heading3"/>
        <w:spacing w:before="240"/>
      </w:pPr>
      <w:bookmarkStart w:id="27" w:name="_Seclusion_facilities"/>
      <w:bookmarkEnd w:id="27"/>
      <w:r w:rsidRPr="006C0089">
        <w:t>Seclusion facilities</w:t>
      </w:r>
    </w:p>
    <w:p w14:paraId="16AC87EA" w14:textId="3BA6A451" w:rsidR="00FF0966" w:rsidRPr="006C0089" w:rsidRDefault="00FF0966" w:rsidP="00E377C5">
      <w:pPr>
        <w:pStyle w:val="BodyText"/>
      </w:pPr>
      <w:r w:rsidRPr="006C0089">
        <w:t xml:space="preserve">In my 2019 inspection report, I </w:t>
      </w:r>
      <w:r w:rsidR="008A41C2" w:rsidRPr="006C0089">
        <w:t xml:space="preserve">stated </w:t>
      </w:r>
      <w:r w:rsidRPr="006C0089">
        <w:t>that the seclusion facilities</w:t>
      </w:r>
      <w:r w:rsidR="008A41C2" w:rsidRPr="006C0089">
        <w:rPr>
          <w:rStyle w:val="FootnoteReference"/>
        </w:rPr>
        <w:footnoteReference w:id="11"/>
      </w:r>
      <w:r w:rsidRPr="006C0089">
        <w:t xml:space="preserve"> were not fit for purpose, and made a number of recommendations, </w:t>
      </w:r>
      <w:r w:rsidR="008A41C2" w:rsidRPr="006C0089">
        <w:t xml:space="preserve">discussed </w:t>
      </w:r>
      <w:r w:rsidRPr="006C0089">
        <w:t>below.</w:t>
      </w:r>
    </w:p>
    <w:p w14:paraId="5FED68CC" w14:textId="5A3C62AF" w:rsidR="00FF0966" w:rsidRPr="006C0089" w:rsidRDefault="00FF0966" w:rsidP="00FF0966">
      <w:pPr>
        <w:pStyle w:val="BodyText"/>
      </w:pPr>
      <w:r w:rsidRPr="006C0089">
        <w:t>The same seclusion</w:t>
      </w:r>
      <w:r w:rsidR="005F5778" w:rsidRPr="006C0089">
        <w:t xml:space="preserve"> </w:t>
      </w:r>
      <w:r w:rsidRPr="006C0089">
        <w:t>room was in use at the time of my 2022 inspection. It was located in the low stimulus area of one of the High Care Areas. The room contained a bed base and mattress, and an alarm to call for assistance. A window set up high in the wall provided the only natural light. There was no access to fresh air.</w:t>
      </w:r>
    </w:p>
    <w:p w14:paraId="08A9C274" w14:textId="552F70A3" w:rsidR="00FF0966" w:rsidRPr="006C0089" w:rsidRDefault="00FF0966" w:rsidP="00E377C5">
      <w:pPr>
        <w:pStyle w:val="BodyText"/>
      </w:pPr>
      <w:r w:rsidRPr="006C0089">
        <w:t>There was a separate bathroom (shower and toilet) in the low stimulus area. However, the seclusion room did not have direct access to the bathroom</w:t>
      </w:r>
      <w:r w:rsidR="008A41C2" w:rsidRPr="006C0089">
        <w:t>,</w:t>
      </w:r>
      <w:r w:rsidRPr="006C0089">
        <w:t xml:space="preserve"> and cardboard receptacles were used for toileting.</w:t>
      </w:r>
    </w:p>
    <w:p w14:paraId="28223FA5" w14:textId="475D8B72" w:rsidR="00D61992" w:rsidRPr="006C0089" w:rsidRDefault="00FF0966" w:rsidP="00E377C5">
      <w:pPr>
        <w:pStyle w:val="BodyText"/>
      </w:pPr>
      <w:r w:rsidRPr="006C0089">
        <w:t>I still consider that the seclusion room is not fit for purpose.</w:t>
      </w:r>
    </w:p>
    <w:p w14:paraId="781259C0" w14:textId="393A6B61" w:rsidR="008D00B3" w:rsidRPr="006C0089" w:rsidRDefault="0017027A" w:rsidP="008D00B3">
      <w:pPr>
        <w:spacing w:after="79" w:line="250" w:lineRule="auto"/>
        <w:ind w:left="-5"/>
        <w:rPr>
          <w:sz w:val="26"/>
          <w:szCs w:val="26"/>
        </w:rPr>
      </w:pPr>
      <w:r>
        <w:rPr>
          <w:rStyle w:val="Heading4Char"/>
        </w:rPr>
        <w:t xml:space="preserve">Recommendation 1 from </w:t>
      </w:r>
      <w:r w:rsidR="00525102" w:rsidRPr="006C0089">
        <w:rPr>
          <w:rStyle w:val="Heading4Char"/>
        </w:rPr>
        <w:t>2019</w:t>
      </w:r>
      <w:r w:rsidR="008D00B3" w:rsidRPr="006C0089">
        <w:rPr>
          <w:rStyle w:val="Heading4Char"/>
        </w:rPr>
        <w:t xml:space="preserve"> </w:t>
      </w:r>
      <w:r w:rsidR="0016787F" w:rsidRPr="006C0089">
        <w:rPr>
          <w:rStyle w:val="Heading4Char"/>
        </w:rPr>
        <w:t xml:space="preserve">inspection </w:t>
      </w:r>
      <w:r w:rsidR="008D00B3" w:rsidRPr="006C0089">
        <w:rPr>
          <w:b/>
          <w:sz w:val="26"/>
          <w:szCs w:val="26"/>
        </w:rPr>
        <w:t xml:space="preserve">- </w:t>
      </w:r>
      <w:r w:rsidR="00725654" w:rsidRPr="006C0089">
        <w:rPr>
          <w:b/>
          <w:sz w:val="26"/>
          <w:szCs w:val="26"/>
        </w:rPr>
        <w:t>Measures are taken to ensure that service users in seclusion cannot be viewed when urinating or defecating.</w:t>
      </w:r>
    </w:p>
    <w:p w14:paraId="730A17E1" w14:textId="015B6347" w:rsidR="008D00B3" w:rsidRPr="006C0089" w:rsidRDefault="008D00B3" w:rsidP="00416387">
      <w:pPr>
        <w:pStyle w:val="Bullet1"/>
        <w:numPr>
          <w:ilvl w:val="0"/>
          <w:numId w:val="28"/>
        </w:numPr>
      </w:pPr>
      <w:r w:rsidRPr="006C0089">
        <w:t xml:space="preserve">This recommendation was </w:t>
      </w:r>
      <w:r w:rsidR="00525102" w:rsidRPr="006C0089">
        <w:t>rejected by the Unit.</w:t>
      </w:r>
    </w:p>
    <w:p w14:paraId="6542F9C3" w14:textId="0658391F" w:rsidR="008D00B3" w:rsidRPr="006C0089" w:rsidRDefault="008D00B3" w:rsidP="00416387">
      <w:pPr>
        <w:pStyle w:val="Bullet1"/>
        <w:numPr>
          <w:ilvl w:val="0"/>
          <w:numId w:val="28"/>
        </w:numPr>
      </w:pPr>
      <w:r w:rsidRPr="006C0089">
        <w:t xml:space="preserve">On my follow up inspection I </w:t>
      </w:r>
      <w:r w:rsidR="003938D0" w:rsidRPr="006C0089">
        <w:t xml:space="preserve">considered </w:t>
      </w:r>
      <w:r w:rsidRPr="006C0089">
        <w:t xml:space="preserve">that my recommendation </w:t>
      </w:r>
      <w:r w:rsidRPr="006C0089">
        <w:rPr>
          <w:color w:val="000000"/>
        </w:rPr>
        <w:t>was</w:t>
      </w:r>
      <w:r w:rsidRPr="006C0089">
        <w:rPr>
          <w:b/>
          <w:color w:val="000000"/>
        </w:rPr>
        <w:t xml:space="preserve"> </w:t>
      </w:r>
      <w:r w:rsidR="001631DB" w:rsidRPr="006C0089">
        <w:rPr>
          <w:b/>
        </w:rPr>
        <w:t xml:space="preserve">progressing but not </w:t>
      </w:r>
      <w:r w:rsidR="00D24420" w:rsidRPr="006C0089">
        <w:rPr>
          <w:b/>
        </w:rPr>
        <w:t xml:space="preserve">yet </w:t>
      </w:r>
      <w:r w:rsidR="001631DB" w:rsidRPr="006C0089">
        <w:rPr>
          <w:b/>
        </w:rPr>
        <w:t>achieved.</w:t>
      </w:r>
    </w:p>
    <w:p w14:paraId="67B2572D" w14:textId="08BC64C2" w:rsidR="00DE4956" w:rsidRPr="006C0089" w:rsidRDefault="008A41C2" w:rsidP="00396487">
      <w:pPr>
        <w:pStyle w:val="BodyText"/>
      </w:pPr>
      <w:r w:rsidRPr="006C0089">
        <w:t>T</w:t>
      </w:r>
      <w:r w:rsidR="00851844" w:rsidRPr="006C0089">
        <w:t xml:space="preserve">he </w:t>
      </w:r>
      <w:r w:rsidR="00396487" w:rsidRPr="006C0089">
        <w:t xml:space="preserve">seclusion room could be looked into </w:t>
      </w:r>
      <w:r w:rsidR="00851844" w:rsidRPr="006C0089">
        <w:t>through a small</w:t>
      </w:r>
      <w:r w:rsidRPr="006C0089">
        <w:t xml:space="preserve"> window i</w:t>
      </w:r>
      <w:r w:rsidR="00AF3955" w:rsidRPr="006C0089">
        <w:t>n the door</w:t>
      </w:r>
      <w:r w:rsidR="00851844" w:rsidRPr="006C0089">
        <w:t xml:space="preserve">, and </w:t>
      </w:r>
      <w:r w:rsidR="00396487" w:rsidRPr="006C0089">
        <w:t xml:space="preserve">through </w:t>
      </w:r>
      <w:r w:rsidR="00851844" w:rsidRPr="006C0089">
        <w:t xml:space="preserve">a </w:t>
      </w:r>
      <w:r w:rsidR="00396487" w:rsidRPr="006C0089">
        <w:t xml:space="preserve">small window between the </w:t>
      </w:r>
      <w:r w:rsidR="00851844" w:rsidRPr="006C0089">
        <w:t xml:space="preserve">observation room </w:t>
      </w:r>
      <w:r w:rsidR="00396487" w:rsidRPr="006C0089">
        <w:t xml:space="preserve">and </w:t>
      </w:r>
      <w:r w:rsidR="00851844" w:rsidRPr="006C0089">
        <w:t>seclusion room</w:t>
      </w:r>
      <w:r w:rsidR="00396487" w:rsidRPr="006C0089">
        <w:t>.</w:t>
      </w:r>
      <w:r w:rsidR="00851844" w:rsidRPr="006C0089">
        <w:t xml:space="preserve"> </w:t>
      </w:r>
      <w:r w:rsidR="00660E3C" w:rsidRPr="006C0089">
        <w:t>Although there were blinds over these windows, they were controlled from the outside of the seclusion room</w:t>
      </w:r>
      <w:r w:rsidR="002978B1" w:rsidRPr="006C0089">
        <w:t>.</w:t>
      </w:r>
      <w:r w:rsidR="00387AF5" w:rsidRPr="006C0089">
        <w:t xml:space="preserve"> </w:t>
      </w:r>
      <w:r w:rsidR="002978B1" w:rsidRPr="006C0089">
        <w:t>S</w:t>
      </w:r>
      <w:r w:rsidR="00396487" w:rsidRPr="006C0089">
        <w:t xml:space="preserve">taff could potentially observe a person in seclusion </w:t>
      </w:r>
      <w:r w:rsidR="00061EB2" w:rsidRPr="006C0089">
        <w:t>while toileting</w:t>
      </w:r>
      <w:r w:rsidR="00396487" w:rsidRPr="006C0089">
        <w:t xml:space="preserve"> if the </w:t>
      </w:r>
      <w:r w:rsidR="00061EB2" w:rsidRPr="006C0089">
        <w:t>blind</w:t>
      </w:r>
      <w:r w:rsidR="00EB242C" w:rsidRPr="006C0089">
        <w:t>s</w:t>
      </w:r>
      <w:r w:rsidR="00061EB2" w:rsidRPr="006C0089">
        <w:t xml:space="preserve"> in the observation window </w:t>
      </w:r>
      <w:r w:rsidR="00396487" w:rsidRPr="006C0089">
        <w:t xml:space="preserve">were rolled up. </w:t>
      </w:r>
    </w:p>
    <w:p w14:paraId="0F4A8F16" w14:textId="4289C040" w:rsidR="008D76F5" w:rsidRPr="006C0089" w:rsidRDefault="00377163" w:rsidP="00396487">
      <w:pPr>
        <w:pStyle w:val="BodyText"/>
      </w:pPr>
      <w:r w:rsidRPr="006C0089">
        <w:t xml:space="preserve">Inspectors were advised </w:t>
      </w:r>
      <w:r w:rsidR="001F63A3" w:rsidRPr="006C0089">
        <w:t xml:space="preserve">that, </w:t>
      </w:r>
      <w:r w:rsidRPr="006C0089">
        <w:t xml:space="preserve">as a result of my last inspection and recommendation, staff were </w:t>
      </w:r>
      <w:r w:rsidR="001727CB" w:rsidRPr="006C0089">
        <w:t xml:space="preserve">now </w:t>
      </w:r>
      <w:r w:rsidRPr="006C0089">
        <w:t xml:space="preserve">expected to </w:t>
      </w:r>
      <w:r w:rsidR="00176E1F" w:rsidRPr="006C0089">
        <w:t>close</w:t>
      </w:r>
      <w:r w:rsidRPr="006C0089">
        <w:t xml:space="preserve"> the blinds in the observation window while a tangata whai ora was toileting in the seclusion room. The</w:t>
      </w:r>
      <w:r w:rsidRPr="006C0089">
        <w:rPr>
          <w:i/>
        </w:rPr>
        <w:t xml:space="preserve"> </w:t>
      </w:r>
      <w:r w:rsidR="00400B66" w:rsidRPr="006C0089">
        <w:rPr>
          <w:i/>
        </w:rPr>
        <w:t>‘</w:t>
      </w:r>
      <w:r w:rsidRPr="006C0089">
        <w:rPr>
          <w:i/>
        </w:rPr>
        <w:t>Guide on how to: The seclusion process</w:t>
      </w:r>
      <w:r w:rsidR="00400B66" w:rsidRPr="006C0089">
        <w:rPr>
          <w:i/>
        </w:rPr>
        <w:t>’</w:t>
      </w:r>
      <w:r w:rsidR="006B0C57" w:rsidRPr="006C0089">
        <w:rPr>
          <w:i/>
        </w:rPr>
        <w:t xml:space="preserve"> </w:t>
      </w:r>
      <w:r w:rsidRPr="006C0089">
        <w:t xml:space="preserve">document also </w:t>
      </w:r>
      <w:r w:rsidR="00061EB2" w:rsidRPr="006C0089">
        <w:rPr>
          <w:szCs w:val="24"/>
        </w:rPr>
        <w:t>state</w:t>
      </w:r>
      <w:r w:rsidR="00660E3C" w:rsidRPr="006C0089">
        <w:rPr>
          <w:szCs w:val="24"/>
        </w:rPr>
        <w:t>d</w:t>
      </w:r>
      <w:r w:rsidRPr="006C0089">
        <w:rPr>
          <w:szCs w:val="24"/>
        </w:rPr>
        <w:t xml:space="preserve"> </w:t>
      </w:r>
      <w:r w:rsidRPr="006C0089">
        <w:t>‘</w:t>
      </w:r>
      <w:r w:rsidRPr="006C0089">
        <w:rPr>
          <w:i/>
        </w:rPr>
        <w:t>Observation blinds to be closed when whaiora is using the toiletries to ensure privacy’</w:t>
      </w:r>
      <w:r w:rsidR="00F83691" w:rsidRPr="006C0089">
        <w:t xml:space="preserve">. </w:t>
      </w:r>
    </w:p>
    <w:p w14:paraId="5971C213" w14:textId="53FA007F" w:rsidR="009C4071" w:rsidRPr="006C0089" w:rsidRDefault="00F76D73" w:rsidP="00396487">
      <w:pPr>
        <w:pStyle w:val="BodyText"/>
      </w:pPr>
      <w:r w:rsidRPr="006C0089">
        <w:t>I am pleased to hear that the Unit ha</w:t>
      </w:r>
      <w:r w:rsidR="00CE686D" w:rsidRPr="006C0089">
        <w:t>d</w:t>
      </w:r>
      <w:r w:rsidR="00F83691" w:rsidRPr="006C0089">
        <w:t xml:space="preserve"> taken steps to</w:t>
      </w:r>
      <w:r w:rsidR="000032C5" w:rsidRPr="006C0089">
        <w:t xml:space="preserve"> </w:t>
      </w:r>
      <w:r w:rsidR="008A41C2" w:rsidRPr="006C0089">
        <w:t>respond to my concerns about the privacy and dignity of tāngata whai ora</w:t>
      </w:r>
      <w:r w:rsidR="006A69F1" w:rsidRPr="006C0089">
        <w:t>.</w:t>
      </w:r>
      <w:r w:rsidR="00CE686D" w:rsidRPr="006C0089">
        <w:t xml:space="preserve"> </w:t>
      </w:r>
      <w:r w:rsidR="000032C5" w:rsidRPr="006C0089">
        <w:t xml:space="preserve">I expect this practice to be monitored by management. </w:t>
      </w:r>
    </w:p>
    <w:p w14:paraId="76E13DB4" w14:textId="4D77CB6D" w:rsidR="008D00B3" w:rsidRPr="006C0089" w:rsidRDefault="0017027A" w:rsidP="000032C5">
      <w:pPr>
        <w:pStyle w:val="BodyText"/>
        <w:rPr>
          <w:b/>
          <w:sz w:val="26"/>
          <w:szCs w:val="26"/>
        </w:rPr>
      </w:pPr>
      <w:bookmarkStart w:id="28" w:name="Bathroom"/>
      <w:r>
        <w:rPr>
          <w:rStyle w:val="Heading4Char"/>
        </w:rPr>
        <w:t xml:space="preserve">Recommendation 2 from </w:t>
      </w:r>
      <w:r w:rsidR="000032C5" w:rsidRPr="006C0089">
        <w:rPr>
          <w:rStyle w:val="Heading4Char"/>
        </w:rPr>
        <w:t>2019</w:t>
      </w:r>
      <w:r w:rsidR="008D00B3" w:rsidRPr="006C0089">
        <w:rPr>
          <w:rStyle w:val="Heading4Char"/>
        </w:rPr>
        <w:t xml:space="preserve"> </w:t>
      </w:r>
      <w:r w:rsidR="0016787F" w:rsidRPr="006C0089">
        <w:rPr>
          <w:rStyle w:val="Heading4Char"/>
        </w:rPr>
        <w:t xml:space="preserve">inspection </w:t>
      </w:r>
      <w:r w:rsidR="008D00B3" w:rsidRPr="006C0089">
        <w:rPr>
          <w:b/>
          <w:sz w:val="26"/>
          <w:szCs w:val="26"/>
        </w:rPr>
        <w:t xml:space="preserve">- </w:t>
      </w:r>
      <w:r w:rsidR="000032C5" w:rsidRPr="006C0089">
        <w:rPr>
          <w:b/>
          <w:sz w:val="26"/>
          <w:szCs w:val="26"/>
        </w:rPr>
        <w:t>The toilet in the de-escalation area be accessible by service users in seclusion, unless this would pose a serious risk of harm to the service user or staff. If an individual service user is not allowed to access the toilet, the reasons are recorded and reviewed</w:t>
      </w:r>
      <w:r w:rsidR="00AD10D1" w:rsidRPr="006C0089">
        <w:rPr>
          <w:b/>
          <w:sz w:val="26"/>
          <w:szCs w:val="26"/>
        </w:rPr>
        <w:t>.</w:t>
      </w:r>
    </w:p>
    <w:bookmarkEnd w:id="28"/>
    <w:p w14:paraId="3A090812" w14:textId="34C1DE10" w:rsidR="008D00B3" w:rsidRPr="006C0089" w:rsidRDefault="008D00B3" w:rsidP="00416387">
      <w:pPr>
        <w:pStyle w:val="Bullet1"/>
        <w:numPr>
          <w:ilvl w:val="0"/>
          <w:numId w:val="28"/>
        </w:numPr>
      </w:pPr>
      <w:r w:rsidRPr="006C0089">
        <w:t xml:space="preserve">This recommendation was </w:t>
      </w:r>
      <w:r w:rsidR="00AD10D1" w:rsidRPr="006C0089">
        <w:t>rejected by the Unit.</w:t>
      </w:r>
    </w:p>
    <w:p w14:paraId="078760C0" w14:textId="64D870C4" w:rsidR="008D00B3" w:rsidRPr="006C0089" w:rsidRDefault="008D00B3" w:rsidP="00416387">
      <w:pPr>
        <w:pStyle w:val="Bullet1"/>
        <w:numPr>
          <w:ilvl w:val="0"/>
          <w:numId w:val="28"/>
        </w:numPr>
      </w:pPr>
      <w:r w:rsidRPr="006C0089">
        <w:t xml:space="preserve">On my follow up inspection I </w:t>
      </w:r>
      <w:r w:rsidR="003938D0" w:rsidRPr="006C0089">
        <w:t xml:space="preserve">considered </w:t>
      </w:r>
      <w:r w:rsidR="00AD10D1" w:rsidRPr="006C0089">
        <w:t xml:space="preserve">that my recommendation was </w:t>
      </w:r>
      <w:r w:rsidR="00FE3908" w:rsidRPr="006C0089">
        <w:rPr>
          <w:b/>
          <w:color w:val="auto"/>
        </w:rPr>
        <w:t>not achieved</w:t>
      </w:r>
      <w:r w:rsidR="00AD10D1" w:rsidRPr="006C0089">
        <w:rPr>
          <w:b/>
          <w:color w:val="auto"/>
        </w:rPr>
        <w:t xml:space="preserve"> </w:t>
      </w:r>
    </w:p>
    <w:bookmarkEnd w:id="7"/>
    <w:bookmarkEnd w:id="8"/>
    <w:bookmarkEnd w:id="9"/>
    <w:p w14:paraId="2B5C03CA" w14:textId="0C7EE9E8" w:rsidR="001C16F4" w:rsidRPr="006C0089" w:rsidRDefault="0038214D" w:rsidP="00AD10D1">
      <w:pPr>
        <w:pStyle w:val="BodyText"/>
      </w:pPr>
      <w:r w:rsidRPr="006C0089">
        <w:t xml:space="preserve">As stated above, it remained the case that there was no independently accessible toilet for the seclusion room. </w:t>
      </w:r>
      <w:r w:rsidR="001C16F4" w:rsidRPr="006C0089">
        <w:t>Senior management told Inspectors that r</w:t>
      </w:r>
      <w:r w:rsidR="00880A6F" w:rsidRPr="006C0089">
        <w:t>edeveloping the</w:t>
      </w:r>
      <w:r w:rsidR="001C16F4" w:rsidRPr="006C0089">
        <w:t xml:space="preserve"> High Care Area</w:t>
      </w:r>
      <w:r w:rsidR="00920D7D" w:rsidRPr="006C0089">
        <w:t>,</w:t>
      </w:r>
      <w:r w:rsidR="001C16F4" w:rsidRPr="006C0089">
        <w:t xml:space="preserve"> </w:t>
      </w:r>
      <w:r w:rsidR="00486ECC" w:rsidRPr="006C0089">
        <w:t xml:space="preserve">which accommodated the seclusion area, </w:t>
      </w:r>
      <w:r w:rsidR="001C16F4" w:rsidRPr="006C0089">
        <w:t>was under consideration.</w:t>
      </w:r>
      <w:r w:rsidR="005873EE" w:rsidRPr="006C0089">
        <w:t xml:space="preserve"> </w:t>
      </w:r>
      <w:r w:rsidR="005F5778" w:rsidRPr="006C0089">
        <w:t>S</w:t>
      </w:r>
      <w:r w:rsidR="001C16F4" w:rsidRPr="006C0089">
        <w:t xml:space="preserve">taff and tāngata whai ora told Inspectors that </w:t>
      </w:r>
      <w:r w:rsidR="001C16F4" w:rsidRPr="006C0089">
        <w:rPr>
          <w:lang w:val="en-US"/>
        </w:rPr>
        <w:t>redesigning the seclusion area to provide tāngata</w:t>
      </w:r>
      <w:r w:rsidR="001C16F4" w:rsidRPr="006C0089">
        <w:t xml:space="preserve"> whai ora access to the bathroom when using the seclusion room would help maintain </w:t>
      </w:r>
      <w:r w:rsidR="00486ECC" w:rsidRPr="006C0089">
        <w:t>their dignity.</w:t>
      </w:r>
      <w:r w:rsidR="001C16F4" w:rsidRPr="006C0089">
        <w:t xml:space="preserve"> </w:t>
      </w:r>
    </w:p>
    <w:p w14:paraId="6BBD5C43" w14:textId="2FFF3F2D" w:rsidR="00286264" w:rsidRPr="006C0089" w:rsidRDefault="00EA54C6" w:rsidP="00AD10D1">
      <w:pPr>
        <w:pStyle w:val="BodyText"/>
      </w:pPr>
      <w:r w:rsidRPr="006C0089">
        <w:t xml:space="preserve">The Unit’s seclusion guidelines require that toilet paper and </w:t>
      </w:r>
      <w:r w:rsidR="00AB4FBB" w:rsidRPr="006C0089">
        <w:t>two</w:t>
      </w:r>
      <w:r w:rsidRPr="006C0089">
        <w:t xml:space="preserve"> disposable cardboard receptacles </w:t>
      </w:r>
      <w:r w:rsidR="005F5778" w:rsidRPr="006C0089">
        <w:t xml:space="preserve">for toileting, </w:t>
      </w:r>
      <w:r w:rsidR="00AB4FBB" w:rsidRPr="006C0089">
        <w:t>(one acting as a cover)</w:t>
      </w:r>
      <w:r w:rsidR="005F5778" w:rsidRPr="006C0089">
        <w:t xml:space="preserve"> </w:t>
      </w:r>
      <w:r w:rsidR="00AB4FBB" w:rsidRPr="006C0089">
        <w:t xml:space="preserve">should be placed in the left hand corner of the seclusion room, away from drinking water. </w:t>
      </w:r>
      <w:r w:rsidR="00F22CF7" w:rsidRPr="006C0089">
        <w:t>The District Health Board’s seclusion procedures and guidelines also stipulate that ‘</w:t>
      </w:r>
      <w:r w:rsidR="00F22CF7" w:rsidRPr="006C0089">
        <w:rPr>
          <w:i/>
        </w:rPr>
        <w:t xml:space="preserve">wherever possible the service user will use the toilet facilities outside the seclusion room.’ </w:t>
      </w:r>
      <w:r w:rsidR="0038214D" w:rsidRPr="006C0089">
        <w:t xml:space="preserve">Staff reported that, </w:t>
      </w:r>
      <w:r w:rsidR="002C71B5" w:rsidRPr="006C0089">
        <w:rPr>
          <w:i/>
        </w:rPr>
        <w:t>‘</w:t>
      </w:r>
      <w:r w:rsidR="0038214D" w:rsidRPr="006C0089">
        <w:rPr>
          <w:i/>
        </w:rPr>
        <w:t>where safe</w:t>
      </w:r>
      <w:r w:rsidR="002C71B5" w:rsidRPr="006C0089">
        <w:rPr>
          <w:i/>
        </w:rPr>
        <w:t>’</w:t>
      </w:r>
      <w:r w:rsidR="0038214D" w:rsidRPr="006C0089">
        <w:t>, they would escort tāngata whai ora out of the seclusion room to the</w:t>
      </w:r>
      <w:r w:rsidR="00AB4FBB" w:rsidRPr="006C0089">
        <w:t xml:space="preserve"> separate</w:t>
      </w:r>
      <w:r w:rsidR="0038214D" w:rsidRPr="006C0089">
        <w:t xml:space="preserve"> bathroom. </w:t>
      </w:r>
    </w:p>
    <w:p w14:paraId="11949CD4" w14:textId="78A5E8C5" w:rsidR="00485F64" w:rsidRPr="006C0089" w:rsidRDefault="00485F64" w:rsidP="00485F64">
      <w:pPr>
        <w:pStyle w:val="Default"/>
      </w:pPr>
      <w:r w:rsidRPr="006C0089">
        <w:t xml:space="preserve">In response to my provisional report, Te Whatu Ora stated that the seclusion room meets the requirements of </w:t>
      </w:r>
      <w:r w:rsidR="00513343" w:rsidRPr="006C0089">
        <w:t xml:space="preserve">Ministry of Health </w:t>
      </w:r>
      <w:r w:rsidRPr="006C0089">
        <w:t>guidelines</w:t>
      </w:r>
      <w:r w:rsidR="00763013" w:rsidRPr="006C0089">
        <w:t xml:space="preserve">, </w:t>
      </w:r>
      <w:r w:rsidRPr="006C0089">
        <w:rPr>
          <w:i/>
          <w:iCs/>
        </w:rPr>
        <w:t>Seclusion under the Mental Health (Compulsory Assessment and Treatment Act 1992)</w:t>
      </w:r>
      <w:r w:rsidRPr="006C0089">
        <w:rPr>
          <w:iCs/>
        </w:rPr>
        <w:t>, including ‘</w:t>
      </w:r>
      <w:r w:rsidRPr="006C0089">
        <w:rPr>
          <w:i/>
        </w:rPr>
        <w:t>access to toileting, washing and showering facilities in, or adjacent to, the area.’</w:t>
      </w:r>
      <w:r w:rsidR="00D020FB" w:rsidRPr="006C0089">
        <w:t xml:space="preserve"> However, Te Whatu Ora </w:t>
      </w:r>
      <w:r w:rsidRPr="006C0089">
        <w:t>confirmed that a review of the potential for more direct access between the seclusion room and the toilet and direct access to the outside had been initiated</w:t>
      </w:r>
      <w:r w:rsidR="00D01054" w:rsidRPr="006C0089">
        <w:t>,</w:t>
      </w:r>
      <w:r w:rsidRPr="006C0089">
        <w:t xml:space="preserve"> and </w:t>
      </w:r>
      <w:r w:rsidR="00D020FB" w:rsidRPr="006C0089">
        <w:t xml:space="preserve">that the </w:t>
      </w:r>
      <w:r w:rsidRPr="006C0089">
        <w:t xml:space="preserve">feasibility of undertaking these works will be known by 31 August 2023. </w:t>
      </w:r>
    </w:p>
    <w:p w14:paraId="6CDA8398" w14:textId="77777777" w:rsidR="005449F1" w:rsidRPr="006C0089" w:rsidRDefault="005449F1" w:rsidP="00D01054">
      <w:pPr>
        <w:pStyle w:val="Default"/>
      </w:pPr>
    </w:p>
    <w:p w14:paraId="6EFDA583" w14:textId="1943DC91" w:rsidR="00D01054" w:rsidRPr="006C0089" w:rsidRDefault="00D01054" w:rsidP="00D01054">
      <w:pPr>
        <w:pStyle w:val="Default"/>
      </w:pPr>
      <w:r w:rsidRPr="006C0089">
        <w:t>I welcome this development. Cardboard rec</w:t>
      </w:r>
      <w:r w:rsidR="00513343" w:rsidRPr="006C0089">
        <w:t xml:space="preserve">eptacles are an inappropriate </w:t>
      </w:r>
      <w:r w:rsidRPr="006C0089">
        <w:t xml:space="preserve">replacement for independent access to bathroom facilities for tāngata whai ora in seclusion. In response to my provisional report, the Ministry of Health </w:t>
      </w:r>
      <w:r w:rsidR="00513343" w:rsidRPr="006C0089">
        <w:t xml:space="preserve">agreed, </w:t>
      </w:r>
      <w:r w:rsidRPr="006C0089">
        <w:t>stating: ‘</w:t>
      </w:r>
      <w:r w:rsidRPr="006C0089">
        <w:rPr>
          <w:i/>
        </w:rPr>
        <w:t>The use of cardboard receptacles for toileting is degrading and should be avoided wherever possible.</w:t>
      </w:r>
      <w:r w:rsidRPr="006C0089">
        <w:t>’</w:t>
      </w:r>
      <w:r w:rsidR="00A132E1" w:rsidRPr="006C0089">
        <w:t xml:space="preserve"> The Ministry also agreed that tāngata whai ora should always have independent access to appropriate toilet facilities. </w:t>
      </w:r>
    </w:p>
    <w:p w14:paraId="1096998C" w14:textId="002A07D8" w:rsidR="00485F64" w:rsidRPr="006C0089" w:rsidRDefault="00485F64" w:rsidP="00485F64">
      <w:pPr>
        <w:pStyle w:val="Default"/>
      </w:pPr>
    </w:p>
    <w:p w14:paraId="70872405" w14:textId="2116CA01" w:rsidR="00EA54C6" w:rsidRPr="006C0089" w:rsidRDefault="00265460" w:rsidP="00AD10D1">
      <w:pPr>
        <w:pStyle w:val="BodyText"/>
      </w:pPr>
      <w:r w:rsidRPr="006C0089">
        <w:t>E</w:t>
      </w:r>
      <w:r w:rsidR="00AD39ED" w:rsidRPr="006C0089">
        <w:t xml:space="preserve">vidence </w:t>
      </w:r>
      <w:r w:rsidR="00003BF2" w:rsidRPr="006C0089">
        <w:t xml:space="preserve">at the time of the follow up inspection </w:t>
      </w:r>
      <w:r w:rsidR="00AD39ED" w:rsidRPr="006C0089">
        <w:t>suggested staffing pressures were impacting on the management of seclusion, including access to the</w:t>
      </w:r>
      <w:r w:rsidR="009A76F1" w:rsidRPr="006C0089">
        <w:t xml:space="preserve"> bathroom</w:t>
      </w:r>
      <w:r w:rsidR="00AD39ED" w:rsidRPr="006C0089">
        <w:t xml:space="preserve"> for tāngata whai ora. </w:t>
      </w:r>
      <w:r w:rsidR="00EA54C6" w:rsidRPr="006C0089">
        <w:t xml:space="preserve">The Unit’s seclusion guidelines </w:t>
      </w:r>
      <w:r w:rsidR="00973A67" w:rsidRPr="006C0089">
        <w:t xml:space="preserve">also </w:t>
      </w:r>
      <w:r w:rsidR="00EA54C6" w:rsidRPr="006C0089">
        <w:t>stipulate</w:t>
      </w:r>
      <w:r w:rsidR="00AD39ED" w:rsidRPr="006C0089">
        <w:t xml:space="preserve"> that during a seclusion event staff </w:t>
      </w:r>
      <w:r w:rsidR="006A69F1" w:rsidRPr="006C0089">
        <w:t xml:space="preserve">are to </w:t>
      </w:r>
      <w:r w:rsidR="00AD39ED" w:rsidRPr="006C0089">
        <w:t xml:space="preserve">make an attempt to enter the seclusion room at least </w:t>
      </w:r>
      <w:r w:rsidR="00EA54C6" w:rsidRPr="006C0089">
        <w:t>once every hour or less</w:t>
      </w:r>
      <w:r w:rsidR="00AD39ED" w:rsidRPr="006C0089">
        <w:t xml:space="preserve"> to assess the physical wellbeing and mental state of tāngata whai ora, and their readiness to reintegrate back into the ward. </w:t>
      </w:r>
      <w:r w:rsidR="00EA54C6" w:rsidRPr="006C0089">
        <w:t xml:space="preserve">If a room entry was not attempted hourly, reasons must be documented. </w:t>
      </w:r>
      <w:r w:rsidR="00AD39ED" w:rsidRPr="006C0089">
        <w:t xml:space="preserve">Staff advised that they followed this process. </w:t>
      </w:r>
    </w:p>
    <w:p w14:paraId="567A226F" w14:textId="4BD4699F" w:rsidR="00D97988" w:rsidRPr="006C0089" w:rsidRDefault="00E30BD8" w:rsidP="00326296">
      <w:pPr>
        <w:pStyle w:val="BodyText"/>
      </w:pPr>
      <w:r w:rsidRPr="006C0089">
        <w:t>T</w:t>
      </w:r>
      <w:r w:rsidR="00AD39ED" w:rsidRPr="006C0089">
        <w:t>āngata whai ora clinical notes included records stating ‘</w:t>
      </w:r>
      <w:r w:rsidR="00AD39ED" w:rsidRPr="006C0089">
        <w:rPr>
          <w:i/>
        </w:rPr>
        <w:t>staffing levels’</w:t>
      </w:r>
      <w:r w:rsidR="00AD39ED" w:rsidRPr="006C0089">
        <w:t xml:space="preserve"> in some instances were compromising the ability to complete seclusion room entries or provide tāngata whai ora access to the bathroom in the low stimulus area.</w:t>
      </w:r>
      <w:r w:rsidR="00AD39ED" w:rsidRPr="006C0089">
        <w:rPr>
          <w:rStyle w:val="FootnoteReference"/>
        </w:rPr>
        <w:footnoteReference w:id="12"/>
      </w:r>
      <w:r w:rsidR="00AD39ED" w:rsidRPr="006C0089">
        <w:t xml:space="preserve"> </w:t>
      </w:r>
    </w:p>
    <w:p w14:paraId="35093312" w14:textId="0947A8D9" w:rsidR="0038214D" w:rsidRPr="006C0089" w:rsidRDefault="000E6F42" w:rsidP="000E6F42">
      <w:pPr>
        <w:pStyle w:val="BodyText"/>
      </w:pPr>
      <w:r w:rsidRPr="006C0089">
        <w:t>Whilst this is evidence of staff documenting the reasons for tāngata whai ora not being able to a</w:t>
      </w:r>
      <w:r w:rsidR="00BF2421" w:rsidRPr="006C0089">
        <w:t>cc</w:t>
      </w:r>
      <w:r w:rsidRPr="006C0089">
        <w:t xml:space="preserve">ess the separate </w:t>
      </w:r>
      <w:r w:rsidR="00D020FB" w:rsidRPr="006C0089">
        <w:t>bathroom i</w:t>
      </w:r>
      <w:r w:rsidR="00CA3276" w:rsidRPr="006C0089">
        <w:t>n seclusion</w:t>
      </w:r>
      <w:r w:rsidRPr="006C0089">
        <w:t xml:space="preserve">, I am deeply concerned at the </w:t>
      </w:r>
      <w:r w:rsidR="00CA3276" w:rsidRPr="006C0089">
        <w:t xml:space="preserve">implications </w:t>
      </w:r>
      <w:r w:rsidR="007B784D" w:rsidRPr="006C0089">
        <w:t>this has</w:t>
      </w:r>
      <w:r w:rsidR="00DF085D" w:rsidRPr="006C0089">
        <w:t xml:space="preserve"> </w:t>
      </w:r>
      <w:r w:rsidR="00434D79" w:rsidRPr="006C0089">
        <w:t>for</w:t>
      </w:r>
      <w:r w:rsidR="007B784D" w:rsidRPr="006C0089">
        <w:t xml:space="preserve"> tāngata whai ora. </w:t>
      </w:r>
      <w:r w:rsidRPr="006C0089">
        <w:t xml:space="preserve">This suggests </w:t>
      </w:r>
      <w:r w:rsidR="00AD39ED" w:rsidRPr="006C0089">
        <w:t>not only that there was insufficient staff</w:t>
      </w:r>
      <w:r w:rsidR="00CB4074" w:rsidRPr="006C0089">
        <w:t>ing</w:t>
      </w:r>
      <w:r w:rsidR="00AD39ED" w:rsidRPr="006C0089">
        <w:t xml:space="preserve"> to provide access to </w:t>
      </w:r>
      <w:r w:rsidR="009A76F1" w:rsidRPr="006C0089">
        <w:t xml:space="preserve">bathroom </w:t>
      </w:r>
      <w:r w:rsidR="00AD39ED" w:rsidRPr="006C0089">
        <w:t>facilities</w:t>
      </w:r>
      <w:r w:rsidR="00003BF2" w:rsidRPr="006C0089">
        <w:t xml:space="preserve"> </w:t>
      </w:r>
      <w:r w:rsidR="007B784D" w:rsidRPr="006C0089">
        <w:t xml:space="preserve">as needed </w:t>
      </w:r>
      <w:r w:rsidR="00003BF2" w:rsidRPr="006C0089">
        <w:t>(</w:t>
      </w:r>
      <w:r w:rsidR="007B784D" w:rsidRPr="006C0089">
        <w:t xml:space="preserve">which </w:t>
      </w:r>
      <w:r w:rsidR="00003BF2" w:rsidRPr="006C0089">
        <w:t>also provid</w:t>
      </w:r>
      <w:r w:rsidR="007B784D" w:rsidRPr="006C0089">
        <w:t>e</w:t>
      </w:r>
      <w:r w:rsidR="005F5778" w:rsidRPr="006C0089">
        <w:t>d</w:t>
      </w:r>
      <w:r w:rsidR="00003BF2" w:rsidRPr="006C0089">
        <w:t xml:space="preserve"> an opportunity to review </w:t>
      </w:r>
      <w:r w:rsidR="007B784D" w:rsidRPr="006C0089">
        <w:t xml:space="preserve">if </w:t>
      </w:r>
      <w:r w:rsidR="00003BF2" w:rsidRPr="006C0089">
        <w:t>seclusion needed to continue)</w:t>
      </w:r>
      <w:r w:rsidR="00AD39ED" w:rsidRPr="006C0089">
        <w:t xml:space="preserve">, but also </w:t>
      </w:r>
      <w:r w:rsidR="00717E39" w:rsidRPr="006C0089">
        <w:t xml:space="preserve">that </w:t>
      </w:r>
      <w:r w:rsidR="00207E3F" w:rsidRPr="006C0089">
        <w:t>the required monitoring of seclusion to ensure tāngata</w:t>
      </w:r>
      <w:r w:rsidR="006D3F31" w:rsidRPr="006C0089">
        <w:t xml:space="preserve"> whai ora safety and wellbeing</w:t>
      </w:r>
      <w:r w:rsidR="00207E3F" w:rsidRPr="006C0089">
        <w:t xml:space="preserve"> </w:t>
      </w:r>
      <w:r w:rsidR="005A74C9" w:rsidRPr="006C0089">
        <w:t xml:space="preserve">and </w:t>
      </w:r>
      <w:r w:rsidR="00307C31" w:rsidRPr="006C0089">
        <w:t xml:space="preserve">the earliest end to </w:t>
      </w:r>
      <w:r w:rsidR="00207E3F" w:rsidRPr="006C0089">
        <w:t>seclusion, w</w:t>
      </w:r>
      <w:r w:rsidR="00003BF2" w:rsidRPr="006C0089">
        <w:t>as</w:t>
      </w:r>
      <w:r w:rsidR="00207E3F" w:rsidRPr="006C0089">
        <w:t xml:space="preserve"> not always taking place</w:t>
      </w:r>
      <w:r w:rsidR="00173F40" w:rsidRPr="006C0089">
        <w:t>. In response to my provisional report, Te Whatu Ora stated</w:t>
      </w:r>
      <w:r w:rsidR="000A49A5" w:rsidRPr="006C0089">
        <w:t>:</w:t>
      </w:r>
    </w:p>
    <w:p w14:paraId="4BCADCF8" w14:textId="4797FB93" w:rsidR="00490BBC" w:rsidRPr="006C0089" w:rsidRDefault="00326296" w:rsidP="00BD5AC3">
      <w:pPr>
        <w:pStyle w:val="Quotationseparateparagraph"/>
        <w:rPr>
          <w:rStyle w:val="Quotationwithinthesentence"/>
          <w:i/>
        </w:rPr>
      </w:pPr>
      <w:r w:rsidRPr="006C0089">
        <w:t>Staffing levels in the High Care area have remained at the agreed cover model levels and, at the time of the inspection, there was a higher level of staffing as part of introducing a primary nursing model. When extra support staff are needed to safely enter a seclusion room there may be a short delay, however, this would not impact on access to the toilet.</w:t>
      </w:r>
      <w:r w:rsidR="00490BBC" w:rsidRPr="006C0089">
        <w:t xml:space="preserve"> </w:t>
      </w:r>
      <w:r w:rsidR="00EB1390" w:rsidRPr="006C0089">
        <w:rPr>
          <w:rStyle w:val="Quotationwithinthesentence"/>
          <w:i/>
        </w:rPr>
        <w:t>Therefore, it was concerning to hear that inspectors were of the impression that staffing pressures have impacted the management of seclusion, including access to toilet facilities and completing the required monitoring.</w:t>
      </w:r>
      <w:r w:rsidR="000A49A5" w:rsidRPr="006C0089">
        <w:rPr>
          <w:rStyle w:val="Quotationwithinthesentence"/>
          <w:i/>
        </w:rPr>
        <w:t xml:space="preserve"> </w:t>
      </w:r>
    </w:p>
    <w:p w14:paraId="5FFE9A73" w14:textId="337287A7" w:rsidR="007E32D2" w:rsidRPr="006C0089" w:rsidRDefault="009A76F1" w:rsidP="00276799">
      <w:pPr>
        <w:pStyle w:val="BodyText"/>
      </w:pPr>
      <w:r w:rsidRPr="006C0089">
        <w:t>I still have concerns</w:t>
      </w:r>
      <w:r w:rsidR="002B6EEC" w:rsidRPr="006C0089">
        <w:t xml:space="preserve"> that </w:t>
      </w:r>
      <w:r w:rsidR="000A3E32" w:rsidRPr="006C0089">
        <w:t xml:space="preserve">some </w:t>
      </w:r>
      <w:r w:rsidR="0017728C" w:rsidRPr="006C0089">
        <w:t xml:space="preserve">seclusion documentation </w:t>
      </w:r>
      <w:r w:rsidR="007E32D2" w:rsidRPr="006C0089">
        <w:t>indicated</w:t>
      </w:r>
      <w:r w:rsidR="0017728C" w:rsidRPr="006C0089">
        <w:t xml:space="preserve"> that staffing levels were </w:t>
      </w:r>
      <w:r w:rsidR="000A3E32" w:rsidRPr="006C0089">
        <w:t xml:space="preserve">sometimes </w:t>
      </w:r>
      <w:r w:rsidR="0017728C" w:rsidRPr="006C0089">
        <w:t>contributing to</w:t>
      </w:r>
      <w:r w:rsidR="007E32D2" w:rsidRPr="006C0089">
        <w:t xml:space="preserve"> a delay</w:t>
      </w:r>
      <w:r w:rsidR="00485F64" w:rsidRPr="006C0089">
        <w:t xml:space="preserve"> in room entries</w:t>
      </w:r>
      <w:r w:rsidR="007E32D2" w:rsidRPr="006C0089">
        <w:t xml:space="preserve">, including in </w:t>
      </w:r>
      <w:r w:rsidR="00485F64" w:rsidRPr="006C0089">
        <w:t xml:space="preserve">facilitating </w:t>
      </w:r>
      <w:r w:rsidR="007E32D2" w:rsidRPr="006C0089">
        <w:t>access to the bathroom.</w:t>
      </w:r>
      <w:r w:rsidR="002B6EEC" w:rsidRPr="006C0089">
        <w:t xml:space="preserve"> </w:t>
      </w:r>
      <w:r w:rsidR="00207E3F" w:rsidRPr="006C0089">
        <w:t>I</w:t>
      </w:r>
      <w:r w:rsidR="00A26BAF" w:rsidRPr="006C0089">
        <w:t xml:space="preserve">n </w:t>
      </w:r>
      <w:r w:rsidR="00207E3F" w:rsidRPr="006C0089">
        <w:t>my view</w:t>
      </w:r>
      <w:r w:rsidR="00A26BAF" w:rsidRPr="006C0089">
        <w:t>,</w:t>
      </w:r>
      <w:r w:rsidR="00207E3F" w:rsidRPr="006C0089">
        <w:t xml:space="preserve"> staffing shortages must not impact on the safety, dignity or wellbeing of tāngata</w:t>
      </w:r>
      <w:r w:rsidR="00E1540F" w:rsidRPr="006C0089">
        <w:t xml:space="preserve"> whai ora, and I discuss this later in my report. </w:t>
      </w:r>
    </w:p>
    <w:p w14:paraId="0C9863EB" w14:textId="2ED60B41" w:rsidR="00F255EF" w:rsidRPr="006C0089" w:rsidRDefault="00951AA7" w:rsidP="007E32D2">
      <w:pPr>
        <w:pStyle w:val="BodyText"/>
      </w:pPr>
      <w:r w:rsidRPr="006C0089">
        <w:rPr>
          <w:b/>
        </w:rPr>
        <w:t>I recommend T</w:t>
      </w:r>
      <w:r w:rsidR="00334EB5" w:rsidRPr="006C0089">
        <w:rPr>
          <w:b/>
        </w:rPr>
        <w:t xml:space="preserve">e </w:t>
      </w:r>
      <w:r w:rsidRPr="006C0089">
        <w:rPr>
          <w:b/>
        </w:rPr>
        <w:t>W</w:t>
      </w:r>
      <w:r w:rsidR="00334EB5" w:rsidRPr="006C0089">
        <w:rPr>
          <w:b/>
        </w:rPr>
        <w:t xml:space="preserve">hatu </w:t>
      </w:r>
      <w:r w:rsidRPr="006C0089">
        <w:rPr>
          <w:b/>
        </w:rPr>
        <w:t>O</w:t>
      </w:r>
      <w:r w:rsidR="00334EB5" w:rsidRPr="006C0089">
        <w:rPr>
          <w:b/>
        </w:rPr>
        <w:t>ra</w:t>
      </w:r>
      <w:r w:rsidR="008E2173" w:rsidRPr="006C0089">
        <w:rPr>
          <w:b/>
        </w:rPr>
        <w:t xml:space="preserve"> </w:t>
      </w:r>
      <w:r w:rsidR="00013E90" w:rsidRPr="006C0089">
        <w:rPr>
          <w:b/>
        </w:rPr>
        <w:t xml:space="preserve">ensure </w:t>
      </w:r>
      <w:r w:rsidR="0074431A" w:rsidRPr="006C0089">
        <w:rPr>
          <w:b/>
        </w:rPr>
        <w:t xml:space="preserve">rooms used for seclusion always </w:t>
      </w:r>
      <w:r w:rsidR="003E280D" w:rsidRPr="006C0089">
        <w:rPr>
          <w:b/>
        </w:rPr>
        <w:t xml:space="preserve">allow for </w:t>
      </w:r>
      <w:r w:rsidR="0074431A" w:rsidRPr="006C0089">
        <w:rPr>
          <w:b/>
        </w:rPr>
        <w:t>independent access to bathroom facilities. In the meantime, I recommend that Unit management ensur</w:t>
      </w:r>
      <w:r w:rsidR="00013E90" w:rsidRPr="006C0089">
        <w:rPr>
          <w:b/>
        </w:rPr>
        <w:t xml:space="preserve">e </w:t>
      </w:r>
      <w:r w:rsidRPr="006C0089">
        <w:rPr>
          <w:b/>
        </w:rPr>
        <w:t xml:space="preserve">tāngata whai ora </w:t>
      </w:r>
      <w:r w:rsidR="0074431A" w:rsidRPr="006C0089">
        <w:rPr>
          <w:b/>
        </w:rPr>
        <w:t xml:space="preserve">in seclusion </w:t>
      </w:r>
      <w:r w:rsidR="00965899" w:rsidRPr="006C0089">
        <w:rPr>
          <w:b/>
        </w:rPr>
        <w:t xml:space="preserve">always </w:t>
      </w:r>
      <w:r w:rsidRPr="006C0089">
        <w:rPr>
          <w:b/>
        </w:rPr>
        <w:t xml:space="preserve">have </w:t>
      </w:r>
      <w:r w:rsidR="00CB6401" w:rsidRPr="006C0089">
        <w:rPr>
          <w:b/>
        </w:rPr>
        <w:t>access</w:t>
      </w:r>
      <w:r w:rsidRPr="006C0089">
        <w:rPr>
          <w:b/>
        </w:rPr>
        <w:t xml:space="preserve"> to </w:t>
      </w:r>
      <w:r w:rsidR="009A76F1" w:rsidRPr="006C0089">
        <w:rPr>
          <w:b/>
        </w:rPr>
        <w:t xml:space="preserve">bathroom </w:t>
      </w:r>
      <w:r w:rsidRPr="006C0089">
        <w:rPr>
          <w:b/>
        </w:rPr>
        <w:t>facilities</w:t>
      </w:r>
      <w:r w:rsidR="00334EB5" w:rsidRPr="006C0089">
        <w:t>.</w:t>
      </w:r>
      <w:r w:rsidR="00965899" w:rsidRPr="006C0089">
        <w:t xml:space="preserve"> </w:t>
      </w:r>
    </w:p>
    <w:p w14:paraId="2A7ACDD2" w14:textId="667F75D9" w:rsidR="00DE22C5" w:rsidRPr="006C0089" w:rsidRDefault="0017027A" w:rsidP="00DE22C5">
      <w:pPr>
        <w:pStyle w:val="BodyText"/>
        <w:rPr>
          <w:b/>
          <w:sz w:val="26"/>
          <w:szCs w:val="26"/>
        </w:rPr>
      </w:pPr>
      <w:r>
        <w:rPr>
          <w:rStyle w:val="Heading4Char"/>
        </w:rPr>
        <w:t xml:space="preserve">Recommendation 3 from </w:t>
      </w:r>
      <w:r w:rsidR="00DE22C5" w:rsidRPr="006C0089">
        <w:rPr>
          <w:rStyle w:val="Heading4Char"/>
        </w:rPr>
        <w:t xml:space="preserve">2019 </w:t>
      </w:r>
      <w:r w:rsidR="0016787F" w:rsidRPr="006C0089">
        <w:rPr>
          <w:rStyle w:val="Heading4Char"/>
        </w:rPr>
        <w:t xml:space="preserve">inspection </w:t>
      </w:r>
      <w:r w:rsidR="00DE22C5" w:rsidRPr="006C0089">
        <w:rPr>
          <w:b/>
          <w:sz w:val="26"/>
          <w:szCs w:val="26"/>
        </w:rPr>
        <w:t xml:space="preserve">- Measures are taken to eliminate the unpleasant musty odour in the seclusion area. </w:t>
      </w:r>
    </w:p>
    <w:p w14:paraId="737BCE95" w14:textId="16573FF9" w:rsidR="00DE22C5" w:rsidRPr="006C0089" w:rsidRDefault="00DE22C5" w:rsidP="00416387">
      <w:pPr>
        <w:pStyle w:val="BodyText"/>
        <w:numPr>
          <w:ilvl w:val="0"/>
          <w:numId w:val="32"/>
        </w:numPr>
      </w:pPr>
      <w:r w:rsidRPr="006C0089">
        <w:t>This recommendation was accepted by the Unit.</w:t>
      </w:r>
    </w:p>
    <w:p w14:paraId="544DAEEC" w14:textId="45F09DB4" w:rsidR="00DE22C5" w:rsidRPr="006C0089" w:rsidRDefault="00DE22C5" w:rsidP="00416387">
      <w:pPr>
        <w:pStyle w:val="BodyText"/>
        <w:numPr>
          <w:ilvl w:val="0"/>
          <w:numId w:val="32"/>
        </w:numPr>
      </w:pPr>
      <w:r w:rsidRPr="006C0089">
        <w:t xml:space="preserve">On my follow up inspection I </w:t>
      </w:r>
      <w:r w:rsidR="003938D0" w:rsidRPr="006C0089">
        <w:t xml:space="preserve">considered </w:t>
      </w:r>
      <w:r w:rsidRPr="006C0089">
        <w:t xml:space="preserve">that my recommendation was </w:t>
      </w:r>
      <w:r w:rsidRPr="006C0089">
        <w:rPr>
          <w:b/>
          <w:color w:val="auto"/>
        </w:rPr>
        <w:t xml:space="preserve">achieved. </w:t>
      </w:r>
    </w:p>
    <w:p w14:paraId="24D2B834" w14:textId="2D4DD116" w:rsidR="009C4071" w:rsidRPr="006C0089" w:rsidRDefault="00B5679A" w:rsidP="00B95A54">
      <w:pPr>
        <w:pStyle w:val="BodyText"/>
      </w:pPr>
      <w:r w:rsidRPr="006C0089">
        <w:t xml:space="preserve">At the time of the </w:t>
      </w:r>
      <w:r w:rsidR="00E10DCC" w:rsidRPr="006C0089">
        <w:t xml:space="preserve">follow </w:t>
      </w:r>
      <w:r w:rsidR="00193EF6" w:rsidRPr="006C0089">
        <w:t>up inspection</w:t>
      </w:r>
      <w:r w:rsidRPr="006C0089">
        <w:t xml:space="preserve">, </w:t>
      </w:r>
      <w:r w:rsidR="0041328A" w:rsidRPr="006C0089">
        <w:t>Inspectors did not</w:t>
      </w:r>
      <w:r w:rsidR="00207AC4" w:rsidRPr="006C0089">
        <w:t xml:space="preserve"> </w:t>
      </w:r>
      <w:r w:rsidR="00340553" w:rsidRPr="006C0089">
        <w:t>smell</w:t>
      </w:r>
      <w:r w:rsidR="00A81AA9" w:rsidRPr="006C0089">
        <w:t xml:space="preserve"> </w:t>
      </w:r>
      <w:r w:rsidR="0041328A" w:rsidRPr="006C0089">
        <w:t>any unpleasant odour in the seclusion room</w:t>
      </w:r>
      <w:r w:rsidRPr="006C0089">
        <w:t xml:space="preserve"> and </w:t>
      </w:r>
      <w:r w:rsidR="00C82270" w:rsidRPr="006C0089">
        <w:t>observed</w:t>
      </w:r>
      <w:r w:rsidR="00207AC4" w:rsidRPr="006C0089">
        <w:t xml:space="preserve"> the seclusion</w:t>
      </w:r>
      <w:r w:rsidR="00C82270" w:rsidRPr="006C0089">
        <w:t xml:space="preserve"> room</w:t>
      </w:r>
      <w:r w:rsidR="0041328A" w:rsidRPr="006C0089">
        <w:t xml:space="preserve"> looked and smelt clean. </w:t>
      </w:r>
      <w:r w:rsidR="00207AC4" w:rsidRPr="006C0089">
        <w:t>A review of the Unit</w:t>
      </w:r>
      <w:r w:rsidR="00C82270" w:rsidRPr="006C0089">
        <w:t>’</w:t>
      </w:r>
      <w:r w:rsidR="00207AC4" w:rsidRPr="006C0089">
        <w:t xml:space="preserve">s </w:t>
      </w:r>
      <w:r w:rsidR="00387AF5" w:rsidRPr="006C0089">
        <w:t>maintenance</w:t>
      </w:r>
      <w:r w:rsidR="00207AC4" w:rsidRPr="006C0089">
        <w:t xml:space="preserve"> request</w:t>
      </w:r>
      <w:r w:rsidR="00C82270" w:rsidRPr="006C0089">
        <w:t>s</w:t>
      </w:r>
      <w:r w:rsidR="00207AC4" w:rsidRPr="006C0089">
        <w:t xml:space="preserve"> for the six</w:t>
      </w:r>
      <w:r w:rsidR="0017027A">
        <w:t xml:space="preserve"> </w:t>
      </w:r>
      <w:r w:rsidR="00207AC4" w:rsidRPr="006C0089">
        <w:t xml:space="preserve">month </w:t>
      </w:r>
      <w:r w:rsidR="00486ECC" w:rsidRPr="006C0089">
        <w:t xml:space="preserve">reporting </w:t>
      </w:r>
      <w:r w:rsidR="00207AC4" w:rsidRPr="006C0089">
        <w:t xml:space="preserve">period </w:t>
      </w:r>
      <w:r w:rsidR="00486ECC" w:rsidRPr="006C0089">
        <w:t xml:space="preserve">of 1 February to 31 July 2022 did </w:t>
      </w:r>
      <w:r w:rsidR="00207AC4" w:rsidRPr="006C0089">
        <w:t xml:space="preserve">not </w:t>
      </w:r>
      <w:r w:rsidR="00C82270" w:rsidRPr="006C0089">
        <w:t>include</w:t>
      </w:r>
      <w:r w:rsidR="00207AC4" w:rsidRPr="006C0089">
        <w:t xml:space="preserve"> any requests relating to </w:t>
      </w:r>
      <w:r w:rsidR="00486ECC" w:rsidRPr="006C0089">
        <w:t>an</w:t>
      </w:r>
      <w:r w:rsidR="00207AC4" w:rsidRPr="006C0089">
        <w:t xml:space="preserve"> unpleasant </w:t>
      </w:r>
      <w:r w:rsidR="00C82270" w:rsidRPr="006C0089">
        <w:t>odour</w:t>
      </w:r>
      <w:r w:rsidR="00207AC4" w:rsidRPr="006C0089">
        <w:t xml:space="preserve"> in the seclusion room. </w:t>
      </w:r>
      <w:r w:rsidR="0041328A" w:rsidRPr="006C0089">
        <w:t>No concerns around cleanliness or unpleasant odours in the Unit were raised</w:t>
      </w:r>
      <w:r w:rsidR="00C82270" w:rsidRPr="006C0089">
        <w:t xml:space="preserve"> with Inspectors by staff or</w:t>
      </w:r>
      <w:r w:rsidRPr="006C0089">
        <w:t xml:space="preserve"> tāngata whai ora.</w:t>
      </w:r>
    </w:p>
    <w:p w14:paraId="1CBC9350" w14:textId="3149F2AE" w:rsidR="00B95A54" w:rsidRPr="006C0089" w:rsidRDefault="0017027A" w:rsidP="00B95A54">
      <w:pPr>
        <w:pStyle w:val="BodyText"/>
        <w:rPr>
          <w:b/>
          <w:sz w:val="26"/>
        </w:rPr>
      </w:pPr>
      <w:bookmarkStart w:id="29" w:name="Paperwork"/>
      <w:r>
        <w:rPr>
          <w:rStyle w:val="Heading4Char"/>
        </w:rPr>
        <w:t xml:space="preserve">Recommendation 4 from </w:t>
      </w:r>
      <w:r w:rsidR="00B95A54" w:rsidRPr="006C0089">
        <w:rPr>
          <w:rStyle w:val="Heading4Char"/>
        </w:rPr>
        <w:t xml:space="preserve">2019 </w:t>
      </w:r>
      <w:r w:rsidR="0016787F" w:rsidRPr="006C0089">
        <w:rPr>
          <w:rStyle w:val="Heading4Char"/>
        </w:rPr>
        <w:t xml:space="preserve">inspection </w:t>
      </w:r>
      <w:r w:rsidR="00B95A54" w:rsidRPr="006C0089">
        <w:rPr>
          <w:b/>
          <w:sz w:val="26"/>
        </w:rPr>
        <w:t xml:space="preserve">– </w:t>
      </w:r>
      <w:r w:rsidR="00B95A54" w:rsidRPr="006C0089">
        <w:rPr>
          <w:b/>
        </w:rPr>
        <w:t>All seclusion paperwork is fully and accurately completed.</w:t>
      </w:r>
    </w:p>
    <w:bookmarkEnd w:id="29"/>
    <w:p w14:paraId="539C11B2" w14:textId="0229E82C" w:rsidR="00B95A54" w:rsidRPr="006C0089" w:rsidRDefault="00B95A54" w:rsidP="00416387">
      <w:pPr>
        <w:pStyle w:val="BodyText"/>
        <w:numPr>
          <w:ilvl w:val="0"/>
          <w:numId w:val="33"/>
        </w:numPr>
      </w:pPr>
      <w:r w:rsidRPr="006C0089">
        <w:t>This recommendation was accepted by the Unit.</w:t>
      </w:r>
    </w:p>
    <w:p w14:paraId="255FB108" w14:textId="6877C89F" w:rsidR="00B95A54" w:rsidRPr="006C0089" w:rsidRDefault="00B95A54" w:rsidP="00416387">
      <w:pPr>
        <w:pStyle w:val="BodyText"/>
        <w:numPr>
          <w:ilvl w:val="0"/>
          <w:numId w:val="32"/>
        </w:numPr>
      </w:pPr>
      <w:r w:rsidRPr="006C0089">
        <w:t xml:space="preserve">On my follow up inspection I </w:t>
      </w:r>
      <w:r w:rsidR="003938D0" w:rsidRPr="006C0089">
        <w:t xml:space="preserve">considered </w:t>
      </w:r>
      <w:r w:rsidRPr="006C0089">
        <w:t>that my recommendation was</w:t>
      </w:r>
      <w:r w:rsidR="00EA7B44" w:rsidRPr="006C0089">
        <w:t xml:space="preserve"> </w:t>
      </w:r>
      <w:r w:rsidR="00EA7B44" w:rsidRPr="006C0089">
        <w:rPr>
          <w:b/>
        </w:rPr>
        <w:t>not</w:t>
      </w:r>
      <w:r w:rsidRPr="006C0089">
        <w:rPr>
          <w:b/>
        </w:rPr>
        <w:t xml:space="preserve"> </w:t>
      </w:r>
      <w:r w:rsidRPr="006C0089">
        <w:rPr>
          <w:b/>
          <w:color w:val="auto"/>
        </w:rPr>
        <w:t xml:space="preserve">achieved. </w:t>
      </w:r>
    </w:p>
    <w:p w14:paraId="63ECF3E5" w14:textId="557A15D9" w:rsidR="00031E1B" w:rsidRPr="006C0089" w:rsidRDefault="009C0767" w:rsidP="00253F43">
      <w:pPr>
        <w:pStyle w:val="BodyText"/>
        <w:rPr>
          <w:color w:val="auto"/>
        </w:rPr>
      </w:pPr>
      <w:r w:rsidRPr="006C0089">
        <w:rPr>
          <w:color w:val="auto"/>
        </w:rPr>
        <w:t>I first raised concerns about the acc</w:t>
      </w:r>
      <w:r w:rsidR="00340553" w:rsidRPr="006C0089">
        <w:rPr>
          <w:color w:val="auto"/>
        </w:rPr>
        <w:t>urate capturing and reporting of</w:t>
      </w:r>
      <w:r w:rsidRPr="006C0089">
        <w:rPr>
          <w:color w:val="auto"/>
        </w:rPr>
        <w:t xml:space="preserve"> seclusion </w:t>
      </w:r>
      <w:r w:rsidR="00340553" w:rsidRPr="006C0089">
        <w:rPr>
          <w:color w:val="auto"/>
        </w:rPr>
        <w:t xml:space="preserve">information </w:t>
      </w:r>
      <w:r w:rsidRPr="006C0089">
        <w:rPr>
          <w:color w:val="auto"/>
        </w:rPr>
        <w:t>at the Unit in 2016, where I recommended ‘</w:t>
      </w:r>
      <w:r w:rsidRPr="006C0089">
        <w:rPr>
          <w:rStyle w:val="Quotationwithinthesentence"/>
        </w:rPr>
        <w:t>The seclusion register should be fully maintained and a quality assurance framework applied to the completion of all seclusion documentation (including electronic records)</w:t>
      </w:r>
      <w:r w:rsidRPr="006C0089">
        <w:t>’.</w:t>
      </w:r>
      <w:r w:rsidRPr="006C0089">
        <w:rPr>
          <w:rStyle w:val="FootnoteReference"/>
        </w:rPr>
        <w:footnoteReference w:id="13"/>
      </w:r>
      <w:r w:rsidRPr="006C0089">
        <w:rPr>
          <w:color w:val="auto"/>
        </w:rPr>
        <w:t xml:space="preserve"> </w:t>
      </w:r>
      <w:r w:rsidR="00EA7B44" w:rsidRPr="006C0089">
        <w:rPr>
          <w:color w:val="auto"/>
        </w:rPr>
        <w:t>A</w:t>
      </w:r>
      <w:r w:rsidR="00193EF6" w:rsidRPr="006C0089">
        <w:rPr>
          <w:color w:val="auto"/>
        </w:rPr>
        <w:t>s a result of</w:t>
      </w:r>
      <w:r w:rsidR="00EA7B44" w:rsidRPr="006C0089">
        <w:rPr>
          <w:color w:val="auto"/>
        </w:rPr>
        <w:t xml:space="preserve"> my </w:t>
      </w:r>
      <w:r w:rsidR="00193EF6" w:rsidRPr="006C0089">
        <w:rPr>
          <w:color w:val="auto"/>
        </w:rPr>
        <w:t>2019 inspection</w:t>
      </w:r>
      <w:r w:rsidR="00EA7B44" w:rsidRPr="006C0089">
        <w:rPr>
          <w:color w:val="auto"/>
        </w:rPr>
        <w:t xml:space="preserve">, I </w:t>
      </w:r>
      <w:r w:rsidRPr="006C0089">
        <w:rPr>
          <w:color w:val="auto"/>
        </w:rPr>
        <w:t xml:space="preserve">again </w:t>
      </w:r>
      <w:r w:rsidR="00EA7B44" w:rsidRPr="006C0089">
        <w:rPr>
          <w:color w:val="auto"/>
        </w:rPr>
        <w:t xml:space="preserve">highlighted that seclusion paperwork had inconsistent levels of detail and was often </w:t>
      </w:r>
      <w:r w:rsidR="00031E1B" w:rsidRPr="006C0089">
        <w:rPr>
          <w:color w:val="auto"/>
        </w:rPr>
        <w:t>in</w:t>
      </w:r>
      <w:r w:rsidR="00EA7B44" w:rsidRPr="006C0089">
        <w:rPr>
          <w:color w:val="auto"/>
        </w:rPr>
        <w:t>complete</w:t>
      </w:r>
      <w:r w:rsidR="00D24420" w:rsidRPr="006C0089">
        <w:rPr>
          <w:color w:val="auto"/>
        </w:rPr>
        <w:t>. S</w:t>
      </w:r>
      <w:r w:rsidR="007F5C28" w:rsidRPr="006C0089">
        <w:rPr>
          <w:color w:val="auto"/>
        </w:rPr>
        <w:t>eclusion</w:t>
      </w:r>
      <w:r w:rsidR="00EA7B44" w:rsidRPr="006C0089">
        <w:rPr>
          <w:color w:val="auto"/>
        </w:rPr>
        <w:t xml:space="preserve"> review panel minutes </w:t>
      </w:r>
      <w:r w:rsidRPr="006C0089">
        <w:rPr>
          <w:color w:val="auto"/>
        </w:rPr>
        <w:t xml:space="preserve">had </w:t>
      </w:r>
      <w:r w:rsidR="00EA7B44" w:rsidRPr="006C0089">
        <w:rPr>
          <w:color w:val="auto"/>
        </w:rPr>
        <w:t>also highlighted problems with incomplete seclusion documentation.</w:t>
      </w:r>
      <w:r w:rsidR="00031E1B" w:rsidRPr="006C0089">
        <w:rPr>
          <w:rStyle w:val="FootnoteReference"/>
          <w:color w:val="auto"/>
        </w:rPr>
        <w:footnoteReference w:id="14"/>
      </w:r>
    </w:p>
    <w:p w14:paraId="5A65D0E8" w14:textId="0992DE32" w:rsidR="00B33684" w:rsidRPr="006C0089" w:rsidRDefault="00695CE1" w:rsidP="00072E44">
      <w:pPr>
        <w:pStyle w:val="BodyText"/>
        <w:rPr>
          <w:color w:val="auto"/>
        </w:rPr>
      </w:pPr>
      <w:r w:rsidRPr="006C0089">
        <w:rPr>
          <w:color w:val="auto"/>
        </w:rPr>
        <w:t xml:space="preserve">Clinical leaders </w:t>
      </w:r>
      <w:r w:rsidR="007B5EF9" w:rsidRPr="006C0089">
        <w:rPr>
          <w:color w:val="auto"/>
        </w:rPr>
        <w:t>told</w:t>
      </w:r>
      <w:r w:rsidRPr="006C0089">
        <w:rPr>
          <w:color w:val="auto"/>
        </w:rPr>
        <w:t xml:space="preserve"> </w:t>
      </w:r>
      <w:r w:rsidR="00193EF6" w:rsidRPr="006C0089">
        <w:rPr>
          <w:color w:val="auto"/>
        </w:rPr>
        <w:t>I</w:t>
      </w:r>
      <w:r w:rsidRPr="006C0089">
        <w:rPr>
          <w:color w:val="auto"/>
        </w:rPr>
        <w:t xml:space="preserve">nspectors </w:t>
      </w:r>
      <w:r w:rsidR="007B5EF9" w:rsidRPr="006C0089">
        <w:rPr>
          <w:color w:val="auto"/>
        </w:rPr>
        <w:t>about a</w:t>
      </w:r>
      <w:r w:rsidRPr="006C0089">
        <w:rPr>
          <w:color w:val="auto"/>
        </w:rPr>
        <w:t xml:space="preserve"> number of initiatives that were in place to improve these practices</w:t>
      </w:r>
      <w:r w:rsidR="002747A5" w:rsidRPr="006C0089">
        <w:rPr>
          <w:color w:val="auto"/>
        </w:rPr>
        <w:t xml:space="preserve"> since my </w:t>
      </w:r>
      <w:r w:rsidR="00193EF6" w:rsidRPr="006C0089">
        <w:rPr>
          <w:color w:val="auto"/>
        </w:rPr>
        <w:t xml:space="preserve">2019 </w:t>
      </w:r>
      <w:r w:rsidR="002747A5" w:rsidRPr="006C0089">
        <w:rPr>
          <w:color w:val="auto"/>
        </w:rPr>
        <w:t>inspection</w:t>
      </w:r>
      <w:r w:rsidRPr="006C0089">
        <w:rPr>
          <w:color w:val="auto"/>
        </w:rPr>
        <w:t xml:space="preserve">. </w:t>
      </w:r>
      <w:r w:rsidR="00D0366E" w:rsidRPr="006C0089">
        <w:rPr>
          <w:color w:val="auto"/>
        </w:rPr>
        <w:t>This included</w:t>
      </w:r>
      <w:r w:rsidR="00253F43" w:rsidRPr="006C0089">
        <w:rPr>
          <w:color w:val="auto"/>
        </w:rPr>
        <w:t xml:space="preserve"> the </w:t>
      </w:r>
      <w:r w:rsidR="003D6C1F" w:rsidRPr="006C0089">
        <w:rPr>
          <w:color w:val="auto"/>
        </w:rPr>
        <w:t>‘</w:t>
      </w:r>
      <w:r w:rsidR="00253F43" w:rsidRPr="006C0089">
        <w:rPr>
          <w:i/>
          <w:color w:val="auto"/>
        </w:rPr>
        <w:t>Guide on how to: The seclusion process</w:t>
      </w:r>
      <w:r w:rsidR="003D6C1F" w:rsidRPr="006C0089">
        <w:rPr>
          <w:i/>
          <w:color w:val="auto"/>
        </w:rPr>
        <w:t>’</w:t>
      </w:r>
      <w:r w:rsidR="00D0366E" w:rsidRPr="006C0089">
        <w:t>, a</w:t>
      </w:r>
      <w:r w:rsidR="00253F43" w:rsidRPr="006C0089">
        <w:rPr>
          <w:color w:val="auto"/>
        </w:rPr>
        <w:t xml:space="preserve"> document</w:t>
      </w:r>
      <w:r w:rsidR="001D596A" w:rsidRPr="006C0089">
        <w:rPr>
          <w:color w:val="auto"/>
        </w:rPr>
        <w:t xml:space="preserve"> for staff</w:t>
      </w:r>
      <w:r w:rsidR="00253F43" w:rsidRPr="006C0089">
        <w:rPr>
          <w:color w:val="auto"/>
        </w:rPr>
        <w:t xml:space="preserve"> </w:t>
      </w:r>
      <w:r w:rsidR="008B2D28" w:rsidRPr="006C0089">
        <w:rPr>
          <w:color w:val="auto"/>
        </w:rPr>
        <w:t xml:space="preserve">that </w:t>
      </w:r>
      <w:r w:rsidR="00253F43" w:rsidRPr="006C0089">
        <w:rPr>
          <w:color w:val="auto"/>
        </w:rPr>
        <w:t>included instructions on how to record and document seclusion events to ens</w:t>
      </w:r>
      <w:r w:rsidR="009E6D04" w:rsidRPr="006C0089">
        <w:rPr>
          <w:color w:val="auto"/>
        </w:rPr>
        <w:t xml:space="preserve">ure accuracy and completeness. </w:t>
      </w:r>
      <w:r w:rsidR="00021283" w:rsidRPr="006C0089">
        <w:rPr>
          <w:color w:val="auto"/>
        </w:rPr>
        <w:t xml:space="preserve">Inspectors were </w:t>
      </w:r>
      <w:r w:rsidR="00253F43" w:rsidRPr="006C0089">
        <w:rPr>
          <w:color w:val="auto"/>
        </w:rPr>
        <w:t xml:space="preserve">also </w:t>
      </w:r>
      <w:r w:rsidR="00021283" w:rsidRPr="006C0089">
        <w:rPr>
          <w:color w:val="auto"/>
        </w:rPr>
        <w:t>informed of the</w:t>
      </w:r>
      <w:r w:rsidR="00B95A54" w:rsidRPr="006C0089">
        <w:rPr>
          <w:color w:val="auto"/>
        </w:rPr>
        <w:t xml:space="preserve"> </w:t>
      </w:r>
      <w:r w:rsidR="00B33684" w:rsidRPr="006C0089">
        <w:rPr>
          <w:color w:val="auto"/>
        </w:rPr>
        <w:t xml:space="preserve">review </w:t>
      </w:r>
      <w:r w:rsidR="00B95A54" w:rsidRPr="006C0089">
        <w:rPr>
          <w:color w:val="auto"/>
        </w:rPr>
        <w:t xml:space="preserve">process </w:t>
      </w:r>
      <w:r w:rsidR="00253F43" w:rsidRPr="006C0089">
        <w:rPr>
          <w:color w:val="auto"/>
        </w:rPr>
        <w:t xml:space="preserve">that </w:t>
      </w:r>
      <w:r w:rsidR="003D6C1F" w:rsidRPr="006C0089">
        <w:rPr>
          <w:color w:val="auto"/>
        </w:rPr>
        <w:t>occurred</w:t>
      </w:r>
      <w:r w:rsidR="00021283" w:rsidRPr="006C0089">
        <w:rPr>
          <w:color w:val="auto"/>
        </w:rPr>
        <w:t xml:space="preserve"> to ensure</w:t>
      </w:r>
      <w:r w:rsidR="000A08AB" w:rsidRPr="006C0089">
        <w:rPr>
          <w:color w:val="auto"/>
        </w:rPr>
        <w:t xml:space="preserve"> all seclusio</w:t>
      </w:r>
      <w:r w:rsidR="00C82270" w:rsidRPr="006C0089">
        <w:rPr>
          <w:color w:val="auto"/>
        </w:rPr>
        <w:t xml:space="preserve">n </w:t>
      </w:r>
      <w:r w:rsidR="00B33684" w:rsidRPr="006C0089">
        <w:rPr>
          <w:color w:val="auto"/>
        </w:rPr>
        <w:t>events</w:t>
      </w:r>
      <w:r w:rsidR="00B33684" w:rsidRPr="006C0089">
        <w:t xml:space="preserve"> and corresponding paperwork</w:t>
      </w:r>
      <w:r w:rsidR="00B33684" w:rsidRPr="006C0089">
        <w:rPr>
          <w:color w:val="auto"/>
        </w:rPr>
        <w:t xml:space="preserve"> was</w:t>
      </w:r>
      <w:r w:rsidR="00021283" w:rsidRPr="006C0089">
        <w:rPr>
          <w:color w:val="auto"/>
        </w:rPr>
        <w:t xml:space="preserve"> </w:t>
      </w:r>
      <w:r w:rsidR="00253F43" w:rsidRPr="006C0089">
        <w:rPr>
          <w:color w:val="auto"/>
        </w:rPr>
        <w:t xml:space="preserve">fully and accurately </w:t>
      </w:r>
      <w:r w:rsidR="00021283" w:rsidRPr="006C0089">
        <w:rPr>
          <w:color w:val="auto"/>
        </w:rPr>
        <w:t>completed</w:t>
      </w:r>
      <w:r w:rsidR="00B33684" w:rsidRPr="006C0089">
        <w:rPr>
          <w:color w:val="auto"/>
        </w:rPr>
        <w:t>.</w:t>
      </w:r>
      <w:r w:rsidR="00021283" w:rsidRPr="006C0089">
        <w:rPr>
          <w:color w:val="auto"/>
        </w:rPr>
        <w:t xml:space="preserve"> </w:t>
      </w:r>
    </w:p>
    <w:p w14:paraId="71341DD5" w14:textId="1AE46B06" w:rsidR="00EC13F3" w:rsidRPr="006C0089" w:rsidRDefault="008B2D28" w:rsidP="00072E44">
      <w:pPr>
        <w:pStyle w:val="BodyText"/>
        <w:rPr>
          <w:color w:val="auto"/>
        </w:rPr>
      </w:pPr>
      <w:r w:rsidRPr="006C0089">
        <w:t xml:space="preserve">Prior to </w:t>
      </w:r>
      <w:r w:rsidR="00695CE1" w:rsidRPr="006C0089">
        <w:t>a seclusion panel meeting,</w:t>
      </w:r>
      <w:r w:rsidR="009C4071" w:rsidRPr="006C0089">
        <w:t xml:space="preserve"> </w:t>
      </w:r>
      <w:r w:rsidR="009C0767" w:rsidRPr="006C0089">
        <w:t xml:space="preserve">a </w:t>
      </w:r>
      <w:r w:rsidR="009C4071" w:rsidRPr="006C0089">
        <w:t>member of</w:t>
      </w:r>
      <w:r w:rsidR="00B33684" w:rsidRPr="006C0089">
        <w:t xml:space="preserve"> </w:t>
      </w:r>
      <w:r w:rsidR="00706231" w:rsidRPr="006C0089">
        <w:t xml:space="preserve">the Unit’s </w:t>
      </w:r>
      <w:r w:rsidR="00B33684" w:rsidRPr="006C0089">
        <w:t xml:space="preserve">clinical </w:t>
      </w:r>
      <w:r w:rsidR="003D6C1F" w:rsidRPr="006C0089">
        <w:t xml:space="preserve">management </w:t>
      </w:r>
      <w:r w:rsidR="00021283" w:rsidRPr="006C0089">
        <w:rPr>
          <w:color w:val="auto"/>
        </w:rPr>
        <w:t>r</w:t>
      </w:r>
      <w:r w:rsidR="00253F43" w:rsidRPr="006C0089">
        <w:rPr>
          <w:color w:val="auto"/>
        </w:rPr>
        <w:t xml:space="preserve">eviewed </w:t>
      </w:r>
      <w:r w:rsidR="000A08AB" w:rsidRPr="006C0089">
        <w:rPr>
          <w:color w:val="auto"/>
        </w:rPr>
        <w:t>all</w:t>
      </w:r>
      <w:r w:rsidR="00B33684" w:rsidRPr="006C0089">
        <w:rPr>
          <w:color w:val="auto"/>
        </w:rPr>
        <w:t xml:space="preserve"> seclusion </w:t>
      </w:r>
      <w:r w:rsidR="00BF3F3D" w:rsidRPr="006C0089">
        <w:rPr>
          <w:color w:val="auto"/>
        </w:rPr>
        <w:t>events to</w:t>
      </w:r>
      <w:r w:rsidR="00B95A54" w:rsidRPr="006C0089">
        <w:rPr>
          <w:color w:val="auto"/>
        </w:rPr>
        <w:t xml:space="preserve"> assess </w:t>
      </w:r>
      <w:r w:rsidR="00706231" w:rsidRPr="006C0089">
        <w:rPr>
          <w:color w:val="auto"/>
        </w:rPr>
        <w:t xml:space="preserve">whether </w:t>
      </w:r>
      <w:r w:rsidR="00253F43" w:rsidRPr="006C0089">
        <w:rPr>
          <w:color w:val="auto"/>
        </w:rPr>
        <w:t>the</w:t>
      </w:r>
      <w:r w:rsidR="000A08AB" w:rsidRPr="006C0089">
        <w:rPr>
          <w:color w:val="auto"/>
        </w:rPr>
        <w:t xml:space="preserve"> paperwork had</w:t>
      </w:r>
      <w:r w:rsidR="00B95A54" w:rsidRPr="006C0089">
        <w:rPr>
          <w:color w:val="auto"/>
        </w:rPr>
        <w:t xml:space="preserve"> been </w:t>
      </w:r>
      <w:r w:rsidR="00B33684" w:rsidRPr="006C0089">
        <w:rPr>
          <w:color w:val="auto"/>
        </w:rPr>
        <w:t xml:space="preserve">fully and accurately </w:t>
      </w:r>
      <w:r w:rsidR="00072E44" w:rsidRPr="006C0089">
        <w:rPr>
          <w:color w:val="auto"/>
        </w:rPr>
        <w:t xml:space="preserve">completed. </w:t>
      </w:r>
      <w:r w:rsidR="00B33684" w:rsidRPr="006C0089">
        <w:rPr>
          <w:color w:val="auto"/>
        </w:rPr>
        <w:t xml:space="preserve">Any </w:t>
      </w:r>
      <w:r w:rsidR="00253F43" w:rsidRPr="006C0089">
        <w:rPr>
          <w:color w:val="auto"/>
        </w:rPr>
        <w:t>incomplete or incorrect paperwork</w:t>
      </w:r>
      <w:r w:rsidR="00B33684" w:rsidRPr="006C0089">
        <w:rPr>
          <w:color w:val="auto"/>
        </w:rPr>
        <w:t xml:space="preserve"> </w:t>
      </w:r>
      <w:r w:rsidR="00253F43" w:rsidRPr="006C0089">
        <w:rPr>
          <w:color w:val="auto"/>
        </w:rPr>
        <w:t>was</w:t>
      </w:r>
      <w:r w:rsidR="00EC13F3" w:rsidRPr="006C0089">
        <w:rPr>
          <w:color w:val="auto"/>
        </w:rPr>
        <w:t xml:space="preserve"> </w:t>
      </w:r>
      <w:r w:rsidR="00072E44" w:rsidRPr="006C0089">
        <w:rPr>
          <w:color w:val="auto"/>
        </w:rPr>
        <w:t xml:space="preserve">identified </w:t>
      </w:r>
      <w:r w:rsidR="00EC13F3" w:rsidRPr="006C0089">
        <w:rPr>
          <w:color w:val="auto"/>
        </w:rPr>
        <w:t>on a</w:t>
      </w:r>
      <w:r w:rsidR="00072E44" w:rsidRPr="006C0089">
        <w:rPr>
          <w:color w:val="auto"/>
        </w:rPr>
        <w:t xml:space="preserve"> seclusion panel review form</w:t>
      </w:r>
      <w:r w:rsidR="00EC13F3" w:rsidRPr="006C0089">
        <w:rPr>
          <w:color w:val="auto"/>
        </w:rPr>
        <w:t xml:space="preserve"> </w:t>
      </w:r>
      <w:r w:rsidR="00253F43" w:rsidRPr="006C0089">
        <w:rPr>
          <w:color w:val="auto"/>
        </w:rPr>
        <w:t xml:space="preserve">that was </w:t>
      </w:r>
      <w:r w:rsidR="00EC13F3" w:rsidRPr="006C0089">
        <w:rPr>
          <w:color w:val="auto"/>
        </w:rPr>
        <w:t xml:space="preserve">provided to the </w:t>
      </w:r>
      <w:r w:rsidR="002C2A24" w:rsidRPr="006C0089">
        <w:rPr>
          <w:color w:val="auto"/>
        </w:rPr>
        <w:t xml:space="preserve">review </w:t>
      </w:r>
      <w:r w:rsidR="00EC13F3" w:rsidRPr="006C0089">
        <w:rPr>
          <w:color w:val="auto"/>
        </w:rPr>
        <w:t>panel at the weekly meeting.</w:t>
      </w:r>
    </w:p>
    <w:p w14:paraId="44812988" w14:textId="4D348E3F" w:rsidR="007C034B" w:rsidRPr="006C0089" w:rsidRDefault="00A44DA3" w:rsidP="00072E44">
      <w:pPr>
        <w:pStyle w:val="BodyText"/>
      </w:pPr>
      <w:r w:rsidRPr="006C0089">
        <w:rPr>
          <w:color w:val="auto"/>
        </w:rPr>
        <w:t xml:space="preserve">Clinical leaders </w:t>
      </w:r>
      <w:r w:rsidR="00695CE1" w:rsidRPr="006C0089">
        <w:rPr>
          <w:color w:val="auto"/>
        </w:rPr>
        <w:t xml:space="preserve">told </w:t>
      </w:r>
      <w:r w:rsidR="000B3CB8" w:rsidRPr="006C0089">
        <w:rPr>
          <w:color w:val="auto"/>
        </w:rPr>
        <w:t>I</w:t>
      </w:r>
      <w:r w:rsidR="00695CE1" w:rsidRPr="006C0089">
        <w:rPr>
          <w:color w:val="auto"/>
        </w:rPr>
        <w:t xml:space="preserve">nspectors that </w:t>
      </w:r>
      <w:r w:rsidR="00D31149" w:rsidRPr="006C0089">
        <w:rPr>
          <w:color w:val="auto"/>
        </w:rPr>
        <w:t xml:space="preserve">they corrected or completed </w:t>
      </w:r>
      <w:r w:rsidR="00695CE1" w:rsidRPr="006C0089">
        <w:rPr>
          <w:color w:val="auto"/>
        </w:rPr>
        <w:t>all</w:t>
      </w:r>
      <w:r w:rsidR="002C2A24" w:rsidRPr="006C0089">
        <w:rPr>
          <w:color w:val="auto"/>
        </w:rPr>
        <w:t xml:space="preserve"> incomplete or incorrect paperwork</w:t>
      </w:r>
      <w:r w:rsidR="00253F43" w:rsidRPr="006C0089">
        <w:rPr>
          <w:color w:val="auto"/>
        </w:rPr>
        <w:t xml:space="preserve"> </w:t>
      </w:r>
      <w:r w:rsidR="00706231" w:rsidRPr="006C0089">
        <w:rPr>
          <w:color w:val="auto"/>
        </w:rPr>
        <w:t>following</w:t>
      </w:r>
      <w:r w:rsidR="00253F43" w:rsidRPr="006C0089">
        <w:rPr>
          <w:color w:val="auto"/>
        </w:rPr>
        <w:t xml:space="preserve"> the seclusion paperwork review. Staff were also provided with e</w:t>
      </w:r>
      <w:r w:rsidR="00072E44" w:rsidRPr="006C0089">
        <w:rPr>
          <w:color w:val="auto"/>
        </w:rPr>
        <w:t>ducation</w:t>
      </w:r>
      <w:r w:rsidR="00253F43" w:rsidRPr="006C0089">
        <w:rPr>
          <w:color w:val="auto"/>
        </w:rPr>
        <w:t xml:space="preserve"> and support to ensure seclusion paperwork was accurately and fully completed in the future. </w:t>
      </w:r>
    </w:p>
    <w:p w14:paraId="12D89B2E" w14:textId="2715C6CA" w:rsidR="00B95A54" w:rsidRPr="006C0089" w:rsidRDefault="00A45E12" w:rsidP="00A45E12">
      <w:pPr>
        <w:pStyle w:val="BodyText"/>
        <w:rPr>
          <w:color w:val="auto"/>
        </w:rPr>
      </w:pPr>
      <w:r w:rsidRPr="006C0089">
        <w:rPr>
          <w:color w:val="auto"/>
        </w:rPr>
        <w:t>Inspectors’</w:t>
      </w:r>
      <w:r w:rsidR="00253F43" w:rsidRPr="006C0089">
        <w:rPr>
          <w:color w:val="auto"/>
        </w:rPr>
        <w:t xml:space="preserve"> review </w:t>
      </w:r>
      <w:r w:rsidRPr="006C0089">
        <w:rPr>
          <w:color w:val="auto"/>
        </w:rPr>
        <w:t xml:space="preserve">of </w:t>
      </w:r>
      <w:r w:rsidR="009E6D04" w:rsidRPr="006C0089">
        <w:rPr>
          <w:color w:val="auto"/>
        </w:rPr>
        <w:t xml:space="preserve">the </w:t>
      </w:r>
      <w:r w:rsidRPr="006C0089">
        <w:rPr>
          <w:color w:val="auto"/>
        </w:rPr>
        <w:t>seclusion</w:t>
      </w:r>
      <w:r w:rsidR="00B95A54" w:rsidRPr="006C0089">
        <w:rPr>
          <w:color w:val="auto"/>
        </w:rPr>
        <w:t xml:space="preserve"> review panel </w:t>
      </w:r>
      <w:r w:rsidR="00031E1B" w:rsidRPr="006C0089">
        <w:rPr>
          <w:color w:val="auto"/>
        </w:rPr>
        <w:t xml:space="preserve">minutes </w:t>
      </w:r>
      <w:r w:rsidR="008B2D28" w:rsidRPr="006C0089">
        <w:rPr>
          <w:color w:val="auto"/>
        </w:rPr>
        <w:t xml:space="preserve">for </w:t>
      </w:r>
      <w:r w:rsidR="0031771A" w:rsidRPr="006C0089">
        <w:rPr>
          <w:color w:val="auto"/>
        </w:rPr>
        <w:t xml:space="preserve">the six month reporting period of </w:t>
      </w:r>
      <w:r w:rsidR="00364876" w:rsidRPr="006C0089">
        <w:rPr>
          <w:color w:val="auto"/>
        </w:rPr>
        <w:t>1</w:t>
      </w:r>
      <w:r w:rsidR="003D6C1F" w:rsidRPr="006C0089">
        <w:rPr>
          <w:color w:val="auto"/>
        </w:rPr>
        <w:t xml:space="preserve"> </w:t>
      </w:r>
      <w:r w:rsidR="009E6D04" w:rsidRPr="006C0089">
        <w:rPr>
          <w:color w:val="auto"/>
        </w:rPr>
        <w:t>February</w:t>
      </w:r>
      <w:r w:rsidR="00364876" w:rsidRPr="006C0089">
        <w:rPr>
          <w:color w:val="auto"/>
        </w:rPr>
        <w:t xml:space="preserve"> to </w:t>
      </w:r>
      <w:r w:rsidR="003D6C1F" w:rsidRPr="006C0089">
        <w:rPr>
          <w:color w:val="auto"/>
        </w:rPr>
        <w:t xml:space="preserve">31 </w:t>
      </w:r>
      <w:r w:rsidR="00364876" w:rsidRPr="006C0089">
        <w:rPr>
          <w:color w:val="auto"/>
        </w:rPr>
        <w:t>J</w:t>
      </w:r>
      <w:r w:rsidRPr="006C0089">
        <w:rPr>
          <w:color w:val="auto"/>
        </w:rPr>
        <w:t>u</w:t>
      </w:r>
      <w:r w:rsidR="003D6C1F" w:rsidRPr="006C0089">
        <w:rPr>
          <w:color w:val="auto"/>
        </w:rPr>
        <w:t xml:space="preserve">ly </w:t>
      </w:r>
      <w:r w:rsidRPr="006C0089">
        <w:rPr>
          <w:color w:val="auto"/>
        </w:rPr>
        <w:t xml:space="preserve">2022 </w:t>
      </w:r>
      <w:r w:rsidR="00B82CC3" w:rsidRPr="006C0089">
        <w:rPr>
          <w:color w:val="auto"/>
        </w:rPr>
        <w:t xml:space="preserve">confirmed </w:t>
      </w:r>
      <w:r w:rsidR="00695CE1" w:rsidRPr="006C0089">
        <w:rPr>
          <w:color w:val="auto"/>
        </w:rPr>
        <w:t>that the panel had identified documentation issues in seclusion paperwork</w:t>
      </w:r>
      <w:r w:rsidR="00B82CC3" w:rsidRPr="006C0089">
        <w:rPr>
          <w:color w:val="auto"/>
        </w:rPr>
        <w:t xml:space="preserve"> and </w:t>
      </w:r>
      <w:r w:rsidR="00D31149" w:rsidRPr="006C0089">
        <w:rPr>
          <w:color w:val="auto"/>
        </w:rPr>
        <w:t xml:space="preserve">outlined </w:t>
      </w:r>
      <w:r w:rsidR="00B82CC3" w:rsidRPr="006C0089">
        <w:rPr>
          <w:color w:val="auto"/>
        </w:rPr>
        <w:t>what remedial action was required</w:t>
      </w:r>
      <w:r w:rsidR="0031771A" w:rsidRPr="006C0089">
        <w:rPr>
          <w:color w:val="auto"/>
        </w:rPr>
        <w:t xml:space="preserve">. </w:t>
      </w:r>
      <w:r w:rsidR="00695CE1" w:rsidRPr="006C0089">
        <w:rPr>
          <w:color w:val="auto"/>
        </w:rPr>
        <w:t xml:space="preserve">For example, </w:t>
      </w:r>
      <w:r w:rsidR="00D31149" w:rsidRPr="006C0089">
        <w:rPr>
          <w:color w:val="auto"/>
        </w:rPr>
        <w:t>the</w:t>
      </w:r>
      <w:r w:rsidR="00387AF5" w:rsidRPr="006C0089">
        <w:rPr>
          <w:color w:val="auto"/>
        </w:rPr>
        <w:t xml:space="preserve"> </w:t>
      </w:r>
      <w:r w:rsidR="002D642E" w:rsidRPr="006C0089">
        <w:rPr>
          <w:color w:val="auto"/>
        </w:rPr>
        <w:t xml:space="preserve">minutes </w:t>
      </w:r>
      <w:r w:rsidR="00797002" w:rsidRPr="006C0089">
        <w:rPr>
          <w:color w:val="auto"/>
        </w:rPr>
        <w:t xml:space="preserve">noted </w:t>
      </w:r>
      <w:r w:rsidR="002D642E" w:rsidRPr="006C0089">
        <w:rPr>
          <w:color w:val="auto"/>
        </w:rPr>
        <w:t xml:space="preserve">that </w:t>
      </w:r>
      <w:r w:rsidRPr="006C0089">
        <w:rPr>
          <w:color w:val="auto"/>
        </w:rPr>
        <w:t>of the 19 seclusion events</w:t>
      </w:r>
      <w:r w:rsidR="007A2DCE" w:rsidRPr="006C0089">
        <w:rPr>
          <w:color w:val="auto"/>
        </w:rPr>
        <w:t xml:space="preserve">, at least two seclusion </w:t>
      </w:r>
      <w:r w:rsidR="008571E2" w:rsidRPr="006C0089">
        <w:rPr>
          <w:color w:val="auto"/>
        </w:rPr>
        <w:t>‘</w:t>
      </w:r>
      <w:r w:rsidR="007A2DCE" w:rsidRPr="006C0089">
        <w:rPr>
          <w:color w:val="auto"/>
        </w:rPr>
        <w:t>end times</w:t>
      </w:r>
      <w:r w:rsidR="00D31149" w:rsidRPr="006C0089">
        <w:rPr>
          <w:color w:val="auto"/>
        </w:rPr>
        <w:t>’</w:t>
      </w:r>
      <w:r w:rsidR="007A2DCE" w:rsidRPr="006C0089">
        <w:rPr>
          <w:color w:val="auto"/>
        </w:rPr>
        <w:t xml:space="preserve"> and six </w:t>
      </w:r>
      <w:r w:rsidR="008571E2" w:rsidRPr="006C0089">
        <w:rPr>
          <w:color w:val="auto"/>
        </w:rPr>
        <w:t>‘</w:t>
      </w:r>
      <w:r w:rsidR="007A2DCE" w:rsidRPr="006C0089">
        <w:rPr>
          <w:color w:val="auto"/>
        </w:rPr>
        <w:t>end of shift reviews</w:t>
      </w:r>
      <w:r w:rsidR="00D31149" w:rsidRPr="006C0089">
        <w:rPr>
          <w:color w:val="auto"/>
        </w:rPr>
        <w:t>’</w:t>
      </w:r>
      <w:r w:rsidR="007A2DCE" w:rsidRPr="006C0089">
        <w:rPr>
          <w:color w:val="auto"/>
        </w:rPr>
        <w:t xml:space="preserve"> had not </w:t>
      </w:r>
      <w:r w:rsidR="00D31149" w:rsidRPr="006C0089">
        <w:rPr>
          <w:color w:val="auto"/>
        </w:rPr>
        <w:t>been completed</w:t>
      </w:r>
      <w:r w:rsidR="007A2DCE" w:rsidRPr="006C0089">
        <w:rPr>
          <w:color w:val="auto"/>
        </w:rPr>
        <w:t xml:space="preserve"> </w:t>
      </w:r>
      <w:r w:rsidR="00D31149" w:rsidRPr="006C0089">
        <w:rPr>
          <w:color w:val="auto"/>
        </w:rPr>
        <w:t xml:space="preserve">by staff </w:t>
      </w:r>
      <w:r w:rsidR="007A2DCE" w:rsidRPr="006C0089">
        <w:rPr>
          <w:color w:val="auto"/>
        </w:rPr>
        <w:t>in the first instance</w:t>
      </w:r>
      <w:r w:rsidR="00D31149" w:rsidRPr="006C0089">
        <w:rPr>
          <w:color w:val="auto"/>
        </w:rPr>
        <w:t>.</w:t>
      </w:r>
      <w:r w:rsidR="007A2DCE" w:rsidRPr="006C0089">
        <w:rPr>
          <w:color w:val="auto"/>
        </w:rPr>
        <w:t xml:space="preserve"> </w:t>
      </w:r>
      <w:r w:rsidR="00D31149" w:rsidRPr="006C0089">
        <w:rPr>
          <w:color w:val="auto"/>
        </w:rPr>
        <w:t xml:space="preserve">The panel also identified </w:t>
      </w:r>
      <w:r w:rsidR="0031771A" w:rsidRPr="006C0089">
        <w:rPr>
          <w:color w:val="auto"/>
        </w:rPr>
        <w:t xml:space="preserve">instances </w:t>
      </w:r>
      <w:r w:rsidR="00D31149" w:rsidRPr="006C0089">
        <w:rPr>
          <w:color w:val="auto"/>
        </w:rPr>
        <w:t xml:space="preserve">where </w:t>
      </w:r>
      <w:r w:rsidR="0031771A" w:rsidRPr="006C0089">
        <w:rPr>
          <w:color w:val="auto"/>
        </w:rPr>
        <w:t>specific training or cultural competency needs</w:t>
      </w:r>
      <w:r w:rsidR="00D31149" w:rsidRPr="006C0089">
        <w:rPr>
          <w:color w:val="auto"/>
        </w:rPr>
        <w:t xml:space="preserve"> were required</w:t>
      </w:r>
      <w:r w:rsidR="0031771A" w:rsidRPr="006C0089">
        <w:rPr>
          <w:color w:val="auto"/>
        </w:rPr>
        <w:t xml:space="preserve"> for staff subsequent to a review of a seclusion event. </w:t>
      </w:r>
    </w:p>
    <w:p w14:paraId="70127A01" w14:textId="37763B1D" w:rsidR="007A2DCE" w:rsidRPr="006C0089" w:rsidRDefault="002F0016" w:rsidP="00A45E12">
      <w:pPr>
        <w:pStyle w:val="BodyText"/>
      </w:pPr>
      <w:r w:rsidRPr="006C0089">
        <w:rPr>
          <w:color w:val="auto"/>
        </w:rPr>
        <w:t>T</w:t>
      </w:r>
      <w:r w:rsidR="006006A8" w:rsidRPr="006C0089">
        <w:rPr>
          <w:color w:val="auto"/>
        </w:rPr>
        <w:t>he</w:t>
      </w:r>
      <w:r w:rsidR="00B82CC3" w:rsidRPr="006C0089">
        <w:rPr>
          <w:color w:val="auto"/>
        </w:rPr>
        <w:t xml:space="preserve"> </w:t>
      </w:r>
      <w:r w:rsidR="00D31149" w:rsidRPr="006C0089">
        <w:rPr>
          <w:color w:val="auto"/>
        </w:rPr>
        <w:t>Inspectors</w:t>
      </w:r>
      <w:r w:rsidR="008571E2" w:rsidRPr="006C0089">
        <w:rPr>
          <w:color w:val="auto"/>
        </w:rPr>
        <w:t>’</w:t>
      </w:r>
      <w:r w:rsidR="00D31149" w:rsidRPr="006C0089">
        <w:rPr>
          <w:color w:val="auto"/>
        </w:rPr>
        <w:t xml:space="preserve"> review identified that </w:t>
      </w:r>
      <w:r w:rsidR="00B82CC3" w:rsidRPr="006C0089">
        <w:rPr>
          <w:color w:val="auto"/>
        </w:rPr>
        <w:t>t</w:t>
      </w:r>
      <w:r w:rsidR="007A2DCE" w:rsidRPr="006C0089">
        <w:rPr>
          <w:color w:val="auto"/>
        </w:rPr>
        <w:t xml:space="preserve">he seclusion panel </w:t>
      </w:r>
      <w:r w:rsidR="00D31149" w:rsidRPr="006C0089">
        <w:rPr>
          <w:color w:val="auto"/>
        </w:rPr>
        <w:t>minutes were</w:t>
      </w:r>
      <w:r w:rsidR="009E6D04" w:rsidRPr="006C0089">
        <w:rPr>
          <w:color w:val="auto"/>
        </w:rPr>
        <w:t xml:space="preserve"> not always clear if </w:t>
      </w:r>
      <w:r w:rsidR="007A2DCE" w:rsidRPr="006C0089">
        <w:rPr>
          <w:color w:val="auto"/>
        </w:rPr>
        <w:t xml:space="preserve">crucial </w:t>
      </w:r>
      <w:r w:rsidR="007E0793" w:rsidRPr="006C0089">
        <w:rPr>
          <w:color w:val="auto"/>
        </w:rPr>
        <w:t xml:space="preserve">steps </w:t>
      </w:r>
      <w:r w:rsidR="00303879" w:rsidRPr="006C0089">
        <w:rPr>
          <w:color w:val="auto"/>
        </w:rPr>
        <w:t xml:space="preserve">had been offered or taken place, </w:t>
      </w:r>
      <w:r w:rsidR="00D63047" w:rsidRPr="006C0089">
        <w:rPr>
          <w:color w:val="auto"/>
        </w:rPr>
        <w:t>particularly</w:t>
      </w:r>
      <w:r w:rsidR="00303879" w:rsidRPr="006C0089">
        <w:rPr>
          <w:color w:val="auto"/>
        </w:rPr>
        <w:t xml:space="preserve"> debriefs with </w:t>
      </w:r>
      <w:r w:rsidR="00303879" w:rsidRPr="006C0089">
        <w:t>tāngata whai ora</w:t>
      </w:r>
      <w:r w:rsidR="00525EF5" w:rsidRPr="006C0089">
        <w:t xml:space="preserve"> and their whānau</w:t>
      </w:r>
      <w:r w:rsidR="001B3BF2" w:rsidRPr="006C0089">
        <w:rPr>
          <w:rStyle w:val="FootnoteReference"/>
        </w:rPr>
        <w:footnoteReference w:id="15"/>
      </w:r>
      <w:r w:rsidR="00D31149" w:rsidRPr="006C0089">
        <w:t>,</w:t>
      </w:r>
      <w:r w:rsidR="0031771A" w:rsidRPr="006C0089">
        <w:t xml:space="preserve"> following a seclusion event</w:t>
      </w:r>
      <w:r w:rsidR="00303879" w:rsidRPr="006C0089">
        <w:t>.</w:t>
      </w:r>
      <w:r w:rsidR="00B82CC3" w:rsidRPr="006C0089">
        <w:t xml:space="preserve"> </w:t>
      </w:r>
      <w:r w:rsidR="0031771A" w:rsidRPr="006C0089">
        <w:t>Staff</w:t>
      </w:r>
      <w:r w:rsidR="00303879" w:rsidRPr="006C0089">
        <w:t xml:space="preserve"> told </w:t>
      </w:r>
      <w:r w:rsidR="0031771A" w:rsidRPr="006C0089">
        <w:t>I</w:t>
      </w:r>
      <w:r w:rsidR="00B82CC3" w:rsidRPr="006C0089">
        <w:t xml:space="preserve">nspectors </w:t>
      </w:r>
      <w:r w:rsidR="00303879" w:rsidRPr="006C0089">
        <w:t>that this was</w:t>
      </w:r>
      <w:r w:rsidR="00B82CC3" w:rsidRPr="006C0089">
        <w:t xml:space="preserve"> partially</w:t>
      </w:r>
      <w:r w:rsidR="00303879" w:rsidRPr="006C0089">
        <w:t xml:space="preserve"> due to a distinc</w:t>
      </w:r>
      <w:r w:rsidR="0031771A" w:rsidRPr="006C0089">
        <w:t xml:space="preserve">t </w:t>
      </w:r>
      <w:r w:rsidR="006341D5" w:rsidRPr="006C0089">
        <w:t xml:space="preserve">filing </w:t>
      </w:r>
      <w:r w:rsidR="0031771A" w:rsidRPr="006C0089">
        <w:t>system for debrief</w:t>
      </w:r>
      <w:r w:rsidR="00A44DA3" w:rsidRPr="006C0089">
        <w:t>s with the consumer advisor</w:t>
      </w:r>
      <w:r w:rsidR="008571E2" w:rsidRPr="006C0089">
        <w:t xml:space="preserve"> </w:t>
      </w:r>
      <w:r w:rsidR="006341D5" w:rsidRPr="006C0089">
        <w:t>in order to maintain the trust and independence of the consumer support provided to tāngata whai ora.</w:t>
      </w:r>
      <w:r w:rsidR="00082DBB" w:rsidRPr="006C0089">
        <w:t xml:space="preserve"> </w:t>
      </w:r>
      <w:r w:rsidR="00B82CC3" w:rsidRPr="006C0089">
        <w:t>Ho</w:t>
      </w:r>
      <w:r w:rsidR="0031771A" w:rsidRPr="006C0089">
        <w:t>wever, I</w:t>
      </w:r>
      <w:r w:rsidR="00B82CC3" w:rsidRPr="006C0089">
        <w:t xml:space="preserve">nspectors’ review of the separate debrief documentation for the same </w:t>
      </w:r>
      <w:r w:rsidR="00D63047" w:rsidRPr="006C0089">
        <w:t>six</w:t>
      </w:r>
      <w:r w:rsidR="0017027A">
        <w:t xml:space="preserve"> </w:t>
      </w:r>
      <w:r w:rsidR="00B82CC3" w:rsidRPr="006C0089">
        <w:t>month</w:t>
      </w:r>
      <w:r w:rsidR="0031771A" w:rsidRPr="006C0089">
        <w:t xml:space="preserve"> reporting</w:t>
      </w:r>
      <w:r w:rsidR="00B82CC3" w:rsidRPr="006C0089">
        <w:t xml:space="preserve"> period could only identify two</w:t>
      </w:r>
      <w:r w:rsidR="006341D5" w:rsidRPr="006C0089">
        <w:t xml:space="preserve"> </w:t>
      </w:r>
      <w:r w:rsidR="00082DBB" w:rsidRPr="006C0089">
        <w:t xml:space="preserve">recorded </w:t>
      </w:r>
      <w:r w:rsidR="00B82CC3" w:rsidRPr="006C0089">
        <w:t>instances</w:t>
      </w:r>
      <w:r w:rsidR="00082DBB" w:rsidRPr="006C0089">
        <w:t xml:space="preserve"> </w:t>
      </w:r>
      <w:r w:rsidR="00B82CC3" w:rsidRPr="006C0089">
        <w:t xml:space="preserve">of a debrief </w:t>
      </w:r>
      <w:r w:rsidR="0031771A" w:rsidRPr="006C0089">
        <w:t xml:space="preserve">taking place </w:t>
      </w:r>
      <w:r w:rsidR="00B82CC3" w:rsidRPr="006C0089">
        <w:t xml:space="preserve">with a </w:t>
      </w:r>
      <w:r w:rsidR="009E6D04" w:rsidRPr="006C0089">
        <w:t>ta</w:t>
      </w:r>
      <w:r w:rsidR="00B82CC3" w:rsidRPr="006C0089">
        <w:t>ngata whai ora</w:t>
      </w:r>
      <w:r w:rsidR="0031771A" w:rsidRPr="006C0089">
        <w:t xml:space="preserve"> following a seclusion event. </w:t>
      </w:r>
    </w:p>
    <w:p w14:paraId="30123B50" w14:textId="00461AED" w:rsidR="0031771A" w:rsidRPr="006C0089" w:rsidRDefault="0031771A" w:rsidP="00A45E12">
      <w:pPr>
        <w:pStyle w:val="BodyText"/>
      </w:pPr>
      <w:r w:rsidRPr="006C0089">
        <w:t xml:space="preserve">Individual seclusion forms and clinical notes for the </w:t>
      </w:r>
      <w:r w:rsidR="000A1A11" w:rsidRPr="006C0089">
        <w:t xml:space="preserve">same </w:t>
      </w:r>
      <w:r w:rsidRPr="006C0089">
        <w:t>s</w:t>
      </w:r>
      <w:r w:rsidR="00D63047" w:rsidRPr="006C0089">
        <w:t>ix</w:t>
      </w:r>
      <w:r w:rsidR="0017027A">
        <w:t xml:space="preserve"> </w:t>
      </w:r>
      <w:r w:rsidRPr="006C0089">
        <w:t>month reporting period also</w:t>
      </w:r>
      <w:r w:rsidR="002D642E" w:rsidRPr="006C0089">
        <w:t xml:space="preserve"> showed mixed levels of detail and completeness, including recording of the names of clinicians who had initiated seclusion</w:t>
      </w:r>
      <w:r w:rsidR="000A1A11" w:rsidRPr="006C0089">
        <w:t>;</w:t>
      </w:r>
      <w:r w:rsidR="002D642E" w:rsidRPr="006C0089">
        <w:t xml:space="preserve"> end of shift reviews</w:t>
      </w:r>
      <w:r w:rsidR="000A1A11" w:rsidRPr="006C0089">
        <w:t>;</w:t>
      </w:r>
      <w:r w:rsidR="002D642E" w:rsidRPr="006C0089">
        <w:t xml:space="preserve"> and whether </w:t>
      </w:r>
      <w:r w:rsidR="000A1A11" w:rsidRPr="006C0089">
        <w:t xml:space="preserve">the </w:t>
      </w:r>
      <w:r w:rsidR="009E6D04" w:rsidRPr="006C0089">
        <w:t>ta</w:t>
      </w:r>
      <w:r w:rsidR="002D642E" w:rsidRPr="006C0089">
        <w:t>ngata whai ora had any preferences or advance</w:t>
      </w:r>
      <w:r w:rsidR="006006A8" w:rsidRPr="006C0089">
        <w:t xml:space="preserve"> </w:t>
      </w:r>
      <w:r w:rsidR="002D642E" w:rsidRPr="006C0089">
        <w:t xml:space="preserve">directives </w:t>
      </w:r>
      <w:r w:rsidR="001D596A" w:rsidRPr="006C0089">
        <w:t xml:space="preserve">for de-escalation. </w:t>
      </w:r>
    </w:p>
    <w:p w14:paraId="02928839" w14:textId="4DAB44AD" w:rsidR="00904CB7" w:rsidRPr="006C0089" w:rsidRDefault="001D596A" w:rsidP="00A45E12">
      <w:pPr>
        <w:pStyle w:val="BodyText"/>
      </w:pPr>
      <w:r w:rsidRPr="006C0089">
        <w:t xml:space="preserve">Detail </w:t>
      </w:r>
      <w:r w:rsidR="002747A5" w:rsidRPr="006C0089">
        <w:t xml:space="preserve">of </w:t>
      </w:r>
      <w:r w:rsidR="001E2FF5" w:rsidRPr="006C0089">
        <w:t xml:space="preserve">alternative interventions </w:t>
      </w:r>
      <w:r w:rsidRPr="006C0089">
        <w:t xml:space="preserve">to seclusion </w:t>
      </w:r>
      <w:r w:rsidR="008D1742" w:rsidRPr="006C0089">
        <w:t xml:space="preserve">was </w:t>
      </w:r>
      <w:r w:rsidRPr="006C0089">
        <w:t xml:space="preserve">limited. </w:t>
      </w:r>
      <w:r w:rsidR="000A1A11" w:rsidRPr="006C0089">
        <w:t xml:space="preserve">Records showed </w:t>
      </w:r>
      <w:r w:rsidRPr="006C0089">
        <w:t xml:space="preserve">that medication and verbal de-escalation attempts were the primary alternative </w:t>
      </w:r>
      <w:r w:rsidR="00904CB7" w:rsidRPr="006C0089">
        <w:t xml:space="preserve">interventions </w:t>
      </w:r>
      <w:r w:rsidRPr="006C0089">
        <w:t xml:space="preserve">recorded by staff. </w:t>
      </w:r>
    </w:p>
    <w:p w14:paraId="7E3E9EE9" w14:textId="59DFFCAD" w:rsidR="002747A5" w:rsidRPr="006C0089" w:rsidRDefault="00AE26D8" w:rsidP="00A45E12">
      <w:pPr>
        <w:pStyle w:val="BodyText"/>
      </w:pPr>
      <w:r w:rsidRPr="006C0089">
        <w:t>Robust seclusion paperwork</w:t>
      </w:r>
      <w:r w:rsidR="006F1B17" w:rsidRPr="006C0089">
        <w:t>,</w:t>
      </w:r>
      <w:r w:rsidRPr="006C0089">
        <w:t xml:space="preserve"> in sufficient detail</w:t>
      </w:r>
      <w:r w:rsidR="006F1B17" w:rsidRPr="006C0089">
        <w:t>,</w:t>
      </w:r>
      <w:r w:rsidR="001E2FF5" w:rsidRPr="006C0089">
        <w:t xml:space="preserve"> is</w:t>
      </w:r>
      <w:r w:rsidRPr="006C0089">
        <w:t xml:space="preserve"> cr</w:t>
      </w:r>
      <w:r w:rsidR="007E0793" w:rsidRPr="006C0089">
        <w:t>itical</w:t>
      </w:r>
      <w:r w:rsidRPr="006C0089">
        <w:t xml:space="preserve"> to provide </w:t>
      </w:r>
      <w:r w:rsidR="001E2FF5" w:rsidRPr="006C0089">
        <w:t xml:space="preserve">an accurate understanding of the reasons for </w:t>
      </w:r>
      <w:r w:rsidR="003A6DFB" w:rsidRPr="006C0089">
        <w:t>seclusion</w:t>
      </w:r>
      <w:r w:rsidRPr="006C0089">
        <w:t xml:space="preserve">, </w:t>
      </w:r>
      <w:r w:rsidR="003A6DFB" w:rsidRPr="006C0089">
        <w:t xml:space="preserve">alternative steps taken, its legitimacy, </w:t>
      </w:r>
      <w:r w:rsidRPr="006C0089">
        <w:t xml:space="preserve">duration and </w:t>
      </w:r>
      <w:r w:rsidR="003A6DFB" w:rsidRPr="006C0089">
        <w:t xml:space="preserve">the </w:t>
      </w:r>
      <w:r w:rsidRPr="006C0089">
        <w:t xml:space="preserve">outcome of seclusion, including any </w:t>
      </w:r>
      <w:r w:rsidR="003A6DFB" w:rsidRPr="006C0089">
        <w:t>harmful</w:t>
      </w:r>
      <w:r w:rsidRPr="006C0089">
        <w:t xml:space="preserve"> impacts on tā</w:t>
      </w:r>
      <w:r w:rsidR="001E2FF5" w:rsidRPr="006C0089">
        <w:t>ngata whai ora.</w:t>
      </w:r>
      <w:r w:rsidR="00144DAE" w:rsidRPr="006C0089">
        <w:t xml:space="preserve"> </w:t>
      </w:r>
      <w:r w:rsidR="007E0793" w:rsidRPr="006C0089">
        <w:t>Robust documentation is also crucial to comprehensive reviews that can inform improvement activities towards the reduction</w:t>
      </w:r>
      <w:r w:rsidR="00AD3E9D" w:rsidRPr="006C0089">
        <w:t xml:space="preserve"> and elimination of seclusion. </w:t>
      </w:r>
    </w:p>
    <w:p w14:paraId="00ED4E32" w14:textId="4DA06C33" w:rsidR="00F72387" w:rsidRPr="006C0089" w:rsidRDefault="00F72387" w:rsidP="00A45E12">
      <w:pPr>
        <w:pStyle w:val="BodyText"/>
        <w:rPr>
          <w:szCs w:val="24"/>
        </w:rPr>
      </w:pPr>
      <w:r w:rsidRPr="006C0089">
        <w:rPr>
          <w:szCs w:val="24"/>
        </w:rPr>
        <w:t>In response to my provisional report, Te Whatu Ora stated: ‘</w:t>
      </w:r>
      <w:r w:rsidRPr="006C0089">
        <w:rPr>
          <w:i/>
          <w:szCs w:val="24"/>
        </w:rPr>
        <w:t>It is accepted that some seclusion documentation was not completed to the expected standard. The seclusion review panel will continue to oversee the standard of documentation to ensure it is consistently completed to the required standard</w:t>
      </w:r>
      <w:r w:rsidRPr="006C0089">
        <w:rPr>
          <w:szCs w:val="24"/>
        </w:rPr>
        <w:t xml:space="preserve">.’ </w:t>
      </w:r>
    </w:p>
    <w:p w14:paraId="7BCEFE6E" w14:textId="15F87454" w:rsidR="009B4731" w:rsidRPr="006C0089" w:rsidRDefault="0063764E" w:rsidP="003168E3">
      <w:pPr>
        <w:pStyle w:val="BodyText"/>
      </w:pPr>
      <w:r w:rsidRPr="006C0089">
        <w:rPr>
          <w:color w:val="auto"/>
        </w:rPr>
        <w:t xml:space="preserve">I welcome the seclusion panel review process and the identification of remedial actions required in some instances. However, </w:t>
      </w:r>
      <w:r w:rsidR="006F1DF5" w:rsidRPr="006C0089">
        <w:rPr>
          <w:color w:val="auto"/>
        </w:rPr>
        <w:t xml:space="preserve">as acknowledged by Te Whatu Ora, improvement is still required. This has been an issue of concern since 2016. </w:t>
      </w:r>
      <w:r w:rsidR="007E0793" w:rsidRPr="006C0089">
        <w:rPr>
          <w:color w:val="auto"/>
        </w:rPr>
        <w:t xml:space="preserve">I </w:t>
      </w:r>
      <w:r w:rsidR="00520288" w:rsidRPr="006C0089">
        <w:rPr>
          <w:color w:val="auto"/>
        </w:rPr>
        <w:t>repeat</w:t>
      </w:r>
      <w:r w:rsidR="007E0793" w:rsidRPr="006C0089">
        <w:rPr>
          <w:color w:val="auto"/>
        </w:rPr>
        <w:t xml:space="preserve"> </w:t>
      </w:r>
      <w:r w:rsidR="007E0793" w:rsidRPr="006C0089">
        <w:rPr>
          <w:b/>
          <w:color w:val="auto"/>
        </w:rPr>
        <w:t>my recommendation that</w:t>
      </w:r>
      <w:r w:rsidR="00082DBB" w:rsidRPr="006C0089">
        <w:rPr>
          <w:b/>
          <w:color w:val="auto"/>
        </w:rPr>
        <w:t xml:space="preserve"> Unit</w:t>
      </w:r>
      <w:r w:rsidR="000E2184" w:rsidRPr="006C0089">
        <w:rPr>
          <w:b/>
          <w:color w:val="auto"/>
        </w:rPr>
        <w:t xml:space="preserve"> </w:t>
      </w:r>
      <w:r w:rsidR="009E6D04" w:rsidRPr="006C0089">
        <w:rPr>
          <w:b/>
          <w:color w:val="auto"/>
        </w:rPr>
        <w:t>management</w:t>
      </w:r>
      <w:r w:rsidR="00082DBB" w:rsidRPr="006C0089">
        <w:rPr>
          <w:b/>
          <w:color w:val="auto"/>
        </w:rPr>
        <w:t xml:space="preserve"> ensure</w:t>
      </w:r>
      <w:r w:rsidR="00082DBB" w:rsidRPr="006C0089">
        <w:rPr>
          <w:color w:val="auto"/>
        </w:rPr>
        <w:t xml:space="preserve"> </w:t>
      </w:r>
      <w:r w:rsidR="00082DBB" w:rsidRPr="006C0089">
        <w:rPr>
          <w:b/>
        </w:rPr>
        <w:t>all seclusion paperwork is fully and accurately completed.</w:t>
      </w:r>
      <w:r w:rsidR="00082DBB" w:rsidRPr="006C0089">
        <w:rPr>
          <w:color w:val="auto"/>
        </w:rPr>
        <w:t xml:space="preserve"> I also expect the Unit to </w:t>
      </w:r>
      <w:r w:rsidR="009E6D04" w:rsidRPr="006C0089">
        <w:rPr>
          <w:color w:val="auto"/>
        </w:rPr>
        <w:t>make sure</w:t>
      </w:r>
      <w:r w:rsidR="00082DBB" w:rsidRPr="006C0089">
        <w:rPr>
          <w:color w:val="auto"/>
        </w:rPr>
        <w:t xml:space="preserve"> that person and whānau-centred debriefs are offered to all tāngata whai ora and that there are robust systems in place to ensure this is documented appropriately.</w:t>
      </w:r>
    </w:p>
    <w:p w14:paraId="4B246F9B" w14:textId="51FC065D" w:rsidR="009C4071" w:rsidRPr="006C0089" w:rsidRDefault="00AD3E9D" w:rsidP="009C4071">
      <w:pPr>
        <w:pStyle w:val="Heading3"/>
        <w:spacing w:before="240"/>
      </w:pPr>
      <w:r w:rsidRPr="006C0089">
        <w:t xml:space="preserve">Voluntary tāngata whai ora </w:t>
      </w:r>
    </w:p>
    <w:p w14:paraId="36860FDF" w14:textId="4ABF0C1B" w:rsidR="001412B5" w:rsidRPr="006C0089" w:rsidRDefault="0017027A" w:rsidP="001412B5">
      <w:pPr>
        <w:pStyle w:val="BodyText"/>
        <w:rPr>
          <w:b/>
          <w:sz w:val="26"/>
          <w:szCs w:val="26"/>
        </w:rPr>
      </w:pPr>
      <w:r>
        <w:rPr>
          <w:rStyle w:val="Heading4Char"/>
        </w:rPr>
        <w:t xml:space="preserve">Recommendation 5 from </w:t>
      </w:r>
      <w:r w:rsidR="001412B5" w:rsidRPr="006C0089">
        <w:rPr>
          <w:rStyle w:val="Heading4Char"/>
        </w:rPr>
        <w:t xml:space="preserve">2019 </w:t>
      </w:r>
      <w:r w:rsidR="0016787F" w:rsidRPr="006C0089">
        <w:rPr>
          <w:rStyle w:val="Heading4Char"/>
        </w:rPr>
        <w:t xml:space="preserve">inspection </w:t>
      </w:r>
      <w:r w:rsidR="001412B5" w:rsidRPr="006C0089">
        <w:rPr>
          <w:b/>
          <w:sz w:val="26"/>
          <w:szCs w:val="26"/>
        </w:rPr>
        <w:t xml:space="preserve">– The </w:t>
      </w:r>
      <w:r w:rsidR="001412B5" w:rsidRPr="006C0089">
        <w:rPr>
          <w:b/>
          <w:i/>
          <w:sz w:val="26"/>
          <w:szCs w:val="26"/>
        </w:rPr>
        <w:t xml:space="preserve">Door Locking: Egress of Adult Inpatient Unit Doors </w:t>
      </w:r>
      <w:r w:rsidR="001412B5" w:rsidRPr="006C0089">
        <w:rPr>
          <w:b/>
          <w:sz w:val="26"/>
          <w:szCs w:val="26"/>
        </w:rPr>
        <w:t>Policy be reviewed, and updated to accurately reflect the status of voluntary service users</w:t>
      </w:r>
      <w:r w:rsidR="001412B5" w:rsidRPr="006C0089">
        <w:rPr>
          <w:sz w:val="26"/>
          <w:szCs w:val="26"/>
        </w:rPr>
        <w:t>.</w:t>
      </w:r>
    </w:p>
    <w:p w14:paraId="33B48864" w14:textId="4A80493A" w:rsidR="001412B5" w:rsidRPr="006C0089" w:rsidRDefault="001412B5" w:rsidP="00416387">
      <w:pPr>
        <w:pStyle w:val="BodyText"/>
        <w:numPr>
          <w:ilvl w:val="0"/>
          <w:numId w:val="32"/>
        </w:numPr>
      </w:pPr>
      <w:r w:rsidRPr="006C0089">
        <w:t>This recommendation was accepted by the Unit.</w:t>
      </w:r>
    </w:p>
    <w:p w14:paraId="2FE13B65" w14:textId="58FDAF3B" w:rsidR="001412B5" w:rsidRPr="006C0089" w:rsidRDefault="001412B5" w:rsidP="00416387">
      <w:pPr>
        <w:pStyle w:val="BodyText"/>
        <w:numPr>
          <w:ilvl w:val="0"/>
          <w:numId w:val="32"/>
        </w:numPr>
      </w:pPr>
      <w:r w:rsidRPr="006C0089">
        <w:t xml:space="preserve">On my follow up inspection I </w:t>
      </w:r>
      <w:r w:rsidR="003938D0" w:rsidRPr="006C0089">
        <w:t xml:space="preserve">considered </w:t>
      </w:r>
      <w:r w:rsidRPr="006C0089">
        <w:t xml:space="preserve">that my recommendation was </w:t>
      </w:r>
      <w:r w:rsidR="00026947" w:rsidRPr="006C0089">
        <w:rPr>
          <w:b/>
        </w:rPr>
        <w:t xml:space="preserve">progressing but not yet </w:t>
      </w:r>
      <w:r w:rsidRPr="006C0089">
        <w:rPr>
          <w:b/>
          <w:color w:val="auto"/>
        </w:rPr>
        <w:t xml:space="preserve">achieved. </w:t>
      </w:r>
    </w:p>
    <w:p w14:paraId="5BA86335" w14:textId="1AAE685A" w:rsidR="00710D97" w:rsidRPr="006C0089" w:rsidRDefault="00710D97" w:rsidP="00710D97">
      <w:pPr>
        <w:spacing w:line="240" w:lineRule="atLeast"/>
      </w:pPr>
      <w:r w:rsidRPr="006C0089">
        <w:t>Inspectors</w:t>
      </w:r>
      <w:r w:rsidR="001C331A" w:rsidRPr="006C0089">
        <w:t xml:space="preserve"> were provided with a </w:t>
      </w:r>
      <w:r w:rsidRPr="006C0089">
        <w:t xml:space="preserve">copy of the </w:t>
      </w:r>
      <w:r w:rsidR="00343B85" w:rsidRPr="006C0089">
        <w:t>‘</w:t>
      </w:r>
      <w:r w:rsidRPr="006C0089">
        <w:rPr>
          <w:i/>
        </w:rPr>
        <w:t>Door Locking: Egress of Adult Inpatient Unit Doors</w:t>
      </w:r>
      <w:r w:rsidR="00343B85" w:rsidRPr="006C0089">
        <w:rPr>
          <w:i/>
        </w:rPr>
        <w:t>’</w:t>
      </w:r>
      <w:r w:rsidRPr="006C0089">
        <w:rPr>
          <w:color w:val="auto"/>
        </w:rPr>
        <w:t xml:space="preserve"> </w:t>
      </w:r>
      <w:r w:rsidR="00D0366E" w:rsidRPr="006C0089">
        <w:rPr>
          <w:color w:val="auto"/>
        </w:rPr>
        <w:t>p</w:t>
      </w:r>
      <w:r w:rsidR="009B4731" w:rsidRPr="006C0089">
        <w:rPr>
          <w:color w:val="auto"/>
        </w:rPr>
        <w:t>olicy that</w:t>
      </w:r>
      <w:r w:rsidR="001C331A" w:rsidRPr="006C0089">
        <w:rPr>
          <w:color w:val="auto"/>
        </w:rPr>
        <w:t xml:space="preserve"> had been</w:t>
      </w:r>
      <w:r w:rsidR="001C331A" w:rsidRPr="006C0089">
        <w:t xml:space="preserve"> reviewed and </w:t>
      </w:r>
      <w:r w:rsidRPr="006C0089">
        <w:t xml:space="preserve">updated </w:t>
      </w:r>
      <w:r w:rsidR="001C331A" w:rsidRPr="006C0089">
        <w:t xml:space="preserve">in </w:t>
      </w:r>
      <w:r w:rsidRPr="006C0089">
        <w:t>June 20</w:t>
      </w:r>
      <w:r w:rsidR="001C331A" w:rsidRPr="006C0089">
        <w:t>20. The policy had a review period of 36 months</w:t>
      </w:r>
      <w:r w:rsidR="00026947" w:rsidRPr="006C0089">
        <w:t>, with the next review in June 2023</w:t>
      </w:r>
      <w:r w:rsidR="001C331A" w:rsidRPr="006C0089">
        <w:t>.</w:t>
      </w:r>
    </w:p>
    <w:p w14:paraId="65F2D81F" w14:textId="0F1C1F1A" w:rsidR="00710D97" w:rsidRPr="006C0089" w:rsidRDefault="00710D97" w:rsidP="00710D97">
      <w:pPr>
        <w:spacing w:line="240" w:lineRule="atLeast"/>
      </w:pPr>
      <w:r w:rsidRPr="006C0089">
        <w:t>The updated policy incl</w:t>
      </w:r>
      <w:r w:rsidR="001C331A" w:rsidRPr="006C0089">
        <w:t>uded a section on the status of i</w:t>
      </w:r>
      <w:r w:rsidRPr="006C0089">
        <w:t xml:space="preserve">nformal (voluntary) </w:t>
      </w:r>
      <w:r w:rsidR="001C331A" w:rsidRPr="006C0089">
        <w:t>tāngata whai ora stating:</w:t>
      </w:r>
    </w:p>
    <w:p w14:paraId="3059FE5F" w14:textId="73E4B450" w:rsidR="00710D97" w:rsidRPr="006C0089" w:rsidRDefault="00710D97" w:rsidP="00710D97">
      <w:pPr>
        <w:spacing w:line="240" w:lineRule="atLeast"/>
        <w:ind w:left="714"/>
        <w:rPr>
          <w:i/>
        </w:rPr>
      </w:pPr>
      <w:r w:rsidRPr="006C0089">
        <w:rPr>
          <w:i/>
        </w:rPr>
        <w:t>This section applies to service users who are informal, are consenting to participate and engage in an assessment and/or treatment programme. As part of their treatment, an agreed leave process as described in service users with unescorted leave may be utilised.</w:t>
      </w:r>
    </w:p>
    <w:p w14:paraId="07804594" w14:textId="28AED998" w:rsidR="00710D97" w:rsidRPr="006C0089" w:rsidRDefault="00710D97" w:rsidP="00710D97">
      <w:pPr>
        <w:spacing w:line="240" w:lineRule="atLeast"/>
        <w:ind w:left="714"/>
        <w:rPr>
          <w:i/>
        </w:rPr>
      </w:pPr>
      <w:r w:rsidRPr="006C0089">
        <w:rPr>
          <w:i/>
        </w:rPr>
        <w:t>Service users who are informal have the right to leave the unit when it is locked. If a staff member has clinical concerns about a service user’s mental state or risk at the time the service user requests to leave the unit, the allocated RN must undertake a clinical assessment. If concerns exist about suitability for leave consideration should be given to use some other authority to detain the person (e.g. relevant PPPR Act order in place; Mental Health Act assessment provisions).</w:t>
      </w:r>
    </w:p>
    <w:p w14:paraId="3EFC0C19" w14:textId="4C807420" w:rsidR="00710D97" w:rsidRPr="006C0089" w:rsidRDefault="00026947" w:rsidP="00710D97">
      <w:pPr>
        <w:spacing w:line="240" w:lineRule="atLeast"/>
      </w:pPr>
      <w:r w:rsidRPr="006C0089">
        <w:t>I appreciate that t</w:t>
      </w:r>
      <w:r w:rsidR="00710D97" w:rsidRPr="006C0089">
        <w:t xml:space="preserve">he policy </w:t>
      </w:r>
      <w:r w:rsidR="009B4731" w:rsidRPr="006C0089">
        <w:t xml:space="preserve">had been updated and </w:t>
      </w:r>
      <w:r w:rsidR="00107F2C" w:rsidRPr="006C0089">
        <w:t xml:space="preserve">it </w:t>
      </w:r>
      <w:r w:rsidR="009B4731" w:rsidRPr="006C0089">
        <w:t>acknowledged</w:t>
      </w:r>
      <w:r w:rsidR="00297927" w:rsidRPr="006C0089">
        <w:t xml:space="preserve"> </w:t>
      </w:r>
      <w:r w:rsidR="00710D97" w:rsidRPr="006C0089">
        <w:t>the different legal status of voluntary service users</w:t>
      </w:r>
      <w:r w:rsidR="005D3D98" w:rsidRPr="006C0089">
        <w:t>, and the right to leave the Unit when locked</w:t>
      </w:r>
      <w:r w:rsidRPr="006C0089">
        <w:t>. However</w:t>
      </w:r>
      <w:r w:rsidR="00710D97" w:rsidRPr="006C0089">
        <w:t xml:space="preserve">, </w:t>
      </w:r>
      <w:r w:rsidR="00107F2C" w:rsidRPr="006C0089">
        <w:t>I consider</w:t>
      </w:r>
      <w:r w:rsidR="00E87149" w:rsidRPr="006C0089">
        <w:t xml:space="preserve"> that</w:t>
      </w:r>
      <w:r w:rsidRPr="006C0089">
        <w:t xml:space="preserve"> </w:t>
      </w:r>
      <w:r w:rsidR="00E87149" w:rsidRPr="006C0089">
        <w:t xml:space="preserve">cross-referencing to the </w:t>
      </w:r>
      <w:r w:rsidR="000F40D4" w:rsidRPr="006C0089">
        <w:t>‘</w:t>
      </w:r>
      <w:r w:rsidR="00E87149" w:rsidRPr="006C0089">
        <w:t>leave process</w:t>
      </w:r>
      <w:r w:rsidR="000F40D4" w:rsidRPr="006C0089">
        <w:t>’</w:t>
      </w:r>
      <w:r w:rsidR="00E87149" w:rsidRPr="006C0089">
        <w:t xml:space="preserve"> could risk confusion and </w:t>
      </w:r>
      <w:r w:rsidR="00710D97" w:rsidRPr="006C0089">
        <w:t>the inappropriate application</w:t>
      </w:r>
      <w:r w:rsidR="00897805" w:rsidRPr="006C0089">
        <w:t xml:space="preserve"> of leave restrictions</w:t>
      </w:r>
      <w:r w:rsidR="00E87149" w:rsidRPr="006C0089">
        <w:t xml:space="preserve"> </w:t>
      </w:r>
      <w:r w:rsidR="003168E3" w:rsidRPr="006C0089">
        <w:t xml:space="preserve">on </w:t>
      </w:r>
      <w:r w:rsidR="00E87149" w:rsidRPr="006C0089">
        <w:t>voluntary tāngata whai ora</w:t>
      </w:r>
      <w:r w:rsidR="00897805" w:rsidRPr="006C0089">
        <w:t xml:space="preserve">. </w:t>
      </w:r>
      <w:r w:rsidR="00297927" w:rsidRPr="006C0089">
        <w:t>Voluntary tāngata whai ora are under no legal co</w:t>
      </w:r>
      <w:r w:rsidR="00897805" w:rsidRPr="006C0089">
        <w:t xml:space="preserve">mpulsion to remain on the Unit </w:t>
      </w:r>
      <w:r w:rsidR="00297927" w:rsidRPr="006C0089">
        <w:t xml:space="preserve">and they should be able to enter and exit the Unit at will. </w:t>
      </w:r>
      <w:r w:rsidR="00E87149" w:rsidRPr="006C0089">
        <w:t xml:space="preserve">Clear </w:t>
      </w:r>
      <w:r w:rsidR="00B567CA" w:rsidRPr="006C0089">
        <w:t xml:space="preserve">policy and </w:t>
      </w:r>
      <w:r w:rsidR="00297927" w:rsidRPr="006C0089">
        <w:t xml:space="preserve">procedures must be in place to allow for this to occur. </w:t>
      </w:r>
    </w:p>
    <w:p w14:paraId="67BFF7EE" w14:textId="51A2A7B2" w:rsidR="00D16766" w:rsidRPr="006C0089" w:rsidRDefault="00897805" w:rsidP="00897805">
      <w:pPr>
        <w:pStyle w:val="BodyText"/>
      </w:pPr>
      <w:r w:rsidRPr="006C0089">
        <w:t xml:space="preserve">I expect the </w:t>
      </w:r>
      <w:r w:rsidR="00343B85" w:rsidRPr="006C0089">
        <w:t>‘</w:t>
      </w:r>
      <w:r w:rsidRPr="006C0089">
        <w:rPr>
          <w:i/>
        </w:rPr>
        <w:t>Door Locking: Egress of Adult Inpatient Unit Doors</w:t>
      </w:r>
      <w:r w:rsidR="00343B85" w:rsidRPr="006C0089">
        <w:rPr>
          <w:i/>
        </w:rPr>
        <w:t>’</w:t>
      </w:r>
      <w:r w:rsidRPr="006C0089">
        <w:rPr>
          <w:color w:val="auto"/>
        </w:rPr>
        <w:t xml:space="preserve"> </w:t>
      </w:r>
      <w:r w:rsidR="003C7B24" w:rsidRPr="006C0089">
        <w:rPr>
          <w:color w:val="auto"/>
        </w:rPr>
        <w:t>p</w:t>
      </w:r>
      <w:r w:rsidRPr="006C0089">
        <w:rPr>
          <w:color w:val="auto"/>
        </w:rPr>
        <w:t>olicy</w:t>
      </w:r>
      <w:r w:rsidR="00297927" w:rsidRPr="006C0089">
        <w:t xml:space="preserve"> </w:t>
      </w:r>
      <w:r w:rsidRPr="006C0089">
        <w:t xml:space="preserve">to clearly define the process to enable voluntary tāngata whai ora </w:t>
      </w:r>
      <w:r w:rsidR="00297927" w:rsidRPr="006C0089">
        <w:t>to enter</w:t>
      </w:r>
      <w:r w:rsidRPr="006C0089">
        <w:t xml:space="preserve"> and exit the Unit at will. </w:t>
      </w:r>
    </w:p>
    <w:p w14:paraId="3B2F97CA" w14:textId="0B300D21" w:rsidR="006E73D1" w:rsidRPr="006C0089" w:rsidRDefault="006E73D1" w:rsidP="006E73D1">
      <w:pPr>
        <w:pStyle w:val="Default"/>
        <w:rPr>
          <w:i/>
        </w:rPr>
      </w:pPr>
      <w:r w:rsidRPr="006C0089">
        <w:t xml:space="preserve">In </w:t>
      </w:r>
      <w:r w:rsidR="006556DC" w:rsidRPr="006C0089">
        <w:t xml:space="preserve">response </w:t>
      </w:r>
      <w:r w:rsidRPr="006C0089">
        <w:t>to my provisional report, Te Whatu Ora stated: ‘</w:t>
      </w:r>
      <w:r w:rsidRPr="006C0089">
        <w:rPr>
          <w:i/>
        </w:rPr>
        <w:t>The policy and procedure document guiding leave practices at He Puna Waiora has been recently updated to emphasise that tāngata whai i te ora who are voluntarily in the unit cannot be subject to leave provisions. Voluntary tāngata whai i te ora are advised to speak to their nurse to exit the unit, as it is important that staff are aware of who is on the unit at any time for health and safety reasons.’</w:t>
      </w:r>
    </w:p>
    <w:p w14:paraId="4D747385" w14:textId="5BC00AA6" w:rsidR="00A77E24" w:rsidRPr="006C0089" w:rsidRDefault="00A77E24" w:rsidP="006E73D1">
      <w:pPr>
        <w:pStyle w:val="Default"/>
        <w:rPr>
          <w:i/>
        </w:rPr>
      </w:pPr>
    </w:p>
    <w:p w14:paraId="7165601D" w14:textId="149B3D63" w:rsidR="00A77E24" w:rsidRPr="006C0089" w:rsidRDefault="00A77E24" w:rsidP="006E73D1">
      <w:pPr>
        <w:pStyle w:val="Default"/>
      </w:pPr>
      <w:r w:rsidRPr="006C0089">
        <w:t xml:space="preserve">The Ministry of Health said they had been advised that the leave policy had been updated to emphasise that leave provisions cannot be placed on voluntary tāngata whai ora.  </w:t>
      </w:r>
    </w:p>
    <w:p w14:paraId="2BDEE8D7" w14:textId="2345DEB8" w:rsidR="006E73D1" w:rsidRPr="006C0089" w:rsidRDefault="006E73D1" w:rsidP="006E73D1">
      <w:pPr>
        <w:pStyle w:val="Default"/>
      </w:pPr>
    </w:p>
    <w:p w14:paraId="5AFEE35A" w14:textId="180179E2" w:rsidR="00D16766" w:rsidRPr="006C0089" w:rsidRDefault="006E73D1" w:rsidP="006E73D1">
      <w:pPr>
        <w:pStyle w:val="BodyText"/>
      </w:pPr>
      <w:r w:rsidRPr="006C0089">
        <w:t>I am pleased to hear that the Unit’s policy has been updated to clarify that voluntary tāngata whai ora are not subject to the leave provision</w:t>
      </w:r>
      <w:r w:rsidR="00B44EBE" w:rsidRPr="006C0089">
        <w:t xml:space="preserve">. </w:t>
      </w:r>
      <w:r w:rsidR="006F1DF5" w:rsidRPr="006C0089">
        <w:t>I will be following up on this at my next inspection.</w:t>
      </w:r>
    </w:p>
    <w:p w14:paraId="34F06439" w14:textId="26CC780C" w:rsidR="00897805" w:rsidRPr="006C0089" w:rsidRDefault="0017027A" w:rsidP="00897805">
      <w:pPr>
        <w:pStyle w:val="BodyText"/>
      </w:pPr>
      <w:r>
        <w:rPr>
          <w:rStyle w:val="Heading4Char"/>
        </w:rPr>
        <w:t xml:space="preserve">Recommendation 6 from </w:t>
      </w:r>
      <w:r w:rsidR="00897805" w:rsidRPr="006C0089">
        <w:rPr>
          <w:rStyle w:val="Heading4Char"/>
        </w:rPr>
        <w:t xml:space="preserve">2019 </w:t>
      </w:r>
      <w:r w:rsidR="0016787F" w:rsidRPr="006C0089">
        <w:rPr>
          <w:rStyle w:val="Heading4Char"/>
        </w:rPr>
        <w:t xml:space="preserve">inspection </w:t>
      </w:r>
      <w:r w:rsidR="00897805" w:rsidRPr="006C0089">
        <w:rPr>
          <w:b/>
          <w:sz w:val="26"/>
          <w:szCs w:val="26"/>
        </w:rPr>
        <w:t xml:space="preserve">– </w:t>
      </w:r>
      <w:r w:rsidR="00897805" w:rsidRPr="006C0089">
        <w:rPr>
          <w:b/>
          <w:bCs/>
          <w:sz w:val="26"/>
          <w:szCs w:val="26"/>
        </w:rPr>
        <w:t xml:space="preserve">The Unit address the risk of arbitrarily detaining voluntary service users by prominently displaying the process for entry and exit into the Unit, including in the Unit entrance. </w:t>
      </w:r>
    </w:p>
    <w:p w14:paraId="7986F37A" w14:textId="4F3EBD48" w:rsidR="00897805" w:rsidRPr="006C0089" w:rsidRDefault="00897805" w:rsidP="00416387">
      <w:pPr>
        <w:pStyle w:val="BodyText"/>
        <w:numPr>
          <w:ilvl w:val="0"/>
          <w:numId w:val="34"/>
        </w:numPr>
      </w:pPr>
      <w:r w:rsidRPr="006C0089">
        <w:t>This recommendation was accepted by the Unit.</w:t>
      </w:r>
    </w:p>
    <w:p w14:paraId="49377DB1" w14:textId="7E91F1D8" w:rsidR="00897805" w:rsidRPr="006C0089" w:rsidRDefault="00897805" w:rsidP="00416387">
      <w:pPr>
        <w:pStyle w:val="BodyText"/>
        <w:numPr>
          <w:ilvl w:val="0"/>
          <w:numId w:val="32"/>
        </w:numPr>
      </w:pPr>
      <w:r w:rsidRPr="006C0089">
        <w:t xml:space="preserve">On my follow up inspection I </w:t>
      </w:r>
      <w:r w:rsidR="003938D0" w:rsidRPr="006C0089">
        <w:t xml:space="preserve">considered </w:t>
      </w:r>
      <w:r w:rsidRPr="006C0089">
        <w:t xml:space="preserve">that my recommendation was </w:t>
      </w:r>
      <w:r w:rsidR="00107F2C" w:rsidRPr="006C0089">
        <w:rPr>
          <w:b/>
        </w:rPr>
        <w:t xml:space="preserve">progressing but not yet </w:t>
      </w:r>
      <w:r w:rsidRPr="006C0089">
        <w:rPr>
          <w:b/>
          <w:color w:val="auto"/>
        </w:rPr>
        <w:t xml:space="preserve">achieved. </w:t>
      </w:r>
    </w:p>
    <w:p w14:paraId="2DD365B8" w14:textId="0FD5FF03" w:rsidR="00897805" w:rsidRPr="006C0089" w:rsidRDefault="00E61821" w:rsidP="00897805">
      <w:pPr>
        <w:pStyle w:val="BodyText"/>
        <w:rPr>
          <w:b/>
        </w:rPr>
      </w:pPr>
      <w:r w:rsidRPr="006C0089">
        <w:t xml:space="preserve">At the time of inspection, </w:t>
      </w:r>
      <w:r w:rsidR="00880A6F" w:rsidRPr="006C0089">
        <w:t xml:space="preserve">copies of </w:t>
      </w:r>
      <w:r w:rsidR="0074385A" w:rsidRPr="006C0089">
        <w:t xml:space="preserve">a </w:t>
      </w:r>
      <w:r w:rsidR="00D36178" w:rsidRPr="006C0089">
        <w:t>p</w:t>
      </w:r>
      <w:r w:rsidR="0074385A" w:rsidRPr="006C0089">
        <w:t>oster</w:t>
      </w:r>
      <w:r w:rsidRPr="006C0089">
        <w:t xml:space="preserve"> detailing the process for </w:t>
      </w:r>
      <w:r w:rsidR="006A35B4" w:rsidRPr="006C0089">
        <w:t xml:space="preserve">exiting </w:t>
      </w:r>
      <w:r w:rsidRPr="006C0089">
        <w:t xml:space="preserve">the Unit </w:t>
      </w:r>
      <w:r w:rsidR="00A93550" w:rsidRPr="006C0089">
        <w:t>w</w:t>
      </w:r>
      <w:r w:rsidR="00A11976" w:rsidRPr="006C0089">
        <w:t>ere</w:t>
      </w:r>
      <w:r w:rsidR="00A93550" w:rsidRPr="006C0089">
        <w:t xml:space="preserve"> </w:t>
      </w:r>
      <w:r w:rsidRPr="006C0089">
        <w:t xml:space="preserve">displayed </w:t>
      </w:r>
      <w:r w:rsidR="00897805" w:rsidRPr="006C0089">
        <w:t>prominently</w:t>
      </w:r>
      <w:r w:rsidRPr="006C0089">
        <w:t xml:space="preserve"> on</w:t>
      </w:r>
      <w:r w:rsidR="00897805" w:rsidRPr="006C0089">
        <w:t xml:space="preserve"> </w:t>
      </w:r>
      <w:r w:rsidRPr="006C0089">
        <w:t>all</w:t>
      </w:r>
      <w:r w:rsidR="00897805" w:rsidRPr="006C0089">
        <w:t xml:space="preserve"> internal doors</w:t>
      </w:r>
      <w:r w:rsidR="003D6C1F" w:rsidRPr="006C0089">
        <w:t>,</w:t>
      </w:r>
      <w:r w:rsidR="00897805" w:rsidRPr="006C0089">
        <w:t xml:space="preserve"> throughout the Unit</w:t>
      </w:r>
      <w:r w:rsidR="003D6C1F" w:rsidRPr="006C0089">
        <w:t>,</w:t>
      </w:r>
      <w:r w:rsidR="004E60E7" w:rsidRPr="006C0089">
        <w:t xml:space="preserve"> including the entry doors into the </w:t>
      </w:r>
      <w:r w:rsidR="004E60E7" w:rsidRPr="006C0089">
        <w:rPr>
          <w:color w:val="auto"/>
        </w:rPr>
        <w:t>Rongoa and Rerewai</w:t>
      </w:r>
      <w:r w:rsidR="004E60E7" w:rsidRPr="006C0089">
        <w:t xml:space="preserve"> </w:t>
      </w:r>
      <w:r w:rsidR="00107F2C" w:rsidRPr="006C0089">
        <w:t>W</w:t>
      </w:r>
      <w:r w:rsidR="004E60E7" w:rsidRPr="006C0089">
        <w:t>ards</w:t>
      </w:r>
      <w:r w:rsidRPr="006C0089">
        <w:t xml:space="preserve">. </w:t>
      </w:r>
      <w:r w:rsidR="004E60E7" w:rsidRPr="006C0089">
        <w:t xml:space="preserve">However, this </w:t>
      </w:r>
      <w:r w:rsidR="003D6C1F" w:rsidRPr="006C0089">
        <w:t xml:space="preserve">poster </w:t>
      </w:r>
      <w:r w:rsidR="004E60E7" w:rsidRPr="006C0089">
        <w:t xml:space="preserve">was not displayed in the Unit’s main reception/entrance area. </w:t>
      </w:r>
      <w:r w:rsidRPr="006C0089">
        <w:t xml:space="preserve">The </w:t>
      </w:r>
      <w:r w:rsidR="003D6C1F" w:rsidRPr="006C0089">
        <w:t>poster</w:t>
      </w:r>
      <w:r w:rsidR="00897805" w:rsidRPr="006C0089">
        <w:t xml:space="preserve"> </w:t>
      </w:r>
      <w:r w:rsidRPr="006C0089">
        <w:t xml:space="preserve">directed </w:t>
      </w:r>
      <w:r w:rsidR="00897805" w:rsidRPr="006C0089">
        <w:t xml:space="preserve">voluntary </w:t>
      </w:r>
      <w:r w:rsidRPr="006C0089">
        <w:t xml:space="preserve">or informal </w:t>
      </w:r>
      <w:r w:rsidR="00897805" w:rsidRPr="006C0089">
        <w:t>tāngata wha</w:t>
      </w:r>
      <w:r w:rsidRPr="006C0089">
        <w:t xml:space="preserve">i ora </w:t>
      </w:r>
      <w:r w:rsidR="003D6C1F" w:rsidRPr="006C0089">
        <w:t xml:space="preserve">who wanted to leave the Unit </w:t>
      </w:r>
      <w:r w:rsidRPr="006C0089">
        <w:t>to ‘</w:t>
      </w:r>
      <w:r w:rsidRPr="006C0089">
        <w:rPr>
          <w:i/>
        </w:rPr>
        <w:t>please speak to your allocated nurse who can arrange this for you as part of your care/treatment plan’</w:t>
      </w:r>
      <w:r w:rsidRPr="006C0089">
        <w:t xml:space="preserve">. </w:t>
      </w:r>
      <w:r w:rsidR="00853B69" w:rsidRPr="006C0089">
        <w:t>Whilst the presence of this signage is positive, as I note above, voluntary tāngata whai ora are under no legal compulsion to remain on the Unit and they should be able to enter and exit the Unit at will. This should not require specific arrangement ‘</w:t>
      </w:r>
      <w:r w:rsidR="00853B69" w:rsidRPr="006C0089">
        <w:rPr>
          <w:i/>
        </w:rPr>
        <w:t>as part of [their] care/treatment plan.’</w:t>
      </w:r>
    </w:p>
    <w:p w14:paraId="21F2227B" w14:textId="6DDC1B9D" w:rsidR="00897805" w:rsidRPr="006C0089" w:rsidRDefault="008E0AEA" w:rsidP="00897805">
      <w:pPr>
        <w:pStyle w:val="BodyText"/>
        <w:rPr>
          <w:b/>
        </w:rPr>
      </w:pPr>
      <w:r w:rsidRPr="006C0089">
        <w:t xml:space="preserve">The </w:t>
      </w:r>
      <w:r w:rsidR="009B4731" w:rsidRPr="006C0089">
        <w:t>‘</w:t>
      </w:r>
      <w:r w:rsidRPr="006C0089">
        <w:rPr>
          <w:i/>
        </w:rPr>
        <w:t>Welcome Book He Puna Waiora</w:t>
      </w:r>
      <w:r w:rsidR="009B4731" w:rsidRPr="006C0089">
        <w:rPr>
          <w:i/>
        </w:rPr>
        <w:t>’</w:t>
      </w:r>
      <w:r w:rsidRPr="006C0089">
        <w:t xml:space="preserve"> </w:t>
      </w:r>
      <w:r w:rsidR="004E60E7" w:rsidRPr="006C0089">
        <w:t xml:space="preserve">provided to tāngata whai ora </w:t>
      </w:r>
      <w:r w:rsidR="009B4731" w:rsidRPr="006C0089">
        <w:t>as part of their welcome pack</w:t>
      </w:r>
      <w:r w:rsidR="004E60E7" w:rsidRPr="006C0089">
        <w:t xml:space="preserve">, </w:t>
      </w:r>
      <w:r w:rsidRPr="006C0089">
        <w:t>included a section on leaving the Unit</w:t>
      </w:r>
      <w:r w:rsidR="000B0086" w:rsidRPr="006C0089">
        <w:t>,</w:t>
      </w:r>
      <w:r w:rsidR="00AD3E9D" w:rsidRPr="006C0089">
        <w:t xml:space="preserve"> stating: </w:t>
      </w:r>
    </w:p>
    <w:p w14:paraId="61218BF8" w14:textId="36326FFE" w:rsidR="00897805" w:rsidRPr="006C0089" w:rsidRDefault="008E0AEA" w:rsidP="008E0AEA">
      <w:pPr>
        <w:pStyle w:val="BodyText"/>
        <w:ind w:left="567"/>
        <w:rPr>
          <w:b/>
        </w:rPr>
      </w:pPr>
      <w:r w:rsidRPr="006C0089">
        <w:rPr>
          <w:i/>
        </w:rPr>
        <w:t>S</w:t>
      </w:r>
      <w:r w:rsidR="00897805" w:rsidRPr="006C0089">
        <w:rPr>
          <w:i/>
        </w:rPr>
        <w:t>ome people under the Mental Health Act may be required to remain in the unit at all times. Talk with your nurse if you are unsure. If you are able to leave He Puna Waiora for periods please let staff know before you leave. If you do leave HPW could you please record your departure on the whiteboard by the exit doors. Please includ</w:t>
      </w:r>
      <w:r w:rsidRPr="006C0089">
        <w:rPr>
          <w:i/>
        </w:rPr>
        <w:t>e your expected time of return.</w:t>
      </w:r>
    </w:p>
    <w:p w14:paraId="547E28CE" w14:textId="5322594A" w:rsidR="009408E3" w:rsidRPr="006C0089" w:rsidRDefault="00107F2C" w:rsidP="009408E3">
      <w:pPr>
        <w:pStyle w:val="BodyText"/>
        <w:rPr>
          <w:b/>
        </w:rPr>
      </w:pPr>
      <w:r w:rsidRPr="006C0089">
        <w:t>Staff told Inspectors</w:t>
      </w:r>
      <w:r w:rsidR="009408E3" w:rsidRPr="006C0089">
        <w:t xml:space="preserve"> that all tāngata whai ora received a copy of the welcome book as part of the welcome pack </w:t>
      </w:r>
      <w:r w:rsidRPr="006C0089">
        <w:t xml:space="preserve">provided on </w:t>
      </w:r>
      <w:r w:rsidR="009B4731" w:rsidRPr="006C0089">
        <w:t>their</w:t>
      </w:r>
      <w:r w:rsidR="009408E3" w:rsidRPr="006C0089">
        <w:t xml:space="preserve"> arrival to the Unit. However, four tāngata whai ora </w:t>
      </w:r>
      <w:r w:rsidRPr="006C0089">
        <w:t>told</w:t>
      </w:r>
      <w:r w:rsidR="009408E3" w:rsidRPr="006C0089">
        <w:t xml:space="preserve"> Inspectors they had never received </w:t>
      </w:r>
      <w:r w:rsidR="009B4731" w:rsidRPr="006C0089">
        <w:t>a</w:t>
      </w:r>
      <w:r w:rsidR="009408E3" w:rsidRPr="006C0089">
        <w:t xml:space="preserve"> welcome pack. Two further tāngata whai ora said they received their welcome pack late</w:t>
      </w:r>
      <w:r w:rsidR="00AD3E9D" w:rsidRPr="006C0089">
        <w:t xml:space="preserve"> into their stay on the Unit. </w:t>
      </w:r>
    </w:p>
    <w:p w14:paraId="1A99007E" w14:textId="70C242B3" w:rsidR="003D6C1F" w:rsidRPr="006C0089" w:rsidRDefault="006A35B4" w:rsidP="004E60E7">
      <w:pPr>
        <w:pStyle w:val="BodyText"/>
      </w:pPr>
      <w:r w:rsidRPr="006C0089">
        <w:t xml:space="preserve">I am pleased to hear that information regarding the process for exiting the Unit is </w:t>
      </w:r>
      <w:r w:rsidRPr="006C0089">
        <w:rPr>
          <w:bCs/>
        </w:rPr>
        <w:t xml:space="preserve">prominently displayed </w:t>
      </w:r>
      <w:r w:rsidR="009408E3" w:rsidRPr="006C0089">
        <w:rPr>
          <w:bCs/>
        </w:rPr>
        <w:t>throughout</w:t>
      </w:r>
      <w:r w:rsidRPr="006C0089">
        <w:rPr>
          <w:bCs/>
        </w:rPr>
        <w:t xml:space="preserve"> the Unit </w:t>
      </w:r>
      <w:r w:rsidR="009B4731" w:rsidRPr="006C0089">
        <w:rPr>
          <w:bCs/>
        </w:rPr>
        <w:t>and provided in the welcome pack</w:t>
      </w:r>
      <w:r w:rsidR="00384FD9" w:rsidRPr="006C0089">
        <w:rPr>
          <w:bCs/>
        </w:rPr>
        <w:t>. However</w:t>
      </w:r>
      <w:r w:rsidR="006C1697" w:rsidRPr="006C0089">
        <w:rPr>
          <w:bCs/>
        </w:rPr>
        <w:t>,</w:t>
      </w:r>
      <w:r w:rsidR="009408E3" w:rsidRPr="006C0089">
        <w:rPr>
          <w:bCs/>
        </w:rPr>
        <w:t xml:space="preserve"> I expect that</w:t>
      </w:r>
      <w:r w:rsidR="007C50FF" w:rsidRPr="006C0089">
        <w:rPr>
          <w:bCs/>
        </w:rPr>
        <w:t xml:space="preserve"> all tāngata whai ora are provided with </w:t>
      </w:r>
      <w:r w:rsidR="000D10A3" w:rsidRPr="006C0089">
        <w:rPr>
          <w:bCs/>
        </w:rPr>
        <w:t xml:space="preserve">information regarding </w:t>
      </w:r>
      <w:r w:rsidR="007C50FF" w:rsidRPr="006C0089">
        <w:rPr>
          <w:bCs/>
        </w:rPr>
        <w:t xml:space="preserve">the process for entry and exit </w:t>
      </w:r>
      <w:r w:rsidR="00384FD9" w:rsidRPr="006C0089">
        <w:rPr>
          <w:bCs/>
        </w:rPr>
        <w:t xml:space="preserve">on </w:t>
      </w:r>
      <w:r w:rsidR="00F82AC3" w:rsidRPr="006C0089">
        <w:rPr>
          <w:bCs/>
        </w:rPr>
        <w:t xml:space="preserve">admission to </w:t>
      </w:r>
      <w:r w:rsidR="007C50FF" w:rsidRPr="006C0089">
        <w:rPr>
          <w:bCs/>
        </w:rPr>
        <w:t>the Unit</w:t>
      </w:r>
      <w:r w:rsidR="00853B69" w:rsidRPr="006C0089">
        <w:rPr>
          <w:bCs/>
        </w:rPr>
        <w:t xml:space="preserve"> that accurately reflects their legal status</w:t>
      </w:r>
      <w:r w:rsidR="002F10A0" w:rsidRPr="006C0089">
        <w:rPr>
          <w:bCs/>
        </w:rPr>
        <w:t>.</w:t>
      </w:r>
    </w:p>
    <w:p w14:paraId="119758F8" w14:textId="35A91AFA" w:rsidR="009C4071" w:rsidRPr="006C0089" w:rsidRDefault="009C4071" w:rsidP="003F24CB">
      <w:pPr>
        <w:pStyle w:val="Heading2"/>
      </w:pPr>
      <w:bookmarkStart w:id="30" w:name="_Protective_measures"/>
      <w:bookmarkStart w:id="31" w:name="_Toc170115750"/>
      <w:bookmarkEnd w:id="30"/>
      <w:r w:rsidRPr="006C0089">
        <w:t>Protective measures</w:t>
      </w:r>
      <w:bookmarkEnd w:id="31"/>
    </w:p>
    <w:p w14:paraId="337CAFEE" w14:textId="100544CC" w:rsidR="00D16766" w:rsidRPr="006C0089" w:rsidRDefault="00D16766" w:rsidP="00D16766">
      <w:pPr>
        <w:pStyle w:val="Heading3"/>
      </w:pPr>
      <w:r w:rsidRPr="006C0089">
        <w:t>Complaint process</w:t>
      </w:r>
    </w:p>
    <w:p w14:paraId="107134C9" w14:textId="7B3E941F" w:rsidR="009C4071" w:rsidRPr="006C0089" w:rsidRDefault="00996632" w:rsidP="009C4071">
      <w:pPr>
        <w:pStyle w:val="BodyText"/>
        <w:rPr>
          <w:b/>
          <w:bCs/>
          <w:sz w:val="26"/>
          <w:szCs w:val="26"/>
        </w:rPr>
      </w:pPr>
      <w:r>
        <w:rPr>
          <w:rStyle w:val="Heading4Char"/>
        </w:rPr>
        <w:t xml:space="preserve">Recommendation 7 from </w:t>
      </w:r>
      <w:r w:rsidR="0016787F" w:rsidRPr="006C0089">
        <w:rPr>
          <w:rStyle w:val="Heading4Char"/>
        </w:rPr>
        <w:t xml:space="preserve">2019 inspection </w:t>
      </w:r>
      <w:r w:rsidR="009C4071" w:rsidRPr="006C0089">
        <w:rPr>
          <w:b/>
          <w:sz w:val="26"/>
          <w:szCs w:val="26"/>
        </w:rPr>
        <w:t xml:space="preserve">– Information on the complaints process should be easily visible and accessible to all service users, including information on the role of the District Inspectors. </w:t>
      </w:r>
    </w:p>
    <w:p w14:paraId="6202C6FA" w14:textId="77777777" w:rsidR="009C4071" w:rsidRPr="006C0089" w:rsidRDefault="009C4071" w:rsidP="00416387">
      <w:pPr>
        <w:pStyle w:val="BodyText"/>
        <w:numPr>
          <w:ilvl w:val="0"/>
          <w:numId w:val="34"/>
        </w:numPr>
      </w:pPr>
      <w:r w:rsidRPr="006C0089">
        <w:t>This recommendation was accepted by the Unit.</w:t>
      </w:r>
    </w:p>
    <w:p w14:paraId="4EFF8A43" w14:textId="71E56482" w:rsidR="009C4071" w:rsidRPr="006C0089" w:rsidRDefault="009C4071" w:rsidP="00416387">
      <w:pPr>
        <w:pStyle w:val="BodyText"/>
        <w:numPr>
          <w:ilvl w:val="0"/>
          <w:numId w:val="32"/>
        </w:numPr>
      </w:pPr>
      <w:r w:rsidRPr="006C0089">
        <w:t xml:space="preserve">On my follow up inspection I </w:t>
      </w:r>
      <w:r w:rsidR="00F32721" w:rsidRPr="006C0089">
        <w:t xml:space="preserve">considered </w:t>
      </w:r>
      <w:r w:rsidRPr="006C0089">
        <w:t xml:space="preserve">that my recommendation was </w:t>
      </w:r>
      <w:r w:rsidR="00852DC3" w:rsidRPr="006C0089">
        <w:rPr>
          <w:b/>
        </w:rPr>
        <w:t>progressing but not yet</w:t>
      </w:r>
      <w:r w:rsidR="00852DC3" w:rsidRPr="006C0089">
        <w:t xml:space="preserve"> </w:t>
      </w:r>
      <w:r w:rsidRPr="006C0089">
        <w:rPr>
          <w:b/>
          <w:color w:val="auto"/>
        </w:rPr>
        <w:t xml:space="preserve">achieved. </w:t>
      </w:r>
    </w:p>
    <w:p w14:paraId="32F9A0BD" w14:textId="666B04F2" w:rsidR="00F848B9" w:rsidRPr="006C0089" w:rsidRDefault="00D36178" w:rsidP="009C4071">
      <w:pPr>
        <w:pStyle w:val="Boxsmallnumber-1"/>
        <w:numPr>
          <w:ilvl w:val="0"/>
          <w:numId w:val="0"/>
        </w:numPr>
        <w:tabs>
          <w:tab w:val="left" w:pos="720"/>
        </w:tabs>
      </w:pPr>
      <w:r w:rsidRPr="006C0089">
        <w:t xml:space="preserve">Inspectors </w:t>
      </w:r>
      <w:r w:rsidR="009B4731" w:rsidRPr="006C0089">
        <w:t>observed</w:t>
      </w:r>
      <w:r w:rsidRPr="006C0089">
        <w:t xml:space="preserve"> a range of brochures and pamphlets </w:t>
      </w:r>
      <w:r w:rsidR="00F848B9" w:rsidRPr="006C0089">
        <w:t>about</w:t>
      </w:r>
      <w:r w:rsidRPr="006C0089">
        <w:t xml:space="preserve"> complaints process</w:t>
      </w:r>
      <w:r w:rsidR="00F848B9" w:rsidRPr="006C0089">
        <w:t>es,</w:t>
      </w:r>
      <w:r w:rsidRPr="006C0089">
        <w:t xml:space="preserve"> as well as complaint/feedback forms</w:t>
      </w:r>
      <w:r w:rsidR="006869A1" w:rsidRPr="006C0089">
        <w:t>,</w:t>
      </w:r>
      <w:r w:rsidRPr="006C0089">
        <w:t xml:space="preserve"> in both the Rerewai and Rongoa </w:t>
      </w:r>
      <w:r w:rsidR="008D0CAA" w:rsidRPr="006C0089">
        <w:t>W</w:t>
      </w:r>
      <w:r w:rsidRPr="006C0089">
        <w:t>ards</w:t>
      </w:r>
      <w:r w:rsidR="00F848B9" w:rsidRPr="006C0089">
        <w:t>. Complaints information was</w:t>
      </w:r>
      <w:r w:rsidR="009B4731" w:rsidRPr="006C0089">
        <w:t xml:space="preserve"> also</w:t>
      </w:r>
      <w:r w:rsidR="00F848B9" w:rsidRPr="006C0089">
        <w:t xml:space="preserve"> included in the welcome packs in the Gold Wing</w:t>
      </w:r>
      <w:r w:rsidR="00852DC3" w:rsidRPr="006C0089">
        <w:t xml:space="preserve"> of Rongoa Ward</w:t>
      </w:r>
      <w:r w:rsidR="00F848B9" w:rsidRPr="006C0089">
        <w:t>.</w:t>
      </w:r>
    </w:p>
    <w:p w14:paraId="7CC7CFA1" w14:textId="2CD0CE73" w:rsidR="009C4071" w:rsidRPr="006C0089" w:rsidRDefault="008036E7" w:rsidP="009C4071">
      <w:pPr>
        <w:pStyle w:val="Boxsmallnumber-1"/>
        <w:numPr>
          <w:ilvl w:val="0"/>
          <w:numId w:val="0"/>
        </w:numPr>
        <w:tabs>
          <w:tab w:val="left" w:pos="720"/>
        </w:tabs>
      </w:pPr>
      <w:r w:rsidRPr="006C0089">
        <w:t>Various p</w:t>
      </w:r>
      <w:r w:rsidR="00F848B9" w:rsidRPr="006C0089">
        <w:t>osters</w:t>
      </w:r>
      <w:r w:rsidR="00D36178" w:rsidRPr="006C0089">
        <w:t xml:space="preserve"> regarding</w:t>
      </w:r>
      <w:r w:rsidR="009C4071" w:rsidRPr="006C0089">
        <w:t xml:space="preserve"> the complaints process</w:t>
      </w:r>
      <w:r w:rsidRPr="006C0089">
        <w:t>,</w:t>
      </w:r>
      <w:r w:rsidR="00D36178" w:rsidRPr="006C0089">
        <w:t xml:space="preserve"> and </w:t>
      </w:r>
      <w:r w:rsidR="00F848B9" w:rsidRPr="006C0089">
        <w:t xml:space="preserve">providing </w:t>
      </w:r>
      <w:r w:rsidR="00D36178" w:rsidRPr="006C0089">
        <w:t xml:space="preserve">the </w:t>
      </w:r>
      <w:r w:rsidR="009C4071" w:rsidRPr="006C0089">
        <w:t xml:space="preserve">contact details of </w:t>
      </w:r>
      <w:r w:rsidR="00D36178" w:rsidRPr="006C0089">
        <w:t xml:space="preserve">the </w:t>
      </w:r>
      <w:r w:rsidR="009C4071" w:rsidRPr="006C0089">
        <w:t xml:space="preserve">District Inspectors, the </w:t>
      </w:r>
      <w:r w:rsidR="008F7B7A" w:rsidRPr="006C0089">
        <w:t>Waitematā</w:t>
      </w:r>
      <w:r w:rsidR="009C4071" w:rsidRPr="006C0089">
        <w:t xml:space="preserve"> Te Whatu Ora complaints team, and the Health an</w:t>
      </w:r>
      <w:r w:rsidR="00D36178" w:rsidRPr="006C0089">
        <w:t>d Disability Commissioner</w:t>
      </w:r>
      <w:r w:rsidR="00F848B9" w:rsidRPr="006C0089">
        <w:t xml:space="preserve"> were displayed throughout the Unit.</w:t>
      </w:r>
      <w:r w:rsidR="007762E6" w:rsidRPr="006C0089">
        <w:rPr>
          <w:rStyle w:val="FootnoteReference"/>
        </w:rPr>
        <w:footnoteReference w:id="16"/>
      </w:r>
      <w:r w:rsidR="00F848B9" w:rsidRPr="006C0089">
        <w:t xml:space="preserve"> </w:t>
      </w:r>
    </w:p>
    <w:p w14:paraId="0652CED9" w14:textId="105C3A1C" w:rsidR="00C076AD" w:rsidRPr="006C0089" w:rsidRDefault="00C076AD" w:rsidP="00C076AD">
      <w:pPr>
        <w:pStyle w:val="BodyText"/>
        <w:rPr>
          <w:b/>
        </w:rPr>
      </w:pPr>
      <w:r w:rsidRPr="006C0089">
        <w:t xml:space="preserve">Management advised Inspectors that tāngata whai ora received welcome packs on admission, which included information about the </w:t>
      </w:r>
      <w:r w:rsidR="00B83747" w:rsidRPr="006C0089">
        <w:t xml:space="preserve">complaints </w:t>
      </w:r>
      <w:r w:rsidRPr="006C0089">
        <w:t xml:space="preserve">process. </w:t>
      </w:r>
      <w:r w:rsidR="009B4731" w:rsidRPr="006C0089">
        <w:t>However, as outlined in recommendation 6,</w:t>
      </w:r>
      <w:r w:rsidRPr="006C0089">
        <w:t xml:space="preserve"> four tāngata wh</w:t>
      </w:r>
      <w:r w:rsidR="009B4731" w:rsidRPr="006C0089">
        <w:t xml:space="preserve">ai ora told Inspectors </w:t>
      </w:r>
      <w:r w:rsidRPr="006C0089">
        <w:t>they had never received their welcome pack and two others reported receiving the p</w:t>
      </w:r>
      <w:r w:rsidR="00AD3E9D" w:rsidRPr="006C0089">
        <w:t xml:space="preserve">ack late into their admission. </w:t>
      </w:r>
    </w:p>
    <w:p w14:paraId="37DA6AE4" w14:textId="37021C95" w:rsidR="009C4071" w:rsidRPr="006C0089" w:rsidRDefault="009C4071" w:rsidP="00F82AC3">
      <w:pPr>
        <w:pStyle w:val="BodyText"/>
        <w:rPr>
          <w:szCs w:val="24"/>
        </w:rPr>
      </w:pPr>
      <w:r w:rsidRPr="006C0089">
        <w:t xml:space="preserve">Tāngata whai ora </w:t>
      </w:r>
      <w:r w:rsidR="002803C8" w:rsidRPr="006C0089">
        <w:t>had</w:t>
      </w:r>
      <w:r w:rsidR="00B83747" w:rsidRPr="006C0089">
        <w:t xml:space="preserve"> </w:t>
      </w:r>
      <w:r w:rsidRPr="006C0089">
        <w:t>a mixed understanding of</w:t>
      </w:r>
      <w:r w:rsidR="00C076AD" w:rsidRPr="006C0089">
        <w:t xml:space="preserve"> the</w:t>
      </w:r>
      <w:r w:rsidRPr="006C0089">
        <w:t xml:space="preserve"> complaints </w:t>
      </w:r>
      <w:r w:rsidR="00C076AD" w:rsidRPr="006C0089">
        <w:t>process</w:t>
      </w:r>
      <w:r w:rsidRPr="006C0089">
        <w:t>. Some</w:t>
      </w:r>
      <w:r w:rsidR="00C076AD" w:rsidRPr="006C0089">
        <w:t xml:space="preserve"> tāngata whai ora</w:t>
      </w:r>
      <w:r w:rsidRPr="006C0089">
        <w:t xml:space="preserve"> </w:t>
      </w:r>
      <w:r w:rsidR="002803C8" w:rsidRPr="006C0089">
        <w:t xml:space="preserve">told Inspectors they </w:t>
      </w:r>
      <w:r w:rsidRPr="006C0089">
        <w:t xml:space="preserve">had actively engaged in </w:t>
      </w:r>
      <w:r w:rsidR="00C076AD" w:rsidRPr="006C0089">
        <w:t xml:space="preserve">the </w:t>
      </w:r>
      <w:r w:rsidR="00F848B9" w:rsidRPr="006C0089">
        <w:t>complaints process</w:t>
      </w:r>
      <w:r w:rsidRPr="006C0089">
        <w:t>, including contact</w:t>
      </w:r>
      <w:r w:rsidR="00B83747" w:rsidRPr="006C0089">
        <w:t>ing</w:t>
      </w:r>
      <w:r w:rsidRPr="006C0089">
        <w:t xml:space="preserve"> </w:t>
      </w:r>
      <w:r w:rsidR="00B83747" w:rsidRPr="006C0089">
        <w:t xml:space="preserve">a </w:t>
      </w:r>
      <w:r w:rsidRPr="006C0089">
        <w:t>District</w:t>
      </w:r>
      <w:r w:rsidR="00C076AD" w:rsidRPr="006C0089">
        <w:t xml:space="preserve"> Inspector and/</w:t>
      </w:r>
      <w:r w:rsidR="00F848B9" w:rsidRPr="006C0089">
        <w:t xml:space="preserve">or </w:t>
      </w:r>
      <w:r w:rsidR="00B83747" w:rsidRPr="006C0089">
        <w:t>a l</w:t>
      </w:r>
      <w:r w:rsidR="00F848B9" w:rsidRPr="006C0089">
        <w:t>awyer. Other</w:t>
      </w:r>
      <w:r w:rsidRPr="006C0089">
        <w:t xml:space="preserve"> </w:t>
      </w:r>
      <w:r w:rsidR="00F848B9" w:rsidRPr="006C0089">
        <w:t xml:space="preserve">tāngata whai ora </w:t>
      </w:r>
      <w:r w:rsidRPr="006C0089">
        <w:t xml:space="preserve">did not have a clear understanding of </w:t>
      </w:r>
      <w:r w:rsidR="0059400A" w:rsidRPr="006C0089">
        <w:t xml:space="preserve">the </w:t>
      </w:r>
      <w:r w:rsidRPr="006C0089">
        <w:t xml:space="preserve">complaints </w:t>
      </w:r>
      <w:r w:rsidR="008E2173" w:rsidRPr="006C0089">
        <w:t>process</w:t>
      </w:r>
      <w:r w:rsidR="006006A8" w:rsidRPr="006C0089">
        <w:t xml:space="preserve"> </w:t>
      </w:r>
      <w:r w:rsidRPr="006C0089">
        <w:t>or wh</w:t>
      </w:r>
      <w:r w:rsidR="00C076AD" w:rsidRPr="006C0089">
        <w:t xml:space="preserve">at a District Inspector was, and </w:t>
      </w:r>
      <w:r w:rsidR="002803C8" w:rsidRPr="006C0089">
        <w:t xml:space="preserve">said they </w:t>
      </w:r>
      <w:r w:rsidR="00C076AD" w:rsidRPr="006C0089">
        <w:t xml:space="preserve">had not received a </w:t>
      </w:r>
      <w:r w:rsidRPr="006C0089">
        <w:t>verbal explanation of the complaints</w:t>
      </w:r>
      <w:r w:rsidR="00F848B9" w:rsidRPr="006C0089">
        <w:t xml:space="preserve"> </w:t>
      </w:r>
      <w:r w:rsidR="00C076AD" w:rsidRPr="006C0089">
        <w:t xml:space="preserve">process </w:t>
      </w:r>
      <w:r w:rsidRPr="006C0089">
        <w:rPr>
          <w:szCs w:val="24"/>
        </w:rPr>
        <w:t>during admission</w:t>
      </w:r>
      <w:r w:rsidR="00F848B9" w:rsidRPr="006C0089">
        <w:rPr>
          <w:szCs w:val="24"/>
        </w:rPr>
        <w:t xml:space="preserve"> to the Unit.</w:t>
      </w:r>
      <w:r w:rsidR="00AD3E9D" w:rsidRPr="006C0089">
        <w:rPr>
          <w:szCs w:val="24"/>
        </w:rPr>
        <w:t xml:space="preserve"> </w:t>
      </w:r>
    </w:p>
    <w:p w14:paraId="31E5E4C2" w14:textId="2CEB97CE" w:rsidR="009C4071" w:rsidRPr="006C0089" w:rsidRDefault="00C076AD" w:rsidP="00F82AC3">
      <w:pPr>
        <w:pStyle w:val="BodyText"/>
        <w:rPr>
          <w:szCs w:val="24"/>
        </w:rPr>
      </w:pPr>
      <w:r w:rsidRPr="006C0089">
        <w:rPr>
          <w:szCs w:val="24"/>
        </w:rPr>
        <w:t>I am pleased</w:t>
      </w:r>
      <w:r w:rsidR="009839C7" w:rsidRPr="006C0089">
        <w:rPr>
          <w:szCs w:val="24"/>
        </w:rPr>
        <w:t xml:space="preserve"> to hear </w:t>
      </w:r>
      <w:r w:rsidRPr="006C0089">
        <w:rPr>
          <w:szCs w:val="24"/>
        </w:rPr>
        <w:t>t</w:t>
      </w:r>
      <w:r w:rsidR="009C4071" w:rsidRPr="006C0089">
        <w:rPr>
          <w:szCs w:val="24"/>
        </w:rPr>
        <w:t>here was consistent and visible informatio</w:t>
      </w:r>
      <w:r w:rsidR="009839C7" w:rsidRPr="006C0089">
        <w:rPr>
          <w:szCs w:val="24"/>
        </w:rPr>
        <w:t>n about the complaints process</w:t>
      </w:r>
      <w:r w:rsidR="00B83747" w:rsidRPr="006C0089">
        <w:rPr>
          <w:szCs w:val="24"/>
        </w:rPr>
        <w:t>,</w:t>
      </w:r>
      <w:r w:rsidR="009839C7" w:rsidRPr="006C0089">
        <w:rPr>
          <w:szCs w:val="24"/>
        </w:rPr>
        <w:t xml:space="preserve"> and </w:t>
      </w:r>
      <w:r w:rsidR="0024150E" w:rsidRPr="006C0089">
        <w:rPr>
          <w:szCs w:val="24"/>
        </w:rPr>
        <w:t>the District Inspectors</w:t>
      </w:r>
      <w:r w:rsidR="00B83747" w:rsidRPr="006C0089">
        <w:rPr>
          <w:szCs w:val="24"/>
        </w:rPr>
        <w:t>’</w:t>
      </w:r>
      <w:r w:rsidR="0024150E" w:rsidRPr="006C0089">
        <w:rPr>
          <w:szCs w:val="24"/>
        </w:rPr>
        <w:t xml:space="preserve"> details </w:t>
      </w:r>
      <w:r w:rsidR="00F82AC3" w:rsidRPr="006C0089">
        <w:rPr>
          <w:szCs w:val="24"/>
        </w:rPr>
        <w:t xml:space="preserve">were </w:t>
      </w:r>
      <w:r w:rsidR="009839C7" w:rsidRPr="006C0089">
        <w:rPr>
          <w:szCs w:val="24"/>
        </w:rPr>
        <w:t xml:space="preserve">available </w:t>
      </w:r>
      <w:r w:rsidR="009C4071" w:rsidRPr="006C0089">
        <w:rPr>
          <w:szCs w:val="24"/>
        </w:rPr>
        <w:t xml:space="preserve">throughout the majority of the Unit. </w:t>
      </w:r>
    </w:p>
    <w:p w14:paraId="1406909F" w14:textId="14671E2F" w:rsidR="009C4071" w:rsidRPr="006C0089" w:rsidRDefault="0013217C" w:rsidP="00897805">
      <w:pPr>
        <w:pStyle w:val="BodyText"/>
        <w:rPr>
          <w:szCs w:val="24"/>
        </w:rPr>
      </w:pPr>
      <w:r w:rsidRPr="006C0089">
        <w:rPr>
          <w:szCs w:val="24"/>
        </w:rPr>
        <w:t>However</w:t>
      </w:r>
      <w:r w:rsidR="00730541" w:rsidRPr="006C0089">
        <w:rPr>
          <w:szCs w:val="24"/>
        </w:rPr>
        <w:t>,</w:t>
      </w:r>
      <w:r w:rsidRPr="006C0089">
        <w:rPr>
          <w:szCs w:val="24"/>
        </w:rPr>
        <w:t xml:space="preserve"> I am</w:t>
      </w:r>
      <w:r w:rsidR="00DA61A9" w:rsidRPr="006C0089">
        <w:rPr>
          <w:szCs w:val="24"/>
        </w:rPr>
        <w:t xml:space="preserve"> concerned that there was a mixed understanding about complaint </w:t>
      </w:r>
      <w:r w:rsidR="009C4071" w:rsidRPr="006C0089">
        <w:rPr>
          <w:szCs w:val="24"/>
        </w:rPr>
        <w:t xml:space="preserve">avenues </w:t>
      </w:r>
      <w:r w:rsidR="0059400A" w:rsidRPr="006C0089">
        <w:rPr>
          <w:szCs w:val="24"/>
        </w:rPr>
        <w:t xml:space="preserve">and processes </w:t>
      </w:r>
      <w:r w:rsidR="009C4071" w:rsidRPr="006C0089">
        <w:rPr>
          <w:szCs w:val="24"/>
        </w:rPr>
        <w:t xml:space="preserve">amongst </w:t>
      </w:r>
      <w:r w:rsidR="00B04569" w:rsidRPr="006C0089">
        <w:rPr>
          <w:szCs w:val="24"/>
        </w:rPr>
        <w:t xml:space="preserve">tāngata whai ora, </w:t>
      </w:r>
      <w:r w:rsidR="00B83747" w:rsidRPr="006C0089">
        <w:rPr>
          <w:szCs w:val="24"/>
        </w:rPr>
        <w:t>which makes me question</w:t>
      </w:r>
      <w:r w:rsidR="00DA61A9" w:rsidRPr="006C0089">
        <w:rPr>
          <w:szCs w:val="24"/>
        </w:rPr>
        <w:t xml:space="preserve"> the </w:t>
      </w:r>
      <w:r w:rsidR="009C4071" w:rsidRPr="006C0089">
        <w:rPr>
          <w:szCs w:val="24"/>
        </w:rPr>
        <w:t xml:space="preserve">accessibility of </w:t>
      </w:r>
      <w:r w:rsidR="0022556E" w:rsidRPr="006C0089">
        <w:rPr>
          <w:szCs w:val="24"/>
        </w:rPr>
        <w:t xml:space="preserve">the </w:t>
      </w:r>
      <w:r w:rsidR="009C4071" w:rsidRPr="006C0089">
        <w:rPr>
          <w:szCs w:val="24"/>
        </w:rPr>
        <w:t>complaints information</w:t>
      </w:r>
      <w:r w:rsidR="0022556E" w:rsidRPr="006C0089">
        <w:rPr>
          <w:szCs w:val="24"/>
        </w:rPr>
        <w:t xml:space="preserve"> available on the Unit</w:t>
      </w:r>
      <w:r w:rsidR="009C4071" w:rsidRPr="006C0089">
        <w:rPr>
          <w:szCs w:val="24"/>
        </w:rPr>
        <w:t xml:space="preserve">. </w:t>
      </w:r>
      <w:r w:rsidR="00121B63" w:rsidRPr="006C0089">
        <w:rPr>
          <w:szCs w:val="24"/>
        </w:rPr>
        <w:t xml:space="preserve">All complaints information </w:t>
      </w:r>
      <w:r w:rsidR="00B04569" w:rsidRPr="006C0089">
        <w:rPr>
          <w:szCs w:val="24"/>
        </w:rPr>
        <w:t>observed by Inspectors was</w:t>
      </w:r>
      <w:r w:rsidR="00121B63" w:rsidRPr="006C0089">
        <w:rPr>
          <w:szCs w:val="24"/>
        </w:rPr>
        <w:t xml:space="preserve"> </w:t>
      </w:r>
      <w:r w:rsidR="009C4071" w:rsidRPr="006C0089">
        <w:rPr>
          <w:szCs w:val="24"/>
        </w:rPr>
        <w:t xml:space="preserve">in written form, </w:t>
      </w:r>
      <w:r w:rsidR="0022556E" w:rsidRPr="006C0089">
        <w:rPr>
          <w:szCs w:val="24"/>
        </w:rPr>
        <w:t xml:space="preserve">which </w:t>
      </w:r>
      <w:r w:rsidR="009C4071" w:rsidRPr="006C0089">
        <w:rPr>
          <w:szCs w:val="24"/>
        </w:rPr>
        <w:t xml:space="preserve">could be difficult to understand depending on individual literacy and language levels. </w:t>
      </w:r>
    </w:p>
    <w:p w14:paraId="696A085E" w14:textId="1E306264" w:rsidR="00D51B92" w:rsidRPr="006C0089" w:rsidRDefault="00D51B92" w:rsidP="00897805">
      <w:pPr>
        <w:pStyle w:val="BodyText"/>
        <w:rPr>
          <w:sz w:val="22"/>
        </w:rPr>
      </w:pPr>
      <w:r w:rsidRPr="006C0089">
        <w:rPr>
          <w:szCs w:val="24"/>
        </w:rPr>
        <w:t xml:space="preserve">In </w:t>
      </w:r>
      <w:r w:rsidR="006556DC" w:rsidRPr="006C0089">
        <w:rPr>
          <w:szCs w:val="24"/>
        </w:rPr>
        <w:t xml:space="preserve">response to </w:t>
      </w:r>
      <w:r w:rsidRPr="006C0089">
        <w:rPr>
          <w:szCs w:val="24"/>
        </w:rPr>
        <w:t xml:space="preserve">my provisional report, Te Whatu Ora </w:t>
      </w:r>
      <w:r w:rsidR="001A57D0" w:rsidRPr="006C0089">
        <w:rPr>
          <w:szCs w:val="24"/>
        </w:rPr>
        <w:t>stated</w:t>
      </w:r>
      <w:r w:rsidRPr="006C0089">
        <w:rPr>
          <w:szCs w:val="24"/>
        </w:rPr>
        <w:t xml:space="preserve">: </w:t>
      </w:r>
      <w:r w:rsidR="00CB7116" w:rsidRPr="006C0089">
        <w:rPr>
          <w:szCs w:val="24"/>
        </w:rPr>
        <w:t>‘</w:t>
      </w:r>
      <w:r w:rsidRPr="006C0089">
        <w:rPr>
          <w:i/>
          <w:szCs w:val="24"/>
        </w:rPr>
        <w:t>As acknowledged in the report a range of brochures and pamphlets about the complaints processes were observed throughout the unit and information is also available in the welcome pack</w:t>
      </w:r>
      <w:r w:rsidR="008C2FDE" w:rsidRPr="006C0089">
        <w:rPr>
          <w:i/>
          <w:szCs w:val="24"/>
        </w:rPr>
        <w:t>…</w:t>
      </w:r>
      <w:r w:rsidRPr="006C0089">
        <w:rPr>
          <w:i/>
          <w:szCs w:val="24"/>
        </w:rPr>
        <w:t>Where tāngata whai i te ora are not well enough to process and retain all information provided in writing staff will provide information verbally as often as requested.</w:t>
      </w:r>
      <w:r w:rsidR="00CB7116" w:rsidRPr="006C0089">
        <w:rPr>
          <w:szCs w:val="24"/>
        </w:rPr>
        <w:t>’</w:t>
      </w:r>
    </w:p>
    <w:p w14:paraId="0CB71ADD" w14:textId="0C638B77" w:rsidR="00D51B92" w:rsidRPr="006C0089" w:rsidRDefault="00D51B92" w:rsidP="00897805">
      <w:pPr>
        <w:pStyle w:val="BodyText"/>
        <w:rPr>
          <w:szCs w:val="24"/>
        </w:rPr>
      </w:pPr>
      <w:r w:rsidRPr="006C0089">
        <w:rPr>
          <w:szCs w:val="24"/>
        </w:rPr>
        <w:t xml:space="preserve">While I acknowledge the </w:t>
      </w:r>
      <w:r w:rsidR="00242EC1" w:rsidRPr="006C0089">
        <w:rPr>
          <w:szCs w:val="24"/>
        </w:rPr>
        <w:t xml:space="preserve">visible </w:t>
      </w:r>
      <w:r w:rsidRPr="006C0089">
        <w:rPr>
          <w:szCs w:val="24"/>
        </w:rPr>
        <w:t>presence of complaint information in the brochures, pamphlets, and welcome</w:t>
      </w:r>
      <w:r w:rsidR="00CB7116" w:rsidRPr="006C0089">
        <w:rPr>
          <w:szCs w:val="24"/>
        </w:rPr>
        <w:t xml:space="preserve"> pack, </w:t>
      </w:r>
      <w:r w:rsidR="00DF465F" w:rsidRPr="006C0089">
        <w:rPr>
          <w:szCs w:val="24"/>
        </w:rPr>
        <w:t>complaints avenues and information w</w:t>
      </w:r>
      <w:r w:rsidR="00242EC1" w:rsidRPr="006C0089">
        <w:rPr>
          <w:szCs w:val="24"/>
        </w:rPr>
        <w:t xml:space="preserve">ere </w:t>
      </w:r>
      <w:r w:rsidR="00DF465F" w:rsidRPr="006C0089">
        <w:rPr>
          <w:szCs w:val="24"/>
        </w:rPr>
        <w:t>not consistently understood</w:t>
      </w:r>
      <w:r w:rsidR="00D11544" w:rsidRPr="006C0089">
        <w:rPr>
          <w:szCs w:val="24"/>
        </w:rPr>
        <w:t xml:space="preserve"> by tāngata whai ora</w:t>
      </w:r>
      <w:r w:rsidR="00B44EBE" w:rsidRPr="006C0089">
        <w:rPr>
          <w:szCs w:val="24"/>
        </w:rPr>
        <w:t>.</w:t>
      </w:r>
      <w:r w:rsidR="00D11544" w:rsidRPr="006C0089">
        <w:rPr>
          <w:szCs w:val="24"/>
        </w:rPr>
        <w:t xml:space="preserve"> </w:t>
      </w:r>
      <w:r w:rsidR="006D24D0" w:rsidRPr="006C0089">
        <w:rPr>
          <w:szCs w:val="24"/>
        </w:rPr>
        <w:t xml:space="preserve">The Unit Management </w:t>
      </w:r>
      <w:r w:rsidR="00CD6888" w:rsidRPr="006C0089">
        <w:rPr>
          <w:szCs w:val="24"/>
        </w:rPr>
        <w:t xml:space="preserve">has a responsibility </w:t>
      </w:r>
      <w:r w:rsidR="006D24D0" w:rsidRPr="006C0089">
        <w:rPr>
          <w:szCs w:val="24"/>
        </w:rPr>
        <w:t xml:space="preserve">to </w:t>
      </w:r>
      <w:r w:rsidR="00CD6888" w:rsidRPr="006C0089">
        <w:rPr>
          <w:szCs w:val="24"/>
        </w:rPr>
        <w:t xml:space="preserve">proactively </w:t>
      </w:r>
      <w:r w:rsidR="006D24D0" w:rsidRPr="006C0089">
        <w:rPr>
          <w:szCs w:val="24"/>
        </w:rPr>
        <w:t>ensure that all t</w:t>
      </w:r>
      <w:r w:rsidR="0059400A" w:rsidRPr="006C0089">
        <w:rPr>
          <w:szCs w:val="24"/>
        </w:rPr>
        <w:t>ā</w:t>
      </w:r>
      <w:r w:rsidR="006D24D0" w:rsidRPr="006C0089">
        <w:rPr>
          <w:szCs w:val="24"/>
        </w:rPr>
        <w:t>ngata whai ora understand the complaints process</w:t>
      </w:r>
      <w:r w:rsidR="00CD6888" w:rsidRPr="006C0089">
        <w:rPr>
          <w:szCs w:val="24"/>
        </w:rPr>
        <w:t>, even</w:t>
      </w:r>
      <w:r w:rsidR="0059400A" w:rsidRPr="006C0089">
        <w:rPr>
          <w:szCs w:val="24"/>
        </w:rPr>
        <w:t xml:space="preserve"> if</w:t>
      </w:r>
      <w:r w:rsidR="00CD6888" w:rsidRPr="006C0089">
        <w:rPr>
          <w:szCs w:val="24"/>
        </w:rPr>
        <w:t xml:space="preserve"> t</w:t>
      </w:r>
      <w:r w:rsidR="0059400A" w:rsidRPr="006C0089">
        <w:rPr>
          <w:szCs w:val="24"/>
        </w:rPr>
        <w:t>ā</w:t>
      </w:r>
      <w:r w:rsidR="00CD6888" w:rsidRPr="006C0089">
        <w:rPr>
          <w:szCs w:val="24"/>
        </w:rPr>
        <w:t>ngata whai ora do not ask about it themselves</w:t>
      </w:r>
      <w:r w:rsidR="006D24D0" w:rsidRPr="006C0089">
        <w:rPr>
          <w:szCs w:val="24"/>
        </w:rPr>
        <w:t xml:space="preserve">. </w:t>
      </w:r>
      <w:r w:rsidR="00CB7116" w:rsidRPr="006C0089">
        <w:rPr>
          <w:szCs w:val="24"/>
        </w:rPr>
        <w:t xml:space="preserve">I expect the Unit to </w:t>
      </w:r>
      <w:r w:rsidR="0087525C" w:rsidRPr="006C0089">
        <w:rPr>
          <w:szCs w:val="24"/>
        </w:rPr>
        <w:t xml:space="preserve">proactively provide complaints information in </w:t>
      </w:r>
      <w:r w:rsidR="00242EC1" w:rsidRPr="006C0089">
        <w:rPr>
          <w:szCs w:val="24"/>
        </w:rPr>
        <w:t xml:space="preserve">accessible </w:t>
      </w:r>
      <w:r w:rsidR="00D11544" w:rsidRPr="006C0089">
        <w:rPr>
          <w:szCs w:val="24"/>
        </w:rPr>
        <w:t>formats</w:t>
      </w:r>
      <w:r w:rsidR="00E11721" w:rsidRPr="006C0089">
        <w:rPr>
          <w:szCs w:val="24"/>
        </w:rPr>
        <w:t>, including verbally.</w:t>
      </w:r>
      <w:r w:rsidR="00CB7116" w:rsidRPr="006C0089">
        <w:rPr>
          <w:szCs w:val="24"/>
        </w:rPr>
        <w:t xml:space="preserve"> </w:t>
      </w:r>
    </w:p>
    <w:p w14:paraId="0475089C" w14:textId="59EAC800" w:rsidR="007D3CF9" w:rsidRPr="006C0089" w:rsidRDefault="007D3CF9" w:rsidP="00897805">
      <w:pPr>
        <w:pStyle w:val="BodyText"/>
        <w:rPr>
          <w:szCs w:val="24"/>
        </w:rPr>
      </w:pPr>
      <w:r w:rsidRPr="006C0089">
        <w:rPr>
          <w:szCs w:val="24"/>
        </w:rPr>
        <w:t>In response to my provisional report, the Ministry of Health agreed with my recommendation that the complaints process be easily visible and accessible to all service users, and noted that Ng</w:t>
      </w:r>
      <w:r w:rsidR="0059400A" w:rsidRPr="006C0089">
        <w:rPr>
          <w:szCs w:val="24"/>
        </w:rPr>
        <w:t>ā</w:t>
      </w:r>
      <w:r w:rsidRPr="006C0089">
        <w:rPr>
          <w:szCs w:val="24"/>
        </w:rPr>
        <w:t xml:space="preserve"> Paerewa criteria 1.8.2 states that </w:t>
      </w:r>
      <w:r w:rsidR="00996632">
        <w:rPr>
          <w:szCs w:val="24"/>
        </w:rPr>
        <w:t>‘</w:t>
      </w:r>
      <w:r w:rsidRPr="00630677">
        <w:rPr>
          <w:i/>
          <w:szCs w:val="24"/>
        </w:rPr>
        <w:t>t</w:t>
      </w:r>
      <w:r w:rsidR="0059400A" w:rsidRPr="00630677">
        <w:rPr>
          <w:i/>
          <w:szCs w:val="24"/>
        </w:rPr>
        <w:t>ā</w:t>
      </w:r>
      <w:r w:rsidRPr="00630677">
        <w:rPr>
          <w:i/>
          <w:szCs w:val="24"/>
        </w:rPr>
        <w:t>ngata whai ora must have information on, and have easy access to, a fair and responsive complaints process that takes into account their values and beliefs.</w:t>
      </w:r>
      <w:r w:rsidR="00050F39">
        <w:rPr>
          <w:i/>
          <w:szCs w:val="24"/>
        </w:rPr>
        <w:t>’</w:t>
      </w:r>
      <w:r w:rsidRPr="006C0089">
        <w:rPr>
          <w:szCs w:val="24"/>
        </w:rPr>
        <w:t xml:space="preserve"> The Ministry of Health advised that they would ensure that this issue is brought to the attention of </w:t>
      </w:r>
      <w:r w:rsidR="006B0C57" w:rsidRPr="006C0089">
        <w:rPr>
          <w:szCs w:val="24"/>
        </w:rPr>
        <w:t>D</w:t>
      </w:r>
      <w:r w:rsidRPr="006C0089">
        <w:rPr>
          <w:szCs w:val="24"/>
        </w:rPr>
        <w:t xml:space="preserve">istrict </w:t>
      </w:r>
      <w:r w:rsidR="006B0C57" w:rsidRPr="006C0089">
        <w:rPr>
          <w:szCs w:val="24"/>
        </w:rPr>
        <w:t>I</w:t>
      </w:r>
      <w:r w:rsidRPr="006C0089">
        <w:rPr>
          <w:szCs w:val="24"/>
        </w:rPr>
        <w:t xml:space="preserve">nspectors and that </w:t>
      </w:r>
      <w:r w:rsidR="006B0C57" w:rsidRPr="006C0089">
        <w:rPr>
          <w:szCs w:val="24"/>
        </w:rPr>
        <w:t>D</w:t>
      </w:r>
      <w:r w:rsidRPr="006C0089">
        <w:rPr>
          <w:szCs w:val="24"/>
        </w:rPr>
        <w:t xml:space="preserve">istrict </w:t>
      </w:r>
      <w:r w:rsidR="006B0C57" w:rsidRPr="006C0089">
        <w:rPr>
          <w:szCs w:val="24"/>
        </w:rPr>
        <w:t>I</w:t>
      </w:r>
      <w:r w:rsidRPr="006C0089">
        <w:rPr>
          <w:szCs w:val="24"/>
        </w:rPr>
        <w:t xml:space="preserve">nspectors </w:t>
      </w:r>
      <w:r w:rsidR="00E93ED6" w:rsidRPr="006C0089">
        <w:rPr>
          <w:szCs w:val="24"/>
        </w:rPr>
        <w:t xml:space="preserve">will make </w:t>
      </w:r>
      <w:r w:rsidRPr="006C0089">
        <w:rPr>
          <w:szCs w:val="24"/>
        </w:rPr>
        <w:t>themselves avai</w:t>
      </w:r>
      <w:r w:rsidR="00DF465F" w:rsidRPr="006C0089">
        <w:rPr>
          <w:szCs w:val="24"/>
        </w:rPr>
        <w:t>lable to</w:t>
      </w:r>
      <w:r w:rsidRPr="006C0089">
        <w:rPr>
          <w:szCs w:val="24"/>
        </w:rPr>
        <w:t xml:space="preserve"> </w:t>
      </w:r>
      <w:r w:rsidR="00DF465F" w:rsidRPr="006C0089">
        <w:rPr>
          <w:szCs w:val="24"/>
        </w:rPr>
        <w:t xml:space="preserve">tāngata whai ora. </w:t>
      </w:r>
    </w:p>
    <w:p w14:paraId="33CBD6FA" w14:textId="2CD5090E" w:rsidR="00EF2AF0" w:rsidRPr="006C0089" w:rsidRDefault="00050F39" w:rsidP="003F24CB">
      <w:pPr>
        <w:pStyle w:val="BodyText"/>
        <w:rPr>
          <w:b/>
          <w:bCs/>
          <w:sz w:val="26"/>
          <w:szCs w:val="26"/>
        </w:rPr>
      </w:pPr>
      <w:bookmarkStart w:id="32" w:name="TreatmentPathway"/>
      <w:r>
        <w:rPr>
          <w:rStyle w:val="Heading4Char"/>
        </w:rPr>
        <w:t xml:space="preserve">Recommendation 8 from </w:t>
      </w:r>
      <w:r w:rsidR="009E4067" w:rsidRPr="006C0089">
        <w:rPr>
          <w:rStyle w:val="Heading4Char"/>
        </w:rPr>
        <w:t>2019 inspection</w:t>
      </w:r>
      <w:r>
        <w:rPr>
          <w:rStyle w:val="Heading4Char"/>
        </w:rPr>
        <w:t xml:space="preserve"> </w:t>
      </w:r>
      <w:r w:rsidR="00EF2AF0" w:rsidRPr="006C0089">
        <w:rPr>
          <w:b/>
          <w:sz w:val="26"/>
          <w:szCs w:val="26"/>
        </w:rPr>
        <w:t xml:space="preserve">– Service users be invited to attend their Multi-Disciplinary Team meeting, wherever possible, and routinely informed of the outcome of their review. </w:t>
      </w:r>
    </w:p>
    <w:bookmarkEnd w:id="32"/>
    <w:p w14:paraId="71CB5E06" w14:textId="4CD1DE73" w:rsidR="009E4067" w:rsidRPr="006C0089" w:rsidRDefault="009E4067" w:rsidP="00416387">
      <w:pPr>
        <w:pStyle w:val="BodyText"/>
        <w:numPr>
          <w:ilvl w:val="0"/>
          <w:numId w:val="34"/>
        </w:numPr>
      </w:pPr>
      <w:r w:rsidRPr="006C0089">
        <w:t>This recommendation was rejected by the Unit.</w:t>
      </w:r>
    </w:p>
    <w:p w14:paraId="21E30125" w14:textId="5F17CF43" w:rsidR="009E4067" w:rsidRPr="006C0089" w:rsidRDefault="009E4067" w:rsidP="00416387">
      <w:pPr>
        <w:pStyle w:val="BodyText"/>
        <w:numPr>
          <w:ilvl w:val="0"/>
          <w:numId w:val="32"/>
        </w:numPr>
      </w:pPr>
      <w:r w:rsidRPr="006C0089">
        <w:t xml:space="preserve">On my follow up inspection I </w:t>
      </w:r>
      <w:r w:rsidR="00F2400B" w:rsidRPr="006C0089">
        <w:t xml:space="preserve">considered </w:t>
      </w:r>
      <w:r w:rsidRPr="006C0089">
        <w:t xml:space="preserve">that my recommendation was </w:t>
      </w:r>
      <w:r w:rsidRPr="006C0089">
        <w:rPr>
          <w:b/>
        </w:rPr>
        <w:t xml:space="preserve">not </w:t>
      </w:r>
      <w:r w:rsidRPr="006C0089">
        <w:rPr>
          <w:b/>
          <w:color w:val="auto"/>
        </w:rPr>
        <w:t xml:space="preserve">achieved. </w:t>
      </w:r>
    </w:p>
    <w:p w14:paraId="38153B8B" w14:textId="5171361A" w:rsidR="007A6688" w:rsidRPr="006C0089" w:rsidRDefault="00A613FE" w:rsidP="005D03A3">
      <w:pPr>
        <w:pStyle w:val="BodyText"/>
        <w:tabs>
          <w:tab w:val="left" w:pos="720"/>
        </w:tabs>
      </w:pPr>
      <w:r w:rsidRPr="006C0089">
        <w:t xml:space="preserve">Inspectors heard from staff about a variety of meetings that were in place at the Unit that related to the care, treatment and discharge planning for tāngata whai ora. This included clinical Multi-Disciplinary Team (MDT) meetings. </w:t>
      </w:r>
      <w:r w:rsidR="009E4067" w:rsidRPr="006C0089">
        <w:t xml:space="preserve">Inspectors </w:t>
      </w:r>
      <w:r w:rsidR="002C675E" w:rsidRPr="006C0089">
        <w:t>attended a</w:t>
      </w:r>
      <w:r w:rsidR="00D511CC" w:rsidRPr="006C0089">
        <w:t xml:space="preserve"> clinical</w:t>
      </w:r>
      <w:r w:rsidR="009E4067" w:rsidRPr="006C0089">
        <w:t xml:space="preserve"> </w:t>
      </w:r>
      <w:r w:rsidRPr="006C0089">
        <w:t>MDT</w:t>
      </w:r>
      <w:r w:rsidR="009E4067" w:rsidRPr="006C0089">
        <w:t xml:space="preserve"> meeting which a variety of clinical and allied health staff </w:t>
      </w:r>
      <w:r w:rsidR="007A6688" w:rsidRPr="006C0089">
        <w:t xml:space="preserve">attended, </w:t>
      </w:r>
      <w:r w:rsidR="009E4067" w:rsidRPr="006C0089">
        <w:t>including:</w:t>
      </w:r>
      <w:r w:rsidR="002C675E" w:rsidRPr="006C0089">
        <w:t xml:space="preserve"> r</w:t>
      </w:r>
      <w:r w:rsidR="009E4067" w:rsidRPr="006C0089">
        <w:t xml:space="preserve">egistered </w:t>
      </w:r>
      <w:r w:rsidR="002C675E" w:rsidRPr="006C0089">
        <w:t>n</w:t>
      </w:r>
      <w:r w:rsidR="009E4067" w:rsidRPr="006C0089">
        <w:t xml:space="preserve">urses, </w:t>
      </w:r>
      <w:r w:rsidR="008D0CAA" w:rsidRPr="006C0089">
        <w:t xml:space="preserve">the </w:t>
      </w:r>
      <w:r w:rsidR="00464FFF" w:rsidRPr="006C0089">
        <w:t xml:space="preserve"> </w:t>
      </w:r>
      <w:r w:rsidR="009E4067" w:rsidRPr="006C0089">
        <w:t xml:space="preserve">responsible clinician, social worker, psychologist and occupational therapist. </w:t>
      </w:r>
      <w:r w:rsidR="00D511CC" w:rsidRPr="006C0089">
        <w:t>N</w:t>
      </w:r>
      <w:r w:rsidR="002C675E" w:rsidRPr="006C0089">
        <w:t xml:space="preserve">o tāngata whai ora </w:t>
      </w:r>
      <w:r w:rsidR="00D511CC" w:rsidRPr="006C0089">
        <w:t>were in attendance</w:t>
      </w:r>
      <w:r w:rsidR="002C675E" w:rsidRPr="006C0089">
        <w:t xml:space="preserve">. </w:t>
      </w:r>
      <w:r w:rsidR="00D511CC" w:rsidRPr="006C0089">
        <w:t xml:space="preserve">MDT </w:t>
      </w:r>
      <w:r w:rsidR="009E4067" w:rsidRPr="006C0089">
        <w:t xml:space="preserve">discussion </w:t>
      </w:r>
      <w:r w:rsidR="00D511CC" w:rsidRPr="006C0089">
        <w:t>included</w:t>
      </w:r>
      <w:r w:rsidR="002C675E" w:rsidRPr="006C0089">
        <w:t xml:space="preserve"> </w:t>
      </w:r>
      <w:r w:rsidR="007E4435" w:rsidRPr="006C0089">
        <w:t xml:space="preserve">a </w:t>
      </w:r>
      <w:r w:rsidR="002C675E" w:rsidRPr="006C0089">
        <w:t>progress</w:t>
      </w:r>
      <w:r w:rsidR="007E4435" w:rsidRPr="006C0089">
        <w:t xml:space="preserve"> review</w:t>
      </w:r>
      <w:r w:rsidR="002C675E" w:rsidRPr="006C0089">
        <w:t xml:space="preserve"> and </w:t>
      </w:r>
      <w:r w:rsidR="007E4435" w:rsidRPr="006C0089">
        <w:t xml:space="preserve">identifying </w:t>
      </w:r>
      <w:r w:rsidR="002C675E" w:rsidRPr="006C0089">
        <w:t xml:space="preserve">next steps for a number of tāngata whai ora. </w:t>
      </w:r>
    </w:p>
    <w:p w14:paraId="6A41AD5D" w14:textId="6F0B0800" w:rsidR="00A613FE" w:rsidRPr="006C0089" w:rsidRDefault="002C675E" w:rsidP="005D03A3">
      <w:pPr>
        <w:pStyle w:val="BodyText"/>
        <w:tabs>
          <w:tab w:val="left" w:pos="720"/>
        </w:tabs>
      </w:pPr>
      <w:r w:rsidRPr="006C0089">
        <w:t>I</w:t>
      </w:r>
      <w:r w:rsidR="00EF2AF0" w:rsidRPr="006C0089">
        <w:t xml:space="preserve">nspectors </w:t>
      </w:r>
      <w:r w:rsidRPr="006C0089">
        <w:t xml:space="preserve">were informed by both </w:t>
      </w:r>
      <w:r w:rsidR="00EF2AF0" w:rsidRPr="006C0089">
        <w:t>staff and tāngata whai ora that the Unit did not have a consistent practice of inviting tāngata</w:t>
      </w:r>
      <w:r w:rsidRPr="006C0089">
        <w:t xml:space="preserve"> whai ora to th</w:t>
      </w:r>
      <w:r w:rsidR="00632C8F" w:rsidRPr="006C0089">
        <w:t>is</w:t>
      </w:r>
      <w:r w:rsidRPr="006C0089">
        <w:t xml:space="preserve"> clinical</w:t>
      </w:r>
      <w:r w:rsidR="00D511CC" w:rsidRPr="006C0089">
        <w:t xml:space="preserve"> </w:t>
      </w:r>
      <w:r w:rsidRPr="006C0089">
        <w:t>MDT.</w:t>
      </w:r>
      <w:r w:rsidR="00EF2AF0" w:rsidRPr="006C0089">
        <w:t xml:space="preserve"> Inspectors were also told </w:t>
      </w:r>
      <w:r w:rsidRPr="006C0089">
        <w:t>that the process of</w:t>
      </w:r>
      <w:r w:rsidR="00EF2AF0" w:rsidRPr="006C0089">
        <w:t xml:space="preserve"> informing tāngata whai ora of the outcome of their </w:t>
      </w:r>
      <w:r w:rsidR="00084D7F" w:rsidRPr="006C0089">
        <w:t xml:space="preserve">MDT </w:t>
      </w:r>
      <w:r w:rsidR="00D511CC" w:rsidRPr="006C0089">
        <w:t xml:space="preserve">review </w:t>
      </w:r>
      <w:r w:rsidR="00EF2AF0" w:rsidRPr="006C0089">
        <w:t>was inconsistent, and dependent on the nurse</w:t>
      </w:r>
      <w:r w:rsidR="00AD3E9D" w:rsidRPr="006C0089">
        <w:t xml:space="preserve"> involved.</w:t>
      </w:r>
      <w:r w:rsidR="00632C8F" w:rsidRPr="006C0089">
        <w:t xml:space="preserve"> Senior management advised Inspectors that the new primary nursing model of care was intended to support tāngata whai ora to be more involved in their clinical reviews. Inspectors saw plannin</w:t>
      </w:r>
      <w:r w:rsidR="007A6688" w:rsidRPr="006C0089">
        <w:t>g documents that showed that this nursing</w:t>
      </w:r>
      <w:r w:rsidR="00632C8F" w:rsidRPr="006C0089">
        <w:t xml:space="preserve"> model of care was currently in the early implementation phase. </w:t>
      </w:r>
    </w:p>
    <w:p w14:paraId="616AFD0D" w14:textId="48FCA968" w:rsidR="00F437FE" w:rsidRPr="006C0089" w:rsidRDefault="00F437FE" w:rsidP="005D03A3">
      <w:pPr>
        <w:pStyle w:val="BodyText"/>
        <w:tabs>
          <w:tab w:val="left" w:pos="720"/>
        </w:tabs>
      </w:pPr>
      <w:r w:rsidRPr="006C0089">
        <w:t>At a post-inspection interview, a clinical leader told Inspectors that since the</w:t>
      </w:r>
      <w:r w:rsidR="005D03A3" w:rsidRPr="006C0089">
        <w:t xml:space="preserve"> 2019</w:t>
      </w:r>
      <w:r w:rsidRPr="006C0089">
        <w:t xml:space="preserve"> inspection, they had piloted a new initiative of a weekly MDT meeting which involved the Responsible Clinici</w:t>
      </w:r>
      <w:r w:rsidR="007A6688" w:rsidRPr="006C0089">
        <w:t>an meeting with an individual ta</w:t>
      </w:r>
      <w:r w:rsidRPr="006C0089">
        <w:t xml:space="preserve">ngata whai ora, and developing/discussing a treatment plan together alongside other multi-disciplinary staff. Attendance at these MDT meetings was recorded </w:t>
      </w:r>
      <w:r w:rsidR="007A6688" w:rsidRPr="006C0089">
        <w:t xml:space="preserve">in </w:t>
      </w:r>
      <w:r w:rsidRPr="006C0089">
        <w:t xml:space="preserve">tāngata whai ora clinical notes. </w:t>
      </w:r>
      <w:r w:rsidRPr="006C0089">
        <w:rPr>
          <w:lang w:val="en-US"/>
        </w:rPr>
        <w:t>The staff member told Inspectors that they hoped this MDT practice would become more ‘</w:t>
      </w:r>
      <w:r w:rsidRPr="006C0089">
        <w:rPr>
          <w:rStyle w:val="Quotationwithinthesentence"/>
        </w:rPr>
        <w:t>formalised</w:t>
      </w:r>
      <w:r w:rsidRPr="006C0089">
        <w:rPr>
          <w:lang w:val="en-US"/>
        </w:rPr>
        <w:t xml:space="preserve">’ with the implementation of the new primary nursing model of care. </w:t>
      </w:r>
    </w:p>
    <w:p w14:paraId="46B8CA55" w14:textId="73E8F3F7" w:rsidR="00EF2AF0" w:rsidRPr="006C0089" w:rsidRDefault="002C675E" w:rsidP="00A613FE">
      <w:pPr>
        <w:pStyle w:val="BodyText"/>
      </w:pPr>
      <w:r w:rsidRPr="006C0089">
        <w:t xml:space="preserve">Tāngata whai ora who spoke with Inspectors said </w:t>
      </w:r>
      <w:r w:rsidR="00EF2AF0" w:rsidRPr="006C0089">
        <w:t xml:space="preserve">they would like to be more involved in their treatment planning and clinical reviews. Some </w:t>
      </w:r>
      <w:r w:rsidRPr="006C0089">
        <w:t xml:space="preserve">tāngata whai ora </w:t>
      </w:r>
      <w:r w:rsidR="00EF2AF0" w:rsidRPr="006C0089">
        <w:t xml:space="preserve">had no knowledge of what </w:t>
      </w:r>
      <w:r w:rsidRPr="006C0089">
        <w:t>was</w:t>
      </w:r>
      <w:r w:rsidR="00EF2AF0" w:rsidRPr="006C0089">
        <w:t xml:space="preserve"> expected of them to move forward towards discharge an</w:t>
      </w:r>
      <w:r w:rsidR="00C86359" w:rsidRPr="006C0089">
        <w:t xml:space="preserve">d expressed frustration at this. </w:t>
      </w:r>
      <w:r w:rsidR="00EF2AF0" w:rsidRPr="006C0089">
        <w:t>No</w:t>
      </w:r>
      <w:r w:rsidR="00084D7F" w:rsidRPr="006C0089">
        <w:t>ne of the</w:t>
      </w:r>
      <w:r w:rsidR="00EF2AF0" w:rsidRPr="006C0089">
        <w:t xml:space="preserve"> tāngata whai ora that </w:t>
      </w:r>
      <w:r w:rsidR="009D75C0" w:rsidRPr="006C0089">
        <w:t>spoke with I</w:t>
      </w:r>
      <w:r w:rsidR="00EF2AF0" w:rsidRPr="006C0089">
        <w:t xml:space="preserve">nspectors had copies of their treatment plan. </w:t>
      </w:r>
    </w:p>
    <w:p w14:paraId="4AE43281" w14:textId="2B6E73D9" w:rsidR="00CB7116" w:rsidRPr="006C0089" w:rsidRDefault="00CB7116" w:rsidP="00A613FE">
      <w:pPr>
        <w:pStyle w:val="BodyText"/>
        <w:rPr>
          <w:szCs w:val="24"/>
        </w:rPr>
      </w:pPr>
      <w:r w:rsidRPr="006C0089">
        <w:rPr>
          <w:szCs w:val="24"/>
        </w:rPr>
        <w:t xml:space="preserve">In </w:t>
      </w:r>
      <w:r w:rsidR="00A93DA6" w:rsidRPr="006C0089">
        <w:rPr>
          <w:szCs w:val="24"/>
        </w:rPr>
        <w:t xml:space="preserve">feedback on </w:t>
      </w:r>
      <w:r w:rsidRPr="006C0089">
        <w:rPr>
          <w:szCs w:val="24"/>
        </w:rPr>
        <w:t>my provisional report, Te Whatu Ora stated: ‘</w:t>
      </w:r>
      <w:r w:rsidRPr="006C0089">
        <w:rPr>
          <w:i/>
          <w:szCs w:val="24"/>
        </w:rPr>
        <w:t xml:space="preserve">The unit will ensure copies of plans are also available to tāngata whai i te ora. This will be monitored by the Clinical Nurse Director </w:t>
      </w:r>
      <w:r w:rsidR="008B7158" w:rsidRPr="006C0089">
        <w:rPr>
          <w:i/>
          <w:szCs w:val="24"/>
        </w:rPr>
        <w:t>…</w:t>
      </w:r>
      <w:r w:rsidRPr="006C0089">
        <w:rPr>
          <w:szCs w:val="24"/>
        </w:rPr>
        <w:t>’</w:t>
      </w:r>
    </w:p>
    <w:p w14:paraId="475F0527" w14:textId="3066B67D" w:rsidR="00302534" w:rsidRPr="006C0089" w:rsidRDefault="00EE700B" w:rsidP="00A613FE">
      <w:pPr>
        <w:pStyle w:val="BodyText"/>
        <w:rPr>
          <w:b/>
          <w:szCs w:val="24"/>
        </w:rPr>
      </w:pPr>
      <w:r w:rsidRPr="006C0089">
        <w:rPr>
          <w:szCs w:val="24"/>
        </w:rPr>
        <w:t xml:space="preserve">In feedback, the Ministry of Health agreed that tāngata whai ora should have opportunity to be involved in their </w:t>
      </w:r>
      <w:r w:rsidR="00531314" w:rsidRPr="006C0089">
        <w:rPr>
          <w:szCs w:val="24"/>
        </w:rPr>
        <w:t xml:space="preserve">own </w:t>
      </w:r>
      <w:r w:rsidRPr="006C0089">
        <w:rPr>
          <w:szCs w:val="24"/>
        </w:rPr>
        <w:t xml:space="preserve">treatment pathway and planning, citing Ngā Paerewa 3.2.1 about engaging with tāngata whai ora to develop individual care plans.   </w:t>
      </w:r>
    </w:p>
    <w:p w14:paraId="5BAF53C1" w14:textId="11433069" w:rsidR="00E61821" w:rsidRPr="006C0089" w:rsidRDefault="005E3760" w:rsidP="005E3760">
      <w:pPr>
        <w:pStyle w:val="Bullet1"/>
        <w:numPr>
          <w:ilvl w:val="0"/>
          <w:numId w:val="0"/>
        </w:numPr>
        <w:rPr>
          <w:b/>
        </w:rPr>
      </w:pPr>
      <w:r w:rsidRPr="006C0089">
        <w:t xml:space="preserve">I am encouraged to hear of </w:t>
      </w:r>
      <w:r w:rsidR="00CB7116" w:rsidRPr="006C0089">
        <w:t xml:space="preserve">the MDT pilot involving tāngata whai ora, </w:t>
      </w:r>
      <w:r w:rsidRPr="006C0089">
        <w:t xml:space="preserve">the initial planning to </w:t>
      </w:r>
      <w:r w:rsidR="00CB7116" w:rsidRPr="006C0089">
        <w:t xml:space="preserve">provide tāngata whai ora with copies of their treatment plans, and </w:t>
      </w:r>
      <w:r w:rsidR="00F64800" w:rsidRPr="006C0089">
        <w:t xml:space="preserve">the planning to </w:t>
      </w:r>
      <w:r w:rsidRPr="006C0089">
        <w:t>involve tāngata whai ora in the review of their care. However, given the</w:t>
      </w:r>
      <w:r w:rsidR="005D03A3" w:rsidRPr="006C0089">
        <w:t xml:space="preserve"> </w:t>
      </w:r>
      <w:r w:rsidRPr="006C0089">
        <w:t>early stages of the new primary nursing model of care</w:t>
      </w:r>
      <w:r w:rsidR="005D03A3" w:rsidRPr="006C0089">
        <w:t xml:space="preserve"> and the mixed knowledge of the MDT pilot amongst staff and tāngata whai ora</w:t>
      </w:r>
      <w:r w:rsidR="00F437FE" w:rsidRPr="006C0089">
        <w:rPr>
          <w:b/>
        </w:rPr>
        <w:t>,</w:t>
      </w:r>
      <w:r w:rsidR="0016641E" w:rsidRPr="006C0089">
        <w:rPr>
          <w:b/>
        </w:rPr>
        <w:t xml:space="preserve"> I make an amended </w:t>
      </w:r>
      <w:r w:rsidR="00845BDB" w:rsidRPr="006C0089">
        <w:rPr>
          <w:b/>
        </w:rPr>
        <w:t xml:space="preserve">repeat </w:t>
      </w:r>
      <w:r w:rsidR="0016641E" w:rsidRPr="006C0089">
        <w:rPr>
          <w:b/>
        </w:rPr>
        <w:t xml:space="preserve">recommendation </w:t>
      </w:r>
      <w:r w:rsidR="00EF2AF0" w:rsidRPr="006C0089">
        <w:rPr>
          <w:b/>
        </w:rPr>
        <w:t>that</w:t>
      </w:r>
      <w:r w:rsidR="005D03A3" w:rsidRPr="006C0089">
        <w:rPr>
          <w:b/>
        </w:rPr>
        <w:t xml:space="preserve"> Unit</w:t>
      </w:r>
      <w:r w:rsidR="000E2184" w:rsidRPr="006C0089">
        <w:rPr>
          <w:b/>
        </w:rPr>
        <w:t xml:space="preserve"> management</w:t>
      </w:r>
      <w:r w:rsidR="005D03A3" w:rsidRPr="006C0089">
        <w:rPr>
          <w:b/>
        </w:rPr>
        <w:t xml:space="preserve"> ensure</w:t>
      </w:r>
      <w:r w:rsidR="00EF2AF0" w:rsidRPr="006C0089">
        <w:t xml:space="preserve"> </w:t>
      </w:r>
      <w:r w:rsidR="00EF2AF0" w:rsidRPr="006C0089">
        <w:rPr>
          <w:b/>
        </w:rPr>
        <w:t xml:space="preserve">tāngata whai ora </w:t>
      </w:r>
      <w:r w:rsidR="006006A8" w:rsidRPr="006C0089">
        <w:rPr>
          <w:b/>
        </w:rPr>
        <w:t xml:space="preserve">have the opportunity to be actively involved in their treatment pathway </w:t>
      </w:r>
      <w:r w:rsidR="00015438" w:rsidRPr="006C0089">
        <w:rPr>
          <w:b/>
        </w:rPr>
        <w:t xml:space="preserve">and </w:t>
      </w:r>
      <w:r w:rsidR="006006A8" w:rsidRPr="006C0089">
        <w:rPr>
          <w:b/>
        </w:rPr>
        <w:t>planning</w:t>
      </w:r>
      <w:r w:rsidR="00015438" w:rsidRPr="006C0089">
        <w:rPr>
          <w:b/>
        </w:rPr>
        <w:t xml:space="preserve">, including relevant </w:t>
      </w:r>
      <w:r w:rsidR="006006A8" w:rsidRPr="006C0089">
        <w:rPr>
          <w:b/>
        </w:rPr>
        <w:t>meetings</w:t>
      </w:r>
      <w:r w:rsidR="006006A8" w:rsidRPr="006C0089">
        <w:t xml:space="preserve">. I expect all tāngata whai ora are provided with copies of their treatment plan. </w:t>
      </w:r>
    </w:p>
    <w:p w14:paraId="652F1DBF" w14:textId="50AE4400" w:rsidR="003F24CB" w:rsidRPr="006C0089" w:rsidRDefault="009D75C0" w:rsidP="003F24CB">
      <w:pPr>
        <w:pStyle w:val="Heading2"/>
      </w:pPr>
      <w:bookmarkStart w:id="33" w:name="_Toc170115751"/>
      <w:r w:rsidRPr="006C0089">
        <w:t>Material conditions</w:t>
      </w:r>
      <w:bookmarkEnd w:id="33"/>
      <w:r w:rsidRPr="006C0089">
        <w:t xml:space="preserve"> </w:t>
      </w:r>
    </w:p>
    <w:p w14:paraId="1172B2D8" w14:textId="658152AD" w:rsidR="009D75C0" w:rsidRPr="006C0089" w:rsidRDefault="00050F39" w:rsidP="003F24CB">
      <w:pPr>
        <w:pStyle w:val="BodyText"/>
        <w:rPr>
          <w:b/>
          <w:bCs/>
          <w:sz w:val="26"/>
          <w:szCs w:val="26"/>
        </w:rPr>
      </w:pPr>
      <w:r>
        <w:rPr>
          <w:rStyle w:val="Heading4Char"/>
        </w:rPr>
        <w:t xml:space="preserve">Recommendation 9 from </w:t>
      </w:r>
      <w:r w:rsidR="003F24CB" w:rsidRPr="006C0089">
        <w:rPr>
          <w:rStyle w:val="Heading4Char"/>
        </w:rPr>
        <w:t xml:space="preserve">2019 inspection </w:t>
      </w:r>
      <w:r w:rsidR="003F24CB" w:rsidRPr="006C0089">
        <w:rPr>
          <w:b/>
          <w:sz w:val="26"/>
          <w:szCs w:val="26"/>
        </w:rPr>
        <w:t xml:space="preserve">– </w:t>
      </w:r>
      <w:r w:rsidR="009D75C0" w:rsidRPr="006C0089">
        <w:rPr>
          <w:b/>
          <w:sz w:val="26"/>
          <w:szCs w:val="26"/>
        </w:rPr>
        <w:t>The High Care Area courtyards are cleaned regularly.</w:t>
      </w:r>
    </w:p>
    <w:p w14:paraId="59BC0284" w14:textId="042F2D60" w:rsidR="009D75C0" w:rsidRPr="006C0089" w:rsidRDefault="003F24CB" w:rsidP="003F24CB">
      <w:pPr>
        <w:pStyle w:val="Bullet1"/>
      </w:pPr>
      <w:r w:rsidRPr="006C0089">
        <w:t>This recommendation was</w:t>
      </w:r>
      <w:r w:rsidR="009D75C0" w:rsidRPr="006C0089">
        <w:t xml:space="preserve"> accepted by the </w:t>
      </w:r>
      <w:r w:rsidRPr="006C0089">
        <w:t>Unit</w:t>
      </w:r>
      <w:r w:rsidR="009D75C0" w:rsidRPr="006C0089">
        <w:t>.</w:t>
      </w:r>
    </w:p>
    <w:p w14:paraId="1CB96649" w14:textId="009187B0" w:rsidR="009D75C0" w:rsidRPr="006C0089" w:rsidRDefault="0067064B" w:rsidP="0067064B">
      <w:pPr>
        <w:pStyle w:val="Bullet1"/>
      </w:pPr>
      <w:r w:rsidRPr="006C0089">
        <w:t xml:space="preserve">On my follow up inspection I </w:t>
      </w:r>
      <w:r w:rsidR="00F2400B" w:rsidRPr="006C0089">
        <w:t xml:space="preserve">considered </w:t>
      </w:r>
      <w:r w:rsidRPr="006C0089">
        <w:t xml:space="preserve">that my recommendation was </w:t>
      </w:r>
      <w:r w:rsidRPr="006C0089">
        <w:rPr>
          <w:b/>
          <w:color w:val="auto"/>
        </w:rPr>
        <w:t xml:space="preserve">achieved. </w:t>
      </w:r>
    </w:p>
    <w:p w14:paraId="31D81945" w14:textId="0A6C85D5" w:rsidR="00F2400B" w:rsidRPr="006C0089" w:rsidRDefault="0067064B" w:rsidP="009D75C0">
      <w:pPr>
        <w:pStyle w:val="Boxsmallnumber-1"/>
        <w:numPr>
          <w:ilvl w:val="0"/>
          <w:numId w:val="0"/>
        </w:numPr>
      </w:pPr>
      <w:r w:rsidRPr="006C0089">
        <w:t xml:space="preserve">At the time of </w:t>
      </w:r>
      <w:r w:rsidR="007E4435" w:rsidRPr="006C0089">
        <w:t xml:space="preserve">the </w:t>
      </w:r>
      <w:r w:rsidR="00E10DCC" w:rsidRPr="006C0089">
        <w:t>follow up</w:t>
      </w:r>
      <w:r w:rsidR="007E4435" w:rsidRPr="006C0089">
        <w:t xml:space="preserve"> </w:t>
      </w:r>
      <w:r w:rsidRPr="006C0089">
        <w:t xml:space="preserve">inspection, </w:t>
      </w:r>
      <w:r w:rsidR="009D75C0" w:rsidRPr="006C0089">
        <w:t xml:space="preserve">Inspectors observed that the </w:t>
      </w:r>
      <w:r w:rsidRPr="006C0089">
        <w:t>High Care courtyards were clean</w:t>
      </w:r>
      <w:r w:rsidR="00F2400B" w:rsidRPr="006C0089">
        <w:t>. N</w:t>
      </w:r>
      <w:r w:rsidR="00A344E9" w:rsidRPr="006C0089">
        <w:t>either staff nor tāngata whai ora raised concerns about the cleanliness of the courtyards</w:t>
      </w:r>
      <w:r w:rsidRPr="006C0089">
        <w:t>.</w:t>
      </w:r>
      <w:r w:rsidRPr="006C0089">
        <w:rPr>
          <w:rStyle w:val="Hyperlink"/>
          <w:u w:val="none"/>
        </w:rPr>
        <w:t xml:space="preserve"> </w:t>
      </w:r>
    </w:p>
    <w:p w14:paraId="2E6CB417" w14:textId="1CBC3D85" w:rsidR="009D75C0" w:rsidRPr="006C0089" w:rsidRDefault="00A344E9" w:rsidP="009D75C0">
      <w:pPr>
        <w:pStyle w:val="Boxsmallnumber-1"/>
        <w:numPr>
          <w:ilvl w:val="0"/>
          <w:numId w:val="0"/>
        </w:numPr>
      </w:pPr>
      <w:r w:rsidRPr="006C0089">
        <w:t xml:space="preserve">Although maintenance records reviewed by Inspectors did not show routine cleaning of the High Care courtyard, Unit management informed Inspectors that routine water blasting of the courtyard occurred. </w:t>
      </w:r>
      <w:r w:rsidR="007E4435" w:rsidRPr="006C0089">
        <w:t>T</w:t>
      </w:r>
      <w:r w:rsidR="00FF6233" w:rsidRPr="006C0089">
        <w:t>he high numbers of pigeons was an ongoing issue, but there were</w:t>
      </w:r>
      <w:r w:rsidR="0067064B" w:rsidRPr="006C0089">
        <w:t xml:space="preserve"> plans t</w:t>
      </w:r>
      <w:r w:rsidR="00504554" w:rsidRPr="006C0089">
        <w:t>o</w:t>
      </w:r>
      <w:r w:rsidR="009D75C0" w:rsidRPr="006C0089">
        <w:t xml:space="preserve"> install</w:t>
      </w:r>
      <w:r w:rsidR="00CB3A34" w:rsidRPr="006C0089">
        <w:t xml:space="preserve"> p</w:t>
      </w:r>
      <w:r w:rsidR="009D75C0" w:rsidRPr="006C0089">
        <w:t>erspe</w:t>
      </w:r>
      <w:r w:rsidR="00504554" w:rsidRPr="006C0089">
        <w:t xml:space="preserve">x screens around the courtyard </w:t>
      </w:r>
      <w:r w:rsidR="00CB3A34" w:rsidRPr="006C0089">
        <w:rPr>
          <w:rStyle w:val="Hyperlink"/>
          <w:color w:val="auto"/>
          <w:u w:val="none"/>
        </w:rPr>
        <w:t>to keep the pigeons out.</w:t>
      </w:r>
      <w:r w:rsidR="00CB3A34" w:rsidRPr="006C0089">
        <w:rPr>
          <w:rStyle w:val="FootnoteReference"/>
          <w:color w:val="auto"/>
        </w:rPr>
        <w:footnoteReference w:id="17"/>
      </w:r>
      <w:r w:rsidR="00CB3A34" w:rsidRPr="006C0089">
        <w:t xml:space="preserve"> </w:t>
      </w:r>
    </w:p>
    <w:p w14:paraId="3092CAF4" w14:textId="37D0F841" w:rsidR="00CB3A34" w:rsidRPr="006C0089" w:rsidRDefault="00050F39" w:rsidP="00CB3A34">
      <w:pPr>
        <w:pStyle w:val="BodyText"/>
        <w:rPr>
          <w:b/>
          <w:sz w:val="26"/>
          <w:szCs w:val="26"/>
        </w:rPr>
      </w:pPr>
      <w:r>
        <w:rPr>
          <w:rStyle w:val="Heading4Char"/>
        </w:rPr>
        <w:t xml:space="preserve">Recommendation 10 from </w:t>
      </w:r>
      <w:r w:rsidR="00CB3A34" w:rsidRPr="006C0089">
        <w:rPr>
          <w:rStyle w:val="Heading4Char"/>
        </w:rPr>
        <w:t>2019 inspection</w:t>
      </w:r>
      <w:r w:rsidR="00CB3A34" w:rsidRPr="006C0089">
        <w:rPr>
          <w:b/>
          <w:sz w:val="26"/>
          <w:szCs w:val="26"/>
        </w:rPr>
        <w:t>–</w:t>
      </w:r>
      <w:r w:rsidR="00CB3A34" w:rsidRPr="006C0089">
        <w:t xml:space="preserve"> </w:t>
      </w:r>
      <w:r w:rsidR="00653D29" w:rsidRPr="006C0089">
        <w:rPr>
          <w:b/>
          <w:sz w:val="26"/>
          <w:szCs w:val="26"/>
        </w:rPr>
        <w:t>The replacement of en</w:t>
      </w:r>
      <w:r w:rsidR="00CB3A34" w:rsidRPr="006C0089">
        <w:rPr>
          <w:b/>
          <w:sz w:val="26"/>
          <w:szCs w:val="26"/>
        </w:rPr>
        <w:t>suite doors with ‘stable doors’, or a suitable safe alternative, takes place as a matter of priority t</w:t>
      </w:r>
      <w:r w:rsidR="00FF6233" w:rsidRPr="006C0089">
        <w:rPr>
          <w:b/>
          <w:sz w:val="26"/>
          <w:szCs w:val="26"/>
        </w:rPr>
        <w:t>o ensure service user’s privacy.</w:t>
      </w:r>
    </w:p>
    <w:p w14:paraId="3EC94374" w14:textId="76DA5243" w:rsidR="00CB3A34" w:rsidRPr="006C0089" w:rsidRDefault="00CB3A34" w:rsidP="00CB3A34">
      <w:pPr>
        <w:pStyle w:val="Bullet1"/>
      </w:pPr>
      <w:r w:rsidRPr="006C0089">
        <w:t>This recommendation was accepted</w:t>
      </w:r>
      <w:r w:rsidRPr="006C0089">
        <w:rPr>
          <w:b/>
        </w:rPr>
        <w:t xml:space="preserve"> </w:t>
      </w:r>
      <w:r w:rsidRPr="006C0089">
        <w:t>by the Unit.</w:t>
      </w:r>
    </w:p>
    <w:p w14:paraId="4A2D9D2B" w14:textId="4B29C365" w:rsidR="00CB3A34" w:rsidRPr="006C0089" w:rsidRDefault="00CB3A34" w:rsidP="00CB3A34">
      <w:pPr>
        <w:pStyle w:val="Bullet1"/>
      </w:pPr>
      <w:r w:rsidRPr="006C0089">
        <w:t xml:space="preserve">On my follow up inspection I </w:t>
      </w:r>
      <w:r w:rsidR="00F2400B" w:rsidRPr="006C0089">
        <w:t xml:space="preserve">considered </w:t>
      </w:r>
      <w:r w:rsidRPr="006C0089">
        <w:t xml:space="preserve">that my recommendation was </w:t>
      </w:r>
      <w:r w:rsidRPr="006C0089">
        <w:rPr>
          <w:b/>
          <w:color w:val="auto"/>
        </w:rPr>
        <w:t xml:space="preserve">achieved. </w:t>
      </w:r>
    </w:p>
    <w:p w14:paraId="028301C7" w14:textId="043D707B" w:rsidR="00D21B72" w:rsidRPr="006C0089" w:rsidRDefault="00D21B72" w:rsidP="00CB3A34">
      <w:pPr>
        <w:pStyle w:val="Boxsmallnumber-1"/>
        <w:numPr>
          <w:ilvl w:val="0"/>
          <w:numId w:val="0"/>
        </w:numPr>
        <w:tabs>
          <w:tab w:val="left" w:pos="720"/>
        </w:tabs>
      </w:pPr>
      <w:r w:rsidRPr="006C0089">
        <w:t>Each bedroom had its own ensuite toilet, shower and basin. At the time of my 2019 inspection all ensuite doors had been removed as a preventive measure due to ligature risk. The removal of the ensuite doors had a significant impact on tāngata whai ora privacy and dignity.</w:t>
      </w:r>
    </w:p>
    <w:p w14:paraId="51C5A007" w14:textId="2F6004AC" w:rsidR="00CB3A34" w:rsidRPr="006C0089" w:rsidRDefault="00CB3A34" w:rsidP="00CB3A34">
      <w:pPr>
        <w:pStyle w:val="Boxsmallnumber-1"/>
        <w:numPr>
          <w:ilvl w:val="0"/>
          <w:numId w:val="0"/>
        </w:numPr>
        <w:tabs>
          <w:tab w:val="left" w:pos="720"/>
        </w:tabs>
        <w:rPr>
          <w:b/>
        </w:rPr>
      </w:pPr>
      <w:r w:rsidRPr="006C0089">
        <w:t>Inspectors observed specially designed</w:t>
      </w:r>
      <w:r w:rsidR="00041918" w:rsidRPr="006C0089">
        <w:t xml:space="preserve"> padded mats that functioned as </w:t>
      </w:r>
      <w:r w:rsidR="00653D29" w:rsidRPr="006C0089">
        <w:t>detachable en</w:t>
      </w:r>
      <w:r w:rsidRPr="006C0089">
        <w:t xml:space="preserve">suite </w:t>
      </w:r>
      <w:r w:rsidR="00041918" w:rsidRPr="006C0089">
        <w:t>‘</w:t>
      </w:r>
      <w:r w:rsidRPr="006C0089">
        <w:t>doors</w:t>
      </w:r>
      <w:r w:rsidR="00041918" w:rsidRPr="006C0089">
        <w:t>’</w:t>
      </w:r>
      <w:r w:rsidRPr="006C0089">
        <w:t xml:space="preserve"> in tāngata whai ora bedrooms. </w:t>
      </w:r>
      <w:r w:rsidR="00653D29" w:rsidRPr="006C0089">
        <w:t>The doors</w:t>
      </w:r>
      <w:r w:rsidR="00041918" w:rsidRPr="006C0089">
        <w:t xml:space="preserve"> were secured to the door frame by mag</w:t>
      </w:r>
      <w:r w:rsidR="00653D29" w:rsidRPr="006C0089">
        <w:t xml:space="preserve">nets which ran down each side of the </w:t>
      </w:r>
      <w:r w:rsidR="00FF6233" w:rsidRPr="006C0089">
        <w:t>‘</w:t>
      </w:r>
      <w:r w:rsidR="00653D29" w:rsidRPr="006C0089">
        <w:t>door</w:t>
      </w:r>
      <w:r w:rsidR="00FF6233" w:rsidRPr="006C0089">
        <w:t>’</w:t>
      </w:r>
      <w:r w:rsidR="00653D29" w:rsidRPr="006C0089">
        <w:t>. They</w:t>
      </w:r>
      <w:r w:rsidR="00041918" w:rsidRPr="006C0089">
        <w:t xml:space="preserve"> were </w:t>
      </w:r>
      <w:r w:rsidRPr="006C0089">
        <w:t>easily disconnect</w:t>
      </w:r>
      <w:r w:rsidR="00FF6233" w:rsidRPr="006C0089">
        <w:t>ed</w:t>
      </w:r>
      <w:r w:rsidRPr="006C0089">
        <w:t xml:space="preserve"> from </w:t>
      </w:r>
      <w:r w:rsidR="00041918" w:rsidRPr="006C0089">
        <w:t>the door frame when pressure wa</w:t>
      </w:r>
      <w:r w:rsidR="00653D29" w:rsidRPr="006C0089">
        <w:t>s place</w:t>
      </w:r>
      <w:r w:rsidR="007E4435" w:rsidRPr="006C0089">
        <w:t>d</w:t>
      </w:r>
      <w:r w:rsidR="00653D29" w:rsidRPr="006C0089">
        <w:t xml:space="preserve"> onto them</w:t>
      </w:r>
      <w:r w:rsidRPr="006C0089">
        <w:t>.</w:t>
      </w:r>
      <w:r w:rsidR="00AD3E9D" w:rsidRPr="006C0089">
        <w:t xml:space="preserve"> </w:t>
      </w:r>
      <w:r w:rsidR="00041918" w:rsidRPr="006C0089">
        <w:t xml:space="preserve">The </w:t>
      </w:r>
      <w:r w:rsidR="00FF6233" w:rsidRPr="006C0089">
        <w:t>‘</w:t>
      </w:r>
      <w:r w:rsidR="00041918" w:rsidRPr="006C0089">
        <w:t>doors</w:t>
      </w:r>
      <w:r w:rsidR="00FF6233" w:rsidRPr="006C0089">
        <w:t>’</w:t>
      </w:r>
      <w:r w:rsidR="00041918" w:rsidRPr="006C0089">
        <w:t xml:space="preserve"> were </w:t>
      </w:r>
      <w:r w:rsidRPr="006C0089">
        <w:t>anti-ligature and ensured the privac</w:t>
      </w:r>
      <w:r w:rsidR="00FF6233" w:rsidRPr="006C0089">
        <w:t>y of tāngata whai ora while using their ensuite.</w:t>
      </w:r>
    </w:p>
    <w:p w14:paraId="6F042ED5" w14:textId="6234C522" w:rsidR="00CB3A34" w:rsidRPr="006C0089" w:rsidRDefault="00041918" w:rsidP="005972A5">
      <w:pPr>
        <w:pStyle w:val="Bullet1"/>
        <w:numPr>
          <w:ilvl w:val="0"/>
          <w:numId w:val="0"/>
        </w:numPr>
      </w:pPr>
      <w:r w:rsidRPr="006C0089">
        <w:t>I commend the Unit on installing an innovative solution that ensures the safety and privacy of tāngata whai ora. I am pleased to learn that safe privacy alternatives are being developed</w:t>
      </w:r>
      <w:r w:rsidR="00DD7030" w:rsidRPr="006C0089">
        <w:t xml:space="preserve"> and used effectively</w:t>
      </w:r>
      <w:r w:rsidRPr="006C0089">
        <w:t xml:space="preserve">. </w:t>
      </w:r>
    </w:p>
    <w:p w14:paraId="742E926D" w14:textId="16FB0FA4" w:rsidR="00DD7030" w:rsidRPr="006C0089" w:rsidRDefault="00DD7030" w:rsidP="00DD7030">
      <w:pPr>
        <w:pStyle w:val="Heading2"/>
      </w:pPr>
      <w:bookmarkStart w:id="34" w:name="_Toc170115752"/>
      <w:r w:rsidRPr="006C0089">
        <w:t>Activities and programmes</w:t>
      </w:r>
      <w:bookmarkEnd w:id="34"/>
    </w:p>
    <w:p w14:paraId="3893B389" w14:textId="38DAB0DB" w:rsidR="003E74F4" w:rsidRPr="006C0089" w:rsidRDefault="003E74F4" w:rsidP="003E74F4">
      <w:pPr>
        <w:pStyle w:val="Heading3"/>
      </w:pPr>
      <w:bookmarkStart w:id="35" w:name="_Cultural_support"/>
      <w:bookmarkEnd w:id="35"/>
      <w:r w:rsidRPr="006C0089">
        <w:t>Cultural support</w:t>
      </w:r>
    </w:p>
    <w:p w14:paraId="672DE446" w14:textId="419C902F" w:rsidR="0048558F" w:rsidRPr="006C0089" w:rsidRDefault="00050F39" w:rsidP="0048558F">
      <w:pPr>
        <w:pStyle w:val="BodyText"/>
        <w:rPr>
          <w:b/>
          <w:sz w:val="26"/>
          <w:szCs w:val="26"/>
        </w:rPr>
      </w:pPr>
      <w:bookmarkStart w:id="36" w:name="CulturalSupport"/>
      <w:r>
        <w:rPr>
          <w:rStyle w:val="Heading4Char"/>
        </w:rPr>
        <w:t xml:space="preserve">Recommendation 11 from </w:t>
      </w:r>
      <w:r w:rsidR="0048558F" w:rsidRPr="006C0089">
        <w:rPr>
          <w:rStyle w:val="Heading4Char"/>
        </w:rPr>
        <w:t>2019 inspection</w:t>
      </w:r>
      <w:r>
        <w:rPr>
          <w:b/>
          <w:sz w:val="26"/>
          <w:szCs w:val="26"/>
        </w:rPr>
        <w:t xml:space="preserve"> </w:t>
      </w:r>
      <w:r w:rsidR="0048558F" w:rsidRPr="006C0089">
        <w:rPr>
          <w:b/>
          <w:sz w:val="26"/>
          <w:szCs w:val="26"/>
        </w:rPr>
        <w:t>– The level of cultural support on the Unit be increased and appropriate spaces are designated to welcome tāngata whai ora and staff to the Unit with a pōwhiri or mihi whakatau</w:t>
      </w:r>
      <w:r w:rsidR="003E74F4" w:rsidRPr="006C0089">
        <w:rPr>
          <w:b/>
          <w:sz w:val="26"/>
          <w:szCs w:val="26"/>
        </w:rPr>
        <w:t>.</w:t>
      </w:r>
    </w:p>
    <w:bookmarkEnd w:id="36"/>
    <w:p w14:paraId="7CF365F4" w14:textId="737EEBED" w:rsidR="0048558F" w:rsidRPr="006C0089" w:rsidRDefault="0048558F" w:rsidP="0048558F">
      <w:pPr>
        <w:pStyle w:val="Bullet1"/>
      </w:pPr>
      <w:r w:rsidRPr="006C0089">
        <w:t>This recommendation was accepted</w:t>
      </w:r>
      <w:r w:rsidRPr="006C0089">
        <w:rPr>
          <w:b/>
        </w:rPr>
        <w:t xml:space="preserve"> </w:t>
      </w:r>
      <w:r w:rsidRPr="006C0089">
        <w:t>by the Unit.</w:t>
      </w:r>
    </w:p>
    <w:p w14:paraId="209B413F" w14:textId="090CFB94" w:rsidR="0048558F" w:rsidRPr="006C0089" w:rsidRDefault="0048558F" w:rsidP="0048558F">
      <w:pPr>
        <w:pStyle w:val="Bullet1"/>
        <w:rPr>
          <w:b/>
        </w:rPr>
      </w:pPr>
      <w:r w:rsidRPr="006C0089">
        <w:t xml:space="preserve">On my follow up inspection I </w:t>
      </w:r>
      <w:r w:rsidR="004414C6" w:rsidRPr="006C0089">
        <w:t xml:space="preserve">considered </w:t>
      </w:r>
      <w:r w:rsidRPr="006C0089">
        <w:t xml:space="preserve">that my recommendation was </w:t>
      </w:r>
      <w:r w:rsidR="00364876" w:rsidRPr="006C0089">
        <w:rPr>
          <w:b/>
        </w:rPr>
        <w:t>progressing but not yet achieved</w:t>
      </w:r>
      <w:r w:rsidR="00AD3E9D" w:rsidRPr="006C0089">
        <w:rPr>
          <w:b/>
        </w:rPr>
        <w:t xml:space="preserve">. </w:t>
      </w:r>
    </w:p>
    <w:p w14:paraId="114134F1" w14:textId="3D935108" w:rsidR="00364876" w:rsidRPr="006C0089" w:rsidRDefault="00364876" w:rsidP="003E74F4">
      <w:pPr>
        <w:pStyle w:val="Boxsmallnumber-1"/>
        <w:numPr>
          <w:ilvl w:val="0"/>
          <w:numId w:val="0"/>
        </w:numPr>
        <w:tabs>
          <w:tab w:val="left" w:pos="720"/>
        </w:tabs>
      </w:pPr>
      <w:r w:rsidRPr="006C0089">
        <w:t xml:space="preserve">At the time of inspection there was </w:t>
      </w:r>
      <w:r w:rsidR="00FA425D" w:rsidRPr="006C0089">
        <w:t>a</w:t>
      </w:r>
      <w:r w:rsidRPr="006C0089">
        <w:t xml:space="preserve"> </w:t>
      </w:r>
      <w:r w:rsidR="006E03EF" w:rsidRPr="006C0089">
        <w:t xml:space="preserve">newly appointed </w:t>
      </w:r>
      <w:r w:rsidR="007C4148" w:rsidRPr="006C0089">
        <w:t>Taurawhiri</w:t>
      </w:r>
      <w:r w:rsidRPr="006C0089">
        <w:t xml:space="preserve"> </w:t>
      </w:r>
      <w:r w:rsidR="007C4148" w:rsidRPr="006C0089">
        <w:t>(</w:t>
      </w:r>
      <w:r w:rsidRPr="006C0089">
        <w:t>Māori Cultural Advisor</w:t>
      </w:r>
      <w:r w:rsidR="007C4148" w:rsidRPr="006C0089">
        <w:t>)</w:t>
      </w:r>
      <w:r w:rsidRPr="006C0089">
        <w:t xml:space="preserve"> </w:t>
      </w:r>
      <w:r w:rsidR="006E03EF" w:rsidRPr="006C0089">
        <w:t>employed on the Unit</w:t>
      </w:r>
      <w:r w:rsidRPr="006C0089">
        <w:rPr>
          <w:lang w:val="en-US"/>
        </w:rPr>
        <w:t>.</w:t>
      </w:r>
      <w:r w:rsidR="006C0576" w:rsidRPr="006C0089">
        <w:rPr>
          <w:lang w:val="en-US"/>
        </w:rPr>
        <w:t xml:space="preserve"> Their hours were 7am – 4pm Monday to Friday. There was no cultural support available </w:t>
      </w:r>
      <w:r w:rsidR="007C4148" w:rsidRPr="006C0089">
        <w:rPr>
          <w:lang w:val="en-US"/>
        </w:rPr>
        <w:t>i</w:t>
      </w:r>
      <w:r w:rsidR="006E03EF" w:rsidRPr="006C0089">
        <w:rPr>
          <w:lang w:val="en-US"/>
        </w:rPr>
        <w:t xml:space="preserve">n the Unit </w:t>
      </w:r>
      <w:r w:rsidR="007C4148" w:rsidRPr="006C0089">
        <w:rPr>
          <w:lang w:val="en-US"/>
        </w:rPr>
        <w:t>in the evenings or</w:t>
      </w:r>
      <w:r w:rsidR="00050F39">
        <w:rPr>
          <w:lang w:val="en-US"/>
        </w:rPr>
        <w:t xml:space="preserve"> on</w:t>
      </w:r>
      <w:r w:rsidR="007C4148" w:rsidRPr="006C0089">
        <w:rPr>
          <w:lang w:val="en-US"/>
        </w:rPr>
        <w:t xml:space="preserve"> </w:t>
      </w:r>
      <w:r w:rsidR="00AD3E9D" w:rsidRPr="006C0089">
        <w:rPr>
          <w:lang w:val="en-US"/>
        </w:rPr>
        <w:t xml:space="preserve">the weekend. </w:t>
      </w:r>
    </w:p>
    <w:p w14:paraId="6419238C" w14:textId="259B95A9" w:rsidR="00DD7030" w:rsidRPr="006C0089" w:rsidRDefault="00DD7030" w:rsidP="003E74F4">
      <w:pPr>
        <w:pStyle w:val="Boxsmallnumber-1"/>
        <w:numPr>
          <w:ilvl w:val="0"/>
          <w:numId w:val="0"/>
        </w:numPr>
        <w:tabs>
          <w:tab w:val="left" w:pos="720"/>
        </w:tabs>
        <w:rPr>
          <w:b/>
          <w:lang w:val="en-US"/>
        </w:rPr>
      </w:pPr>
      <w:r w:rsidRPr="006C0089">
        <w:t xml:space="preserve">Inspectors heard from both staff and tāngata whai ora </w:t>
      </w:r>
      <w:r w:rsidR="000B4AB0" w:rsidRPr="006C0089">
        <w:t xml:space="preserve">that </w:t>
      </w:r>
      <w:r w:rsidR="006C0576" w:rsidRPr="006C0089">
        <w:rPr>
          <w:lang w:val="en-US"/>
        </w:rPr>
        <w:t xml:space="preserve">the previous </w:t>
      </w:r>
      <w:r w:rsidR="006C0576" w:rsidRPr="006C0089">
        <w:t>Taurawhiri</w:t>
      </w:r>
      <w:r w:rsidR="000B4AB0" w:rsidRPr="006C0089">
        <w:t xml:space="preserve"> </w:t>
      </w:r>
      <w:r w:rsidR="00364876" w:rsidRPr="006C0089">
        <w:t>had provided</w:t>
      </w:r>
      <w:r w:rsidRPr="006C0089">
        <w:t xml:space="preserve"> signifi</w:t>
      </w:r>
      <w:r w:rsidR="00364876" w:rsidRPr="006C0089">
        <w:t xml:space="preserve">cant and positive contributions to </w:t>
      </w:r>
      <w:r w:rsidR="006C0576" w:rsidRPr="006C0089">
        <w:t xml:space="preserve">the </w:t>
      </w:r>
      <w:r w:rsidR="00364876" w:rsidRPr="006C0089">
        <w:t xml:space="preserve">care of tāngata whai ora. </w:t>
      </w:r>
      <w:r w:rsidR="00364876" w:rsidRPr="006C0089">
        <w:rPr>
          <w:lang w:val="en-US"/>
        </w:rPr>
        <w:t>They were</w:t>
      </w:r>
      <w:r w:rsidRPr="006C0089">
        <w:rPr>
          <w:lang w:val="en-US"/>
        </w:rPr>
        <w:t xml:space="preserve"> actively involved in tāngata wha</w:t>
      </w:r>
      <w:r w:rsidR="00364876" w:rsidRPr="006C0089">
        <w:rPr>
          <w:lang w:val="en-US"/>
        </w:rPr>
        <w:t>i ora treatment</w:t>
      </w:r>
      <w:r w:rsidR="006C0576" w:rsidRPr="006C0089">
        <w:rPr>
          <w:lang w:val="en-US"/>
        </w:rPr>
        <w:t xml:space="preserve"> planning</w:t>
      </w:r>
      <w:r w:rsidR="00364876" w:rsidRPr="006C0089">
        <w:rPr>
          <w:lang w:val="en-US"/>
        </w:rPr>
        <w:t>, including MDTs, discharge planning,</w:t>
      </w:r>
      <w:r w:rsidRPr="006C0089">
        <w:rPr>
          <w:lang w:val="en-US"/>
        </w:rPr>
        <w:t xml:space="preserve"> </w:t>
      </w:r>
      <w:r w:rsidR="006E03EF" w:rsidRPr="006C0089">
        <w:rPr>
          <w:lang w:val="en-US"/>
        </w:rPr>
        <w:t xml:space="preserve">and seclusion panel reviews. They </w:t>
      </w:r>
      <w:r w:rsidR="00FF6233" w:rsidRPr="006C0089">
        <w:rPr>
          <w:lang w:val="en-US"/>
        </w:rPr>
        <w:t xml:space="preserve">had </w:t>
      </w:r>
      <w:r w:rsidR="006C0576" w:rsidRPr="006C0089">
        <w:rPr>
          <w:lang w:val="en-US"/>
        </w:rPr>
        <w:t>also facilitated v</w:t>
      </w:r>
      <w:r w:rsidRPr="006C0089">
        <w:rPr>
          <w:lang w:val="en-US"/>
        </w:rPr>
        <w:t xml:space="preserve">arious activities and groups. </w:t>
      </w:r>
    </w:p>
    <w:p w14:paraId="4DA3A0A5" w14:textId="02654B09" w:rsidR="00DE567E" w:rsidRPr="006C0089" w:rsidRDefault="006C0576" w:rsidP="006C0576">
      <w:pPr>
        <w:pStyle w:val="BodyText"/>
      </w:pPr>
      <w:r w:rsidRPr="006C0089">
        <w:rPr>
          <w:lang w:val="en-US"/>
        </w:rPr>
        <w:t xml:space="preserve">Inspectors were informed that having cultural support available </w:t>
      </w:r>
      <w:r w:rsidR="006E03EF" w:rsidRPr="006C0089">
        <w:rPr>
          <w:lang w:val="en-US"/>
        </w:rPr>
        <w:t>on the Unit decreased</w:t>
      </w:r>
      <w:r w:rsidRPr="006C0089">
        <w:rPr>
          <w:lang w:val="en-US"/>
        </w:rPr>
        <w:t xml:space="preserve"> the chances of seclusion when t</w:t>
      </w:r>
      <w:r w:rsidRPr="006C0089">
        <w:t>ā</w:t>
      </w:r>
      <w:r w:rsidR="00FF6233" w:rsidRPr="006C0089">
        <w:rPr>
          <w:lang w:val="en-US"/>
        </w:rPr>
        <w:t>ngata whai ora were</w:t>
      </w:r>
      <w:r w:rsidRPr="006C0089">
        <w:rPr>
          <w:lang w:val="en-US"/>
        </w:rPr>
        <w:t xml:space="preserve"> admitted into </w:t>
      </w:r>
      <w:r w:rsidR="007E4435" w:rsidRPr="006C0089">
        <w:rPr>
          <w:lang w:val="en-US"/>
        </w:rPr>
        <w:t xml:space="preserve">the </w:t>
      </w:r>
      <w:r w:rsidRPr="006C0089">
        <w:rPr>
          <w:lang w:val="en-US"/>
        </w:rPr>
        <w:t>High Care Area</w:t>
      </w:r>
      <w:r w:rsidR="006E03EF" w:rsidRPr="006C0089">
        <w:rPr>
          <w:lang w:val="en-US"/>
        </w:rPr>
        <w:t>.</w:t>
      </w:r>
      <w:r w:rsidR="00DE567E" w:rsidRPr="006C0089">
        <w:rPr>
          <w:lang w:val="en-US"/>
        </w:rPr>
        <w:t xml:space="preserve"> Inspectors noted, in seclusion paperwork, an instance where having a cultural advisor present during a seclusion episode had resulted in successful de-escalation.</w:t>
      </w:r>
      <w:r w:rsidR="006E03EF" w:rsidRPr="006C0089">
        <w:rPr>
          <w:lang w:val="en-US"/>
        </w:rPr>
        <w:t xml:space="preserve"> </w:t>
      </w:r>
    </w:p>
    <w:p w14:paraId="0345ACB1" w14:textId="7CF6BEA1" w:rsidR="006C0576" w:rsidRPr="006C0089" w:rsidRDefault="006E03EF" w:rsidP="006C0576">
      <w:pPr>
        <w:pStyle w:val="BodyText"/>
        <w:rPr>
          <w:lang w:val="en-US"/>
        </w:rPr>
      </w:pPr>
      <w:r w:rsidRPr="006C0089">
        <w:rPr>
          <w:lang w:val="en-US"/>
        </w:rPr>
        <w:t>S</w:t>
      </w:r>
      <w:r w:rsidR="006C0576" w:rsidRPr="006C0089">
        <w:rPr>
          <w:lang w:val="en-US"/>
        </w:rPr>
        <w:t xml:space="preserve">taff </w:t>
      </w:r>
      <w:r w:rsidRPr="006C0089">
        <w:rPr>
          <w:lang w:val="en-US"/>
        </w:rPr>
        <w:t xml:space="preserve">said </w:t>
      </w:r>
      <w:r w:rsidR="006C0576" w:rsidRPr="006C0089">
        <w:rPr>
          <w:lang w:val="en-US"/>
        </w:rPr>
        <w:t xml:space="preserve">when the </w:t>
      </w:r>
      <w:r w:rsidR="006C0576" w:rsidRPr="006C0089">
        <w:t>Taurawhiri</w:t>
      </w:r>
      <w:r w:rsidRPr="006C0089">
        <w:rPr>
          <w:lang w:val="en-US"/>
        </w:rPr>
        <w:t xml:space="preserve"> was there it </w:t>
      </w:r>
      <w:r w:rsidR="006C0576" w:rsidRPr="006C0089">
        <w:rPr>
          <w:lang w:val="en-US"/>
        </w:rPr>
        <w:t>‘</w:t>
      </w:r>
      <w:r w:rsidR="006C0576" w:rsidRPr="006C0089">
        <w:rPr>
          <w:i/>
          <w:lang w:val="en-US"/>
        </w:rPr>
        <w:t>would result in better outcomes for t</w:t>
      </w:r>
      <w:r w:rsidR="00A17DA4" w:rsidRPr="006C0089">
        <w:rPr>
          <w:rFonts w:cs="Calibri"/>
          <w:i/>
          <w:lang w:val="en-US"/>
        </w:rPr>
        <w:t>ā</w:t>
      </w:r>
      <w:r w:rsidR="006C0576" w:rsidRPr="006C0089">
        <w:rPr>
          <w:i/>
          <w:lang w:val="en-US"/>
        </w:rPr>
        <w:t>ngata whai ora</w:t>
      </w:r>
      <w:r w:rsidR="006C0576" w:rsidRPr="006C0089">
        <w:rPr>
          <w:lang w:val="en-US"/>
        </w:rPr>
        <w:t>’.</w:t>
      </w:r>
      <w:r w:rsidRPr="006C0089">
        <w:rPr>
          <w:lang w:val="en-US"/>
        </w:rPr>
        <w:t xml:space="preserve"> One </w:t>
      </w:r>
      <w:r w:rsidRPr="006C0089">
        <w:t>t</w:t>
      </w:r>
      <w:r w:rsidR="00B55061" w:rsidRPr="006C0089">
        <w:t>a</w:t>
      </w:r>
      <w:r w:rsidRPr="006C0089">
        <w:t>ngata whai ora stated that the Taurawhiri</w:t>
      </w:r>
      <w:r w:rsidRPr="006C0089">
        <w:rPr>
          <w:lang w:val="en-US"/>
        </w:rPr>
        <w:t xml:space="preserve"> was</w:t>
      </w:r>
      <w:r w:rsidR="00DE567E" w:rsidRPr="006C0089">
        <w:rPr>
          <w:lang w:val="en-US"/>
        </w:rPr>
        <w:t xml:space="preserve"> their</w:t>
      </w:r>
      <w:r w:rsidRPr="006C0089">
        <w:rPr>
          <w:lang w:val="en-US"/>
        </w:rPr>
        <w:t xml:space="preserve"> ‘</w:t>
      </w:r>
      <w:r w:rsidRPr="006C0089">
        <w:rPr>
          <w:i/>
          <w:lang w:val="en-US"/>
        </w:rPr>
        <w:t>safety blanket’.</w:t>
      </w:r>
      <w:r w:rsidR="002B208B" w:rsidRPr="006C0089">
        <w:rPr>
          <w:lang w:val="en-US"/>
        </w:rPr>
        <w:t xml:space="preserve"> </w:t>
      </w:r>
      <w:r w:rsidR="009E76A1" w:rsidRPr="006C0089">
        <w:rPr>
          <w:lang w:val="en-US"/>
        </w:rPr>
        <w:t>M</w:t>
      </w:r>
      <w:r w:rsidR="009E76A1" w:rsidRPr="006C0089">
        <w:t>ā</w:t>
      </w:r>
      <w:r w:rsidR="009E76A1" w:rsidRPr="006C0089">
        <w:rPr>
          <w:lang w:val="en-US"/>
        </w:rPr>
        <w:t>ori t</w:t>
      </w:r>
      <w:r w:rsidR="009E76A1" w:rsidRPr="006C0089">
        <w:rPr>
          <w:rFonts w:cs="Calibri"/>
          <w:lang w:val="en-US"/>
        </w:rPr>
        <w:t>ā</w:t>
      </w:r>
      <w:r w:rsidR="009E76A1" w:rsidRPr="006C0089">
        <w:rPr>
          <w:lang w:val="en-US"/>
        </w:rPr>
        <w:t>ngata whai ora who spoke with Inspectors said they would like more cultural and spiritual input. Staff said that more cultural support, including for Pasifika t</w:t>
      </w:r>
      <w:r w:rsidR="009E76A1" w:rsidRPr="006C0089">
        <w:t>ā</w:t>
      </w:r>
      <w:r w:rsidR="009E76A1" w:rsidRPr="006C0089">
        <w:rPr>
          <w:lang w:val="en-US"/>
        </w:rPr>
        <w:t xml:space="preserve">ngata whai ora would be </w:t>
      </w:r>
      <w:r w:rsidR="009E76A1" w:rsidRPr="006C0089">
        <w:rPr>
          <w:i/>
          <w:lang w:val="en-US"/>
        </w:rPr>
        <w:t>‘great’.</w:t>
      </w:r>
    </w:p>
    <w:p w14:paraId="69588786" w14:textId="2C3EFD1D" w:rsidR="00DD7030" w:rsidRPr="006C0089" w:rsidRDefault="00A17DA4" w:rsidP="00A17DA4">
      <w:pPr>
        <w:pStyle w:val="Bullet1"/>
        <w:numPr>
          <w:ilvl w:val="0"/>
          <w:numId w:val="0"/>
        </w:numPr>
        <w:rPr>
          <w:lang w:val="en-US"/>
        </w:rPr>
      </w:pPr>
      <w:r w:rsidRPr="006C0089">
        <w:t xml:space="preserve">Unit </w:t>
      </w:r>
      <w:r w:rsidR="00FF6233" w:rsidRPr="006C0089">
        <w:t>management told I</w:t>
      </w:r>
      <w:r w:rsidR="00DD7030" w:rsidRPr="006C0089">
        <w:t xml:space="preserve">nspectors that further funding </w:t>
      </w:r>
      <w:r w:rsidR="00A82489" w:rsidRPr="006C0089">
        <w:t>for</w:t>
      </w:r>
      <w:r w:rsidR="003A1C3A" w:rsidRPr="006C0089">
        <w:t xml:space="preserve"> 3.4 f</w:t>
      </w:r>
      <w:r w:rsidR="00FF6233" w:rsidRPr="006C0089">
        <w:t xml:space="preserve">ull </w:t>
      </w:r>
      <w:r w:rsidR="003A1C3A" w:rsidRPr="006C0089">
        <w:t>t</w:t>
      </w:r>
      <w:r w:rsidR="00FF6233" w:rsidRPr="006C0089">
        <w:t xml:space="preserve">ime </w:t>
      </w:r>
      <w:r w:rsidR="003A1C3A" w:rsidRPr="006C0089">
        <w:t>e</w:t>
      </w:r>
      <w:r w:rsidR="00FF6233" w:rsidRPr="006C0089">
        <w:t xml:space="preserve">quivalent </w:t>
      </w:r>
      <w:r w:rsidR="00A82489" w:rsidRPr="006C0089">
        <w:t xml:space="preserve">staff in the </w:t>
      </w:r>
      <w:r w:rsidR="00DD7030" w:rsidRPr="006C0089">
        <w:t xml:space="preserve">Taurawhiri </w:t>
      </w:r>
      <w:r w:rsidR="00A82489" w:rsidRPr="006C0089">
        <w:t xml:space="preserve">role had been </w:t>
      </w:r>
      <w:r w:rsidR="00DD7030" w:rsidRPr="006C0089">
        <w:t>secured to increase cultural support on the Unit, bu</w:t>
      </w:r>
      <w:r w:rsidR="003A3ABC" w:rsidRPr="006C0089">
        <w:t>t recruitment was a challenge.</w:t>
      </w:r>
      <w:r w:rsidR="009E76A1" w:rsidRPr="006C0089">
        <w:rPr>
          <w:rStyle w:val="FootnoteReference"/>
        </w:rPr>
        <w:footnoteReference w:id="18"/>
      </w:r>
      <w:r w:rsidR="003A3ABC" w:rsidRPr="006C0089">
        <w:t xml:space="preserve"> </w:t>
      </w:r>
      <w:r w:rsidR="00DD7030" w:rsidRPr="006C0089">
        <w:t xml:space="preserve">In the interim, the Unit was </w:t>
      </w:r>
      <w:r w:rsidRPr="006C0089">
        <w:t xml:space="preserve">using the services of </w:t>
      </w:r>
      <w:r w:rsidR="00DD7030" w:rsidRPr="006C0089">
        <w:t xml:space="preserve">MOKO, a </w:t>
      </w:r>
      <w:r w:rsidR="00A27A23" w:rsidRPr="006C0089">
        <w:t>community</w:t>
      </w:r>
      <w:r w:rsidR="00050F39">
        <w:t>-</w:t>
      </w:r>
      <w:r w:rsidR="00A27A23" w:rsidRPr="006C0089">
        <w:t xml:space="preserve">based </w:t>
      </w:r>
      <w:r w:rsidR="00DD7030" w:rsidRPr="006C0089">
        <w:t>kaupapa Māori service</w:t>
      </w:r>
      <w:r w:rsidR="00E55F0E" w:rsidRPr="006C0089">
        <w:t>,</w:t>
      </w:r>
      <w:r w:rsidR="00DD7030" w:rsidRPr="006C0089">
        <w:t xml:space="preserve"> to provide additional support to tāngata whai ora</w:t>
      </w:r>
      <w:r w:rsidR="00DD7030" w:rsidRPr="006C0089">
        <w:rPr>
          <w:lang w:val="en-US"/>
        </w:rPr>
        <w:t>.</w:t>
      </w:r>
      <w:r w:rsidRPr="006C0089">
        <w:rPr>
          <w:lang w:val="en-US"/>
        </w:rPr>
        <w:t xml:space="preserve"> Inspect</w:t>
      </w:r>
      <w:r w:rsidR="00E55F0E" w:rsidRPr="006C0089">
        <w:rPr>
          <w:lang w:val="en-US"/>
        </w:rPr>
        <w:t xml:space="preserve">ors observed </w:t>
      </w:r>
      <w:r w:rsidR="003A1C3A" w:rsidRPr="006C0089">
        <w:rPr>
          <w:lang w:val="en-US"/>
        </w:rPr>
        <w:t>in a</w:t>
      </w:r>
      <w:r w:rsidR="00050F39">
        <w:rPr>
          <w:lang w:val="en-US"/>
        </w:rPr>
        <w:t>n</w:t>
      </w:r>
      <w:r w:rsidR="00DD7030" w:rsidRPr="006C0089">
        <w:rPr>
          <w:lang w:val="en-US"/>
        </w:rPr>
        <w:t xml:space="preserve"> MDT</w:t>
      </w:r>
      <w:r w:rsidR="00476793" w:rsidRPr="006C0089">
        <w:rPr>
          <w:lang w:val="en-US"/>
        </w:rPr>
        <w:t xml:space="preserve"> meeting</w:t>
      </w:r>
      <w:r w:rsidRPr="006C0089">
        <w:rPr>
          <w:lang w:val="en-US"/>
        </w:rPr>
        <w:t>,</w:t>
      </w:r>
      <w:r w:rsidR="00DD7030" w:rsidRPr="006C0089">
        <w:rPr>
          <w:lang w:val="en-US"/>
        </w:rPr>
        <w:t xml:space="preserve"> </w:t>
      </w:r>
      <w:r w:rsidRPr="006C0089">
        <w:rPr>
          <w:lang w:val="en-US"/>
        </w:rPr>
        <w:t xml:space="preserve">that </w:t>
      </w:r>
      <w:r w:rsidR="00DD7030" w:rsidRPr="006C0089">
        <w:rPr>
          <w:lang w:val="en-US"/>
        </w:rPr>
        <w:t>in several instances, MOKO was identified as working with t</w:t>
      </w:r>
      <w:r w:rsidRPr="006C0089">
        <w:rPr>
          <w:rFonts w:cs="Calibri"/>
          <w:lang w:val="en-US"/>
        </w:rPr>
        <w:t>ā</w:t>
      </w:r>
      <w:r w:rsidR="00DD7030" w:rsidRPr="006C0089">
        <w:rPr>
          <w:lang w:val="en-US"/>
        </w:rPr>
        <w:t xml:space="preserve">ngata whai ora, or </w:t>
      </w:r>
      <w:r w:rsidR="00A82489" w:rsidRPr="006C0089">
        <w:rPr>
          <w:lang w:val="en-US"/>
        </w:rPr>
        <w:t xml:space="preserve">it was noted </w:t>
      </w:r>
      <w:r w:rsidR="00DD7030" w:rsidRPr="006C0089">
        <w:rPr>
          <w:lang w:val="en-US"/>
        </w:rPr>
        <w:t xml:space="preserve">that a referral to their services would be valuable. </w:t>
      </w:r>
    </w:p>
    <w:p w14:paraId="6B3DF683" w14:textId="7E3C4E92" w:rsidR="00DD7030" w:rsidRPr="006C0089" w:rsidRDefault="00775C40" w:rsidP="003E74F4">
      <w:pPr>
        <w:pStyle w:val="Boxsmallnumber-1"/>
        <w:numPr>
          <w:ilvl w:val="0"/>
          <w:numId w:val="0"/>
        </w:numPr>
        <w:tabs>
          <w:tab w:val="left" w:pos="720"/>
        </w:tabs>
      </w:pPr>
      <w:r w:rsidRPr="006C0089">
        <w:rPr>
          <w:lang w:val="en-US"/>
        </w:rPr>
        <w:t>Inspectors observed</w:t>
      </w:r>
      <w:r w:rsidR="00D70A7F" w:rsidRPr="006C0089">
        <w:rPr>
          <w:lang w:val="en-US"/>
        </w:rPr>
        <w:t xml:space="preserve"> that</w:t>
      </w:r>
      <w:r w:rsidRPr="006C0089">
        <w:rPr>
          <w:lang w:val="en-US"/>
        </w:rPr>
        <w:t xml:space="preserve"> </w:t>
      </w:r>
      <w:r w:rsidR="00FC6C5B" w:rsidRPr="006C0089">
        <w:rPr>
          <w:lang w:val="en-US"/>
        </w:rPr>
        <w:t xml:space="preserve">two </w:t>
      </w:r>
      <w:r w:rsidR="00676D44" w:rsidRPr="006C0089">
        <w:rPr>
          <w:lang w:val="en-US"/>
        </w:rPr>
        <w:t xml:space="preserve">small </w:t>
      </w:r>
      <w:r w:rsidR="00DD7030" w:rsidRPr="006C0089">
        <w:rPr>
          <w:lang w:val="en-US"/>
        </w:rPr>
        <w:t xml:space="preserve">rooms adjacent to the </w:t>
      </w:r>
      <w:r w:rsidRPr="006C0089">
        <w:rPr>
          <w:lang w:val="en-US"/>
        </w:rPr>
        <w:t>Unit</w:t>
      </w:r>
      <w:r w:rsidR="00A82489" w:rsidRPr="006C0089">
        <w:rPr>
          <w:lang w:val="en-US"/>
        </w:rPr>
        <w:t>’</w:t>
      </w:r>
      <w:r w:rsidRPr="006C0089">
        <w:rPr>
          <w:lang w:val="en-US"/>
        </w:rPr>
        <w:t xml:space="preserve">s </w:t>
      </w:r>
      <w:r w:rsidR="00FC6C5B" w:rsidRPr="006C0089">
        <w:rPr>
          <w:lang w:val="en-US"/>
        </w:rPr>
        <w:t>reception</w:t>
      </w:r>
      <w:r w:rsidR="00E55F0E" w:rsidRPr="006C0089">
        <w:rPr>
          <w:lang w:val="en-US"/>
        </w:rPr>
        <w:t xml:space="preserve"> were</w:t>
      </w:r>
      <w:r w:rsidR="00DD7030" w:rsidRPr="006C0089">
        <w:rPr>
          <w:lang w:val="en-US"/>
        </w:rPr>
        <w:t xml:space="preserve"> </w:t>
      </w:r>
      <w:r w:rsidR="009F3F46" w:rsidRPr="006C0089">
        <w:rPr>
          <w:lang w:val="en-US"/>
        </w:rPr>
        <w:t>designated as a</w:t>
      </w:r>
      <w:r w:rsidR="00A05F53" w:rsidRPr="006C0089">
        <w:rPr>
          <w:lang w:val="en-US"/>
        </w:rPr>
        <w:t xml:space="preserve"> </w:t>
      </w:r>
      <w:hyperlink r:id="rId23" w:history="1">
        <w:r w:rsidR="00DD7030" w:rsidRPr="006C0089">
          <w:t>wharenu</w:t>
        </w:r>
      </w:hyperlink>
      <w:r w:rsidRPr="006C0089">
        <w:rPr>
          <w:lang w:val="en-US"/>
        </w:rPr>
        <w:t>i</w:t>
      </w:r>
      <w:r w:rsidR="00A82489" w:rsidRPr="006C0089">
        <w:rPr>
          <w:lang w:val="en-US"/>
        </w:rPr>
        <w:t xml:space="preserve"> </w:t>
      </w:r>
      <w:r w:rsidR="00487E2A" w:rsidRPr="006C0089">
        <w:rPr>
          <w:sz w:val="26"/>
          <w:szCs w:val="26"/>
        </w:rPr>
        <w:t>–</w:t>
      </w:r>
      <w:r w:rsidR="0074249E" w:rsidRPr="006C0089">
        <w:rPr>
          <w:lang w:val="en-US"/>
        </w:rPr>
        <w:t xml:space="preserve"> a small meeting room, </w:t>
      </w:r>
      <w:r w:rsidRPr="006C0089">
        <w:rPr>
          <w:lang w:val="en-US"/>
        </w:rPr>
        <w:t xml:space="preserve">and </w:t>
      </w:r>
      <w:r w:rsidR="0074249E" w:rsidRPr="006C0089">
        <w:rPr>
          <w:lang w:val="en-US"/>
        </w:rPr>
        <w:t xml:space="preserve">a </w:t>
      </w:r>
      <w:r w:rsidRPr="006C0089">
        <w:rPr>
          <w:lang w:val="en-US"/>
        </w:rPr>
        <w:t>wharekai</w:t>
      </w:r>
      <w:r w:rsidR="0074249E" w:rsidRPr="006C0089">
        <w:rPr>
          <w:lang w:val="en-US"/>
        </w:rPr>
        <w:t xml:space="preserve"> </w:t>
      </w:r>
      <w:r w:rsidR="00487E2A" w:rsidRPr="006C0089">
        <w:rPr>
          <w:sz w:val="26"/>
          <w:szCs w:val="26"/>
        </w:rPr>
        <w:t>–</w:t>
      </w:r>
      <w:r w:rsidR="00676D44" w:rsidRPr="006C0089">
        <w:rPr>
          <w:lang w:val="en-US"/>
        </w:rPr>
        <w:t xml:space="preserve"> </w:t>
      </w:r>
      <w:r w:rsidR="00DD7030" w:rsidRPr="006C0089">
        <w:rPr>
          <w:lang w:val="en-US"/>
        </w:rPr>
        <w:t xml:space="preserve">a kitchen and dining </w:t>
      </w:r>
      <w:r w:rsidR="00676D44" w:rsidRPr="006C0089">
        <w:rPr>
          <w:lang w:val="en-US"/>
        </w:rPr>
        <w:t>area.</w:t>
      </w:r>
      <w:r w:rsidR="00DD7030" w:rsidRPr="006C0089">
        <w:rPr>
          <w:lang w:val="en-US"/>
        </w:rPr>
        <w:t xml:space="preserve"> </w:t>
      </w:r>
      <w:r w:rsidR="00DD7030" w:rsidRPr="006C0089">
        <w:t xml:space="preserve">Inspectors observed and heard </w:t>
      </w:r>
      <w:r w:rsidR="0074249E" w:rsidRPr="006C0089">
        <w:t xml:space="preserve">from staff </w:t>
      </w:r>
      <w:r w:rsidR="00DD7030" w:rsidRPr="006C0089">
        <w:t xml:space="preserve">that the </w:t>
      </w:r>
      <w:r w:rsidR="0074249E" w:rsidRPr="006C0089">
        <w:t>main</w:t>
      </w:r>
      <w:r w:rsidR="00DD7030" w:rsidRPr="006C0089">
        <w:t xml:space="preserve"> admissions lounge</w:t>
      </w:r>
      <w:r w:rsidR="0074249E" w:rsidRPr="006C0089">
        <w:rPr>
          <w:rStyle w:val="FootnoteReference"/>
        </w:rPr>
        <w:footnoteReference w:id="19"/>
      </w:r>
      <w:r w:rsidR="00DD7030" w:rsidRPr="006C0089">
        <w:t xml:space="preserve"> was u</w:t>
      </w:r>
      <w:r w:rsidR="0074249E" w:rsidRPr="006C0089">
        <w:t>sed</w:t>
      </w:r>
      <w:r w:rsidR="00DD7030" w:rsidRPr="006C0089">
        <w:t xml:space="preserve"> as a comfortable space to welcome tāngata whai ora, including </w:t>
      </w:r>
      <w:r w:rsidR="009F3F46" w:rsidRPr="006C0089">
        <w:t xml:space="preserve">for </w:t>
      </w:r>
      <w:r w:rsidR="00E55F0E" w:rsidRPr="006C0089">
        <w:t>mihi whakatau.</w:t>
      </w:r>
      <w:r w:rsidR="00676D44" w:rsidRPr="006C0089">
        <w:rPr>
          <w:rStyle w:val="FootnoteReference"/>
        </w:rPr>
        <w:footnoteReference w:id="20"/>
      </w:r>
      <w:r w:rsidR="00D21B72" w:rsidRPr="006C0089">
        <w:t xml:space="preserve"> </w:t>
      </w:r>
      <w:r w:rsidR="0072316F" w:rsidRPr="006C0089">
        <w:t>Staff</w:t>
      </w:r>
      <w:r w:rsidR="00D21B72" w:rsidRPr="006C0089">
        <w:t xml:space="preserve"> did </w:t>
      </w:r>
      <w:r w:rsidR="0072316F" w:rsidRPr="006C0089">
        <w:t>note that in some instances, it did not always provide</w:t>
      </w:r>
      <w:r w:rsidR="00D21B72" w:rsidRPr="006C0089">
        <w:t xml:space="preserve"> enough space for ceremonies such as pōwhiri</w:t>
      </w:r>
      <w:r w:rsidR="00A20C5E" w:rsidRPr="006C0089">
        <w:rPr>
          <w:rStyle w:val="FootnoteReference"/>
        </w:rPr>
        <w:footnoteReference w:id="21"/>
      </w:r>
      <w:r w:rsidR="00D21B72" w:rsidRPr="006C0089">
        <w:t xml:space="preserve"> or accommodating larger </w:t>
      </w:r>
      <w:r w:rsidR="00AC6682" w:rsidRPr="006C0089">
        <w:t xml:space="preserve">whānau </w:t>
      </w:r>
      <w:r w:rsidR="00D21B72" w:rsidRPr="006C0089">
        <w:t>groups</w:t>
      </w:r>
      <w:r w:rsidR="0040609E" w:rsidRPr="006C0089">
        <w:t>. However, I am pleased to see that additional spaces can be utilised, and encourage the Unit to continue to explore how spaces could be improved.</w:t>
      </w:r>
      <w:r w:rsidR="00A20C5E" w:rsidRPr="006C0089" w:rsidDel="00A20C5E">
        <w:t xml:space="preserve"> </w:t>
      </w:r>
    </w:p>
    <w:p w14:paraId="00691D78" w14:textId="23FB0298" w:rsidR="006A0EC4" w:rsidRPr="006C0089" w:rsidRDefault="006A0EC4" w:rsidP="003E74F4">
      <w:pPr>
        <w:pStyle w:val="Boxsmallnumber-1"/>
        <w:numPr>
          <w:ilvl w:val="0"/>
          <w:numId w:val="0"/>
        </w:numPr>
        <w:tabs>
          <w:tab w:val="left" w:pos="720"/>
        </w:tabs>
        <w:rPr>
          <w:b/>
          <w:lang w:val="en-US"/>
        </w:rPr>
      </w:pPr>
      <w:r w:rsidRPr="006C0089">
        <w:t xml:space="preserve">In </w:t>
      </w:r>
      <w:r w:rsidR="008B7158" w:rsidRPr="006C0089">
        <w:t>response to</w:t>
      </w:r>
      <w:r w:rsidR="00AA06DA" w:rsidRPr="006C0089">
        <w:t xml:space="preserve"> m</w:t>
      </w:r>
      <w:r w:rsidRPr="006C0089">
        <w:t>y provisional report, Te Whatu Ora stated</w:t>
      </w:r>
      <w:r w:rsidR="00D83659" w:rsidRPr="006C0089">
        <w:rPr>
          <w:szCs w:val="24"/>
        </w:rPr>
        <w:t>: ‘</w:t>
      </w:r>
      <w:r w:rsidR="00D83659" w:rsidRPr="006C0089">
        <w:rPr>
          <w:i/>
          <w:szCs w:val="24"/>
        </w:rPr>
        <w:t>With regard to cultural safety, equity and Te Tiriti o Waitangi obligations, there is provision for sufficient FTE to enable cultural support on the unit in the evenings and weekends. Unfortunately, despite multiple efforts the positions have not yet been recruited to. However, efforts to recruit cultural support staff will continue</w:t>
      </w:r>
      <w:r w:rsidR="00D83659" w:rsidRPr="006C0089">
        <w:rPr>
          <w:szCs w:val="24"/>
        </w:rPr>
        <w:t>.’</w:t>
      </w:r>
    </w:p>
    <w:p w14:paraId="06DEE016" w14:textId="27B1A341" w:rsidR="00B11B26" w:rsidRPr="006C0089" w:rsidRDefault="008B7158" w:rsidP="00A20C5E">
      <w:pPr>
        <w:pStyle w:val="Boxsmallnumber-1"/>
        <w:numPr>
          <w:ilvl w:val="0"/>
          <w:numId w:val="0"/>
        </w:numPr>
        <w:tabs>
          <w:tab w:val="left" w:pos="720"/>
        </w:tabs>
      </w:pPr>
      <w:r w:rsidRPr="006C0089">
        <w:t>T</w:t>
      </w:r>
      <w:r w:rsidR="00B11B26" w:rsidRPr="006C0089">
        <w:t xml:space="preserve">he Ministry of Health </w:t>
      </w:r>
      <w:r w:rsidRPr="006C0089">
        <w:t xml:space="preserve">also advised </w:t>
      </w:r>
      <w:r w:rsidR="00B11B26" w:rsidRPr="006C0089">
        <w:t>that it was aware of these recruitment challenges and</w:t>
      </w:r>
      <w:r w:rsidR="00F64800" w:rsidRPr="006C0089">
        <w:t xml:space="preserve"> that</w:t>
      </w:r>
      <w:r w:rsidR="00B11B26" w:rsidRPr="006C0089">
        <w:t xml:space="preserve"> </w:t>
      </w:r>
      <w:r w:rsidRPr="006C0089">
        <w:t>they</w:t>
      </w:r>
      <w:r w:rsidR="00631EBB" w:rsidRPr="006C0089">
        <w:t xml:space="preserve"> </w:t>
      </w:r>
      <w:r w:rsidR="00B11B26" w:rsidRPr="006C0089">
        <w:t xml:space="preserve">would continue to monitor </w:t>
      </w:r>
      <w:r w:rsidR="00631EBB" w:rsidRPr="006C0089">
        <w:t xml:space="preserve">tāngata whai ora </w:t>
      </w:r>
      <w:r w:rsidR="00B11B26" w:rsidRPr="006C0089">
        <w:t xml:space="preserve">access to cultural support </w:t>
      </w:r>
      <w:r w:rsidR="00631EBB" w:rsidRPr="006C0089">
        <w:t xml:space="preserve">through </w:t>
      </w:r>
      <w:r w:rsidR="00B11B26" w:rsidRPr="006C0089">
        <w:t xml:space="preserve">the local </w:t>
      </w:r>
      <w:r w:rsidR="006B0C57" w:rsidRPr="006C0089">
        <w:t>D</w:t>
      </w:r>
      <w:r w:rsidR="00B11B26" w:rsidRPr="006C0089">
        <w:t xml:space="preserve">istrict </w:t>
      </w:r>
      <w:r w:rsidR="006B0C57" w:rsidRPr="006C0089">
        <w:t>I</w:t>
      </w:r>
      <w:r w:rsidR="00B11B26" w:rsidRPr="006C0089">
        <w:t xml:space="preserve">nspectors. </w:t>
      </w:r>
    </w:p>
    <w:p w14:paraId="10D001B8" w14:textId="538690C5" w:rsidR="0075586A" w:rsidRPr="006C0089" w:rsidRDefault="00C82028" w:rsidP="00A20C5E">
      <w:pPr>
        <w:pStyle w:val="Boxsmallnumber-1"/>
        <w:numPr>
          <w:ilvl w:val="0"/>
          <w:numId w:val="0"/>
        </w:numPr>
        <w:tabs>
          <w:tab w:val="left" w:pos="720"/>
        </w:tabs>
      </w:pPr>
      <w:r w:rsidRPr="006C0089">
        <w:t>I am pleased to hear</w:t>
      </w:r>
      <w:r w:rsidR="00FA425D" w:rsidRPr="006C0089">
        <w:t xml:space="preserve"> that </w:t>
      </w:r>
      <w:r w:rsidR="00DD7030" w:rsidRPr="006C0089">
        <w:t xml:space="preserve">funding has been secured to increase cultural support </w:t>
      </w:r>
      <w:r w:rsidR="00E55F0E" w:rsidRPr="006C0089">
        <w:t xml:space="preserve">on the </w:t>
      </w:r>
      <w:r w:rsidR="00CE4774" w:rsidRPr="006C0089">
        <w:t>Unit and</w:t>
      </w:r>
      <w:r w:rsidR="00E55F0E" w:rsidRPr="006C0089">
        <w:t xml:space="preserve"> </w:t>
      </w:r>
      <w:r w:rsidR="00FA425D" w:rsidRPr="006C0089">
        <w:t>there are spaces dedicated to welcome tāngata whai ora.</w:t>
      </w:r>
      <w:r w:rsidR="00CE4774" w:rsidRPr="006C0089">
        <w:t xml:space="preserve"> It was also pleasing to hear of the Unit</w:t>
      </w:r>
      <w:r w:rsidR="00C23592" w:rsidRPr="006C0089">
        <w:t>’</w:t>
      </w:r>
      <w:r w:rsidR="00CE4774" w:rsidRPr="006C0089">
        <w:t xml:space="preserve">s connection with MOKO </w:t>
      </w:r>
      <w:r w:rsidR="00C23592" w:rsidRPr="006C0089">
        <w:t>which</w:t>
      </w:r>
      <w:r w:rsidR="00CE4774" w:rsidRPr="006C0089">
        <w:t xml:space="preserve"> has been used to increase cultural support for tāngata whai ora in the interim. </w:t>
      </w:r>
      <w:r w:rsidR="00FF26ED" w:rsidRPr="006C0089">
        <w:t xml:space="preserve">I appreciate that recruitment efforts are ongoing. </w:t>
      </w:r>
      <w:r w:rsidRPr="006C0089">
        <w:t xml:space="preserve">It is </w:t>
      </w:r>
      <w:r w:rsidR="00D11544" w:rsidRPr="006C0089">
        <w:t xml:space="preserve">essential </w:t>
      </w:r>
      <w:r w:rsidR="00901ACD" w:rsidRPr="006C0089">
        <w:t>that</w:t>
      </w:r>
      <w:r w:rsidR="00E55F0E" w:rsidRPr="006C0089">
        <w:t xml:space="preserve"> the</w:t>
      </w:r>
      <w:r w:rsidR="00901ACD" w:rsidRPr="006C0089">
        <w:t xml:space="preserve"> Unit </w:t>
      </w:r>
      <w:r w:rsidR="00DD7030" w:rsidRPr="006C0089">
        <w:t>provide</w:t>
      </w:r>
      <w:r w:rsidR="00C23592" w:rsidRPr="006C0089">
        <w:t>s</w:t>
      </w:r>
      <w:r w:rsidR="00DD7030" w:rsidRPr="006C0089">
        <w:t xml:space="preserve"> services that are culturally safe and culturally responsive to people’s needs</w:t>
      </w:r>
      <w:r w:rsidR="009E76A1" w:rsidRPr="006C0089">
        <w:t>, therefore</w:t>
      </w:r>
      <w:r w:rsidR="009E76A1" w:rsidRPr="006C0089">
        <w:rPr>
          <w:b/>
        </w:rPr>
        <w:t xml:space="preserve"> I </w:t>
      </w:r>
      <w:r w:rsidR="0072316F" w:rsidRPr="006C0089">
        <w:rPr>
          <w:b/>
        </w:rPr>
        <w:t>recommend</w:t>
      </w:r>
      <w:r w:rsidR="009E76A1" w:rsidRPr="006C0089">
        <w:rPr>
          <w:b/>
        </w:rPr>
        <w:t xml:space="preserve"> </w:t>
      </w:r>
      <w:r w:rsidR="000E2184" w:rsidRPr="006C0089">
        <w:rPr>
          <w:b/>
          <w:szCs w:val="24"/>
        </w:rPr>
        <w:t xml:space="preserve">that </w:t>
      </w:r>
      <w:r w:rsidR="009E76A1" w:rsidRPr="006C0089">
        <w:rPr>
          <w:b/>
          <w:szCs w:val="24"/>
        </w:rPr>
        <w:t>Unit</w:t>
      </w:r>
      <w:r w:rsidR="000E2184" w:rsidRPr="006C0089">
        <w:rPr>
          <w:b/>
          <w:szCs w:val="24"/>
        </w:rPr>
        <w:t xml:space="preserve"> management</w:t>
      </w:r>
      <w:r w:rsidR="009E76A1" w:rsidRPr="006C0089">
        <w:rPr>
          <w:b/>
          <w:szCs w:val="24"/>
        </w:rPr>
        <w:t xml:space="preserve"> ensure cultural support </w:t>
      </w:r>
      <w:r w:rsidR="002D3088" w:rsidRPr="006C0089">
        <w:rPr>
          <w:b/>
          <w:szCs w:val="24"/>
        </w:rPr>
        <w:t xml:space="preserve">is always available to meet the needs of tāngata whai ora </w:t>
      </w:r>
      <w:r w:rsidR="00D839C7" w:rsidRPr="006C0089">
        <w:rPr>
          <w:b/>
          <w:szCs w:val="24"/>
        </w:rPr>
        <w:t>i</w:t>
      </w:r>
      <w:r w:rsidR="002D3088" w:rsidRPr="006C0089">
        <w:rPr>
          <w:b/>
          <w:szCs w:val="24"/>
        </w:rPr>
        <w:t>n the Unit.</w:t>
      </w:r>
    </w:p>
    <w:p w14:paraId="26CE3E22" w14:textId="7214ADBA" w:rsidR="00901ACD" w:rsidRPr="006C0089" w:rsidRDefault="00A7252D" w:rsidP="00901ACD">
      <w:pPr>
        <w:pStyle w:val="BodyText"/>
        <w:rPr>
          <w:b/>
          <w:sz w:val="26"/>
          <w:szCs w:val="26"/>
        </w:rPr>
      </w:pPr>
      <w:bookmarkStart w:id="37" w:name="Admissions"/>
      <w:r>
        <w:rPr>
          <w:rStyle w:val="Heading4Char"/>
        </w:rPr>
        <w:t xml:space="preserve">Recommendation 12 from </w:t>
      </w:r>
      <w:r w:rsidR="00901ACD" w:rsidRPr="006C0089">
        <w:rPr>
          <w:rStyle w:val="Heading4Char"/>
        </w:rPr>
        <w:t>2019 inspection</w:t>
      </w:r>
      <w:r>
        <w:rPr>
          <w:b/>
          <w:sz w:val="26"/>
          <w:szCs w:val="26"/>
        </w:rPr>
        <w:t xml:space="preserve"> </w:t>
      </w:r>
      <w:r w:rsidR="00901ACD" w:rsidRPr="006C0089">
        <w:rPr>
          <w:b/>
          <w:sz w:val="26"/>
          <w:szCs w:val="26"/>
        </w:rPr>
        <w:t>–</w:t>
      </w:r>
      <w:r w:rsidR="00901ACD" w:rsidRPr="006C0089">
        <w:rPr>
          <w:color w:val="auto"/>
        </w:rPr>
        <w:t xml:space="preserve"> </w:t>
      </w:r>
      <w:r w:rsidR="00901ACD" w:rsidRPr="006C0089">
        <w:rPr>
          <w:b/>
          <w:sz w:val="26"/>
          <w:szCs w:val="26"/>
        </w:rPr>
        <w:t>The garage is not used as an entrance to the Unit unless other options are deemed unsafe based on individual risk assessment.</w:t>
      </w:r>
    </w:p>
    <w:bookmarkEnd w:id="37"/>
    <w:p w14:paraId="6D73F359" w14:textId="77777777" w:rsidR="00901ACD" w:rsidRPr="006C0089" w:rsidRDefault="00901ACD" w:rsidP="00901ACD">
      <w:pPr>
        <w:pStyle w:val="Bullet1"/>
      </w:pPr>
      <w:r w:rsidRPr="006C0089">
        <w:t>This recommendation was accepted by the Unit.</w:t>
      </w:r>
    </w:p>
    <w:p w14:paraId="591EAB7C" w14:textId="16498CA7" w:rsidR="00901ACD" w:rsidRPr="006C0089" w:rsidRDefault="00901ACD" w:rsidP="00901ACD">
      <w:pPr>
        <w:pStyle w:val="Bullet1"/>
      </w:pPr>
      <w:r w:rsidRPr="006C0089">
        <w:t xml:space="preserve">On my follow up inspection I </w:t>
      </w:r>
      <w:r w:rsidR="006C593F" w:rsidRPr="006C0089">
        <w:t xml:space="preserve">considered </w:t>
      </w:r>
      <w:r w:rsidRPr="006C0089">
        <w:t xml:space="preserve">that my recommendation was </w:t>
      </w:r>
      <w:r w:rsidRPr="006C0089">
        <w:rPr>
          <w:b/>
        </w:rPr>
        <w:t>not achieved</w:t>
      </w:r>
    </w:p>
    <w:p w14:paraId="46FB97B1" w14:textId="6824E043" w:rsidR="009F3F46" w:rsidRPr="006C0089" w:rsidRDefault="00CD33DB" w:rsidP="00901ACD">
      <w:pPr>
        <w:pStyle w:val="Boxsmallnumber-1"/>
        <w:numPr>
          <w:ilvl w:val="0"/>
          <w:numId w:val="0"/>
        </w:numPr>
        <w:tabs>
          <w:tab w:val="left" w:pos="720"/>
        </w:tabs>
        <w:rPr>
          <w:lang w:val="en-US"/>
        </w:rPr>
      </w:pPr>
      <w:r w:rsidRPr="006C0089">
        <w:rPr>
          <w:lang w:val="en-US"/>
        </w:rPr>
        <w:t>Staff informed Inspectors</w:t>
      </w:r>
      <w:r w:rsidR="00E55F0E" w:rsidRPr="006C0089">
        <w:rPr>
          <w:lang w:val="en-US"/>
        </w:rPr>
        <w:t xml:space="preserve"> that </w:t>
      </w:r>
      <w:r w:rsidR="0075586A" w:rsidRPr="006C0089">
        <w:rPr>
          <w:lang w:val="en-US"/>
        </w:rPr>
        <w:t xml:space="preserve">admission </w:t>
      </w:r>
      <w:r w:rsidR="002D0FF4" w:rsidRPr="006C0089">
        <w:rPr>
          <w:lang w:val="en-US"/>
        </w:rPr>
        <w:t xml:space="preserve">to the Unit </w:t>
      </w:r>
      <w:r w:rsidRPr="006C0089">
        <w:rPr>
          <w:lang w:val="en-US"/>
        </w:rPr>
        <w:t>was</w:t>
      </w:r>
      <w:r w:rsidR="0075586A" w:rsidRPr="006C0089">
        <w:rPr>
          <w:lang w:val="en-US"/>
        </w:rPr>
        <w:t xml:space="preserve"> through the admission</w:t>
      </w:r>
      <w:r w:rsidR="00E55F0E" w:rsidRPr="006C0089">
        <w:rPr>
          <w:lang w:val="en-US"/>
        </w:rPr>
        <w:t xml:space="preserve">/transition wards. However, </w:t>
      </w:r>
      <w:r w:rsidR="002D0FF4" w:rsidRPr="006C0089">
        <w:rPr>
          <w:lang w:val="en-US"/>
        </w:rPr>
        <w:t xml:space="preserve">some </w:t>
      </w:r>
      <w:r w:rsidRPr="006C0089">
        <w:t>tāngata whai ora</w:t>
      </w:r>
      <w:r w:rsidR="002E7CF9" w:rsidRPr="006C0089">
        <w:t xml:space="preserve"> </w:t>
      </w:r>
      <w:r w:rsidR="00E55F0E" w:rsidRPr="006C0089">
        <w:t xml:space="preserve">were </w:t>
      </w:r>
      <w:r w:rsidRPr="006C0089">
        <w:rPr>
          <w:lang w:val="en-US"/>
        </w:rPr>
        <w:t>admitted directly to the Hi</w:t>
      </w:r>
      <w:r w:rsidR="0075586A" w:rsidRPr="006C0089">
        <w:rPr>
          <w:lang w:val="en-US"/>
        </w:rPr>
        <w:t xml:space="preserve">gh Care Area </w:t>
      </w:r>
      <w:r w:rsidR="00E55F0E" w:rsidRPr="006C0089">
        <w:rPr>
          <w:lang w:val="en-US"/>
        </w:rPr>
        <w:t>through the garage</w:t>
      </w:r>
      <w:r w:rsidR="00D70A7F" w:rsidRPr="006C0089">
        <w:rPr>
          <w:lang w:val="en-US"/>
        </w:rPr>
        <w:t xml:space="preserve">, </w:t>
      </w:r>
      <w:r w:rsidRPr="006C0089">
        <w:rPr>
          <w:lang w:val="en-US"/>
        </w:rPr>
        <w:t xml:space="preserve">at times </w:t>
      </w:r>
      <w:r w:rsidR="00D70A7F" w:rsidRPr="006C0089">
        <w:rPr>
          <w:lang w:val="en-US"/>
        </w:rPr>
        <w:t xml:space="preserve">with </w:t>
      </w:r>
      <w:r w:rsidRPr="006C0089">
        <w:rPr>
          <w:lang w:val="en-US"/>
        </w:rPr>
        <w:t>a Police escort</w:t>
      </w:r>
      <w:r w:rsidR="0075586A" w:rsidRPr="006C0089">
        <w:rPr>
          <w:lang w:val="en-US"/>
        </w:rPr>
        <w:t xml:space="preserve">. </w:t>
      </w:r>
      <w:r w:rsidR="0075586A" w:rsidRPr="006C0089">
        <w:t xml:space="preserve">The Unit </w:t>
      </w:r>
      <w:r w:rsidR="009F3F46" w:rsidRPr="006C0089">
        <w:t xml:space="preserve">provided a written update </w:t>
      </w:r>
      <w:r w:rsidR="00E55F0E" w:rsidRPr="006C0089">
        <w:t>which stated</w:t>
      </w:r>
      <w:r w:rsidR="00C23592" w:rsidRPr="006C0089">
        <w:t>:</w:t>
      </w:r>
      <w:r w:rsidR="009F3F46" w:rsidRPr="006C0089">
        <w:t xml:space="preserve"> </w:t>
      </w:r>
    </w:p>
    <w:p w14:paraId="2B189E01" w14:textId="52F5A8F7" w:rsidR="0075586A" w:rsidRPr="006C0089" w:rsidRDefault="00E55F0E" w:rsidP="009F3F46">
      <w:pPr>
        <w:pStyle w:val="Boxsmallnumber-1"/>
        <w:numPr>
          <w:ilvl w:val="0"/>
          <w:numId w:val="0"/>
        </w:numPr>
        <w:tabs>
          <w:tab w:val="left" w:pos="720"/>
        </w:tabs>
        <w:ind w:left="567"/>
        <w:rPr>
          <w:b/>
        </w:rPr>
      </w:pPr>
      <w:r w:rsidRPr="006C0089">
        <w:rPr>
          <w:i/>
        </w:rPr>
        <w:t>W</w:t>
      </w:r>
      <w:r w:rsidR="0075586A" w:rsidRPr="006C0089">
        <w:rPr>
          <w:i/>
        </w:rPr>
        <w:t>here possible, new admissions are brought to the unit directly into the admission suite or via the front doors. However at times Police escort is required, and in order to maintain privacy the garage area is used. The area has had recreational equipment added to give the space a more welcoming atmosphere</w:t>
      </w:r>
      <w:r w:rsidR="009F3F46" w:rsidRPr="006C0089">
        <w:t>.</w:t>
      </w:r>
      <w:r w:rsidR="0075586A" w:rsidRPr="006C0089">
        <w:t xml:space="preserve"> </w:t>
      </w:r>
    </w:p>
    <w:p w14:paraId="32FF3FA8" w14:textId="2D1C8825" w:rsidR="003B4AF0" w:rsidRPr="006C0089" w:rsidRDefault="00E55F0E" w:rsidP="00901ACD">
      <w:pPr>
        <w:pStyle w:val="Boxsmallnumber-1"/>
        <w:numPr>
          <w:ilvl w:val="0"/>
          <w:numId w:val="0"/>
        </w:numPr>
        <w:tabs>
          <w:tab w:val="left" w:pos="720"/>
        </w:tabs>
      </w:pPr>
      <w:r w:rsidRPr="006C0089">
        <w:t>A</w:t>
      </w:r>
      <w:r w:rsidR="002E7CF9" w:rsidRPr="006C0089">
        <w:t xml:space="preserve">t the time of </w:t>
      </w:r>
      <w:r w:rsidR="00D70A7F" w:rsidRPr="006C0089">
        <w:t xml:space="preserve">the </w:t>
      </w:r>
      <w:r w:rsidR="00E10DCC" w:rsidRPr="006C0089">
        <w:t>follow up</w:t>
      </w:r>
      <w:r w:rsidR="00D70A7F" w:rsidRPr="006C0089">
        <w:t xml:space="preserve"> </w:t>
      </w:r>
      <w:r w:rsidR="002E7CF9" w:rsidRPr="006C0089">
        <w:t>inspection</w:t>
      </w:r>
      <w:r w:rsidRPr="006C0089">
        <w:t>,</w:t>
      </w:r>
      <w:r w:rsidR="002E7CF9" w:rsidRPr="006C0089">
        <w:t xml:space="preserve"> </w:t>
      </w:r>
      <w:r w:rsidR="002D0FF4" w:rsidRPr="006C0089">
        <w:t xml:space="preserve">Inspectors observed </w:t>
      </w:r>
      <w:r w:rsidRPr="006C0089">
        <w:t xml:space="preserve">the garage appeared bare and unwelcoming and </w:t>
      </w:r>
      <w:r w:rsidR="0075586A" w:rsidRPr="006C0089">
        <w:t xml:space="preserve">was </w:t>
      </w:r>
      <w:r w:rsidR="009F3F46" w:rsidRPr="006C0089">
        <w:t>noticeably unchanged since my 2019 inspection, where there was also recreational equipment in this area.</w:t>
      </w:r>
      <w:r w:rsidR="0075586A" w:rsidRPr="006C0089">
        <w:t xml:space="preserve"> </w:t>
      </w:r>
    </w:p>
    <w:p w14:paraId="3FBF61F9" w14:textId="0F010ED7" w:rsidR="0075586A" w:rsidRPr="006C0089" w:rsidRDefault="003B4AF0" w:rsidP="00901ACD">
      <w:pPr>
        <w:pStyle w:val="Boxsmallnumber-1"/>
        <w:numPr>
          <w:ilvl w:val="0"/>
          <w:numId w:val="0"/>
        </w:numPr>
        <w:tabs>
          <w:tab w:val="left" w:pos="720"/>
        </w:tabs>
      </w:pPr>
      <w:r w:rsidRPr="006C0089">
        <w:rPr>
          <w:lang w:val="en-US"/>
        </w:rPr>
        <w:t>A staff member who spoke with Inspectors said they had recommended that the garage was not used as entry into the Unit if possible, as it is not culturally safe.</w:t>
      </w:r>
      <w:r w:rsidRPr="006C0089">
        <w:t xml:space="preserve"> Inspectors spoke with some tāngata whai ora who had been admitted to the Unit through the garage. They said the experience had impacted negatively on their mana, and they found that the environment compounded this and was counter-productive to their recovery. </w:t>
      </w:r>
    </w:p>
    <w:p w14:paraId="384E7F2C" w14:textId="77777777" w:rsidR="00262C3F" w:rsidRPr="006C0089" w:rsidRDefault="0033725B" w:rsidP="001E65B3">
      <w:pPr>
        <w:pStyle w:val="Bullet1"/>
        <w:numPr>
          <w:ilvl w:val="0"/>
          <w:numId w:val="0"/>
        </w:numPr>
      </w:pPr>
      <w:r w:rsidRPr="006C0089">
        <w:t xml:space="preserve">I appreciate </w:t>
      </w:r>
      <w:r w:rsidR="002D0FF4" w:rsidRPr="006C0089">
        <w:t>there may be instances where</w:t>
      </w:r>
      <w:r w:rsidR="0075586A" w:rsidRPr="006C0089">
        <w:t xml:space="preserve"> tāngata whai ora cannot safely enter the Unit through the admissions area</w:t>
      </w:r>
      <w:r w:rsidRPr="006C0089">
        <w:t>. However,</w:t>
      </w:r>
      <w:r w:rsidR="0075586A" w:rsidRPr="006C0089">
        <w:t xml:space="preserve"> </w:t>
      </w:r>
      <w:r w:rsidR="002D0FF4" w:rsidRPr="006C0089">
        <w:t xml:space="preserve">tāngata whai ora </w:t>
      </w:r>
      <w:r w:rsidR="0075586A" w:rsidRPr="006C0089">
        <w:t xml:space="preserve">who require assessment and treatment in the High Care Area </w:t>
      </w:r>
      <w:r w:rsidR="002D0FF4" w:rsidRPr="006C0089">
        <w:t>should</w:t>
      </w:r>
      <w:r w:rsidR="0075586A" w:rsidRPr="006C0089">
        <w:t xml:space="preserve"> be welcomed safely onto the Unit </w:t>
      </w:r>
      <w:r w:rsidR="002D0FF4" w:rsidRPr="006C0089">
        <w:t>through a</w:t>
      </w:r>
      <w:r w:rsidR="0075586A" w:rsidRPr="006C0089">
        <w:t xml:space="preserve"> therapeutic and culturally appropriate entrance. </w:t>
      </w:r>
    </w:p>
    <w:p w14:paraId="1173B27D" w14:textId="77777777" w:rsidR="00262C3F" w:rsidRPr="006C0089" w:rsidRDefault="00262C3F" w:rsidP="00262C3F">
      <w:pPr>
        <w:pStyle w:val="Boxsmallnumber-1"/>
        <w:numPr>
          <w:ilvl w:val="0"/>
          <w:numId w:val="0"/>
        </w:numPr>
        <w:tabs>
          <w:tab w:val="left" w:pos="720"/>
        </w:tabs>
        <w:rPr>
          <w:szCs w:val="24"/>
        </w:rPr>
      </w:pPr>
      <w:r w:rsidRPr="006C0089">
        <w:rPr>
          <w:szCs w:val="24"/>
        </w:rPr>
        <w:t>In its response to my provisional report, the Ministry of Health agreed that ‘</w:t>
      </w:r>
      <w:r w:rsidRPr="006C0089">
        <w:rPr>
          <w:i/>
          <w:szCs w:val="24"/>
        </w:rPr>
        <w:t>the garage should not be used as an entrance to the Unit unless other options are deemed unsafe based on an individual risk assessment.</w:t>
      </w:r>
      <w:r w:rsidRPr="006C0089">
        <w:rPr>
          <w:szCs w:val="24"/>
        </w:rPr>
        <w:t>’ Te Whatu Ora also ‘</w:t>
      </w:r>
      <w:r w:rsidRPr="006C0089">
        <w:rPr>
          <w:i/>
          <w:szCs w:val="24"/>
        </w:rPr>
        <w:t>acknowledged that improvements are required to the garage area and this will be included in the He Puna Waiora work programme for the coming year.</w:t>
      </w:r>
      <w:r w:rsidRPr="006C0089">
        <w:rPr>
          <w:szCs w:val="24"/>
        </w:rPr>
        <w:t xml:space="preserve">’ </w:t>
      </w:r>
    </w:p>
    <w:p w14:paraId="04A62A61" w14:textId="4339AF65" w:rsidR="006211A2" w:rsidRPr="006C0089" w:rsidRDefault="00262C3F" w:rsidP="001E65B3">
      <w:pPr>
        <w:pStyle w:val="Bullet1"/>
        <w:numPr>
          <w:ilvl w:val="0"/>
          <w:numId w:val="0"/>
        </w:numPr>
        <w:rPr>
          <w:b/>
          <w:sz w:val="26"/>
          <w:szCs w:val="26"/>
        </w:rPr>
      </w:pPr>
      <w:r w:rsidRPr="006C0089">
        <w:t>I welcome th</w:t>
      </w:r>
      <w:r w:rsidR="00605318" w:rsidRPr="006C0089">
        <w:t xml:space="preserve">e </w:t>
      </w:r>
      <w:r w:rsidRPr="006C0089">
        <w:t xml:space="preserve">improvements planned </w:t>
      </w:r>
      <w:r w:rsidR="00605318" w:rsidRPr="006C0089">
        <w:t xml:space="preserve">for </w:t>
      </w:r>
      <w:r w:rsidRPr="006C0089">
        <w:t>this area.</w:t>
      </w:r>
      <w:r w:rsidR="00605318" w:rsidRPr="006C0089">
        <w:t xml:space="preserve"> </w:t>
      </w:r>
      <w:r w:rsidR="00384F49" w:rsidRPr="006C0089">
        <w:rPr>
          <w:b/>
        </w:rPr>
        <w:t xml:space="preserve">I </w:t>
      </w:r>
      <w:r w:rsidR="003B4AF0" w:rsidRPr="006C0089">
        <w:rPr>
          <w:b/>
        </w:rPr>
        <w:t>make</w:t>
      </w:r>
      <w:r w:rsidR="000E2184" w:rsidRPr="006C0089">
        <w:rPr>
          <w:b/>
        </w:rPr>
        <w:t xml:space="preserve"> an amended</w:t>
      </w:r>
      <w:r w:rsidR="00845BDB" w:rsidRPr="006C0089">
        <w:rPr>
          <w:b/>
        </w:rPr>
        <w:t xml:space="preserve"> repeat</w:t>
      </w:r>
      <w:r w:rsidR="000E2184" w:rsidRPr="006C0089">
        <w:rPr>
          <w:b/>
        </w:rPr>
        <w:t xml:space="preserve"> recommendation that</w:t>
      </w:r>
      <w:r w:rsidR="0075586A" w:rsidRPr="006C0089">
        <w:rPr>
          <w:b/>
        </w:rPr>
        <w:t xml:space="preserve"> Unit</w:t>
      </w:r>
      <w:r w:rsidR="000E2184" w:rsidRPr="006C0089">
        <w:rPr>
          <w:b/>
        </w:rPr>
        <w:t xml:space="preserve"> management </w:t>
      </w:r>
      <w:r w:rsidR="00384F49" w:rsidRPr="006C0089">
        <w:rPr>
          <w:b/>
        </w:rPr>
        <w:t>ensures the admissions experience and environment upholds the</w:t>
      </w:r>
      <w:r w:rsidR="00A713E4" w:rsidRPr="006C0089">
        <w:rPr>
          <w:b/>
        </w:rPr>
        <w:t xml:space="preserve"> dignity,</w:t>
      </w:r>
      <w:r w:rsidR="00384F49" w:rsidRPr="006C0089">
        <w:rPr>
          <w:b/>
        </w:rPr>
        <w:t xml:space="preserve"> mana</w:t>
      </w:r>
      <w:r w:rsidR="00FF4566" w:rsidRPr="006C0089">
        <w:rPr>
          <w:b/>
        </w:rPr>
        <w:t xml:space="preserve"> and wellbeing of t</w:t>
      </w:r>
      <w:r w:rsidR="003B2E52" w:rsidRPr="006C0089">
        <w:rPr>
          <w:b/>
        </w:rPr>
        <w:t>ā</w:t>
      </w:r>
      <w:r w:rsidR="00FF4566" w:rsidRPr="006C0089">
        <w:rPr>
          <w:b/>
        </w:rPr>
        <w:t>ngata whai</w:t>
      </w:r>
      <w:r w:rsidR="00384F49" w:rsidRPr="006C0089">
        <w:rPr>
          <w:b/>
        </w:rPr>
        <w:t xml:space="preserve"> ora, and is culturally safe.</w:t>
      </w:r>
      <w:r w:rsidR="00384F49" w:rsidRPr="006C0089">
        <w:t xml:space="preserve"> In order to do this, I encourage the Unit to conduct a review of </w:t>
      </w:r>
      <w:r w:rsidR="00FF4566" w:rsidRPr="006C0089">
        <w:t>the admissions</w:t>
      </w:r>
      <w:r w:rsidR="00384F49" w:rsidRPr="006C0089">
        <w:t xml:space="preserve"> process and environment that is informed by lived</w:t>
      </w:r>
      <w:r w:rsidR="00FF4566" w:rsidRPr="006C0089">
        <w:t xml:space="preserve"> and cultural expertise.</w:t>
      </w:r>
      <w:r w:rsidR="00384F49" w:rsidRPr="006C0089">
        <w:t xml:space="preserve"> </w:t>
      </w:r>
    </w:p>
    <w:p w14:paraId="5C2E1B0A" w14:textId="1320AEFB" w:rsidR="002E7CF9" w:rsidRPr="006C0089" w:rsidRDefault="00A7252D" w:rsidP="002E7CF9">
      <w:pPr>
        <w:pStyle w:val="BodyText"/>
        <w:rPr>
          <w:b/>
          <w:sz w:val="26"/>
          <w:szCs w:val="26"/>
        </w:rPr>
      </w:pPr>
      <w:r>
        <w:rPr>
          <w:rStyle w:val="Heading4Char"/>
        </w:rPr>
        <w:t xml:space="preserve">Recommendation 13 from </w:t>
      </w:r>
      <w:r w:rsidR="002E7CF9" w:rsidRPr="006C0089">
        <w:rPr>
          <w:rStyle w:val="Heading4Char"/>
        </w:rPr>
        <w:t>2019 inspection</w:t>
      </w:r>
      <w:r>
        <w:rPr>
          <w:b/>
          <w:sz w:val="26"/>
          <w:szCs w:val="26"/>
        </w:rPr>
        <w:t xml:space="preserve"> </w:t>
      </w:r>
      <w:r w:rsidR="002E7CF9" w:rsidRPr="006C0089">
        <w:rPr>
          <w:b/>
          <w:sz w:val="26"/>
          <w:szCs w:val="26"/>
        </w:rPr>
        <w:t>–</w:t>
      </w:r>
      <w:r w:rsidR="002E7CF9" w:rsidRPr="006C0089">
        <w:rPr>
          <w:color w:val="auto"/>
        </w:rPr>
        <w:t xml:space="preserve"> </w:t>
      </w:r>
      <w:r w:rsidR="002E7CF9" w:rsidRPr="006C0089">
        <w:rPr>
          <w:b/>
          <w:sz w:val="26"/>
          <w:szCs w:val="26"/>
        </w:rPr>
        <w:t>Cultural advice informs decisions on transferring or discharging tāngata whai ora.</w:t>
      </w:r>
    </w:p>
    <w:p w14:paraId="6FD02B9E" w14:textId="77777777" w:rsidR="002E7CF9" w:rsidRPr="006C0089" w:rsidRDefault="002E7CF9" w:rsidP="002E7CF9">
      <w:pPr>
        <w:pStyle w:val="Bullet1"/>
      </w:pPr>
      <w:r w:rsidRPr="006C0089">
        <w:t xml:space="preserve">This recommendation was </w:t>
      </w:r>
      <w:r w:rsidRPr="006C0089">
        <w:rPr>
          <w:b/>
        </w:rPr>
        <w:t xml:space="preserve">accepted </w:t>
      </w:r>
      <w:r w:rsidRPr="006C0089">
        <w:t>by the Unit.</w:t>
      </w:r>
    </w:p>
    <w:p w14:paraId="6E64B2C1" w14:textId="02570814" w:rsidR="001A496A" w:rsidRPr="006C0089" w:rsidRDefault="002E7CF9" w:rsidP="001A496A">
      <w:pPr>
        <w:pStyle w:val="Bullet1"/>
        <w:rPr>
          <w:b/>
        </w:rPr>
      </w:pPr>
      <w:r w:rsidRPr="006C0089">
        <w:t xml:space="preserve">On my follow up inspection I </w:t>
      </w:r>
      <w:r w:rsidR="006C593F" w:rsidRPr="006C0089">
        <w:t xml:space="preserve">considered </w:t>
      </w:r>
      <w:r w:rsidRPr="006C0089">
        <w:t>that my recommendation was</w:t>
      </w:r>
      <w:r w:rsidR="001A496A" w:rsidRPr="006C0089">
        <w:t xml:space="preserve"> </w:t>
      </w:r>
      <w:r w:rsidR="001A496A" w:rsidRPr="006C0089">
        <w:rPr>
          <w:b/>
        </w:rPr>
        <w:t>pro</w:t>
      </w:r>
      <w:r w:rsidR="00AD3E9D" w:rsidRPr="006C0089">
        <w:rPr>
          <w:b/>
        </w:rPr>
        <w:t xml:space="preserve">gressing but not yet achieved. </w:t>
      </w:r>
    </w:p>
    <w:p w14:paraId="178A6CB1" w14:textId="264D2186" w:rsidR="00FA4FCD" w:rsidRPr="006C0089" w:rsidRDefault="00F31A19" w:rsidP="00FA4FCD">
      <w:pPr>
        <w:pStyle w:val="BodyText"/>
        <w:rPr>
          <w:szCs w:val="24"/>
        </w:rPr>
      </w:pPr>
      <w:r>
        <w:t xml:space="preserve"> </w:t>
      </w:r>
      <w:r>
        <w:rPr>
          <w:szCs w:val="24"/>
          <w:lang w:val="en-US"/>
        </w:rPr>
        <w:t xml:space="preserve"> S</w:t>
      </w:r>
      <w:r w:rsidR="00FA4FCD" w:rsidRPr="006C0089">
        <w:rPr>
          <w:szCs w:val="24"/>
          <w:lang w:val="en-US"/>
        </w:rPr>
        <w:t xml:space="preserve">ome staff who spoke to Inspectors said that they did not believe that </w:t>
      </w:r>
      <w:r w:rsidR="00FF4566" w:rsidRPr="006C0089">
        <w:rPr>
          <w:szCs w:val="24"/>
          <w:lang w:val="en-US"/>
        </w:rPr>
        <w:t xml:space="preserve">Māori </w:t>
      </w:r>
      <w:r w:rsidR="00FA4FCD" w:rsidRPr="006C0089">
        <w:rPr>
          <w:szCs w:val="24"/>
          <w:lang w:val="en-US"/>
        </w:rPr>
        <w:t xml:space="preserve">models of care and hauora, such as </w:t>
      </w:r>
      <w:r w:rsidR="00FA4FCD" w:rsidRPr="006C0089">
        <w:rPr>
          <w:i/>
          <w:szCs w:val="24"/>
          <w:lang w:val="en-US"/>
        </w:rPr>
        <w:t>Te Whare Tap</w:t>
      </w:r>
      <w:r w:rsidR="00811F93" w:rsidRPr="006C0089">
        <w:rPr>
          <w:i/>
          <w:szCs w:val="24"/>
          <w:lang w:val="en-US"/>
        </w:rPr>
        <w:t>a</w:t>
      </w:r>
      <w:r w:rsidR="00FA4FCD" w:rsidRPr="006C0089">
        <w:rPr>
          <w:i/>
          <w:szCs w:val="24"/>
          <w:lang w:val="en-US"/>
        </w:rPr>
        <w:t xml:space="preserve"> Wh</w:t>
      </w:r>
      <w:r w:rsidR="00811F93" w:rsidRPr="006C0089">
        <w:rPr>
          <w:i/>
          <w:szCs w:val="24"/>
          <w:lang w:val="en-US"/>
        </w:rPr>
        <w:t>ā</w:t>
      </w:r>
      <w:r w:rsidR="0017661B" w:rsidRPr="006C0089">
        <w:rPr>
          <w:rStyle w:val="FootnoteReference"/>
          <w:i/>
          <w:szCs w:val="24"/>
          <w:lang w:val="en-US"/>
        </w:rPr>
        <w:footnoteReference w:id="22"/>
      </w:r>
      <w:r w:rsidR="00FA4FCD" w:rsidRPr="006C0089">
        <w:rPr>
          <w:szCs w:val="24"/>
          <w:lang w:val="en-US"/>
        </w:rPr>
        <w:t>, were informing practices, treatment and discharge deci</w:t>
      </w:r>
      <w:r w:rsidR="008764FD" w:rsidRPr="006C0089">
        <w:rPr>
          <w:szCs w:val="24"/>
          <w:lang w:val="en-US"/>
        </w:rPr>
        <w:t>sions</w:t>
      </w:r>
      <w:r w:rsidR="00077101" w:rsidRPr="006C0089">
        <w:rPr>
          <w:szCs w:val="24"/>
          <w:lang w:val="en-US"/>
        </w:rPr>
        <w:t>. Staff said,</w:t>
      </w:r>
      <w:r w:rsidR="008764FD" w:rsidRPr="006C0089">
        <w:rPr>
          <w:szCs w:val="24"/>
          <w:lang w:val="en-US"/>
        </w:rPr>
        <w:t xml:space="preserve"> </w:t>
      </w:r>
      <w:r w:rsidR="00FA4FCD" w:rsidRPr="006C0089">
        <w:rPr>
          <w:i/>
          <w:szCs w:val="24"/>
          <w:lang w:val="en-US"/>
        </w:rPr>
        <w:t>‘there is a big emphasis on the biomedical model of care</w:t>
      </w:r>
      <w:r w:rsidR="00FF4566" w:rsidRPr="006C0089">
        <w:rPr>
          <w:i/>
          <w:szCs w:val="24"/>
          <w:lang w:val="en-US"/>
        </w:rPr>
        <w:t>’</w:t>
      </w:r>
      <w:r w:rsidR="008764FD" w:rsidRPr="006C0089">
        <w:rPr>
          <w:szCs w:val="24"/>
        </w:rPr>
        <w:t xml:space="preserve">, </w:t>
      </w:r>
      <w:r w:rsidR="00077101" w:rsidRPr="006C0089">
        <w:rPr>
          <w:szCs w:val="24"/>
        </w:rPr>
        <w:t xml:space="preserve">and this </w:t>
      </w:r>
      <w:r w:rsidR="008764FD" w:rsidRPr="006C0089">
        <w:rPr>
          <w:szCs w:val="24"/>
        </w:rPr>
        <w:t xml:space="preserve">reflected </w:t>
      </w:r>
      <w:r w:rsidR="00077101" w:rsidRPr="006C0089">
        <w:rPr>
          <w:szCs w:val="24"/>
        </w:rPr>
        <w:t xml:space="preserve">the primarily clinical views of those </w:t>
      </w:r>
      <w:r w:rsidR="00FA4FCD" w:rsidRPr="006C0089">
        <w:rPr>
          <w:szCs w:val="24"/>
        </w:rPr>
        <w:t>involved in care and treatment decisions</w:t>
      </w:r>
      <w:r w:rsidR="00012DEC" w:rsidRPr="006C0089">
        <w:rPr>
          <w:szCs w:val="24"/>
        </w:rPr>
        <w:t>.</w:t>
      </w:r>
      <w:r w:rsidR="00F713CB" w:rsidRPr="006C0089">
        <w:rPr>
          <w:i/>
          <w:szCs w:val="24"/>
          <w:lang w:val="en-US"/>
        </w:rPr>
        <w:t xml:space="preserve"> </w:t>
      </w:r>
      <w:r w:rsidR="00246042" w:rsidRPr="006C0089">
        <w:rPr>
          <w:szCs w:val="24"/>
        </w:rPr>
        <w:t xml:space="preserve">One staff member </w:t>
      </w:r>
      <w:r w:rsidR="001374A1" w:rsidRPr="006C0089">
        <w:rPr>
          <w:szCs w:val="24"/>
          <w:lang w:val="en-US"/>
        </w:rPr>
        <w:t xml:space="preserve">also </w:t>
      </w:r>
      <w:r w:rsidR="00FF4566" w:rsidRPr="006C0089">
        <w:rPr>
          <w:szCs w:val="24"/>
        </w:rPr>
        <w:t xml:space="preserve">noted that providing culturally appropriate care and embedding tikanga was a challenge with so few Māori staff at the Unit. </w:t>
      </w:r>
    </w:p>
    <w:p w14:paraId="72F651C0" w14:textId="477D0AD3" w:rsidR="008764FD" w:rsidRPr="006C0089" w:rsidRDefault="005F79B5" w:rsidP="00CC48F1">
      <w:pPr>
        <w:pStyle w:val="BodyText"/>
        <w:rPr>
          <w:szCs w:val="24"/>
        </w:rPr>
      </w:pPr>
      <w:r w:rsidRPr="006C0089">
        <w:rPr>
          <w:szCs w:val="24"/>
        </w:rPr>
        <w:t>The</w:t>
      </w:r>
      <w:r w:rsidR="00F713CB" w:rsidRPr="006C0089">
        <w:rPr>
          <w:szCs w:val="24"/>
        </w:rPr>
        <w:t xml:space="preserve"> </w:t>
      </w:r>
      <w:r w:rsidR="00FF4566" w:rsidRPr="006C0089">
        <w:rPr>
          <w:szCs w:val="24"/>
        </w:rPr>
        <w:t>MDT</w:t>
      </w:r>
      <w:r w:rsidRPr="006C0089">
        <w:rPr>
          <w:szCs w:val="24"/>
        </w:rPr>
        <w:t xml:space="preserve"> </w:t>
      </w:r>
      <w:r w:rsidR="001C6D65" w:rsidRPr="006C0089">
        <w:rPr>
          <w:szCs w:val="24"/>
        </w:rPr>
        <w:t xml:space="preserve">meeting </w:t>
      </w:r>
      <w:r w:rsidRPr="006C0089">
        <w:rPr>
          <w:szCs w:val="24"/>
        </w:rPr>
        <w:t xml:space="preserve">which Inspectors attended involved </w:t>
      </w:r>
      <w:r w:rsidR="00FF4566" w:rsidRPr="006C0089">
        <w:rPr>
          <w:szCs w:val="24"/>
        </w:rPr>
        <w:t>discuss</w:t>
      </w:r>
      <w:r w:rsidRPr="006C0089">
        <w:rPr>
          <w:szCs w:val="24"/>
        </w:rPr>
        <w:t>ion of</w:t>
      </w:r>
      <w:r w:rsidR="00FF4566" w:rsidRPr="006C0089">
        <w:rPr>
          <w:szCs w:val="24"/>
        </w:rPr>
        <w:t xml:space="preserve"> key treatment and planning decisions, including whether a tāngata whai ora may be ready for discharge</w:t>
      </w:r>
      <w:r w:rsidR="002E7CF9" w:rsidRPr="006C0089">
        <w:rPr>
          <w:szCs w:val="24"/>
        </w:rPr>
        <w:t xml:space="preserve">. </w:t>
      </w:r>
      <w:r w:rsidR="00077101" w:rsidRPr="006C0089">
        <w:rPr>
          <w:szCs w:val="24"/>
        </w:rPr>
        <w:t>T</w:t>
      </w:r>
      <w:r w:rsidR="002E7CF9" w:rsidRPr="006C0089">
        <w:rPr>
          <w:szCs w:val="24"/>
        </w:rPr>
        <w:t>he Taurawhiri was not in attendance due to</w:t>
      </w:r>
      <w:r w:rsidR="00A27A23" w:rsidRPr="006C0089">
        <w:rPr>
          <w:szCs w:val="24"/>
        </w:rPr>
        <w:t xml:space="preserve"> other</w:t>
      </w:r>
      <w:r w:rsidR="002E7CF9" w:rsidRPr="006C0089">
        <w:rPr>
          <w:szCs w:val="24"/>
        </w:rPr>
        <w:t xml:space="preserve"> </w:t>
      </w:r>
      <w:r w:rsidR="00A27A23" w:rsidRPr="006C0089">
        <w:rPr>
          <w:szCs w:val="24"/>
        </w:rPr>
        <w:t>work commitments</w:t>
      </w:r>
      <w:r w:rsidR="00077101" w:rsidRPr="006C0089">
        <w:rPr>
          <w:szCs w:val="24"/>
        </w:rPr>
        <w:t>. However</w:t>
      </w:r>
      <w:r w:rsidR="00A27A23" w:rsidRPr="006C0089">
        <w:rPr>
          <w:szCs w:val="24"/>
        </w:rPr>
        <w:t>, I</w:t>
      </w:r>
      <w:r w:rsidR="002E7CF9" w:rsidRPr="006C0089">
        <w:rPr>
          <w:szCs w:val="24"/>
        </w:rPr>
        <w:t xml:space="preserve">nspectors observed that </w:t>
      </w:r>
      <w:r w:rsidR="00077101" w:rsidRPr="006C0089">
        <w:rPr>
          <w:szCs w:val="24"/>
        </w:rPr>
        <w:t xml:space="preserve">there was </w:t>
      </w:r>
      <w:r w:rsidR="009D506A" w:rsidRPr="006C0089">
        <w:rPr>
          <w:szCs w:val="24"/>
        </w:rPr>
        <w:t xml:space="preserve">active </w:t>
      </w:r>
      <w:r w:rsidR="00077101" w:rsidRPr="006C0089">
        <w:rPr>
          <w:szCs w:val="24"/>
        </w:rPr>
        <w:t xml:space="preserve">discussion about </w:t>
      </w:r>
      <w:r w:rsidR="002E7CF9" w:rsidRPr="006C0089">
        <w:rPr>
          <w:szCs w:val="24"/>
        </w:rPr>
        <w:t xml:space="preserve">referrals to MOKO </w:t>
      </w:r>
      <w:r w:rsidR="00077101" w:rsidRPr="006C0089">
        <w:rPr>
          <w:szCs w:val="24"/>
        </w:rPr>
        <w:t>(</w:t>
      </w:r>
      <w:r w:rsidR="00A27A23" w:rsidRPr="006C0089">
        <w:rPr>
          <w:szCs w:val="24"/>
        </w:rPr>
        <w:t>a community kaupapa Māori service</w:t>
      </w:r>
      <w:r w:rsidR="00077101" w:rsidRPr="006C0089">
        <w:rPr>
          <w:szCs w:val="24"/>
        </w:rPr>
        <w:t>)</w:t>
      </w:r>
      <w:r w:rsidR="00263AD0" w:rsidRPr="006C0089">
        <w:rPr>
          <w:szCs w:val="24"/>
        </w:rPr>
        <w:t xml:space="preserve"> regarding support</w:t>
      </w:r>
      <w:r w:rsidR="00A27A23" w:rsidRPr="006C0089">
        <w:rPr>
          <w:szCs w:val="24"/>
        </w:rPr>
        <w:t xml:space="preserve"> </w:t>
      </w:r>
      <w:r w:rsidR="002E7CF9" w:rsidRPr="006C0089">
        <w:rPr>
          <w:szCs w:val="24"/>
        </w:rPr>
        <w:t>for discharge planning for</w:t>
      </w:r>
      <w:r w:rsidR="00A27A23" w:rsidRPr="006C0089">
        <w:rPr>
          <w:szCs w:val="24"/>
        </w:rPr>
        <w:t xml:space="preserve"> Mā</w:t>
      </w:r>
      <w:r w:rsidR="002E7CF9" w:rsidRPr="006C0089">
        <w:rPr>
          <w:szCs w:val="24"/>
        </w:rPr>
        <w:t>ori t</w:t>
      </w:r>
      <w:r w:rsidR="00C23592" w:rsidRPr="006C0089">
        <w:rPr>
          <w:szCs w:val="24"/>
        </w:rPr>
        <w:t>ā</w:t>
      </w:r>
      <w:r w:rsidR="002E7CF9" w:rsidRPr="006C0089">
        <w:rPr>
          <w:szCs w:val="24"/>
        </w:rPr>
        <w:t>ngata whai ora.</w:t>
      </w:r>
      <w:r w:rsidR="008764FD" w:rsidRPr="006C0089">
        <w:rPr>
          <w:szCs w:val="24"/>
        </w:rPr>
        <w:t xml:space="preserve"> </w:t>
      </w:r>
    </w:p>
    <w:p w14:paraId="342514AB" w14:textId="51AD2017" w:rsidR="00CC48F1" w:rsidRPr="006C0089" w:rsidRDefault="008764FD" w:rsidP="00CC48F1">
      <w:pPr>
        <w:pStyle w:val="BodyText"/>
        <w:rPr>
          <w:szCs w:val="24"/>
          <w:lang w:val="en-US"/>
        </w:rPr>
      </w:pPr>
      <w:r w:rsidRPr="006C0089">
        <w:rPr>
          <w:szCs w:val="24"/>
          <w:lang w:val="en-US"/>
        </w:rPr>
        <w:t>In addition, I</w:t>
      </w:r>
      <w:r w:rsidR="00A27A23" w:rsidRPr="006C0089">
        <w:rPr>
          <w:szCs w:val="24"/>
          <w:lang w:val="en-US"/>
        </w:rPr>
        <w:t>nspectors were informed by staff that all stakeholders were</w:t>
      </w:r>
      <w:r w:rsidR="002E7CF9" w:rsidRPr="006C0089">
        <w:rPr>
          <w:szCs w:val="24"/>
          <w:lang w:val="en-US"/>
        </w:rPr>
        <w:t xml:space="preserve"> involved in </w:t>
      </w:r>
      <w:r w:rsidRPr="006C0089">
        <w:rPr>
          <w:szCs w:val="24"/>
          <w:lang w:val="en-US"/>
        </w:rPr>
        <w:t>a</w:t>
      </w:r>
      <w:r w:rsidR="002E7CF9" w:rsidRPr="006C0089">
        <w:rPr>
          <w:szCs w:val="24"/>
          <w:lang w:val="en-US"/>
        </w:rPr>
        <w:t xml:space="preserve"> discharge planning process </w:t>
      </w:r>
      <w:r w:rsidRPr="006C0089">
        <w:rPr>
          <w:szCs w:val="24"/>
          <w:lang w:val="en-US"/>
        </w:rPr>
        <w:t>that</w:t>
      </w:r>
      <w:r w:rsidR="00A27A23" w:rsidRPr="006C0089">
        <w:rPr>
          <w:szCs w:val="24"/>
          <w:lang w:val="en-US"/>
        </w:rPr>
        <w:t xml:space="preserve"> was separate </w:t>
      </w:r>
      <w:r w:rsidR="002E7CF9" w:rsidRPr="006C0089">
        <w:rPr>
          <w:szCs w:val="24"/>
          <w:lang w:val="en-US"/>
        </w:rPr>
        <w:t xml:space="preserve">and subsequent to the </w:t>
      </w:r>
      <w:r w:rsidR="00263AD0" w:rsidRPr="006C0089">
        <w:rPr>
          <w:szCs w:val="24"/>
          <w:lang w:val="en-US"/>
        </w:rPr>
        <w:t>‘</w:t>
      </w:r>
      <w:r w:rsidR="002E7CF9" w:rsidRPr="006C0089">
        <w:rPr>
          <w:szCs w:val="24"/>
          <w:lang w:val="en-US"/>
        </w:rPr>
        <w:t>decision making processes</w:t>
      </w:r>
      <w:r w:rsidR="00263AD0" w:rsidRPr="006C0089">
        <w:rPr>
          <w:szCs w:val="24"/>
          <w:lang w:val="en-US"/>
        </w:rPr>
        <w:t>’</w:t>
      </w:r>
      <w:r w:rsidR="00A27A23" w:rsidRPr="006C0089">
        <w:rPr>
          <w:szCs w:val="24"/>
          <w:lang w:val="en-US"/>
        </w:rPr>
        <w:t xml:space="preserve"> for discharge. The stakeholders included the t</w:t>
      </w:r>
      <w:r w:rsidR="005F79B5" w:rsidRPr="006C0089">
        <w:rPr>
          <w:szCs w:val="24"/>
          <w:lang w:val="en-US"/>
        </w:rPr>
        <w:t>a</w:t>
      </w:r>
      <w:r w:rsidR="00A27A23" w:rsidRPr="006C0089">
        <w:rPr>
          <w:szCs w:val="24"/>
          <w:lang w:val="en-US"/>
        </w:rPr>
        <w:t>ngata whai ora, their whā</w:t>
      </w:r>
      <w:r w:rsidR="002E7CF9" w:rsidRPr="006C0089">
        <w:rPr>
          <w:szCs w:val="24"/>
          <w:lang w:val="en-US"/>
        </w:rPr>
        <w:t xml:space="preserve">nau, and a </w:t>
      </w:r>
      <w:r w:rsidR="00A27A23" w:rsidRPr="006C0089">
        <w:rPr>
          <w:szCs w:val="24"/>
          <w:lang w:val="en-US"/>
        </w:rPr>
        <w:t xml:space="preserve">MDT that included cultural and spiritual support with </w:t>
      </w:r>
      <w:r w:rsidR="002E7CF9" w:rsidRPr="006C0089">
        <w:rPr>
          <w:szCs w:val="24"/>
          <w:lang w:val="en-US"/>
        </w:rPr>
        <w:t xml:space="preserve">Māori, Pacific, </w:t>
      </w:r>
      <w:r w:rsidR="00077101" w:rsidRPr="006C0089">
        <w:rPr>
          <w:szCs w:val="24"/>
          <w:lang w:val="en-US"/>
        </w:rPr>
        <w:t xml:space="preserve">and </w:t>
      </w:r>
      <w:r w:rsidR="002E7CF9" w:rsidRPr="006C0089">
        <w:rPr>
          <w:szCs w:val="24"/>
          <w:lang w:val="en-US"/>
        </w:rPr>
        <w:t>Asian cultural advisors and chaplains</w:t>
      </w:r>
      <w:r w:rsidR="00A27A23" w:rsidRPr="006C0089">
        <w:rPr>
          <w:szCs w:val="24"/>
          <w:lang w:val="en-US"/>
        </w:rPr>
        <w:t xml:space="preserve"> available. Muslim tāngata whai ora had </w:t>
      </w:r>
      <w:r w:rsidR="005F79B5" w:rsidRPr="006C0089">
        <w:rPr>
          <w:szCs w:val="24"/>
          <w:lang w:val="en-US"/>
        </w:rPr>
        <w:t xml:space="preserve">reportedly </w:t>
      </w:r>
      <w:r w:rsidR="00A27A23" w:rsidRPr="006C0089">
        <w:rPr>
          <w:szCs w:val="24"/>
          <w:lang w:val="en-US"/>
        </w:rPr>
        <w:t xml:space="preserve">been </w:t>
      </w:r>
      <w:r w:rsidR="002E7CF9" w:rsidRPr="006C0089">
        <w:rPr>
          <w:szCs w:val="24"/>
          <w:lang w:val="en-US"/>
        </w:rPr>
        <w:t>encouraged to invite leaders from their affiliated Mosque</w:t>
      </w:r>
      <w:r w:rsidR="00A27A23" w:rsidRPr="006C0089">
        <w:rPr>
          <w:szCs w:val="24"/>
          <w:lang w:val="en-US"/>
        </w:rPr>
        <w:t xml:space="preserve"> to attend</w:t>
      </w:r>
      <w:r w:rsidR="002E7CF9" w:rsidRPr="006C0089">
        <w:rPr>
          <w:szCs w:val="24"/>
          <w:lang w:val="en-US"/>
        </w:rPr>
        <w:t xml:space="preserve"> as support people. </w:t>
      </w:r>
      <w:r w:rsidR="007C0FDE" w:rsidRPr="006C0089">
        <w:rPr>
          <w:szCs w:val="24"/>
          <w:lang w:val="en-US"/>
        </w:rPr>
        <w:t>Feedback to Inspectors from a</w:t>
      </w:r>
      <w:r w:rsidR="00263AD0" w:rsidRPr="006C0089">
        <w:rPr>
          <w:szCs w:val="24"/>
          <w:lang w:val="en-US"/>
        </w:rPr>
        <w:t xml:space="preserve"> </w:t>
      </w:r>
      <w:r w:rsidR="00520288" w:rsidRPr="006C0089">
        <w:rPr>
          <w:szCs w:val="24"/>
          <w:lang w:val="en-US"/>
        </w:rPr>
        <w:t>M</w:t>
      </w:r>
      <w:r w:rsidR="001374A1" w:rsidRPr="006C0089">
        <w:rPr>
          <w:szCs w:val="24"/>
          <w:lang w:val="en-US"/>
        </w:rPr>
        <w:t xml:space="preserve">āori </w:t>
      </w:r>
      <w:r w:rsidR="008F7B7A" w:rsidRPr="006C0089">
        <w:rPr>
          <w:szCs w:val="24"/>
        </w:rPr>
        <w:t>tāngata</w:t>
      </w:r>
      <w:r w:rsidR="00B752E1" w:rsidRPr="006C0089">
        <w:rPr>
          <w:szCs w:val="24"/>
        </w:rPr>
        <w:t xml:space="preserve"> </w:t>
      </w:r>
      <w:r w:rsidR="00CC48F1" w:rsidRPr="006C0089">
        <w:rPr>
          <w:szCs w:val="24"/>
        </w:rPr>
        <w:t xml:space="preserve">whai ora </w:t>
      </w:r>
      <w:r w:rsidR="007C0FDE" w:rsidRPr="006C0089">
        <w:rPr>
          <w:szCs w:val="24"/>
        </w:rPr>
        <w:t>was</w:t>
      </w:r>
      <w:r w:rsidR="00CC48F1" w:rsidRPr="006C0089">
        <w:rPr>
          <w:szCs w:val="24"/>
        </w:rPr>
        <w:t xml:space="preserve"> that </w:t>
      </w:r>
      <w:r w:rsidR="00A713E4" w:rsidRPr="006C0089">
        <w:rPr>
          <w:szCs w:val="24"/>
        </w:rPr>
        <w:t>implementing</w:t>
      </w:r>
      <w:r w:rsidR="00CC48F1" w:rsidRPr="006C0089">
        <w:rPr>
          <w:szCs w:val="24"/>
        </w:rPr>
        <w:t xml:space="preserve"> </w:t>
      </w:r>
      <w:r w:rsidR="00CC48F1" w:rsidRPr="006C0089">
        <w:rPr>
          <w:szCs w:val="24"/>
          <w:lang w:val="en-US"/>
        </w:rPr>
        <w:t>cultural process/ceremony would be ‘</w:t>
      </w:r>
      <w:r w:rsidR="00CC48F1" w:rsidRPr="006C0089">
        <w:rPr>
          <w:i/>
          <w:szCs w:val="24"/>
          <w:lang w:val="en-US"/>
        </w:rPr>
        <w:t>wonderful</w:t>
      </w:r>
      <w:r w:rsidR="00CC48F1" w:rsidRPr="006C0089">
        <w:rPr>
          <w:szCs w:val="24"/>
          <w:lang w:val="en-US"/>
        </w:rPr>
        <w:t xml:space="preserve">’ </w:t>
      </w:r>
      <w:r w:rsidR="00B752E1" w:rsidRPr="006C0089">
        <w:rPr>
          <w:szCs w:val="24"/>
          <w:lang w:val="en-US"/>
        </w:rPr>
        <w:t>on their</w:t>
      </w:r>
      <w:r w:rsidR="00CC48F1" w:rsidRPr="006C0089">
        <w:rPr>
          <w:szCs w:val="24"/>
          <w:lang w:val="en-US"/>
        </w:rPr>
        <w:t xml:space="preserve"> discharge from the Unit. </w:t>
      </w:r>
    </w:p>
    <w:p w14:paraId="734CC455" w14:textId="4B522E8D" w:rsidR="002E7CF9" w:rsidRPr="006C0089" w:rsidRDefault="009E30EB" w:rsidP="009914B0">
      <w:pPr>
        <w:pStyle w:val="BodyText"/>
        <w:rPr>
          <w:i/>
        </w:rPr>
      </w:pPr>
      <w:r w:rsidRPr="006C0089">
        <w:rPr>
          <w:lang w:val="en-US"/>
        </w:rPr>
        <w:t>Inspectors requested all</w:t>
      </w:r>
      <w:r w:rsidR="002E7CF9" w:rsidRPr="006C0089">
        <w:rPr>
          <w:lang w:val="en-US"/>
        </w:rPr>
        <w:t xml:space="preserve"> policies relating to </w:t>
      </w:r>
      <w:r w:rsidR="002E7CF9" w:rsidRPr="006C0089">
        <w:t xml:space="preserve">Te Tiriti o Waitangi </w:t>
      </w:r>
      <w:r w:rsidR="00853158" w:rsidRPr="006C0089">
        <w:t>relevant</w:t>
      </w:r>
      <w:r w:rsidRPr="006C0089">
        <w:t xml:space="preserve"> to the</w:t>
      </w:r>
      <w:r w:rsidR="002E7CF9" w:rsidRPr="006C0089">
        <w:t xml:space="preserve"> Unit</w:t>
      </w:r>
      <w:r w:rsidRPr="006C0089">
        <w:t xml:space="preserve"> and were provided with a copy of</w:t>
      </w:r>
      <w:r w:rsidR="00AC2708" w:rsidRPr="006C0089">
        <w:t xml:space="preserve"> the</w:t>
      </w:r>
      <w:r w:rsidR="002E7CF9" w:rsidRPr="006C0089">
        <w:t xml:space="preserve"> </w:t>
      </w:r>
      <w:r w:rsidRPr="006C0089">
        <w:t>‘</w:t>
      </w:r>
      <w:r w:rsidR="002E7CF9" w:rsidRPr="006C0089">
        <w:rPr>
          <w:i/>
        </w:rPr>
        <w:t>Maori Health Equity Committee Terms of Reference</w:t>
      </w:r>
      <w:r w:rsidRPr="006C0089">
        <w:rPr>
          <w:i/>
        </w:rPr>
        <w:t xml:space="preserve">’ </w:t>
      </w:r>
      <w:r w:rsidRPr="006C0089">
        <w:t>dated November 2018</w:t>
      </w:r>
      <w:r w:rsidR="007C0FDE" w:rsidRPr="006C0089">
        <w:t>, with a review period of 36 months</w:t>
      </w:r>
      <w:r w:rsidR="00B752E1" w:rsidRPr="006C0089">
        <w:t>.</w:t>
      </w:r>
      <w:r w:rsidR="007C0FDE" w:rsidRPr="006C0089">
        <w:t xml:space="preserve"> Although this document was out of date at the time of </w:t>
      </w:r>
      <w:r w:rsidR="00B752E1" w:rsidRPr="006C0089">
        <w:t xml:space="preserve">the </w:t>
      </w:r>
      <w:r w:rsidR="00E10DCC" w:rsidRPr="006C0089">
        <w:t xml:space="preserve">follow up </w:t>
      </w:r>
      <w:r w:rsidR="007C0FDE" w:rsidRPr="006C0089">
        <w:t>inspection</w:t>
      </w:r>
      <w:r w:rsidR="00B752E1" w:rsidRPr="006C0089">
        <w:t>,</w:t>
      </w:r>
      <w:r w:rsidR="007C0FDE" w:rsidRPr="006C0089">
        <w:t xml:space="preserve"> it </w:t>
      </w:r>
      <w:r w:rsidRPr="006C0089">
        <w:t>stated</w:t>
      </w:r>
      <w:r w:rsidR="007C0FDE" w:rsidRPr="006C0089">
        <w:t xml:space="preserve"> under the Purpose ‘</w:t>
      </w:r>
      <w:r w:rsidR="007C0FDE" w:rsidRPr="006C0089">
        <w:rPr>
          <w:i/>
        </w:rPr>
        <w:t>Article 4 – Te Ritenga (rights to beliefs and values</w:t>
      </w:r>
      <w:r w:rsidR="0067069D" w:rsidRPr="006C0089">
        <w:rPr>
          <w:i/>
        </w:rPr>
        <w:t>)</w:t>
      </w:r>
      <w:r w:rsidRPr="006C0089">
        <w:rPr>
          <w:i/>
        </w:rPr>
        <w:t xml:space="preserve"> </w:t>
      </w:r>
      <w:r w:rsidR="007C0FDE" w:rsidRPr="006C0089">
        <w:rPr>
          <w:i/>
        </w:rPr>
        <w:t>guarantees Maori the right to practise their own spiritual beliefs, rites and tikanga in any context they wish to do so.</w:t>
      </w:r>
      <w:r w:rsidRPr="006C0089">
        <w:rPr>
          <w:i/>
        </w:rPr>
        <w:t xml:space="preserve"> </w:t>
      </w:r>
      <w:r w:rsidR="007C0FDE" w:rsidRPr="006C0089">
        <w:rPr>
          <w:i/>
        </w:rPr>
        <w:t>Therefore, the</w:t>
      </w:r>
      <w:r w:rsidRPr="006C0089">
        <w:rPr>
          <w:i/>
        </w:rPr>
        <w:t xml:space="preserve"> DHB </w:t>
      </w:r>
      <w:r w:rsidR="00B752E1" w:rsidRPr="006C0089">
        <w:rPr>
          <w:i/>
        </w:rPr>
        <w:t>h</w:t>
      </w:r>
      <w:r w:rsidRPr="006C0089">
        <w:rPr>
          <w:i/>
        </w:rPr>
        <w:t xml:space="preserve">as a Tiriti obligation to honour the beliefs, </w:t>
      </w:r>
      <w:r w:rsidR="007C0FDE" w:rsidRPr="006C0089">
        <w:rPr>
          <w:i/>
        </w:rPr>
        <w:t>values</w:t>
      </w:r>
      <w:r w:rsidRPr="006C0089">
        <w:rPr>
          <w:i/>
        </w:rPr>
        <w:t xml:space="preserve"> and aspirations of Maori patien</w:t>
      </w:r>
      <w:r w:rsidR="007C0FDE" w:rsidRPr="006C0089">
        <w:rPr>
          <w:i/>
        </w:rPr>
        <w:t>ts, staff and communities across all activities’.</w:t>
      </w:r>
    </w:p>
    <w:p w14:paraId="331289A6" w14:textId="3C1C2A64" w:rsidR="007D5BA5" w:rsidRPr="006C0089" w:rsidRDefault="007D5BA5" w:rsidP="009914B0">
      <w:pPr>
        <w:pStyle w:val="BodyText"/>
        <w:rPr>
          <w:rStyle w:val="Quotationwithinthesentence"/>
        </w:rPr>
      </w:pPr>
      <w:r w:rsidRPr="006C0089">
        <w:t xml:space="preserve">In response to my provisional report, Te Whatu Ora advised that </w:t>
      </w:r>
      <w:r w:rsidR="008F4E11" w:rsidRPr="006C0089">
        <w:t>‘</w:t>
      </w:r>
      <w:r w:rsidRPr="006C0089">
        <w:rPr>
          <w:rStyle w:val="Quotationwithinthesentence"/>
        </w:rPr>
        <w:t>as part of the Specialist Mental Health and Addictions equity programme, the Division is reviewing the cultural input arrangements and how Māori models of care and Te Ao Māori perspective are integrated into treatment, transfer and discharge decisions. The way in which policies and procedures support the implementation of Te Tiriti o Waitangi will also be subject to review.</w:t>
      </w:r>
      <w:r w:rsidR="008F4E11" w:rsidRPr="006C0089">
        <w:rPr>
          <w:rStyle w:val="Quotationwithinthesentence"/>
        </w:rPr>
        <w:t>’</w:t>
      </w:r>
    </w:p>
    <w:p w14:paraId="50538DBC" w14:textId="48D429E9" w:rsidR="00841E24" w:rsidRPr="006C0089" w:rsidRDefault="004836D2" w:rsidP="0067069D">
      <w:pPr>
        <w:pStyle w:val="Bullet1"/>
        <w:numPr>
          <w:ilvl w:val="0"/>
          <w:numId w:val="0"/>
        </w:numPr>
      </w:pPr>
      <w:r w:rsidRPr="006C0089">
        <w:t xml:space="preserve">As discussed above in relation to recommendation 11, </w:t>
      </w:r>
      <w:r w:rsidR="00841E24" w:rsidRPr="006C0089">
        <w:t xml:space="preserve">I </w:t>
      </w:r>
      <w:r w:rsidR="00FF1261" w:rsidRPr="006C0089">
        <w:t>welcome</w:t>
      </w:r>
      <w:r w:rsidR="00841E24" w:rsidRPr="006C0089">
        <w:t xml:space="preserve"> </w:t>
      </w:r>
      <w:r w:rsidR="00FF1261" w:rsidRPr="006C0089">
        <w:t xml:space="preserve">these reviews and </w:t>
      </w:r>
      <w:r w:rsidR="00A7252D">
        <w:t xml:space="preserve">I </w:t>
      </w:r>
      <w:r w:rsidR="00FF1261" w:rsidRPr="006C0089">
        <w:t>will be monitoring this</w:t>
      </w:r>
      <w:r w:rsidR="00B752E1" w:rsidRPr="006C0089">
        <w:t>.</w:t>
      </w:r>
      <w:r w:rsidR="00841E24" w:rsidRPr="006C0089">
        <w:t xml:space="preserve"> </w:t>
      </w:r>
      <w:r w:rsidR="00B752E1" w:rsidRPr="006C0089">
        <w:t>I</w:t>
      </w:r>
      <w:r w:rsidR="00841E24" w:rsidRPr="006C0089">
        <w:t>n the meantime I expect the Unit to proactively use the current cultural support available</w:t>
      </w:r>
      <w:r w:rsidR="00841E24" w:rsidRPr="006C0089">
        <w:rPr>
          <w:b/>
          <w:szCs w:val="24"/>
        </w:rPr>
        <w:t xml:space="preserve"> </w:t>
      </w:r>
      <w:r w:rsidR="00841E24" w:rsidRPr="006C0089">
        <w:rPr>
          <w:szCs w:val="24"/>
        </w:rPr>
        <w:t xml:space="preserve">and ensure </w:t>
      </w:r>
      <w:r w:rsidR="00B752E1" w:rsidRPr="006C0089">
        <w:rPr>
          <w:szCs w:val="24"/>
        </w:rPr>
        <w:t xml:space="preserve">that </w:t>
      </w:r>
      <w:r w:rsidR="00841E24" w:rsidRPr="006C0089">
        <w:rPr>
          <w:szCs w:val="24"/>
        </w:rPr>
        <w:t>cultural advice informs decisions on transferring or discharging tāngata whai ora.</w:t>
      </w:r>
    </w:p>
    <w:p w14:paraId="480B0DAE" w14:textId="5E6B59CE" w:rsidR="007F0F5E" w:rsidRPr="006C0089" w:rsidRDefault="000E03BF" w:rsidP="0067069D">
      <w:pPr>
        <w:pStyle w:val="Heading2"/>
      </w:pPr>
      <w:bookmarkStart w:id="38" w:name="_Communications"/>
      <w:bookmarkStart w:id="39" w:name="_Toc170115753"/>
      <w:bookmarkEnd w:id="38"/>
      <w:r w:rsidRPr="006C0089">
        <w:t>Communications</w:t>
      </w:r>
      <w:bookmarkEnd w:id="39"/>
    </w:p>
    <w:p w14:paraId="33B98691" w14:textId="4A8BBA3E" w:rsidR="007F0F5E" w:rsidRPr="006C0089" w:rsidRDefault="00A7252D" w:rsidP="007F0F5E">
      <w:pPr>
        <w:pStyle w:val="BodyText"/>
        <w:rPr>
          <w:b/>
          <w:sz w:val="26"/>
          <w:szCs w:val="26"/>
        </w:rPr>
      </w:pPr>
      <w:bookmarkStart w:id="40" w:name="Telephone"/>
      <w:r>
        <w:rPr>
          <w:rStyle w:val="Heading4Char"/>
        </w:rPr>
        <w:t xml:space="preserve">Recommendation 14 from </w:t>
      </w:r>
      <w:r w:rsidR="007F0F5E" w:rsidRPr="006C0089">
        <w:rPr>
          <w:rStyle w:val="Heading4Char"/>
        </w:rPr>
        <w:t xml:space="preserve">2019 inspection </w:t>
      </w:r>
      <w:r>
        <w:rPr>
          <w:b/>
          <w:sz w:val="26"/>
          <w:szCs w:val="26"/>
        </w:rPr>
        <w:t xml:space="preserve"> </w:t>
      </w:r>
      <w:r w:rsidR="007F0F5E" w:rsidRPr="006C0089">
        <w:rPr>
          <w:b/>
          <w:sz w:val="26"/>
          <w:szCs w:val="26"/>
        </w:rPr>
        <w:t>– Service users have access to a telephone, independent of staff, unless deemed unsafe based on individual risk assessment</w:t>
      </w:r>
      <w:r w:rsidR="001B38C5" w:rsidRPr="006C0089">
        <w:rPr>
          <w:b/>
          <w:sz w:val="26"/>
          <w:szCs w:val="26"/>
        </w:rPr>
        <w:t>.</w:t>
      </w:r>
    </w:p>
    <w:bookmarkEnd w:id="40"/>
    <w:p w14:paraId="6F6C2B5C" w14:textId="16583D60" w:rsidR="007F0F5E" w:rsidRPr="006C0089" w:rsidRDefault="007F0F5E" w:rsidP="007F0F5E">
      <w:pPr>
        <w:pStyle w:val="Bullet1"/>
      </w:pPr>
      <w:r w:rsidRPr="006C0089">
        <w:t>This recommendation was rejected by the Unit.</w:t>
      </w:r>
    </w:p>
    <w:p w14:paraId="607CEB4F" w14:textId="71B3B267" w:rsidR="007F0F5E" w:rsidRPr="006C0089" w:rsidRDefault="007F0F5E" w:rsidP="007F0F5E">
      <w:pPr>
        <w:pStyle w:val="Bullet1"/>
      </w:pPr>
      <w:r w:rsidRPr="006C0089">
        <w:t xml:space="preserve">On my follow up inspection I </w:t>
      </w:r>
      <w:r w:rsidR="005C03A9" w:rsidRPr="006C0089">
        <w:t xml:space="preserve">considered </w:t>
      </w:r>
      <w:r w:rsidRPr="006C0089">
        <w:t xml:space="preserve">that my recommendation was </w:t>
      </w:r>
      <w:r w:rsidRPr="006C0089">
        <w:rPr>
          <w:b/>
        </w:rPr>
        <w:t>not achieved</w:t>
      </w:r>
      <w:r w:rsidRPr="006C0089">
        <w:t>.</w:t>
      </w:r>
    </w:p>
    <w:p w14:paraId="559E0AD4" w14:textId="20FDD120" w:rsidR="00BD302D" w:rsidRPr="006C0089" w:rsidRDefault="00BD302D" w:rsidP="00520288">
      <w:pPr>
        <w:pStyle w:val="BodyText"/>
        <w:rPr>
          <w:lang w:val="en-US"/>
        </w:rPr>
      </w:pPr>
      <w:r w:rsidRPr="006C0089">
        <w:t>Inspectors review</w:t>
      </w:r>
      <w:r w:rsidR="001B38C5" w:rsidRPr="006C0089">
        <w:t>ed</w:t>
      </w:r>
      <w:r w:rsidRPr="006C0089">
        <w:t xml:space="preserve"> the ‘</w:t>
      </w:r>
      <w:r w:rsidR="0074385A" w:rsidRPr="006C0089">
        <w:rPr>
          <w:i/>
        </w:rPr>
        <w:t>He Puna Wa</w:t>
      </w:r>
      <w:r w:rsidRPr="006C0089">
        <w:rPr>
          <w:i/>
        </w:rPr>
        <w:t>iora Operations Manual’</w:t>
      </w:r>
      <w:r w:rsidR="001B38C5" w:rsidRPr="006C0089">
        <w:rPr>
          <w:i/>
        </w:rPr>
        <w:t xml:space="preserve">. </w:t>
      </w:r>
      <w:r w:rsidR="00B1056B" w:rsidRPr="006C0089">
        <w:t>The</w:t>
      </w:r>
      <w:r w:rsidRPr="006C0089">
        <w:t xml:space="preserve"> directions for telephone</w:t>
      </w:r>
      <w:r w:rsidR="00D766A8" w:rsidRPr="006C0089">
        <w:t xml:space="preserve"> use</w:t>
      </w:r>
      <w:r w:rsidR="001B38C5" w:rsidRPr="006C0089">
        <w:t xml:space="preserve"> within</w:t>
      </w:r>
      <w:r w:rsidRPr="006C0089">
        <w:t xml:space="preserve"> </w:t>
      </w:r>
      <w:r w:rsidR="001A3C89" w:rsidRPr="006C0089">
        <w:t>stated</w:t>
      </w:r>
      <w:r w:rsidR="001B38C5" w:rsidRPr="006C0089">
        <w:t xml:space="preserve"> that</w:t>
      </w:r>
      <w:r w:rsidRPr="006C0089">
        <w:t xml:space="preserve"> tāngata whai ora are to be informed of the limits of their phone use</w:t>
      </w:r>
      <w:r w:rsidR="00013371" w:rsidRPr="006C0089">
        <w:t xml:space="preserve">. </w:t>
      </w:r>
    </w:p>
    <w:p w14:paraId="7E993F77" w14:textId="5A2FBD2B" w:rsidR="000E03BF" w:rsidRPr="006C0089" w:rsidRDefault="00E8036D" w:rsidP="00520288">
      <w:pPr>
        <w:pStyle w:val="BodyText"/>
        <w:rPr>
          <w:lang w:val="en-US"/>
        </w:rPr>
      </w:pPr>
      <w:r w:rsidRPr="006C0089">
        <w:t xml:space="preserve">Inspectors were told by both </w:t>
      </w:r>
      <w:r w:rsidR="001A3C89" w:rsidRPr="006C0089">
        <w:t xml:space="preserve">tāngata whai ora and </w:t>
      </w:r>
      <w:r w:rsidRPr="006C0089">
        <w:t>s</w:t>
      </w:r>
      <w:r w:rsidR="001A3C89" w:rsidRPr="006C0089">
        <w:t xml:space="preserve">taff </w:t>
      </w:r>
      <w:r w:rsidR="000E03BF" w:rsidRPr="006C0089">
        <w:t xml:space="preserve">that tāngata whai ora in Rongoa and Rerewai wards had unlimited access to their mobile phone, unless deemed unsafe based on individual risk assessment. </w:t>
      </w:r>
      <w:r w:rsidR="00D766A8" w:rsidRPr="006C0089">
        <w:rPr>
          <w:lang w:val="en-US"/>
        </w:rPr>
        <w:t>At the time of inspection,</w:t>
      </w:r>
      <w:r w:rsidR="00D766A8" w:rsidRPr="006C0089">
        <w:t xml:space="preserve"> </w:t>
      </w:r>
      <w:r w:rsidR="000E03BF" w:rsidRPr="006C0089">
        <w:t>Inspectors observed tāngata whai ora using their phone</w:t>
      </w:r>
      <w:r w:rsidR="00D766A8" w:rsidRPr="006C0089">
        <w:t>s</w:t>
      </w:r>
      <w:r w:rsidR="000E03BF" w:rsidRPr="006C0089">
        <w:t xml:space="preserve"> </w:t>
      </w:r>
      <w:r w:rsidR="000E03BF" w:rsidRPr="006C0089">
        <w:rPr>
          <w:lang w:val="en-US"/>
        </w:rPr>
        <w:t>to wat</w:t>
      </w:r>
      <w:r w:rsidR="00BD302D" w:rsidRPr="006C0089">
        <w:rPr>
          <w:lang w:val="en-US"/>
        </w:rPr>
        <w:t xml:space="preserve">ch online content, </w:t>
      </w:r>
      <w:r w:rsidR="000E03BF" w:rsidRPr="006C0089">
        <w:rPr>
          <w:lang w:val="en-US"/>
        </w:rPr>
        <w:t>li</w:t>
      </w:r>
      <w:r w:rsidR="0071291E" w:rsidRPr="006C0089">
        <w:rPr>
          <w:lang w:val="en-US"/>
        </w:rPr>
        <w:t>sten</w:t>
      </w:r>
      <w:r w:rsidR="00BD302D" w:rsidRPr="006C0089">
        <w:rPr>
          <w:lang w:val="en-US"/>
        </w:rPr>
        <w:t xml:space="preserve"> to music, and mak</w:t>
      </w:r>
      <w:r w:rsidR="00013371" w:rsidRPr="006C0089">
        <w:rPr>
          <w:lang w:val="en-US"/>
        </w:rPr>
        <w:t>e</w:t>
      </w:r>
      <w:r w:rsidR="0071291E" w:rsidRPr="006C0089">
        <w:rPr>
          <w:lang w:val="en-US"/>
        </w:rPr>
        <w:t xml:space="preserve"> calls.</w:t>
      </w:r>
    </w:p>
    <w:p w14:paraId="5824B92E" w14:textId="1094AFFC" w:rsidR="000E03BF" w:rsidRPr="006C0089" w:rsidRDefault="00013371" w:rsidP="00520288">
      <w:pPr>
        <w:pStyle w:val="BodyText"/>
        <w:rPr>
          <w:b/>
        </w:rPr>
      </w:pPr>
      <w:r w:rsidRPr="006C0089">
        <w:t>T</w:t>
      </w:r>
      <w:r w:rsidR="000E03BF" w:rsidRPr="006C0089">
        <w:t xml:space="preserve">āngata whai ora </w:t>
      </w:r>
      <w:r w:rsidR="00BD302D" w:rsidRPr="006C0089">
        <w:t xml:space="preserve">in Rongoa and Rerewai wards </w:t>
      </w:r>
      <w:r w:rsidR="001A3C89" w:rsidRPr="006C0089">
        <w:t xml:space="preserve">without </w:t>
      </w:r>
      <w:r w:rsidR="000E03BF" w:rsidRPr="006C0089">
        <w:t>access to a mobile phone could request the use of a portable</w:t>
      </w:r>
      <w:r w:rsidR="001019BF" w:rsidRPr="006C0089">
        <w:t xml:space="preserve"> landline phone from the nurse</w:t>
      </w:r>
      <w:r w:rsidR="000E03BF" w:rsidRPr="006C0089">
        <w:t>s</w:t>
      </w:r>
      <w:r w:rsidR="001019BF" w:rsidRPr="006C0089">
        <w:t xml:space="preserve"> stations</w:t>
      </w:r>
      <w:r w:rsidR="000E03BF" w:rsidRPr="006C0089">
        <w:t xml:space="preserve">. Inspectors heard from </w:t>
      </w:r>
      <w:r w:rsidR="00E8036D" w:rsidRPr="006C0089">
        <w:t xml:space="preserve">some </w:t>
      </w:r>
      <w:r w:rsidR="000E03BF" w:rsidRPr="006C0089">
        <w:t xml:space="preserve">tāngata whai ora </w:t>
      </w:r>
      <w:r w:rsidR="00E8036D" w:rsidRPr="006C0089">
        <w:t>that staff</w:t>
      </w:r>
      <w:r w:rsidR="000E03BF" w:rsidRPr="006C0089">
        <w:t xml:space="preserve"> shortages</w:t>
      </w:r>
      <w:r w:rsidR="001019BF" w:rsidRPr="006C0089">
        <w:t xml:space="preserve"> could</w:t>
      </w:r>
      <w:r w:rsidR="00BD302D" w:rsidRPr="006C0089">
        <w:t>,</w:t>
      </w:r>
      <w:r w:rsidR="001019BF" w:rsidRPr="006C0089">
        <w:t xml:space="preserve"> at times</w:t>
      </w:r>
      <w:r w:rsidR="00BD302D" w:rsidRPr="006C0089">
        <w:t>,</w:t>
      </w:r>
      <w:r w:rsidR="001A3C89" w:rsidRPr="006C0089">
        <w:t xml:space="preserve"> cause</w:t>
      </w:r>
      <w:r w:rsidR="00E8036D" w:rsidRPr="006C0089">
        <w:t xml:space="preserve"> delay</w:t>
      </w:r>
      <w:r w:rsidR="000E03BF" w:rsidRPr="006C0089">
        <w:t xml:space="preserve"> </w:t>
      </w:r>
      <w:r w:rsidR="005C03A9" w:rsidRPr="006C0089">
        <w:t xml:space="preserve">to </w:t>
      </w:r>
      <w:r w:rsidRPr="006C0089">
        <w:t>their</w:t>
      </w:r>
      <w:r w:rsidR="000E03BF" w:rsidRPr="006C0089">
        <w:t xml:space="preserve"> </w:t>
      </w:r>
      <w:r w:rsidR="001A3C89" w:rsidRPr="006C0089">
        <w:t>access to</w:t>
      </w:r>
      <w:r w:rsidR="001019BF" w:rsidRPr="006C0089">
        <w:t xml:space="preserve"> the </w:t>
      </w:r>
      <w:r w:rsidRPr="006C0089">
        <w:t xml:space="preserve">landline </w:t>
      </w:r>
      <w:r w:rsidR="00E8036D" w:rsidRPr="006C0089">
        <w:t>phone</w:t>
      </w:r>
      <w:r w:rsidR="000E03BF" w:rsidRPr="006C0089">
        <w:t xml:space="preserve">. </w:t>
      </w:r>
    </w:p>
    <w:p w14:paraId="53DDAC33" w14:textId="23160BA8" w:rsidR="000E03BF" w:rsidRPr="006C0089" w:rsidRDefault="006670F2" w:rsidP="00520288">
      <w:pPr>
        <w:pStyle w:val="BodyText"/>
        <w:rPr>
          <w:b/>
        </w:rPr>
      </w:pPr>
      <w:r w:rsidRPr="006C0089">
        <w:t xml:space="preserve">However, </w:t>
      </w:r>
      <w:r w:rsidR="002939FC" w:rsidRPr="006C0089">
        <w:t>Inspectors</w:t>
      </w:r>
      <w:r w:rsidR="00EB52E4" w:rsidRPr="006C0089">
        <w:t xml:space="preserve"> heard mixed feedback </w:t>
      </w:r>
      <w:r w:rsidR="00EA46C9" w:rsidRPr="006C0089">
        <w:t xml:space="preserve">from both </w:t>
      </w:r>
      <w:r w:rsidR="00520288" w:rsidRPr="006C0089">
        <w:t>tāngata whai ora and staff</w:t>
      </w:r>
      <w:r w:rsidR="00EA46C9" w:rsidRPr="006C0089">
        <w:t xml:space="preserve"> </w:t>
      </w:r>
      <w:r w:rsidR="00EB52E4" w:rsidRPr="006C0089">
        <w:t xml:space="preserve">on </w:t>
      </w:r>
      <w:r w:rsidR="00D14038" w:rsidRPr="006C0089">
        <w:t xml:space="preserve">the practice of </w:t>
      </w:r>
      <w:r w:rsidR="00EB52E4" w:rsidRPr="006C0089">
        <w:t>phone use restrictions in the H</w:t>
      </w:r>
      <w:r w:rsidR="007B5EF9" w:rsidRPr="006C0089">
        <w:t xml:space="preserve">igh </w:t>
      </w:r>
      <w:r w:rsidR="00EB52E4" w:rsidRPr="006C0089">
        <w:t>C</w:t>
      </w:r>
      <w:r w:rsidR="007B5EF9" w:rsidRPr="006C0089">
        <w:t xml:space="preserve">are </w:t>
      </w:r>
      <w:r w:rsidR="00EB52E4" w:rsidRPr="006C0089">
        <w:t>A</w:t>
      </w:r>
      <w:r w:rsidR="007B5EF9" w:rsidRPr="006C0089">
        <w:t>rea</w:t>
      </w:r>
      <w:r w:rsidR="00EB52E4" w:rsidRPr="006C0089">
        <w:t xml:space="preserve">. This varied from a </w:t>
      </w:r>
      <w:r w:rsidR="00EA46C9" w:rsidRPr="006C0089">
        <w:t>‘</w:t>
      </w:r>
      <w:r w:rsidR="00EB52E4" w:rsidRPr="006C0089">
        <w:t>blanket rule</w:t>
      </w:r>
      <w:r w:rsidR="00EA46C9" w:rsidRPr="006C0089">
        <w:t>’</w:t>
      </w:r>
      <w:r w:rsidR="00EB52E4" w:rsidRPr="006C0089">
        <w:t xml:space="preserve"> restricting access to mobile phones, to supervised access based on an individualised risk assessment.</w:t>
      </w:r>
      <w:r w:rsidR="00D14038" w:rsidRPr="006C0089">
        <w:t xml:space="preserve"> At the time of inspection, Inspectors observed tāngata whai ora mobile phones being held in the H</w:t>
      </w:r>
      <w:r w:rsidR="007B5EF9" w:rsidRPr="006C0089">
        <w:t xml:space="preserve">igh </w:t>
      </w:r>
      <w:r w:rsidR="00D14038" w:rsidRPr="006C0089">
        <w:t>C</w:t>
      </w:r>
      <w:r w:rsidR="007B5EF9" w:rsidRPr="006C0089">
        <w:t xml:space="preserve">are </w:t>
      </w:r>
      <w:r w:rsidR="00D14038" w:rsidRPr="006C0089">
        <w:t>A</w:t>
      </w:r>
      <w:r w:rsidR="007B5EF9" w:rsidRPr="006C0089">
        <w:t>rea</w:t>
      </w:r>
      <w:r w:rsidR="00D14038" w:rsidRPr="006C0089">
        <w:t xml:space="preserve"> nurses station, and in some instances were linked to wireless headphones for tāngata whai ora to listen to music remotely.</w:t>
      </w:r>
      <w:r w:rsidR="002939FC" w:rsidRPr="006C0089">
        <w:t xml:space="preserve"> </w:t>
      </w:r>
      <w:r w:rsidR="000D10A3" w:rsidRPr="006C0089">
        <w:t>T</w:t>
      </w:r>
      <w:r w:rsidR="00E8036D" w:rsidRPr="006C0089">
        <w:t xml:space="preserve">he </w:t>
      </w:r>
      <w:r w:rsidR="0071291E" w:rsidRPr="006C0089">
        <w:t xml:space="preserve">High Care Area </w:t>
      </w:r>
      <w:r w:rsidR="001A3C89" w:rsidRPr="006C0089">
        <w:t>‘</w:t>
      </w:r>
      <w:r w:rsidR="001C6D65" w:rsidRPr="006C0089">
        <w:rPr>
          <w:i/>
        </w:rPr>
        <w:t>A</w:t>
      </w:r>
      <w:r w:rsidR="00E8036D" w:rsidRPr="006C0089">
        <w:rPr>
          <w:i/>
        </w:rPr>
        <w:t>d</w:t>
      </w:r>
      <w:r w:rsidR="001C6D65" w:rsidRPr="006C0089">
        <w:rPr>
          <w:i/>
        </w:rPr>
        <w:t>missions P</w:t>
      </w:r>
      <w:r w:rsidR="00E8036D" w:rsidRPr="006C0089">
        <w:rPr>
          <w:i/>
        </w:rPr>
        <w:t xml:space="preserve">rocess </w:t>
      </w:r>
      <w:r w:rsidR="001C6D65" w:rsidRPr="006C0089">
        <w:rPr>
          <w:i/>
        </w:rPr>
        <w:t>G</w:t>
      </w:r>
      <w:r w:rsidR="000E03BF" w:rsidRPr="006C0089">
        <w:rPr>
          <w:i/>
        </w:rPr>
        <w:t>uide</w:t>
      </w:r>
      <w:r w:rsidR="001A3C89" w:rsidRPr="006C0089">
        <w:rPr>
          <w:i/>
        </w:rPr>
        <w:t>’</w:t>
      </w:r>
      <w:r w:rsidR="00D766A8" w:rsidRPr="006C0089">
        <w:t xml:space="preserve"> stated</w:t>
      </w:r>
      <w:r w:rsidR="0004752B" w:rsidRPr="006C0089">
        <w:t>:</w:t>
      </w:r>
    </w:p>
    <w:p w14:paraId="7A23FF88" w14:textId="526ADB6B" w:rsidR="000E03BF" w:rsidRPr="006C0089" w:rsidRDefault="000E03BF" w:rsidP="00E8036D">
      <w:pPr>
        <w:pStyle w:val="Boxsmallnumber-1"/>
        <w:numPr>
          <w:ilvl w:val="0"/>
          <w:numId w:val="0"/>
        </w:numPr>
        <w:tabs>
          <w:tab w:val="left" w:pos="720"/>
        </w:tabs>
        <w:ind w:left="360"/>
        <w:rPr>
          <w:b/>
        </w:rPr>
      </w:pPr>
      <w:r w:rsidRPr="006C0089">
        <w:rPr>
          <w:i/>
        </w:rPr>
        <w:t>Inform service user of appropriate phone use. All</w:t>
      </w:r>
      <w:r w:rsidRPr="006C0089">
        <w:rPr>
          <w:b/>
        </w:rPr>
        <w:t xml:space="preserve"> </w:t>
      </w:r>
      <w:r w:rsidRPr="006C0089">
        <w:rPr>
          <w:i/>
        </w:rPr>
        <w:t>mobile devices will be kept in the High Care office base upon admission. This is to prevent inappropriate use. Device/phone use will be reviewed daily and decision made if service user can use phone</w:t>
      </w:r>
      <w:r w:rsidR="00D766A8" w:rsidRPr="006C0089">
        <w:rPr>
          <w:i/>
        </w:rPr>
        <w:t>.</w:t>
      </w:r>
      <w:r w:rsidRPr="006C0089">
        <w:rPr>
          <w:i/>
        </w:rPr>
        <w:t xml:space="preserve"> Ensure family/friends contact via office phone until their own device is safe to be returned/ All device/phone use in high care must be done strictly under supervision of staff (this supports no inappropriate</w:t>
      </w:r>
      <w:r w:rsidR="00C05A4E" w:rsidRPr="006C0089">
        <w:rPr>
          <w:i/>
        </w:rPr>
        <w:t xml:space="preserve"> use)</w:t>
      </w:r>
      <w:r w:rsidR="00E8036D" w:rsidRPr="006C0089">
        <w:rPr>
          <w:i/>
        </w:rPr>
        <w:t>.</w:t>
      </w:r>
    </w:p>
    <w:p w14:paraId="79387C3D" w14:textId="77777777" w:rsidR="008A4ECF" w:rsidRPr="006C0089" w:rsidRDefault="00C05A4E" w:rsidP="00C05A4E">
      <w:pPr>
        <w:pStyle w:val="Boxsmallnumber-1"/>
        <w:numPr>
          <w:ilvl w:val="0"/>
          <w:numId w:val="0"/>
        </w:numPr>
        <w:tabs>
          <w:tab w:val="left" w:pos="720"/>
        </w:tabs>
        <w:rPr>
          <w:szCs w:val="24"/>
        </w:rPr>
      </w:pPr>
      <w:r w:rsidRPr="006C0089">
        <w:rPr>
          <w:rStyle w:val="BodyTextChar"/>
        </w:rPr>
        <w:t>Phone access can be one of the primary modes for communication</w:t>
      </w:r>
      <w:r w:rsidR="00A51ABE" w:rsidRPr="006C0089">
        <w:rPr>
          <w:rStyle w:val="BodyTextChar"/>
        </w:rPr>
        <w:t>, including to</w:t>
      </w:r>
      <w:r w:rsidR="001664FF" w:rsidRPr="006C0089">
        <w:rPr>
          <w:rStyle w:val="BodyTextChar"/>
        </w:rPr>
        <w:t xml:space="preserve"> advocacy and support mechanisms through which tāngata whai ora can raise concerns about their conditions or treatment</w:t>
      </w:r>
      <w:r w:rsidRPr="006C0089">
        <w:rPr>
          <w:rStyle w:val="BodyTextChar"/>
        </w:rPr>
        <w:t>.</w:t>
      </w:r>
      <w:r w:rsidRPr="006C0089">
        <w:rPr>
          <w:rStyle w:val="FootnoteReference"/>
        </w:rPr>
        <w:footnoteReference w:id="23"/>
      </w:r>
      <w:r w:rsidRPr="006C0089">
        <w:t xml:space="preserve"> </w:t>
      </w:r>
      <w:r w:rsidR="001A3C89" w:rsidRPr="006C0089">
        <w:t>The ability to use a</w:t>
      </w:r>
      <w:r w:rsidR="002939FC" w:rsidRPr="006C0089">
        <w:t xml:space="preserve"> phone </w:t>
      </w:r>
      <w:r w:rsidR="001A3C89" w:rsidRPr="006C0089">
        <w:t xml:space="preserve">privately </w:t>
      </w:r>
      <w:r w:rsidR="002939FC" w:rsidRPr="006C0089">
        <w:t xml:space="preserve">should not be dependent on mobile phone ownership </w:t>
      </w:r>
      <w:r w:rsidR="001A3C89" w:rsidRPr="006C0089">
        <w:t xml:space="preserve">or the availability of a staff member. </w:t>
      </w:r>
      <w:r w:rsidRPr="006C0089">
        <w:rPr>
          <w:rStyle w:val="BodyTextChar"/>
        </w:rPr>
        <w:t xml:space="preserve">While the </w:t>
      </w:r>
      <w:r w:rsidR="00EA46C9" w:rsidRPr="006C0089">
        <w:rPr>
          <w:rStyle w:val="BodyTextChar"/>
        </w:rPr>
        <w:t>H</w:t>
      </w:r>
      <w:r w:rsidR="007B5EF9" w:rsidRPr="006C0089">
        <w:rPr>
          <w:rStyle w:val="BodyTextChar"/>
        </w:rPr>
        <w:t xml:space="preserve">igh </w:t>
      </w:r>
      <w:r w:rsidR="00EA46C9" w:rsidRPr="006C0089">
        <w:rPr>
          <w:rStyle w:val="BodyTextChar"/>
        </w:rPr>
        <w:t>C</w:t>
      </w:r>
      <w:r w:rsidR="007B5EF9" w:rsidRPr="006C0089">
        <w:rPr>
          <w:rStyle w:val="BodyTextChar"/>
        </w:rPr>
        <w:t xml:space="preserve">are </w:t>
      </w:r>
      <w:r w:rsidR="00EA46C9" w:rsidRPr="006C0089">
        <w:rPr>
          <w:rStyle w:val="BodyTextChar"/>
        </w:rPr>
        <w:t>A</w:t>
      </w:r>
      <w:r w:rsidR="007B5EF9" w:rsidRPr="006C0089">
        <w:rPr>
          <w:rStyle w:val="BodyTextChar"/>
        </w:rPr>
        <w:t>rea</w:t>
      </w:r>
      <w:r w:rsidRPr="006C0089">
        <w:rPr>
          <w:rStyle w:val="BodyTextChar"/>
        </w:rPr>
        <w:t xml:space="preserve"> may inherently involve higher levels of acuity, and require a different approach to phone management, </w:t>
      </w:r>
      <w:r w:rsidR="00D14038" w:rsidRPr="006C0089">
        <w:t xml:space="preserve">tāngata whai ora should still have an opportunity for independent and private phone use in a </w:t>
      </w:r>
      <w:r w:rsidR="00D14038" w:rsidRPr="006C0089">
        <w:rPr>
          <w:szCs w:val="24"/>
        </w:rPr>
        <w:t xml:space="preserve">safe manner. </w:t>
      </w:r>
    </w:p>
    <w:p w14:paraId="5A856B6D" w14:textId="01829C6F" w:rsidR="008A4ECF" w:rsidRPr="006C0089" w:rsidRDefault="008A4ECF" w:rsidP="00C05A4E">
      <w:pPr>
        <w:pStyle w:val="Boxsmallnumber-1"/>
        <w:numPr>
          <w:ilvl w:val="0"/>
          <w:numId w:val="0"/>
        </w:numPr>
        <w:tabs>
          <w:tab w:val="left" w:pos="720"/>
        </w:tabs>
        <w:rPr>
          <w:szCs w:val="24"/>
        </w:rPr>
      </w:pPr>
      <w:r w:rsidRPr="006C0089">
        <w:rPr>
          <w:szCs w:val="24"/>
        </w:rPr>
        <w:t xml:space="preserve">In </w:t>
      </w:r>
      <w:r w:rsidR="001E65B3" w:rsidRPr="006C0089">
        <w:rPr>
          <w:szCs w:val="24"/>
        </w:rPr>
        <w:t>response to</w:t>
      </w:r>
      <w:r w:rsidR="00043BA3" w:rsidRPr="006C0089">
        <w:rPr>
          <w:szCs w:val="24"/>
        </w:rPr>
        <w:t xml:space="preserve"> </w:t>
      </w:r>
      <w:r w:rsidRPr="006C0089">
        <w:rPr>
          <w:szCs w:val="24"/>
        </w:rPr>
        <w:t xml:space="preserve">my provisional report, Te Whatu Ora </w:t>
      </w:r>
      <w:r w:rsidR="001E65B3" w:rsidRPr="006C0089">
        <w:rPr>
          <w:szCs w:val="24"/>
        </w:rPr>
        <w:t>said</w:t>
      </w:r>
      <w:r w:rsidR="00043BA3" w:rsidRPr="006C0089">
        <w:rPr>
          <w:szCs w:val="24"/>
        </w:rPr>
        <w:t xml:space="preserve"> </w:t>
      </w:r>
      <w:r w:rsidR="001E65B3" w:rsidRPr="006C0089">
        <w:rPr>
          <w:szCs w:val="24"/>
        </w:rPr>
        <w:t>that the</w:t>
      </w:r>
      <w:r w:rsidRPr="006C0089">
        <w:rPr>
          <w:szCs w:val="24"/>
        </w:rPr>
        <w:t xml:space="preserve"> Unit’s operations manual</w:t>
      </w:r>
      <w:r w:rsidR="001E65B3" w:rsidRPr="006C0089">
        <w:rPr>
          <w:szCs w:val="24"/>
        </w:rPr>
        <w:t xml:space="preserve"> has been updated</w:t>
      </w:r>
      <w:r w:rsidRPr="006C0089">
        <w:rPr>
          <w:szCs w:val="24"/>
        </w:rPr>
        <w:t xml:space="preserve"> since </w:t>
      </w:r>
      <w:r w:rsidR="001E65B3" w:rsidRPr="006C0089">
        <w:rPr>
          <w:szCs w:val="24"/>
        </w:rPr>
        <w:t>my</w:t>
      </w:r>
      <w:r w:rsidR="00C916F9" w:rsidRPr="006C0089">
        <w:rPr>
          <w:szCs w:val="24"/>
        </w:rPr>
        <w:t xml:space="preserve"> </w:t>
      </w:r>
      <w:r w:rsidRPr="006C0089">
        <w:rPr>
          <w:szCs w:val="24"/>
        </w:rPr>
        <w:t>2022 inspection,</w:t>
      </w:r>
      <w:r w:rsidR="001E65B3" w:rsidRPr="006C0089">
        <w:rPr>
          <w:szCs w:val="24"/>
        </w:rPr>
        <w:t xml:space="preserve"> and</w:t>
      </w:r>
      <w:r w:rsidRPr="006C0089">
        <w:rPr>
          <w:szCs w:val="24"/>
        </w:rPr>
        <w:t xml:space="preserve"> </w:t>
      </w:r>
      <w:r w:rsidR="00C916F9" w:rsidRPr="006C0089">
        <w:rPr>
          <w:szCs w:val="24"/>
        </w:rPr>
        <w:t xml:space="preserve">that </w:t>
      </w:r>
      <w:r w:rsidRPr="006C0089">
        <w:rPr>
          <w:szCs w:val="24"/>
        </w:rPr>
        <w:t>all tāngata whai ora can keep their mobile device</w:t>
      </w:r>
      <w:r w:rsidR="00F4703A" w:rsidRPr="006C0089">
        <w:rPr>
          <w:szCs w:val="24"/>
        </w:rPr>
        <w:t>s</w:t>
      </w:r>
      <w:r w:rsidRPr="006C0089">
        <w:rPr>
          <w:szCs w:val="24"/>
        </w:rPr>
        <w:t xml:space="preserve"> with them (subject to a personal device agreement)</w:t>
      </w:r>
      <w:r w:rsidR="001E65B3" w:rsidRPr="006C0089">
        <w:rPr>
          <w:szCs w:val="24"/>
        </w:rPr>
        <w:t>,</w:t>
      </w:r>
      <w:r w:rsidRPr="006C0089">
        <w:rPr>
          <w:szCs w:val="24"/>
        </w:rPr>
        <w:t xml:space="preserve"> </w:t>
      </w:r>
      <w:r w:rsidR="001E65B3" w:rsidRPr="006C0089">
        <w:rPr>
          <w:szCs w:val="24"/>
        </w:rPr>
        <w:t xml:space="preserve">and </w:t>
      </w:r>
      <w:r w:rsidRPr="006C0089">
        <w:rPr>
          <w:szCs w:val="24"/>
        </w:rPr>
        <w:t xml:space="preserve">tāngata whai ora </w:t>
      </w:r>
      <w:r w:rsidR="001E65B3" w:rsidRPr="006C0089">
        <w:rPr>
          <w:szCs w:val="24"/>
        </w:rPr>
        <w:t xml:space="preserve">without a personal </w:t>
      </w:r>
      <w:r w:rsidRPr="006C0089">
        <w:rPr>
          <w:szCs w:val="24"/>
        </w:rPr>
        <w:t xml:space="preserve"> device can access </w:t>
      </w:r>
      <w:r w:rsidR="001E65B3" w:rsidRPr="006C0089">
        <w:rPr>
          <w:szCs w:val="24"/>
        </w:rPr>
        <w:t xml:space="preserve">the Unit’s </w:t>
      </w:r>
      <w:r w:rsidRPr="006C0089">
        <w:rPr>
          <w:szCs w:val="24"/>
        </w:rPr>
        <w:t>shared iPads</w:t>
      </w:r>
      <w:r w:rsidR="001E65B3" w:rsidRPr="006C0089">
        <w:rPr>
          <w:szCs w:val="24"/>
        </w:rPr>
        <w:t>.</w:t>
      </w:r>
      <w:r w:rsidR="00C916F9" w:rsidRPr="006C0089">
        <w:rPr>
          <w:szCs w:val="24"/>
        </w:rPr>
        <w:t xml:space="preserve"> </w:t>
      </w:r>
      <w:r w:rsidR="001E65B3" w:rsidRPr="006C0089">
        <w:rPr>
          <w:szCs w:val="24"/>
        </w:rPr>
        <w:t>In addition</w:t>
      </w:r>
      <w:r w:rsidR="00C916F9" w:rsidRPr="006C0089">
        <w:rPr>
          <w:szCs w:val="24"/>
        </w:rPr>
        <w:t>,</w:t>
      </w:r>
      <w:r w:rsidR="001E65B3" w:rsidRPr="006C0089">
        <w:rPr>
          <w:szCs w:val="24"/>
        </w:rPr>
        <w:t xml:space="preserve"> </w:t>
      </w:r>
      <w:r w:rsidRPr="006C0089">
        <w:rPr>
          <w:szCs w:val="24"/>
        </w:rPr>
        <w:t xml:space="preserve">the Unit is supporting tāngata whai ora to access funding for their own mobile phone.  </w:t>
      </w:r>
    </w:p>
    <w:p w14:paraId="08B6E55E" w14:textId="47B45053" w:rsidR="00047CC7" w:rsidRPr="006C0089" w:rsidRDefault="00047CC7" w:rsidP="00C05A4E">
      <w:pPr>
        <w:pStyle w:val="Boxsmallnumber-1"/>
        <w:numPr>
          <w:ilvl w:val="0"/>
          <w:numId w:val="0"/>
        </w:numPr>
        <w:tabs>
          <w:tab w:val="left" w:pos="720"/>
        </w:tabs>
        <w:rPr>
          <w:szCs w:val="24"/>
        </w:rPr>
      </w:pPr>
      <w:r w:rsidRPr="006C0089">
        <w:rPr>
          <w:szCs w:val="24"/>
        </w:rPr>
        <w:t xml:space="preserve">The Ministry of Health </w:t>
      </w:r>
      <w:r w:rsidR="001E65B3" w:rsidRPr="006C0089">
        <w:rPr>
          <w:szCs w:val="24"/>
        </w:rPr>
        <w:t xml:space="preserve">have advised that </w:t>
      </w:r>
      <w:r w:rsidR="00F4703A" w:rsidRPr="006C0089">
        <w:rPr>
          <w:szCs w:val="24"/>
        </w:rPr>
        <w:t xml:space="preserve">local </w:t>
      </w:r>
      <w:r w:rsidR="006B0C57" w:rsidRPr="006C0089">
        <w:rPr>
          <w:szCs w:val="24"/>
        </w:rPr>
        <w:t>D</w:t>
      </w:r>
      <w:r w:rsidR="00F4703A" w:rsidRPr="006C0089">
        <w:rPr>
          <w:szCs w:val="24"/>
        </w:rPr>
        <w:t xml:space="preserve">istrict </w:t>
      </w:r>
      <w:r w:rsidR="006B0C57" w:rsidRPr="006C0089">
        <w:rPr>
          <w:szCs w:val="24"/>
        </w:rPr>
        <w:t>I</w:t>
      </w:r>
      <w:r w:rsidR="00F4703A" w:rsidRPr="006C0089">
        <w:rPr>
          <w:szCs w:val="24"/>
        </w:rPr>
        <w:t xml:space="preserve">nspectors </w:t>
      </w:r>
      <w:r w:rsidRPr="006C0089">
        <w:rPr>
          <w:szCs w:val="24"/>
        </w:rPr>
        <w:t xml:space="preserve">would continue to monitor </w:t>
      </w:r>
      <w:r w:rsidR="009B43DA" w:rsidRPr="006C0089">
        <w:rPr>
          <w:szCs w:val="24"/>
        </w:rPr>
        <w:t>access to external communication</w:t>
      </w:r>
      <w:r w:rsidR="00F4703A" w:rsidRPr="006C0089">
        <w:rPr>
          <w:szCs w:val="24"/>
        </w:rPr>
        <w:t>s</w:t>
      </w:r>
      <w:r w:rsidRPr="006C0089">
        <w:rPr>
          <w:szCs w:val="24"/>
        </w:rPr>
        <w:t xml:space="preserve">. </w:t>
      </w:r>
    </w:p>
    <w:p w14:paraId="041F3C36" w14:textId="5E621952" w:rsidR="00901ACD" w:rsidRPr="006C0089" w:rsidRDefault="009B43DA" w:rsidP="00C05A4E">
      <w:pPr>
        <w:pStyle w:val="Boxsmallnumber-1"/>
        <w:numPr>
          <w:ilvl w:val="0"/>
          <w:numId w:val="0"/>
        </w:numPr>
        <w:tabs>
          <w:tab w:val="left" w:pos="720"/>
        </w:tabs>
      </w:pPr>
      <w:r w:rsidRPr="006C0089">
        <w:rPr>
          <w:szCs w:val="24"/>
        </w:rPr>
        <w:t xml:space="preserve">I welcome this update and will be following up on implementation at my next inspection. </w:t>
      </w:r>
      <w:r w:rsidR="00520288" w:rsidRPr="006C0089">
        <w:rPr>
          <w:b/>
        </w:rPr>
        <w:t>I recommend</w:t>
      </w:r>
      <w:r w:rsidR="000E2184" w:rsidRPr="006C0089">
        <w:rPr>
          <w:b/>
        </w:rPr>
        <w:t xml:space="preserve"> </w:t>
      </w:r>
      <w:r w:rsidR="00C05A4E" w:rsidRPr="006C0089">
        <w:rPr>
          <w:b/>
        </w:rPr>
        <w:t xml:space="preserve">Unit </w:t>
      </w:r>
      <w:r w:rsidR="000E2184" w:rsidRPr="006C0089">
        <w:rPr>
          <w:b/>
        </w:rPr>
        <w:t xml:space="preserve">management </w:t>
      </w:r>
      <w:r w:rsidR="00EA46C9" w:rsidRPr="006C0089">
        <w:rPr>
          <w:b/>
        </w:rPr>
        <w:t xml:space="preserve">ensure </w:t>
      </w:r>
      <w:r w:rsidR="00C05A4E" w:rsidRPr="006C0089">
        <w:rPr>
          <w:b/>
        </w:rPr>
        <w:t xml:space="preserve">tāngata whai ora </w:t>
      </w:r>
      <w:r w:rsidR="00EA46C9" w:rsidRPr="006C0089">
        <w:rPr>
          <w:b/>
        </w:rPr>
        <w:t xml:space="preserve">have access to a </w:t>
      </w:r>
      <w:r w:rsidR="00C05A4E" w:rsidRPr="006C0089">
        <w:rPr>
          <w:b/>
        </w:rPr>
        <w:t xml:space="preserve">telephone, independent </w:t>
      </w:r>
      <w:r w:rsidR="00013371" w:rsidRPr="006C0089">
        <w:rPr>
          <w:b/>
        </w:rPr>
        <w:t>of</w:t>
      </w:r>
      <w:r w:rsidR="00C05A4E" w:rsidRPr="006C0089">
        <w:rPr>
          <w:b/>
        </w:rPr>
        <w:t xml:space="preserve"> staff, unless </w:t>
      </w:r>
      <w:r w:rsidR="00EA46C9" w:rsidRPr="006C0089">
        <w:rPr>
          <w:b/>
        </w:rPr>
        <w:t xml:space="preserve">this is </w:t>
      </w:r>
      <w:r w:rsidR="00C05A4E" w:rsidRPr="006C0089">
        <w:rPr>
          <w:b/>
        </w:rPr>
        <w:t>deemed unsafe based on individual risk assessment</w:t>
      </w:r>
      <w:r w:rsidR="00EA46C9" w:rsidRPr="006C0089">
        <w:rPr>
          <w:b/>
        </w:rPr>
        <w:t>s</w:t>
      </w:r>
      <w:r w:rsidR="00013371" w:rsidRPr="006C0089">
        <w:rPr>
          <w:b/>
        </w:rPr>
        <w:t>.</w:t>
      </w:r>
    </w:p>
    <w:p w14:paraId="4F6EB66B" w14:textId="41913FB2" w:rsidR="0067069D" w:rsidRPr="006C0089" w:rsidRDefault="0067069D" w:rsidP="002939FC">
      <w:pPr>
        <w:pStyle w:val="Heading2"/>
      </w:pPr>
      <w:bookmarkStart w:id="41" w:name="_Staffing"/>
      <w:bookmarkStart w:id="42" w:name="_Toc170115754"/>
      <w:bookmarkEnd w:id="41"/>
      <w:r w:rsidRPr="006C0089">
        <w:t>Staffing</w:t>
      </w:r>
      <w:bookmarkEnd w:id="42"/>
    </w:p>
    <w:p w14:paraId="71C703CB" w14:textId="297FFC4F" w:rsidR="0067069D" w:rsidRPr="006C0089" w:rsidRDefault="00A7252D" w:rsidP="0067069D">
      <w:pPr>
        <w:pStyle w:val="BodyText"/>
        <w:rPr>
          <w:b/>
          <w:sz w:val="26"/>
          <w:szCs w:val="26"/>
        </w:rPr>
      </w:pPr>
      <w:bookmarkStart w:id="43" w:name="Staffing"/>
      <w:r>
        <w:rPr>
          <w:rStyle w:val="Heading4Char"/>
        </w:rPr>
        <w:t xml:space="preserve">Recommendation 15 from </w:t>
      </w:r>
      <w:r w:rsidR="0067069D" w:rsidRPr="006C0089">
        <w:rPr>
          <w:rStyle w:val="Heading4Char"/>
        </w:rPr>
        <w:t>2019 inspection</w:t>
      </w:r>
      <w:r>
        <w:rPr>
          <w:b/>
          <w:sz w:val="26"/>
          <w:szCs w:val="26"/>
        </w:rPr>
        <w:t xml:space="preserve"> </w:t>
      </w:r>
      <w:r w:rsidR="0067069D" w:rsidRPr="006C0089">
        <w:rPr>
          <w:b/>
          <w:sz w:val="26"/>
          <w:szCs w:val="26"/>
        </w:rPr>
        <w:t>– The unit takes action to rebuild staff morale and address the high turnover rate.</w:t>
      </w:r>
    </w:p>
    <w:bookmarkEnd w:id="43"/>
    <w:p w14:paraId="7AE98498" w14:textId="2143889B" w:rsidR="0067069D" w:rsidRPr="006C0089" w:rsidRDefault="0067069D" w:rsidP="0067069D">
      <w:pPr>
        <w:pStyle w:val="Bullet1"/>
      </w:pPr>
      <w:r w:rsidRPr="006C0089">
        <w:t>This recommendation was accepted by the Unit.</w:t>
      </w:r>
    </w:p>
    <w:p w14:paraId="3DECEC23" w14:textId="40D68B85" w:rsidR="007B4A5E" w:rsidRPr="006C0089" w:rsidRDefault="0067069D" w:rsidP="00F038E9">
      <w:pPr>
        <w:pStyle w:val="Bullet1"/>
        <w:rPr>
          <w:b/>
        </w:rPr>
      </w:pPr>
      <w:r w:rsidRPr="006C0089">
        <w:t xml:space="preserve">On my follow up inspection I </w:t>
      </w:r>
      <w:r w:rsidR="004D0705" w:rsidRPr="006C0089">
        <w:t xml:space="preserve">considered </w:t>
      </w:r>
      <w:r w:rsidRPr="006C0089">
        <w:t>that my recommendation was</w:t>
      </w:r>
      <w:r w:rsidR="00AF06D2" w:rsidRPr="006C0089">
        <w:t xml:space="preserve"> </w:t>
      </w:r>
      <w:r w:rsidR="00AF06D2" w:rsidRPr="006C0089">
        <w:rPr>
          <w:b/>
        </w:rPr>
        <w:t>progressing, but</w:t>
      </w:r>
      <w:r w:rsidRPr="006C0089">
        <w:rPr>
          <w:b/>
        </w:rPr>
        <w:t xml:space="preserve"> not </w:t>
      </w:r>
      <w:r w:rsidR="00AF06D2" w:rsidRPr="006C0089">
        <w:rPr>
          <w:b/>
        </w:rPr>
        <w:t xml:space="preserve">yet </w:t>
      </w:r>
      <w:r w:rsidRPr="006C0089">
        <w:rPr>
          <w:b/>
        </w:rPr>
        <w:t>achieved.</w:t>
      </w:r>
    </w:p>
    <w:p w14:paraId="0C03221C" w14:textId="3AE4E1E8" w:rsidR="005D00DB" w:rsidRPr="006C0089" w:rsidRDefault="007B4A5E" w:rsidP="00416387">
      <w:pPr>
        <w:pStyle w:val="BodyText"/>
      </w:pPr>
      <w:r w:rsidRPr="006C0089">
        <w:t>A</w:t>
      </w:r>
      <w:r w:rsidR="00F038E9" w:rsidRPr="006C0089">
        <w:t>s a result of</w:t>
      </w:r>
      <w:r w:rsidRPr="006C0089">
        <w:t xml:space="preserve"> my 2019 inspection, </w:t>
      </w:r>
      <w:r w:rsidR="00F038E9" w:rsidRPr="006C0089">
        <w:t>I stated</w:t>
      </w:r>
      <w:r w:rsidRPr="006C0089">
        <w:t xml:space="preserve"> </w:t>
      </w:r>
      <w:r w:rsidR="00F038E9" w:rsidRPr="006C0089">
        <w:rPr>
          <w:i/>
        </w:rPr>
        <w:t xml:space="preserve">‘I have </w:t>
      </w:r>
      <w:r w:rsidRPr="006C0089">
        <w:rPr>
          <w:i/>
        </w:rPr>
        <w:t>serious concerns about staff morale on the Unit. Staff, service users and others involved with the Unit all highlighted staff shortages and significant workload pressures. Nearly all staff spoken with by my Inspectors said that they did not feel listened to, supported, or valued by leadership on the Unit.</w:t>
      </w:r>
      <w:r w:rsidR="00F038E9" w:rsidRPr="006C0089">
        <w:rPr>
          <w:i/>
        </w:rPr>
        <w:t>’</w:t>
      </w:r>
      <w:r w:rsidRPr="006C0089">
        <w:t xml:space="preserve"> </w:t>
      </w:r>
    </w:p>
    <w:p w14:paraId="2983668B" w14:textId="752E4D51" w:rsidR="00F844E8" w:rsidRPr="006C0089" w:rsidRDefault="00C65590" w:rsidP="00416387">
      <w:pPr>
        <w:pStyle w:val="BodyText"/>
      </w:pPr>
      <w:r w:rsidRPr="006C0089">
        <w:t>At the time of my 2022 follow</w:t>
      </w:r>
      <w:r w:rsidR="00F038E9" w:rsidRPr="006C0089">
        <w:t xml:space="preserve"> </w:t>
      </w:r>
      <w:r w:rsidRPr="006C0089">
        <w:t>up inspection, the Unit had a reasonably new senior management team</w:t>
      </w:r>
      <w:r w:rsidR="00F038E9" w:rsidRPr="006C0089">
        <w:t>.</w:t>
      </w:r>
      <w:r w:rsidRPr="006C0089">
        <w:rPr>
          <w:rStyle w:val="FootnoteReference"/>
        </w:rPr>
        <w:footnoteReference w:id="24"/>
      </w:r>
      <w:r w:rsidRPr="006C0089">
        <w:t xml:space="preserve"> They</w:t>
      </w:r>
      <w:r w:rsidR="005D00DB" w:rsidRPr="006C0089">
        <w:t xml:space="preserve"> </w:t>
      </w:r>
      <w:r w:rsidR="003A7505" w:rsidRPr="006C0089">
        <w:t>advised I</w:t>
      </w:r>
      <w:r w:rsidR="0067069D" w:rsidRPr="006C0089">
        <w:t xml:space="preserve">nspectors that the Unit had struggled </w:t>
      </w:r>
      <w:r w:rsidR="00704FB9" w:rsidRPr="006C0089">
        <w:t xml:space="preserve">to </w:t>
      </w:r>
      <w:r w:rsidR="0067069D" w:rsidRPr="006C0089">
        <w:t>recruit</w:t>
      </w:r>
      <w:r w:rsidR="007B3D9D" w:rsidRPr="006C0089">
        <w:t xml:space="preserve"> </w:t>
      </w:r>
      <w:r w:rsidR="00704FB9" w:rsidRPr="006C0089">
        <w:t xml:space="preserve">enough </w:t>
      </w:r>
      <w:r w:rsidR="007B3D9D" w:rsidRPr="006C0089">
        <w:t>staff</w:t>
      </w:r>
      <w:r w:rsidR="00BC7A59" w:rsidRPr="006C0089">
        <w:t xml:space="preserve"> to address staff shortages</w:t>
      </w:r>
      <w:r w:rsidR="007B3D9D" w:rsidRPr="006C0089">
        <w:t xml:space="preserve">. </w:t>
      </w:r>
      <w:r w:rsidR="0046270F" w:rsidRPr="006C0089">
        <w:t>T</w:t>
      </w:r>
      <w:r w:rsidR="007B3D9D" w:rsidRPr="006C0089">
        <w:t>he Unit had</w:t>
      </w:r>
      <w:r w:rsidR="003A7505" w:rsidRPr="006C0089">
        <w:t xml:space="preserve"> vacancies for:</w:t>
      </w:r>
      <w:r w:rsidR="007B3D9D" w:rsidRPr="006C0089">
        <w:t xml:space="preserve"> 12.7 full-time equivalent (FTE) Registered Nurse</w:t>
      </w:r>
      <w:r w:rsidR="003A7505" w:rsidRPr="006C0089">
        <w:t>s (RN)</w:t>
      </w:r>
      <w:r w:rsidR="007B3D9D" w:rsidRPr="006C0089">
        <w:t>, 3.4</w:t>
      </w:r>
      <w:r w:rsidR="003A7505" w:rsidRPr="006C0089">
        <w:t xml:space="preserve"> FTE Cultural Advisors, </w:t>
      </w:r>
      <w:r w:rsidR="0067069D" w:rsidRPr="006C0089">
        <w:t xml:space="preserve">and </w:t>
      </w:r>
      <w:r w:rsidR="003A7505" w:rsidRPr="006C0089">
        <w:t>3.3 FTE Medical Staff/Senior Medical Officer</w:t>
      </w:r>
      <w:r w:rsidR="0004752B" w:rsidRPr="006C0089">
        <w:t>s</w:t>
      </w:r>
      <w:r w:rsidR="009207D3" w:rsidRPr="006C0089">
        <w:t>.</w:t>
      </w:r>
      <w:r w:rsidR="007B3D9D" w:rsidRPr="006C0089">
        <w:rPr>
          <w:rStyle w:val="FootnoteReference"/>
        </w:rPr>
        <w:footnoteReference w:id="25"/>
      </w:r>
      <w:r w:rsidR="007B3D9D" w:rsidRPr="006C0089">
        <w:t xml:space="preserve"> </w:t>
      </w:r>
    </w:p>
    <w:p w14:paraId="15E968BA" w14:textId="761E5E2D" w:rsidR="00761613" w:rsidRPr="006C0089" w:rsidRDefault="0046270F" w:rsidP="0046270F">
      <w:pPr>
        <w:pStyle w:val="BodyText"/>
      </w:pPr>
      <w:r w:rsidRPr="006C0089">
        <w:t xml:space="preserve">Inspectors were informed that the RN vacancies resulted in approximately </w:t>
      </w:r>
      <w:r w:rsidR="00A246B1" w:rsidRPr="006C0089">
        <w:t>18</w:t>
      </w:r>
      <w:r w:rsidRPr="006C0089">
        <w:t xml:space="preserve"> percent decreased nursing capacity. Inspectors were consistently told by staff that the impact of th</w:t>
      </w:r>
      <w:r w:rsidR="00761613" w:rsidRPr="006C0089">
        <w:t>is</w:t>
      </w:r>
      <w:r w:rsidRPr="006C0089">
        <w:t xml:space="preserve"> shortage included staff regularly working double shifts, staff fatigue, and occupational therapists being asked to cover nursing and health care assistant roles on the Unit. </w:t>
      </w:r>
    </w:p>
    <w:p w14:paraId="53E89F78" w14:textId="42F79E6B" w:rsidR="0046270F" w:rsidRPr="006C0089" w:rsidRDefault="00761613" w:rsidP="00416387">
      <w:pPr>
        <w:pStyle w:val="BodyText"/>
      </w:pPr>
      <w:r w:rsidRPr="006C0089">
        <w:t xml:space="preserve">As previously highlighted, staff shortages – due to staff illness from COVID-19 as well as recruitment challenges – had resulted in reduced bed numbers, to 28 from 35, and this reduced bed number was expected to continue in the near future. </w:t>
      </w:r>
    </w:p>
    <w:p w14:paraId="359E12BC" w14:textId="7A87B3EB" w:rsidR="0067069D" w:rsidRPr="006C0089" w:rsidRDefault="00BC7A59" w:rsidP="00416387">
      <w:pPr>
        <w:pStyle w:val="BodyText"/>
      </w:pPr>
      <w:r w:rsidRPr="006C0089">
        <w:t xml:space="preserve">Data provided by the Unit at the time of my 2019 inspection showed </w:t>
      </w:r>
      <w:r w:rsidR="00F21F52" w:rsidRPr="006C0089">
        <w:t>only</w:t>
      </w:r>
      <w:r w:rsidRPr="006C0089">
        <w:t xml:space="preserve"> RN turnover in 2018/19</w:t>
      </w:r>
      <w:r w:rsidR="00F21F52" w:rsidRPr="006C0089">
        <w:t>,</w:t>
      </w:r>
      <w:r w:rsidRPr="006C0089">
        <w:t xml:space="preserve"> </w:t>
      </w:r>
      <w:r w:rsidR="00F21F52" w:rsidRPr="006C0089">
        <w:t xml:space="preserve">which </w:t>
      </w:r>
      <w:r w:rsidRPr="006C0089">
        <w:t>was 17 percent</w:t>
      </w:r>
      <w:r w:rsidR="00F038E9" w:rsidRPr="006C0089">
        <w:t>.</w:t>
      </w:r>
      <w:r w:rsidRPr="006C0089">
        <w:t xml:space="preserve"> </w:t>
      </w:r>
      <w:r w:rsidR="00F038E9" w:rsidRPr="006C0089">
        <w:t xml:space="preserve">Data </w:t>
      </w:r>
      <w:r w:rsidR="00AC16AF" w:rsidRPr="006C0089">
        <w:t xml:space="preserve">for the </w:t>
      </w:r>
      <w:r w:rsidR="0004752B" w:rsidRPr="006C0089">
        <w:t>six</w:t>
      </w:r>
      <w:r w:rsidR="00AC16AF" w:rsidRPr="006C0089">
        <w:t xml:space="preserve"> month reporting period of February</w:t>
      </w:r>
      <w:r w:rsidR="00520288" w:rsidRPr="006C0089">
        <w:t xml:space="preserve"> 2022</w:t>
      </w:r>
      <w:r w:rsidR="00AC16AF" w:rsidRPr="006C0089">
        <w:t xml:space="preserve"> to July 2022, showed the Unit had an average staff turnover rate of 5.3</w:t>
      </w:r>
      <w:r w:rsidR="00704FB9" w:rsidRPr="006C0089">
        <w:t xml:space="preserve"> percent</w:t>
      </w:r>
      <w:r w:rsidR="00012DEC" w:rsidRPr="006C0089">
        <w:t>.</w:t>
      </w:r>
    </w:p>
    <w:p w14:paraId="6D6F832C" w14:textId="1104EB8D" w:rsidR="002D3088" w:rsidRPr="006C0089" w:rsidRDefault="002D3088" w:rsidP="002D3088">
      <w:pPr>
        <w:pStyle w:val="BodyText"/>
      </w:pPr>
      <w:r w:rsidRPr="006C0089">
        <w:t xml:space="preserve">In response to my provisional report, the Ministry of Health advised that staffing challenges are a national issue for mental health services and that they were concerned that staffing shortages have impacted on the safety and treatment of tāngata whai ora. They also stated  that they would continue to monitor this situation </w:t>
      </w:r>
      <w:r w:rsidR="00367582" w:rsidRPr="006C0089">
        <w:t xml:space="preserve">with </w:t>
      </w:r>
      <w:r w:rsidR="00872F1B">
        <w:t>l</w:t>
      </w:r>
      <w:r w:rsidRPr="006C0089">
        <w:t xml:space="preserve">ocal </w:t>
      </w:r>
      <w:r w:rsidR="006B0C57" w:rsidRPr="006C0089">
        <w:t>D</w:t>
      </w:r>
      <w:r w:rsidRPr="006C0089">
        <w:t xml:space="preserve">istrict </w:t>
      </w:r>
      <w:r w:rsidR="006B0C57" w:rsidRPr="006C0089">
        <w:t>I</w:t>
      </w:r>
      <w:r w:rsidRPr="006C0089">
        <w:t xml:space="preserve">nspectors.  </w:t>
      </w:r>
    </w:p>
    <w:p w14:paraId="73B94378" w14:textId="48DE7C50" w:rsidR="00761613" w:rsidRPr="006C0089" w:rsidRDefault="00367582" w:rsidP="00994D9D">
      <w:pPr>
        <w:pStyle w:val="BodyText"/>
      </w:pPr>
      <w:r w:rsidRPr="006C0089">
        <w:t>My I</w:t>
      </w:r>
      <w:r w:rsidR="007A6B64" w:rsidRPr="006C0089">
        <w:t xml:space="preserve">nspectors received mixed feedback from staff about </w:t>
      </w:r>
      <w:r w:rsidR="006670F2" w:rsidRPr="006C0089">
        <w:t xml:space="preserve">their </w:t>
      </w:r>
      <w:r w:rsidR="007A6B64" w:rsidRPr="006C0089">
        <w:t>morale levels</w:t>
      </w:r>
      <w:r w:rsidR="0067069D" w:rsidRPr="006C0089">
        <w:t xml:space="preserve">. </w:t>
      </w:r>
      <w:r w:rsidR="00AC16AF" w:rsidRPr="006C0089">
        <w:t xml:space="preserve">Some </w:t>
      </w:r>
      <w:r w:rsidR="0067069D" w:rsidRPr="006C0089">
        <w:t xml:space="preserve">staff </w:t>
      </w:r>
      <w:r w:rsidR="00AC16AF" w:rsidRPr="006C0089">
        <w:t xml:space="preserve">said </w:t>
      </w:r>
      <w:r w:rsidR="0067069D" w:rsidRPr="006C0089">
        <w:t>they believ</w:t>
      </w:r>
      <w:r w:rsidR="00AC16AF" w:rsidRPr="006C0089">
        <w:t xml:space="preserve">ed that </w:t>
      </w:r>
      <w:r w:rsidR="005D00DB" w:rsidRPr="006C0089">
        <w:t xml:space="preserve">the new </w:t>
      </w:r>
      <w:r w:rsidR="00AC16AF" w:rsidRPr="006C0089">
        <w:t xml:space="preserve">senior management </w:t>
      </w:r>
      <w:r w:rsidR="005D00DB" w:rsidRPr="006C0089">
        <w:t xml:space="preserve">team </w:t>
      </w:r>
      <w:r w:rsidR="00AC16AF" w:rsidRPr="006C0089">
        <w:t xml:space="preserve">were </w:t>
      </w:r>
      <w:r w:rsidR="00AC16AF" w:rsidRPr="006C0089">
        <w:rPr>
          <w:i/>
        </w:rPr>
        <w:t>‘</w:t>
      </w:r>
      <w:r w:rsidR="0067069D" w:rsidRPr="006C0089">
        <w:rPr>
          <w:i/>
        </w:rPr>
        <w:t>doing their best</w:t>
      </w:r>
      <w:r w:rsidR="00AC16AF" w:rsidRPr="006C0089">
        <w:rPr>
          <w:i/>
        </w:rPr>
        <w:t>’</w:t>
      </w:r>
      <w:r w:rsidR="00AC16AF" w:rsidRPr="006C0089">
        <w:t xml:space="preserve"> </w:t>
      </w:r>
      <w:r w:rsidR="0067069D" w:rsidRPr="006C0089">
        <w:t>to move in the right</w:t>
      </w:r>
      <w:r w:rsidR="00AC16AF" w:rsidRPr="006C0089">
        <w:t xml:space="preserve"> direction, within constraints.</w:t>
      </w:r>
      <w:r w:rsidR="00E30650" w:rsidRPr="006C0089">
        <w:t xml:space="preserve"> </w:t>
      </w:r>
      <w:r w:rsidR="00AC16AF" w:rsidRPr="006C0089">
        <w:t>Other staff expressed frustration and concern that morale and fatigue issues were impacting on the treatment and quality of care provided to t</w:t>
      </w:r>
      <w:r w:rsidR="00AC16AF" w:rsidRPr="006C0089">
        <w:rPr>
          <w:rFonts w:cs="Calibri"/>
        </w:rPr>
        <w:t>ā</w:t>
      </w:r>
      <w:r w:rsidR="00AC16AF" w:rsidRPr="006C0089">
        <w:t>ngata whai ora</w:t>
      </w:r>
      <w:r w:rsidR="006670F2" w:rsidRPr="006C0089">
        <w:t xml:space="preserve">. </w:t>
      </w:r>
    </w:p>
    <w:p w14:paraId="649A4AD1" w14:textId="607E98D0" w:rsidR="0071111C" w:rsidRPr="006C0089" w:rsidRDefault="006670F2" w:rsidP="00994D9D">
      <w:pPr>
        <w:pStyle w:val="BodyText"/>
      </w:pPr>
      <w:r w:rsidRPr="006C0089">
        <w:t>A</w:t>
      </w:r>
      <w:r w:rsidR="007A6B64" w:rsidRPr="006C0089">
        <w:t xml:space="preserve"> </w:t>
      </w:r>
      <w:r w:rsidR="00AC16AF" w:rsidRPr="006C0089">
        <w:t xml:space="preserve">staff member </w:t>
      </w:r>
      <w:r w:rsidRPr="006C0089">
        <w:t>told Inspectors that</w:t>
      </w:r>
      <w:r w:rsidR="007A6B64" w:rsidRPr="006C0089">
        <w:t xml:space="preserve"> </w:t>
      </w:r>
      <w:r w:rsidR="00472341" w:rsidRPr="006C0089">
        <w:t xml:space="preserve">they believed that </w:t>
      </w:r>
      <w:r w:rsidRPr="006C0089">
        <w:t xml:space="preserve">morale and fatigue </w:t>
      </w:r>
      <w:r w:rsidR="00AC16AF" w:rsidRPr="006C0089">
        <w:t xml:space="preserve">could be </w:t>
      </w:r>
      <w:r w:rsidR="007A6B64" w:rsidRPr="006C0089">
        <w:t xml:space="preserve">impacting the use </w:t>
      </w:r>
      <w:r w:rsidR="00AC16AF" w:rsidRPr="006C0089">
        <w:t>of restrictive practices, such as seclusion and restraint, because there was less ability to take ‘</w:t>
      </w:r>
      <w:r w:rsidR="00AC16AF" w:rsidRPr="006C0089">
        <w:rPr>
          <w:i/>
        </w:rPr>
        <w:t>preventive measures</w:t>
      </w:r>
      <w:r w:rsidR="00AC16AF" w:rsidRPr="006C0089">
        <w:t xml:space="preserve">’. </w:t>
      </w:r>
    </w:p>
    <w:p w14:paraId="2840C86E" w14:textId="3C350ED4" w:rsidR="007A6B64" w:rsidRPr="006C0089" w:rsidRDefault="00761613" w:rsidP="00994D9D">
      <w:pPr>
        <w:pStyle w:val="BodyText"/>
      </w:pPr>
      <w:r w:rsidRPr="006C0089">
        <w:t>S</w:t>
      </w:r>
      <w:r w:rsidR="0039768B" w:rsidRPr="006C0089">
        <w:t xml:space="preserve">eclusion paperwork </w:t>
      </w:r>
      <w:r w:rsidRPr="006C0089">
        <w:t xml:space="preserve">made </w:t>
      </w:r>
      <w:r w:rsidR="0039768B" w:rsidRPr="006C0089">
        <w:t xml:space="preserve">reference to </w:t>
      </w:r>
      <w:r w:rsidR="0071111C" w:rsidRPr="006C0089">
        <w:t xml:space="preserve">staff numbers and fatigue </w:t>
      </w:r>
      <w:r w:rsidR="0048018E" w:rsidRPr="006C0089">
        <w:t>in seclusion practice</w:t>
      </w:r>
      <w:r w:rsidR="0039768B" w:rsidRPr="006C0089">
        <w:t>.</w:t>
      </w:r>
      <w:r w:rsidR="0071111C" w:rsidRPr="006C0089">
        <w:t xml:space="preserve"> </w:t>
      </w:r>
      <w:r w:rsidR="0039768B" w:rsidRPr="006C0089">
        <w:t xml:space="preserve">As </w:t>
      </w:r>
      <w:r w:rsidR="00E6649B" w:rsidRPr="006C0089">
        <w:t xml:space="preserve">discussed </w:t>
      </w:r>
      <w:r w:rsidR="0039768B" w:rsidRPr="006C0089">
        <w:t>in recommendation two, c</w:t>
      </w:r>
      <w:r w:rsidR="0071111C" w:rsidRPr="006C0089">
        <w:t>linical notes recorded ‘</w:t>
      </w:r>
      <w:r w:rsidR="0071111C" w:rsidRPr="006C0089">
        <w:rPr>
          <w:i/>
        </w:rPr>
        <w:t>staffing levels’</w:t>
      </w:r>
      <w:r w:rsidR="0048018E" w:rsidRPr="006C0089">
        <w:t xml:space="preserve"> in a number of instances </w:t>
      </w:r>
      <w:r w:rsidR="0071111C" w:rsidRPr="006C0089">
        <w:t xml:space="preserve">were compromising the ability to complete </w:t>
      </w:r>
      <w:r w:rsidR="0039768B" w:rsidRPr="006C0089">
        <w:t xml:space="preserve">timely </w:t>
      </w:r>
      <w:r w:rsidR="0071111C" w:rsidRPr="006C0089">
        <w:t>seclusion room entries. The seclusion panel also queried whether staffing was a factor in the use of seclusion</w:t>
      </w:r>
      <w:r w:rsidR="0039768B" w:rsidRPr="006C0089">
        <w:t xml:space="preserve"> in two separate events</w:t>
      </w:r>
      <w:r w:rsidR="0071111C" w:rsidRPr="006C0089">
        <w:t>: ‘</w:t>
      </w:r>
      <w:r w:rsidR="0071111C" w:rsidRPr="006C0089">
        <w:rPr>
          <w:rStyle w:val="Quotationwithinthesentence"/>
        </w:rPr>
        <w:t>On night shift there is less staff and since [tangata whai ora] was very unpredictable this could be a factor in seclusion.</w:t>
      </w:r>
      <w:r w:rsidR="0039768B" w:rsidRPr="006C0089">
        <w:rPr>
          <w:rStyle w:val="Quotationwithinthesentence"/>
        </w:rPr>
        <w:t xml:space="preserve">’ </w:t>
      </w:r>
      <w:r w:rsidR="0039768B" w:rsidRPr="006C0089">
        <w:t>and</w:t>
      </w:r>
      <w:r w:rsidR="0071111C" w:rsidRPr="006C0089">
        <w:rPr>
          <w:rStyle w:val="Quotationwithinthesentence"/>
          <w:i w:val="0"/>
        </w:rPr>
        <w:t xml:space="preserve"> </w:t>
      </w:r>
      <w:r w:rsidR="0071111C" w:rsidRPr="006C0089">
        <w:rPr>
          <w:rStyle w:val="Quotationwithinthesentence"/>
        </w:rPr>
        <w:t>‘</w:t>
      </w:r>
      <w:r w:rsidR="0039768B" w:rsidRPr="006C0089">
        <w:rPr>
          <w:rStyle w:val="Quotationwithinthesentence"/>
        </w:rPr>
        <w:t>b</w:t>
      </w:r>
      <w:r w:rsidR="0071111C" w:rsidRPr="006C0089">
        <w:rPr>
          <w:rStyle w:val="Quotationwithinthesentence"/>
        </w:rPr>
        <w:t>e mindful of night shift staff being tired in early hours of the morning.’</w:t>
      </w:r>
    </w:p>
    <w:p w14:paraId="34DAF27E" w14:textId="3FD1907F" w:rsidR="00AC16AF" w:rsidRPr="006C0089" w:rsidRDefault="00AC16AF" w:rsidP="00994D9D">
      <w:pPr>
        <w:pStyle w:val="BodyText"/>
        <w:rPr>
          <w:i/>
        </w:rPr>
      </w:pPr>
      <w:r w:rsidRPr="006C0089">
        <w:t>Inspectors were also informed by staff that a</w:t>
      </w:r>
      <w:r w:rsidR="00AE044C" w:rsidRPr="006C0089">
        <w:t xml:space="preserve"> number of independent reviews of the Unit</w:t>
      </w:r>
      <w:r w:rsidRPr="006C0089">
        <w:rPr>
          <w:rStyle w:val="FootnoteReference"/>
        </w:rPr>
        <w:footnoteReference w:id="26"/>
      </w:r>
      <w:r w:rsidRPr="006C0089">
        <w:t xml:space="preserve"> </w:t>
      </w:r>
      <w:r w:rsidR="00994D9D" w:rsidRPr="006C0089">
        <w:t xml:space="preserve">had </w:t>
      </w:r>
      <w:r w:rsidRPr="006C0089">
        <w:t xml:space="preserve">resulted </w:t>
      </w:r>
      <w:r w:rsidR="00F844E8" w:rsidRPr="006C0089">
        <w:t>in some clinical staff feeling</w:t>
      </w:r>
      <w:r w:rsidR="00994D9D" w:rsidRPr="006C0089">
        <w:t xml:space="preserve"> ‘damaged’</w:t>
      </w:r>
      <w:r w:rsidRPr="006C0089">
        <w:t xml:space="preserve"> from the scrutiny</w:t>
      </w:r>
      <w:r w:rsidR="00AE044C" w:rsidRPr="006C0089">
        <w:t>.</w:t>
      </w:r>
      <w:r w:rsidR="00E6649B" w:rsidRPr="006C0089">
        <w:t xml:space="preserve"> </w:t>
      </w:r>
      <w:r w:rsidR="00704FB9" w:rsidRPr="006C0089">
        <w:t>They said</w:t>
      </w:r>
      <w:r w:rsidR="006670F2" w:rsidRPr="006C0089">
        <w:t xml:space="preserve"> this</w:t>
      </w:r>
      <w:r w:rsidRPr="006C0089">
        <w:t xml:space="preserve"> </w:t>
      </w:r>
      <w:r w:rsidR="00994D9D" w:rsidRPr="006C0089">
        <w:t>had</w:t>
      </w:r>
      <w:r w:rsidRPr="006C0089">
        <w:t xml:space="preserve"> imp</w:t>
      </w:r>
      <w:r w:rsidR="00994D9D" w:rsidRPr="006C0089">
        <w:t>acted</w:t>
      </w:r>
      <w:r w:rsidRPr="006C0089">
        <w:t xml:space="preserve"> practices, in</w:t>
      </w:r>
      <w:r w:rsidR="00994D9D" w:rsidRPr="006C0089">
        <w:t>cluding being very risk averse</w:t>
      </w:r>
      <w:r w:rsidR="0004752B" w:rsidRPr="006C0089">
        <w:t>:</w:t>
      </w:r>
      <w:r w:rsidR="00994D9D" w:rsidRPr="006C0089">
        <w:t xml:space="preserve"> </w:t>
      </w:r>
      <w:r w:rsidRPr="006C0089">
        <w:t>‘</w:t>
      </w:r>
      <w:r w:rsidRPr="006C0089">
        <w:rPr>
          <w:i/>
        </w:rPr>
        <w:t>It seems like a lot of restrictive practices are in place for fear of being judged if something goes wrong</w:t>
      </w:r>
      <w:r w:rsidR="00994D9D" w:rsidRPr="006C0089">
        <w:rPr>
          <w:i/>
        </w:rPr>
        <w:t>.</w:t>
      </w:r>
      <w:r w:rsidR="00872F1B">
        <w:rPr>
          <w:i/>
        </w:rPr>
        <w:t>’</w:t>
      </w:r>
    </w:p>
    <w:p w14:paraId="7B3F1B75" w14:textId="79BEEC60" w:rsidR="00C65590" w:rsidRPr="006C0089" w:rsidRDefault="00C65590" w:rsidP="00C65590">
      <w:pPr>
        <w:pStyle w:val="BodyText"/>
      </w:pPr>
      <w:r w:rsidRPr="006C0089">
        <w:t>Senior management advised Inspectors of a number of steps they had taken to address staff morale</w:t>
      </w:r>
      <w:r w:rsidR="00D70093" w:rsidRPr="006C0089">
        <w:t>, fatigue</w:t>
      </w:r>
      <w:r w:rsidRPr="006C0089">
        <w:t xml:space="preserve"> and staffing shortages. These included reduced bed numbers (as discussed in the Facility facts section of this report), as well as the employment of eight graduate nurses. The Unit intended to maintain the reduced bed numbers while the new graduates orientated to the Unit. Onsite EAP support had also been arranged for staff. </w:t>
      </w:r>
    </w:p>
    <w:p w14:paraId="2C7F0800" w14:textId="21DF48B0" w:rsidR="00C8442B" w:rsidRPr="006C0089" w:rsidRDefault="00D9021C" w:rsidP="00C65590">
      <w:pPr>
        <w:pStyle w:val="BodyText"/>
        <w:rPr>
          <w:szCs w:val="24"/>
        </w:rPr>
      </w:pPr>
      <w:r w:rsidRPr="006C0089">
        <w:t>Senior management also spoke of how they were aware COVID-19 had also impacted staff morale negatively and were experiencing the ‘</w:t>
      </w:r>
      <w:r w:rsidRPr="006C0089">
        <w:rPr>
          <w:rStyle w:val="Quotationwithinthesentence"/>
        </w:rPr>
        <w:t>longer term effects now’</w:t>
      </w:r>
      <w:r w:rsidRPr="006C0089">
        <w:t>. They told Inspectors they were ‘</w:t>
      </w:r>
      <w:r w:rsidRPr="006C0089">
        <w:rPr>
          <w:rStyle w:val="Quotationwithinthesentence"/>
        </w:rPr>
        <w:t>looking at ways of supporting staff resilience’</w:t>
      </w:r>
      <w:r w:rsidRPr="006C0089">
        <w:rPr>
          <w:rStyle w:val="Quotationwithinthesentence"/>
          <w:i w:val="0"/>
        </w:rPr>
        <w:t xml:space="preserve">, such as employing a clinical coach and a new nurse educator. </w:t>
      </w:r>
      <w:r w:rsidRPr="006C0089">
        <w:t xml:space="preserve">Senior management were also actively monitoring the levels of staff working double shifts and placing limits on this. </w:t>
      </w:r>
      <w:r w:rsidR="00C8442B" w:rsidRPr="006C0089">
        <w:t xml:space="preserve">In </w:t>
      </w:r>
      <w:r w:rsidR="00730164" w:rsidRPr="006C0089">
        <w:t>response to</w:t>
      </w:r>
      <w:r w:rsidR="004A7973" w:rsidRPr="006C0089">
        <w:t xml:space="preserve"> </w:t>
      </w:r>
      <w:r w:rsidR="00C8442B" w:rsidRPr="006C0089">
        <w:t xml:space="preserve">my </w:t>
      </w:r>
      <w:r w:rsidR="00C8442B" w:rsidRPr="006C0089">
        <w:rPr>
          <w:szCs w:val="24"/>
        </w:rPr>
        <w:t xml:space="preserve">provisional report, Te Whatu Ora </w:t>
      </w:r>
      <w:r w:rsidR="00C342A0" w:rsidRPr="006C0089">
        <w:rPr>
          <w:szCs w:val="24"/>
        </w:rPr>
        <w:t xml:space="preserve">advised </w:t>
      </w:r>
      <w:r w:rsidR="00C8442B" w:rsidRPr="006C0089">
        <w:rPr>
          <w:szCs w:val="24"/>
        </w:rPr>
        <w:t>that</w:t>
      </w:r>
      <w:r w:rsidR="00C342A0" w:rsidRPr="006C0089">
        <w:rPr>
          <w:szCs w:val="24"/>
        </w:rPr>
        <w:t xml:space="preserve"> they </w:t>
      </w:r>
      <w:r w:rsidR="00C916F9" w:rsidRPr="006C0089">
        <w:rPr>
          <w:szCs w:val="24"/>
        </w:rPr>
        <w:t>h</w:t>
      </w:r>
      <w:r w:rsidR="00C342A0" w:rsidRPr="006C0089">
        <w:rPr>
          <w:szCs w:val="24"/>
        </w:rPr>
        <w:t>ave taken</w:t>
      </w:r>
      <w:r w:rsidR="00C8442B" w:rsidRPr="006C0089">
        <w:rPr>
          <w:szCs w:val="24"/>
        </w:rPr>
        <w:t xml:space="preserve"> a number of actions to support staff, including</w:t>
      </w:r>
      <w:r w:rsidR="00C342A0" w:rsidRPr="006C0089">
        <w:rPr>
          <w:szCs w:val="24"/>
        </w:rPr>
        <w:t xml:space="preserve"> ‘</w:t>
      </w:r>
      <w:r w:rsidR="00C342A0" w:rsidRPr="006C0089">
        <w:rPr>
          <w:rFonts w:cs="Calibri"/>
          <w:i/>
          <w:color w:val="000000"/>
          <w:szCs w:val="24"/>
        </w:rPr>
        <w:t xml:space="preserve">Increased senior leadership roles across the Adult Mental Health team to provide greater oversight, accessibility and support’ </w:t>
      </w:r>
      <w:r w:rsidR="00C342A0" w:rsidRPr="006C0089">
        <w:rPr>
          <w:rFonts w:cs="Calibri"/>
          <w:color w:val="000000"/>
          <w:szCs w:val="24"/>
        </w:rPr>
        <w:t>and</w:t>
      </w:r>
      <w:r w:rsidR="00C342A0" w:rsidRPr="006C0089">
        <w:rPr>
          <w:rFonts w:cs="Calibri"/>
          <w:i/>
          <w:color w:val="000000"/>
          <w:szCs w:val="24"/>
        </w:rPr>
        <w:t xml:space="preserve"> ‘Providing access to supervision for all staff and career progression and planning sessions</w:t>
      </w:r>
      <w:r w:rsidR="00C916F9" w:rsidRPr="006C0089">
        <w:rPr>
          <w:rFonts w:cs="Calibri"/>
          <w:i/>
          <w:color w:val="000000"/>
          <w:szCs w:val="24"/>
        </w:rPr>
        <w:t>.’</w:t>
      </w:r>
    </w:p>
    <w:p w14:paraId="4B6F02CD" w14:textId="28BD8B95" w:rsidR="00C8442B" w:rsidRPr="006C0089" w:rsidRDefault="00C8442B" w:rsidP="00994D9D">
      <w:pPr>
        <w:pStyle w:val="BodyText"/>
      </w:pPr>
      <w:r w:rsidRPr="006C0089">
        <w:t xml:space="preserve">Te Whatu </w:t>
      </w:r>
      <w:r w:rsidRPr="006C0089">
        <w:rPr>
          <w:szCs w:val="24"/>
        </w:rPr>
        <w:t xml:space="preserve">Ora also </w:t>
      </w:r>
      <w:r w:rsidR="00730164" w:rsidRPr="006C0089">
        <w:rPr>
          <w:szCs w:val="24"/>
        </w:rPr>
        <w:t xml:space="preserve">advised that </w:t>
      </w:r>
      <w:r w:rsidRPr="006C0089">
        <w:rPr>
          <w:szCs w:val="24"/>
        </w:rPr>
        <w:t>‘</w:t>
      </w:r>
      <w:r w:rsidRPr="006C0089">
        <w:rPr>
          <w:i/>
          <w:szCs w:val="24"/>
        </w:rPr>
        <w:t>the Care Capacity Demand Management approach has been fully implemented in the unit. This includes the formation of a data council to identify and respond to any issues in relation to overtime, sickness and incidents. A variance response management process is also in place, which includes a shift-to-shift indicator board identifying staffing issues and outlining the escalation process to respond</w:t>
      </w:r>
      <w:r w:rsidRPr="006C0089">
        <w:rPr>
          <w:szCs w:val="24"/>
        </w:rPr>
        <w:t>.’</w:t>
      </w:r>
    </w:p>
    <w:p w14:paraId="62BFBFB9" w14:textId="06DA92DE" w:rsidR="00520288" w:rsidRPr="006C0089" w:rsidRDefault="00EB1962" w:rsidP="0055678D">
      <w:pPr>
        <w:pStyle w:val="BodyText"/>
      </w:pPr>
      <w:r w:rsidRPr="006C0089">
        <w:t xml:space="preserve">I am encouraged by the </w:t>
      </w:r>
      <w:r w:rsidR="0067069D" w:rsidRPr="006C0089">
        <w:t xml:space="preserve">proactive steps taken </w:t>
      </w:r>
      <w:r w:rsidR="00BC7A59" w:rsidRPr="006C0089">
        <w:t xml:space="preserve">by the new senior management team </w:t>
      </w:r>
      <w:r w:rsidR="0067069D" w:rsidRPr="006C0089">
        <w:t>to improve morale and re</w:t>
      </w:r>
      <w:r w:rsidR="003A7505" w:rsidRPr="006C0089">
        <w:t xml:space="preserve">duce </w:t>
      </w:r>
      <w:r w:rsidRPr="006C0089">
        <w:t>staff turnover. Howe</w:t>
      </w:r>
      <w:r w:rsidR="00F844E8" w:rsidRPr="006C0089">
        <w:t xml:space="preserve">ver, </w:t>
      </w:r>
      <w:r w:rsidR="00951918" w:rsidRPr="006C0089">
        <w:t xml:space="preserve">I am </w:t>
      </w:r>
      <w:r w:rsidR="00D70093" w:rsidRPr="006C0089">
        <w:t xml:space="preserve">also </w:t>
      </w:r>
      <w:r w:rsidR="00951918" w:rsidRPr="006C0089">
        <w:t>concerned at the risks identified</w:t>
      </w:r>
      <w:r w:rsidR="00F844E8" w:rsidRPr="006C0089">
        <w:t xml:space="preserve"> that staff</w:t>
      </w:r>
      <w:r w:rsidR="00701CE3" w:rsidRPr="006C0089">
        <w:t>ing levels, fatigue and</w:t>
      </w:r>
      <w:r w:rsidRPr="006C0089">
        <w:t xml:space="preserve"> </w:t>
      </w:r>
      <w:r w:rsidR="0067069D" w:rsidRPr="006C0089">
        <w:t xml:space="preserve">morale </w:t>
      </w:r>
      <w:r w:rsidR="00951918" w:rsidRPr="006C0089">
        <w:t>could be</w:t>
      </w:r>
      <w:r w:rsidRPr="006C0089">
        <w:t xml:space="preserve"> impacting on the treatment and quality of care provided to t</w:t>
      </w:r>
      <w:r w:rsidRPr="006C0089">
        <w:rPr>
          <w:rFonts w:cs="Calibri"/>
        </w:rPr>
        <w:t>ā</w:t>
      </w:r>
      <w:r w:rsidRPr="006C0089">
        <w:t xml:space="preserve">ngata whai ora. </w:t>
      </w:r>
      <w:r w:rsidR="001A496A" w:rsidRPr="006C0089">
        <w:t xml:space="preserve">I therefore </w:t>
      </w:r>
      <w:r w:rsidR="00701CE3" w:rsidRPr="006C0089">
        <w:t>mak</w:t>
      </w:r>
      <w:r w:rsidR="00FA2A08" w:rsidRPr="006C0089">
        <w:t>e</w:t>
      </w:r>
      <w:r w:rsidR="00701CE3" w:rsidRPr="006C0089">
        <w:t xml:space="preserve"> an </w:t>
      </w:r>
      <w:r w:rsidR="00701CE3" w:rsidRPr="006C0089">
        <w:rPr>
          <w:b/>
        </w:rPr>
        <w:t xml:space="preserve">amended </w:t>
      </w:r>
      <w:r w:rsidR="00845BDB" w:rsidRPr="006C0089">
        <w:rPr>
          <w:b/>
        </w:rPr>
        <w:t xml:space="preserve">repeat </w:t>
      </w:r>
      <w:r w:rsidR="00701CE3" w:rsidRPr="006C0089">
        <w:rPr>
          <w:b/>
        </w:rPr>
        <w:t>recommendation,</w:t>
      </w:r>
      <w:r w:rsidR="007F5C28" w:rsidRPr="006C0089">
        <w:rPr>
          <w:b/>
        </w:rPr>
        <w:t xml:space="preserve"> that</w:t>
      </w:r>
      <w:r w:rsidR="00701CE3" w:rsidRPr="006C0089">
        <w:rPr>
          <w:b/>
        </w:rPr>
        <w:t xml:space="preserve"> </w:t>
      </w:r>
      <w:r w:rsidR="007F5C28" w:rsidRPr="006C0089">
        <w:rPr>
          <w:b/>
        </w:rPr>
        <w:t xml:space="preserve">Unit management and </w:t>
      </w:r>
      <w:r w:rsidR="00701CE3" w:rsidRPr="006C0089">
        <w:rPr>
          <w:b/>
        </w:rPr>
        <w:t xml:space="preserve">Te Whatu Ora </w:t>
      </w:r>
      <w:r w:rsidR="00FD55A8" w:rsidRPr="006C0089">
        <w:rPr>
          <w:b/>
        </w:rPr>
        <w:t xml:space="preserve">ensure that </w:t>
      </w:r>
      <w:r w:rsidR="00265125" w:rsidRPr="006C0089">
        <w:rPr>
          <w:b/>
        </w:rPr>
        <w:t>staffing levels</w:t>
      </w:r>
      <w:r w:rsidR="00FD55A8" w:rsidRPr="006C0089">
        <w:rPr>
          <w:b/>
        </w:rPr>
        <w:t xml:space="preserve"> do not negatively impact on</w:t>
      </w:r>
      <w:r w:rsidR="00B23855" w:rsidRPr="006C0089">
        <w:rPr>
          <w:b/>
        </w:rPr>
        <w:t xml:space="preserve"> staff or on</w:t>
      </w:r>
      <w:r w:rsidR="00FD55A8" w:rsidRPr="006C0089">
        <w:rPr>
          <w:b/>
        </w:rPr>
        <w:t xml:space="preserve"> the </w:t>
      </w:r>
      <w:r w:rsidR="00701CE3" w:rsidRPr="006C0089">
        <w:rPr>
          <w:b/>
        </w:rPr>
        <w:t>safety, dignity</w:t>
      </w:r>
      <w:r w:rsidR="00BD5AC3" w:rsidRPr="006C0089">
        <w:rPr>
          <w:b/>
        </w:rPr>
        <w:t>,</w:t>
      </w:r>
      <w:r w:rsidR="00701CE3" w:rsidRPr="006C0089">
        <w:rPr>
          <w:b/>
        </w:rPr>
        <w:t xml:space="preserve"> </w:t>
      </w:r>
      <w:r w:rsidR="000404FB" w:rsidRPr="006C0089">
        <w:rPr>
          <w:b/>
        </w:rPr>
        <w:t xml:space="preserve">and </w:t>
      </w:r>
      <w:r w:rsidR="00701CE3" w:rsidRPr="006C0089">
        <w:rPr>
          <w:b/>
        </w:rPr>
        <w:t>wellbeing of tāngata whai ora</w:t>
      </w:r>
      <w:r w:rsidR="00F25FF7" w:rsidRPr="006C0089">
        <w:t>.</w:t>
      </w:r>
    </w:p>
    <w:p w14:paraId="0B70E47F" w14:textId="4A5CA627" w:rsidR="00102EBF" w:rsidRPr="006C0089" w:rsidRDefault="00102EBF" w:rsidP="00102EBF">
      <w:pPr>
        <w:pStyle w:val="Heading2"/>
      </w:pPr>
      <w:bookmarkStart w:id="44" w:name="_Toc118284747"/>
      <w:bookmarkStart w:id="45" w:name="_Toc170115755"/>
      <w:r w:rsidRPr="006C0089">
        <w:t>Additional observation</w:t>
      </w:r>
      <w:r w:rsidR="00AF4F9A" w:rsidRPr="006C0089">
        <w:t>s</w:t>
      </w:r>
      <w:r w:rsidRPr="006C0089">
        <w:t xml:space="preserve"> from 2022 </w:t>
      </w:r>
      <w:r w:rsidR="00E10DCC" w:rsidRPr="006C0089">
        <w:t xml:space="preserve">follow up </w:t>
      </w:r>
      <w:r w:rsidRPr="006C0089">
        <w:t>inspection</w:t>
      </w:r>
      <w:bookmarkEnd w:id="44"/>
      <w:bookmarkEnd w:id="45"/>
    </w:p>
    <w:p w14:paraId="4BD482A9" w14:textId="4FCBE13B" w:rsidR="00864CFC" w:rsidRPr="006C0089" w:rsidRDefault="00864CFC" w:rsidP="00864CFC">
      <w:pPr>
        <w:pStyle w:val="BodyText"/>
      </w:pPr>
      <w:r w:rsidRPr="006C0089">
        <w:t xml:space="preserve">I discuss my concerns </w:t>
      </w:r>
      <w:r w:rsidR="000B47C5" w:rsidRPr="006C0089">
        <w:t xml:space="preserve">regarding </w:t>
      </w:r>
      <w:r w:rsidRPr="006C0089">
        <w:t>seclusion documentation earlier in my report</w:t>
      </w:r>
      <w:r w:rsidR="00456EA9" w:rsidRPr="006C0089">
        <w:t>,</w:t>
      </w:r>
      <w:r w:rsidRPr="006C0089">
        <w:t xml:space="preserve"> in relation to recommendation four. However, my follow up inspection</w:t>
      </w:r>
      <w:r w:rsidR="000B47C5" w:rsidRPr="006C0089">
        <w:t xml:space="preserve"> has</w:t>
      </w:r>
      <w:r w:rsidRPr="006C0089">
        <w:t xml:space="preserve"> also identified additional concerns relating to seclusion and restraint practices at the Unit. </w:t>
      </w:r>
    </w:p>
    <w:p w14:paraId="32A57B3E" w14:textId="77777777" w:rsidR="00864CFC" w:rsidRPr="006C0089" w:rsidRDefault="00864CFC" w:rsidP="00864CFC">
      <w:pPr>
        <w:pStyle w:val="Heading3"/>
        <w:numPr>
          <w:ilvl w:val="2"/>
          <w:numId w:val="0"/>
        </w:numPr>
      </w:pPr>
      <w:bookmarkStart w:id="46" w:name="_Open_seclusion"/>
      <w:bookmarkStart w:id="47" w:name="OpenSeclusion"/>
      <w:bookmarkEnd w:id="46"/>
      <w:r w:rsidRPr="006C0089">
        <w:t>Open seclusion</w:t>
      </w:r>
    </w:p>
    <w:bookmarkEnd w:id="47"/>
    <w:p w14:paraId="1C842EA1" w14:textId="5AA81984" w:rsidR="00456EA9" w:rsidRPr="006C0089" w:rsidRDefault="00456EA9" w:rsidP="00864CFC">
      <w:pPr>
        <w:pStyle w:val="BodyText"/>
      </w:pPr>
      <w:r w:rsidRPr="006C0089">
        <w:t>Seclusion occurs whenever a tangata whai ora is placed</w:t>
      </w:r>
      <w:r w:rsidR="000404FB" w:rsidRPr="006C0089">
        <w:t xml:space="preserve"> alone</w:t>
      </w:r>
      <w:r w:rsidRPr="006C0089">
        <w:t xml:space="preserve"> in a room or area, at any time and for any duration, from which they cannot freely exit.</w:t>
      </w:r>
      <w:r w:rsidRPr="006C0089">
        <w:rPr>
          <w:rStyle w:val="FootnoteReference"/>
        </w:rPr>
        <w:footnoteReference w:id="27"/>
      </w:r>
    </w:p>
    <w:p w14:paraId="67480E57" w14:textId="22E3AB89" w:rsidR="00D5725B" w:rsidRPr="006C0089" w:rsidRDefault="00864CFC" w:rsidP="00864CFC">
      <w:pPr>
        <w:pStyle w:val="BodyText"/>
      </w:pPr>
      <w:r w:rsidRPr="006C0089">
        <w:t>Inspectors</w:t>
      </w:r>
      <w:r w:rsidR="00456EA9" w:rsidRPr="006C0089">
        <w:t xml:space="preserve"> saw that</w:t>
      </w:r>
      <w:r w:rsidRPr="006C0089">
        <w:t xml:space="preserve"> clinical notes frequent</w:t>
      </w:r>
      <w:r w:rsidR="00EF250E" w:rsidRPr="006C0089">
        <w:t>ly</w:t>
      </w:r>
      <w:r w:rsidRPr="006C0089">
        <w:t xml:space="preserve"> reference</w:t>
      </w:r>
      <w:r w:rsidR="00EF250E" w:rsidRPr="006C0089">
        <w:t>d</w:t>
      </w:r>
      <w:r w:rsidRPr="006C0089">
        <w:t xml:space="preserve"> </w:t>
      </w:r>
      <w:r w:rsidRPr="006C0089">
        <w:rPr>
          <w:rStyle w:val="Quotationwithinthesentence"/>
        </w:rPr>
        <w:t>open seclusion</w:t>
      </w:r>
      <w:r w:rsidRPr="006C0089">
        <w:t xml:space="preserve">. </w:t>
      </w:r>
      <w:r w:rsidR="001775E6" w:rsidRPr="006C0089">
        <w:t xml:space="preserve">The Unit’s Seclusion Procedures &amp; Guidelines did not define the practice of </w:t>
      </w:r>
      <w:r w:rsidR="001775E6" w:rsidRPr="006C0089">
        <w:rPr>
          <w:rStyle w:val="Quotationwithinthesentence"/>
        </w:rPr>
        <w:t>open seclusion</w:t>
      </w:r>
      <w:r w:rsidR="001775E6" w:rsidRPr="006C0089">
        <w:t>.</w:t>
      </w:r>
      <w:r w:rsidR="00D86FEB" w:rsidRPr="006C0089">
        <w:t xml:space="preserve"> S</w:t>
      </w:r>
      <w:r w:rsidR="00EF250E" w:rsidRPr="006C0089">
        <w:t>taff</w:t>
      </w:r>
      <w:r w:rsidRPr="006C0089">
        <w:t xml:space="preserve"> </w:t>
      </w:r>
      <w:r w:rsidR="00D86FEB" w:rsidRPr="006C0089">
        <w:t xml:space="preserve">described it </w:t>
      </w:r>
      <w:r w:rsidRPr="006C0089">
        <w:t>as a practice where the seclusion room door is opened to allow tāngata whai ora to spend time outside of the seclusion room, alone in the low stimulus area.</w:t>
      </w:r>
      <w:r w:rsidR="00B524F0" w:rsidRPr="006C0089">
        <w:t xml:space="preserve"> </w:t>
      </w:r>
    </w:p>
    <w:p w14:paraId="630D7DAF" w14:textId="1A535ED7" w:rsidR="00E734F0" w:rsidRPr="006C0089" w:rsidRDefault="00E734F0" w:rsidP="00967E80">
      <w:pPr>
        <w:pStyle w:val="BodyText"/>
      </w:pPr>
      <w:r w:rsidRPr="006C0089">
        <w:rPr>
          <w:color w:val="auto"/>
        </w:rPr>
        <w:t>Inspectors were informed that open seclusion was used for a variety of different purposes. These included for reintegration out of seclusion; to enable greater freedom of movement, including access to the toilet; to reduce impacts on other tāngata whai ora in the High Care Area</w:t>
      </w:r>
      <w:r w:rsidR="00F23585" w:rsidRPr="006C0089">
        <w:rPr>
          <w:color w:val="auto"/>
        </w:rPr>
        <w:t>;</w:t>
      </w:r>
      <w:r w:rsidRPr="006C0089">
        <w:rPr>
          <w:color w:val="auto"/>
        </w:rPr>
        <w:t xml:space="preserve"> and as a less restrictive replacement for seclusion that is required for short term safety, such as subsequent to an assault. While access to the low stimulus area for these purposes may be appropriate, i</w:t>
      </w:r>
      <w:r w:rsidR="00967E80" w:rsidRPr="006C0089">
        <w:t xml:space="preserve">nformation about the practice </w:t>
      </w:r>
      <w:r w:rsidRPr="006C0089">
        <w:t xml:space="preserve">of </w:t>
      </w:r>
      <w:r w:rsidRPr="006C0089">
        <w:rPr>
          <w:rStyle w:val="Italics"/>
        </w:rPr>
        <w:t>open seclusion</w:t>
      </w:r>
      <w:r w:rsidRPr="006C0089">
        <w:t xml:space="preserve"> </w:t>
      </w:r>
      <w:r w:rsidR="00967E80" w:rsidRPr="006C0089">
        <w:t xml:space="preserve">was inconsistent. </w:t>
      </w:r>
    </w:p>
    <w:p w14:paraId="6C1E57CA" w14:textId="6428B315" w:rsidR="00864CFC" w:rsidRPr="006C0089" w:rsidRDefault="00D06FC5" w:rsidP="00864CFC">
      <w:pPr>
        <w:pStyle w:val="BodyText"/>
      </w:pPr>
      <w:r w:rsidRPr="006C0089">
        <w:t xml:space="preserve">Clinical leadership at the Unit told Inspectors that </w:t>
      </w:r>
      <w:r w:rsidRPr="006C0089">
        <w:rPr>
          <w:i/>
        </w:rPr>
        <w:t>open seclusion</w:t>
      </w:r>
      <w:r w:rsidRPr="006C0089">
        <w:t xml:space="preserve"> was a term that they were aware was sometimes used by staff, but was not an accurate descriptor. </w:t>
      </w:r>
      <w:r w:rsidR="00967E80" w:rsidRPr="006C0089">
        <w:t xml:space="preserve">Some staff told </w:t>
      </w:r>
      <w:r w:rsidR="000B3CB8" w:rsidRPr="006C0089">
        <w:t>I</w:t>
      </w:r>
      <w:r w:rsidR="00967E80" w:rsidRPr="006C0089">
        <w:t>nspectors that the doo</w:t>
      </w:r>
      <w:r w:rsidR="004F2AC9" w:rsidRPr="006C0089">
        <w:t>r exiting the low stimulus area</w:t>
      </w:r>
      <w:r w:rsidR="00967E80" w:rsidRPr="006C0089">
        <w:t xml:space="preserve"> was </w:t>
      </w:r>
      <w:r w:rsidR="00967E80" w:rsidRPr="006C0089">
        <w:rPr>
          <w:rStyle w:val="Quotationwithinthesentence"/>
          <w:i w:val="0"/>
        </w:rPr>
        <w:t>latched, not locked;</w:t>
      </w:r>
      <w:r w:rsidR="00967E80" w:rsidRPr="006C0089">
        <w:rPr>
          <w:rStyle w:val="Quotationwithinthesentence"/>
        </w:rPr>
        <w:t xml:space="preserve"> </w:t>
      </w:r>
      <w:r w:rsidR="00967E80" w:rsidRPr="006C0089">
        <w:rPr>
          <w:rStyle w:val="Quotationwithinthesentence"/>
          <w:i w:val="0"/>
        </w:rPr>
        <w:t xml:space="preserve">while </w:t>
      </w:r>
      <w:r w:rsidR="00967E80" w:rsidRPr="006C0089">
        <w:t>tāngata whai ora were asked not to leave, they were shown the button to open the door if they did want to leave. However, other staff told Inspectors that on occasion a ‘</w:t>
      </w:r>
      <w:r w:rsidR="00967E80" w:rsidRPr="006C0089">
        <w:rPr>
          <w:i/>
        </w:rPr>
        <w:t xml:space="preserve">chair with a [person]…’ </w:t>
      </w:r>
      <w:r w:rsidR="00967E80" w:rsidRPr="006C0089">
        <w:t xml:space="preserve">was placed in front of the door exiting the low stimulus area when a tangata whai ora was in </w:t>
      </w:r>
      <w:r w:rsidR="00967E80" w:rsidRPr="006C0089">
        <w:rPr>
          <w:rStyle w:val="Quotationwithinthesentence"/>
        </w:rPr>
        <w:t xml:space="preserve">open seclusion. </w:t>
      </w:r>
      <w:r w:rsidR="00967E80" w:rsidRPr="006C0089">
        <w:rPr>
          <w:rStyle w:val="Quotationwithinthesentence"/>
          <w:i w:val="0"/>
        </w:rPr>
        <w:t>Inspectors heard concerns from staff that</w:t>
      </w:r>
      <w:r w:rsidR="00967E80" w:rsidRPr="006C0089">
        <w:rPr>
          <w:rStyle w:val="Quotationwithinthesentence"/>
        </w:rPr>
        <w:t xml:space="preserve"> </w:t>
      </w:r>
      <w:r w:rsidR="00967E80" w:rsidRPr="006C0089">
        <w:t>tāngata whai ora</w:t>
      </w:r>
      <w:r w:rsidR="00967E80" w:rsidRPr="006C0089">
        <w:rPr>
          <w:rStyle w:val="Quotationwithinthesentence"/>
        </w:rPr>
        <w:t xml:space="preserve"> </w:t>
      </w:r>
      <w:r w:rsidR="00967E80" w:rsidRPr="006C0089">
        <w:t xml:space="preserve">were not informed that their seclusion had terminated and that they had transitioned to </w:t>
      </w:r>
      <w:r w:rsidR="00967E80" w:rsidRPr="006C0089">
        <w:rPr>
          <w:rStyle w:val="Quotationwithinthesentence"/>
        </w:rPr>
        <w:t>open seclusion,</w:t>
      </w:r>
      <w:r w:rsidR="00967E80" w:rsidRPr="006C0089">
        <w:t xml:space="preserve"> or what this meant: ‘</w:t>
      </w:r>
      <w:r w:rsidR="00967E80" w:rsidRPr="006C0089">
        <w:rPr>
          <w:i/>
          <w:lang w:val="en-US"/>
        </w:rPr>
        <w:t>… tāngata whai ora never know when they can come out. Staff could do better explaining when they can come out</w:t>
      </w:r>
      <w:r w:rsidR="00967E80" w:rsidRPr="006C0089">
        <w:t>.</w:t>
      </w:r>
      <w:r w:rsidR="00872F1B">
        <w:t>’</w:t>
      </w:r>
      <w:r w:rsidR="00967E80" w:rsidRPr="006C0089">
        <w:t xml:space="preserve"> </w:t>
      </w:r>
    </w:p>
    <w:p w14:paraId="38DFF1B3" w14:textId="4F631977" w:rsidR="00E734F0" w:rsidRPr="006C0089" w:rsidRDefault="008B5271" w:rsidP="00864CFC">
      <w:pPr>
        <w:pStyle w:val="BodyText"/>
      </w:pPr>
      <w:r w:rsidRPr="006C0089">
        <w:t>I am concerned th</w:t>
      </w:r>
      <w:r w:rsidR="001775E6" w:rsidRPr="006C0089">
        <w:t>at some</w:t>
      </w:r>
      <w:r w:rsidR="00E87819" w:rsidRPr="006C0089">
        <w:t>, if not all,</w:t>
      </w:r>
      <w:r w:rsidR="001775E6" w:rsidRPr="006C0089">
        <w:t xml:space="preserve"> forms of this practice w</w:t>
      </w:r>
      <w:r w:rsidRPr="006C0089">
        <w:t>ould amou</w:t>
      </w:r>
      <w:r w:rsidR="001775E6" w:rsidRPr="006C0089">
        <w:t xml:space="preserve">nt to restraint (in the form of </w:t>
      </w:r>
      <w:r w:rsidRPr="006C0089">
        <w:t>seclusion</w:t>
      </w:r>
      <w:r w:rsidR="001775E6" w:rsidRPr="006C0089">
        <w:t>)</w:t>
      </w:r>
      <w:r w:rsidR="00E87819" w:rsidRPr="006C0089">
        <w:t>, but was not recognised as such</w:t>
      </w:r>
      <w:r w:rsidR="001775E6" w:rsidRPr="006C0089">
        <w:t xml:space="preserve">. </w:t>
      </w:r>
      <w:r w:rsidRPr="006C0089">
        <w:t xml:space="preserve">Restraint, in all its forms, </w:t>
      </w:r>
      <w:r w:rsidR="00E87819" w:rsidRPr="006C0089">
        <w:t xml:space="preserve">is a </w:t>
      </w:r>
      <w:r w:rsidRPr="006C0089">
        <w:t>serious intervention with potentially harmful effects on tāngata whai ora.</w:t>
      </w:r>
      <w:r w:rsidRPr="006C0089">
        <w:rPr>
          <w:i/>
        </w:rPr>
        <w:t xml:space="preserve"> </w:t>
      </w:r>
      <w:r w:rsidRPr="006C0089">
        <w:rPr>
          <w:color w:val="auto"/>
        </w:rPr>
        <w:t xml:space="preserve">In the limited instances where restraint is used as a last resort, it </w:t>
      </w:r>
      <w:r w:rsidR="001775E6" w:rsidRPr="006C0089">
        <w:rPr>
          <w:color w:val="auto"/>
        </w:rPr>
        <w:t>must</w:t>
      </w:r>
      <w:r w:rsidRPr="006C0089">
        <w:rPr>
          <w:color w:val="auto"/>
        </w:rPr>
        <w:t xml:space="preserve"> be subject to a range of safeguards and authorised on a case</w:t>
      </w:r>
      <w:r w:rsidR="00872F1B">
        <w:rPr>
          <w:color w:val="auto"/>
        </w:rPr>
        <w:t xml:space="preserve"> </w:t>
      </w:r>
      <w:r w:rsidRPr="006C0089">
        <w:rPr>
          <w:color w:val="auto"/>
        </w:rPr>
        <w:t>by</w:t>
      </w:r>
      <w:r w:rsidR="00872F1B">
        <w:rPr>
          <w:color w:val="auto"/>
        </w:rPr>
        <w:t xml:space="preserve"> </w:t>
      </w:r>
      <w:r w:rsidRPr="006C0089">
        <w:rPr>
          <w:color w:val="auto"/>
        </w:rPr>
        <w:t>case basis, practised, documented and reviewed appropriately.</w:t>
      </w:r>
      <w:r w:rsidR="00E734F0" w:rsidRPr="006C0089">
        <w:rPr>
          <w:color w:val="auto"/>
        </w:rPr>
        <w:t xml:space="preserve"> </w:t>
      </w:r>
    </w:p>
    <w:p w14:paraId="40F1B03C" w14:textId="363607A8" w:rsidR="00864CFC" w:rsidRPr="006C0089" w:rsidRDefault="00E87819" w:rsidP="00864CFC">
      <w:pPr>
        <w:pStyle w:val="BodyText"/>
      </w:pPr>
      <w:r w:rsidRPr="006C0089">
        <w:t>My concerns are highlighted by the</w:t>
      </w:r>
      <w:r w:rsidR="00967E80" w:rsidRPr="006C0089">
        <w:t xml:space="preserve"> </w:t>
      </w:r>
      <w:r w:rsidRPr="006C0089">
        <w:t>following example from the</w:t>
      </w:r>
      <w:r w:rsidR="00864CFC" w:rsidRPr="006C0089">
        <w:t xml:space="preserve"> clinical notes </w:t>
      </w:r>
      <w:r w:rsidRPr="006C0089">
        <w:t xml:space="preserve">of </w:t>
      </w:r>
      <w:r w:rsidR="00D86FEB" w:rsidRPr="006C0089">
        <w:t xml:space="preserve">a tangata </w:t>
      </w:r>
      <w:r w:rsidR="00FE0FD8" w:rsidRPr="006C0089">
        <w:t>whai ora</w:t>
      </w:r>
      <w:r w:rsidR="00D06FC5" w:rsidRPr="006C0089">
        <w:t>,</w:t>
      </w:r>
      <w:r w:rsidR="00FE0FD8" w:rsidRPr="006C0089">
        <w:t xml:space="preserve"> </w:t>
      </w:r>
      <w:r w:rsidRPr="006C0089">
        <w:t xml:space="preserve">describing that the tangata whai ora </w:t>
      </w:r>
      <w:r w:rsidR="00FE0FD8" w:rsidRPr="006C0089">
        <w:t xml:space="preserve">could not freely exit </w:t>
      </w:r>
      <w:r w:rsidR="00FE0FD8" w:rsidRPr="006C0089">
        <w:rPr>
          <w:rStyle w:val="Italics"/>
        </w:rPr>
        <w:t>open seclusion</w:t>
      </w:r>
      <w:r w:rsidR="00E734F0" w:rsidRPr="006C0089">
        <w:t xml:space="preserve">. </w:t>
      </w:r>
      <w:r w:rsidRPr="006C0089">
        <w:t>I consider t</w:t>
      </w:r>
      <w:r w:rsidR="00E734F0" w:rsidRPr="006C0089">
        <w:t>his</w:t>
      </w:r>
      <w:r w:rsidRPr="006C0089">
        <w:t xml:space="preserve"> event</w:t>
      </w:r>
      <w:r w:rsidR="00E734F0" w:rsidRPr="006C0089">
        <w:t xml:space="preserve"> </w:t>
      </w:r>
      <w:r w:rsidRPr="006C0089">
        <w:t xml:space="preserve">therefore amounted to seclusion. </w:t>
      </w:r>
      <w:r w:rsidR="00FE0FD8" w:rsidRPr="006C0089">
        <w:t xml:space="preserve">Of further concern was </w:t>
      </w:r>
      <w:r w:rsidR="00E734F0" w:rsidRPr="006C0089">
        <w:t>the use of seclusion</w:t>
      </w:r>
      <w:r w:rsidR="00D06FC5" w:rsidRPr="006C0089">
        <w:t xml:space="preserve"> (</w:t>
      </w:r>
      <w:r w:rsidR="00E734F0" w:rsidRPr="006C0089">
        <w:rPr>
          <w:rStyle w:val="Italics"/>
        </w:rPr>
        <w:t>open seclusion</w:t>
      </w:r>
      <w:r w:rsidR="00D06FC5" w:rsidRPr="006C0089">
        <w:t>)</w:t>
      </w:r>
      <w:r w:rsidR="008B5271" w:rsidRPr="006C0089">
        <w:t xml:space="preserve"> for potentially punitive </w:t>
      </w:r>
      <w:r w:rsidR="0032325C" w:rsidRPr="006C0089">
        <w:t xml:space="preserve">or coercive </w:t>
      </w:r>
      <w:r w:rsidR="008B5271" w:rsidRPr="006C0089">
        <w:t>purposes</w:t>
      </w:r>
      <w:r w:rsidR="00864CFC" w:rsidRPr="006C0089">
        <w:t xml:space="preserve">: </w:t>
      </w:r>
    </w:p>
    <w:p w14:paraId="1302D401" w14:textId="30815F8F" w:rsidR="00864CFC" w:rsidRPr="006C0089" w:rsidRDefault="00864CFC" w:rsidP="00864CFC">
      <w:pPr>
        <w:pStyle w:val="Quotationseparateparagraph"/>
      </w:pPr>
      <w:r w:rsidRPr="006C0089">
        <w:t>Remains in Open Seclusion, requesting to look for [their] property (clothing</w:t>
      </w:r>
      <w:r w:rsidR="007F5C28" w:rsidRPr="006C0089">
        <w:t>) -</w:t>
      </w:r>
      <w:r w:rsidRPr="006C0089">
        <w:t xml:space="preserve"> firmly informed that [they are] to stay in Open Seclusion until [time] and [they] can then look for </w:t>
      </w:r>
      <w:r w:rsidR="00B524F0" w:rsidRPr="006C0089">
        <w:t>[their]</w:t>
      </w:r>
      <w:r w:rsidRPr="006C0089">
        <w:t xml:space="preserve"> clothes. Noted that [tāngata whai ora] was playing with the lock on the door, rambling on how the lock could be made better, directed to stop fiddling with the lock. Continues to fiddle with the Open Seclusion door making requests, becoming irate when needs are not met, however re-directable.</w:t>
      </w:r>
    </w:p>
    <w:p w14:paraId="6E8BD48C" w14:textId="4FAA8FC4" w:rsidR="00864CFC" w:rsidRPr="006C0089" w:rsidRDefault="00864CFC" w:rsidP="00864CFC">
      <w:pPr>
        <w:pStyle w:val="Quotationseparateparagraph"/>
      </w:pPr>
      <w:r w:rsidRPr="006C0089">
        <w:t>Open Seclusion ended - firm directions given as to acceptable behaviours, and that [they] would be placed back into Open Seclusion if [their] behaviours escalate.</w:t>
      </w:r>
    </w:p>
    <w:p w14:paraId="1CD6D58D" w14:textId="540248BE" w:rsidR="0032325C" w:rsidRPr="006C0089" w:rsidRDefault="00D06FC5" w:rsidP="00B567DA">
      <w:pPr>
        <w:pStyle w:val="Bullet1"/>
        <w:numPr>
          <w:ilvl w:val="0"/>
          <w:numId w:val="0"/>
        </w:numPr>
      </w:pPr>
      <w:r w:rsidRPr="006C0089">
        <w:t>R</w:t>
      </w:r>
      <w:r w:rsidR="0032325C" w:rsidRPr="006C0089">
        <w:t>estraint</w:t>
      </w:r>
      <w:r w:rsidRPr="006C0089">
        <w:t xml:space="preserve">, or the prospect of restraint, </w:t>
      </w:r>
      <w:r w:rsidR="0032325C" w:rsidRPr="006C0089">
        <w:t>must never be used</w:t>
      </w:r>
      <w:r w:rsidRPr="006C0089">
        <w:t xml:space="preserve">, </w:t>
      </w:r>
      <w:r w:rsidR="0032325C" w:rsidRPr="006C0089">
        <w:t>as a punishment, form of discipline or behaviour modification</w:t>
      </w:r>
      <w:r w:rsidR="00611A98" w:rsidRPr="006C0089">
        <w:t>.</w:t>
      </w:r>
    </w:p>
    <w:p w14:paraId="12F8B3AB" w14:textId="038E25E6" w:rsidR="00304C6C" w:rsidRPr="006C0089" w:rsidRDefault="00304C6C" w:rsidP="00B567DA">
      <w:pPr>
        <w:pStyle w:val="Bullet1"/>
        <w:numPr>
          <w:ilvl w:val="0"/>
          <w:numId w:val="0"/>
        </w:numPr>
        <w:rPr>
          <w:szCs w:val="24"/>
        </w:rPr>
      </w:pPr>
      <w:r w:rsidRPr="006C0089">
        <w:rPr>
          <w:szCs w:val="24"/>
        </w:rPr>
        <w:t xml:space="preserve">In </w:t>
      </w:r>
      <w:r w:rsidR="00C342A0" w:rsidRPr="006C0089">
        <w:rPr>
          <w:szCs w:val="24"/>
        </w:rPr>
        <w:t>response to</w:t>
      </w:r>
      <w:r w:rsidR="00093BAF" w:rsidRPr="006C0089">
        <w:rPr>
          <w:szCs w:val="24"/>
        </w:rPr>
        <w:t xml:space="preserve"> m</w:t>
      </w:r>
      <w:r w:rsidRPr="006C0089">
        <w:rPr>
          <w:szCs w:val="24"/>
        </w:rPr>
        <w:t>y provisional report, Te Whatu Ora stated: ‘</w:t>
      </w:r>
      <w:r w:rsidRPr="006C0089">
        <w:rPr>
          <w:i/>
          <w:szCs w:val="24"/>
        </w:rPr>
        <w:t>It was extremely concerning to read about the practice of open seclusion described to the inspectors. Immediate action has been taken by the Te Whatu Ora – Waitematā senior leadership team to address this, including discussions at staff meetings and ensuring the seclusion review panels monitor documentation and ensure the elimination of the described “open seclusion” practice.</w:t>
      </w:r>
      <w:r w:rsidRPr="006C0089">
        <w:rPr>
          <w:szCs w:val="24"/>
        </w:rPr>
        <w:t>’</w:t>
      </w:r>
    </w:p>
    <w:p w14:paraId="7DDC6C66" w14:textId="37A897E6" w:rsidR="00C7231B" w:rsidRPr="006C0089" w:rsidRDefault="00C342A0" w:rsidP="00B567DA">
      <w:pPr>
        <w:pStyle w:val="Bullet1"/>
        <w:numPr>
          <w:ilvl w:val="0"/>
          <w:numId w:val="0"/>
        </w:numPr>
        <w:rPr>
          <w:szCs w:val="24"/>
        </w:rPr>
      </w:pPr>
      <w:r w:rsidRPr="006C0089">
        <w:rPr>
          <w:szCs w:val="24"/>
        </w:rPr>
        <w:t>T</w:t>
      </w:r>
      <w:r w:rsidR="00C7231B" w:rsidRPr="006C0089">
        <w:rPr>
          <w:szCs w:val="24"/>
        </w:rPr>
        <w:t>he Ministry of Health</w:t>
      </w:r>
      <w:r w:rsidRPr="006C0089">
        <w:rPr>
          <w:szCs w:val="24"/>
        </w:rPr>
        <w:t xml:space="preserve">, in response to my provisional, </w:t>
      </w:r>
      <w:r w:rsidR="00C7231B" w:rsidRPr="006C0089">
        <w:rPr>
          <w:szCs w:val="24"/>
        </w:rPr>
        <w:t xml:space="preserve">stated: </w:t>
      </w:r>
      <w:r w:rsidR="00C7231B" w:rsidRPr="006C0089">
        <w:rPr>
          <w:i/>
          <w:szCs w:val="24"/>
        </w:rPr>
        <w:t>‘</w:t>
      </w:r>
      <w:r w:rsidR="007439A8" w:rsidRPr="006C0089">
        <w:rPr>
          <w:i/>
          <w:szCs w:val="24"/>
        </w:rPr>
        <w:t xml:space="preserve">Section 71(2)(a) of the Mental Health Act states that seclusion shall be used only where, and for as long as, it is necessary for the care or treatment of the patient , or the protection of other patients. </w:t>
      </w:r>
      <w:r w:rsidR="00C7231B" w:rsidRPr="006C0089">
        <w:rPr>
          <w:i/>
          <w:szCs w:val="24"/>
        </w:rPr>
        <w:t>It is not clear what is driving this practice and I will continue to monitor this with the district inspectors. I expect services to ensure that staff have a good understandin</w:t>
      </w:r>
      <w:r w:rsidR="00AD6621" w:rsidRPr="006C0089">
        <w:rPr>
          <w:i/>
          <w:szCs w:val="24"/>
        </w:rPr>
        <w:t>g</w:t>
      </w:r>
      <w:r w:rsidR="00C7231B" w:rsidRPr="006C0089">
        <w:rPr>
          <w:i/>
          <w:szCs w:val="24"/>
        </w:rPr>
        <w:t xml:space="preserve"> of the Mental Health Act and the rights of tāngata whaiora. I have encouraged services to complete the new Te Pou training modules for the Mental Health Act guidelines. I understand the DAMHS has escalated this issue and has asked the service to address this immediately.</w:t>
      </w:r>
      <w:r w:rsidR="00C7231B" w:rsidRPr="006C0089">
        <w:rPr>
          <w:szCs w:val="24"/>
        </w:rPr>
        <w:t xml:space="preserve">’ </w:t>
      </w:r>
    </w:p>
    <w:p w14:paraId="463ACCA6" w14:textId="5D16C4E0" w:rsidR="00654733" w:rsidRPr="006C0089" w:rsidRDefault="00093BAF" w:rsidP="00654733">
      <w:pPr>
        <w:pStyle w:val="Bullet1"/>
        <w:numPr>
          <w:ilvl w:val="0"/>
          <w:numId w:val="0"/>
        </w:numPr>
        <w:rPr>
          <w:rStyle w:val="Quotationwithinthesentence"/>
          <w:i w:val="0"/>
        </w:rPr>
      </w:pPr>
      <w:r w:rsidRPr="006C0089">
        <w:rPr>
          <w:rStyle w:val="Quotationwithinthesentence"/>
          <w:i w:val="0"/>
        </w:rPr>
        <w:t>I acknowledge th</w:t>
      </w:r>
      <w:r w:rsidR="00C342A0" w:rsidRPr="006C0089">
        <w:rPr>
          <w:rStyle w:val="Quotationwithinthesentence"/>
          <w:i w:val="0"/>
        </w:rPr>
        <w:t>e action</w:t>
      </w:r>
      <w:r w:rsidR="00654733" w:rsidRPr="006C0089">
        <w:rPr>
          <w:rStyle w:val="Quotationwithinthesentence"/>
          <w:i w:val="0"/>
        </w:rPr>
        <w:t>s</w:t>
      </w:r>
      <w:r w:rsidR="00C342A0" w:rsidRPr="006C0089">
        <w:rPr>
          <w:rStyle w:val="Quotationwithinthesentence"/>
          <w:i w:val="0"/>
        </w:rPr>
        <w:t xml:space="preserve"> taken by</w:t>
      </w:r>
      <w:r w:rsidRPr="006C0089">
        <w:rPr>
          <w:rStyle w:val="Quotationwithinthesentence"/>
          <w:i w:val="0"/>
        </w:rPr>
        <w:t xml:space="preserve"> Te Whatu Ora and the Ministry of Health to remedy the situatio</w:t>
      </w:r>
      <w:r w:rsidR="00654733" w:rsidRPr="006C0089">
        <w:rPr>
          <w:rStyle w:val="Quotationwithinthesentence"/>
          <w:i w:val="0"/>
        </w:rPr>
        <w:t>n</w:t>
      </w:r>
      <w:r w:rsidR="00E734F0" w:rsidRPr="006C0089">
        <w:rPr>
          <w:rStyle w:val="Quotationwithinthesentence"/>
          <w:i w:val="0"/>
        </w:rPr>
        <w:t>.</w:t>
      </w:r>
      <w:r w:rsidR="00C342A0" w:rsidRPr="006C0089">
        <w:rPr>
          <w:rStyle w:val="Quotationwithinthesentence"/>
          <w:i w:val="0"/>
        </w:rPr>
        <w:t xml:space="preserve"> </w:t>
      </w:r>
    </w:p>
    <w:p w14:paraId="2F2198AF" w14:textId="0E64AB0C" w:rsidR="00D329EC" w:rsidRPr="006C0089" w:rsidRDefault="0078597E" w:rsidP="00203EEE">
      <w:pPr>
        <w:pStyle w:val="Bullet1"/>
        <w:numPr>
          <w:ilvl w:val="0"/>
          <w:numId w:val="0"/>
        </w:numPr>
      </w:pPr>
      <w:r w:rsidRPr="006C0089">
        <w:rPr>
          <w:rStyle w:val="Quotationwithinthesentence"/>
          <w:b/>
          <w:i w:val="0"/>
        </w:rPr>
        <w:t xml:space="preserve">I recommend Unit management </w:t>
      </w:r>
      <w:r w:rsidR="00284A32" w:rsidRPr="006C0089">
        <w:rPr>
          <w:rStyle w:val="Quotationwithinthesentence"/>
          <w:b/>
          <w:i w:val="0"/>
        </w:rPr>
        <w:t xml:space="preserve">only use seclusion and restraint as defined in law. </w:t>
      </w:r>
      <w:r w:rsidR="00864CFC" w:rsidRPr="006C0089">
        <w:rPr>
          <w:color w:val="auto"/>
        </w:rPr>
        <w:t xml:space="preserve">I </w:t>
      </w:r>
      <w:r w:rsidR="00284A32" w:rsidRPr="006C0089">
        <w:rPr>
          <w:color w:val="auto"/>
        </w:rPr>
        <w:t xml:space="preserve">expect </w:t>
      </w:r>
      <w:r w:rsidR="00864CFC" w:rsidRPr="006C0089">
        <w:t xml:space="preserve">all staff </w:t>
      </w:r>
      <w:r w:rsidR="00284A32" w:rsidRPr="006C0089">
        <w:t xml:space="preserve">to </w:t>
      </w:r>
      <w:r w:rsidR="00864CFC" w:rsidRPr="006C0089">
        <w:t xml:space="preserve">have a robust and consistent understanding of the seriousness of all forms of </w:t>
      </w:r>
      <w:r w:rsidR="00284A32" w:rsidRPr="006C0089">
        <w:t xml:space="preserve">seclusion </w:t>
      </w:r>
      <w:r w:rsidR="00203EEE" w:rsidRPr="006C0089">
        <w:t xml:space="preserve">and restraint </w:t>
      </w:r>
      <w:r w:rsidR="00864CFC" w:rsidRPr="006C0089">
        <w:t>and the</w:t>
      </w:r>
      <w:r w:rsidR="00284A32" w:rsidRPr="006C0089">
        <w:t>ir</w:t>
      </w:r>
      <w:r w:rsidR="00864CFC" w:rsidRPr="006C0089">
        <w:t xml:space="preserve"> </w:t>
      </w:r>
      <w:r w:rsidR="00397A61" w:rsidRPr="006C0089">
        <w:t xml:space="preserve">required </w:t>
      </w:r>
      <w:r w:rsidR="00864CFC" w:rsidRPr="006C0089">
        <w:t>safeguards.</w:t>
      </w:r>
      <w:r w:rsidR="00F425CC" w:rsidRPr="006C0089">
        <w:t xml:space="preserve"> </w:t>
      </w:r>
    </w:p>
    <w:p w14:paraId="54C9A42C" w14:textId="5A5AB9C9" w:rsidR="001C3C14" w:rsidRPr="006C0089" w:rsidRDefault="001C3C14" w:rsidP="00203EEE">
      <w:pPr>
        <w:pStyle w:val="Bullet1"/>
        <w:numPr>
          <w:ilvl w:val="0"/>
          <w:numId w:val="0"/>
        </w:numPr>
      </w:pPr>
    </w:p>
    <w:p w14:paraId="659629E3" w14:textId="77777777" w:rsidR="001C3C14" w:rsidRPr="006C0089" w:rsidRDefault="001C3C14" w:rsidP="00203EEE">
      <w:pPr>
        <w:pStyle w:val="Bullet1"/>
        <w:numPr>
          <w:ilvl w:val="0"/>
          <w:numId w:val="0"/>
        </w:numPr>
      </w:pPr>
    </w:p>
    <w:p w14:paraId="52DA07E8" w14:textId="6C117ABA" w:rsidR="001E1DA7" w:rsidRPr="006C0089" w:rsidRDefault="001E1DA7" w:rsidP="001E1DA7">
      <w:pPr>
        <w:pStyle w:val="Heading1"/>
      </w:pPr>
      <w:bookmarkStart w:id="48" w:name="_Toc118378906"/>
      <w:bookmarkStart w:id="49" w:name="_Toc170115756"/>
      <w:bookmarkStart w:id="50" w:name="_Toc363333016"/>
      <w:bookmarkStart w:id="51" w:name="_Toc463356898"/>
      <w:bookmarkStart w:id="52" w:name="_Toc463617544"/>
      <w:r w:rsidRPr="006C0089">
        <w:t>Acknowledgement</w:t>
      </w:r>
      <w:bookmarkEnd w:id="48"/>
      <w:bookmarkEnd w:id="49"/>
    </w:p>
    <w:p w14:paraId="116E28AD" w14:textId="6A917133" w:rsidR="001E1DA7" w:rsidRPr="006C0089" w:rsidRDefault="001E1DA7" w:rsidP="001E1DA7">
      <w:pPr>
        <w:pStyle w:val="BodyText"/>
      </w:pPr>
      <w:r w:rsidRPr="006C0089">
        <w:t xml:space="preserve">I appreciate the full co-operation extended by </w:t>
      </w:r>
      <w:r w:rsidRPr="006C0089">
        <w:rPr>
          <w:color w:val="auto"/>
        </w:rPr>
        <w:t xml:space="preserve">management </w:t>
      </w:r>
      <w:r w:rsidRPr="006C0089">
        <w:t xml:space="preserve">and staff to the Inspectors during </w:t>
      </w:r>
      <w:r w:rsidR="00896B27" w:rsidRPr="006C0089">
        <w:t xml:space="preserve">my </w:t>
      </w:r>
      <w:r w:rsidRPr="006C0089">
        <w:t xml:space="preserve">inspection of the </w:t>
      </w:r>
      <w:r w:rsidR="00307C31" w:rsidRPr="006C0089">
        <w:t>Unit</w:t>
      </w:r>
      <w:r w:rsidRPr="006C0089">
        <w:t xml:space="preserve">. I acknowledge the work involved in collating the information requested. My thanks to the tāngata whai ora for their participation and assistance. </w:t>
      </w:r>
    </w:p>
    <w:p w14:paraId="4A1B1CB6" w14:textId="3D35EF39" w:rsidR="001E1DA7" w:rsidRPr="006C0089" w:rsidRDefault="001E1DA7" w:rsidP="001E1DA7">
      <w:pPr>
        <w:pStyle w:val="ChiefOmbudsmansignatureblock"/>
      </w:pPr>
      <w:r w:rsidRPr="006C0089">
        <w:t>Peter Boshier</w:t>
      </w:r>
    </w:p>
    <w:p w14:paraId="59273599" w14:textId="77777777" w:rsidR="001E1DA7" w:rsidRPr="006C0089" w:rsidRDefault="001E1DA7" w:rsidP="001E1DA7">
      <w:pPr>
        <w:pStyle w:val="ChiefOmbudsmansignatureblock"/>
      </w:pPr>
    </w:p>
    <w:p w14:paraId="02375FFE" w14:textId="77777777" w:rsidR="001E1DA7" w:rsidRPr="006C0089" w:rsidRDefault="001E1DA7" w:rsidP="001E1DA7">
      <w:pPr>
        <w:pStyle w:val="ChiefOmbudsmantitle"/>
      </w:pPr>
      <w:r w:rsidRPr="006C0089">
        <w:t>Chief Ombudsman</w:t>
      </w:r>
    </w:p>
    <w:p w14:paraId="216A4DCB" w14:textId="77777777" w:rsidR="001E1DA7" w:rsidRPr="006C0089" w:rsidRDefault="001E1DA7" w:rsidP="001E1DA7">
      <w:pPr>
        <w:pStyle w:val="ChiefOmbudsmantitle"/>
      </w:pPr>
      <w:r w:rsidRPr="006C0089">
        <w:t>National Preventive Mechanism</w:t>
      </w:r>
    </w:p>
    <w:bookmarkEnd w:id="50"/>
    <w:bookmarkEnd w:id="51"/>
    <w:bookmarkEnd w:id="52"/>
    <w:p w14:paraId="5F2E1520" w14:textId="0BA0C969" w:rsidR="00CF182F" w:rsidRPr="006C0089" w:rsidRDefault="00CF182F" w:rsidP="00BE3464">
      <w:pPr>
        <w:pStyle w:val="BodyText"/>
      </w:pPr>
      <w:r w:rsidRPr="006C0089">
        <w:br w:type="page"/>
      </w:r>
    </w:p>
    <w:p w14:paraId="05ED4AAA" w14:textId="2D464AAF" w:rsidR="00CF182F" w:rsidRPr="006C0089" w:rsidRDefault="00E50E38" w:rsidP="00653E64">
      <w:pPr>
        <w:pStyle w:val="HeadingAppendix"/>
      </w:pPr>
      <w:bookmarkStart w:id="53" w:name="_Ref7442173"/>
      <w:bookmarkStart w:id="54" w:name="_Toc170115757"/>
      <w:r w:rsidRPr="006C0089">
        <w:t>Legislative framework</w:t>
      </w:r>
      <w:bookmarkEnd w:id="53"/>
      <w:bookmarkEnd w:id="54"/>
    </w:p>
    <w:p w14:paraId="4086C687" w14:textId="77777777" w:rsidR="00337646" w:rsidRPr="006C0089" w:rsidRDefault="00337646" w:rsidP="00337646">
      <w:r w:rsidRPr="006C0089">
        <w:t xml:space="preserve">In 2007 the New Zealand Government ratified the </w:t>
      </w:r>
      <w:r w:rsidRPr="006C0089">
        <w:rPr>
          <w:i/>
        </w:rPr>
        <w:t>United Nations Optional Protocol to the Convention against Torture and Other Cruel, Inhuman or Degrading Treatment or Punishment</w:t>
      </w:r>
      <w:r w:rsidRPr="006C0089">
        <w:t xml:space="preserve"> (OPCAT). </w:t>
      </w:r>
    </w:p>
    <w:p w14:paraId="0D7AFE2A" w14:textId="77777777" w:rsidR="00337646" w:rsidRPr="006C0089" w:rsidRDefault="00337646" w:rsidP="00337646">
      <w:r w:rsidRPr="006C0089">
        <w:t xml:space="preserve">The objective of OPCAT is to establish a system of regular visits undertaken by an independent national body to places where people are deprived of their liberty, in order to prevent torture and other cruel, inhuman or degrading treatment or punishment. </w:t>
      </w:r>
    </w:p>
    <w:p w14:paraId="427551EC" w14:textId="77777777" w:rsidR="00337646" w:rsidRPr="006C0089" w:rsidRDefault="00337646" w:rsidP="00337646">
      <w:r w:rsidRPr="006C0089">
        <w:t xml:space="preserve">The Crimes of Torture Act 1989 (COTA) was amended by the Crimes of Torture Amendment Act 2006 to enable New Zealand to meet its international obligations under OPCAT. </w:t>
      </w:r>
    </w:p>
    <w:p w14:paraId="29D49B36" w14:textId="77777777" w:rsidR="00337646" w:rsidRPr="006C0089" w:rsidRDefault="00337646" w:rsidP="00337646">
      <w:pPr>
        <w:keepNext/>
        <w:keepLines/>
        <w:numPr>
          <w:ilvl w:val="3"/>
          <w:numId w:val="0"/>
        </w:numPr>
        <w:spacing w:before="280" w:after="60" w:line="240" w:lineRule="auto"/>
        <w:ind w:right="284"/>
        <w:outlineLvl w:val="3"/>
        <w:rPr>
          <w:rFonts w:eastAsiaTheme="majorEastAsia" w:cstheme="majorBidi"/>
          <w:b/>
          <w:bCs/>
          <w:iCs/>
          <w:sz w:val="26"/>
        </w:rPr>
      </w:pPr>
      <w:bookmarkStart w:id="55" w:name="_Toc535601753"/>
      <w:r w:rsidRPr="006C0089">
        <w:rPr>
          <w:rFonts w:eastAsiaTheme="majorEastAsia" w:cstheme="majorBidi"/>
          <w:b/>
          <w:bCs/>
          <w:iCs/>
          <w:sz w:val="26"/>
        </w:rPr>
        <w:t>Places of detention – health and disability facilities</w:t>
      </w:r>
      <w:bookmarkEnd w:id="55"/>
    </w:p>
    <w:p w14:paraId="5C531D3D" w14:textId="77777777" w:rsidR="00337646" w:rsidRPr="006C0089" w:rsidRDefault="00337646" w:rsidP="00337646">
      <w:r w:rsidRPr="006C0089">
        <w:t>Section 16 of COTA defines a “place of detention” as:</w:t>
      </w:r>
    </w:p>
    <w:p w14:paraId="7B9596F5" w14:textId="77777777" w:rsidR="00337646" w:rsidRPr="006C0089" w:rsidRDefault="00337646" w:rsidP="00337646">
      <w:pPr>
        <w:ind w:left="567" w:right="567"/>
        <w:rPr>
          <w:i/>
          <w:color w:val="4D4D4D"/>
        </w:rPr>
      </w:pPr>
      <w:r w:rsidRPr="006C0089">
        <w:rPr>
          <w:i/>
          <w:color w:val="4D4D4D"/>
        </w:rPr>
        <w:t>“…any place in New Zealand where persons are or may be deprived of liberty, including, for example, detention or custody in…</w:t>
      </w:r>
    </w:p>
    <w:p w14:paraId="34CD2120" w14:textId="77777777" w:rsidR="00337646" w:rsidRPr="006C0089" w:rsidRDefault="00337646" w:rsidP="00337646">
      <w:pPr>
        <w:ind w:left="567" w:right="567"/>
        <w:rPr>
          <w:i/>
          <w:color w:val="4D4D4D"/>
        </w:rPr>
      </w:pPr>
      <w:r w:rsidRPr="006C0089">
        <w:rPr>
          <w:i/>
          <w:color w:val="4D4D4D"/>
        </w:rPr>
        <w:t xml:space="preserve">(d) </w:t>
      </w:r>
      <w:r w:rsidRPr="006C0089">
        <w:rPr>
          <w:i/>
          <w:color w:val="4D4D4D"/>
        </w:rPr>
        <w:tab/>
        <w:t>a hospital</w:t>
      </w:r>
    </w:p>
    <w:p w14:paraId="3C7CA6A9" w14:textId="77777777" w:rsidR="00337646" w:rsidRPr="006C0089" w:rsidRDefault="00337646" w:rsidP="00337646">
      <w:pPr>
        <w:ind w:left="567" w:right="567"/>
        <w:rPr>
          <w:i/>
          <w:color w:val="4D4D4D"/>
        </w:rPr>
      </w:pPr>
      <w:r w:rsidRPr="006C0089">
        <w:rPr>
          <w:i/>
          <w:color w:val="4D4D4D"/>
        </w:rPr>
        <w:t>(e)</w:t>
      </w:r>
      <w:r w:rsidRPr="006C0089">
        <w:rPr>
          <w:i/>
          <w:color w:val="4D4D4D"/>
        </w:rPr>
        <w:tab/>
        <w:t>a secure facility as defined in section 9(2) of the Intellectual Disability (Compulsory Care and Rehabilitation) Act 2003…”</w:t>
      </w:r>
    </w:p>
    <w:p w14:paraId="151279AA" w14:textId="77777777" w:rsidR="00337646" w:rsidRPr="006C0089" w:rsidRDefault="00337646" w:rsidP="00337646">
      <w:r w:rsidRPr="006C0089">
        <w:t xml:space="preserve">Ombudsmen are designated by the Minister of Justice as a National Preventive Mechanism (NPM) to inspect certain places of detention under OPCAT, including hospitals and the secure facilities identified above. </w:t>
      </w:r>
    </w:p>
    <w:p w14:paraId="00D22130" w14:textId="77777777" w:rsidR="00337646" w:rsidRPr="006C0089" w:rsidRDefault="00337646" w:rsidP="00337646">
      <w:r w:rsidRPr="006C0089">
        <w:t>Under section 27 of COTA, an NPM’s functions include:</w:t>
      </w:r>
    </w:p>
    <w:p w14:paraId="184FEB48" w14:textId="77777777" w:rsidR="00337646" w:rsidRPr="006C0089" w:rsidRDefault="00337646" w:rsidP="00337646">
      <w:pPr>
        <w:pStyle w:val="Bullet1"/>
      </w:pPr>
      <w:r w:rsidRPr="006C0089">
        <w:t>to examine the conditions of detention applying to detainees and the treatment of detainees; and</w:t>
      </w:r>
    </w:p>
    <w:p w14:paraId="4D01EF84" w14:textId="77777777" w:rsidR="00337646" w:rsidRPr="006C0089" w:rsidRDefault="00337646" w:rsidP="00337646">
      <w:pPr>
        <w:pStyle w:val="Bullet1"/>
      </w:pPr>
      <w:r w:rsidRPr="006C0089">
        <w:t>to make any recommendations it considers appropriate to the person in charge of a place of detention:</w:t>
      </w:r>
    </w:p>
    <w:p w14:paraId="5E4E6F6F" w14:textId="77777777" w:rsidR="00337646" w:rsidRPr="006C0089" w:rsidRDefault="00337646" w:rsidP="00337646">
      <w:pPr>
        <w:pStyle w:val="Bullet2"/>
      </w:pPr>
      <w:r w:rsidRPr="006C0089">
        <w:t>for improving the conditions of detention applying to detainees;</w:t>
      </w:r>
    </w:p>
    <w:p w14:paraId="0215DAA2" w14:textId="77777777" w:rsidR="00337646" w:rsidRPr="006C0089" w:rsidRDefault="00337646" w:rsidP="00337646">
      <w:pPr>
        <w:pStyle w:val="Bullet2"/>
      </w:pPr>
      <w:r w:rsidRPr="006C0089">
        <w:t>for improving the treatment of detainees; and</w:t>
      </w:r>
    </w:p>
    <w:p w14:paraId="1B711C25" w14:textId="77777777" w:rsidR="00337646" w:rsidRPr="006C0089" w:rsidRDefault="00337646" w:rsidP="00337646">
      <w:pPr>
        <w:pStyle w:val="Bullet2"/>
      </w:pPr>
      <w:r w:rsidRPr="006C0089">
        <w:t>for preventing torture and other cruel, inhuman or degrading treatment or punishment in places of detention.</w:t>
      </w:r>
    </w:p>
    <w:p w14:paraId="5D51801F" w14:textId="77777777" w:rsidR="00337646" w:rsidRPr="006C0089" w:rsidRDefault="00337646" w:rsidP="00337646">
      <w:pPr>
        <w:keepNext/>
        <w:keepLines/>
        <w:numPr>
          <w:ilvl w:val="3"/>
          <w:numId w:val="0"/>
        </w:numPr>
        <w:spacing w:before="280" w:after="60" w:line="240" w:lineRule="auto"/>
        <w:ind w:right="284"/>
        <w:outlineLvl w:val="3"/>
        <w:rPr>
          <w:rFonts w:eastAsiaTheme="majorEastAsia" w:cstheme="majorBidi"/>
          <w:b/>
          <w:bCs/>
          <w:iCs/>
          <w:sz w:val="26"/>
        </w:rPr>
      </w:pPr>
      <w:r w:rsidRPr="006C0089">
        <w:rPr>
          <w:rFonts w:eastAsiaTheme="majorEastAsia" w:cstheme="majorBidi"/>
          <w:b/>
          <w:bCs/>
          <w:iCs/>
          <w:sz w:val="26"/>
        </w:rPr>
        <w:t>Carrying out the OPCAT function</w:t>
      </w:r>
    </w:p>
    <w:p w14:paraId="1AAD1D73" w14:textId="77777777" w:rsidR="00337646" w:rsidRPr="006C0089" w:rsidRDefault="00337646" w:rsidP="00337646">
      <w:r w:rsidRPr="006C0089">
        <w:t>Under COTA, Ombudsmen are entitled to:</w:t>
      </w:r>
    </w:p>
    <w:p w14:paraId="7E4F85BD" w14:textId="77777777" w:rsidR="00337646" w:rsidRPr="006C0089" w:rsidRDefault="00337646" w:rsidP="00337646">
      <w:pPr>
        <w:pStyle w:val="Bullet1"/>
      </w:pPr>
      <w:r w:rsidRPr="006C0089">
        <w:t>access all information regarding the number of detainees, the treatment of detainees and the conditions of detention;</w:t>
      </w:r>
    </w:p>
    <w:p w14:paraId="4BCA9002" w14:textId="77777777" w:rsidR="00337646" w:rsidRPr="006C0089" w:rsidRDefault="00337646" w:rsidP="00337646">
      <w:pPr>
        <w:pStyle w:val="Bullet1"/>
      </w:pPr>
      <w:r w:rsidRPr="006C0089">
        <w:t>unrestricted access to any place of detention for which they are designated, and unrestricted access to any person in that place;</w:t>
      </w:r>
    </w:p>
    <w:p w14:paraId="35036961" w14:textId="77777777" w:rsidR="00337646" w:rsidRPr="006C0089" w:rsidRDefault="00337646" w:rsidP="00337646">
      <w:pPr>
        <w:pStyle w:val="Bullet1"/>
      </w:pPr>
      <w:r w:rsidRPr="006C0089">
        <w:t>interview any person, without witnesses, either personally or through an interpreter; and</w:t>
      </w:r>
    </w:p>
    <w:p w14:paraId="5EEE811B" w14:textId="77777777" w:rsidR="00337646" w:rsidRPr="006C0089" w:rsidRDefault="00337646" w:rsidP="00337646">
      <w:pPr>
        <w:pStyle w:val="Bullet1"/>
      </w:pPr>
      <w:r w:rsidRPr="006C0089">
        <w:t xml:space="preserve">choose the places they want to visit and the people they want to interview. </w:t>
      </w:r>
    </w:p>
    <w:p w14:paraId="7EDBE4F6" w14:textId="77777777" w:rsidR="00337646" w:rsidRPr="006C0089" w:rsidRDefault="00337646" w:rsidP="00337646">
      <w:r w:rsidRPr="006C0089">
        <w:t>Section 34 of COTA provides that when carrying out their OPCAT function, Ombudsmen can use their Ombudsmen Act (OA) powers to require the production of any information, documents, papers or things (even where there may be a statutory obligation of secrecy or non-disclosure) (sections 19(1), 19(3) and 19(4) OA). To facilitate his OPCAT role, the Chief Ombudsman has authorised inspectors to exercise these powers on his behalf.</w:t>
      </w:r>
    </w:p>
    <w:p w14:paraId="54EBB0BF" w14:textId="77777777" w:rsidR="00337646" w:rsidRPr="006C0089" w:rsidRDefault="00337646" w:rsidP="00337646">
      <w:pPr>
        <w:keepNext/>
        <w:keepLines/>
        <w:numPr>
          <w:ilvl w:val="3"/>
          <w:numId w:val="0"/>
        </w:numPr>
        <w:spacing w:before="280" w:after="60" w:line="240" w:lineRule="auto"/>
        <w:ind w:right="284"/>
        <w:outlineLvl w:val="3"/>
        <w:rPr>
          <w:rFonts w:eastAsiaTheme="majorEastAsia" w:cstheme="majorBidi"/>
          <w:b/>
          <w:bCs/>
          <w:iCs/>
          <w:sz w:val="26"/>
        </w:rPr>
      </w:pPr>
      <w:bookmarkStart w:id="56" w:name="_Toc535601755"/>
      <w:r w:rsidRPr="006C0089">
        <w:rPr>
          <w:rFonts w:eastAsiaTheme="majorEastAsia" w:cstheme="majorBidi"/>
          <w:b/>
          <w:bCs/>
          <w:iCs/>
          <w:sz w:val="26"/>
        </w:rPr>
        <w:t>More information</w:t>
      </w:r>
      <w:bookmarkEnd w:id="56"/>
    </w:p>
    <w:p w14:paraId="70E86121" w14:textId="223221F9" w:rsidR="00337646" w:rsidRPr="002B3BA9" w:rsidRDefault="00337646" w:rsidP="00337646">
      <w:r w:rsidRPr="006C0089">
        <w:t xml:space="preserve">Find out more about the Chief Ombudsman’s OPCAT role, and read his reports online: </w:t>
      </w:r>
      <w:hyperlink r:id="rId24" w:history="1">
        <w:r w:rsidRPr="00CC1377">
          <w:rPr>
            <w:rStyle w:val="Hyperlink"/>
          </w:rPr>
          <w:t>ombudsman.parliament.nz/opcat</w:t>
        </w:r>
      </w:hyperlink>
      <w:r w:rsidRPr="006C0089">
        <w:t>.</w:t>
      </w:r>
    </w:p>
    <w:p w14:paraId="7A1B045E" w14:textId="77777777" w:rsidR="00E50CC9" w:rsidRDefault="00E50CC9" w:rsidP="00337646">
      <w:pPr>
        <w:pStyle w:val="BodyText"/>
      </w:pPr>
    </w:p>
    <w:sectPr w:rsidR="00E50CC9" w:rsidSect="00672F95">
      <w:headerReference w:type="even" r:id="rId25"/>
      <w:headerReference w:type="default" r:id="rId26"/>
      <w:footerReference w:type="even" r:id="rId27"/>
      <w:footerReference w:type="default" r:id="rId28"/>
      <w:headerReference w:type="first" r:id="rId29"/>
      <w:footerReference w:type="first" r:id="rId30"/>
      <w:endnotePr>
        <w:numFmt w:val="decimal"/>
      </w:endnotePr>
      <w:type w:val="oddPage"/>
      <w:pgSz w:w="11906" w:h="16838" w:code="9"/>
      <w:pgMar w:top="1701" w:right="1304" w:bottom="1701" w:left="1304" w:header="680" w:footer="680"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77D18CF" w14:textId="77777777" w:rsidR="00197009" w:rsidRPr="00D45126" w:rsidRDefault="00197009" w:rsidP="00554FCD">
      <w:pPr>
        <w:spacing w:after="0" w:line="240" w:lineRule="auto"/>
        <w:rPr>
          <w:color w:val="4D4D4D"/>
        </w:rPr>
      </w:pPr>
      <w:r w:rsidRPr="00D45126">
        <w:rPr>
          <w:color w:val="4D4D4D"/>
        </w:rPr>
        <w:separator/>
      </w:r>
    </w:p>
  </w:endnote>
  <w:endnote w:type="continuationSeparator" w:id="0">
    <w:p w14:paraId="06606EC0" w14:textId="77777777" w:rsidR="00197009" w:rsidRPr="00D45126" w:rsidRDefault="00197009" w:rsidP="00554FCD">
      <w:pPr>
        <w:spacing w:after="0" w:line="240" w:lineRule="auto"/>
        <w:rPr>
          <w:color w:val="4D4D4D"/>
        </w:rPr>
      </w:pPr>
      <w:r w:rsidRPr="00D45126">
        <w:rPr>
          <w:color w:val="4D4D4D"/>
        </w:rPr>
        <w:continuationSeparator/>
      </w:r>
    </w:p>
  </w:endnote>
  <w:endnote w:type="continuationNotice" w:id="1">
    <w:p w14:paraId="65341F4F" w14:textId="77777777" w:rsidR="00197009" w:rsidRDefault="0019700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old">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yriadPro-Light">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386C82" w14:textId="77777777" w:rsidR="0052453C" w:rsidRDefault="0052453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47386D" w14:textId="77777777" w:rsidR="0052453C" w:rsidRDefault="0052453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815382" w14:textId="77777777" w:rsidR="0052453C" w:rsidRDefault="0052453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FD4281" w14:textId="77777777" w:rsidR="0052453C" w:rsidRPr="00B867F0" w:rsidRDefault="0052453C" w:rsidP="00B867F0">
    <w:pPr>
      <w:pStyle w:val="Footer"/>
      <w:tabs>
        <w:tab w:val="clear" w:pos="9299"/>
        <w:tab w:val="left" w:pos="2895"/>
      </w:tabs>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8AFB9D" w14:textId="77777777" w:rsidR="0052453C" w:rsidRPr="0059155D" w:rsidRDefault="0052453C" w:rsidP="000F43B0">
    <w:pPr>
      <w:pStyle w:val="Footerline"/>
    </w:pPr>
  </w:p>
  <w:p w14:paraId="2EE39546" w14:textId="77777777" w:rsidR="0052453C" w:rsidRPr="0059155D" w:rsidRDefault="0052453C" w:rsidP="000F43B0">
    <w:pPr>
      <w:pStyle w:val="Footerline"/>
    </w:pPr>
  </w:p>
  <w:p w14:paraId="6BE263BC" w14:textId="2874B2C4" w:rsidR="0052453C" w:rsidRPr="005533D8" w:rsidRDefault="0052453C" w:rsidP="000F43B0">
    <w:pPr>
      <w:pStyle w:val="Footer"/>
    </w:pPr>
    <w:r>
      <w:tab/>
    </w:r>
    <w:fldSimple w:instr=" DOCVARIABLE  dvShortText ">
      <w:r>
        <w:t xml:space="preserve"> </w:t>
      </w:r>
    </w:fldSimple>
    <w:r>
      <w:t xml:space="preserve"> Page </w:t>
    </w:r>
    <w:r w:rsidRPr="00A32286">
      <w:rPr>
        <w:rStyle w:val="PageNumber"/>
      </w:rPr>
      <w:fldChar w:fldCharType="begin"/>
    </w:r>
    <w:r w:rsidRPr="00A32286">
      <w:rPr>
        <w:rStyle w:val="PageNumber"/>
      </w:rPr>
      <w:instrText xml:space="preserve"> PAGE   \* MERGEFORMAT </w:instrText>
    </w:r>
    <w:r w:rsidRPr="00A32286">
      <w:rPr>
        <w:rStyle w:val="PageNumber"/>
      </w:rPr>
      <w:fldChar w:fldCharType="separate"/>
    </w:r>
    <w:r>
      <w:rPr>
        <w:rStyle w:val="PageNumber"/>
        <w:noProof/>
      </w:rPr>
      <w:t>4</w:t>
    </w:r>
    <w:r w:rsidRPr="00A32286">
      <w:rPr>
        <w:rStyle w:val="PageNumber"/>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81AB5C" w14:textId="77777777" w:rsidR="0052453C" w:rsidRPr="0059155D" w:rsidRDefault="0052453C" w:rsidP="002A3414">
    <w:pPr>
      <w:pStyle w:val="Footerline"/>
    </w:pPr>
  </w:p>
  <w:p w14:paraId="2D97EBEC" w14:textId="77777777" w:rsidR="0052453C" w:rsidRPr="0059155D" w:rsidRDefault="0052453C" w:rsidP="002A3414">
    <w:pPr>
      <w:pStyle w:val="Footerline"/>
    </w:pPr>
  </w:p>
  <w:p w14:paraId="38428E2F" w14:textId="3FCF750F" w:rsidR="0052453C" w:rsidRPr="005533D8" w:rsidRDefault="0052453C" w:rsidP="002A3414">
    <w:pPr>
      <w:pStyle w:val="Footer"/>
    </w:pPr>
    <w:r>
      <w:t xml:space="preserve">Page </w:t>
    </w:r>
    <w:r w:rsidRPr="00A32286">
      <w:rPr>
        <w:rStyle w:val="PageNumber"/>
      </w:rPr>
      <w:fldChar w:fldCharType="begin"/>
    </w:r>
    <w:r w:rsidRPr="00A32286">
      <w:rPr>
        <w:rStyle w:val="PageNumber"/>
      </w:rPr>
      <w:instrText xml:space="preserve"> PAGE   \* MERGEFORMAT </w:instrText>
    </w:r>
    <w:r w:rsidRPr="00A32286">
      <w:rPr>
        <w:rStyle w:val="PageNumber"/>
      </w:rPr>
      <w:fldChar w:fldCharType="separate"/>
    </w:r>
    <w:r w:rsidR="002B75B3">
      <w:rPr>
        <w:rStyle w:val="PageNumber"/>
        <w:noProof/>
      </w:rPr>
      <w:t>18</w:t>
    </w:r>
    <w:r w:rsidRPr="00A32286">
      <w:rPr>
        <w:rStyle w:val="PageNumber"/>
      </w:rPr>
      <w:fldChar w:fldCharType="end"/>
    </w:r>
    <w:r>
      <w:rPr>
        <w:rStyle w:val="PageNumber"/>
      </w:rPr>
      <w:t xml:space="preserve"> </w:t>
    </w:r>
    <w:fldSimple w:instr=" DOCVARIABLE  dvShortTextEven ">
      <w:r>
        <w:t xml:space="preserve"> </w:t>
      </w:r>
    </w:fldSimple>
    <w:r w:rsidRPr="00CF182F">
      <w:t xml:space="preserve"> </w:t>
    </w:r>
    <w:r>
      <w:t>OPCAT Report: Mental Health</w: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25F98A" w14:textId="77777777" w:rsidR="0052453C" w:rsidRPr="0059155D" w:rsidRDefault="0052453C" w:rsidP="000F43B0">
    <w:pPr>
      <w:pStyle w:val="Footerline"/>
    </w:pPr>
  </w:p>
  <w:p w14:paraId="02E2EDD7" w14:textId="77777777" w:rsidR="0052453C" w:rsidRPr="0059155D" w:rsidRDefault="0052453C" w:rsidP="000F43B0">
    <w:pPr>
      <w:pStyle w:val="Footerline"/>
    </w:pPr>
  </w:p>
  <w:p w14:paraId="56CB0840" w14:textId="36AF3DA0" w:rsidR="0052453C" w:rsidRPr="005533D8" w:rsidRDefault="0052453C" w:rsidP="000F43B0">
    <w:pPr>
      <w:pStyle w:val="Footer"/>
    </w:pPr>
    <w:r>
      <w:tab/>
      <w:t>OPCAT Report: Mental Health</w:t>
    </w:r>
    <w:fldSimple w:instr=" DOCVARIABLE  dvShortText ">
      <w:r>
        <w:t xml:space="preserve"> </w:t>
      </w:r>
    </w:fldSimple>
    <w:r>
      <w:t xml:space="preserve"> Page </w:t>
    </w:r>
    <w:r w:rsidRPr="00A32286">
      <w:rPr>
        <w:rStyle w:val="PageNumber"/>
      </w:rPr>
      <w:fldChar w:fldCharType="begin"/>
    </w:r>
    <w:r w:rsidRPr="00A32286">
      <w:rPr>
        <w:rStyle w:val="PageNumber"/>
      </w:rPr>
      <w:instrText xml:space="preserve"> PAGE   \* MERGEFORMAT </w:instrText>
    </w:r>
    <w:r w:rsidRPr="00A32286">
      <w:rPr>
        <w:rStyle w:val="PageNumber"/>
      </w:rPr>
      <w:fldChar w:fldCharType="separate"/>
    </w:r>
    <w:r w:rsidR="002B75B3">
      <w:rPr>
        <w:rStyle w:val="PageNumber"/>
        <w:noProof/>
      </w:rPr>
      <w:t>17</w:t>
    </w:r>
    <w:r w:rsidRPr="00A32286">
      <w:rPr>
        <w:rStyle w:val="PageNumber"/>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099B9D" w14:textId="77777777" w:rsidR="0052453C" w:rsidRDefault="0052453C" w:rsidP="00A85BB2">
    <w:pPr>
      <w:pStyle w:val="Footerline"/>
    </w:pPr>
  </w:p>
  <w:p w14:paraId="38A398A6" w14:textId="77777777" w:rsidR="0052453C" w:rsidRDefault="0052453C" w:rsidP="00A85BB2">
    <w:pPr>
      <w:pStyle w:val="Footer"/>
    </w:pPr>
    <w:r>
      <w:tab/>
      <w:t>COTA Prison Report</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AB552CE" w14:textId="77777777" w:rsidR="00197009" w:rsidRPr="00D45126" w:rsidRDefault="00197009" w:rsidP="002D6208">
      <w:pPr>
        <w:spacing w:after="0" w:line="240" w:lineRule="auto"/>
        <w:rPr>
          <w:color w:val="4D4D4D"/>
        </w:rPr>
      </w:pPr>
      <w:r w:rsidRPr="00D45126">
        <w:rPr>
          <w:color w:val="4D4D4D"/>
        </w:rPr>
        <w:separator/>
      </w:r>
    </w:p>
  </w:footnote>
  <w:footnote w:type="continuationSeparator" w:id="0">
    <w:p w14:paraId="28E453AE" w14:textId="77777777" w:rsidR="00197009" w:rsidRPr="00C14083" w:rsidRDefault="00197009" w:rsidP="00554FCD">
      <w:pPr>
        <w:spacing w:after="0" w:line="240" w:lineRule="auto"/>
        <w:rPr>
          <w:color w:val="4D4D4D"/>
        </w:rPr>
      </w:pPr>
      <w:r w:rsidRPr="00C14083">
        <w:rPr>
          <w:color w:val="4D4D4D"/>
        </w:rPr>
        <w:continuationSeparator/>
      </w:r>
    </w:p>
  </w:footnote>
  <w:footnote w:type="continuationNotice" w:id="1">
    <w:p w14:paraId="56522666" w14:textId="77777777" w:rsidR="00197009" w:rsidRDefault="00197009">
      <w:pPr>
        <w:spacing w:after="0" w:line="240" w:lineRule="auto"/>
      </w:pPr>
    </w:p>
  </w:footnote>
  <w:footnote w:id="2">
    <w:p w14:paraId="1BB26058" w14:textId="3560E768" w:rsidR="0052453C" w:rsidRPr="0029272A" w:rsidRDefault="0052453C" w:rsidP="00476793">
      <w:pPr>
        <w:pStyle w:val="footnotedescription"/>
        <w:spacing w:line="260" w:lineRule="auto"/>
      </w:pPr>
      <w:r w:rsidRPr="0029272A">
        <w:rPr>
          <w:rStyle w:val="footnotemark"/>
        </w:rPr>
        <w:footnoteRef/>
      </w:r>
      <w:r w:rsidRPr="0029272A">
        <w:t xml:space="preserve"> </w:t>
      </w:r>
      <w:r w:rsidRPr="0029272A">
        <w:tab/>
      </w:r>
      <w:r w:rsidRPr="0029272A">
        <w:rPr>
          <w:rStyle w:val="FootnoteTextChar"/>
        </w:rPr>
        <w:t>The Convention against Torture and Other Cruel, Inhuman or Degrading Treatment or Punishment, and the Optional Protocol to the Convention against Torture and Other Cruel, Inhuman or Degrading Treatment or Punishment. More information about OPCAT and the Chief Ombudsman’s National Preventive Mechanism (NPM) function can be found at</w:t>
      </w:r>
      <w:r w:rsidRPr="0029272A">
        <w:t xml:space="preserve"> </w:t>
      </w:r>
      <w:hyperlink r:id="rId1">
        <w:r w:rsidRPr="0029272A">
          <w:rPr>
            <w:color w:val="0D6AB8"/>
            <w:u w:val="single" w:color="0D6AB8"/>
          </w:rPr>
          <w:t>https://www.ombudsman.parliament.nz/what</w:t>
        </w:r>
      </w:hyperlink>
      <w:hyperlink r:id="rId2">
        <w:r w:rsidRPr="0029272A">
          <w:rPr>
            <w:color w:val="0D6AB8"/>
            <w:u w:val="single" w:color="0D6AB8"/>
          </w:rPr>
          <w:t>-</w:t>
        </w:r>
      </w:hyperlink>
      <w:hyperlink r:id="rId3">
        <w:r w:rsidRPr="0029272A">
          <w:rPr>
            <w:color w:val="0D6AB8"/>
            <w:u w:val="single" w:color="0D6AB8"/>
          </w:rPr>
          <w:t>we</w:t>
        </w:r>
      </w:hyperlink>
      <w:hyperlink r:id="rId4">
        <w:r w:rsidRPr="0029272A">
          <w:rPr>
            <w:color w:val="0D6AB8"/>
            <w:u w:val="single" w:color="0D6AB8"/>
          </w:rPr>
          <w:t>-</w:t>
        </w:r>
      </w:hyperlink>
      <w:hyperlink r:id="rId5">
        <w:r w:rsidRPr="0029272A">
          <w:rPr>
            <w:color w:val="0D6AB8"/>
            <w:u w:val="single" w:color="0D6AB8"/>
          </w:rPr>
          <w:t>can</w:t>
        </w:r>
      </w:hyperlink>
      <w:hyperlink r:id="rId6">
        <w:r w:rsidRPr="0029272A">
          <w:rPr>
            <w:color w:val="0D6AB8"/>
            <w:u w:val="single" w:color="0D6AB8"/>
          </w:rPr>
          <w:t>-</w:t>
        </w:r>
      </w:hyperlink>
      <w:hyperlink r:id="rId7">
        <w:r w:rsidRPr="0029272A">
          <w:rPr>
            <w:color w:val="0D6AB8"/>
            <w:u w:val="single" w:color="0D6AB8"/>
          </w:rPr>
          <w:t>help/monitoring</w:t>
        </w:r>
      </w:hyperlink>
      <w:r w:rsidRPr="0029272A">
        <w:rPr>
          <w:color w:val="0D6AB8"/>
          <w:u w:val="single" w:color="0D6AB8"/>
        </w:rPr>
        <w:t>-</w:t>
      </w:r>
      <w:hyperlink r:id="rId8">
        <w:r w:rsidRPr="0029272A">
          <w:rPr>
            <w:color w:val="0D6AB8"/>
            <w:u w:val="single" w:color="0D6AB8"/>
          </w:rPr>
          <w:t>places</w:t>
        </w:r>
      </w:hyperlink>
      <w:hyperlink r:id="rId9">
        <w:r w:rsidRPr="0029272A">
          <w:rPr>
            <w:color w:val="0D6AB8"/>
            <w:u w:val="single" w:color="0D6AB8"/>
          </w:rPr>
          <w:t>-</w:t>
        </w:r>
      </w:hyperlink>
      <w:hyperlink r:id="rId10">
        <w:r w:rsidRPr="0029272A">
          <w:rPr>
            <w:color w:val="0D6AB8"/>
            <w:u w:val="single" w:color="0D6AB8"/>
          </w:rPr>
          <w:t>detention/why</w:t>
        </w:r>
      </w:hyperlink>
      <w:hyperlink r:id="rId11">
        <w:r w:rsidRPr="0029272A">
          <w:rPr>
            <w:color w:val="0D6AB8"/>
            <w:u w:val="single" w:color="0D6AB8"/>
          </w:rPr>
          <w:t>-</w:t>
        </w:r>
      </w:hyperlink>
      <w:hyperlink r:id="rId12">
        <w:r w:rsidRPr="0029272A">
          <w:rPr>
            <w:color w:val="0D6AB8"/>
            <w:u w:val="single" w:color="0D6AB8"/>
          </w:rPr>
          <w:t>ombudsman</w:t>
        </w:r>
      </w:hyperlink>
      <w:hyperlink r:id="rId13">
        <w:r w:rsidRPr="0029272A">
          <w:rPr>
            <w:color w:val="0D6AB8"/>
            <w:u w:val="single" w:color="0D6AB8"/>
          </w:rPr>
          <w:t>-</w:t>
        </w:r>
      </w:hyperlink>
      <w:hyperlink r:id="rId14">
        <w:r w:rsidRPr="0029272A">
          <w:rPr>
            <w:color w:val="0D6AB8"/>
            <w:u w:val="single" w:color="0D6AB8"/>
          </w:rPr>
          <w:t>monitors</w:t>
        </w:r>
      </w:hyperlink>
      <w:hyperlink r:id="rId15">
        <w:r w:rsidRPr="0029272A">
          <w:rPr>
            <w:color w:val="0D6AB8"/>
            <w:u w:val="single" w:color="0D6AB8"/>
          </w:rPr>
          <w:t>-</w:t>
        </w:r>
      </w:hyperlink>
      <w:hyperlink r:id="rId16">
        <w:r w:rsidRPr="0029272A">
          <w:rPr>
            <w:color w:val="0D6AB8"/>
            <w:u w:val="single" w:color="0D6AB8"/>
          </w:rPr>
          <w:t>places</w:t>
        </w:r>
      </w:hyperlink>
      <w:hyperlink r:id="rId17">
        <w:r w:rsidRPr="0029272A">
          <w:rPr>
            <w:color w:val="0D6AB8"/>
            <w:u w:val="single" w:color="0D6AB8"/>
          </w:rPr>
          <w:t>-</w:t>
        </w:r>
      </w:hyperlink>
      <w:hyperlink r:id="rId18">
        <w:r w:rsidRPr="0029272A">
          <w:rPr>
            <w:color w:val="0D6AB8"/>
            <w:u w:val="single" w:color="0D6AB8"/>
          </w:rPr>
          <w:t>detention</w:t>
        </w:r>
      </w:hyperlink>
    </w:p>
  </w:footnote>
  <w:footnote w:id="3">
    <w:p w14:paraId="6F9760CA" w14:textId="619A4B09" w:rsidR="0052453C" w:rsidRPr="0029272A" w:rsidRDefault="0052453C" w:rsidP="008D00B3">
      <w:pPr>
        <w:pStyle w:val="footnotedescription"/>
        <w:spacing w:after="74"/>
      </w:pPr>
      <w:r w:rsidRPr="0029272A">
        <w:rPr>
          <w:rStyle w:val="footnotemark"/>
        </w:rPr>
        <w:footnoteRef/>
      </w:r>
      <w:r w:rsidRPr="0029272A">
        <w:t xml:space="preserve"> </w:t>
      </w:r>
      <w:r w:rsidRPr="0029272A">
        <w:tab/>
      </w:r>
      <w:r w:rsidRPr="0029272A">
        <w:rPr>
          <w:rStyle w:val="FootnoteTextChar"/>
          <w:i/>
        </w:rPr>
        <w:t>Report on an unannounced inspection of He Puna Wāiora Mental Health Inpatient Unit, under the Crimes of Torture Act 1989</w:t>
      </w:r>
      <w:r w:rsidRPr="0029272A">
        <w:rPr>
          <w:rStyle w:val="FootnoteTextChar"/>
        </w:rPr>
        <w:t>, (2020) Wellington</w:t>
      </w:r>
      <w:r w:rsidRPr="0029272A">
        <w:t xml:space="preserve">.  </w:t>
      </w:r>
      <w:hyperlink r:id="rId19" w:history="1">
        <w:r w:rsidRPr="0029272A">
          <w:rPr>
            <w:rStyle w:val="Hyperlink"/>
          </w:rPr>
          <w:t>https://www.ombudsman.parliament.nz/resources/report-unannounced-inspection-he-puna-waiora-mental-health-inpatient-unit-north-shore</w:t>
        </w:r>
      </w:hyperlink>
      <w:r w:rsidRPr="0029272A">
        <w:t xml:space="preserve"> </w:t>
      </w:r>
    </w:p>
  </w:footnote>
  <w:footnote w:id="4">
    <w:p w14:paraId="0ECCFBAC" w14:textId="773D7255" w:rsidR="0052453C" w:rsidRPr="0029272A" w:rsidRDefault="0052453C">
      <w:pPr>
        <w:pStyle w:val="FootnoteText"/>
      </w:pPr>
      <w:r w:rsidRPr="0029272A">
        <w:rPr>
          <w:rStyle w:val="FootnoteReference"/>
        </w:rPr>
        <w:footnoteRef/>
      </w:r>
      <w:r w:rsidRPr="0029272A">
        <w:t xml:space="preserve"> </w:t>
      </w:r>
      <w:r w:rsidRPr="0029272A">
        <w:tab/>
        <w:t xml:space="preserve">See </w:t>
      </w:r>
      <w:hyperlink r:id="rId20" w:history="1">
        <w:r w:rsidRPr="0029272A">
          <w:rPr>
            <w:rStyle w:val="Hyperlink"/>
          </w:rPr>
          <w:t>https://covid19.govt.nz/about-our-covid-19-response/history-of-the-covid-19-protection-framework-traffic-lights/</w:t>
        </w:r>
      </w:hyperlink>
      <w:r w:rsidRPr="0029272A">
        <w:t xml:space="preserve"> for more information about the New Zealand’s COVID-19 Protection Framework.</w:t>
      </w:r>
    </w:p>
  </w:footnote>
  <w:footnote w:id="5">
    <w:p w14:paraId="5B7FDF39" w14:textId="40FBFD0F" w:rsidR="0052453C" w:rsidRPr="0029272A" w:rsidRDefault="0052453C" w:rsidP="00725654">
      <w:pPr>
        <w:pStyle w:val="footnotedescription"/>
        <w:spacing w:after="70"/>
        <w:rPr>
          <w:rStyle w:val="FootnoteTextChar"/>
        </w:rPr>
      </w:pPr>
      <w:r w:rsidRPr="0029272A">
        <w:rPr>
          <w:rStyle w:val="footnotemark"/>
        </w:rPr>
        <w:footnoteRef/>
      </w:r>
      <w:r w:rsidRPr="0029272A">
        <w:t xml:space="preserve"> </w:t>
      </w:r>
      <w:r w:rsidRPr="0029272A">
        <w:tab/>
      </w:r>
      <w:r w:rsidRPr="0029272A">
        <w:rPr>
          <w:rStyle w:val="FootnoteTextChar"/>
        </w:rPr>
        <w:t xml:space="preserve">A person who uses mental health and addiction services. This term is often used interchangeably with consumer or client. In the report on my 2019 inspection, ‘service user’ is used for ‘tāngata whai ora’. In their response, Te Whatu Ora – Waitematā has used the phrase ‘tāngata whai i te ora’. </w:t>
      </w:r>
    </w:p>
  </w:footnote>
  <w:footnote w:id="6">
    <w:p w14:paraId="1F01E670" w14:textId="64FF6A17" w:rsidR="0052453C" w:rsidRPr="0029272A" w:rsidRDefault="0052453C">
      <w:pPr>
        <w:pStyle w:val="FootnoteText"/>
      </w:pPr>
      <w:r w:rsidRPr="0029272A">
        <w:rPr>
          <w:rStyle w:val="FootnoteReference"/>
        </w:rPr>
        <w:footnoteRef/>
      </w:r>
      <w:r w:rsidRPr="0029272A">
        <w:t xml:space="preserve"> </w:t>
      </w:r>
      <w:r w:rsidRPr="0029272A">
        <w:tab/>
        <w:t>The High Care Area generally accommodated tāngata whai ora with higher acuity and nursing needs.</w:t>
      </w:r>
    </w:p>
  </w:footnote>
  <w:footnote w:id="7">
    <w:p w14:paraId="68EAF35D" w14:textId="44D99350" w:rsidR="0052453C" w:rsidRPr="0029272A" w:rsidRDefault="0052453C">
      <w:pPr>
        <w:pStyle w:val="FootnoteText"/>
      </w:pPr>
      <w:r w:rsidRPr="0029272A">
        <w:rPr>
          <w:rStyle w:val="FootnoteReference"/>
        </w:rPr>
        <w:footnoteRef/>
      </w:r>
      <w:r w:rsidRPr="0029272A">
        <w:t xml:space="preserve"> </w:t>
      </w:r>
      <w:r w:rsidRPr="0029272A">
        <w:tab/>
        <w:t>Negative pressure rooms are hospital rooms for patients with infectious illnesses, separate from other patients, visitors, and healthcare staff. The air pressure inside the room is lower than the air pressure outside the room. When the door is opened, potentially contaminated air from inside the room will not flow outside into non-contaminated areas</w:t>
      </w:r>
      <w:r w:rsidRPr="0029272A">
        <w:rPr>
          <w:rFonts w:ascii="Arial" w:hAnsi="Arial" w:cs="Arial"/>
          <w:color w:val="333333"/>
          <w:shd w:val="clear" w:color="auto" w:fill="FFFFFF"/>
        </w:rPr>
        <w:t>.</w:t>
      </w:r>
    </w:p>
  </w:footnote>
  <w:footnote w:id="8">
    <w:p w14:paraId="24C30B2E" w14:textId="6E558A26" w:rsidR="0052453C" w:rsidRPr="0029272A" w:rsidRDefault="0052453C" w:rsidP="003D36A4">
      <w:pPr>
        <w:pStyle w:val="footnotedescription"/>
        <w:spacing w:after="78" w:line="248" w:lineRule="auto"/>
      </w:pPr>
      <w:r w:rsidRPr="0029272A">
        <w:rPr>
          <w:rStyle w:val="footnotemark"/>
        </w:rPr>
        <w:footnoteRef/>
      </w:r>
      <w:r w:rsidRPr="0029272A">
        <w:t xml:space="preserve"> </w:t>
      </w:r>
      <w:r w:rsidRPr="0029272A">
        <w:tab/>
        <w:t xml:space="preserve">Average number of days on the Unit is calculated by adding the number of days each tangata whai ora had been on the Unit as at 31 July 2022, then dividing by the total number of tāngata whai ora. The number of days each tangata whai ora had been on the Unit was provided by Unit staff. This may differ from the reported ‘average length of stay’ figures for Te Whatu Ora Waitematā, which also incorporate the numbers of admissions and discharges.   </w:t>
      </w:r>
    </w:p>
  </w:footnote>
  <w:footnote w:id="9">
    <w:p w14:paraId="3BBA2393" w14:textId="77777777" w:rsidR="0052453C" w:rsidRPr="0029272A" w:rsidRDefault="0052453C" w:rsidP="004C1B2E">
      <w:pPr>
        <w:pStyle w:val="FootnoteText"/>
      </w:pPr>
      <w:r w:rsidRPr="0029272A">
        <w:rPr>
          <w:rStyle w:val="FootnoteReference"/>
        </w:rPr>
        <w:footnoteRef/>
      </w:r>
      <w:r w:rsidRPr="0029272A">
        <w:t xml:space="preserve"> </w:t>
      </w:r>
      <w:r w:rsidRPr="0029272A">
        <w:tab/>
        <w:t>On 1 July 2022, DHBs were disestablished and replaced by Te Whatu Ora – Health New Zealand (Te Whatu Ora). Te Whatu Ora manages all health services in Aotearoa New Zealand, through a network of regional divisions and district offices, and works in partnership with Te Aka Whai Ora – the M</w:t>
      </w:r>
      <w:r w:rsidRPr="0029272A">
        <w:rPr>
          <w:rFonts w:cs="Calibri"/>
        </w:rPr>
        <w:t>ā</w:t>
      </w:r>
      <w:r w:rsidRPr="0029272A">
        <w:t xml:space="preserve">ori Health Authority. </w:t>
      </w:r>
    </w:p>
  </w:footnote>
  <w:footnote w:id="10">
    <w:p w14:paraId="4B780C1F" w14:textId="5F3DA12E" w:rsidR="0052453C" w:rsidRPr="0029272A" w:rsidRDefault="0052453C" w:rsidP="008D00B3">
      <w:pPr>
        <w:pStyle w:val="footnotedescription"/>
        <w:spacing w:line="247" w:lineRule="auto"/>
      </w:pPr>
      <w:r w:rsidRPr="0029272A">
        <w:rPr>
          <w:rStyle w:val="footnotemark"/>
        </w:rPr>
        <w:footnoteRef/>
      </w:r>
      <w:r w:rsidRPr="0029272A">
        <w:t xml:space="preserve"> </w:t>
      </w:r>
      <w:r w:rsidRPr="0029272A">
        <w:tab/>
        <w:t xml:space="preserve">I am empowered by section 27 of the Crimes of Torture Act 1989 to make recommendations for improving the conditions and treatment of detention applying to detainees and for preventing torture and other cruel, inhuman or degrading treatment or punishment in places of detention. </w:t>
      </w:r>
    </w:p>
  </w:footnote>
  <w:footnote w:id="11">
    <w:p w14:paraId="05F118C7" w14:textId="5567563F" w:rsidR="0052453C" w:rsidRPr="0029272A" w:rsidRDefault="0052453C" w:rsidP="008A41C2">
      <w:pPr>
        <w:pStyle w:val="FootnoteText"/>
      </w:pPr>
      <w:r w:rsidRPr="0029272A">
        <w:rPr>
          <w:rStyle w:val="FootnoteReference"/>
        </w:rPr>
        <w:footnoteRef/>
      </w:r>
      <w:r w:rsidRPr="0029272A">
        <w:t xml:space="preserve"> </w:t>
      </w:r>
      <w:r w:rsidRPr="0029272A">
        <w:tab/>
        <w:t>Seclusion is defined as: ‘A type of restraint where a person is placed alone in a room or area, at any time and for any duration</w:t>
      </w:r>
      <w:r>
        <w:t>, f</w:t>
      </w:r>
      <w:r w:rsidRPr="0029272A">
        <w:t xml:space="preserve">rom which they cannot freely exit.’ New Zealand Standard. Ngā Paerewa Health and Disability Services Standard NZS 8134: 2021. Ministry of Health. </w:t>
      </w:r>
    </w:p>
  </w:footnote>
  <w:footnote w:id="12">
    <w:p w14:paraId="08F9A5D9" w14:textId="77777777" w:rsidR="0052453C" w:rsidRPr="0029272A" w:rsidRDefault="0052453C" w:rsidP="00AD39ED">
      <w:pPr>
        <w:pStyle w:val="FootnoteText"/>
      </w:pPr>
      <w:r w:rsidRPr="0029272A">
        <w:rPr>
          <w:rStyle w:val="FootnoteReference"/>
        </w:rPr>
        <w:footnoteRef/>
      </w:r>
      <w:r w:rsidRPr="0029272A">
        <w:t xml:space="preserve"> </w:t>
      </w:r>
      <w:r w:rsidRPr="0029272A">
        <w:tab/>
        <w:t xml:space="preserve">The </w:t>
      </w:r>
      <w:r w:rsidRPr="0029272A">
        <w:rPr>
          <w:i/>
        </w:rPr>
        <w:t xml:space="preserve">Seclusion Procedures &amp; Guidelines – SMH + A </w:t>
      </w:r>
      <w:r w:rsidRPr="0029272A">
        <w:t>document states that ‘</w:t>
      </w:r>
      <w:r w:rsidRPr="0029272A">
        <w:rPr>
          <w:i/>
        </w:rPr>
        <w:t xml:space="preserve">safety precautions taken when entering the room include a minimum number of 3 staff members, one of whom will be an RN’.  </w:t>
      </w:r>
    </w:p>
  </w:footnote>
  <w:footnote w:id="13">
    <w:p w14:paraId="08C6C148" w14:textId="4A9A3C5C" w:rsidR="0052453C" w:rsidRPr="0029272A" w:rsidRDefault="0052453C">
      <w:pPr>
        <w:pStyle w:val="FootnoteText"/>
      </w:pPr>
      <w:r w:rsidRPr="0029272A">
        <w:rPr>
          <w:rStyle w:val="FootnoteReference"/>
        </w:rPr>
        <w:footnoteRef/>
      </w:r>
      <w:r w:rsidRPr="0029272A">
        <w:t xml:space="preserve"> </w:t>
      </w:r>
      <w:r w:rsidRPr="0029272A">
        <w:tab/>
      </w:r>
      <w:r w:rsidRPr="0029272A">
        <w:rPr>
          <w:i/>
        </w:rPr>
        <w:t>Report on an unannounced visit to He Puna Waiora Acute Adult Inpatient Mental Health Unit Under the Crimes of Torture Act 1989,</w:t>
      </w:r>
      <w:r w:rsidRPr="0029272A">
        <w:t xml:space="preserve"> (2016) Wellington.  </w:t>
      </w:r>
    </w:p>
  </w:footnote>
  <w:footnote w:id="14">
    <w:p w14:paraId="76862CB3" w14:textId="40F950ED" w:rsidR="0052453C" w:rsidRPr="0029272A" w:rsidRDefault="0052453C">
      <w:pPr>
        <w:pStyle w:val="FootnoteText"/>
        <w:rPr>
          <w:lang w:val="en-US"/>
        </w:rPr>
      </w:pPr>
      <w:r w:rsidRPr="0029272A">
        <w:rPr>
          <w:rStyle w:val="FootnoteReference"/>
        </w:rPr>
        <w:footnoteRef/>
      </w:r>
      <w:r w:rsidRPr="0029272A">
        <w:t xml:space="preserve"> </w:t>
      </w:r>
      <w:r w:rsidRPr="0029272A">
        <w:tab/>
      </w:r>
      <w:r w:rsidRPr="0029272A">
        <w:rPr>
          <w:lang w:val="en-US"/>
        </w:rPr>
        <w:t xml:space="preserve">Seclusion review panels are where a multi-disciplinary team weekly review all recent seclusion and restraint events and paperwork. </w:t>
      </w:r>
      <w:r w:rsidRPr="0029272A">
        <w:t>This review includes:</w:t>
      </w:r>
      <w:r w:rsidRPr="0029272A">
        <w:rPr>
          <w:color w:val="auto"/>
        </w:rPr>
        <w:t xml:space="preserve"> </w:t>
      </w:r>
      <w:r w:rsidRPr="0029272A">
        <w:t>ensuring paperwork was completed, confirming a debrief took place, if whānau were informed, that relevant clinical information was recorded, and what alternative interventions were attempted (e.g. de-escalation attempts). As a result the panel identify improvements, follow up or changes that are required moving forward.</w:t>
      </w:r>
    </w:p>
  </w:footnote>
  <w:footnote w:id="15">
    <w:p w14:paraId="49C511F6" w14:textId="1F6E1876" w:rsidR="0052453C" w:rsidRPr="0029272A" w:rsidRDefault="0052453C">
      <w:pPr>
        <w:pStyle w:val="FootnoteText"/>
      </w:pPr>
      <w:r w:rsidRPr="0029272A">
        <w:rPr>
          <w:rStyle w:val="FootnoteReference"/>
        </w:rPr>
        <w:footnoteRef/>
      </w:r>
      <w:r w:rsidRPr="0029272A">
        <w:t xml:space="preserve">   The importance of person and whānau-centred post-seclusion debriefs is discussed in subsection 6.4.5 in </w:t>
      </w:r>
      <w:r w:rsidRPr="0029272A">
        <w:rPr>
          <w:lang w:val="en-US"/>
        </w:rPr>
        <w:t>Ngā Paerewa (Ngā Paerewa, NZS 8134:2021)</w:t>
      </w:r>
    </w:p>
  </w:footnote>
  <w:footnote w:id="16">
    <w:p w14:paraId="2D391AB0" w14:textId="6DD6FAE1" w:rsidR="0052453C" w:rsidRPr="0029272A" w:rsidRDefault="0052453C">
      <w:pPr>
        <w:pStyle w:val="FootnoteText"/>
      </w:pPr>
      <w:r w:rsidRPr="0029272A">
        <w:rPr>
          <w:rStyle w:val="FootnoteReference"/>
        </w:rPr>
        <w:footnoteRef/>
      </w:r>
      <w:r w:rsidRPr="0029272A">
        <w:t xml:space="preserve"> </w:t>
      </w:r>
      <w:r w:rsidRPr="0029272A">
        <w:tab/>
        <w:t>These were not displayed in the low stimulus area, or the Gold Wing. A staff member advised Inspectors that posters were not displayed in the Gold Wing due to ‘infection control considerations’.</w:t>
      </w:r>
    </w:p>
  </w:footnote>
  <w:footnote w:id="17">
    <w:p w14:paraId="6FF828BE" w14:textId="2092107A" w:rsidR="0052453C" w:rsidRPr="0029272A" w:rsidRDefault="0052453C">
      <w:pPr>
        <w:pStyle w:val="FootnoteText"/>
      </w:pPr>
      <w:r w:rsidRPr="0029272A">
        <w:rPr>
          <w:rStyle w:val="FootnoteReference"/>
        </w:rPr>
        <w:footnoteRef/>
      </w:r>
      <w:r w:rsidRPr="0029272A">
        <w:t xml:space="preserve"> </w:t>
      </w:r>
      <w:r w:rsidRPr="0029272A">
        <w:tab/>
        <w:t>With ventilation holes to keep the courtyard cool and well ventilated.</w:t>
      </w:r>
    </w:p>
  </w:footnote>
  <w:footnote w:id="18">
    <w:p w14:paraId="4AFF29DF" w14:textId="53E2A18C" w:rsidR="0052453C" w:rsidRPr="0029272A" w:rsidRDefault="0052453C">
      <w:pPr>
        <w:pStyle w:val="FootnoteText"/>
      </w:pPr>
      <w:r w:rsidRPr="0029272A">
        <w:rPr>
          <w:rStyle w:val="FootnoteReference"/>
        </w:rPr>
        <w:footnoteRef/>
      </w:r>
      <w:r w:rsidRPr="0029272A">
        <w:t xml:space="preserve">    </w:t>
      </w:r>
      <w:r w:rsidRPr="0029272A">
        <w:rPr>
          <w:lang w:val="en-US"/>
        </w:rPr>
        <w:t>Staff told Inspectors that the advertising for the role wasn’t well targeted to M</w:t>
      </w:r>
      <w:r w:rsidRPr="0029272A">
        <w:rPr>
          <w:rFonts w:cs="Calibri"/>
          <w:lang w:val="en-US"/>
        </w:rPr>
        <w:t>ā</w:t>
      </w:r>
      <w:r w:rsidRPr="0029272A">
        <w:rPr>
          <w:lang w:val="en-US"/>
        </w:rPr>
        <w:t>ori candidates and required changes to attract the right candidates</w:t>
      </w:r>
      <w:r w:rsidRPr="0029272A">
        <w:rPr>
          <w:i/>
          <w:lang w:val="en-US"/>
        </w:rPr>
        <w:t>.</w:t>
      </w:r>
    </w:p>
  </w:footnote>
  <w:footnote w:id="19">
    <w:p w14:paraId="1DC97583" w14:textId="0B580D76" w:rsidR="0052453C" w:rsidRPr="0029272A" w:rsidRDefault="0052453C">
      <w:pPr>
        <w:pStyle w:val="FootnoteText"/>
      </w:pPr>
      <w:r w:rsidRPr="0029272A">
        <w:rPr>
          <w:rStyle w:val="FootnoteReference"/>
        </w:rPr>
        <w:footnoteRef/>
      </w:r>
      <w:r w:rsidRPr="0029272A">
        <w:t xml:space="preserve"> </w:t>
      </w:r>
      <w:r w:rsidRPr="0029272A">
        <w:tab/>
      </w:r>
      <w:r w:rsidRPr="0029272A">
        <w:rPr>
          <w:color w:val="auto"/>
        </w:rPr>
        <w:t xml:space="preserve">The </w:t>
      </w:r>
      <w:hyperlink r:id="rId21" w:history="1">
        <w:r w:rsidRPr="0029272A">
          <w:rPr>
            <w:rStyle w:val="Hyperlink"/>
            <w:color w:val="auto"/>
            <w:u w:val="none"/>
          </w:rPr>
          <w:t>space</w:t>
        </w:r>
      </w:hyperlink>
      <w:r w:rsidRPr="0029272A">
        <w:rPr>
          <w:color w:val="auto"/>
        </w:rPr>
        <w:t xml:space="preserve"> included couches and a small kitchenette.</w:t>
      </w:r>
    </w:p>
  </w:footnote>
  <w:footnote w:id="20">
    <w:p w14:paraId="4E69B987" w14:textId="4C090E9B" w:rsidR="0052453C" w:rsidRPr="0029272A" w:rsidRDefault="0052453C">
      <w:pPr>
        <w:pStyle w:val="FootnoteText"/>
      </w:pPr>
      <w:r w:rsidRPr="0029272A">
        <w:rPr>
          <w:rStyle w:val="FootnoteReference"/>
        </w:rPr>
        <w:footnoteRef/>
      </w:r>
      <w:r w:rsidRPr="0029272A">
        <w:t xml:space="preserve"> </w:t>
      </w:r>
      <w:r w:rsidRPr="0029272A">
        <w:tab/>
        <w:t xml:space="preserve">Speech or greeting, official welcome speech - speech acknowledging those present at a gathering. See </w:t>
      </w:r>
      <w:hyperlink r:id="rId22" w:history="1">
        <w:r w:rsidRPr="0029272A">
          <w:rPr>
            <w:rStyle w:val="Hyperlink"/>
          </w:rPr>
          <w:t>https://maoridictionary.co.nz</w:t>
        </w:r>
      </w:hyperlink>
      <w:r w:rsidRPr="0029272A">
        <w:rPr>
          <w:color w:val="auto"/>
        </w:rPr>
        <w:t xml:space="preserve">   </w:t>
      </w:r>
    </w:p>
  </w:footnote>
  <w:footnote w:id="21">
    <w:p w14:paraId="13ECA067" w14:textId="128226A1" w:rsidR="0052453C" w:rsidRPr="0029272A" w:rsidRDefault="0052453C" w:rsidP="00A20C5E">
      <w:pPr>
        <w:pStyle w:val="FootnoteText"/>
      </w:pPr>
      <w:r w:rsidRPr="0029272A">
        <w:rPr>
          <w:rStyle w:val="FootnoteReference"/>
        </w:rPr>
        <w:footnoteRef/>
      </w:r>
      <w:r w:rsidRPr="0029272A">
        <w:t xml:space="preserve"> </w:t>
      </w:r>
      <w:r w:rsidRPr="0029272A">
        <w:tab/>
        <w:t>Invitation, rituals of encounter, welcome ceremony on a marae, welcome. See</w:t>
      </w:r>
      <w:r w:rsidRPr="0029272A">
        <w:rPr>
          <w:color w:val="auto"/>
        </w:rPr>
        <w:t xml:space="preserve"> </w:t>
      </w:r>
      <w:hyperlink r:id="rId23" w:history="1">
        <w:r w:rsidRPr="0029272A">
          <w:rPr>
            <w:rStyle w:val="Hyperlink"/>
          </w:rPr>
          <w:t>https://maoridictionary.co.nz</w:t>
        </w:r>
      </w:hyperlink>
      <w:r w:rsidRPr="0029272A">
        <w:rPr>
          <w:color w:val="auto"/>
        </w:rPr>
        <w:t xml:space="preserve">  </w:t>
      </w:r>
    </w:p>
  </w:footnote>
  <w:footnote w:id="22">
    <w:p w14:paraId="4D9BFD26" w14:textId="2610AB8F" w:rsidR="0052453C" w:rsidRPr="0029272A" w:rsidRDefault="0052453C">
      <w:pPr>
        <w:pStyle w:val="FootnoteText"/>
      </w:pPr>
      <w:r w:rsidRPr="0029272A">
        <w:rPr>
          <w:rStyle w:val="FootnoteReference"/>
        </w:rPr>
        <w:footnoteRef/>
      </w:r>
      <w:r w:rsidRPr="0029272A">
        <w:t xml:space="preserve">   </w:t>
      </w:r>
      <w:hyperlink r:id="rId24" w:history="1">
        <w:r w:rsidRPr="0029272A">
          <w:rPr>
            <w:rStyle w:val="Hyperlink"/>
          </w:rPr>
          <w:t>https://www.health.govt.nz/our-work/populations/maori-health/maori-health-models/maori-health-models-te-whare-tapa-wha</w:t>
        </w:r>
      </w:hyperlink>
      <w:r w:rsidRPr="0029272A">
        <w:t xml:space="preserve"> </w:t>
      </w:r>
    </w:p>
  </w:footnote>
  <w:footnote w:id="23">
    <w:p w14:paraId="4E66A7E5" w14:textId="574844FE" w:rsidR="0052453C" w:rsidRPr="0029272A" w:rsidRDefault="0052453C" w:rsidP="00C05A4E">
      <w:pPr>
        <w:pStyle w:val="Footnote"/>
      </w:pPr>
      <w:r w:rsidRPr="0029272A">
        <w:rPr>
          <w:rStyle w:val="FootnoteReference"/>
        </w:rPr>
        <w:footnoteRef/>
      </w:r>
      <w:r w:rsidRPr="0029272A">
        <w:t xml:space="preserve"> </w:t>
      </w:r>
      <w:r w:rsidRPr="0029272A">
        <w:tab/>
        <w:t xml:space="preserve">For </w:t>
      </w:r>
      <w:r w:rsidRPr="0029272A">
        <w:rPr>
          <w:rStyle w:val="FootnoteTextChar"/>
        </w:rPr>
        <w:t>example through lawyers and the District Inspectors.</w:t>
      </w:r>
    </w:p>
  </w:footnote>
  <w:footnote w:id="24">
    <w:p w14:paraId="758CE869" w14:textId="3D06542B" w:rsidR="0052453C" w:rsidRPr="0029272A" w:rsidRDefault="0052453C" w:rsidP="00C65590">
      <w:pPr>
        <w:pStyle w:val="FootnoteText"/>
      </w:pPr>
      <w:r w:rsidRPr="0029272A">
        <w:rPr>
          <w:rStyle w:val="FootnoteReference"/>
        </w:rPr>
        <w:footnoteRef/>
      </w:r>
      <w:r w:rsidRPr="0029272A">
        <w:t xml:space="preserve"> </w:t>
      </w:r>
      <w:r w:rsidRPr="0029272A">
        <w:tab/>
        <w:t>Who had been in place for the last 10 months at the time of inspection.</w:t>
      </w:r>
    </w:p>
  </w:footnote>
  <w:footnote w:id="25">
    <w:p w14:paraId="4694B8CB" w14:textId="240387AF" w:rsidR="0052453C" w:rsidRPr="0029272A" w:rsidRDefault="0052453C">
      <w:pPr>
        <w:pStyle w:val="FootnoteText"/>
      </w:pPr>
      <w:r w:rsidRPr="0029272A">
        <w:rPr>
          <w:rStyle w:val="FootnoteReference"/>
        </w:rPr>
        <w:footnoteRef/>
      </w:r>
      <w:r w:rsidRPr="0029272A">
        <w:t xml:space="preserve"> </w:t>
      </w:r>
      <w:r w:rsidRPr="0029272A">
        <w:tab/>
        <w:t>Vacancy data provided to Inspectors on the first day of inspection, 22 August 2022.</w:t>
      </w:r>
    </w:p>
  </w:footnote>
  <w:footnote w:id="26">
    <w:p w14:paraId="5FA2D52C" w14:textId="15660638" w:rsidR="0052453C" w:rsidRPr="0029272A" w:rsidRDefault="0052453C">
      <w:pPr>
        <w:pStyle w:val="FootnoteText"/>
      </w:pPr>
      <w:r w:rsidRPr="0029272A">
        <w:rPr>
          <w:rStyle w:val="FootnoteReference"/>
        </w:rPr>
        <w:footnoteRef/>
      </w:r>
      <w:r w:rsidRPr="0029272A">
        <w:t xml:space="preserve">  </w:t>
      </w:r>
      <w:r w:rsidRPr="0029272A">
        <w:tab/>
        <w:t>As a result of deaths of tāngata whai ora at the Unit in 2019.</w:t>
      </w:r>
    </w:p>
  </w:footnote>
  <w:footnote w:id="27">
    <w:p w14:paraId="300F0BB5" w14:textId="2AF16C7C" w:rsidR="0052453C" w:rsidRDefault="0052453C">
      <w:pPr>
        <w:pStyle w:val="FootnoteText"/>
      </w:pPr>
      <w:r w:rsidRPr="0029272A">
        <w:rPr>
          <w:rStyle w:val="FootnoteReference"/>
        </w:rPr>
        <w:footnoteRef/>
      </w:r>
      <w:r w:rsidRPr="0029272A">
        <w:t xml:space="preserve">  </w:t>
      </w:r>
      <w:r w:rsidRPr="0029272A">
        <w:tab/>
        <w:t xml:space="preserve">In line with the definition provided in </w:t>
      </w:r>
      <w:r w:rsidRPr="0029272A">
        <w:rPr>
          <w:lang w:val="en-US"/>
        </w:rPr>
        <w:t>Ngā Paerewa (Ngā Paerewa, NZS 8134:2021).</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ADB84E" w14:textId="77777777" w:rsidR="0052453C" w:rsidRDefault="0052453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43ACA9" w14:textId="77777777" w:rsidR="0052453C" w:rsidRDefault="0052453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12EDDA" w14:textId="77777777" w:rsidR="0052453C" w:rsidRDefault="0052453C">
    <w:pPr>
      <w:pStyle w:val="Header"/>
    </w:pPr>
    <w:r w:rsidRPr="00D551D1">
      <w:rPr>
        <w:noProof/>
        <w:lang w:eastAsia="en-NZ"/>
      </w:rPr>
      <w:drawing>
        <wp:anchor distT="0" distB="0" distL="114300" distR="114300" simplePos="0" relativeHeight="251659264" behindDoc="1" locked="0" layoutInCell="1" allowOverlap="1" wp14:anchorId="086E88B4" wp14:editId="137F262E">
          <wp:simplePos x="0" y="0"/>
          <wp:positionH relativeFrom="page">
            <wp:posOffset>0</wp:posOffset>
          </wp:positionH>
          <wp:positionV relativeFrom="page">
            <wp:posOffset>0</wp:posOffset>
          </wp:positionV>
          <wp:extent cx="7559040" cy="10696575"/>
          <wp:effectExtent l="0" t="0" r="3810" b="9525"/>
          <wp:wrapNone/>
          <wp:docPr id="1" name="Picture 0" title="Office of the Ombudsman cover page logo – features the word Ombudsman in bold font with the text ‘Fairness for all’ in a smaller font-size below. A graphic of a fern furls into the ‘O’ helping to form the first letter of the word Ombuds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TA Report Image_Purple_V1.jpg"/>
                  <pic:cNvPicPr/>
                </pic:nvPicPr>
                <pic:blipFill>
                  <a:blip r:embed="rId1" cstate="print"/>
                  <a:stretch>
                    <a:fillRect/>
                  </a:stretch>
                </pic:blipFill>
                <pic:spPr>
                  <a:xfrm>
                    <a:off x="0" y="0"/>
                    <a:ext cx="7559040" cy="10696575"/>
                  </a:xfrm>
                  <a:prstGeom prst="rect">
                    <a:avLst/>
                  </a:prstGeom>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D4ABD6" w14:textId="77777777" w:rsidR="0052453C" w:rsidRDefault="0052453C" w:rsidP="00672F95">
    <w:pPr>
      <w:pStyle w:val="Header"/>
    </w:pPr>
    <w:r>
      <w:rPr>
        <w:rStyle w:val="PageNumber"/>
      </w:rPr>
      <w:tab/>
    </w:r>
    <w:r w:rsidRPr="00DD54DF">
      <w:t>Tari o te Kaitiaki Mana Tangata</w:t>
    </w:r>
    <w:r>
      <w:t xml:space="preserve"> | Office of the Ombudsman</w:t>
    </w:r>
  </w:p>
  <w:p w14:paraId="4BD13DAF" w14:textId="77777777" w:rsidR="0052453C" w:rsidRPr="003C2059" w:rsidRDefault="0052453C" w:rsidP="00672F95">
    <w:pPr>
      <w:pStyle w:val="Headerline"/>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89D62A" w14:textId="77777777" w:rsidR="0052453C" w:rsidRDefault="0052453C" w:rsidP="003C2059">
    <w:pPr>
      <w:pStyle w:val="Header"/>
      <w:rPr>
        <w:rStyle w:val="PageNumber"/>
      </w:rPr>
    </w:pPr>
    <w:r>
      <w:t xml:space="preserve">Office of the Ombudsman | </w:t>
    </w:r>
    <w:r w:rsidRPr="00DD54DF">
      <w:t>Tari o te Kaitiaki Mana Tangata</w:t>
    </w:r>
  </w:p>
  <w:p w14:paraId="0DE9ECB1" w14:textId="77777777" w:rsidR="0052453C" w:rsidRPr="003C2059" w:rsidRDefault="0052453C" w:rsidP="001754AE">
    <w:pPr>
      <w:pStyle w:val="Headerline"/>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B17457" w14:textId="77777777" w:rsidR="0052453C" w:rsidRDefault="0052453C" w:rsidP="00E671C1">
    <w:pPr>
      <w:pStyle w:val="Header"/>
      <w:rPr>
        <w:rStyle w:val="PageNumber"/>
      </w:rPr>
    </w:pPr>
    <w:r>
      <w:t xml:space="preserve">Office of the Ombudsman | </w:t>
    </w:r>
    <w:r w:rsidRPr="00DD54DF">
      <w:t>Tari o te Kaitiaki Mana Tangata</w:t>
    </w:r>
  </w:p>
  <w:p w14:paraId="68C9032C" w14:textId="77777777" w:rsidR="0052453C" w:rsidRPr="003C2059" w:rsidRDefault="0052453C" w:rsidP="00E671C1">
    <w:pPr>
      <w:pStyle w:val="Headerline"/>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8D9602" w14:textId="77777777" w:rsidR="0052453C" w:rsidRDefault="0052453C" w:rsidP="00203F58">
    <w:pPr>
      <w:pStyle w:val="Header"/>
    </w:pPr>
    <w:r>
      <w:rPr>
        <w:rStyle w:val="PageNumber"/>
      </w:rPr>
      <w:tab/>
    </w:r>
    <w:r w:rsidRPr="00DD54DF">
      <w:t>Tari o te Kaitiaki Mana Tangata</w:t>
    </w:r>
    <w:r>
      <w:t xml:space="preserve"> | Office of the Ombudsman</w:t>
    </w:r>
  </w:p>
  <w:p w14:paraId="34C0A564" w14:textId="77777777" w:rsidR="0052453C" w:rsidRPr="003C2059" w:rsidRDefault="0052453C" w:rsidP="00203F58">
    <w:pPr>
      <w:pStyle w:val="Headerline"/>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CA5C85" w14:textId="77777777" w:rsidR="0052453C" w:rsidRDefault="0052453C" w:rsidP="00203F58">
    <w:pPr>
      <w:pStyle w:val="Header"/>
      <w:rPr>
        <w:rStyle w:val="PageNumber"/>
      </w:rPr>
    </w:pPr>
    <w:r>
      <w:t xml:space="preserve">Office of the Ombudsman | </w:t>
    </w:r>
    <w:r w:rsidRPr="00DD54DF">
      <w:t>Tari o te Kaitiaki Mana Tangata</w:t>
    </w:r>
  </w:p>
  <w:p w14:paraId="724C2CA9" w14:textId="77777777" w:rsidR="0052453C" w:rsidRPr="003C2059" w:rsidRDefault="0052453C" w:rsidP="00203F58">
    <w:pPr>
      <w:pStyle w:val="Headerline"/>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428282" w14:textId="31B7B226" w:rsidR="0052453C" w:rsidRDefault="0052453C" w:rsidP="00E671C1">
    <w:pPr>
      <w:pStyle w:val="Header"/>
      <w:rPr>
        <w:rStyle w:val="PageNumber"/>
      </w:rPr>
    </w:pPr>
    <w:r>
      <w:t xml:space="preserve">Office of the Ombudsman | </w:t>
    </w:r>
    <w:r w:rsidRPr="00DD54DF">
      <w:t>Tari o te Kaitiaki Mana Tangata</w:t>
    </w:r>
    <w:r>
      <w:tab/>
      <w:t xml:space="preserve">Page </w:t>
    </w:r>
    <w:r w:rsidRPr="001753BE">
      <w:rPr>
        <w:rStyle w:val="PageNumber"/>
      </w:rPr>
      <w:fldChar w:fldCharType="begin"/>
    </w:r>
    <w:r w:rsidRPr="001753BE">
      <w:rPr>
        <w:rStyle w:val="PageNumber"/>
      </w:rPr>
      <w:instrText xml:space="preserve"> PAGE   \* MERGEFORMAT </w:instrText>
    </w:r>
    <w:r w:rsidRPr="001753BE">
      <w:rPr>
        <w:rStyle w:val="PageNumber"/>
      </w:rPr>
      <w:fldChar w:fldCharType="separate"/>
    </w:r>
    <w:r>
      <w:rPr>
        <w:rStyle w:val="PageNumber"/>
        <w:noProof/>
      </w:rPr>
      <w:t>26</w:t>
    </w:r>
    <w:r w:rsidRPr="001753BE">
      <w:rPr>
        <w:rStyle w:val="PageNumber"/>
      </w:rPr>
      <w:fldChar w:fldCharType="end"/>
    </w:r>
  </w:p>
  <w:p w14:paraId="0B958CBF" w14:textId="77777777" w:rsidR="0052453C" w:rsidRPr="003C2059" w:rsidRDefault="0052453C" w:rsidP="00E671C1">
    <w:pPr>
      <w:pStyle w:val="Headerlin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6A1C4CF8"/>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22E05AC2"/>
    <w:lvl w:ilvl="0">
      <w:start w:val="1"/>
      <w:numFmt w:val="decimal"/>
      <w:pStyle w:val="ListNumber4"/>
      <w:lvlText w:val="%1."/>
      <w:lvlJc w:val="left"/>
      <w:pPr>
        <w:tabs>
          <w:tab w:val="num" w:pos="1209"/>
        </w:tabs>
        <w:ind w:left="1209" w:hanging="360"/>
      </w:pPr>
    </w:lvl>
  </w:abstractNum>
  <w:abstractNum w:abstractNumId="2" w15:restartNumberingAfterBreak="0">
    <w:nsid w:val="FFFFFF80"/>
    <w:multiLevelType w:val="singleLevel"/>
    <w:tmpl w:val="9006D30C"/>
    <w:lvl w:ilvl="0">
      <w:start w:val="1"/>
      <w:numFmt w:val="bullet"/>
      <w:pStyle w:val="ListBullet5"/>
      <w:lvlText w:val=""/>
      <w:lvlJc w:val="left"/>
      <w:pPr>
        <w:tabs>
          <w:tab w:val="num" w:pos="1492"/>
        </w:tabs>
        <w:ind w:left="1492" w:hanging="360"/>
      </w:pPr>
      <w:rPr>
        <w:rFonts w:ascii="Symbol" w:hAnsi="Symbol" w:hint="default"/>
      </w:rPr>
    </w:lvl>
  </w:abstractNum>
  <w:abstractNum w:abstractNumId="3" w15:restartNumberingAfterBreak="0">
    <w:nsid w:val="007703E5"/>
    <w:multiLevelType w:val="hybridMultilevel"/>
    <w:tmpl w:val="AFF8579E"/>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0237325B"/>
    <w:multiLevelType w:val="multilevel"/>
    <w:tmpl w:val="5EB4B8F0"/>
    <w:lvl w:ilvl="0">
      <w:start w:val="1"/>
      <w:numFmt w:val="bullet"/>
      <w:pStyle w:val="Tablecheckbox1"/>
      <w:lvlText w:val=""/>
      <w:lvlJc w:val="left"/>
      <w:pPr>
        <w:tabs>
          <w:tab w:val="num" w:pos="357"/>
        </w:tabs>
        <w:ind w:left="357" w:hanging="357"/>
      </w:pPr>
      <w:rPr>
        <w:rFonts w:ascii="Wingdings 2" w:hAnsi="Wingdings 2" w:hint="default"/>
        <w:u w:color="696969"/>
      </w:rPr>
    </w:lvl>
    <w:lvl w:ilvl="1">
      <w:start w:val="1"/>
      <w:numFmt w:val="bullet"/>
      <w:pStyle w:val="Tablecheckbox2"/>
      <w:lvlText w:val=""/>
      <w:lvlJc w:val="left"/>
      <w:pPr>
        <w:tabs>
          <w:tab w:val="num" w:pos="714"/>
        </w:tabs>
        <w:ind w:left="714" w:hanging="357"/>
      </w:pPr>
      <w:rPr>
        <w:rFonts w:ascii="Wingdings 2" w:hAnsi="Wingdings 2" w:hint="default"/>
      </w:rPr>
    </w:lvl>
    <w:lvl w:ilvl="2">
      <w:start w:val="1"/>
      <w:numFmt w:val="bullet"/>
      <w:pStyle w:val="Tablecheckbox3"/>
      <w:lvlText w:val=""/>
      <w:lvlJc w:val="left"/>
      <w:pPr>
        <w:tabs>
          <w:tab w:val="num" w:pos="1072"/>
        </w:tabs>
        <w:ind w:left="1072" w:hanging="358"/>
      </w:pPr>
      <w:rPr>
        <w:rFonts w:ascii="Wingdings 2" w:hAnsi="Wingdings 2" w:hint="default"/>
      </w:rPr>
    </w:lvl>
    <w:lvl w:ilvl="3">
      <w:start w:val="1"/>
      <w:numFmt w:val="none"/>
      <w:suff w:val="nothing"/>
      <w:lvlText w:val=""/>
      <w:lvlJc w:val="left"/>
      <w:pPr>
        <w:ind w:left="1072" w:firstLine="0"/>
      </w:pPr>
      <w:rPr>
        <w:rFonts w:hint="default"/>
      </w:rPr>
    </w:lvl>
    <w:lvl w:ilvl="4">
      <w:start w:val="1"/>
      <w:numFmt w:val="none"/>
      <w:suff w:val="nothing"/>
      <w:lvlText w:val=""/>
      <w:lvlJc w:val="left"/>
      <w:pPr>
        <w:ind w:left="1072" w:firstLine="0"/>
      </w:pPr>
      <w:rPr>
        <w:rFonts w:hint="default"/>
      </w:rPr>
    </w:lvl>
    <w:lvl w:ilvl="5">
      <w:start w:val="1"/>
      <w:numFmt w:val="none"/>
      <w:suff w:val="nothing"/>
      <w:lvlText w:val=""/>
      <w:lvlJc w:val="left"/>
      <w:pPr>
        <w:ind w:left="1072" w:firstLine="0"/>
      </w:pPr>
      <w:rPr>
        <w:rFonts w:hint="default"/>
      </w:rPr>
    </w:lvl>
    <w:lvl w:ilvl="6">
      <w:start w:val="1"/>
      <w:numFmt w:val="none"/>
      <w:suff w:val="nothing"/>
      <w:lvlText w:val=""/>
      <w:lvlJc w:val="left"/>
      <w:pPr>
        <w:ind w:left="1072" w:firstLine="0"/>
      </w:pPr>
      <w:rPr>
        <w:rFonts w:hint="default"/>
      </w:rPr>
    </w:lvl>
    <w:lvl w:ilvl="7">
      <w:start w:val="1"/>
      <w:numFmt w:val="none"/>
      <w:suff w:val="nothing"/>
      <w:lvlText w:val=""/>
      <w:lvlJc w:val="left"/>
      <w:pPr>
        <w:ind w:left="1072" w:firstLine="0"/>
      </w:pPr>
      <w:rPr>
        <w:rFonts w:hint="default"/>
      </w:rPr>
    </w:lvl>
    <w:lvl w:ilvl="8">
      <w:start w:val="1"/>
      <w:numFmt w:val="none"/>
      <w:suff w:val="nothing"/>
      <w:lvlText w:val=""/>
      <w:lvlJc w:val="left"/>
      <w:pPr>
        <w:ind w:left="1072" w:firstLine="0"/>
      </w:pPr>
      <w:rPr>
        <w:rFonts w:hint="default"/>
      </w:rPr>
    </w:lvl>
  </w:abstractNum>
  <w:abstractNum w:abstractNumId="5" w15:restartNumberingAfterBreak="0">
    <w:nsid w:val="06482B0F"/>
    <w:multiLevelType w:val="hybridMultilevel"/>
    <w:tmpl w:val="3FBA424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0E266A35"/>
    <w:multiLevelType w:val="multilevel"/>
    <w:tmpl w:val="132E5168"/>
    <w:lvl w:ilvl="0">
      <w:start w:val="1"/>
      <w:numFmt w:val="lowerRoman"/>
      <w:pStyle w:val="QListroman"/>
      <w:lvlText w:val="%1."/>
      <w:lvlJc w:val="left"/>
      <w:pPr>
        <w:tabs>
          <w:tab w:val="num" w:pos="1134"/>
        </w:tabs>
        <w:ind w:left="1134" w:hanging="567"/>
      </w:pPr>
      <w:rPr>
        <w:rFonts w:hint="default"/>
        <w:i/>
        <w:color w:val="4D4D4D"/>
      </w:rPr>
    </w:lvl>
    <w:lvl w:ilvl="1">
      <w:start w:val="1"/>
      <w:numFmt w:val="none"/>
      <w:suff w:val="nothing"/>
      <w:lvlText w:val=""/>
      <w:lvlJc w:val="left"/>
      <w:pPr>
        <w:ind w:left="1134" w:firstLine="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0F2416F2"/>
    <w:multiLevelType w:val="multilevel"/>
    <w:tmpl w:val="75FE1430"/>
    <w:lvl w:ilvl="0">
      <w:start w:val="1"/>
      <w:numFmt w:val="bullet"/>
      <w:pStyle w:val="ListBullet"/>
      <w:lvlText w:val=""/>
      <w:lvlJc w:val="left"/>
      <w:pPr>
        <w:tabs>
          <w:tab w:val="num" w:pos="567"/>
        </w:tabs>
        <w:ind w:left="567" w:hanging="567"/>
      </w:pPr>
      <w:rPr>
        <w:rFonts w:ascii="Symbol" w:hAnsi="Symbol" w:hint="default"/>
      </w:rPr>
    </w:lvl>
    <w:lvl w:ilvl="1">
      <w:start w:val="1"/>
      <w:numFmt w:val="bullet"/>
      <w:pStyle w:val="ListBullet2"/>
      <w:lvlText w:val="-"/>
      <w:lvlJc w:val="left"/>
      <w:pPr>
        <w:tabs>
          <w:tab w:val="num" w:pos="1134"/>
        </w:tabs>
        <w:ind w:left="1134" w:hanging="567"/>
      </w:pPr>
      <w:rPr>
        <w:rFonts w:ascii="Calibri" w:hAnsi="Calibri" w:hint="default"/>
      </w:rPr>
    </w:lvl>
    <w:lvl w:ilvl="2">
      <w:start w:val="1"/>
      <w:numFmt w:val="bullet"/>
      <w:pStyle w:val="ListBullet3"/>
      <w:lvlText w:val="›"/>
      <w:lvlJc w:val="left"/>
      <w:pPr>
        <w:tabs>
          <w:tab w:val="num" w:pos="1701"/>
        </w:tabs>
        <w:ind w:left="1701" w:hanging="567"/>
      </w:pPr>
      <w:rPr>
        <w:rFonts w:ascii="Calibri" w:hAnsi="Calibri" w:hint="default"/>
      </w:rPr>
    </w:lvl>
    <w:lvl w:ilvl="3">
      <w:start w:val="1"/>
      <w:numFmt w:val="bullet"/>
      <w:pStyle w:val="ListBullet4"/>
      <w:lvlText w:val="»"/>
      <w:lvlJc w:val="left"/>
      <w:pPr>
        <w:tabs>
          <w:tab w:val="num" w:pos="2268"/>
        </w:tabs>
        <w:ind w:left="2268" w:hanging="567"/>
      </w:pPr>
      <w:rPr>
        <w:rFonts w:ascii="Calibri" w:hAnsi="Calibri" w:hint="default"/>
      </w:rPr>
    </w:lvl>
    <w:lvl w:ilvl="4">
      <w:start w:val="1"/>
      <w:numFmt w:val="none"/>
      <w:suff w:val="nothing"/>
      <w:lvlText w:val=""/>
      <w:lvlJc w:val="left"/>
      <w:pPr>
        <w:ind w:left="2268" w:firstLine="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16E03F8C"/>
    <w:multiLevelType w:val="multilevel"/>
    <w:tmpl w:val="71C4C924"/>
    <w:lvl w:ilvl="0">
      <w:start w:val="1"/>
      <w:numFmt w:val="decimal"/>
      <w:pStyle w:val="Number-1"/>
      <w:lvlText w:val="%1."/>
      <w:lvlJc w:val="left"/>
      <w:pPr>
        <w:tabs>
          <w:tab w:val="num" w:pos="851"/>
        </w:tabs>
        <w:ind w:left="851" w:hanging="851"/>
      </w:pPr>
      <w:rPr>
        <w:rFonts w:hint="default"/>
      </w:rPr>
    </w:lvl>
    <w:lvl w:ilvl="1">
      <w:start w:val="1"/>
      <w:numFmt w:val="decimal"/>
      <w:pStyle w:val="Number-11"/>
      <w:lvlText w:val="%1.%2"/>
      <w:lvlJc w:val="left"/>
      <w:pPr>
        <w:tabs>
          <w:tab w:val="num" w:pos="851"/>
        </w:tabs>
        <w:ind w:left="851" w:hanging="851"/>
      </w:pPr>
      <w:rPr>
        <w:rFonts w:hint="default"/>
      </w:rPr>
    </w:lvl>
    <w:lvl w:ilvl="2">
      <w:start w:val="1"/>
      <w:numFmt w:val="decimal"/>
      <w:pStyle w:val="Number-111"/>
      <w:lvlText w:val="%1.%2.%3"/>
      <w:lvlJc w:val="left"/>
      <w:pPr>
        <w:tabs>
          <w:tab w:val="num" w:pos="851"/>
        </w:tabs>
        <w:ind w:left="851" w:hanging="851"/>
      </w:pPr>
      <w:rPr>
        <w:rFonts w:hint="default"/>
      </w:rPr>
    </w:lvl>
    <w:lvl w:ilvl="3">
      <w:start w:val="1"/>
      <w:numFmt w:val="none"/>
      <w:suff w:val="nothing"/>
      <w:lvlText w:val=""/>
      <w:lvlJc w:val="left"/>
      <w:pPr>
        <w:ind w:left="851" w:firstLine="0"/>
      </w:pPr>
      <w:rPr>
        <w:rFonts w:hint="default"/>
        <w:u w:color="4D4D4D"/>
      </w:rPr>
    </w:lvl>
    <w:lvl w:ilvl="4">
      <w:start w:val="1"/>
      <w:numFmt w:val="none"/>
      <w:lvlRestart w:val="0"/>
      <w:suff w:val="nothing"/>
      <w:lvlText w:val=""/>
      <w:lvlJc w:val="left"/>
      <w:pPr>
        <w:ind w:left="851" w:firstLine="0"/>
      </w:pPr>
      <w:rPr>
        <w:rFonts w:hint="default"/>
      </w:rPr>
    </w:lvl>
    <w:lvl w:ilvl="5">
      <w:start w:val="1"/>
      <w:numFmt w:val="none"/>
      <w:suff w:val="nothing"/>
      <w:lvlText w:val=""/>
      <w:lvlJc w:val="left"/>
      <w:pPr>
        <w:ind w:left="851" w:firstLine="0"/>
      </w:pPr>
      <w:rPr>
        <w:rFonts w:hint="default"/>
      </w:rPr>
    </w:lvl>
    <w:lvl w:ilvl="6">
      <w:start w:val="1"/>
      <w:numFmt w:val="none"/>
      <w:suff w:val="nothing"/>
      <w:lvlText w:val="%7"/>
      <w:lvlJc w:val="left"/>
      <w:pPr>
        <w:ind w:left="851" w:firstLine="0"/>
      </w:pPr>
      <w:rPr>
        <w:rFonts w:hint="default"/>
      </w:rPr>
    </w:lvl>
    <w:lvl w:ilvl="7">
      <w:start w:val="1"/>
      <w:numFmt w:val="none"/>
      <w:suff w:val="nothing"/>
      <w:lvlText w:val="%8"/>
      <w:lvlJc w:val="left"/>
      <w:pPr>
        <w:ind w:left="851" w:firstLine="0"/>
      </w:pPr>
      <w:rPr>
        <w:rFonts w:hint="default"/>
      </w:rPr>
    </w:lvl>
    <w:lvl w:ilvl="8">
      <w:start w:val="1"/>
      <w:numFmt w:val="none"/>
      <w:suff w:val="nothing"/>
      <w:lvlText w:val="%9"/>
      <w:lvlJc w:val="left"/>
      <w:pPr>
        <w:ind w:left="851" w:firstLine="0"/>
      </w:pPr>
      <w:rPr>
        <w:rFonts w:hint="default"/>
      </w:rPr>
    </w:lvl>
  </w:abstractNum>
  <w:abstractNum w:abstractNumId="9" w15:restartNumberingAfterBreak="0">
    <w:nsid w:val="18CE5F40"/>
    <w:multiLevelType w:val="hybridMultilevel"/>
    <w:tmpl w:val="FD6A4F4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0" w15:restartNumberingAfterBreak="0">
    <w:nsid w:val="1D4B6FA0"/>
    <w:multiLevelType w:val="hybridMultilevel"/>
    <w:tmpl w:val="38C8D848"/>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1" w15:restartNumberingAfterBreak="0">
    <w:nsid w:val="278F62EA"/>
    <w:multiLevelType w:val="multilevel"/>
    <w:tmpl w:val="53A8DE6E"/>
    <w:lvl w:ilvl="0">
      <w:start w:val="1"/>
      <w:numFmt w:val="bullet"/>
      <w:pStyle w:val="EndnoteBullet"/>
      <w:lvlText w:val=""/>
      <w:lvlJc w:val="left"/>
      <w:pPr>
        <w:tabs>
          <w:tab w:val="num" w:pos="567"/>
        </w:tabs>
        <w:ind w:left="567" w:hanging="283"/>
      </w:pPr>
      <w:rPr>
        <w:rFonts w:ascii="Symbol" w:hAnsi="Symbol" w:hint="default"/>
        <w:color w:val="4D4D4D"/>
      </w:rPr>
    </w:lvl>
    <w:lvl w:ilvl="1">
      <w:start w:val="1"/>
      <w:numFmt w:val="none"/>
      <w:suff w:val="nothing"/>
      <w:lvlText w:val=""/>
      <w:lvlJc w:val="left"/>
      <w:pPr>
        <w:ind w:left="567" w:firstLine="0"/>
      </w:pPr>
      <w:rPr>
        <w:rFonts w:hint="default"/>
      </w:rPr>
    </w:lvl>
    <w:lvl w:ilvl="2">
      <w:start w:val="1"/>
      <w:numFmt w:val="none"/>
      <w:suff w:val="nothing"/>
      <w:lvlText w:val=""/>
      <w:lvlJc w:val="left"/>
      <w:pPr>
        <w:ind w:left="567" w:firstLine="0"/>
      </w:pPr>
      <w:rPr>
        <w:rFonts w:hint="default"/>
      </w:rPr>
    </w:lvl>
    <w:lvl w:ilvl="3">
      <w:start w:val="1"/>
      <w:numFmt w:val="none"/>
      <w:suff w:val="nothing"/>
      <w:lvlText w:val=""/>
      <w:lvlJc w:val="left"/>
      <w:pPr>
        <w:ind w:left="567" w:firstLine="0"/>
      </w:pPr>
      <w:rPr>
        <w:rFonts w:hint="default"/>
      </w:rPr>
    </w:lvl>
    <w:lvl w:ilvl="4">
      <w:start w:val="1"/>
      <w:numFmt w:val="none"/>
      <w:suff w:val="nothing"/>
      <w:lvlText w:val=""/>
      <w:lvlJc w:val="left"/>
      <w:pPr>
        <w:ind w:left="567" w:firstLine="0"/>
      </w:pPr>
      <w:rPr>
        <w:rFonts w:hint="default"/>
      </w:rPr>
    </w:lvl>
    <w:lvl w:ilvl="5">
      <w:start w:val="1"/>
      <w:numFmt w:val="none"/>
      <w:suff w:val="nothing"/>
      <w:lvlText w:val=""/>
      <w:lvlJc w:val="left"/>
      <w:pPr>
        <w:ind w:left="567" w:firstLine="0"/>
      </w:pPr>
      <w:rPr>
        <w:rFonts w:hint="default"/>
      </w:rPr>
    </w:lvl>
    <w:lvl w:ilvl="6">
      <w:start w:val="1"/>
      <w:numFmt w:val="none"/>
      <w:suff w:val="nothing"/>
      <w:lvlText w:val=""/>
      <w:lvlJc w:val="left"/>
      <w:pPr>
        <w:ind w:left="567" w:firstLine="0"/>
      </w:pPr>
      <w:rPr>
        <w:rFonts w:hint="default"/>
      </w:rPr>
    </w:lvl>
    <w:lvl w:ilvl="7">
      <w:start w:val="1"/>
      <w:numFmt w:val="none"/>
      <w:suff w:val="nothing"/>
      <w:lvlText w:val=""/>
      <w:lvlJc w:val="left"/>
      <w:pPr>
        <w:ind w:left="567" w:firstLine="0"/>
      </w:pPr>
      <w:rPr>
        <w:rFonts w:hint="default"/>
      </w:rPr>
    </w:lvl>
    <w:lvl w:ilvl="8">
      <w:start w:val="1"/>
      <w:numFmt w:val="none"/>
      <w:suff w:val="nothing"/>
      <w:lvlText w:val=""/>
      <w:lvlJc w:val="left"/>
      <w:pPr>
        <w:ind w:left="567" w:firstLine="0"/>
      </w:pPr>
      <w:rPr>
        <w:rFonts w:hint="default"/>
      </w:rPr>
    </w:lvl>
  </w:abstractNum>
  <w:abstractNum w:abstractNumId="12" w15:restartNumberingAfterBreak="0">
    <w:nsid w:val="2A496CAF"/>
    <w:multiLevelType w:val="multilevel"/>
    <w:tmpl w:val="9048A306"/>
    <w:lvl w:ilvl="0">
      <w:start w:val="1"/>
      <w:numFmt w:val="bullet"/>
      <w:pStyle w:val="Boxsmallbullet1"/>
      <w:lvlText w:val=""/>
      <w:lvlJc w:val="left"/>
      <w:pPr>
        <w:tabs>
          <w:tab w:val="num" w:pos="357"/>
        </w:tabs>
        <w:ind w:left="360" w:hanging="360"/>
      </w:pPr>
      <w:rPr>
        <w:rFonts w:ascii="Symbol" w:hAnsi="Symbol" w:hint="default"/>
      </w:rPr>
    </w:lvl>
    <w:lvl w:ilvl="1">
      <w:start w:val="1"/>
      <w:numFmt w:val="bullet"/>
      <w:pStyle w:val="Boxsmallbullet2"/>
      <w:lvlText w:val="-"/>
      <w:lvlJc w:val="left"/>
      <w:pPr>
        <w:tabs>
          <w:tab w:val="num" w:pos="714"/>
        </w:tabs>
        <w:ind w:left="714" w:hanging="354"/>
      </w:pPr>
      <w:rPr>
        <w:rFonts w:ascii="Calibri" w:hAnsi="Calibri" w:hint="default"/>
      </w:rPr>
    </w:lvl>
    <w:lvl w:ilvl="2">
      <w:start w:val="1"/>
      <w:numFmt w:val="none"/>
      <w:suff w:val="nothing"/>
      <w:lvlText w:val=""/>
      <w:lvlJc w:val="left"/>
      <w:pPr>
        <w:ind w:left="714" w:firstLine="0"/>
      </w:pPr>
      <w:rPr>
        <w:rFonts w:hint="default"/>
      </w:rPr>
    </w:lvl>
    <w:lvl w:ilvl="3">
      <w:start w:val="1"/>
      <w:numFmt w:val="none"/>
      <w:suff w:val="nothing"/>
      <w:lvlText w:val=""/>
      <w:lvlJc w:val="left"/>
      <w:pPr>
        <w:ind w:left="714" w:firstLine="0"/>
      </w:pPr>
      <w:rPr>
        <w:rFonts w:hint="default"/>
      </w:rPr>
    </w:lvl>
    <w:lvl w:ilvl="4">
      <w:start w:val="1"/>
      <w:numFmt w:val="none"/>
      <w:suff w:val="nothing"/>
      <w:lvlText w:val=""/>
      <w:lvlJc w:val="left"/>
      <w:pPr>
        <w:ind w:left="714" w:firstLine="0"/>
      </w:pPr>
      <w:rPr>
        <w:rFonts w:hint="default"/>
      </w:rPr>
    </w:lvl>
    <w:lvl w:ilvl="5">
      <w:start w:val="1"/>
      <w:numFmt w:val="none"/>
      <w:suff w:val="nothing"/>
      <w:lvlText w:val=""/>
      <w:lvlJc w:val="left"/>
      <w:pPr>
        <w:ind w:left="714" w:firstLine="0"/>
      </w:pPr>
      <w:rPr>
        <w:rFonts w:hint="default"/>
      </w:rPr>
    </w:lvl>
    <w:lvl w:ilvl="6">
      <w:start w:val="1"/>
      <w:numFmt w:val="none"/>
      <w:suff w:val="nothing"/>
      <w:lvlText w:val=""/>
      <w:lvlJc w:val="left"/>
      <w:pPr>
        <w:ind w:left="714" w:firstLine="0"/>
      </w:pPr>
      <w:rPr>
        <w:rFonts w:hint="default"/>
      </w:rPr>
    </w:lvl>
    <w:lvl w:ilvl="7">
      <w:start w:val="1"/>
      <w:numFmt w:val="none"/>
      <w:suff w:val="nothing"/>
      <w:lvlText w:val=""/>
      <w:lvlJc w:val="left"/>
      <w:pPr>
        <w:ind w:left="714" w:firstLine="0"/>
      </w:pPr>
      <w:rPr>
        <w:rFonts w:hint="default"/>
      </w:rPr>
    </w:lvl>
    <w:lvl w:ilvl="8">
      <w:start w:val="1"/>
      <w:numFmt w:val="none"/>
      <w:suff w:val="nothing"/>
      <w:lvlText w:val=""/>
      <w:lvlJc w:val="left"/>
      <w:pPr>
        <w:ind w:left="714" w:firstLine="0"/>
      </w:pPr>
      <w:rPr>
        <w:rFonts w:hint="default"/>
      </w:rPr>
    </w:lvl>
  </w:abstractNum>
  <w:abstractNum w:abstractNumId="13" w15:restartNumberingAfterBreak="0">
    <w:nsid w:val="2D4153D4"/>
    <w:multiLevelType w:val="multilevel"/>
    <w:tmpl w:val="D10C43F8"/>
    <w:lvl w:ilvl="0">
      <w:start w:val="1"/>
      <w:numFmt w:val="bullet"/>
      <w:pStyle w:val="FootnoteBullet"/>
      <w:lvlText w:val=""/>
      <w:lvlJc w:val="left"/>
      <w:pPr>
        <w:tabs>
          <w:tab w:val="num" w:pos="567"/>
        </w:tabs>
        <w:ind w:left="567" w:hanging="283"/>
      </w:pPr>
      <w:rPr>
        <w:rFonts w:ascii="Symbol" w:hAnsi="Symbol" w:hint="default"/>
        <w:color w:val="4D4D4D"/>
      </w:rPr>
    </w:lvl>
    <w:lvl w:ilvl="1">
      <w:start w:val="1"/>
      <w:numFmt w:val="none"/>
      <w:suff w:val="nothing"/>
      <w:lvlText w:val=""/>
      <w:lvlJc w:val="left"/>
      <w:pPr>
        <w:ind w:left="567" w:firstLine="0"/>
      </w:pPr>
      <w:rPr>
        <w:rFonts w:hint="default"/>
      </w:rPr>
    </w:lvl>
    <w:lvl w:ilvl="2">
      <w:start w:val="1"/>
      <w:numFmt w:val="none"/>
      <w:suff w:val="nothing"/>
      <w:lvlText w:val=""/>
      <w:lvlJc w:val="left"/>
      <w:pPr>
        <w:ind w:left="567" w:firstLine="0"/>
      </w:pPr>
      <w:rPr>
        <w:rFonts w:hint="default"/>
      </w:rPr>
    </w:lvl>
    <w:lvl w:ilvl="3">
      <w:start w:val="1"/>
      <w:numFmt w:val="none"/>
      <w:suff w:val="nothing"/>
      <w:lvlText w:val=""/>
      <w:lvlJc w:val="left"/>
      <w:pPr>
        <w:ind w:left="567" w:firstLine="0"/>
      </w:pPr>
      <w:rPr>
        <w:rFonts w:hint="default"/>
      </w:rPr>
    </w:lvl>
    <w:lvl w:ilvl="4">
      <w:start w:val="1"/>
      <w:numFmt w:val="none"/>
      <w:suff w:val="nothing"/>
      <w:lvlText w:val=""/>
      <w:lvlJc w:val="left"/>
      <w:pPr>
        <w:ind w:left="567" w:firstLine="0"/>
      </w:pPr>
      <w:rPr>
        <w:rFonts w:hint="default"/>
      </w:rPr>
    </w:lvl>
    <w:lvl w:ilvl="5">
      <w:start w:val="1"/>
      <w:numFmt w:val="none"/>
      <w:suff w:val="nothing"/>
      <w:lvlText w:val=""/>
      <w:lvlJc w:val="left"/>
      <w:pPr>
        <w:ind w:left="567" w:firstLine="0"/>
      </w:pPr>
      <w:rPr>
        <w:rFonts w:hint="default"/>
      </w:rPr>
    </w:lvl>
    <w:lvl w:ilvl="6">
      <w:start w:val="1"/>
      <w:numFmt w:val="none"/>
      <w:suff w:val="nothing"/>
      <w:lvlText w:val=""/>
      <w:lvlJc w:val="left"/>
      <w:pPr>
        <w:ind w:left="567" w:firstLine="0"/>
      </w:pPr>
      <w:rPr>
        <w:rFonts w:hint="default"/>
      </w:rPr>
    </w:lvl>
    <w:lvl w:ilvl="7">
      <w:start w:val="1"/>
      <w:numFmt w:val="none"/>
      <w:suff w:val="nothing"/>
      <w:lvlText w:val=""/>
      <w:lvlJc w:val="left"/>
      <w:pPr>
        <w:ind w:left="567" w:firstLine="0"/>
      </w:pPr>
      <w:rPr>
        <w:rFonts w:hint="default"/>
      </w:rPr>
    </w:lvl>
    <w:lvl w:ilvl="8">
      <w:start w:val="1"/>
      <w:numFmt w:val="none"/>
      <w:suff w:val="nothing"/>
      <w:lvlText w:val=""/>
      <w:lvlJc w:val="left"/>
      <w:pPr>
        <w:ind w:left="567" w:firstLine="0"/>
      </w:pPr>
      <w:rPr>
        <w:rFonts w:hint="default"/>
      </w:rPr>
    </w:lvl>
  </w:abstractNum>
  <w:abstractNum w:abstractNumId="14" w15:restartNumberingAfterBreak="0">
    <w:nsid w:val="33131743"/>
    <w:multiLevelType w:val="hybridMultilevel"/>
    <w:tmpl w:val="EF54EB3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15:restartNumberingAfterBreak="0">
    <w:nsid w:val="369C4F70"/>
    <w:multiLevelType w:val="multilevel"/>
    <w:tmpl w:val="28EC4324"/>
    <w:lvl w:ilvl="0">
      <w:start w:val="1"/>
      <w:numFmt w:val="decimal"/>
      <w:pStyle w:val="Boxsmallnumber-1"/>
      <w:lvlText w:val="%1."/>
      <w:lvlJc w:val="left"/>
      <w:pPr>
        <w:tabs>
          <w:tab w:val="num" w:pos="357"/>
        </w:tabs>
        <w:ind w:left="360" w:hanging="360"/>
      </w:pPr>
      <w:rPr>
        <w:rFonts w:hint="default"/>
        <w:b w:val="0"/>
      </w:rPr>
    </w:lvl>
    <w:lvl w:ilvl="1">
      <w:start w:val="1"/>
      <w:numFmt w:val="lowerLetter"/>
      <w:pStyle w:val="Boxsmallnumber-a"/>
      <w:lvlText w:val="%2."/>
      <w:lvlJc w:val="left"/>
      <w:pPr>
        <w:tabs>
          <w:tab w:val="num" w:pos="714"/>
        </w:tabs>
        <w:ind w:left="714" w:hanging="354"/>
      </w:pPr>
      <w:rPr>
        <w:rFonts w:hint="default"/>
      </w:rPr>
    </w:lvl>
    <w:lvl w:ilvl="2">
      <w:start w:val="1"/>
      <w:numFmt w:val="lowerRoman"/>
      <w:pStyle w:val="Boxsmallnumber-i"/>
      <w:lvlText w:val="%3."/>
      <w:lvlJc w:val="left"/>
      <w:pPr>
        <w:tabs>
          <w:tab w:val="num" w:pos="1072"/>
        </w:tabs>
        <w:ind w:left="1072" w:hanging="358"/>
      </w:pPr>
      <w:rPr>
        <w:rFonts w:hint="default"/>
      </w:rPr>
    </w:lvl>
    <w:lvl w:ilvl="3">
      <w:start w:val="1"/>
      <w:numFmt w:val="none"/>
      <w:suff w:val="nothing"/>
      <w:lvlText w:val=""/>
      <w:lvlJc w:val="left"/>
      <w:pPr>
        <w:ind w:left="1072" w:firstLine="0"/>
      </w:pPr>
      <w:rPr>
        <w:rFonts w:hint="default"/>
      </w:rPr>
    </w:lvl>
    <w:lvl w:ilvl="4">
      <w:start w:val="1"/>
      <w:numFmt w:val="none"/>
      <w:suff w:val="nothing"/>
      <w:lvlText w:val=""/>
      <w:lvlJc w:val="left"/>
      <w:pPr>
        <w:ind w:left="1072" w:firstLine="0"/>
      </w:pPr>
      <w:rPr>
        <w:rFonts w:hint="default"/>
      </w:rPr>
    </w:lvl>
    <w:lvl w:ilvl="5">
      <w:start w:val="1"/>
      <w:numFmt w:val="none"/>
      <w:suff w:val="nothing"/>
      <w:lvlText w:val=""/>
      <w:lvlJc w:val="left"/>
      <w:pPr>
        <w:ind w:left="1072" w:firstLine="0"/>
      </w:pPr>
      <w:rPr>
        <w:rFonts w:hint="default"/>
      </w:rPr>
    </w:lvl>
    <w:lvl w:ilvl="6">
      <w:start w:val="1"/>
      <w:numFmt w:val="none"/>
      <w:suff w:val="nothing"/>
      <w:lvlText w:val="%7"/>
      <w:lvlJc w:val="left"/>
      <w:pPr>
        <w:ind w:left="1072" w:firstLine="0"/>
      </w:pPr>
      <w:rPr>
        <w:rFonts w:hint="default"/>
      </w:rPr>
    </w:lvl>
    <w:lvl w:ilvl="7">
      <w:start w:val="1"/>
      <w:numFmt w:val="none"/>
      <w:suff w:val="nothing"/>
      <w:lvlText w:val="%8"/>
      <w:lvlJc w:val="left"/>
      <w:pPr>
        <w:ind w:left="1072" w:firstLine="0"/>
      </w:pPr>
      <w:rPr>
        <w:rFonts w:hint="default"/>
      </w:rPr>
    </w:lvl>
    <w:lvl w:ilvl="8">
      <w:start w:val="1"/>
      <w:numFmt w:val="none"/>
      <w:suff w:val="nothing"/>
      <w:lvlText w:val="%9"/>
      <w:lvlJc w:val="left"/>
      <w:pPr>
        <w:ind w:left="1072" w:firstLine="0"/>
      </w:pPr>
      <w:rPr>
        <w:rFonts w:hint="default"/>
      </w:rPr>
    </w:lvl>
  </w:abstractNum>
  <w:abstractNum w:abstractNumId="16" w15:restartNumberingAfterBreak="0">
    <w:nsid w:val="36BD306A"/>
    <w:multiLevelType w:val="multilevel"/>
    <w:tmpl w:val="8C040BC8"/>
    <w:lvl w:ilvl="0">
      <w:start w:val="1"/>
      <w:numFmt w:val="bullet"/>
      <w:pStyle w:val="Checkbox1"/>
      <w:lvlText w:val=""/>
      <w:lvlJc w:val="left"/>
      <w:pPr>
        <w:tabs>
          <w:tab w:val="num" w:pos="567"/>
        </w:tabs>
        <w:ind w:left="567" w:hanging="567"/>
      </w:pPr>
      <w:rPr>
        <w:rFonts w:ascii="Wingdings 2" w:hAnsi="Wingdings 2" w:hint="default"/>
        <w:u w:color="696969"/>
      </w:rPr>
    </w:lvl>
    <w:lvl w:ilvl="1">
      <w:start w:val="1"/>
      <w:numFmt w:val="bullet"/>
      <w:pStyle w:val="Checkbox2"/>
      <w:lvlText w:val=""/>
      <w:lvlJc w:val="left"/>
      <w:pPr>
        <w:tabs>
          <w:tab w:val="num" w:pos="1134"/>
        </w:tabs>
        <w:ind w:left="1134" w:hanging="567"/>
      </w:pPr>
      <w:rPr>
        <w:rFonts w:ascii="Wingdings 2" w:hAnsi="Wingdings 2" w:hint="default"/>
      </w:rPr>
    </w:lvl>
    <w:lvl w:ilvl="2">
      <w:start w:val="1"/>
      <w:numFmt w:val="bullet"/>
      <w:pStyle w:val="Checkbox3"/>
      <w:lvlText w:val=""/>
      <w:lvlJc w:val="left"/>
      <w:pPr>
        <w:tabs>
          <w:tab w:val="num" w:pos="1701"/>
        </w:tabs>
        <w:ind w:left="1701" w:hanging="567"/>
      </w:pPr>
      <w:rPr>
        <w:rFonts w:ascii="Wingdings 2" w:hAnsi="Wingdings 2" w:hint="default"/>
      </w:rPr>
    </w:lvl>
    <w:lvl w:ilvl="3">
      <w:start w:val="1"/>
      <w:numFmt w:val="bullet"/>
      <w:pStyle w:val="Checkbox4"/>
      <w:lvlText w:val=""/>
      <w:lvlJc w:val="left"/>
      <w:pPr>
        <w:tabs>
          <w:tab w:val="num" w:pos="2268"/>
        </w:tabs>
        <w:ind w:left="2268" w:hanging="567"/>
      </w:pPr>
      <w:rPr>
        <w:rFonts w:ascii="Wingdings 2" w:hAnsi="Wingdings 2" w:hint="default"/>
      </w:rPr>
    </w:lvl>
    <w:lvl w:ilvl="4">
      <w:start w:val="1"/>
      <w:numFmt w:val="none"/>
      <w:suff w:val="nothing"/>
      <w:lvlText w:val=""/>
      <w:lvlJc w:val="left"/>
      <w:pPr>
        <w:ind w:left="2268" w:firstLine="0"/>
      </w:pPr>
      <w:rPr>
        <w:rFonts w:hint="default"/>
      </w:rPr>
    </w:lvl>
    <w:lvl w:ilvl="5">
      <w:start w:val="1"/>
      <w:numFmt w:val="none"/>
      <w:lvlText w:val=""/>
      <w:lvlJc w:val="left"/>
      <w:pPr>
        <w:ind w:left="2268" w:firstLine="0"/>
      </w:pPr>
      <w:rPr>
        <w:rFonts w:hint="default"/>
      </w:rPr>
    </w:lvl>
    <w:lvl w:ilvl="6">
      <w:start w:val="1"/>
      <w:numFmt w:val="none"/>
      <w:lvlText w:val=""/>
      <w:lvlJc w:val="left"/>
      <w:pPr>
        <w:ind w:left="2268" w:firstLine="0"/>
      </w:pPr>
      <w:rPr>
        <w:rFonts w:hint="default"/>
      </w:rPr>
    </w:lvl>
    <w:lvl w:ilvl="7">
      <w:start w:val="1"/>
      <w:numFmt w:val="none"/>
      <w:lvlText w:val=""/>
      <w:lvlJc w:val="left"/>
      <w:pPr>
        <w:ind w:left="2268" w:firstLine="0"/>
      </w:pPr>
      <w:rPr>
        <w:rFonts w:hint="default"/>
      </w:rPr>
    </w:lvl>
    <w:lvl w:ilvl="8">
      <w:start w:val="1"/>
      <w:numFmt w:val="none"/>
      <w:lvlText w:val=""/>
      <w:lvlJc w:val="left"/>
      <w:pPr>
        <w:ind w:left="2268" w:firstLine="0"/>
      </w:pPr>
      <w:rPr>
        <w:rFonts w:hint="default"/>
      </w:rPr>
    </w:lvl>
  </w:abstractNum>
  <w:abstractNum w:abstractNumId="17" w15:restartNumberingAfterBreak="0">
    <w:nsid w:val="377C497E"/>
    <w:multiLevelType w:val="multilevel"/>
    <w:tmpl w:val="D4D4899C"/>
    <w:lvl w:ilvl="0">
      <w:start w:val="1"/>
      <w:numFmt w:val="decimal"/>
      <w:pStyle w:val="Listoutline1-1"/>
      <w:lvlText w:val="%1."/>
      <w:lvlJc w:val="left"/>
      <w:pPr>
        <w:tabs>
          <w:tab w:val="num" w:pos="851"/>
        </w:tabs>
        <w:ind w:left="851" w:hanging="851"/>
      </w:pPr>
      <w:rPr>
        <w:rFonts w:hint="default"/>
      </w:rPr>
    </w:lvl>
    <w:lvl w:ilvl="1">
      <w:start w:val="1"/>
      <w:numFmt w:val="decimal"/>
      <w:pStyle w:val="Listoutline2-11"/>
      <w:lvlText w:val="%1.%2."/>
      <w:lvlJc w:val="left"/>
      <w:pPr>
        <w:tabs>
          <w:tab w:val="num" w:pos="851"/>
        </w:tabs>
        <w:ind w:left="851" w:hanging="851"/>
      </w:pPr>
      <w:rPr>
        <w:rFonts w:hint="default"/>
      </w:rPr>
    </w:lvl>
    <w:lvl w:ilvl="2">
      <w:start w:val="1"/>
      <w:numFmt w:val="decimal"/>
      <w:pStyle w:val="Listoutline3-111"/>
      <w:lvlText w:val="%1.%2.%3."/>
      <w:lvlJc w:val="left"/>
      <w:pPr>
        <w:tabs>
          <w:tab w:val="num" w:pos="851"/>
        </w:tabs>
        <w:ind w:left="851" w:hanging="851"/>
      </w:pPr>
      <w:rPr>
        <w:rFonts w:hint="default"/>
      </w:rPr>
    </w:lvl>
    <w:lvl w:ilvl="3">
      <w:start w:val="1"/>
      <w:numFmt w:val="lowerLetter"/>
      <w:pStyle w:val="Listoutline4-a"/>
      <w:lvlText w:val="%4."/>
      <w:lvlJc w:val="left"/>
      <w:pPr>
        <w:tabs>
          <w:tab w:val="num" w:pos="1418"/>
        </w:tabs>
        <w:ind w:left="1418" w:hanging="567"/>
      </w:pPr>
      <w:rPr>
        <w:rFonts w:hint="default"/>
      </w:rPr>
    </w:lvl>
    <w:lvl w:ilvl="4">
      <w:start w:val="1"/>
      <w:numFmt w:val="lowerRoman"/>
      <w:pStyle w:val="Listoutline5-i"/>
      <w:lvlText w:val="%5."/>
      <w:lvlJc w:val="left"/>
      <w:pPr>
        <w:tabs>
          <w:tab w:val="num" w:pos="1985"/>
        </w:tabs>
        <w:ind w:left="1985" w:hanging="567"/>
      </w:pPr>
      <w:rPr>
        <w:rFonts w:hint="default"/>
      </w:rPr>
    </w:lvl>
    <w:lvl w:ilvl="5">
      <w:start w:val="1"/>
      <w:numFmt w:val="none"/>
      <w:suff w:val="nothing"/>
      <w:lvlText w:val=""/>
      <w:lvlJc w:val="left"/>
      <w:pPr>
        <w:ind w:left="1985" w:firstLine="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381D5E25"/>
    <w:multiLevelType w:val="multilevel"/>
    <w:tmpl w:val="55287942"/>
    <w:lvl w:ilvl="0">
      <w:start w:val="1"/>
      <w:numFmt w:val="decimal"/>
      <w:pStyle w:val="TableNumber1"/>
      <w:lvlText w:val="%1."/>
      <w:lvlJc w:val="left"/>
      <w:pPr>
        <w:tabs>
          <w:tab w:val="num" w:pos="357"/>
        </w:tabs>
        <w:ind w:left="357" w:hanging="357"/>
      </w:pPr>
      <w:rPr>
        <w:rFonts w:hint="eastAsia"/>
        <w:b w:val="0"/>
        <w:sz w:val="24"/>
        <w:u w:color="696969"/>
      </w:rPr>
    </w:lvl>
    <w:lvl w:ilvl="1">
      <w:start w:val="1"/>
      <w:numFmt w:val="lowerLetter"/>
      <w:pStyle w:val="TableNumbera"/>
      <w:lvlText w:val="%2."/>
      <w:lvlJc w:val="left"/>
      <w:pPr>
        <w:tabs>
          <w:tab w:val="num" w:pos="714"/>
        </w:tabs>
        <w:ind w:left="714" w:hanging="357"/>
      </w:pPr>
      <w:rPr>
        <w:rFonts w:hint="default"/>
      </w:rPr>
    </w:lvl>
    <w:lvl w:ilvl="2">
      <w:start w:val="1"/>
      <w:numFmt w:val="lowerRoman"/>
      <w:pStyle w:val="TableNumberi"/>
      <w:lvlText w:val="%3."/>
      <w:lvlJc w:val="left"/>
      <w:pPr>
        <w:tabs>
          <w:tab w:val="num" w:pos="1072"/>
        </w:tabs>
        <w:ind w:left="1072" w:hanging="358"/>
      </w:pPr>
      <w:rPr>
        <w:rFonts w:hint="default"/>
      </w:rPr>
    </w:lvl>
    <w:lvl w:ilvl="3">
      <w:start w:val="1"/>
      <w:numFmt w:val="none"/>
      <w:suff w:val="nothing"/>
      <w:lvlText w:val=""/>
      <w:lvlJc w:val="left"/>
      <w:pPr>
        <w:ind w:left="1072" w:firstLine="0"/>
      </w:pPr>
      <w:rPr>
        <w:rFonts w:hint="default"/>
      </w:rPr>
    </w:lvl>
    <w:lvl w:ilvl="4">
      <w:start w:val="1"/>
      <w:numFmt w:val="none"/>
      <w:suff w:val="nothing"/>
      <w:lvlText w:val=""/>
      <w:lvlJc w:val="left"/>
      <w:pPr>
        <w:ind w:left="1072" w:firstLine="0"/>
      </w:pPr>
      <w:rPr>
        <w:rFonts w:hint="default"/>
      </w:rPr>
    </w:lvl>
    <w:lvl w:ilvl="5">
      <w:start w:val="1"/>
      <w:numFmt w:val="none"/>
      <w:suff w:val="nothing"/>
      <w:lvlText w:val=""/>
      <w:lvlJc w:val="left"/>
      <w:pPr>
        <w:ind w:left="1072" w:firstLine="0"/>
      </w:pPr>
      <w:rPr>
        <w:rFonts w:hint="default"/>
      </w:rPr>
    </w:lvl>
    <w:lvl w:ilvl="6">
      <w:start w:val="1"/>
      <w:numFmt w:val="none"/>
      <w:suff w:val="nothing"/>
      <w:lvlText w:val=""/>
      <w:lvlJc w:val="left"/>
      <w:pPr>
        <w:ind w:left="1072" w:firstLine="0"/>
      </w:pPr>
      <w:rPr>
        <w:rFonts w:hint="default"/>
      </w:rPr>
    </w:lvl>
    <w:lvl w:ilvl="7">
      <w:start w:val="1"/>
      <w:numFmt w:val="none"/>
      <w:suff w:val="nothing"/>
      <w:lvlText w:val=""/>
      <w:lvlJc w:val="left"/>
      <w:pPr>
        <w:ind w:left="1072" w:firstLine="0"/>
      </w:pPr>
      <w:rPr>
        <w:rFonts w:hint="default"/>
      </w:rPr>
    </w:lvl>
    <w:lvl w:ilvl="8">
      <w:start w:val="1"/>
      <w:numFmt w:val="none"/>
      <w:suff w:val="nothing"/>
      <w:lvlText w:val=""/>
      <w:lvlJc w:val="left"/>
      <w:pPr>
        <w:ind w:left="1072" w:firstLine="0"/>
      </w:pPr>
      <w:rPr>
        <w:rFonts w:hint="default"/>
      </w:rPr>
    </w:lvl>
  </w:abstractNum>
  <w:abstractNum w:abstractNumId="19" w15:restartNumberingAfterBreak="0">
    <w:nsid w:val="39744B21"/>
    <w:multiLevelType w:val="multilevel"/>
    <w:tmpl w:val="BB00A090"/>
    <w:lvl w:ilvl="0">
      <w:start w:val="1"/>
      <w:numFmt w:val="bullet"/>
      <w:pStyle w:val="QListbullet"/>
      <w:lvlText w:val=""/>
      <w:lvlJc w:val="left"/>
      <w:pPr>
        <w:tabs>
          <w:tab w:val="num" w:pos="1134"/>
        </w:tabs>
        <w:ind w:left="1134" w:hanging="567"/>
      </w:pPr>
      <w:rPr>
        <w:rFonts w:ascii="Symbol" w:hAnsi="Symbol" w:hint="default"/>
      </w:rPr>
    </w:lvl>
    <w:lvl w:ilvl="1">
      <w:start w:val="1"/>
      <w:numFmt w:val="none"/>
      <w:suff w:val="nothing"/>
      <w:lvlText w:val=""/>
      <w:lvlJc w:val="left"/>
      <w:pPr>
        <w:ind w:left="1134" w:firstLine="0"/>
      </w:pPr>
      <w:rPr>
        <w:rFonts w:hint="default"/>
      </w:rPr>
    </w:lvl>
    <w:lvl w:ilvl="2">
      <w:start w:val="1"/>
      <w:numFmt w:val="none"/>
      <w:suff w:val="nothing"/>
      <w:lvlText w:val=""/>
      <w:lvlJc w:val="left"/>
      <w:pPr>
        <w:ind w:left="1134" w:firstLine="0"/>
      </w:pPr>
      <w:rPr>
        <w:rFonts w:hint="default"/>
      </w:rPr>
    </w:lvl>
    <w:lvl w:ilvl="3">
      <w:start w:val="1"/>
      <w:numFmt w:val="none"/>
      <w:suff w:val="nothing"/>
      <w:lvlText w:val=""/>
      <w:lvlJc w:val="left"/>
      <w:pPr>
        <w:ind w:left="1134" w:firstLine="0"/>
      </w:pPr>
      <w:rPr>
        <w:rFonts w:hint="default"/>
      </w:rPr>
    </w:lvl>
    <w:lvl w:ilvl="4">
      <w:start w:val="1"/>
      <w:numFmt w:val="none"/>
      <w:suff w:val="nothing"/>
      <w:lvlText w:val=""/>
      <w:lvlJc w:val="left"/>
      <w:pPr>
        <w:ind w:left="1134" w:firstLine="0"/>
      </w:pPr>
      <w:rPr>
        <w:rFonts w:hint="default"/>
      </w:rPr>
    </w:lvl>
    <w:lvl w:ilvl="5">
      <w:start w:val="1"/>
      <w:numFmt w:val="none"/>
      <w:suff w:val="nothing"/>
      <w:lvlText w:val=""/>
      <w:lvlJc w:val="left"/>
      <w:pPr>
        <w:ind w:left="1134" w:firstLine="0"/>
      </w:pPr>
      <w:rPr>
        <w:rFonts w:hint="default"/>
      </w:rPr>
    </w:lvl>
    <w:lvl w:ilvl="6">
      <w:start w:val="1"/>
      <w:numFmt w:val="none"/>
      <w:suff w:val="nothing"/>
      <w:lvlText w:val=""/>
      <w:lvlJc w:val="left"/>
      <w:pPr>
        <w:ind w:left="1134" w:firstLine="0"/>
      </w:pPr>
      <w:rPr>
        <w:rFonts w:hint="default"/>
      </w:rPr>
    </w:lvl>
    <w:lvl w:ilvl="7">
      <w:start w:val="1"/>
      <w:numFmt w:val="none"/>
      <w:suff w:val="nothing"/>
      <w:lvlText w:val=""/>
      <w:lvlJc w:val="left"/>
      <w:pPr>
        <w:ind w:left="1134" w:firstLine="0"/>
      </w:pPr>
      <w:rPr>
        <w:rFonts w:hint="default"/>
      </w:rPr>
    </w:lvl>
    <w:lvl w:ilvl="8">
      <w:start w:val="1"/>
      <w:numFmt w:val="none"/>
      <w:suff w:val="nothing"/>
      <w:lvlText w:val=""/>
      <w:lvlJc w:val="left"/>
      <w:pPr>
        <w:ind w:left="1134" w:firstLine="0"/>
      </w:pPr>
      <w:rPr>
        <w:rFonts w:hint="default"/>
      </w:rPr>
    </w:lvl>
  </w:abstractNum>
  <w:abstractNum w:abstractNumId="20" w15:restartNumberingAfterBreak="0">
    <w:nsid w:val="43EF787A"/>
    <w:multiLevelType w:val="hybridMultilevel"/>
    <w:tmpl w:val="93941474"/>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15:restartNumberingAfterBreak="0">
    <w:nsid w:val="4557561E"/>
    <w:multiLevelType w:val="multilevel"/>
    <w:tmpl w:val="FD043240"/>
    <w:lvl w:ilvl="0">
      <w:start w:val="1"/>
      <w:numFmt w:val="none"/>
      <w:suff w:val="nothing"/>
      <w:lvlText w:val=""/>
      <w:lvlJc w:val="left"/>
      <w:pPr>
        <w:ind w:left="0" w:firstLine="0"/>
      </w:pPr>
      <w:rPr>
        <w:rFonts w:hint="default"/>
      </w:rPr>
    </w:lvl>
    <w:lvl w:ilvl="1">
      <w:start w:val="1"/>
      <w:numFmt w:val="none"/>
      <w:isLgl/>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righ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right"/>
      <w:pPr>
        <w:ind w:left="0" w:firstLine="0"/>
      </w:pPr>
      <w:rPr>
        <w:rFonts w:hint="default"/>
      </w:rPr>
    </w:lvl>
  </w:abstractNum>
  <w:abstractNum w:abstractNumId="22" w15:restartNumberingAfterBreak="0">
    <w:nsid w:val="45B0454E"/>
    <w:multiLevelType w:val="multilevel"/>
    <w:tmpl w:val="1409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3" w15:restartNumberingAfterBreak="0">
    <w:nsid w:val="4FC32322"/>
    <w:multiLevelType w:val="multilevel"/>
    <w:tmpl w:val="1C924FC2"/>
    <w:lvl w:ilvl="0">
      <w:start w:val="1"/>
      <w:numFmt w:val="decimal"/>
      <w:pStyle w:val="Number1"/>
      <w:lvlText w:val="%1."/>
      <w:lvlJc w:val="left"/>
      <w:pPr>
        <w:tabs>
          <w:tab w:val="num" w:pos="567"/>
        </w:tabs>
        <w:ind w:left="567" w:hanging="567"/>
      </w:pPr>
      <w:rPr>
        <w:rFonts w:hint="eastAsia"/>
        <w:u w:color="696969"/>
      </w:rPr>
    </w:lvl>
    <w:lvl w:ilvl="1">
      <w:start w:val="1"/>
      <w:numFmt w:val="lowerLetter"/>
      <w:pStyle w:val="Number2"/>
      <w:lvlText w:val="%2."/>
      <w:lvlJc w:val="left"/>
      <w:pPr>
        <w:tabs>
          <w:tab w:val="num" w:pos="1134"/>
        </w:tabs>
        <w:ind w:left="1134" w:hanging="567"/>
      </w:pPr>
      <w:rPr>
        <w:rFonts w:hint="default"/>
      </w:rPr>
    </w:lvl>
    <w:lvl w:ilvl="2">
      <w:start w:val="1"/>
      <w:numFmt w:val="lowerRoman"/>
      <w:pStyle w:val="Number3"/>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none"/>
      <w:suff w:val="nothing"/>
      <w:lvlText w:val=""/>
      <w:lvlJc w:val="left"/>
      <w:pPr>
        <w:ind w:left="1701" w:firstLine="0"/>
      </w:pPr>
      <w:rPr>
        <w:rFonts w:hint="default"/>
      </w:rPr>
    </w:lvl>
    <w:lvl w:ilvl="5">
      <w:start w:val="1"/>
      <w:numFmt w:val="none"/>
      <w:suff w:val="nothing"/>
      <w:lvlText w:val=""/>
      <w:lvlJc w:val="left"/>
      <w:pPr>
        <w:ind w:left="1701" w:firstLine="0"/>
      </w:pPr>
      <w:rPr>
        <w:rFonts w:hint="default"/>
      </w:rPr>
    </w:lvl>
    <w:lvl w:ilvl="6">
      <w:start w:val="1"/>
      <w:numFmt w:val="none"/>
      <w:suff w:val="nothing"/>
      <w:lvlText w:val=""/>
      <w:lvlJc w:val="left"/>
      <w:pPr>
        <w:ind w:left="1701" w:firstLine="0"/>
      </w:pPr>
      <w:rPr>
        <w:rFonts w:hint="default"/>
      </w:rPr>
    </w:lvl>
    <w:lvl w:ilvl="7">
      <w:start w:val="1"/>
      <w:numFmt w:val="none"/>
      <w:suff w:val="nothing"/>
      <w:lvlText w:val=""/>
      <w:lvlJc w:val="left"/>
      <w:pPr>
        <w:ind w:left="1701" w:firstLine="0"/>
      </w:pPr>
      <w:rPr>
        <w:rFonts w:hint="default"/>
      </w:rPr>
    </w:lvl>
    <w:lvl w:ilvl="8">
      <w:start w:val="1"/>
      <w:numFmt w:val="none"/>
      <w:suff w:val="nothing"/>
      <w:lvlText w:val=""/>
      <w:lvlJc w:val="left"/>
      <w:pPr>
        <w:ind w:left="1701" w:firstLine="0"/>
      </w:pPr>
      <w:rPr>
        <w:rFonts w:hint="default"/>
      </w:rPr>
    </w:lvl>
  </w:abstractNum>
  <w:abstractNum w:abstractNumId="24" w15:restartNumberingAfterBreak="0">
    <w:nsid w:val="52F37879"/>
    <w:multiLevelType w:val="multilevel"/>
    <w:tmpl w:val="BFD270E8"/>
    <w:lvl w:ilvl="0">
      <w:start w:val="1"/>
      <w:numFmt w:val="decimal"/>
      <w:lvlText w:val="%1"/>
      <w:lvlJc w:val="left"/>
      <w:pPr>
        <w:tabs>
          <w:tab w:val="num" w:pos="567"/>
        </w:tabs>
        <w:ind w:left="567" w:hanging="567"/>
      </w:pPr>
      <w:rPr>
        <w:rFonts w:ascii="Arial Bold" w:hAnsi="Arial Bold" w:hint="default"/>
        <w:b/>
        <w:i w:val="0"/>
        <w:sz w:val="36"/>
        <w:szCs w:val="36"/>
      </w:rPr>
    </w:lvl>
    <w:lvl w:ilvl="1">
      <w:start w:val="1"/>
      <w:numFmt w:val="decimal"/>
      <w:lvlText w:val="%1.%2"/>
      <w:lvlJc w:val="left"/>
      <w:pPr>
        <w:tabs>
          <w:tab w:val="num" w:pos="567"/>
        </w:tabs>
        <w:ind w:left="567" w:hanging="567"/>
      </w:pPr>
      <w:rPr>
        <w:sz w:val="24"/>
        <w:szCs w:val="24"/>
      </w:rPr>
    </w:lvl>
    <w:lvl w:ilvl="2">
      <w:start w:val="1"/>
      <w:numFmt w:val="decimal"/>
      <w:lvlText w:val="%1.%2.%3"/>
      <w:lvlJc w:val="left"/>
      <w:pPr>
        <w:tabs>
          <w:tab w:val="num" w:pos="1418"/>
        </w:tabs>
        <w:ind w:left="1418" w:hanging="851"/>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5" w15:restartNumberingAfterBreak="0">
    <w:nsid w:val="5C19003B"/>
    <w:multiLevelType w:val="hybridMultilevel"/>
    <w:tmpl w:val="BE7C252C"/>
    <w:lvl w:ilvl="0" w:tplc="6108F438">
      <w:start w:val="1"/>
      <w:numFmt w:val="bullet"/>
      <w:lvlText w:val=""/>
      <w:lvlJc w:val="left"/>
      <w:pPr>
        <w:ind w:left="360" w:hanging="360"/>
      </w:pPr>
      <w:rPr>
        <w:rFonts w:ascii="Symbol" w:hAnsi="Symbol" w:hint="default"/>
        <w:color w:val="auto"/>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6" w15:restartNumberingAfterBreak="0">
    <w:nsid w:val="5E786F61"/>
    <w:multiLevelType w:val="hybridMultilevel"/>
    <w:tmpl w:val="62FA6E9A"/>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7" w15:restartNumberingAfterBreak="0">
    <w:nsid w:val="5F465289"/>
    <w:multiLevelType w:val="multilevel"/>
    <w:tmpl w:val="6AB2BB48"/>
    <w:lvl w:ilvl="0">
      <w:start w:val="1"/>
      <w:numFmt w:val="decimal"/>
      <w:pStyle w:val="ListNumber"/>
      <w:lvlText w:val="%1."/>
      <w:lvlJc w:val="left"/>
      <w:pPr>
        <w:tabs>
          <w:tab w:val="num" w:pos="567"/>
        </w:tabs>
        <w:ind w:left="567" w:hanging="567"/>
      </w:pPr>
      <w:rPr>
        <w:rFonts w:hint="default"/>
      </w:rPr>
    </w:lvl>
    <w:lvl w:ilvl="1">
      <w:start w:val="1"/>
      <w:numFmt w:val="lowerLetter"/>
      <w:pStyle w:val="ListNumber2"/>
      <w:lvlText w:val="%2."/>
      <w:lvlJc w:val="left"/>
      <w:pPr>
        <w:tabs>
          <w:tab w:val="num" w:pos="1134"/>
        </w:tabs>
        <w:ind w:left="1134" w:hanging="567"/>
      </w:pPr>
      <w:rPr>
        <w:rFonts w:hint="default"/>
      </w:rPr>
    </w:lvl>
    <w:lvl w:ilvl="2">
      <w:start w:val="1"/>
      <w:numFmt w:val="lowerRoman"/>
      <w:pStyle w:val="ListNumber3"/>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15:restartNumberingAfterBreak="0">
    <w:nsid w:val="639818B9"/>
    <w:multiLevelType w:val="multilevel"/>
    <w:tmpl w:val="2BE2082A"/>
    <w:lvl w:ilvl="0">
      <w:start w:val="1"/>
      <w:numFmt w:val="bullet"/>
      <w:pStyle w:val="TableBullet1"/>
      <w:lvlText w:val=""/>
      <w:lvlJc w:val="left"/>
      <w:pPr>
        <w:tabs>
          <w:tab w:val="num" w:pos="357"/>
        </w:tabs>
        <w:ind w:left="357" w:hanging="357"/>
      </w:pPr>
      <w:rPr>
        <w:rFonts w:ascii="Symbol" w:hAnsi="Symbol" w:hint="default"/>
        <w:sz w:val="24"/>
        <w:u w:color="696969"/>
      </w:rPr>
    </w:lvl>
    <w:lvl w:ilvl="1">
      <w:start w:val="1"/>
      <w:numFmt w:val="bullet"/>
      <w:pStyle w:val="TableBullet2"/>
      <w:lvlText w:val="-"/>
      <w:lvlJc w:val="left"/>
      <w:pPr>
        <w:tabs>
          <w:tab w:val="num" w:pos="714"/>
        </w:tabs>
        <w:ind w:left="714" w:hanging="357"/>
      </w:pPr>
      <w:rPr>
        <w:rFonts w:ascii="Calibri" w:hAnsi="Calibri" w:hint="default"/>
      </w:rPr>
    </w:lvl>
    <w:lvl w:ilvl="2">
      <w:start w:val="1"/>
      <w:numFmt w:val="bullet"/>
      <w:pStyle w:val="TableBullet3"/>
      <w:lvlText w:val="›"/>
      <w:lvlJc w:val="left"/>
      <w:pPr>
        <w:tabs>
          <w:tab w:val="num" w:pos="1072"/>
        </w:tabs>
        <w:ind w:left="1072" w:hanging="358"/>
      </w:pPr>
      <w:rPr>
        <w:rFonts w:ascii="Calibri" w:hAnsi="Calibri" w:hint="default"/>
      </w:rPr>
    </w:lvl>
    <w:lvl w:ilvl="3">
      <w:start w:val="1"/>
      <w:numFmt w:val="none"/>
      <w:suff w:val="nothing"/>
      <w:lvlText w:val=""/>
      <w:lvlJc w:val="left"/>
      <w:pPr>
        <w:ind w:left="1072" w:firstLine="0"/>
      </w:pPr>
      <w:rPr>
        <w:rFonts w:hint="default"/>
      </w:rPr>
    </w:lvl>
    <w:lvl w:ilvl="4">
      <w:start w:val="1"/>
      <w:numFmt w:val="none"/>
      <w:suff w:val="nothing"/>
      <w:lvlText w:val=""/>
      <w:lvlJc w:val="left"/>
      <w:pPr>
        <w:ind w:left="1072" w:firstLine="0"/>
      </w:pPr>
      <w:rPr>
        <w:rFonts w:hint="default"/>
      </w:rPr>
    </w:lvl>
    <w:lvl w:ilvl="5">
      <w:start w:val="1"/>
      <w:numFmt w:val="none"/>
      <w:suff w:val="nothing"/>
      <w:lvlText w:val=""/>
      <w:lvlJc w:val="left"/>
      <w:pPr>
        <w:ind w:left="1072" w:firstLine="0"/>
      </w:pPr>
      <w:rPr>
        <w:rFonts w:hint="default"/>
      </w:rPr>
    </w:lvl>
    <w:lvl w:ilvl="6">
      <w:start w:val="1"/>
      <w:numFmt w:val="none"/>
      <w:suff w:val="nothing"/>
      <w:lvlText w:val=""/>
      <w:lvlJc w:val="left"/>
      <w:pPr>
        <w:ind w:left="1072" w:firstLine="0"/>
      </w:pPr>
      <w:rPr>
        <w:rFonts w:hint="default"/>
      </w:rPr>
    </w:lvl>
    <w:lvl w:ilvl="7">
      <w:start w:val="1"/>
      <w:numFmt w:val="none"/>
      <w:suff w:val="nothing"/>
      <w:lvlText w:val=""/>
      <w:lvlJc w:val="left"/>
      <w:pPr>
        <w:ind w:left="1072" w:firstLine="0"/>
      </w:pPr>
      <w:rPr>
        <w:rFonts w:hint="default"/>
      </w:rPr>
    </w:lvl>
    <w:lvl w:ilvl="8">
      <w:start w:val="1"/>
      <w:numFmt w:val="none"/>
      <w:suff w:val="nothing"/>
      <w:lvlText w:val=""/>
      <w:lvlJc w:val="left"/>
      <w:pPr>
        <w:ind w:left="1072" w:firstLine="0"/>
      </w:pPr>
      <w:rPr>
        <w:rFonts w:hint="default"/>
      </w:rPr>
    </w:lvl>
  </w:abstractNum>
  <w:abstractNum w:abstractNumId="29" w15:restartNumberingAfterBreak="0">
    <w:nsid w:val="644D1BC3"/>
    <w:multiLevelType w:val="hybridMultilevel"/>
    <w:tmpl w:val="6DBAF3F4"/>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0" w15:restartNumberingAfterBreak="0">
    <w:nsid w:val="654C5832"/>
    <w:multiLevelType w:val="hybridMultilevel"/>
    <w:tmpl w:val="1B921526"/>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1" w15:restartNumberingAfterBreak="0">
    <w:nsid w:val="688B6577"/>
    <w:multiLevelType w:val="multilevel"/>
    <w:tmpl w:val="BA4EF786"/>
    <w:lvl w:ilvl="0">
      <w:start w:val="1"/>
      <w:numFmt w:val="decimal"/>
      <w:pStyle w:val="HeadingAppendix"/>
      <w:suff w:val="space"/>
      <w:lvlText w:val="Appendix %1."/>
      <w:lvlJc w:val="left"/>
      <w:pPr>
        <w:ind w:left="0" w:firstLine="0"/>
      </w:pPr>
      <w:rPr>
        <w:rFonts w:hint="default"/>
      </w:rPr>
    </w:lvl>
    <w:lvl w:ilvl="1">
      <w:start w:val="1"/>
      <w:numFmt w:val="none"/>
      <w:suff w:val="nothing"/>
      <w:lvlText w:val=""/>
      <w:lvlJc w:val="left"/>
      <w:pPr>
        <w:ind w:left="0" w:firstLine="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2" w15:restartNumberingAfterBreak="0">
    <w:nsid w:val="6E795464"/>
    <w:multiLevelType w:val="multilevel"/>
    <w:tmpl w:val="060E9DC8"/>
    <w:lvl w:ilvl="0">
      <w:start w:val="1"/>
      <w:numFmt w:val="lowerLetter"/>
      <w:pStyle w:val="Number-a"/>
      <w:lvlText w:val="%1."/>
      <w:lvlJc w:val="left"/>
      <w:pPr>
        <w:tabs>
          <w:tab w:val="num" w:pos="1418"/>
        </w:tabs>
        <w:ind w:left="1418" w:hanging="567"/>
      </w:pPr>
      <w:rPr>
        <w:rFonts w:hint="default"/>
      </w:rPr>
    </w:lvl>
    <w:lvl w:ilvl="1">
      <w:start w:val="1"/>
      <w:numFmt w:val="lowerRoman"/>
      <w:pStyle w:val="Number-i"/>
      <w:lvlText w:val="%2."/>
      <w:lvlJc w:val="left"/>
      <w:pPr>
        <w:tabs>
          <w:tab w:val="num" w:pos="1985"/>
        </w:tabs>
        <w:ind w:left="1985" w:hanging="567"/>
      </w:pPr>
      <w:rPr>
        <w:rFonts w:hint="default"/>
      </w:rPr>
    </w:lvl>
    <w:lvl w:ilvl="2">
      <w:start w:val="1"/>
      <w:numFmt w:val="none"/>
      <w:suff w:val="nothing"/>
      <w:lvlText w:val=""/>
      <w:lvlJc w:val="left"/>
      <w:pPr>
        <w:ind w:left="1985" w:firstLine="0"/>
      </w:pPr>
      <w:rPr>
        <w:rFonts w:hint="default"/>
      </w:rPr>
    </w:lvl>
    <w:lvl w:ilvl="3">
      <w:start w:val="1"/>
      <w:numFmt w:val="none"/>
      <w:suff w:val="nothing"/>
      <w:lvlText w:val=""/>
      <w:lvlJc w:val="left"/>
      <w:pPr>
        <w:ind w:left="1985" w:firstLine="0"/>
      </w:pPr>
      <w:rPr>
        <w:rFonts w:hint="default"/>
      </w:rPr>
    </w:lvl>
    <w:lvl w:ilvl="4">
      <w:start w:val="1"/>
      <w:numFmt w:val="none"/>
      <w:suff w:val="nothing"/>
      <w:lvlText w:val=""/>
      <w:lvlJc w:val="left"/>
      <w:pPr>
        <w:ind w:left="1985" w:firstLine="0"/>
      </w:pPr>
      <w:rPr>
        <w:rFonts w:hint="default"/>
      </w:rPr>
    </w:lvl>
    <w:lvl w:ilvl="5">
      <w:start w:val="1"/>
      <w:numFmt w:val="none"/>
      <w:suff w:val="nothing"/>
      <w:lvlText w:val=""/>
      <w:lvlJc w:val="left"/>
      <w:pPr>
        <w:ind w:left="1985" w:firstLine="0"/>
      </w:pPr>
      <w:rPr>
        <w:rFonts w:hint="default"/>
      </w:rPr>
    </w:lvl>
    <w:lvl w:ilvl="6">
      <w:start w:val="1"/>
      <w:numFmt w:val="none"/>
      <w:suff w:val="nothing"/>
      <w:lvlText w:val=""/>
      <w:lvlJc w:val="left"/>
      <w:pPr>
        <w:ind w:left="1985" w:firstLine="0"/>
      </w:pPr>
      <w:rPr>
        <w:rFonts w:hint="default"/>
      </w:rPr>
    </w:lvl>
    <w:lvl w:ilvl="7">
      <w:start w:val="1"/>
      <w:numFmt w:val="none"/>
      <w:suff w:val="nothing"/>
      <w:lvlText w:val=""/>
      <w:lvlJc w:val="left"/>
      <w:pPr>
        <w:ind w:left="1985" w:firstLine="0"/>
      </w:pPr>
      <w:rPr>
        <w:rFonts w:hint="default"/>
      </w:rPr>
    </w:lvl>
    <w:lvl w:ilvl="8">
      <w:start w:val="1"/>
      <w:numFmt w:val="none"/>
      <w:suff w:val="nothing"/>
      <w:lvlText w:val=""/>
      <w:lvlJc w:val="left"/>
      <w:pPr>
        <w:ind w:left="1985" w:firstLine="0"/>
      </w:pPr>
      <w:rPr>
        <w:rFonts w:hint="default"/>
      </w:rPr>
    </w:lvl>
  </w:abstractNum>
  <w:abstractNum w:abstractNumId="33" w15:restartNumberingAfterBreak="0">
    <w:nsid w:val="6EB01AD9"/>
    <w:multiLevelType w:val="multilevel"/>
    <w:tmpl w:val="5E14BAB2"/>
    <w:lvl w:ilvl="0">
      <w:start w:val="1"/>
      <w:numFmt w:val="lowerLetter"/>
      <w:pStyle w:val="QListalpha"/>
      <w:lvlText w:val="%1."/>
      <w:lvlJc w:val="left"/>
      <w:pPr>
        <w:tabs>
          <w:tab w:val="num" w:pos="1134"/>
        </w:tabs>
        <w:ind w:left="1134" w:hanging="567"/>
      </w:pPr>
      <w:rPr>
        <w:rFonts w:hint="default"/>
      </w:rPr>
    </w:lvl>
    <w:lvl w:ilvl="1">
      <w:start w:val="1"/>
      <w:numFmt w:val="none"/>
      <w:suff w:val="nothing"/>
      <w:lvlText w:val=""/>
      <w:lvlJc w:val="left"/>
      <w:pPr>
        <w:ind w:left="1134" w:firstLine="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4" w15:restartNumberingAfterBreak="0">
    <w:nsid w:val="76A26424"/>
    <w:multiLevelType w:val="multilevel"/>
    <w:tmpl w:val="15A022C6"/>
    <w:lvl w:ilvl="0">
      <w:start w:val="1"/>
      <w:numFmt w:val="bullet"/>
      <w:pStyle w:val="Bullet1"/>
      <w:lvlText w:val=""/>
      <w:lvlJc w:val="left"/>
      <w:pPr>
        <w:tabs>
          <w:tab w:val="num" w:pos="567"/>
        </w:tabs>
        <w:ind w:left="567" w:hanging="567"/>
      </w:pPr>
      <w:rPr>
        <w:rFonts w:ascii="Symbol" w:hAnsi="Symbol" w:hint="default"/>
      </w:rPr>
    </w:lvl>
    <w:lvl w:ilvl="1">
      <w:start w:val="1"/>
      <w:numFmt w:val="bullet"/>
      <w:pStyle w:val="Bullet2"/>
      <w:lvlText w:val="-"/>
      <w:lvlJc w:val="left"/>
      <w:pPr>
        <w:tabs>
          <w:tab w:val="num" w:pos="1134"/>
        </w:tabs>
        <w:ind w:left="1134" w:hanging="567"/>
      </w:pPr>
      <w:rPr>
        <w:rFonts w:ascii="Calibri" w:hAnsi="Calibri" w:hint="default"/>
      </w:rPr>
    </w:lvl>
    <w:lvl w:ilvl="2">
      <w:start w:val="1"/>
      <w:numFmt w:val="bullet"/>
      <w:pStyle w:val="Bullet3"/>
      <w:lvlText w:val="›"/>
      <w:lvlJc w:val="left"/>
      <w:pPr>
        <w:tabs>
          <w:tab w:val="num" w:pos="1701"/>
        </w:tabs>
        <w:ind w:left="1701" w:hanging="567"/>
      </w:pPr>
      <w:rPr>
        <w:rFonts w:ascii="Calibri" w:hAnsi="Calibri" w:hint="default"/>
      </w:rPr>
    </w:lvl>
    <w:lvl w:ilvl="3">
      <w:start w:val="1"/>
      <w:numFmt w:val="bullet"/>
      <w:pStyle w:val="Bullet4"/>
      <w:lvlText w:val="»"/>
      <w:lvlJc w:val="left"/>
      <w:pPr>
        <w:tabs>
          <w:tab w:val="num" w:pos="2268"/>
        </w:tabs>
        <w:ind w:left="2268" w:hanging="567"/>
      </w:pPr>
      <w:rPr>
        <w:rFonts w:ascii="Calibri" w:hAnsi="Calibri" w:hint="default"/>
      </w:rPr>
    </w:lvl>
    <w:lvl w:ilvl="4">
      <w:start w:val="1"/>
      <w:numFmt w:val="none"/>
      <w:suff w:val="nothing"/>
      <w:lvlText w:val=""/>
      <w:lvlJc w:val="left"/>
      <w:pPr>
        <w:ind w:left="2268" w:firstLine="0"/>
      </w:pPr>
      <w:rPr>
        <w:rFonts w:hint="default"/>
      </w:rPr>
    </w:lvl>
    <w:lvl w:ilvl="5">
      <w:start w:val="1"/>
      <w:numFmt w:val="none"/>
      <w:lvlText w:val=""/>
      <w:lvlJc w:val="left"/>
      <w:pPr>
        <w:tabs>
          <w:tab w:val="num" w:pos="2268"/>
        </w:tabs>
        <w:ind w:left="2268" w:firstLine="0"/>
      </w:pPr>
      <w:rPr>
        <w:rFonts w:hint="default"/>
      </w:rPr>
    </w:lvl>
    <w:lvl w:ilvl="6">
      <w:start w:val="1"/>
      <w:numFmt w:val="none"/>
      <w:lvlText w:val=""/>
      <w:lvlJc w:val="left"/>
      <w:pPr>
        <w:ind w:left="2268" w:firstLine="0"/>
      </w:pPr>
      <w:rPr>
        <w:rFonts w:hint="default"/>
      </w:rPr>
    </w:lvl>
    <w:lvl w:ilvl="7">
      <w:start w:val="1"/>
      <w:numFmt w:val="none"/>
      <w:lvlText w:val=""/>
      <w:lvlJc w:val="left"/>
      <w:pPr>
        <w:ind w:left="2268" w:firstLine="0"/>
      </w:pPr>
      <w:rPr>
        <w:rFonts w:hint="default"/>
      </w:rPr>
    </w:lvl>
    <w:lvl w:ilvl="8">
      <w:start w:val="1"/>
      <w:numFmt w:val="none"/>
      <w:lvlText w:val=""/>
      <w:lvlJc w:val="left"/>
      <w:pPr>
        <w:ind w:left="2268" w:firstLine="0"/>
      </w:pPr>
      <w:rPr>
        <w:rFonts w:hint="default"/>
      </w:rPr>
    </w:lvl>
  </w:abstractNum>
  <w:abstractNum w:abstractNumId="35" w15:restartNumberingAfterBreak="0">
    <w:nsid w:val="777216FA"/>
    <w:multiLevelType w:val="multilevel"/>
    <w:tmpl w:val="14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6" w15:restartNumberingAfterBreak="0">
    <w:nsid w:val="77746DE0"/>
    <w:multiLevelType w:val="multilevel"/>
    <w:tmpl w:val="14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7B247774"/>
    <w:multiLevelType w:val="multilevel"/>
    <w:tmpl w:val="64685270"/>
    <w:lvl w:ilvl="0">
      <w:start w:val="1"/>
      <w:numFmt w:val="decimal"/>
      <w:pStyle w:val="QListnumber"/>
      <w:lvlText w:val="%1."/>
      <w:lvlJc w:val="left"/>
      <w:pPr>
        <w:tabs>
          <w:tab w:val="num" w:pos="1134"/>
        </w:tabs>
        <w:ind w:left="1134" w:hanging="567"/>
      </w:pPr>
      <w:rPr>
        <w:rFonts w:hint="default"/>
      </w:rPr>
    </w:lvl>
    <w:lvl w:ilvl="1">
      <w:start w:val="1"/>
      <w:numFmt w:val="lowerLetter"/>
      <w:lvlText w:val="%2."/>
      <w:lvlJc w:val="left"/>
      <w:pPr>
        <w:tabs>
          <w:tab w:val="num" w:pos="1701"/>
        </w:tabs>
        <w:ind w:left="1701" w:hanging="567"/>
      </w:pPr>
      <w:rPr>
        <w:rFonts w:hint="default"/>
      </w:rPr>
    </w:lvl>
    <w:lvl w:ilvl="2">
      <w:start w:val="1"/>
      <w:numFmt w:val="lowerRoman"/>
      <w:lvlText w:val="%3."/>
      <w:lvlJc w:val="left"/>
      <w:pPr>
        <w:tabs>
          <w:tab w:val="num" w:pos="2268"/>
        </w:tabs>
        <w:ind w:left="2268" w:hanging="567"/>
      </w:pPr>
      <w:rPr>
        <w:rFonts w:hint="default"/>
      </w:rPr>
    </w:lvl>
    <w:lvl w:ilvl="3">
      <w:start w:val="1"/>
      <w:numFmt w:val="none"/>
      <w:suff w:val="nothing"/>
      <w:lvlText w:val=""/>
      <w:lvlJc w:val="left"/>
      <w:pPr>
        <w:ind w:left="2268" w:firstLine="0"/>
      </w:pPr>
      <w:rPr>
        <w:rFonts w:hint="default"/>
      </w:rPr>
    </w:lvl>
    <w:lvl w:ilvl="4">
      <w:start w:val="1"/>
      <w:numFmt w:val="none"/>
      <w:suff w:val="nothing"/>
      <w:lvlText w:val=""/>
      <w:lvlJc w:val="left"/>
      <w:pPr>
        <w:ind w:left="2268" w:firstLine="0"/>
      </w:pPr>
      <w:rPr>
        <w:rFonts w:hint="default"/>
      </w:rPr>
    </w:lvl>
    <w:lvl w:ilvl="5">
      <w:start w:val="1"/>
      <w:numFmt w:val="none"/>
      <w:suff w:val="nothing"/>
      <w:lvlText w:val=""/>
      <w:lvlJc w:val="left"/>
      <w:pPr>
        <w:ind w:left="2268" w:firstLine="0"/>
      </w:pPr>
      <w:rPr>
        <w:rFonts w:hint="default"/>
      </w:rPr>
    </w:lvl>
    <w:lvl w:ilvl="6">
      <w:start w:val="1"/>
      <w:numFmt w:val="none"/>
      <w:suff w:val="nothing"/>
      <w:lvlText w:val=""/>
      <w:lvlJc w:val="left"/>
      <w:pPr>
        <w:ind w:left="2268" w:firstLine="0"/>
      </w:pPr>
      <w:rPr>
        <w:rFonts w:hint="default"/>
      </w:rPr>
    </w:lvl>
    <w:lvl w:ilvl="7">
      <w:start w:val="1"/>
      <w:numFmt w:val="none"/>
      <w:suff w:val="nothing"/>
      <w:lvlText w:val=""/>
      <w:lvlJc w:val="left"/>
      <w:pPr>
        <w:ind w:left="2268" w:firstLine="0"/>
      </w:pPr>
      <w:rPr>
        <w:rFonts w:hint="default"/>
      </w:rPr>
    </w:lvl>
    <w:lvl w:ilvl="8">
      <w:start w:val="1"/>
      <w:numFmt w:val="none"/>
      <w:suff w:val="nothing"/>
      <w:lvlText w:val=""/>
      <w:lvlJc w:val="left"/>
      <w:pPr>
        <w:ind w:left="2268" w:firstLine="0"/>
      </w:pPr>
      <w:rPr>
        <w:rFonts w:hint="default"/>
      </w:rPr>
    </w:lvl>
  </w:abstractNum>
  <w:num w:numId="1">
    <w:abstractNumId w:val="31"/>
  </w:num>
  <w:num w:numId="2">
    <w:abstractNumId w:val="7"/>
  </w:num>
  <w:num w:numId="3">
    <w:abstractNumId w:val="27"/>
  </w:num>
  <w:num w:numId="4">
    <w:abstractNumId w:val="17"/>
  </w:num>
  <w:num w:numId="5">
    <w:abstractNumId w:val="36"/>
  </w:num>
  <w:num w:numId="6">
    <w:abstractNumId w:val="35"/>
  </w:num>
  <w:num w:numId="7">
    <w:abstractNumId w:val="22"/>
  </w:num>
  <w:num w:numId="8">
    <w:abstractNumId w:val="34"/>
  </w:num>
  <w:num w:numId="9">
    <w:abstractNumId w:val="16"/>
  </w:num>
  <w:num w:numId="10">
    <w:abstractNumId w:val="8"/>
  </w:num>
  <w:num w:numId="11">
    <w:abstractNumId w:val="32"/>
  </w:num>
  <w:num w:numId="12">
    <w:abstractNumId w:val="23"/>
  </w:num>
  <w:num w:numId="13">
    <w:abstractNumId w:val="12"/>
  </w:num>
  <w:num w:numId="14">
    <w:abstractNumId w:val="15"/>
  </w:num>
  <w:num w:numId="15">
    <w:abstractNumId w:val="28"/>
  </w:num>
  <w:num w:numId="16">
    <w:abstractNumId w:val="4"/>
  </w:num>
  <w:num w:numId="17">
    <w:abstractNumId w:val="18"/>
  </w:num>
  <w:num w:numId="18">
    <w:abstractNumId w:val="33"/>
  </w:num>
  <w:num w:numId="19">
    <w:abstractNumId w:val="19"/>
  </w:num>
  <w:num w:numId="20">
    <w:abstractNumId w:val="37"/>
  </w:num>
  <w:num w:numId="2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1"/>
  </w:num>
  <w:num w:numId="23">
    <w:abstractNumId w:val="13"/>
  </w:num>
  <w:num w:numId="24">
    <w:abstractNumId w:val="21"/>
  </w:num>
  <w:num w:numId="25">
    <w:abstractNumId w:val="2"/>
  </w:num>
  <w:num w:numId="26">
    <w:abstractNumId w:val="1"/>
  </w:num>
  <w:num w:numId="27">
    <w:abstractNumId w:val="0"/>
  </w:num>
  <w:num w:numId="28">
    <w:abstractNumId w:val="9"/>
  </w:num>
  <w:num w:numId="29">
    <w:abstractNumId w:val="3"/>
  </w:num>
  <w:num w:numId="30">
    <w:abstractNumId w:val="25"/>
  </w:num>
  <w:num w:numId="31">
    <w:abstractNumId w:val="5"/>
  </w:num>
  <w:num w:numId="32">
    <w:abstractNumId w:val="30"/>
  </w:num>
  <w:num w:numId="33">
    <w:abstractNumId w:val="10"/>
  </w:num>
  <w:num w:numId="34">
    <w:abstractNumId w:val="26"/>
  </w:num>
  <w:num w:numId="35">
    <w:abstractNumId w:val="20"/>
  </w:num>
  <w:num w:numId="36">
    <w:abstractNumId w:val="29"/>
  </w:num>
  <w:num w:numId="3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4"/>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mirrorMargins/>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567"/>
  <w:evenAndOddHeaders/>
  <w:drawingGridHorizontalSpacing w:val="120"/>
  <w:displayHorizontalDrawingGridEvery w:val="2"/>
  <w:characterSpacingControl w:val="doNotCompress"/>
  <w:savePreviewPicture/>
  <w:hdrShapeDefaults>
    <o:shapedefaults v:ext="edit" spidmax="2049" fillcolor="none [3204]" strokecolor="none [3204]">
      <v:fill color="none [3204]"/>
      <v:stroke color="none [3204]" weight="3pt"/>
      <v:shadow type="perspective" color="none [1604]" opacity=".5" offset="1pt" offset2="-1pt"/>
      <o:colormru v:ext="edit" colors="#2bb673"/>
    </o:shapedefaults>
  </w:hdrShapeDefaults>
  <w:footnotePr>
    <w:footnote w:id="-1"/>
    <w:footnote w:id="0"/>
    <w:footnote w:id="1"/>
  </w:footnotePr>
  <w:endnotePr>
    <w:pos w:val="sectEnd"/>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0sDA3tjQ3MzGwMLM0MjZQ0lEKTi0uzszPAykwqwUAoKAMrSwAAAA="/>
    <w:docVar w:name="ColourOption" w:val="purple"/>
    <w:docVar w:name="ContentsAppendix" w:val="0"/>
    <w:docVar w:name="ContentsCreated" w:val="1"/>
    <w:docVar w:name="ContentsFigure" w:val="0"/>
    <w:docVar w:name="ContentsMain" w:val="1"/>
    <w:docVar w:name="ContentsMainLevel" w:val="2"/>
    <w:docVar w:name="ContentsTable" w:val="0"/>
    <w:docVar w:name="dgnword-docGUID" w:val="{76633C81-2FDA-4EC5-9A18-2AAE9FA3F51B}"/>
    <w:docVar w:name="dgnword-eventsink" w:val="711267144"/>
    <w:docVar w:name="DocumentStatus" w:val="DRAFT"/>
    <w:docVar w:name="dvShortText" w:val=" "/>
    <w:docVar w:name="dvShortTextEven" w:val=" "/>
    <w:docVar w:name="dvShortTextFrm" w:val=" "/>
    <w:docVar w:name="IsfirstTb" w:val="True"/>
    <w:docVar w:name="IsInTable" w:val="True"/>
    <w:docVar w:name="OOTOTemplate" w:val="OOTO COTA\OPCAT report.dotm"/>
    <w:docVar w:name="rptBetweenDateInspection" w:val=" "/>
    <w:docVar w:name="rptDateInspection" w:val=" "/>
    <w:docVar w:name="rptDateInspection1" w:val=" "/>
    <w:docVar w:name="rptDateInspection2" w:val=" "/>
    <w:docVar w:name="rptInspector1" w:val=" "/>
    <w:docVar w:name="rptInspector2" w:val=" "/>
    <w:docVar w:name="rptInspector3" w:val=" "/>
    <w:docVar w:name="rptInspector4" w:val=" "/>
    <w:docVar w:name="rptInspector5" w:val=" "/>
    <w:docVar w:name="rptInspector6" w:val=" "/>
    <w:docVar w:name="rptInspectors" w:val=" "/>
    <w:docVar w:name="rptNamePrison" w:val=" "/>
    <w:docVar w:name="rptPerson1" w:val=" "/>
    <w:docVar w:name="rptPerson2" w:val=" "/>
    <w:docVar w:name="rptPerson3" w:val=" "/>
    <w:docVar w:name="rptPerson4" w:val=" "/>
    <w:docVar w:name="rptPerson5" w:val=" "/>
    <w:docVar w:name="rptPerson6" w:val=" "/>
    <w:docVar w:name="rptPersonsA" w:val=" "/>
    <w:docVar w:name="rptPersonsB" w:val=" "/>
    <w:docVar w:name="rptReportDate" w:val=" "/>
    <w:docVar w:name="rptSignedBy" w:val="1"/>
    <w:docVar w:name="rptVisit" w:val=" "/>
  </w:docVars>
  <w:rsids>
    <w:rsidRoot w:val="00762017"/>
    <w:rsid w:val="0000014E"/>
    <w:rsid w:val="00002A35"/>
    <w:rsid w:val="00002E2B"/>
    <w:rsid w:val="000032C5"/>
    <w:rsid w:val="00003BF2"/>
    <w:rsid w:val="000052CE"/>
    <w:rsid w:val="00007040"/>
    <w:rsid w:val="0000771B"/>
    <w:rsid w:val="00007F30"/>
    <w:rsid w:val="00010616"/>
    <w:rsid w:val="00010D4E"/>
    <w:rsid w:val="00011F10"/>
    <w:rsid w:val="00012DEC"/>
    <w:rsid w:val="000132BA"/>
    <w:rsid w:val="00013371"/>
    <w:rsid w:val="00013791"/>
    <w:rsid w:val="00013E90"/>
    <w:rsid w:val="00014C84"/>
    <w:rsid w:val="00014E60"/>
    <w:rsid w:val="00015438"/>
    <w:rsid w:val="00017F61"/>
    <w:rsid w:val="00021283"/>
    <w:rsid w:val="00021382"/>
    <w:rsid w:val="00022273"/>
    <w:rsid w:val="00023127"/>
    <w:rsid w:val="00024F53"/>
    <w:rsid w:val="00025625"/>
    <w:rsid w:val="0002564E"/>
    <w:rsid w:val="0002571B"/>
    <w:rsid w:val="00026947"/>
    <w:rsid w:val="00026A3B"/>
    <w:rsid w:val="00027884"/>
    <w:rsid w:val="000308AA"/>
    <w:rsid w:val="00030AAF"/>
    <w:rsid w:val="00030E78"/>
    <w:rsid w:val="00030FDC"/>
    <w:rsid w:val="00031E1B"/>
    <w:rsid w:val="000328E9"/>
    <w:rsid w:val="00032A75"/>
    <w:rsid w:val="00032E1B"/>
    <w:rsid w:val="00032E71"/>
    <w:rsid w:val="00033D55"/>
    <w:rsid w:val="000342BD"/>
    <w:rsid w:val="00035821"/>
    <w:rsid w:val="00035915"/>
    <w:rsid w:val="00035E7D"/>
    <w:rsid w:val="0003694F"/>
    <w:rsid w:val="000376B0"/>
    <w:rsid w:val="00037DEA"/>
    <w:rsid w:val="000404FB"/>
    <w:rsid w:val="0004098B"/>
    <w:rsid w:val="00041615"/>
    <w:rsid w:val="00041918"/>
    <w:rsid w:val="00043BA3"/>
    <w:rsid w:val="00043CC2"/>
    <w:rsid w:val="00043E60"/>
    <w:rsid w:val="00045FA6"/>
    <w:rsid w:val="00045FD7"/>
    <w:rsid w:val="000474E4"/>
    <w:rsid w:val="0004752B"/>
    <w:rsid w:val="00047CC7"/>
    <w:rsid w:val="00050123"/>
    <w:rsid w:val="00050F39"/>
    <w:rsid w:val="00053114"/>
    <w:rsid w:val="00053C43"/>
    <w:rsid w:val="00055432"/>
    <w:rsid w:val="00055AF6"/>
    <w:rsid w:val="00057C4D"/>
    <w:rsid w:val="00061282"/>
    <w:rsid w:val="00061EB2"/>
    <w:rsid w:val="00062E11"/>
    <w:rsid w:val="00063B35"/>
    <w:rsid w:val="00064D46"/>
    <w:rsid w:val="00065402"/>
    <w:rsid w:val="00065881"/>
    <w:rsid w:val="000660C5"/>
    <w:rsid w:val="0006612F"/>
    <w:rsid w:val="0006624E"/>
    <w:rsid w:val="000666EF"/>
    <w:rsid w:val="00067192"/>
    <w:rsid w:val="000710DD"/>
    <w:rsid w:val="00072E44"/>
    <w:rsid w:val="00077101"/>
    <w:rsid w:val="00080C34"/>
    <w:rsid w:val="0008159C"/>
    <w:rsid w:val="000822C8"/>
    <w:rsid w:val="000822C9"/>
    <w:rsid w:val="00082D25"/>
    <w:rsid w:val="00082DBB"/>
    <w:rsid w:val="00082E7A"/>
    <w:rsid w:val="0008334B"/>
    <w:rsid w:val="00084D7F"/>
    <w:rsid w:val="000854B6"/>
    <w:rsid w:val="00085A88"/>
    <w:rsid w:val="000870C2"/>
    <w:rsid w:val="000873A4"/>
    <w:rsid w:val="000877DA"/>
    <w:rsid w:val="00091763"/>
    <w:rsid w:val="000929F9"/>
    <w:rsid w:val="00093A81"/>
    <w:rsid w:val="00093BAF"/>
    <w:rsid w:val="00093C9D"/>
    <w:rsid w:val="0009433E"/>
    <w:rsid w:val="00097E3A"/>
    <w:rsid w:val="000A08AB"/>
    <w:rsid w:val="000A0942"/>
    <w:rsid w:val="000A0B7E"/>
    <w:rsid w:val="000A10A6"/>
    <w:rsid w:val="000A1A11"/>
    <w:rsid w:val="000A3E32"/>
    <w:rsid w:val="000A4023"/>
    <w:rsid w:val="000A49A5"/>
    <w:rsid w:val="000A5221"/>
    <w:rsid w:val="000A56A9"/>
    <w:rsid w:val="000A6431"/>
    <w:rsid w:val="000A6513"/>
    <w:rsid w:val="000A6AC1"/>
    <w:rsid w:val="000A7D91"/>
    <w:rsid w:val="000B0086"/>
    <w:rsid w:val="000B29C2"/>
    <w:rsid w:val="000B2E9E"/>
    <w:rsid w:val="000B32C4"/>
    <w:rsid w:val="000B3CB8"/>
    <w:rsid w:val="000B43C3"/>
    <w:rsid w:val="000B47C5"/>
    <w:rsid w:val="000B4AB0"/>
    <w:rsid w:val="000B4AE9"/>
    <w:rsid w:val="000C1528"/>
    <w:rsid w:val="000C35B0"/>
    <w:rsid w:val="000C409D"/>
    <w:rsid w:val="000C487C"/>
    <w:rsid w:val="000C5F0B"/>
    <w:rsid w:val="000D05FD"/>
    <w:rsid w:val="000D10A3"/>
    <w:rsid w:val="000D1E50"/>
    <w:rsid w:val="000D2178"/>
    <w:rsid w:val="000D4757"/>
    <w:rsid w:val="000D5CAD"/>
    <w:rsid w:val="000D6736"/>
    <w:rsid w:val="000D6BE8"/>
    <w:rsid w:val="000D6DA5"/>
    <w:rsid w:val="000D6FA6"/>
    <w:rsid w:val="000D7AEC"/>
    <w:rsid w:val="000D7C3C"/>
    <w:rsid w:val="000D7E0B"/>
    <w:rsid w:val="000E03BF"/>
    <w:rsid w:val="000E0CB5"/>
    <w:rsid w:val="000E0DDC"/>
    <w:rsid w:val="000E0EA5"/>
    <w:rsid w:val="000E11A6"/>
    <w:rsid w:val="000E2184"/>
    <w:rsid w:val="000E2563"/>
    <w:rsid w:val="000E2C2F"/>
    <w:rsid w:val="000E2F93"/>
    <w:rsid w:val="000E3418"/>
    <w:rsid w:val="000E3E67"/>
    <w:rsid w:val="000E463C"/>
    <w:rsid w:val="000E6F42"/>
    <w:rsid w:val="000E71CF"/>
    <w:rsid w:val="000F32C4"/>
    <w:rsid w:val="000F339B"/>
    <w:rsid w:val="000F40D4"/>
    <w:rsid w:val="000F43B0"/>
    <w:rsid w:val="000F4A8C"/>
    <w:rsid w:val="000F4BD4"/>
    <w:rsid w:val="000F567A"/>
    <w:rsid w:val="000F5854"/>
    <w:rsid w:val="000F5D79"/>
    <w:rsid w:val="000F5F09"/>
    <w:rsid w:val="000F6228"/>
    <w:rsid w:val="001019BF"/>
    <w:rsid w:val="00101E4E"/>
    <w:rsid w:val="00102EBF"/>
    <w:rsid w:val="00105666"/>
    <w:rsid w:val="00107F2C"/>
    <w:rsid w:val="00112C01"/>
    <w:rsid w:val="0011418D"/>
    <w:rsid w:val="00114C6B"/>
    <w:rsid w:val="00116D1C"/>
    <w:rsid w:val="00121B63"/>
    <w:rsid w:val="001229CC"/>
    <w:rsid w:val="001234D2"/>
    <w:rsid w:val="00123CB6"/>
    <w:rsid w:val="00124E84"/>
    <w:rsid w:val="001257A6"/>
    <w:rsid w:val="00125A43"/>
    <w:rsid w:val="00131D62"/>
    <w:rsid w:val="0013217C"/>
    <w:rsid w:val="00134987"/>
    <w:rsid w:val="001374A1"/>
    <w:rsid w:val="001376E3"/>
    <w:rsid w:val="0013774C"/>
    <w:rsid w:val="00140996"/>
    <w:rsid w:val="00140DAC"/>
    <w:rsid w:val="00140E1D"/>
    <w:rsid w:val="00141140"/>
    <w:rsid w:val="001412B5"/>
    <w:rsid w:val="00141486"/>
    <w:rsid w:val="00142AEA"/>
    <w:rsid w:val="0014329F"/>
    <w:rsid w:val="001435BA"/>
    <w:rsid w:val="00143B67"/>
    <w:rsid w:val="00143EE1"/>
    <w:rsid w:val="00144971"/>
    <w:rsid w:val="00144DAE"/>
    <w:rsid w:val="00147DBE"/>
    <w:rsid w:val="001507E5"/>
    <w:rsid w:val="00150AD4"/>
    <w:rsid w:val="0015136D"/>
    <w:rsid w:val="0015165D"/>
    <w:rsid w:val="00151E18"/>
    <w:rsid w:val="00151F5B"/>
    <w:rsid w:val="00157E61"/>
    <w:rsid w:val="00160E82"/>
    <w:rsid w:val="00161223"/>
    <w:rsid w:val="001631DB"/>
    <w:rsid w:val="001640DD"/>
    <w:rsid w:val="001646CD"/>
    <w:rsid w:val="00165109"/>
    <w:rsid w:val="001653AA"/>
    <w:rsid w:val="00165A2B"/>
    <w:rsid w:val="0016641E"/>
    <w:rsid w:val="001664FF"/>
    <w:rsid w:val="00166C30"/>
    <w:rsid w:val="001671C7"/>
    <w:rsid w:val="0016787F"/>
    <w:rsid w:val="0017027A"/>
    <w:rsid w:val="00171F83"/>
    <w:rsid w:val="0017213A"/>
    <w:rsid w:val="001727CB"/>
    <w:rsid w:val="00173F40"/>
    <w:rsid w:val="001753BE"/>
    <w:rsid w:val="001754AE"/>
    <w:rsid w:val="0017661B"/>
    <w:rsid w:val="00176E1F"/>
    <w:rsid w:val="0017728C"/>
    <w:rsid w:val="00177448"/>
    <w:rsid w:val="001775E6"/>
    <w:rsid w:val="001822E3"/>
    <w:rsid w:val="00183907"/>
    <w:rsid w:val="00183D8D"/>
    <w:rsid w:val="00186A52"/>
    <w:rsid w:val="001872A2"/>
    <w:rsid w:val="00190A34"/>
    <w:rsid w:val="00190AB2"/>
    <w:rsid w:val="0019100A"/>
    <w:rsid w:val="001922D6"/>
    <w:rsid w:val="00193EF6"/>
    <w:rsid w:val="00194280"/>
    <w:rsid w:val="001944D8"/>
    <w:rsid w:val="00194F41"/>
    <w:rsid w:val="00195963"/>
    <w:rsid w:val="00195D08"/>
    <w:rsid w:val="00197009"/>
    <w:rsid w:val="001978A3"/>
    <w:rsid w:val="001A3C89"/>
    <w:rsid w:val="001A3FA0"/>
    <w:rsid w:val="001A496A"/>
    <w:rsid w:val="001A4C19"/>
    <w:rsid w:val="001A57D0"/>
    <w:rsid w:val="001A5D8B"/>
    <w:rsid w:val="001A6A58"/>
    <w:rsid w:val="001B0B7C"/>
    <w:rsid w:val="001B0ECD"/>
    <w:rsid w:val="001B1089"/>
    <w:rsid w:val="001B1B4D"/>
    <w:rsid w:val="001B1E94"/>
    <w:rsid w:val="001B28DD"/>
    <w:rsid w:val="001B2B9E"/>
    <w:rsid w:val="001B2D28"/>
    <w:rsid w:val="001B38C5"/>
    <w:rsid w:val="001B3BF2"/>
    <w:rsid w:val="001B446B"/>
    <w:rsid w:val="001B5B2C"/>
    <w:rsid w:val="001C16F4"/>
    <w:rsid w:val="001C331A"/>
    <w:rsid w:val="001C3470"/>
    <w:rsid w:val="001C3C14"/>
    <w:rsid w:val="001C6D65"/>
    <w:rsid w:val="001C73F2"/>
    <w:rsid w:val="001C76F3"/>
    <w:rsid w:val="001D0117"/>
    <w:rsid w:val="001D2128"/>
    <w:rsid w:val="001D2488"/>
    <w:rsid w:val="001D32DC"/>
    <w:rsid w:val="001D5110"/>
    <w:rsid w:val="001D596A"/>
    <w:rsid w:val="001D7B76"/>
    <w:rsid w:val="001E067E"/>
    <w:rsid w:val="001E07B0"/>
    <w:rsid w:val="001E0EF5"/>
    <w:rsid w:val="001E16D0"/>
    <w:rsid w:val="001E1DA7"/>
    <w:rsid w:val="001E26AE"/>
    <w:rsid w:val="001E2FF5"/>
    <w:rsid w:val="001E3D86"/>
    <w:rsid w:val="001E44DD"/>
    <w:rsid w:val="001E6024"/>
    <w:rsid w:val="001E64F4"/>
    <w:rsid w:val="001E65B3"/>
    <w:rsid w:val="001E6782"/>
    <w:rsid w:val="001F0C1C"/>
    <w:rsid w:val="001F14C5"/>
    <w:rsid w:val="001F19E8"/>
    <w:rsid w:val="001F20AE"/>
    <w:rsid w:val="001F321D"/>
    <w:rsid w:val="001F63A3"/>
    <w:rsid w:val="001F67F2"/>
    <w:rsid w:val="001F6CA3"/>
    <w:rsid w:val="001F7E13"/>
    <w:rsid w:val="00200681"/>
    <w:rsid w:val="00200C35"/>
    <w:rsid w:val="00201661"/>
    <w:rsid w:val="00201C61"/>
    <w:rsid w:val="00201F8F"/>
    <w:rsid w:val="0020218C"/>
    <w:rsid w:val="00202764"/>
    <w:rsid w:val="00203BC6"/>
    <w:rsid w:val="00203D80"/>
    <w:rsid w:val="00203EEE"/>
    <w:rsid w:val="00203F58"/>
    <w:rsid w:val="00207AC4"/>
    <w:rsid w:val="00207E3F"/>
    <w:rsid w:val="0021064F"/>
    <w:rsid w:val="00210DF8"/>
    <w:rsid w:val="00211D57"/>
    <w:rsid w:val="00212EA2"/>
    <w:rsid w:val="002136EE"/>
    <w:rsid w:val="0021469C"/>
    <w:rsid w:val="00215A82"/>
    <w:rsid w:val="002161A0"/>
    <w:rsid w:val="002162BD"/>
    <w:rsid w:val="002162EC"/>
    <w:rsid w:val="00217299"/>
    <w:rsid w:val="00217F51"/>
    <w:rsid w:val="00217F95"/>
    <w:rsid w:val="00220421"/>
    <w:rsid w:val="002218B3"/>
    <w:rsid w:val="00221C78"/>
    <w:rsid w:val="00221DD0"/>
    <w:rsid w:val="00222E38"/>
    <w:rsid w:val="00222EA0"/>
    <w:rsid w:val="00224421"/>
    <w:rsid w:val="0022556E"/>
    <w:rsid w:val="00225A6F"/>
    <w:rsid w:val="0023024F"/>
    <w:rsid w:val="0023071A"/>
    <w:rsid w:val="00230BE6"/>
    <w:rsid w:val="00230FF4"/>
    <w:rsid w:val="00231C15"/>
    <w:rsid w:val="0023273E"/>
    <w:rsid w:val="0023292B"/>
    <w:rsid w:val="0023350A"/>
    <w:rsid w:val="00235809"/>
    <w:rsid w:val="002361F6"/>
    <w:rsid w:val="00236F0B"/>
    <w:rsid w:val="00237EC0"/>
    <w:rsid w:val="0024150E"/>
    <w:rsid w:val="00242839"/>
    <w:rsid w:val="00242EC1"/>
    <w:rsid w:val="00243987"/>
    <w:rsid w:val="00244EF6"/>
    <w:rsid w:val="00245A74"/>
    <w:rsid w:val="00245ACC"/>
    <w:rsid w:val="00246042"/>
    <w:rsid w:val="0025008A"/>
    <w:rsid w:val="00251456"/>
    <w:rsid w:val="002529C8"/>
    <w:rsid w:val="00253466"/>
    <w:rsid w:val="00253F43"/>
    <w:rsid w:val="00255649"/>
    <w:rsid w:val="002564C3"/>
    <w:rsid w:val="002577AF"/>
    <w:rsid w:val="002577BB"/>
    <w:rsid w:val="00257F98"/>
    <w:rsid w:val="00260987"/>
    <w:rsid w:val="00260BD4"/>
    <w:rsid w:val="00261DCE"/>
    <w:rsid w:val="0026233D"/>
    <w:rsid w:val="00262C3F"/>
    <w:rsid w:val="00262FCB"/>
    <w:rsid w:val="00263AD0"/>
    <w:rsid w:val="00264996"/>
    <w:rsid w:val="00265125"/>
    <w:rsid w:val="00265460"/>
    <w:rsid w:val="002657C3"/>
    <w:rsid w:val="00266CFD"/>
    <w:rsid w:val="0027177D"/>
    <w:rsid w:val="00271D39"/>
    <w:rsid w:val="0027214C"/>
    <w:rsid w:val="002747A5"/>
    <w:rsid w:val="002751D7"/>
    <w:rsid w:val="00276799"/>
    <w:rsid w:val="00277E38"/>
    <w:rsid w:val="002803C8"/>
    <w:rsid w:val="00280597"/>
    <w:rsid w:val="002819FD"/>
    <w:rsid w:val="00281F53"/>
    <w:rsid w:val="00283493"/>
    <w:rsid w:val="002839E3"/>
    <w:rsid w:val="00283CAD"/>
    <w:rsid w:val="002841A8"/>
    <w:rsid w:val="00284A32"/>
    <w:rsid w:val="00284C17"/>
    <w:rsid w:val="00286264"/>
    <w:rsid w:val="0029112C"/>
    <w:rsid w:val="0029196F"/>
    <w:rsid w:val="0029272A"/>
    <w:rsid w:val="00293915"/>
    <w:rsid w:val="002939FC"/>
    <w:rsid w:val="00294211"/>
    <w:rsid w:val="00295101"/>
    <w:rsid w:val="002953FF"/>
    <w:rsid w:val="0029580B"/>
    <w:rsid w:val="0029598A"/>
    <w:rsid w:val="00296A4F"/>
    <w:rsid w:val="00296ECB"/>
    <w:rsid w:val="00296FF5"/>
    <w:rsid w:val="002978B1"/>
    <w:rsid w:val="00297927"/>
    <w:rsid w:val="00297A1D"/>
    <w:rsid w:val="002A1D84"/>
    <w:rsid w:val="002A26D7"/>
    <w:rsid w:val="002A2805"/>
    <w:rsid w:val="002A2E11"/>
    <w:rsid w:val="002A3414"/>
    <w:rsid w:val="002A3915"/>
    <w:rsid w:val="002A5993"/>
    <w:rsid w:val="002A61CE"/>
    <w:rsid w:val="002A738B"/>
    <w:rsid w:val="002B0E1C"/>
    <w:rsid w:val="002B208B"/>
    <w:rsid w:val="002B319F"/>
    <w:rsid w:val="002B3C13"/>
    <w:rsid w:val="002B5274"/>
    <w:rsid w:val="002B5B40"/>
    <w:rsid w:val="002B6A20"/>
    <w:rsid w:val="002B6EEC"/>
    <w:rsid w:val="002B7275"/>
    <w:rsid w:val="002B75B3"/>
    <w:rsid w:val="002C1C93"/>
    <w:rsid w:val="002C1CC4"/>
    <w:rsid w:val="002C2A24"/>
    <w:rsid w:val="002C4624"/>
    <w:rsid w:val="002C5C41"/>
    <w:rsid w:val="002C675E"/>
    <w:rsid w:val="002C71B5"/>
    <w:rsid w:val="002D00DA"/>
    <w:rsid w:val="002D09E7"/>
    <w:rsid w:val="002D0FF4"/>
    <w:rsid w:val="002D1278"/>
    <w:rsid w:val="002D1453"/>
    <w:rsid w:val="002D1B3D"/>
    <w:rsid w:val="002D3088"/>
    <w:rsid w:val="002D4A7A"/>
    <w:rsid w:val="002D5B8F"/>
    <w:rsid w:val="002D6208"/>
    <w:rsid w:val="002D642E"/>
    <w:rsid w:val="002D6E92"/>
    <w:rsid w:val="002D7979"/>
    <w:rsid w:val="002E05C5"/>
    <w:rsid w:val="002E1DA0"/>
    <w:rsid w:val="002E1F48"/>
    <w:rsid w:val="002E2B40"/>
    <w:rsid w:val="002E3D6B"/>
    <w:rsid w:val="002E590E"/>
    <w:rsid w:val="002E5EBE"/>
    <w:rsid w:val="002E5F61"/>
    <w:rsid w:val="002E63A1"/>
    <w:rsid w:val="002E6678"/>
    <w:rsid w:val="002E6A33"/>
    <w:rsid w:val="002E7CF9"/>
    <w:rsid w:val="002F0016"/>
    <w:rsid w:val="002F10A0"/>
    <w:rsid w:val="002F166B"/>
    <w:rsid w:val="002F201B"/>
    <w:rsid w:val="002F237B"/>
    <w:rsid w:val="002F3B14"/>
    <w:rsid w:val="002F3B83"/>
    <w:rsid w:val="002F3C63"/>
    <w:rsid w:val="002F54AF"/>
    <w:rsid w:val="002F590E"/>
    <w:rsid w:val="003002CA"/>
    <w:rsid w:val="00300922"/>
    <w:rsid w:val="00302534"/>
    <w:rsid w:val="003037A0"/>
    <w:rsid w:val="00303879"/>
    <w:rsid w:val="0030413F"/>
    <w:rsid w:val="00304B0C"/>
    <w:rsid w:val="00304C6C"/>
    <w:rsid w:val="00305D20"/>
    <w:rsid w:val="00306F5D"/>
    <w:rsid w:val="00307C31"/>
    <w:rsid w:val="00310D7C"/>
    <w:rsid w:val="003122EF"/>
    <w:rsid w:val="00314B91"/>
    <w:rsid w:val="00314E44"/>
    <w:rsid w:val="003166B3"/>
    <w:rsid w:val="0031675A"/>
    <w:rsid w:val="003168E3"/>
    <w:rsid w:val="0031771A"/>
    <w:rsid w:val="00317C96"/>
    <w:rsid w:val="00317D8B"/>
    <w:rsid w:val="00321D36"/>
    <w:rsid w:val="0032325C"/>
    <w:rsid w:val="00324EBF"/>
    <w:rsid w:val="00326296"/>
    <w:rsid w:val="00327C9A"/>
    <w:rsid w:val="003300A3"/>
    <w:rsid w:val="003304CF"/>
    <w:rsid w:val="00330C9D"/>
    <w:rsid w:val="00331280"/>
    <w:rsid w:val="00334EB5"/>
    <w:rsid w:val="003370CC"/>
    <w:rsid w:val="0033725B"/>
    <w:rsid w:val="003374ED"/>
    <w:rsid w:val="00337646"/>
    <w:rsid w:val="00337C13"/>
    <w:rsid w:val="00340553"/>
    <w:rsid w:val="00341DCF"/>
    <w:rsid w:val="00342B11"/>
    <w:rsid w:val="00343B85"/>
    <w:rsid w:val="00344402"/>
    <w:rsid w:val="003445CA"/>
    <w:rsid w:val="003449C5"/>
    <w:rsid w:val="003468A9"/>
    <w:rsid w:val="00346933"/>
    <w:rsid w:val="00351614"/>
    <w:rsid w:val="003516B6"/>
    <w:rsid w:val="003520E2"/>
    <w:rsid w:val="0035369E"/>
    <w:rsid w:val="003567C2"/>
    <w:rsid w:val="0036071E"/>
    <w:rsid w:val="0036078D"/>
    <w:rsid w:val="003612FC"/>
    <w:rsid w:val="003622A7"/>
    <w:rsid w:val="003631D4"/>
    <w:rsid w:val="003631DD"/>
    <w:rsid w:val="0036370F"/>
    <w:rsid w:val="00364073"/>
    <w:rsid w:val="0036486E"/>
    <w:rsid w:val="00364876"/>
    <w:rsid w:val="00365697"/>
    <w:rsid w:val="003659B1"/>
    <w:rsid w:val="0036600E"/>
    <w:rsid w:val="00366EA2"/>
    <w:rsid w:val="003673E8"/>
    <w:rsid w:val="00367582"/>
    <w:rsid w:val="00367971"/>
    <w:rsid w:val="00371B5E"/>
    <w:rsid w:val="0037225E"/>
    <w:rsid w:val="00373DCE"/>
    <w:rsid w:val="00374657"/>
    <w:rsid w:val="00374D2B"/>
    <w:rsid w:val="00375978"/>
    <w:rsid w:val="00377163"/>
    <w:rsid w:val="00377BB4"/>
    <w:rsid w:val="00377FEC"/>
    <w:rsid w:val="00380031"/>
    <w:rsid w:val="00380C07"/>
    <w:rsid w:val="00381FBC"/>
    <w:rsid w:val="0038214D"/>
    <w:rsid w:val="00383460"/>
    <w:rsid w:val="0038471E"/>
    <w:rsid w:val="00384866"/>
    <w:rsid w:val="00384F49"/>
    <w:rsid w:val="00384FD9"/>
    <w:rsid w:val="0038541C"/>
    <w:rsid w:val="00385BCC"/>
    <w:rsid w:val="00385F42"/>
    <w:rsid w:val="0038765E"/>
    <w:rsid w:val="003878AE"/>
    <w:rsid w:val="00387AF5"/>
    <w:rsid w:val="00390B20"/>
    <w:rsid w:val="003916C4"/>
    <w:rsid w:val="00392A46"/>
    <w:rsid w:val="0039315D"/>
    <w:rsid w:val="003938D0"/>
    <w:rsid w:val="00393984"/>
    <w:rsid w:val="00393F58"/>
    <w:rsid w:val="003946C6"/>
    <w:rsid w:val="003959CF"/>
    <w:rsid w:val="00396487"/>
    <w:rsid w:val="00396770"/>
    <w:rsid w:val="00397504"/>
    <w:rsid w:val="0039768B"/>
    <w:rsid w:val="00397A61"/>
    <w:rsid w:val="003A1465"/>
    <w:rsid w:val="003A1C3A"/>
    <w:rsid w:val="003A2E11"/>
    <w:rsid w:val="003A3ABC"/>
    <w:rsid w:val="003A4539"/>
    <w:rsid w:val="003A4EB3"/>
    <w:rsid w:val="003A54C2"/>
    <w:rsid w:val="003A5910"/>
    <w:rsid w:val="003A5E51"/>
    <w:rsid w:val="003A5ECF"/>
    <w:rsid w:val="003A633B"/>
    <w:rsid w:val="003A6DFB"/>
    <w:rsid w:val="003A7505"/>
    <w:rsid w:val="003B1F20"/>
    <w:rsid w:val="003B2E52"/>
    <w:rsid w:val="003B382A"/>
    <w:rsid w:val="003B3B6E"/>
    <w:rsid w:val="003B40CA"/>
    <w:rsid w:val="003B46E7"/>
    <w:rsid w:val="003B4AF0"/>
    <w:rsid w:val="003B4BFA"/>
    <w:rsid w:val="003B54B0"/>
    <w:rsid w:val="003B5E4C"/>
    <w:rsid w:val="003C0B32"/>
    <w:rsid w:val="003C0E4B"/>
    <w:rsid w:val="003C2059"/>
    <w:rsid w:val="003C2BCA"/>
    <w:rsid w:val="003C348E"/>
    <w:rsid w:val="003C39AB"/>
    <w:rsid w:val="003C5EF1"/>
    <w:rsid w:val="003C690F"/>
    <w:rsid w:val="003C6994"/>
    <w:rsid w:val="003C71B5"/>
    <w:rsid w:val="003C73C5"/>
    <w:rsid w:val="003C7A5A"/>
    <w:rsid w:val="003C7B24"/>
    <w:rsid w:val="003D0FA3"/>
    <w:rsid w:val="003D139D"/>
    <w:rsid w:val="003D1766"/>
    <w:rsid w:val="003D1EE2"/>
    <w:rsid w:val="003D365B"/>
    <w:rsid w:val="003D36A4"/>
    <w:rsid w:val="003D3CB1"/>
    <w:rsid w:val="003D46EF"/>
    <w:rsid w:val="003D6735"/>
    <w:rsid w:val="003D6C1F"/>
    <w:rsid w:val="003D6EA8"/>
    <w:rsid w:val="003D70EB"/>
    <w:rsid w:val="003E0D76"/>
    <w:rsid w:val="003E0EE0"/>
    <w:rsid w:val="003E280D"/>
    <w:rsid w:val="003E433B"/>
    <w:rsid w:val="003E4400"/>
    <w:rsid w:val="003E51DA"/>
    <w:rsid w:val="003E6107"/>
    <w:rsid w:val="003E67C2"/>
    <w:rsid w:val="003E74F4"/>
    <w:rsid w:val="003E75FE"/>
    <w:rsid w:val="003E7DE5"/>
    <w:rsid w:val="003F0032"/>
    <w:rsid w:val="003F24CB"/>
    <w:rsid w:val="003F2719"/>
    <w:rsid w:val="003F3280"/>
    <w:rsid w:val="003F390E"/>
    <w:rsid w:val="003F4304"/>
    <w:rsid w:val="003F50EF"/>
    <w:rsid w:val="003F61A0"/>
    <w:rsid w:val="003F74A7"/>
    <w:rsid w:val="003F7B31"/>
    <w:rsid w:val="00400B66"/>
    <w:rsid w:val="0040169A"/>
    <w:rsid w:val="0040374E"/>
    <w:rsid w:val="00404C91"/>
    <w:rsid w:val="00405E1E"/>
    <w:rsid w:val="00405EB1"/>
    <w:rsid w:val="00406000"/>
    <w:rsid w:val="0040609E"/>
    <w:rsid w:val="004061BA"/>
    <w:rsid w:val="0040741B"/>
    <w:rsid w:val="00410181"/>
    <w:rsid w:val="00410472"/>
    <w:rsid w:val="00411A78"/>
    <w:rsid w:val="004123C2"/>
    <w:rsid w:val="00412B58"/>
    <w:rsid w:val="0041328A"/>
    <w:rsid w:val="0041387B"/>
    <w:rsid w:val="00413B26"/>
    <w:rsid w:val="0041439C"/>
    <w:rsid w:val="00415BB3"/>
    <w:rsid w:val="00416217"/>
    <w:rsid w:val="00416387"/>
    <w:rsid w:val="00416CA0"/>
    <w:rsid w:val="004213E5"/>
    <w:rsid w:val="004220A1"/>
    <w:rsid w:val="00424DBC"/>
    <w:rsid w:val="00430093"/>
    <w:rsid w:val="004301BC"/>
    <w:rsid w:val="004302DE"/>
    <w:rsid w:val="00431793"/>
    <w:rsid w:val="00431860"/>
    <w:rsid w:val="00433038"/>
    <w:rsid w:val="00433F89"/>
    <w:rsid w:val="00434D79"/>
    <w:rsid w:val="004352CC"/>
    <w:rsid w:val="00435648"/>
    <w:rsid w:val="004360FE"/>
    <w:rsid w:val="00436C63"/>
    <w:rsid w:val="004374CD"/>
    <w:rsid w:val="00440C94"/>
    <w:rsid w:val="004414C6"/>
    <w:rsid w:val="00442610"/>
    <w:rsid w:val="00442917"/>
    <w:rsid w:val="00443CAF"/>
    <w:rsid w:val="00444951"/>
    <w:rsid w:val="00445FAE"/>
    <w:rsid w:val="00447FED"/>
    <w:rsid w:val="0045125E"/>
    <w:rsid w:val="0045192F"/>
    <w:rsid w:val="00452CE3"/>
    <w:rsid w:val="00453310"/>
    <w:rsid w:val="00453ACE"/>
    <w:rsid w:val="00454B93"/>
    <w:rsid w:val="00454C71"/>
    <w:rsid w:val="004555DF"/>
    <w:rsid w:val="00456ABB"/>
    <w:rsid w:val="00456EA9"/>
    <w:rsid w:val="00457B81"/>
    <w:rsid w:val="00457F67"/>
    <w:rsid w:val="0046270F"/>
    <w:rsid w:val="004639CE"/>
    <w:rsid w:val="00463FC4"/>
    <w:rsid w:val="004640A0"/>
    <w:rsid w:val="00464FFF"/>
    <w:rsid w:val="00466E43"/>
    <w:rsid w:val="00467060"/>
    <w:rsid w:val="00467CC8"/>
    <w:rsid w:val="00472341"/>
    <w:rsid w:val="004731C3"/>
    <w:rsid w:val="00476793"/>
    <w:rsid w:val="00476C13"/>
    <w:rsid w:val="00477473"/>
    <w:rsid w:val="0048018E"/>
    <w:rsid w:val="0048229F"/>
    <w:rsid w:val="004833EA"/>
    <w:rsid w:val="004836D2"/>
    <w:rsid w:val="0048558F"/>
    <w:rsid w:val="00485F64"/>
    <w:rsid w:val="00486A54"/>
    <w:rsid w:val="00486ECC"/>
    <w:rsid w:val="00487476"/>
    <w:rsid w:val="00487B6F"/>
    <w:rsid w:val="00487DAB"/>
    <w:rsid w:val="00487E2A"/>
    <w:rsid w:val="00487FCB"/>
    <w:rsid w:val="00490BBC"/>
    <w:rsid w:val="0049307E"/>
    <w:rsid w:val="004938A7"/>
    <w:rsid w:val="0049587F"/>
    <w:rsid w:val="0049752E"/>
    <w:rsid w:val="00497E6D"/>
    <w:rsid w:val="004A113B"/>
    <w:rsid w:val="004A2B8E"/>
    <w:rsid w:val="004A3DD0"/>
    <w:rsid w:val="004A4F1B"/>
    <w:rsid w:val="004A57C9"/>
    <w:rsid w:val="004A5E3E"/>
    <w:rsid w:val="004A5EA0"/>
    <w:rsid w:val="004A60D8"/>
    <w:rsid w:val="004A717A"/>
    <w:rsid w:val="004A7973"/>
    <w:rsid w:val="004B1954"/>
    <w:rsid w:val="004B1A95"/>
    <w:rsid w:val="004B3108"/>
    <w:rsid w:val="004B3E02"/>
    <w:rsid w:val="004B4B17"/>
    <w:rsid w:val="004B58DF"/>
    <w:rsid w:val="004B5C11"/>
    <w:rsid w:val="004B6762"/>
    <w:rsid w:val="004B7ABC"/>
    <w:rsid w:val="004C0EDD"/>
    <w:rsid w:val="004C1B2E"/>
    <w:rsid w:val="004C2B7E"/>
    <w:rsid w:val="004C4FBA"/>
    <w:rsid w:val="004C748E"/>
    <w:rsid w:val="004C7AFC"/>
    <w:rsid w:val="004D0705"/>
    <w:rsid w:val="004D09FE"/>
    <w:rsid w:val="004D399E"/>
    <w:rsid w:val="004D595B"/>
    <w:rsid w:val="004D6360"/>
    <w:rsid w:val="004D6664"/>
    <w:rsid w:val="004E01BB"/>
    <w:rsid w:val="004E11CF"/>
    <w:rsid w:val="004E19AF"/>
    <w:rsid w:val="004E37DF"/>
    <w:rsid w:val="004E4D6B"/>
    <w:rsid w:val="004E60E7"/>
    <w:rsid w:val="004E7FB0"/>
    <w:rsid w:val="004F0448"/>
    <w:rsid w:val="004F0D21"/>
    <w:rsid w:val="004F143B"/>
    <w:rsid w:val="004F2AC9"/>
    <w:rsid w:val="004F32E2"/>
    <w:rsid w:val="004F35ED"/>
    <w:rsid w:val="004F5040"/>
    <w:rsid w:val="004F6606"/>
    <w:rsid w:val="00502C16"/>
    <w:rsid w:val="00503550"/>
    <w:rsid w:val="00503E51"/>
    <w:rsid w:val="005041F8"/>
    <w:rsid w:val="00504269"/>
    <w:rsid w:val="00504554"/>
    <w:rsid w:val="005045F8"/>
    <w:rsid w:val="005054FD"/>
    <w:rsid w:val="00506BB9"/>
    <w:rsid w:val="005102D8"/>
    <w:rsid w:val="005118FC"/>
    <w:rsid w:val="00513343"/>
    <w:rsid w:val="00514322"/>
    <w:rsid w:val="005154F7"/>
    <w:rsid w:val="00515585"/>
    <w:rsid w:val="00515C43"/>
    <w:rsid w:val="00517038"/>
    <w:rsid w:val="00517AD4"/>
    <w:rsid w:val="00520288"/>
    <w:rsid w:val="00520365"/>
    <w:rsid w:val="0052040C"/>
    <w:rsid w:val="00521FE3"/>
    <w:rsid w:val="005221CD"/>
    <w:rsid w:val="0052376D"/>
    <w:rsid w:val="00523E40"/>
    <w:rsid w:val="00524222"/>
    <w:rsid w:val="0052453C"/>
    <w:rsid w:val="00525102"/>
    <w:rsid w:val="0052553C"/>
    <w:rsid w:val="005256CE"/>
    <w:rsid w:val="005259AF"/>
    <w:rsid w:val="00525EF5"/>
    <w:rsid w:val="00530CA5"/>
    <w:rsid w:val="00531173"/>
    <w:rsid w:val="00531314"/>
    <w:rsid w:val="00531B23"/>
    <w:rsid w:val="00532AD6"/>
    <w:rsid w:val="00536DAB"/>
    <w:rsid w:val="0053700B"/>
    <w:rsid w:val="00537688"/>
    <w:rsid w:val="00537EA5"/>
    <w:rsid w:val="005408BB"/>
    <w:rsid w:val="005409E7"/>
    <w:rsid w:val="0054212B"/>
    <w:rsid w:val="0054328D"/>
    <w:rsid w:val="005443E6"/>
    <w:rsid w:val="00544914"/>
    <w:rsid w:val="005449F1"/>
    <w:rsid w:val="005468B5"/>
    <w:rsid w:val="005470A2"/>
    <w:rsid w:val="005505E9"/>
    <w:rsid w:val="00551510"/>
    <w:rsid w:val="00551D0E"/>
    <w:rsid w:val="00553BBD"/>
    <w:rsid w:val="0055493F"/>
    <w:rsid w:val="00554FCD"/>
    <w:rsid w:val="0055601D"/>
    <w:rsid w:val="0055678D"/>
    <w:rsid w:val="00556C32"/>
    <w:rsid w:val="005570A7"/>
    <w:rsid w:val="00563197"/>
    <w:rsid w:val="005659A5"/>
    <w:rsid w:val="00565C8D"/>
    <w:rsid w:val="005661BE"/>
    <w:rsid w:val="005671A5"/>
    <w:rsid w:val="0057010C"/>
    <w:rsid w:val="00570439"/>
    <w:rsid w:val="00570CA3"/>
    <w:rsid w:val="00570E15"/>
    <w:rsid w:val="005717DF"/>
    <w:rsid w:val="0057266A"/>
    <w:rsid w:val="00572FE3"/>
    <w:rsid w:val="00573D84"/>
    <w:rsid w:val="005743AA"/>
    <w:rsid w:val="005758E8"/>
    <w:rsid w:val="005772F4"/>
    <w:rsid w:val="005776C9"/>
    <w:rsid w:val="005804D9"/>
    <w:rsid w:val="00580604"/>
    <w:rsid w:val="005812BD"/>
    <w:rsid w:val="00581A79"/>
    <w:rsid w:val="005820EE"/>
    <w:rsid w:val="00582D6A"/>
    <w:rsid w:val="005830DE"/>
    <w:rsid w:val="005831D3"/>
    <w:rsid w:val="00585762"/>
    <w:rsid w:val="00585B6A"/>
    <w:rsid w:val="005873EE"/>
    <w:rsid w:val="005900F7"/>
    <w:rsid w:val="005903E9"/>
    <w:rsid w:val="0059075D"/>
    <w:rsid w:val="0059400A"/>
    <w:rsid w:val="00595693"/>
    <w:rsid w:val="00595B99"/>
    <w:rsid w:val="005971E6"/>
    <w:rsid w:val="005972A5"/>
    <w:rsid w:val="00597EDF"/>
    <w:rsid w:val="005A0803"/>
    <w:rsid w:val="005A1D8F"/>
    <w:rsid w:val="005A275D"/>
    <w:rsid w:val="005A2A18"/>
    <w:rsid w:val="005A2A8B"/>
    <w:rsid w:val="005A2E1B"/>
    <w:rsid w:val="005A5829"/>
    <w:rsid w:val="005A6EB4"/>
    <w:rsid w:val="005A74C9"/>
    <w:rsid w:val="005A75BE"/>
    <w:rsid w:val="005B0C56"/>
    <w:rsid w:val="005B1169"/>
    <w:rsid w:val="005B1705"/>
    <w:rsid w:val="005B1FF6"/>
    <w:rsid w:val="005B239C"/>
    <w:rsid w:val="005B2D1D"/>
    <w:rsid w:val="005B31DC"/>
    <w:rsid w:val="005B32C1"/>
    <w:rsid w:val="005B46C8"/>
    <w:rsid w:val="005B659A"/>
    <w:rsid w:val="005C03A9"/>
    <w:rsid w:val="005C218D"/>
    <w:rsid w:val="005C45BA"/>
    <w:rsid w:val="005C54CA"/>
    <w:rsid w:val="005C5A07"/>
    <w:rsid w:val="005D00DB"/>
    <w:rsid w:val="005D03A3"/>
    <w:rsid w:val="005D3D58"/>
    <w:rsid w:val="005D3D98"/>
    <w:rsid w:val="005D3F5F"/>
    <w:rsid w:val="005D525E"/>
    <w:rsid w:val="005D58B2"/>
    <w:rsid w:val="005D5A52"/>
    <w:rsid w:val="005D64D3"/>
    <w:rsid w:val="005E01C4"/>
    <w:rsid w:val="005E06B1"/>
    <w:rsid w:val="005E0AB5"/>
    <w:rsid w:val="005E0B32"/>
    <w:rsid w:val="005E2657"/>
    <w:rsid w:val="005E2932"/>
    <w:rsid w:val="005E3760"/>
    <w:rsid w:val="005E3ADC"/>
    <w:rsid w:val="005E45E4"/>
    <w:rsid w:val="005E7781"/>
    <w:rsid w:val="005F0EC4"/>
    <w:rsid w:val="005F1806"/>
    <w:rsid w:val="005F1945"/>
    <w:rsid w:val="005F3542"/>
    <w:rsid w:val="005F3A48"/>
    <w:rsid w:val="005F43B4"/>
    <w:rsid w:val="005F4B98"/>
    <w:rsid w:val="005F5778"/>
    <w:rsid w:val="005F6E33"/>
    <w:rsid w:val="005F70F0"/>
    <w:rsid w:val="005F79B5"/>
    <w:rsid w:val="005F7E18"/>
    <w:rsid w:val="006006A8"/>
    <w:rsid w:val="00600D06"/>
    <w:rsid w:val="00601989"/>
    <w:rsid w:val="00604BDC"/>
    <w:rsid w:val="00605318"/>
    <w:rsid w:val="00606610"/>
    <w:rsid w:val="0060661C"/>
    <w:rsid w:val="00606FBC"/>
    <w:rsid w:val="006077BF"/>
    <w:rsid w:val="00607926"/>
    <w:rsid w:val="00610C3A"/>
    <w:rsid w:val="00610FD3"/>
    <w:rsid w:val="006112A8"/>
    <w:rsid w:val="00611625"/>
    <w:rsid w:val="00611A98"/>
    <w:rsid w:val="0061228D"/>
    <w:rsid w:val="00613B97"/>
    <w:rsid w:val="00616CEE"/>
    <w:rsid w:val="00620283"/>
    <w:rsid w:val="006211A2"/>
    <w:rsid w:val="00622816"/>
    <w:rsid w:val="0062506B"/>
    <w:rsid w:val="0062780C"/>
    <w:rsid w:val="00627A0F"/>
    <w:rsid w:val="00630677"/>
    <w:rsid w:val="00631EBB"/>
    <w:rsid w:val="00632C8F"/>
    <w:rsid w:val="006341D5"/>
    <w:rsid w:val="0063764E"/>
    <w:rsid w:val="00637C4E"/>
    <w:rsid w:val="0064013E"/>
    <w:rsid w:val="00640E3C"/>
    <w:rsid w:val="0064146B"/>
    <w:rsid w:val="00642623"/>
    <w:rsid w:val="00642A97"/>
    <w:rsid w:val="006435D8"/>
    <w:rsid w:val="00644434"/>
    <w:rsid w:val="00644B0F"/>
    <w:rsid w:val="00644B46"/>
    <w:rsid w:val="00646BA7"/>
    <w:rsid w:val="0064708D"/>
    <w:rsid w:val="00651C75"/>
    <w:rsid w:val="00653D29"/>
    <w:rsid w:val="00653E64"/>
    <w:rsid w:val="00654733"/>
    <w:rsid w:val="00654EDC"/>
    <w:rsid w:val="0065552C"/>
    <w:rsid w:val="006556DC"/>
    <w:rsid w:val="00656355"/>
    <w:rsid w:val="006572C1"/>
    <w:rsid w:val="00660DCE"/>
    <w:rsid w:val="00660E3C"/>
    <w:rsid w:val="0066211E"/>
    <w:rsid w:val="006653BC"/>
    <w:rsid w:val="00666048"/>
    <w:rsid w:val="006670F2"/>
    <w:rsid w:val="0066759D"/>
    <w:rsid w:val="0067015F"/>
    <w:rsid w:val="006703F4"/>
    <w:rsid w:val="0067064B"/>
    <w:rsid w:val="0067069D"/>
    <w:rsid w:val="0067091C"/>
    <w:rsid w:val="00672117"/>
    <w:rsid w:val="00672DE0"/>
    <w:rsid w:val="00672F95"/>
    <w:rsid w:val="0067318E"/>
    <w:rsid w:val="006738E3"/>
    <w:rsid w:val="0067439E"/>
    <w:rsid w:val="00674E1E"/>
    <w:rsid w:val="00676370"/>
    <w:rsid w:val="006764A9"/>
    <w:rsid w:val="006768BF"/>
    <w:rsid w:val="00676D44"/>
    <w:rsid w:val="006807DC"/>
    <w:rsid w:val="00681279"/>
    <w:rsid w:val="006820B3"/>
    <w:rsid w:val="006866B5"/>
    <w:rsid w:val="006869A1"/>
    <w:rsid w:val="00687ECD"/>
    <w:rsid w:val="00690137"/>
    <w:rsid w:val="00691335"/>
    <w:rsid w:val="00691B5E"/>
    <w:rsid w:val="00695CE1"/>
    <w:rsid w:val="0069791A"/>
    <w:rsid w:val="006A0EC4"/>
    <w:rsid w:val="006A12AA"/>
    <w:rsid w:val="006A1902"/>
    <w:rsid w:val="006A1F88"/>
    <w:rsid w:val="006A1FE9"/>
    <w:rsid w:val="006A2E9C"/>
    <w:rsid w:val="006A35B4"/>
    <w:rsid w:val="006A5545"/>
    <w:rsid w:val="006A5CB2"/>
    <w:rsid w:val="006A69F1"/>
    <w:rsid w:val="006A7A7E"/>
    <w:rsid w:val="006B0313"/>
    <w:rsid w:val="006B0C57"/>
    <w:rsid w:val="006B2725"/>
    <w:rsid w:val="006B2B02"/>
    <w:rsid w:val="006B2C35"/>
    <w:rsid w:val="006B3502"/>
    <w:rsid w:val="006B4A8D"/>
    <w:rsid w:val="006B4C02"/>
    <w:rsid w:val="006B72A6"/>
    <w:rsid w:val="006C0089"/>
    <w:rsid w:val="006C01B7"/>
    <w:rsid w:val="006C0576"/>
    <w:rsid w:val="006C1697"/>
    <w:rsid w:val="006C3811"/>
    <w:rsid w:val="006C593F"/>
    <w:rsid w:val="006C5BAE"/>
    <w:rsid w:val="006C6410"/>
    <w:rsid w:val="006D1417"/>
    <w:rsid w:val="006D17A0"/>
    <w:rsid w:val="006D2120"/>
    <w:rsid w:val="006D24D0"/>
    <w:rsid w:val="006D2696"/>
    <w:rsid w:val="006D3CA6"/>
    <w:rsid w:val="006D3F31"/>
    <w:rsid w:val="006D4899"/>
    <w:rsid w:val="006D524F"/>
    <w:rsid w:val="006E03EF"/>
    <w:rsid w:val="006E046A"/>
    <w:rsid w:val="006E1A0D"/>
    <w:rsid w:val="006E1A92"/>
    <w:rsid w:val="006E200D"/>
    <w:rsid w:val="006E23E7"/>
    <w:rsid w:val="006E248B"/>
    <w:rsid w:val="006E4016"/>
    <w:rsid w:val="006E5202"/>
    <w:rsid w:val="006E5E11"/>
    <w:rsid w:val="006E6109"/>
    <w:rsid w:val="006E73D1"/>
    <w:rsid w:val="006E7FFB"/>
    <w:rsid w:val="006F1B17"/>
    <w:rsid w:val="006F1B9A"/>
    <w:rsid w:val="006F1C9F"/>
    <w:rsid w:val="006F1DF5"/>
    <w:rsid w:val="006F1F1A"/>
    <w:rsid w:val="006F2A0D"/>
    <w:rsid w:val="006F2FBE"/>
    <w:rsid w:val="006F470A"/>
    <w:rsid w:val="007006D0"/>
    <w:rsid w:val="007009A6"/>
    <w:rsid w:val="007012C8"/>
    <w:rsid w:val="00701770"/>
    <w:rsid w:val="00701CE3"/>
    <w:rsid w:val="00701D2D"/>
    <w:rsid w:val="00702DF5"/>
    <w:rsid w:val="00702F99"/>
    <w:rsid w:val="00703C65"/>
    <w:rsid w:val="00704FB9"/>
    <w:rsid w:val="0070589E"/>
    <w:rsid w:val="00706231"/>
    <w:rsid w:val="0070674D"/>
    <w:rsid w:val="00710CB9"/>
    <w:rsid w:val="00710D97"/>
    <w:rsid w:val="0071111C"/>
    <w:rsid w:val="0071291E"/>
    <w:rsid w:val="00712C05"/>
    <w:rsid w:val="00712E17"/>
    <w:rsid w:val="007139CF"/>
    <w:rsid w:val="00714679"/>
    <w:rsid w:val="0071540A"/>
    <w:rsid w:val="007159E4"/>
    <w:rsid w:val="00716782"/>
    <w:rsid w:val="00717A58"/>
    <w:rsid w:val="00717E39"/>
    <w:rsid w:val="00720AF3"/>
    <w:rsid w:val="00720F13"/>
    <w:rsid w:val="00720FA3"/>
    <w:rsid w:val="00721BB0"/>
    <w:rsid w:val="0072316F"/>
    <w:rsid w:val="00725654"/>
    <w:rsid w:val="007258AD"/>
    <w:rsid w:val="0072665E"/>
    <w:rsid w:val="00730164"/>
    <w:rsid w:val="00730541"/>
    <w:rsid w:val="0073197D"/>
    <w:rsid w:val="00732EE3"/>
    <w:rsid w:val="00733477"/>
    <w:rsid w:val="00733DAC"/>
    <w:rsid w:val="00734146"/>
    <w:rsid w:val="00734E9C"/>
    <w:rsid w:val="0073772C"/>
    <w:rsid w:val="00741354"/>
    <w:rsid w:val="0074249E"/>
    <w:rsid w:val="0074385A"/>
    <w:rsid w:val="007439A8"/>
    <w:rsid w:val="00743E91"/>
    <w:rsid w:val="0074431A"/>
    <w:rsid w:val="007501A6"/>
    <w:rsid w:val="007513F0"/>
    <w:rsid w:val="00751C5A"/>
    <w:rsid w:val="0075321E"/>
    <w:rsid w:val="007539DA"/>
    <w:rsid w:val="0075586A"/>
    <w:rsid w:val="00755B1B"/>
    <w:rsid w:val="00756194"/>
    <w:rsid w:val="007577A4"/>
    <w:rsid w:val="00761613"/>
    <w:rsid w:val="00761947"/>
    <w:rsid w:val="00762017"/>
    <w:rsid w:val="00762400"/>
    <w:rsid w:val="00763013"/>
    <w:rsid w:val="00763294"/>
    <w:rsid w:val="0076362A"/>
    <w:rsid w:val="00763910"/>
    <w:rsid w:val="00763D2B"/>
    <w:rsid w:val="00764DA8"/>
    <w:rsid w:val="007676EC"/>
    <w:rsid w:val="00767890"/>
    <w:rsid w:val="0076794F"/>
    <w:rsid w:val="0077266E"/>
    <w:rsid w:val="00772A7A"/>
    <w:rsid w:val="00772F61"/>
    <w:rsid w:val="00773694"/>
    <w:rsid w:val="00775C40"/>
    <w:rsid w:val="007762E6"/>
    <w:rsid w:val="00777829"/>
    <w:rsid w:val="0078036A"/>
    <w:rsid w:val="00780819"/>
    <w:rsid w:val="00780852"/>
    <w:rsid w:val="00782BF1"/>
    <w:rsid w:val="00783490"/>
    <w:rsid w:val="00784476"/>
    <w:rsid w:val="0078597E"/>
    <w:rsid w:val="00785D2D"/>
    <w:rsid w:val="00786D39"/>
    <w:rsid w:val="007877EB"/>
    <w:rsid w:val="007902C2"/>
    <w:rsid w:val="007918AB"/>
    <w:rsid w:val="007919B8"/>
    <w:rsid w:val="007942FD"/>
    <w:rsid w:val="00795B1E"/>
    <w:rsid w:val="00795C28"/>
    <w:rsid w:val="00797002"/>
    <w:rsid w:val="0079780C"/>
    <w:rsid w:val="00797F73"/>
    <w:rsid w:val="007A0E1C"/>
    <w:rsid w:val="007A2A68"/>
    <w:rsid w:val="007A2DCE"/>
    <w:rsid w:val="007A4778"/>
    <w:rsid w:val="007A6586"/>
    <w:rsid w:val="007A6688"/>
    <w:rsid w:val="007A6B64"/>
    <w:rsid w:val="007A74A0"/>
    <w:rsid w:val="007B039B"/>
    <w:rsid w:val="007B27F2"/>
    <w:rsid w:val="007B3D9D"/>
    <w:rsid w:val="007B479A"/>
    <w:rsid w:val="007B4A5E"/>
    <w:rsid w:val="007B4D31"/>
    <w:rsid w:val="007B4F3B"/>
    <w:rsid w:val="007B4FB4"/>
    <w:rsid w:val="007B578C"/>
    <w:rsid w:val="007B5EF9"/>
    <w:rsid w:val="007B60AD"/>
    <w:rsid w:val="007B784D"/>
    <w:rsid w:val="007C0032"/>
    <w:rsid w:val="007C034B"/>
    <w:rsid w:val="007C0FDE"/>
    <w:rsid w:val="007C237B"/>
    <w:rsid w:val="007C3BDA"/>
    <w:rsid w:val="007C3F95"/>
    <w:rsid w:val="007C4148"/>
    <w:rsid w:val="007C50FF"/>
    <w:rsid w:val="007C679B"/>
    <w:rsid w:val="007C7749"/>
    <w:rsid w:val="007C77C2"/>
    <w:rsid w:val="007D125C"/>
    <w:rsid w:val="007D12B6"/>
    <w:rsid w:val="007D2FBA"/>
    <w:rsid w:val="007D3466"/>
    <w:rsid w:val="007D3CF9"/>
    <w:rsid w:val="007D5B0C"/>
    <w:rsid w:val="007D5BA5"/>
    <w:rsid w:val="007D6346"/>
    <w:rsid w:val="007E02EB"/>
    <w:rsid w:val="007E0793"/>
    <w:rsid w:val="007E1DE4"/>
    <w:rsid w:val="007E32D2"/>
    <w:rsid w:val="007E4435"/>
    <w:rsid w:val="007E45C2"/>
    <w:rsid w:val="007E4CA4"/>
    <w:rsid w:val="007F0765"/>
    <w:rsid w:val="007F0F5E"/>
    <w:rsid w:val="007F2176"/>
    <w:rsid w:val="007F25C5"/>
    <w:rsid w:val="007F4ED3"/>
    <w:rsid w:val="007F50FF"/>
    <w:rsid w:val="007F5C28"/>
    <w:rsid w:val="00800219"/>
    <w:rsid w:val="00801240"/>
    <w:rsid w:val="00801E91"/>
    <w:rsid w:val="00802414"/>
    <w:rsid w:val="008036E7"/>
    <w:rsid w:val="008040F6"/>
    <w:rsid w:val="00804558"/>
    <w:rsid w:val="008071BD"/>
    <w:rsid w:val="008118C1"/>
    <w:rsid w:val="00811F93"/>
    <w:rsid w:val="00812748"/>
    <w:rsid w:val="00813730"/>
    <w:rsid w:val="00814B4D"/>
    <w:rsid w:val="0081541D"/>
    <w:rsid w:val="0082069E"/>
    <w:rsid w:val="00821E3D"/>
    <w:rsid w:val="008227D7"/>
    <w:rsid w:val="00822CBF"/>
    <w:rsid w:val="00823DA5"/>
    <w:rsid w:val="00825420"/>
    <w:rsid w:val="00825D06"/>
    <w:rsid w:val="0082680A"/>
    <w:rsid w:val="00827DE0"/>
    <w:rsid w:val="00830127"/>
    <w:rsid w:val="008301F9"/>
    <w:rsid w:val="00830680"/>
    <w:rsid w:val="008327A8"/>
    <w:rsid w:val="00833F77"/>
    <w:rsid w:val="00834674"/>
    <w:rsid w:val="00836106"/>
    <w:rsid w:val="00836560"/>
    <w:rsid w:val="00837EA6"/>
    <w:rsid w:val="0084065D"/>
    <w:rsid w:val="00841CFB"/>
    <w:rsid w:val="00841E24"/>
    <w:rsid w:val="00842284"/>
    <w:rsid w:val="008429D3"/>
    <w:rsid w:val="00842D3A"/>
    <w:rsid w:val="008441DB"/>
    <w:rsid w:val="00844480"/>
    <w:rsid w:val="00844FC2"/>
    <w:rsid w:val="00845BDB"/>
    <w:rsid w:val="0084679A"/>
    <w:rsid w:val="00846D79"/>
    <w:rsid w:val="00846F8D"/>
    <w:rsid w:val="00847DD1"/>
    <w:rsid w:val="008500DB"/>
    <w:rsid w:val="008500E1"/>
    <w:rsid w:val="00851844"/>
    <w:rsid w:val="0085213F"/>
    <w:rsid w:val="00852C25"/>
    <w:rsid w:val="00852DC3"/>
    <w:rsid w:val="00853158"/>
    <w:rsid w:val="00853B67"/>
    <w:rsid w:val="00853B69"/>
    <w:rsid w:val="008571E2"/>
    <w:rsid w:val="00857FEE"/>
    <w:rsid w:val="00860B01"/>
    <w:rsid w:val="008633DD"/>
    <w:rsid w:val="00864CFC"/>
    <w:rsid w:val="00865E8F"/>
    <w:rsid w:val="008667CE"/>
    <w:rsid w:val="00866A62"/>
    <w:rsid w:val="00870AF8"/>
    <w:rsid w:val="00871741"/>
    <w:rsid w:val="00871B78"/>
    <w:rsid w:val="008729E4"/>
    <w:rsid w:val="00872F1B"/>
    <w:rsid w:val="00873201"/>
    <w:rsid w:val="00873821"/>
    <w:rsid w:val="0087525C"/>
    <w:rsid w:val="00875B61"/>
    <w:rsid w:val="008764FD"/>
    <w:rsid w:val="00877CB2"/>
    <w:rsid w:val="00880A6F"/>
    <w:rsid w:val="00881467"/>
    <w:rsid w:val="0088169E"/>
    <w:rsid w:val="0088203C"/>
    <w:rsid w:val="008837A7"/>
    <w:rsid w:val="008839EB"/>
    <w:rsid w:val="00883AB5"/>
    <w:rsid w:val="00884716"/>
    <w:rsid w:val="00884ABC"/>
    <w:rsid w:val="00887F32"/>
    <w:rsid w:val="00890952"/>
    <w:rsid w:val="00891204"/>
    <w:rsid w:val="008914C7"/>
    <w:rsid w:val="00891D68"/>
    <w:rsid w:val="00892C1B"/>
    <w:rsid w:val="00892F99"/>
    <w:rsid w:val="0089326B"/>
    <w:rsid w:val="008943CD"/>
    <w:rsid w:val="00895137"/>
    <w:rsid w:val="008953D0"/>
    <w:rsid w:val="00895EFE"/>
    <w:rsid w:val="00896061"/>
    <w:rsid w:val="00896B27"/>
    <w:rsid w:val="00897805"/>
    <w:rsid w:val="00897EAC"/>
    <w:rsid w:val="00897FCA"/>
    <w:rsid w:val="008A03BC"/>
    <w:rsid w:val="008A2A7D"/>
    <w:rsid w:val="008A41C2"/>
    <w:rsid w:val="008A4A16"/>
    <w:rsid w:val="008A4ECF"/>
    <w:rsid w:val="008B0D20"/>
    <w:rsid w:val="008B1687"/>
    <w:rsid w:val="008B1A1F"/>
    <w:rsid w:val="008B21AA"/>
    <w:rsid w:val="008B2D28"/>
    <w:rsid w:val="008B49D0"/>
    <w:rsid w:val="008B4AAA"/>
    <w:rsid w:val="008B5271"/>
    <w:rsid w:val="008B7158"/>
    <w:rsid w:val="008B76D2"/>
    <w:rsid w:val="008C08AA"/>
    <w:rsid w:val="008C0BBB"/>
    <w:rsid w:val="008C104F"/>
    <w:rsid w:val="008C19CF"/>
    <w:rsid w:val="008C2FDE"/>
    <w:rsid w:val="008C3437"/>
    <w:rsid w:val="008C3743"/>
    <w:rsid w:val="008C55BB"/>
    <w:rsid w:val="008C5CFC"/>
    <w:rsid w:val="008C6ACE"/>
    <w:rsid w:val="008C776B"/>
    <w:rsid w:val="008D00B3"/>
    <w:rsid w:val="008D0CAA"/>
    <w:rsid w:val="008D1742"/>
    <w:rsid w:val="008D1ECB"/>
    <w:rsid w:val="008D2991"/>
    <w:rsid w:val="008D2D01"/>
    <w:rsid w:val="008D42CF"/>
    <w:rsid w:val="008D58B3"/>
    <w:rsid w:val="008D76F5"/>
    <w:rsid w:val="008E0636"/>
    <w:rsid w:val="008E0AEA"/>
    <w:rsid w:val="008E17A8"/>
    <w:rsid w:val="008E1C02"/>
    <w:rsid w:val="008E1EF0"/>
    <w:rsid w:val="008E2173"/>
    <w:rsid w:val="008E3433"/>
    <w:rsid w:val="008E4C5D"/>
    <w:rsid w:val="008E4D67"/>
    <w:rsid w:val="008E60CB"/>
    <w:rsid w:val="008E6C86"/>
    <w:rsid w:val="008E6E58"/>
    <w:rsid w:val="008F0FFD"/>
    <w:rsid w:val="008F169A"/>
    <w:rsid w:val="008F17E0"/>
    <w:rsid w:val="008F23E3"/>
    <w:rsid w:val="008F2FA6"/>
    <w:rsid w:val="008F4195"/>
    <w:rsid w:val="008F4BF2"/>
    <w:rsid w:val="008F4E11"/>
    <w:rsid w:val="008F614F"/>
    <w:rsid w:val="008F746D"/>
    <w:rsid w:val="008F74B5"/>
    <w:rsid w:val="008F78BB"/>
    <w:rsid w:val="008F7B7A"/>
    <w:rsid w:val="00901596"/>
    <w:rsid w:val="00901ACD"/>
    <w:rsid w:val="00903B2E"/>
    <w:rsid w:val="00903FCC"/>
    <w:rsid w:val="0090476A"/>
    <w:rsid w:val="00904CB7"/>
    <w:rsid w:val="00907144"/>
    <w:rsid w:val="009117F3"/>
    <w:rsid w:val="009118B5"/>
    <w:rsid w:val="00912052"/>
    <w:rsid w:val="0091228F"/>
    <w:rsid w:val="00912622"/>
    <w:rsid w:val="009135B5"/>
    <w:rsid w:val="0091369C"/>
    <w:rsid w:val="00915333"/>
    <w:rsid w:val="00916625"/>
    <w:rsid w:val="00917F0B"/>
    <w:rsid w:val="009203C6"/>
    <w:rsid w:val="009207D3"/>
    <w:rsid w:val="00920D7D"/>
    <w:rsid w:val="00921339"/>
    <w:rsid w:val="00921E03"/>
    <w:rsid w:val="009234A2"/>
    <w:rsid w:val="00923C6A"/>
    <w:rsid w:val="00923ED7"/>
    <w:rsid w:val="0092445C"/>
    <w:rsid w:val="009248DB"/>
    <w:rsid w:val="009250DF"/>
    <w:rsid w:val="00926310"/>
    <w:rsid w:val="009311D0"/>
    <w:rsid w:val="00931EA9"/>
    <w:rsid w:val="0093237F"/>
    <w:rsid w:val="009345D3"/>
    <w:rsid w:val="0093534C"/>
    <w:rsid w:val="00935540"/>
    <w:rsid w:val="00936385"/>
    <w:rsid w:val="00936A2F"/>
    <w:rsid w:val="00937BC1"/>
    <w:rsid w:val="009408E3"/>
    <w:rsid w:val="00940C8A"/>
    <w:rsid w:val="00941C22"/>
    <w:rsid w:val="00941C86"/>
    <w:rsid w:val="009438B5"/>
    <w:rsid w:val="00944615"/>
    <w:rsid w:val="00944B48"/>
    <w:rsid w:val="00944E23"/>
    <w:rsid w:val="00946D1C"/>
    <w:rsid w:val="009505B9"/>
    <w:rsid w:val="00951918"/>
    <w:rsid w:val="00951AA7"/>
    <w:rsid w:val="00951E45"/>
    <w:rsid w:val="00952CE1"/>
    <w:rsid w:val="00953441"/>
    <w:rsid w:val="00953A4E"/>
    <w:rsid w:val="00955709"/>
    <w:rsid w:val="009578E3"/>
    <w:rsid w:val="00962042"/>
    <w:rsid w:val="00962071"/>
    <w:rsid w:val="009631B1"/>
    <w:rsid w:val="009639D4"/>
    <w:rsid w:val="0096439F"/>
    <w:rsid w:val="00965899"/>
    <w:rsid w:val="00965A02"/>
    <w:rsid w:val="00966E70"/>
    <w:rsid w:val="00967E80"/>
    <w:rsid w:val="00971D0C"/>
    <w:rsid w:val="0097338A"/>
    <w:rsid w:val="00973A67"/>
    <w:rsid w:val="00974B45"/>
    <w:rsid w:val="00975854"/>
    <w:rsid w:val="00977957"/>
    <w:rsid w:val="009779D9"/>
    <w:rsid w:val="00980C89"/>
    <w:rsid w:val="009839C7"/>
    <w:rsid w:val="00984B02"/>
    <w:rsid w:val="00985E0B"/>
    <w:rsid w:val="009914B0"/>
    <w:rsid w:val="00991EAD"/>
    <w:rsid w:val="00991F34"/>
    <w:rsid w:val="009929F9"/>
    <w:rsid w:val="00994B64"/>
    <w:rsid w:val="00994CBB"/>
    <w:rsid w:val="00994D9D"/>
    <w:rsid w:val="00996632"/>
    <w:rsid w:val="009979E6"/>
    <w:rsid w:val="009A1601"/>
    <w:rsid w:val="009A2521"/>
    <w:rsid w:val="009A46B4"/>
    <w:rsid w:val="009A5D92"/>
    <w:rsid w:val="009A76F1"/>
    <w:rsid w:val="009A7C21"/>
    <w:rsid w:val="009B0AC4"/>
    <w:rsid w:val="009B2AA5"/>
    <w:rsid w:val="009B401E"/>
    <w:rsid w:val="009B43DA"/>
    <w:rsid w:val="009B4731"/>
    <w:rsid w:val="009B50EA"/>
    <w:rsid w:val="009B705F"/>
    <w:rsid w:val="009B7C4D"/>
    <w:rsid w:val="009C0767"/>
    <w:rsid w:val="009C1083"/>
    <w:rsid w:val="009C1890"/>
    <w:rsid w:val="009C375B"/>
    <w:rsid w:val="009C4071"/>
    <w:rsid w:val="009C4723"/>
    <w:rsid w:val="009C6D65"/>
    <w:rsid w:val="009C75A4"/>
    <w:rsid w:val="009D1F14"/>
    <w:rsid w:val="009D2BD9"/>
    <w:rsid w:val="009D2C13"/>
    <w:rsid w:val="009D2EB4"/>
    <w:rsid w:val="009D310C"/>
    <w:rsid w:val="009D3455"/>
    <w:rsid w:val="009D45A1"/>
    <w:rsid w:val="009D4DC1"/>
    <w:rsid w:val="009D506A"/>
    <w:rsid w:val="009D5173"/>
    <w:rsid w:val="009D5D6C"/>
    <w:rsid w:val="009D734E"/>
    <w:rsid w:val="009D75C0"/>
    <w:rsid w:val="009D79F4"/>
    <w:rsid w:val="009E2E94"/>
    <w:rsid w:val="009E30EB"/>
    <w:rsid w:val="009E4067"/>
    <w:rsid w:val="009E4A0A"/>
    <w:rsid w:val="009E4C5F"/>
    <w:rsid w:val="009E4EC8"/>
    <w:rsid w:val="009E57AD"/>
    <w:rsid w:val="009E6D04"/>
    <w:rsid w:val="009E76A1"/>
    <w:rsid w:val="009E78E3"/>
    <w:rsid w:val="009F002D"/>
    <w:rsid w:val="009F3F46"/>
    <w:rsid w:val="009F450F"/>
    <w:rsid w:val="009F5D0A"/>
    <w:rsid w:val="009F68AD"/>
    <w:rsid w:val="00A015F3"/>
    <w:rsid w:val="00A01B68"/>
    <w:rsid w:val="00A01F92"/>
    <w:rsid w:val="00A02F96"/>
    <w:rsid w:val="00A03FCF"/>
    <w:rsid w:val="00A042E0"/>
    <w:rsid w:val="00A044F9"/>
    <w:rsid w:val="00A04564"/>
    <w:rsid w:val="00A05F53"/>
    <w:rsid w:val="00A072EF"/>
    <w:rsid w:val="00A07EEA"/>
    <w:rsid w:val="00A11976"/>
    <w:rsid w:val="00A11B53"/>
    <w:rsid w:val="00A11CC6"/>
    <w:rsid w:val="00A11EC2"/>
    <w:rsid w:val="00A132E1"/>
    <w:rsid w:val="00A13DA1"/>
    <w:rsid w:val="00A14BF2"/>
    <w:rsid w:val="00A14DEB"/>
    <w:rsid w:val="00A17A61"/>
    <w:rsid w:val="00A17DA4"/>
    <w:rsid w:val="00A208A4"/>
    <w:rsid w:val="00A20C5E"/>
    <w:rsid w:val="00A212F7"/>
    <w:rsid w:val="00A215B2"/>
    <w:rsid w:val="00A23242"/>
    <w:rsid w:val="00A2326F"/>
    <w:rsid w:val="00A23509"/>
    <w:rsid w:val="00A235DA"/>
    <w:rsid w:val="00A23960"/>
    <w:rsid w:val="00A246B1"/>
    <w:rsid w:val="00A2479A"/>
    <w:rsid w:val="00A266AC"/>
    <w:rsid w:val="00A26BAF"/>
    <w:rsid w:val="00A27A23"/>
    <w:rsid w:val="00A30994"/>
    <w:rsid w:val="00A311DD"/>
    <w:rsid w:val="00A3185E"/>
    <w:rsid w:val="00A33326"/>
    <w:rsid w:val="00A34057"/>
    <w:rsid w:val="00A344E9"/>
    <w:rsid w:val="00A34706"/>
    <w:rsid w:val="00A34E34"/>
    <w:rsid w:val="00A3556C"/>
    <w:rsid w:val="00A37C05"/>
    <w:rsid w:val="00A4087E"/>
    <w:rsid w:val="00A42EEE"/>
    <w:rsid w:val="00A442D7"/>
    <w:rsid w:val="00A447DD"/>
    <w:rsid w:val="00A44DA3"/>
    <w:rsid w:val="00A45A4A"/>
    <w:rsid w:val="00A45E12"/>
    <w:rsid w:val="00A46A23"/>
    <w:rsid w:val="00A46A98"/>
    <w:rsid w:val="00A47F79"/>
    <w:rsid w:val="00A50156"/>
    <w:rsid w:val="00A502F4"/>
    <w:rsid w:val="00A506CA"/>
    <w:rsid w:val="00A51ABE"/>
    <w:rsid w:val="00A51B29"/>
    <w:rsid w:val="00A5232C"/>
    <w:rsid w:val="00A5469F"/>
    <w:rsid w:val="00A55AF5"/>
    <w:rsid w:val="00A55FED"/>
    <w:rsid w:val="00A57613"/>
    <w:rsid w:val="00A57BF2"/>
    <w:rsid w:val="00A606DF"/>
    <w:rsid w:val="00A613FE"/>
    <w:rsid w:val="00A61800"/>
    <w:rsid w:val="00A61DC8"/>
    <w:rsid w:val="00A63164"/>
    <w:rsid w:val="00A64865"/>
    <w:rsid w:val="00A6506D"/>
    <w:rsid w:val="00A66569"/>
    <w:rsid w:val="00A67B9A"/>
    <w:rsid w:val="00A70565"/>
    <w:rsid w:val="00A7093F"/>
    <w:rsid w:val="00A70CE1"/>
    <w:rsid w:val="00A713E4"/>
    <w:rsid w:val="00A723DC"/>
    <w:rsid w:val="00A7252D"/>
    <w:rsid w:val="00A72DA3"/>
    <w:rsid w:val="00A77E24"/>
    <w:rsid w:val="00A77EB6"/>
    <w:rsid w:val="00A800F7"/>
    <w:rsid w:val="00A80669"/>
    <w:rsid w:val="00A80B68"/>
    <w:rsid w:val="00A80E2F"/>
    <w:rsid w:val="00A81AA9"/>
    <w:rsid w:val="00A82489"/>
    <w:rsid w:val="00A83198"/>
    <w:rsid w:val="00A83F11"/>
    <w:rsid w:val="00A85BB2"/>
    <w:rsid w:val="00A92C66"/>
    <w:rsid w:val="00A93250"/>
    <w:rsid w:val="00A93550"/>
    <w:rsid w:val="00A93DA6"/>
    <w:rsid w:val="00A96364"/>
    <w:rsid w:val="00A968CD"/>
    <w:rsid w:val="00A96DC2"/>
    <w:rsid w:val="00AA06DA"/>
    <w:rsid w:val="00AA091A"/>
    <w:rsid w:val="00AA2A32"/>
    <w:rsid w:val="00AA2D75"/>
    <w:rsid w:val="00AA46FD"/>
    <w:rsid w:val="00AA5B1A"/>
    <w:rsid w:val="00AA5DC4"/>
    <w:rsid w:val="00AA6F42"/>
    <w:rsid w:val="00AA7176"/>
    <w:rsid w:val="00AA73B6"/>
    <w:rsid w:val="00AB13B1"/>
    <w:rsid w:val="00AB3608"/>
    <w:rsid w:val="00AB45F3"/>
    <w:rsid w:val="00AB4FBB"/>
    <w:rsid w:val="00AB6894"/>
    <w:rsid w:val="00AB6A8C"/>
    <w:rsid w:val="00AC00BD"/>
    <w:rsid w:val="00AC0259"/>
    <w:rsid w:val="00AC03FE"/>
    <w:rsid w:val="00AC16AF"/>
    <w:rsid w:val="00AC2150"/>
    <w:rsid w:val="00AC2708"/>
    <w:rsid w:val="00AC3E85"/>
    <w:rsid w:val="00AC3EC4"/>
    <w:rsid w:val="00AC4271"/>
    <w:rsid w:val="00AC5FAD"/>
    <w:rsid w:val="00AC6682"/>
    <w:rsid w:val="00AC78DE"/>
    <w:rsid w:val="00AC7F7D"/>
    <w:rsid w:val="00AD10D1"/>
    <w:rsid w:val="00AD22CF"/>
    <w:rsid w:val="00AD230F"/>
    <w:rsid w:val="00AD27AE"/>
    <w:rsid w:val="00AD2CF5"/>
    <w:rsid w:val="00AD35ED"/>
    <w:rsid w:val="00AD3984"/>
    <w:rsid w:val="00AD39ED"/>
    <w:rsid w:val="00AD3E9D"/>
    <w:rsid w:val="00AD6621"/>
    <w:rsid w:val="00AD6A30"/>
    <w:rsid w:val="00AD7A83"/>
    <w:rsid w:val="00AD7F9A"/>
    <w:rsid w:val="00AE044C"/>
    <w:rsid w:val="00AE26C3"/>
    <w:rsid w:val="00AE26D8"/>
    <w:rsid w:val="00AE27D4"/>
    <w:rsid w:val="00AE3390"/>
    <w:rsid w:val="00AE4859"/>
    <w:rsid w:val="00AE4F25"/>
    <w:rsid w:val="00AE6FEF"/>
    <w:rsid w:val="00AF06D2"/>
    <w:rsid w:val="00AF0A55"/>
    <w:rsid w:val="00AF0B11"/>
    <w:rsid w:val="00AF0F6C"/>
    <w:rsid w:val="00AF2C8D"/>
    <w:rsid w:val="00AF3955"/>
    <w:rsid w:val="00AF4F9A"/>
    <w:rsid w:val="00AF6514"/>
    <w:rsid w:val="00B00D18"/>
    <w:rsid w:val="00B012C9"/>
    <w:rsid w:val="00B028C8"/>
    <w:rsid w:val="00B04569"/>
    <w:rsid w:val="00B05C59"/>
    <w:rsid w:val="00B1056B"/>
    <w:rsid w:val="00B118BE"/>
    <w:rsid w:val="00B11B26"/>
    <w:rsid w:val="00B11D76"/>
    <w:rsid w:val="00B129DC"/>
    <w:rsid w:val="00B12F2E"/>
    <w:rsid w:val="00B13463"/>
    <w:rsid w:val="00B13E53"/>
    <w:rsid w:val="00B15375"/>
    <w:rsid w:val="00B163F1"/>
    <w:rsid w:val="00B170E0"/>
    <w:rsid w:val="00B201DE"/>
    <w:rsid w:val="00B203EE"/>
    <w:rsid w:val="00B21DFA"/>
    <w:rsid w:val="00B2207A"/>
    <w:rsid w:val="00B22A26"/>
    <w:rsid w:val="00B2332E"/>
    <w:rsid w:val="00B23855"/>
    <w:rsid w:val="00B2551E"/>
    <w:rsid w:val="00B3033C"/>
    <w:rsid w:val="00B31764"/>
    <w:rsid w:val="00B31C12"/>
    <w:rsid w:val="00B331A2"/>
    <w:rsid w:val="00B33684"/>
    <w:rsid w:val="00B35C03"/>
    <w:rsid w:val="00B37B27"/>
    <w:rsid w:val="00B40B34"/>
    <w:rsid w:val="00B40E8C"/>
    <w:rsid w:val="00B41D12"/>
    <w:rsid w:val="00B4258B"/>
    <w:rsid w:val="00B442EC"/>
    <w:rsid w:val="00B44EBE"/>
    <w:rsid w:val="00B471EA"/>
    <w:rsid w:val="00B524F0"/>
    <w:rsid w:val="00B52654"/>
    <w:rsid w:val="00B54EDA"/>
    <w:rsid w:val="00B55061"/>
    <w:rsid w:val="00B55C35"/>
    <w:rsid w:val="00B5679A"/>
    <w:rsid w:val="00B567CA"/>
    <w:rsid w:val="00B567DA"/>
    <w:rsid w:val="00B56A37"/>
    <w:rsid w:val="00B573E7"/>
    <w:rsid w:val="00B57902"/>
    <w:rsid w:val="00B6193B"/>
    <w:rsid w:val="00B61FD4"/>
    <w:rsid w:val="00B63F4A"/>
    <w:rsid w:val="00B641D2"/>
    <w:rsid w:val="00B65383"/>
    <w:rsid w:val="00B6664F"/>
    <w:rsid w:val="00B66DA1"/>
    <w:rsid w:val="00B66DB1"/>
    <w:rsid w:val="00B677DC"/>
    <w:rsid w:val="00B6797E"/>
    <w:rsid w:val="00B7053B"/>
    <w:rsid w:val="00B71D9B"/>
    <w:rsid w:val="00B732D1"/>
    <w:rsid w:val="00B7396B"/>
    <w:rsid w:val="00B752E1"/>
    <w:rsid w:val="00B75B52"/>
    <w:rsid w:val="00B76433"/>
    <w:rsid w:val="00B76476"/>
    <w:rsid w:val="00B77693"/>
    <w:rsid w:val="00B809C6"/>
    <w:rsid w:val="00B81806"/>
    <w:rsid w:val="00B82CC3"/>
    <w:rsid w:val="00B83747"/>
    <w:rsid w:val="00B838F2"/>
    <w:rsid w:val="00B83B91"/>
    <w:rsid w:val="00B84178"/>
    <w:rsid w:val="00B84C24"/>
    <w:rsid w:val="00B867F0"/>
    <w:rsid w:val="00B91587"/>
    <w:rsid w:val="00B91AF2"/>
    <w:rsid w:val="00B93284"/>
    <w:rsid w:val="00B943B4"/>
    <w:rsid w:val="00B958A4"/>
    <w:rsid w:val="00B95A54"/>
    <w:rsid w:val="00B95AAA"/>
    <w:rsid w:val="00B97B90"/>
    <w:rsid w:val="00BA086B"/>
    <w:rsid w:val="00BA1B60"/>
    <w:rsid w:val="00BA2189"/>
    <w:rsid w:val="00BA3133"/>
    <w:rsid w:val="00BA4455"/>
    <w:rsid w:val="00BA44BA"/>
    <w:rsid w:val="00BA5DA1"/>
    <w:rsid w:val="00BA60BD"/>
    <w:rsid w:val="00BA6B5B"/>
    <w:rsid w:val="00BA755A"/>
    <w:rsid w:val="00BA7E8C"/>
    <w:rsid w:val="00BB19FB"/>
    <w:rsid w:val="00BB1A2F"/>
    <w:rsid w:val="00BB1F68"/>
    <w:rsid w:val="00BB2302"/>
    <w:rsid w:val="00BB29BD"/>
    <w:rsid w:val="00BB3686"/>
    <w:rsid w:val="00BB38D3"/>
    <w:rsid w:val="00BB4C2F"/>
    <w:rsid w:val="00BB711B"/>
    <w:rsid w:val="00BB799F"/>
    <w:rsid w:val="00BB7C00"/>
    <w:rsid w:val="00BC1291"/>
    <w:rsid w:val="00BC14F5"/>
    <w:rsid w:val="00BC1A0A"/>
    <w:rsid w:val="00BC3D72"/>
    <w:rsid w:val="00BC7A59"/>
    <w:rsid w:val="00BD302D"/>
    <w:rsid w:val="00BD4C04"/>
    <w:rsid w:val="00BD5AC3"/>
    <w:rsid w:val="00BD67F8"/>
    <w:rsid w:val="00BD6E77"/>
    <w:rsid w:val="00BE1123"/>
    <w:rsid w:val="00BE1A7A"/>
    <w:rsid w:val="00BE1CAC"/>
    <w:rsid w:val="00BE1E1B"/>
    <w:rsid w:val="00BE266A"/>
    <w:rsid w:val="00BE3464"/>
    <w:rsid w:val="00BE4A73"/>
    <w:rsid w:val="00BE4CB2"/>
    <w:rsid w:val="00BE4E13"/>
    <w:rsid w:val="00BE66AA"/>
    <w:rsid w:val="00BE7E64"/>
    <w:rsid w:val="00BF10C4"/>
    <w:rsid w:val="00BF11EB"/>
    <w:rsid w:val="00BF16A8"/>
    <w:rsid w:val="00BF2421"/>
    <w:rsid w:val="00BF3F3D"/>
    <w:rsid w:val="00BF7249"/>
    <w:rsid w:val="00C025EF"/>
    <w:rsid w:val="00C029EF"/>
    <w:rsid w:val="00C03C29"/>
    <w:rsid w:val="00C05713"/>
    <w:rsid w:val="00C05A4E"/>
    <w:rsid w:val="00C060D5"/>
    <w:rsid w:val="00C06ECE"/>
    <w:rsid w:val="00C07156"/>
    <w:rsid w:val="00C076AD"/>
    <w:rsid w:val="00C10912"/>
    <w:rsid w:val="00C11BCC"/>
    <w:rsid w:val="00C12935"/>
    <w:rsid w:val="00C14083"/>
    <w:rsid w:val="00C14765"/>
    <w:rsid w:val="00C1755D"/>
    <w:rsid w:val="00C17AF7"/>
    <w:rsid w:val="00C20F32"/>
    <w:rsid w:val="00C20FF8"/>
    <w:rsid w:val="00C21170"/>
    <w:rsid w:val="00C217A8"/>
    <w:rsid w:val="00C21D32"/>
    <w:rsid w:val="00C2276E"/>
    <w:rsid w:val="00C23592"/>
    <w:rsid w:val="00C24A27"/>
    <w:rsid w:val="00C24DFB"/>
    <w:rsid w:val="00C25001"/>
    <w:rsid w:val="00C2505E"/>
    <w:rsid w:val="00C25130"/>
    <w:rsid w:val="00C25550"/>
    <w:rsid w:val="00C261B9"/>
    <w:rsid w:val="00C26751"/>
    <w:rsid w:val="00C26937"/>
    <w:rsid w:val="00C27C23"/>
    <w:rsid w:val="00C31EB3"/>
    <w:rsid w:val="00C31EDE"/>
    <w:rsid w:val="00C33528"/>
    <w:rsid w:val="00C33861"/>
    <w:rsid w:val="00C342A0"/>
    <w:rsid w:val="00C352C8"/>
    <w:rsid w:val="00C35659"/>
    <w:rsid w:val="00C375BA"/>
    <w:rsid w:val="00C37864"/>
    <w:rsid w:val="00C37AB9"/>
    <w:rsid w:val="00C40D0E"/>
    <w:rsid w:val="00C41705"/>
    <w:rsid w:val="00C4225E"/>
    <w:rsid w:val="00C4321C"/>
    <w:rsid w:val="00C45B15"/>
    <w:rsid w:val="00C45D99"/>
    <w:rsid w:val="00C45FF4"/>
    <w:rsid w:val="00C46DC5"/>
    <w:rsid w:val="00C50D05"/>
    <w:rsid w:val="00C50F28"/>
    <w:rsid w:val="00C51B11"/>
    <w:rsid w:val="00C5261C"/>
    <w:rsid w:val="00C52688"/>
    <w:rsid w:val="00C52B97"/>
    <w:rsid w:val="00C53845"/>
    <w:rsid w:val="00C54D10"/>
    <w:rsid w:val="00C55B61"/>
    <w:rsid w:val="00C56640"/>
    <w:rsid w:val="00C56828"/>
    <w:rsid w:val="00C57343"/>
    <w:rsid w:val="00C57D9E"/>
    <w:rsid w:val="00C62ED1"/>
    <w:rsid w:val="00C6363A"/>
    <w:rsid w:val="00C6487F"/>
    <w:rsid w:val="00C65590"/>
    <w:rsid w:val="00C66DBD"/>
    <w:rsid w:val="00C7231B"/>
    <w:rsid w:val="00C72B74"/>
    <w:rsid w:val="00C72DEC"/>
    <w:rsid w:val="00C731DE"/>
    <w:rsid w:val="00C73FC0"/>
    <w:rsid w:val="00C7500C"/>
    <w:rsid w:val="00C7516C"/>
    <w:rsid w:val="00C75E2D"/>
    <w:rsid w:val="00C76783"/>
    <w:rsid w:val="00C7744C"/>
    <w:rsid w:val="00C77A14"/>
    <w:rsid w:val="00C77C7B"/>
    <w:rsid w:val="00C77F72"/>
    <w:rsid w:val="00C80876"/>
    <w:rsid w:val="00C82028"/>
    <w:rsid w:val="00C82270"/>
    <w:rsid w:val="00C8442B"/>
    <w:rsid w:val="00C85188"/>
    <w:rsid w:val="00C86359"/>
    <w:rsid w:val="00C871CC"/>
    <w:rsid w:val="00C87D78"/>
    <w:rsid w:val="00C91491"/>
    <w:rsid w:val="00C916F9"/>
    <w:rsid w:val="00C91E5E"/>
    <w:rsid w:val="00C92E29"/>
    <w:rsid w:val="00C9571B"/>
    <w:rsid w:val="00C96505"/>
    <w:rsid w:val="00C9772C"/>
    <w:rsid w:val="00C97A37"/>
    <w:rsid w:val="00CA0A21"/>
    <w:rsid w:val="00CA1518"/>
    <w:rsid w:val="00CA15A8"/>
    <w:rsid w:val="00CA2BBE"/>
    <w:rsid w:val="00CA3276"/>
    <w:rsid w:val="00CA4D71"/>
    <w:rsid w:val="00CA4F71"/>
    <w:rsid w:val="00CB0A52"/>
    <w:rsid w:val="00CB10A9"/>
    <w:rsid w:val="00CB18D5"/>
    <w:rsid w:val="00CB311B"/>
    <w:rsid w:val="00CB329C"/>
    <w:rsid w:val="00CB3A34"/>
    <w:rsid w:val="00CB4074"/>
    <w:rsid w:val="00CB5610"/>
    <w:rsid w:val="00CB6401"/>
    <w:rsid w:val="00CB7116"/>
    <w:rsid w:val="00CB741B"/>
    <w:rsid w:val="00CB7FF3"/>
    <w:rsid w:val="00CC1377"/>
    <w:rsid w:val="00CC2369"/>
    <w:rsid w:val="00CC3E56"/>
    <w:rsid w:val="00CC42F2"/>
    <w:rsid w:val="00CC48F1"/>
    <w:rsid w:val="00CC4B12"/>
    <w:rsid w:val="00CC59D9"/>
    <w:rsid w:val="00CC5B4A"/>
    <w:rsid w:val="00CC5DA0"/>
    <w:rsid w:val="00CC5FDB"/>
    <w:rsid w:val="00CC6034"/>
    <w:rsid w:val="00CC642D"/>
    <w:rsid w:val="00CC712E"/>
    <w:rsid w:val="00CC71FC"/>
    <w:rsid w:val="00CD33DB"/>
    <w:rsid w:val="00CD5129"/>
    <w:rsid w:val="00CD5B72"/>
    <w:rsid w:val="00CD5BC4"/>
    <w:rsid w:val="00CD6430"/>
    <w:rsid w:val="00CD6888"/>
    <w:rsid w:val="00CD692B"/>
    <w:rsid w:val="00CD7106"/>
    <w:rsid w:val="00CD7F6E"/>
    <w:rsid w:val="00CE01F9"/>
    <w:rsid w:val="00CE0B45"/>
    <w:rsid w:val="00CE1865"/>
    <w:rsid w:val="00CE1F3D"/>
    <w:rsid w:val="00CE2DDB"/>
    <w:rsid w:val="00CE3E82"/>
    <w:rsid w:val="00CE4774"/>
    <w:rsid w:val="00CE4A63"/>
    <w:rsid w:val="00CE5BDF"/>
    <w:rsid w:val="00CE5D84"/>
    <w:rsid w:val="00CE686D"/>
    <w:rsid w:val="00CF17EF"/>
    <w:rsid w:val="00CF182F"/>
    <w:rsid w:val="00CF22D5"/>
    <w:rsid w:val="00CF46F2"/>
    <w:rsid w:val="00CF4D83"/>
    <w:rsid w:val="00CF6DB1"/>
    <w:rsid w:val="00CF6FA3"/>
    <w:rsid w:val="00CF7D62"/>
    <w:rsid w:val="00D01054"/>
    <w:rsid w:val="00D020FB"/>
    <w:rsid w:val="00D02213"/>
    <w:rsid w:val="00D0250E"/>
    <w:rsid w:val="00D02730"/>
    <w:rsid w:val="00D034B7"/>
    <w:rsid w:val="00D0366E"/>
    <w:rsid w:val="00D03B5F"/>
    <w:rsid w:val="00D03C30"/>
    <w:rsid w:val="00D044F7"/>
    <w:rsid w:val="00D05C0E"/>
    <w:rsid w:val="00D05D11"/>
    <w:rsid w:val="00D06FC5"/>
    <w:rsid w:val="00D11544"/>
    <w:rsid w:val="00D12F64"/>
    <w:rsid w:val="00D137C6"/>
    <w:rsid w:val="00D137EC"/>
    <w:rsid w:val="00D14038"/>
    <w:rsid w:val="00D14792"/>
    <w:rsid w:val="00D14DC2"/>
    <w:rsid w:val="00D15020"/>
    <w:rsid w:val="00D15357"/>
    <w:rsid w:val="00D15AA4"/>
    <w:rsid w:val="00D16766"/>
    <w:rsid w:val="00D17FFE"/>
    <w:rsid w:val="00D21508"/>
    <w:rsid w:val="00D21B72"/>
    <w:rsid w:val="00D21D43"/>
    <w:rsid w:val="00D22BC9"/>
    <w:rsid w:val="00D22E3A"/>
    <w:rsid w:val="00D231B8"/>
    <w:rsid w:val="00D23927"/>
    <w:rsid w:val="00D23D4D"/>
    <w:rsid w:val="00D24420"/>
    <w:rsid w:val="00D24645"/>
    <w:rsid w:val="00D24F10"/>
    <w:rsid w:val="00D25621"/>
    <w:rsid w:val="00D25ED9"/>
    <w:rsid w:val="00D268E7"/>
    <w:rsid w:val="00D271D3"/>
    <w:rsid w:val="00D275F5"/>
    <w:rsid w:val="00D31149"/>
    <w:rsid w:val="00D31D2A"/>
    <w:rsid w:val="00D329EC"/>
    <w:rsid w:val="00D338C6"/>
    <w:rsid w:val="00D358DA"/>
    <w:rsid w:val="00D35B7B"/>
    <w:rsid w:val="00D35F39"/>
    <w:rsid w:val="00D36178"/>
    <w:rsid w:val="00D36C04"/>
    <w:rsid w:val="00D3727E"/>
    <w:rsid w:val="00D417C6"/>
    <w:rsid w:val="00D423E2"/>
    <w:rsid w:val="00D435F2"/>
    <w:rsid w:val="00D44CB1"/>
    <w:rsid w:val="00D45126"/>
    <w:rsid w:val="00D45CFC"/>
    <w:rsid w:val="00D46201"/>
    <w:rsid w:val="00D46F41"/>
    <w:rsid w:val="00D47D7F"/>
    <w:rsid w:val="00D511CC"/>
    <w:rsid w:val="00D515A5"/>
    <w:rsid w:val="00D517FE"/>
    <w:rsid w:val="00D51B92"/>
    <w:rsid w:val="00D51DA5"/>
    <w:rsid w:val="00D551D1"/>
    <w:rsid w:val="00D561A0"/>
    <w:rsid w:val="00D5725B"/>
    <w:rsid w:val="00D57F71"/>
    <w:rsid w:val="00D61857"/>
    <w:rsid w:val="00D61992"/>
    <w:rsid w:val="00D61F80"/>
    <w:rsid w:val="00D629A3"/>
    <w:rsid w:val="00D62D3D"/>
    <w:rsid w:val="00D63047"/>
    <w:rsid w:val="00D634AD"/>
    <w:rsid w:val="00D659A6"/>
    <w:rsid w:val="00D65B46"/>
    <w:rsid w:val="00D663CA"/>
    <w:rsid w:val="00D70093"/>
    <w:rsid w:val="00D70842"/>
    <w:rsid w:val="00D70A7F"/>
    <w:rsid w:val="00D72DFB"/>
    <w:rsid w:val="00D7416D"/>
    <w:rsid w:val="00D7511D"/>
    <w:rsid w:val="00D75574"/>
    <w:rsid w:val="00D766A8"/>
    <w:rsid w:val="00D7692E"/>
    <w:rsid w:val="00D77143"/>
    <w:rsid w:val="00D82A56"/>
    <w:rsid w:val="00D82DAE"/>
    <w:rsid w:val="00D83659"/>
    <w:rsid w:val="00D839C7"/>
    <w:rsid w:val="00D8586F"/>
    <w:rsid w:val="00D86565"/>
    <w:rsid w:val="00D86FEB"/>
    <w:rsid w:val="00D87682"/>
    <w:rsid w:val="00D877DB"/>
    <w:rsid w:val="00D90090"/>
    <w:rsid w:val="00D9021C"/>
    <w:rsid w:val="00D904B6"/>
    <w:rsid w:val="00D90A50"/>
    <w:rsid w:val="00D91F07"/>
    <w:rsid w:val="00D922D6"/>
    <w:rsid w:val="00D923BB"/>
    <w:rsid w:val="00D92550"/>
    <w:rsid w:val="00D933EF"/>
    <w:rsid w:val="00D93FB0"/>
    <w:rsid w:val="00D946EC"/>
    <w:rsid w:val="00D97988"/>
    <w:rsid w:val="00DA0423"/>
    <w:rsid w:val="00DA14DA"/>
    <w:rsid w:val="00DA1B9D"/>
    <w:rsid w:val="00DA2B40"/>
    <w:rsid w:val="00DA45D8"/>
    <w:rsid w:val="00DA5636"/>
    <w:rsid w:val="00DA61A9"/>
    <w:rsid w:val="00DA79F1"/>
    <w:rsid w:val="00DB191E"/>
    <w:rsid w:val="00DB21D8"/>
    <w:rsid w:val="00DB4ABD"/>
    <w:rsid w:val="00DC0572"/>
    <w:rsid w:val="00DC07E3"/>
    <w:rsid w:val="00DC15D7"/>
    <w:rsid w:val="00DC15E3"/>
    <w:rsid w:val="00DC3C25"/>
    <w:rsid w:val="00DC4275"/>
    <w:rsid w:val="00DC48DA"/>
    <w:rsid w:val="00DD1104"/>
    <w:rsid w:val="00DD168E"/>
    <w:rsid w:val="00DD1E47"/>
    <w:rsid w:val="00DD25BC"/>
    <w:rsid w:val="00DD2DE8"/>
    <w:rsid w:val="00DD3B93"/>
    <w:rsid w:val="00DD54DF"/>
    <w:rsid w:val="00DD5671"/>
    <w:rsid w:val="00DD7030"/>
    <w:rsid w:val="00DD7614"/>
    <w:rsid w:val="00DD7AF9"/>
    <w:rsid w:val="00DE0C13"/>
    <w:rsid w:val="00DE15D4"/>
    <w:rsid w:val="00DE17A1"/>
    <w:rsid w:val="00DE1DFC"/>
    <w:rsid w:val="00DE1F5C"/>
    <w:rsid w:val="00DE22C5"/>
    <w:rsid w:val="00DE28BA"/>
    <w:rsid w:val="00DE31C7"/>
    <w:rsid w:val="00DE348B"/>
    <w:rsid w:val="00DE4956"/>
    <w:rsid w:val="00DE5013"/>
    <w:rsid w:val="00DE567E"/>
    <w:rsid w:val="00DE6BF9"/>
    <w:rsid w:val="00DF076D"/>
    <w:rsid w:val="00DF085D"/>
    <w:rsid w:val="00DF1784"/>
    <w:rsid w:val="00DF430D"/>
    <w:rsid w:val="00DF465F"/>
    <w:rsid w:val="00DF4CB7"/>
    <w:rsid w:val="00DF6720"/>
    <w:rsid w:val="00E00DCB"/>
    <w:rsid w:val="00E03DAB"/>
    <w:rsid w:val="00E052A1"/>
    <w:rsid w:val="00E064DE"/>
    <w:rsid w:val="00E104BC"/>
    <w:rsid w:val="00E1060B"/>
    <w:rsid w:val="00E10DCC"/>
    <w:rsid w:val="00E11721"/>
    <w:rsid w:val="00E11947"/>
    <w:rsid w:val="00E12254"/>
    <w:rsid w:val="00E14047"/>
    <w:rsid w:val="00E1540F"/>
    <w:rsid w:val="00E157C5"/>
    <w:rsid w:val="00E20277"/>
    <w:rsid w:val="00E20707"/>
    <w:rsid w:val="00E22C56"/>
    <w:rsid w:val="00E23ED3"/>
    <w:rsid w:val="00E25C22"/>
    <w:rsid w:val="00E26591"/>
    <w:rsid w:val="00E30650"/>
    <w:rsid w:val="00E30785"/>
    <w:rsid w:val="00E30BD8"/>
    <w:rsid w:val="00E315B1"/>
    <w:rsid w:val="00E31AEF"/>
    <w:rsid w:val="00E377C5"/>
    <w:rsid w:val="00E378A9"/>
    <w:rsid w:val="00E406EE"/>
    <w:rsid w:val="00E4234A"/>
    <w:rsid w:val="00E42623"/>
    <w:rsid w:val="00E50CC9"/>
    <w:rsid w:val="00E50E38"/>
    <w:rsid w:val="00E518E5"/>
    <w:rsid w:val="00E51B12"/>
    <w:rsid w:val="00E5268D"/>
    <w:rsid w:val="00E53886"/>
    <w:rsid w:val="00E53F13"/>
    <w:rsid w:val="00E546F7"/>
    <w:rsid w:val="00E55F0E"/>
    <w:rsid w:val="00E5722E"/>
    <w:rsid w:val="00E613D1"/>
    <w:rsid w:val="00E61821"/>
    <w:rsid w:val="00E64146"/>
    <w:rsid w:val="00E6643F"/>
    <w:rsid w:val="00E6649B"/>
    <w:rsid w:val="00E66DF8"/>
    <w:rsid w:val="00E671C1"/>
    <w:rsid w:val="00E70222"/>
    <w:rsid w:val="00E70C42"/>
    <w:rsid w:val="00E71A95"/>
    <w:rsid w:val="00E72CF6"/>
    <w:rsid w:val="00E734F0"/>
    <w:rsid w:val="00E749C5"/>
    <w:rsid w:val="00E778C2"/>
    <w:rsid w:val="00E77C38"/>
    <w:rsid w:val="00E800E9"/>
    <w:rsid w:val="00E8036D"/>
    <w:rsid w:val="00E81B1A"/>
    <w:rsid w:val="00E8375C"/>
    <w:rsid w:val="00E850BC"/>
    <w:rsid w:val="00E85A54"/>
    <w:rsid w:val="00E86A30"/>
    <w:rsid w:val="00E86CE8"/>
    <w:rsid w:val="00E86EF3"/>
    <w:rsid w:val="00E87149"/>
    <w:rsid w:val="00E87819"/>
    <w:rsid w:val="00E87892"/>
    <w:rsid w:val="00E87A1D"/>
    <w:rsid w:val="00E937C6"/>
    <w:rsid w:val="00E93E11"/>
    <w:rsid w:val="00E93ED6"/>
    <w:rsid w:val="00E94844"/>
    <w:rsid w:val="00E9499F"/>
    <w:rsid w:val="00E96424"/>
    <w:rsid w:val="00E97FD1"/>
    <w:rsid w:val="00EA01C2"/>
    <w:rsid w:val="00EA14B1"/>
    <w:rsid w:val="00EA216C"/>
    <w:rsid w:val="00EA2754"/>
    <w:rsid w:val="00EA3585"/>
    <w:rsid w:val="00EA36BA"/>
    <w:rsid w:val="00EA370D"/>
    <w:rsid w:val="00EA46C9"/>
    <w:rsid w:val="00EA4E07"/>
    <w:rsid w:val="00EA54C6"/>
    <w:rsid w:val="00EA5623"/>
    <w:rsid w:val="00EA5AA7"/>
    <w:rsid w:val="00EA64C7"/>
    <w:rsid w:val="00EA67E8"/>
    <w:rsid w:val="00EA6F27"/>
    <w:rsid w:val="00EA6FF5"/>
    <w:rsid w:val="00EA7B44"/>
    <w:rsid w:val="00EB0931"/>
    <w:rsid w:val="00EB1390"/>
    <w:rsid w:val="00EB1962"/>
    <w:rsid w:val="00EB242C"/>
    <w:rsid w:val="00EB27BF"/>
    <w:rsid w:val="00EB4832"/>
    <w:rsid w:val="00EB52E4"/>
    <w:rsid w:val="00EB612B"/>
    <w:rsid w:val="00EB731F"/>
    <w:rsid w:val="00EC0268"/>
    <w:rsid w:val="00EC0407"/>
    <w:rsid w:val="00EC13F3"/>
    <w:rsid w:val="00EC26DA"/>
    <w:rsid w:val="00EC2B79"/>
    <w:rsid w:val="00EC2BAC"/>
    <w:rsid w:val="00EC3320"/>
    <w:rsid w:val="00EC3F7C"/>
    <w:rsid w:val="00EC622D"/>
    <w:rsid w:val="00EC6243"/>
    <w:rsid w:val="00EC70DD"/>
    <w:rsid w:val="00EC75A3"/>
    <w:rsid w:val="00ED0181"/>
    <w:rsid w:val="00ED1334"/>
    <w:rsid w:val="00ED1CE1"/>
    <w:rsid w:val="00ED1F19"/>
    <w:rsid w:val="00ED291A"/>
    <w:rsid w:val="00ED29D8"/>
    <w:rsid w:val="00ED4707"/>
    <w:rsid w:val="00ED5E38"/>
    <w:rsid w:val="00ED6714"/>
    <w:rsid w:val="00ED79C8"/>
    <w:rsid w:val="00EE1425"/>
    <w:rsid w:val="00EE15A1"/>
    <w:rsid w:val="00EE2467"/>
    <w:rsid w:val="00EE35C5"/>
    <w:rsid w:val="00EE4CE4"/>
    <w:rsid w:val="00EE568A"/>
    <w:rsid w:val="00EE5888"/>
    <w:rsid w:val="00EE6CA7"/>
    <w:rsid w:val="00EE700B"/>
    <w:rsid w:val="00EE75F0"/>
    <w:rsid w:val="00EF13A7"/>
    <w:rsid w:val="00EF1DF3"/>
    <w:rsid w:val="00EF250E"/>
    <w:rsid w:val="00EF25FB"/>
    <w:rsid w:val="00EF2AF0"/>
    <w:rsid w:val="00EF4786"/>
    <w:rsid w:val="00EF4E61"/>
    <w:rsid w:val="00EF5BDD"/>
    <w:rsid w:val="00F01661"/>
    <w:rsid w:val="00F01C22"/>
    <w:rsid w:val="00F01D0A"/>
    <w:rsid w:val="00F038E9"/>
    <w:rsid w:val="00F04A11"/>
    <w:rsid w:val="00F072C3"/>
    <w:rsid w:val="00F10550"/>
    <w:rsid w:val="00F11373"/>
    <w:rsid w:val="00F12913"/>
    <w:rsid w:val="00F14418"/>
    <w:rsid w:val="00F14771"/>
    <w:rsid w:val="00F148B2"/>
    <w:rsid w:val="00F15F18"/>
    <w:rsid w:val="00F166A7"/>
    <w:rsid w:val="00F16AA7"/>
    <w:rsid w:val="00F16C09"/>
    <w:rsid w:val="00F17B5B"/>
    <w:rsid w:val="00F17F00"/>
    <w:rsid w:val="00F20ADB"/>
    <w:rsid w:val="00F20F98"/>
    <w:rsid w:val="00F21583"/>
    <w:rsid w:val="00F21F52"/>
    <w:rsid w:val="00F22CF7"/>
    <w:rsid w:val="00F22EF4"/>
    <w:rsid w:val="00F23585"/>
    <w:rsid w:val="00F239FC"/>
    <w:rsid w:val="00F2400B"/>
    <w:rsid w:val="00F247BC"/>
    <w:rsid w:val="00F255EF"/>
    <w:rsid w:val="00F25606"/>
    <w:rsid w:val="00F2566F"/>
    <w:rsid w:val="00F25FF7"/>
    <w:rsid w:val="00F264EA"/>
    <w:rsid w:val="00F2662C"/>
    <w:rsid w:val="00F2750B"/>
    <w:rsid w:val="00F30A16"/>
    <w:rsid w:val="00F30EA4"/>
    <w:rsid w:val="00F30F0F"/>
    <w:rsid w:val="00F31476"/>
    <w:rsid w:val="00F31A19"/>
    <w:rsid w:val="00F32721"/>
    <w:rsid w:val="00F32A38"/>
    <w:rsid w:val="00F342C7"/>
    <w:rsid w:val="00F36626"/>
    <w:rsid w:val="00F368B1"/>
    <w:rsid w:val="00F41424"/>
    <w:rsid w:val="00F425CC"/>
    <w:rsid w:val="00F437FE"/>
    <w:rsid w:val="00F440E7"/>
    <w:rsid w:val="00F44367"/>
    <w:rsid w:val="00F4637E"/>
    <w:rsid w:val="00F46520"/>
    <w:rsid w:val="00F46FF8"/>
    <w:rsid w:val="00F4703A"/>
    <w:rsid w:val="00F525C3"/>
    <w:rsid w:val="00F52707"/>
    <w:rsid w:val="00F530A0"/>
    <w:rsid w:val="00F5348B"/>
    <w:rsid w:val="00F54F10"/>
    <w:rsid w:val="00F55157"/>
    <w:rsid w:val="00F555C5"/>
    <w:rsid w:val="00F55965"/>
    <w:rsid w:val="00F567B7"/>
    <w:rsid w:val="00F56878"/>
    <w:rsid w:val="00F56E32"/>
    <w:rsid w:val="00F57384"/>
    <w:rsid w:val="00F57DBF"/>
    <w:rsid w:val="00F62333"/>
    <w:rsid w:val="00F64800"/>
    <w:rsid w:val="00F65397"/>
    <w:rsid w:val="00F7066F"/>
    <w:rsid w:val="00F713CB"/>
    <w:rsid w:val="00F72387"/>
    <w:rsid w:val="00F74CBB"/>
    <w:rsid w:val="00F75C3D"/>
    <w:rsid w:val="00F75E07"/>
    <w:rsid w:val="00F76D73"/>
    <w:rsid w:val="00F77137"/>
    <w:rsid w:val="00F774FF"/>
    <w:rsid w:val="00F7784D"/>
    <w:rsid w:val="00F80BBD"/>
    <w:rsid w:val="00F80C9C"/>
    <w:rsid w:val="00F8132B"/>
    <w:rsid w:val="00F81E08"/>
    <w:rsid w:val="00F82AC3"/>
    <w:rsid w:val="00F83691"/>
    <w:rsid w:val="00F844E8"/>
    <w:rsid w:val="00F848B9"/>
    <w:rsid w:val="00F86A7A"/>
    <w:rsid w:val="00F87026"/>
    <w:rsid w:val="00F879EF"/>
    <w:rsid w:val="00F90186"/>
    <w:rsid w:val="00F9028D"/>
    <w:rsid w:val="00F90C62"/>
    <w:rsid w:val="00F90E72"/>
    <w:rsid w:val="00F910FE"/>
    <w:rsid w:val="00F9290E"/>
    <w:rsid w:val="00F94350"/>
    <w:rsid w:val="00F953F9"/>
    <w:rsid w:val="00F95E8E"/>
    <w:rsid w:val="00F96FEC"/>
    <w:rsid w:val="00FA07BB"/>
    <w:rsid w:val="00FA134E"/>
    <w:rsid w:val="00FA1D99"/>
    <w:rsid w:val="00FA206A"/>
    <w:rsid w:val="00FA2A08"/>
    <w:rsid w:val="00FA3979"/>
    <w:rsid w:val="00FA425D"/>
    <w:rsid w:val="00FA4FCD"/>
    <w:rsid w:val="00FA59D2"/>
    <w:rsid w:val="00FA5B8A"/>
    <w:rsid w:val="00FA72DE"/>
    <w:rsid w:val="00FA74D4"/>
    <w:rsid w:val="00FB124F"/>
    <w:rsid w:val="00FB166D"/>
    <w:rsid w:val="00FB1793"/>
    <w:rsid w:val="00FB365A"/>
    <w:rsid w:val="00FB41D2"/>
    <w:rsid w:val="00FC07DB"/>
    <w:rsid w:val="00FC1651"/>
    <w:rsid w:val="00FC196A"/>
    <w:rsid w:val="00FC2037"/>
    <w:rsid w:val="00FC3529"/>
    <w:rsid w:val="00FC572E"/>
    <w:rsid w:val="00FC6C5B"/>
    <w:rsid w:val="00FC76E6"/>
    <w:rsid w:val="00FC7E58"/>
    <w:rsid w:val="00FD2FDF"/>
    <w:rsid w:val="00FD3348"/>
    <w:rsid w:val="00FD439D"/>
    <w:rsid w:val="00FD55A8"/>
    <w:rsid w:val="00FD5E8B"/>
    <w:rsid w:val="00FD662A"/>
    <w:rsid w:val="00FD70AB"/>
    <w:rsid w:val="00FD7923"/>
    <w:rsid w:val="00FE0FD8"/>
    <w:rsid w:val="00FE2EEC"/>
    <w:rsid w:val="00FE3777"/>
    <w:rsid w:val="00FE3908"/>
    <w:rsid w:val="00FE4CF9"/>
    <w:rsid w:val="00FE766F"/>
    <w:rsid w:val="00FF0966"/>
    <w:rsid w:val="00FF1261"/>
    <w:rsid w:val="00FF26ED"/>
    <w:rsid w:val="00FF306C"/>
    <w:rsid w:val="00FF4566"/>
    <w:rsid w:val="00FF5786"/>
    <w:rsid w:val="00FF584F"/>
    <w:rsid w:val="00FF6233"/>
    <w:rsid w:val="00FF7146"/>
  </w:rsids>
  <m:mathPr>
    <m:mathFont m:val="Cambria Math"/>
    <m:brkBin m:val="before"/>
    <m:brkBinSub m:val="--"/>
    <m:smallFrac/>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49" fillcolor="none [3204]" strokecolor="none [3204]">
      <v:fill color="none [3204]"/>
      <v:stroke color="none [3204]" weight="3pt"/>
      <v:shadow type="perspective" color="none [1604]" opacity=".5" offset="1pt" offset2="-1pt"/>
      <o:colormru v:ext="edit" colors="#2bb673"/>
    </o:shapedefaults>
    <o:shapelayout v:ext="edit">
      <o:idmap v:ext="edit" data="1"/>
    </o:shapelayout>
  </w:shapeDefaults>
  <w:decimalSymbol w:val="."/>
  <w:listSeparator w:val=","/>
  <w14:docId w14:val="3B5FD3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0" w:defUnhideWhenUsed="0" w:defQFormat="0" w:count="371">
    <w:lsdException w:name="Normal" w:uiPriority="98" w:qFormat="1"/>
    <w:lsdException w:name="heading 1" w:uiPriority="0"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7" w:unhideWhenUsed="1"/>
    <w:lsdException w:name="annotation text" w:semiHidden="1" w:uiPriority="98" w:unhideWhenUsed="1"/>
    <w:lsdException w:name="header" w:semiHidden="1" w:uiPriority="0" w:unhideWhenUsed="1"/>
    <w:lsdException w:name="footer" w:semiHidden="1" w:uiPriority="10" w:unhideWhenUsed="1"/>
    <w:lsdException w:name="index heading" w:semiHidden="1" w:uiPriority="1" w:unhideWhenUsed="1"/>
    <w:lsdException w:name="caption" w:semiHidden="1" w:uiPriority="2" w:unhideWhenUsed="1"/>
    <w:lsdException w:name="table of figures" w:semiHidden="1" w:unhideWhenUsed="1"/>
    <w:lsdException w:name="envelope address" w:semiHidden="1" w:unhideWhenUsed="1"/>
    <w:lsdException w:name="envelope return"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iPriority="9" w:unhideWhenUsed="1"/>
    <w:lsdException w:name="macro" w:semiHidden="1" w:unhideWhenUsed="1"/>
    <w:lsdException w:name="toa heading" w:semiHidden="1" w:uiPriority="9" w:unhideWhenUsed="1"/>
    <w:lsdException w:name="List" w:semiHidden="1" w:unhideWhenUsed="1"/>
    <w:lsdException w:name="List Bullet" w:semiHidden="1" w:uiPriority="3" w:unhideWhenUsed="1"/>
    <w:lsdException w:name="List Number" w:semiHidden="1" w:uiPriority="5"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 w:unhideWhenUsed="1"/>
    <w:lsdException w:name="List Bullet 3" w:semiHidden="1" w:uiPriority="3" w:unhideWhenUsed="1"/>
    <w:lsdException w:name="List Bullet 4" w:semiHidden="1" w:uiPriority="3" w:unhideWhenUsed="1"/>
    <w:lsdException w:name="List Bullet 5" w:semiHidden="1"/>
    <w:lsdException w:name="List Number 2" w:semiHidden="1" w:uiPriority="5" w:unhideWhenUsed="1"/>
    <w:lsdException w:name="List Number 3" w:semiHidden="1" w:uiPriority="5" w:unhideWhenUsed="1"/>
    <w:lsdException w:name="List Number 4" w:semiHidden="1" w:unhideWhenUsed="1"/>
    <w:lsdException w:name="List Number 5" w:semiHidden="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2" w:unhideWhenUsed="1"/>
    <w:lsdException w:name="Body Text Indent" w:semiHidden="1" w:unhideWhenUsed="1"/>
    <w:lsdException w:name="List Continue" w:semiHidden="1" w:uiPriority="4" w:unhideWhenUsed="1"/>
    <w:lsdException w:name="List Continue 2" w:semiHidden="1" w:uiPriority="4" w:unhideWhenUsed="1"/>
    <w:lsdException w:name="List Continue 3" w:semiHidden="1" w:uiPriority="4" w:unhideWhenUsed="1"/>
    <w:lsdException w:name="List Continue 4" w:semiHidden="1" w:uiPriority="4"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2" w:unhideWhenUsed="1"/>
    <w:lsdException w:name="Strong" w:uiPriority="22" w:qFormat="1"/>
    <w:lsdException w:name="Emphasis" w:uiPriority="2"/>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7" w:unhideWhenUsed="1"/>
    <w:lsdException w:name="HTML Acronym" w:semiHidden="1" w:unhideWhenUsed="1"/>
    <w:lsdException w:name="HTML Address" w:semiHidden="1" w:uiPriority="87"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87"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12"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8" w:unhideWhenUsed="1"/>
    <w:lsdException w:name="Table Grid" w:uiPriority="5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7" w:unhideWhenUsed="1"/>
    <w:lsdException w:name="TOC Heading" w:semiHidden="1" w:uiPriority="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98"/>
    <w:rsid w:val="00BA60BD"/>
    <w:pPr>
      <w:spacing w:after="160" w:line="300" w:lineRule="atLeast"/>
    </w:pPr>
    <w:rPr>
      <w:rFonts w:ascii="Calibri" w:hAnsi="Calibri"/>
      <w:color w:val="1E1E1E"/>
      <w:sz w:val="24"/>
    </w:rPr>
  </w:style>
  <w:style w:type="paragraph" w:styleId="Heading1">
    <w:name w:val="heading 1"/>
    <w:basedOn w:val="Normalcolour"/>
    <w:next w:val="BodyText"/>
    <w:link w:val="Heading1Char"/>
    <w:qFormat/>
    <w:rsid w:val="007902C2"/>
    <w:pPr>
      <w:keepNext/>
      <w:keepLines/>
      <w:spacing w:before="480" w:after="140" w:line="240" w:lineRule="auto"/>
      <w:ind w:right="284"/>
      <w:outlineLvl w:val="0"/>
    </w:pPr>
    <w:rPr>
      <w:rFonts w:eastAsiaTheme="majorEastAsia" w:cstheme="majorBidi"/>
      <w:bCs/>
      <w:sz w:val="38"/>
      <w:szCs w:val="28"/>
    </w:rPr>
  </w:style>
  <w:style w:type="paragraph" w:styleId="Heading2">
    <w:name w:val="heading 2"/>
    <w:basedOn w:val="Normal"/>
    <w:next w:val="BodyText"/>
    <w:link w:val="Heading2Char"/>
    <w:uiPriority w:val="1"/>
    <w:qFormat/>
    <w:rsid w:val="0059075D"/>
    <w:pPr>
      <w:keepNext/>
      <w:keepLines/>
      <w:spacing w:before="360" w:after="140" w:line="240" w:lineRule="auto"/>
      <w:ind w:right="284"/>
      <w:outlineLvl w:val="1"/>
    </w:pPr>
    <w:rPr>
      <w:rFonts w:eastAsiaTheme="majorEastAsia" w:cstheme="majorBidi"/>
      <w:b/>
      <w:bCs/>
      <w:sz w:val="30"/>
      <w:szCs w:val="26"/>
    </w:rPr>
  </w:style>
  <w:style w:type="paragraph" w:styleId="Heading3">
    <w:name w:val="heading 3"/>
    <w:basedOn w:val="Normalcolour"/>
    <w:next w:val="BodyText"/>
    <w:link w:val="Heading3Char"/>
    <w:uiPriority w:val="1"/>
    <w:qFormat/>
    <w:rsid w:val="0059075D"/>
    <w:pPr>
      <w:keepNext/>
      <w:keepLines/>
      <w:spacing w:before="360" w:after="60" w:line="240" w:lineRule="auto"/>
      <w:ind w:right="284"/>
      <w:outlineLvl w:val="2"/>
    </w:pPr>
    <w:rPr>
      <w:rFonts w:eastAsiaTheme="majorEastAsia" w:cstheme="majorBidi"/>
      <w:bCs/>
      <w:color w:val="1E1E1E"/>
      <w:sz w:val="29"/>
    </w:rPr>
  </w:style>
  <w:style w:type="paragraph" w:styleId="Heading4">
    <w:name w:val="heading 4"/>
    <w:basedOn w:val="Normal"/>
    <w:next w:val="BodyText"/>
    <w:link w:val="Heading4Char"/>
    <w:uiPriority w:val="1"/>
    <w:qFormat/>
    <w:rsid w:val="0059075D"/>
    <w:pPr>
      <w:keepNext/>
      <w:keepLines/>
      <w:spacing w:before="280" w:after="60" w:line="240" w:lineRule="auto"/>
      <w:ind w:right="284"/>
      <w:outlineLvl w:val="3"/>
    </w:pPr>
    <w:rPr>
      <w:rFonts w:eastAsiaTheme="majorEastAsia" w:cstheme="majorBidi"/>
      <w:b/>
      <w:bCs/>
      <w:iCs/>
      <w:sz w:val="26"/>
    </w:rPr>
  </w:style>
  <w:style w:type="paragraph" w:styleId="Heading5">
    <w:name w:val="heading 5"/>
    <w:basedOn w:val="Normal"/>
    <w:next w:val="BodyText"/>
    <w:link w:val="Heading5Char"/>
    <w:uiPriority w:val="1"/>
    <w:qFormat/>
    <w:rsid w:val="0059075D"/>
    <w:pPr>
      <w:keepNext/>
      <w:keepLines/>
      <w:spacing w:before="320" w:after="60"/>
      <w:ind w:right="284"/>
      <w:outlineLvl w:val="4"/>
    </w:pPr>
    <w:rPr>
      <w:rFonts w:eastAsiaTheme="majorEastAsia" w:cstheme="majorBidi"/>
      <w:b/>
      <w:caps/>
      <w:sz w:val="22"/>
    </w:rPr>
  </w:style>
  <w:style w:type="paragraph" w:styleId="Heading6">
    <w:name w:val="heading 6"/>
    <w:basedOn w:val="Normal"/>
    <w:next w:val="Normal"/>
    <w:link w:val="Heading6Char"/>
    <w:uiPriority w:val="9"/>
    <w:semiHidden/>
    <w:qFormat/>
    <w:rsid w:val="0059075D"/>
    <w:pPr>
      <w:keepNext/>
      <w:keepLines/>
      <w:spacing w:before="200" w:after="0"/>
      <w:outlineLvl w:val="5"/>
    </w:pPr>
    <w:rPr>
      <w:rFonts w:asciiTheme="majorHAnsi" w:eastAsiaTheme="majorEastAsia" w:hAnsiTheme="majorHAnsi" w:cstheme="majorBidi"/>
      <w:i/>
      <w:iCs/>
      <w:color w:val="155A39" w:themeColor="accent1" w:themeShade="7F"/>
    </w:rPr>
  </w:style>
  <w:style w:type="paragraph" w:styleId="Heading7">
    <w:name w:val="heading 7"/>
    <w:basedOn w:val="Normal"/>
    <w:next w:val="Normal"/>
    <w:link w:val="Heading7Char"/>
    <w:uiPriority w:val="9"/>
    <w:semiHidden/>
    <w:qFormat/>
    <w:rsid w:val="0059075D"/>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qFormat/>
    <w:rsid w:val="0059075D"/>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qFormat/>
    <w:rsid w:val="0059075D"/>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aliases w:val="4_G"/>
    <w:basedOn w:val="DefaultParagraphFont"/>
    <w:uiPriority w:val="99"/>
    <w:rsid w:val="00A72DA3"/>
    <w:rPr>
      <w:vertAlign w:val="superscript"/>
    </w:rPr>
  </w:style>
  <w:style w:type="paragraph" w:styleId="ListBullet">
    <w:name w:val="List Bullet"/>
    <w:basedOn w:val="Normal"/>
    <w:uiPriority w:val="3"/>
    <w:semiHidden/>
    <w:rsid w:val="0059075D"/>
    <w:pPr>
      <w:numPr>
        <w:numId w:val="2"/>
      </w:numPr>
    </w:pPr>
  </w:style>
  <w:style w:type="paragraph" w:styleId="ListNumber">
    <w:name w:val="List Number"/>
    <w:basedOn w:val="Normal"/>
    <w:uiPriority w:val="5"/>
    <w:semiHidden/>
    <w:rsid w:val="0059075D"/>
    <w:pPr>
      <w:numPr>
        <w:numId w:val="3"/>
      </w:numPr>
    </w:pPr>
  </w:style>
  <w:style w:type="paragraph" w:styleId="BalloonText">
    <w:name w:val="Balloon Text"/>
    <w:basedOn w:val="Normal"/>
    <w:link w:val="BalloonTextChar"/>
    <w:uiPriority w:val="98"/>
    <w:semiHidden/>
    <w:unhideWhenUsed/>
    <w:rsid w:val="0059075D"/>
    <w:pPr>
      <w:spacing w:after="0" w:line="240" w:lineRule="auto"/>
    </w:pPr>
    <w:rPr>
      <w:rFonts w:cs="Tahoma"/>
      <w:sz w:val="16"/>
      <w:szCs w:val="16"/>
    </w:rPr>
  </w:style>
  <w:style w:type="character" w:customStyle="1" w:styleId="BalloonTextChar">
    <w:name w:val="Balloon Text Char"/>
    <w:basedOn w:val="DefaultParagraphFont"/>
    <w:link w:val="BalloonText"/>
    <w:uiPriority w:val="98"/>
    <w:semiHidden/>
    <w:rsid w:val="00D933EF"/>
    <w:rPr>
      <w:rFonts w:ascii="Calibri" w:hAnsi="Calibri" w:cs="Tahoma"/>
      <w:color w:val="1E1E1E"/>
      <w:sz w:val="16"/>
      <w:szCs w:val="16"/>
    </w:rPr>
  </w:style>
  <w:style w:type="character" w:customStyle="1" w:styleId="Heading1Char">
    <w:name w:val="Heading 1 Char"/>
    <w:basedOn w:val="DefaultParagraphFont"/>
    <w:link w:val="Heading1"/>
    <w:uiPriority w:val="1"/>
    <w:rsid w:val="007902C2"/>
    <w:rPr>
      <w:rFonts w:ascii="Calibri" w:eastAsiaTheme="majorEastAsia" w:hAnsi="Calibri" w:cstheme="majorBidi"/>
      <w:bCs/>
      <w:color w:val="894FBF"/>
      <w:sz w:val="38"/>
      <w:szCs w:val="28"/>
    </w:rPr>
  </w:style>
  <w:style w:type="character" w:customStyle="1" w:styleId="Heading2Char">
    <w:name w:val="Heading 2 Char"/>
    <w:basedOn w:val="DefaultParagraphFont"/>
    <w:link w:val="Heading2"/>
    <w:uiPriority w:val="1"/>
    <w:rsid w:val="00AC7F7D"/>
    <w:rPr>
      <w:rFonts w:ascii="Calibri" w:eastAsiaTheme="majorEastAsia" w:hAnsi="Calibri" w:cstheme="majorBidi"/>
      <w:b/>
      <w:bCs/>
      <w:color w:val="1E1E1E"/>
      <w:sz w:val="30"/>
      <w:szCs w:val="26"/>
    </w:rPr>
  </w:style>
  <w:style w:type="character" w:customStyle="1" w:styleId="Heading3Char">
    <w:name w:val="Heading 3 Char"/>
    <w:basedOn w:val="DefaultParagraphFont"/>
    <w:link w:val="Heading3"/>
    <w:uiPriority w:val="1"/>
    <w:rsid w:val="00AC7F7D"/>
    <w:rPr>
      <w:rFonts w:ascii="Calibri" w:eastAsiaTheme="majorEastAsia" w:hAnsi="Calibri" w:cstheme="majorBidi"/>
      <w:bCs/>
      <w:color w:val="1E1E1E"/>
      <w:sz w:val="29"/>
    </w:rPr>
  </w:style>
  <w:style w:type="character" w:customStyle="1" w:styleId="Heading4Char">
    <w:name w:val="Heading 4 Char"/>
    <w:basedOn w:val="DefaultParagraphFont"/>
    <w:link w:val="Heading4"/>
    <w:uiPriority w:val="1"/>
    <w:rsid w:val="00AC7F7D"/>
    <w:rPr>
      <w:rFonts w:ascii="Calibri" w:eastAsiaTheme="majorEastAsia" w:hAnsi="Calibri" w:cstheme="majorBidi"/>
      <w:b/>
      <w:bCs/>
      <w:iCs/>
      <w:color w:val="1E1E1E"/>
      <w:sz w:val="26"/>
    </w:rPr>
  </w:style>
  <w:style w:type="character" w:customStyle="1" w:styleId="Heading5Char">
    <w:name w:val="Heading 5 Char"/>
    <w:basedOn w:val="DefaultParagraphFont"/>
    <w:link w:val="Heading5"/>
    <w:uiPriority w:val="1"/>
    <w:semiHidden/>
    <w:rsid w:val="00BA60BD"/>
    <w:rPr>
      <w:rFonts w:ascii="Calibri" w:eastAsiaTheme="majorEastAsia" w:hAnsi="Calibri" w:cstheme="majorBidi"/>
      <w:b/>
      <w:caps/>
      <w:color w:val="1E1E1E"/>
    </w:rPr>
  </w:style>
  <w:style w:type="character" w:customStyle="1" w:styleId="Heading6Char">
    <w:name w:val="Heading 6 Char"/>
    <w:basedOn w:val="DefaultParagraphFont"/>
    <w:link w:val="Heading6"/>
    <w:uiPriority w:val="9"/>
    <w:semiHidden/>
    <w:rsid w:val="00EC0268"/>
    <w:rPr>
      <w:rFonts w:asciiTheme="majorHAnsi" w:eastAsiaTheme="majorEastAsia" w:hAnsiTheme="majorHAnsi" w:cstheme="majorBidi"/>
      <w:i/>
      <w:iCs/>
      <w:color w:val="155A39" w:themeColor="accent1" w:themeShade="7F"/>
      <w:sz w:val="24"/>
    </w:rPr>
  </w:style>
  <w:style w:type="character" w:customStyle="1" w:styleId="Heading7Char">
    <w:name w:val="Heading 7 Char"/>
    <w:basedOn w:val="DefaultParagraphFont"/>
    <w:link w:val="Heading7"/>
    <w:uiPriority w:val="9"/>
    <w:semiHidden/>
    <w:rsid w:val="00EC0268"/>
    <w:rPr>
      <w:rFonts w:asciiTheme="majorHAnsi" w:eastAsiaTheme="majorEastAsia" w:hAnsiTheme="majorHAnsi" w:cstheme="majorBidi"/>
      <w:i/>
      <w:iCs/>
      <w:color w:val="404040" w:themeColor="text1" w:themeTint="BF"/>
      <w:sz w:val="24"/>
    </w:rPr>
  </w:style>
  <w:style w:type="character" w:customStyle="1" w:styleId="Heading8Char">
    <w:name w:val="Heading 8 Char"/>
    <w:basedOn w:val="DefaultParagraphFont"/>
    <w:link w:val="Heading8"/>
    <w:uiPriority w:val="9"/>
    <w:semiHidden/>
    <w:rsid w:val="00EC0268"/>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EC0268"/>
    <w:rPr>
      <w:rFonts w:asciiTheme="majorHAnsi" w:eastAsiaTheme="majorEastAsia" w:hAnsiTheme="majorHAnsi" w:cstheme="majorBidi"/>
      <w:i/>
      <w:iCs/>
      <w:color w:val="404040" w:themeColor="text1" w:themeTint="BF"/>
      <w:sz w:val="20"/>
      <w:szCs w:val="20"/>
    </w:rPr>
  </w:style>
  <w:style w:type="paragraph" w:customStyle="1" w:styleId="Quotationseparateparagraph">
    <w:name w:val="Quotation (separate paragraph)"/>
    <w:basedOn w:val="Normal"/>
    <w:uiPriority w:val="6"/>
    <w:rsid w:val="000C35B0"/>
    <w:pPr>
      <w:ind w:left="567" w:right="567"/>
    </w:pPr>
    <w:rPr>
      <w:i/>
      <w:color w:val="4D4D4D"/>
    </w:rPr>
  </w:style>
  <w:style w:type="paragraph" w:styleId="Caption">
    <w:name w:val="caption"/>
    <w:basedOn w:val="Normal"/>
    <w:next w:val="BodyText"/>
    <w:uiPriority w:val="2"/>
    <w:semiHidden/>
    <w:rsid w:val="0059075D"/>
    <w:pPr>
      <w:keepNext/>
      <w:spacing w:before="200" w:after="140"/>
    </w:pPr>
    <w:rPr>
      <w:b/>
      <w:bCs/>
      <w:szCs w:val="18"/>
    </w:rPr>
  </w:style>
  <w:style w:type="paragraph" w:styleId="Bibliography">
    <w:name w:val="Bibliography"/>
    <w:basedOn w:val="Normal"/>
    <w:next w:val="Normal"/>
    <w:uiPriority w:val="7"/>
    <w:semiHidden/>
    <w:rsid w:val="0059075D"/>
  </w:style>
  <w:style w:type="paragraph" w:styleId="TOC1">
    <w:name w:val="toc 1"/>
    <w:basedOn w:val="Normalcolour"/>
    <w:next w:val="Normal"/>
    <w:uiPriority w:val="39"/>
    <w:rsid w:val="00865E8F"/>
    <w:pPr>
      <w:tabs>
        <w:tab w:val="right" w:leader="underscore" w:pos="9299"/>
      </w:tabs>
      <w:spacing w:before="200" w:after="0"/>
      <w:ind w:right="425"/>
    </w:pPr>
    <w:rPr>
      <w:b/>
      <w:sz w:val="26"/>
    </w:rPr>
  </w:style>
  <w:style w:type="paragraph" w:styleId="TOC2">
    <w:name w:val="toc 2"/>
    <w:basedOn w:val="Normal"/>
    <w:next w:val="Normal"/>
    <w:uiPriority w:val="39"/>
    <w:rsid w:val="0059075D"/>
    <w:pPr>
      <w:tabs>
        <w:tab w:val="right" w:leader="underscore" w:pos="9299"/>
      </w:tabs>
      <w:spacing w:after="0"/>
      <w:ind w:right="425"/>
    </w:pPr>
  </w:style>
  <w:style w:type="paragraph" w:styleId="TOC3">
    <w:name w:val="toc 3"/>
    <w:basedOn w:val="Normal"/>
    <w:next w:val="Normal"/>
    <w:uiPriority w:val="39"/>
    <w:rsid w:val="0059075D"/>
    <w:pPr>
      <w:tabs>
        <w:tab w:val="right" w:leader="underscore" w:pos="9299"/>
      </w:tabs>
      <w:spacing w:after="0"/>
      <w:ind w:left="284" w:right="425"/>
    </w:pPr>
  </w:style>
  <w:style w:type="paragraph" w:styleId="TOC4">
    <w:name w:val="toc 4"/>
    <w:basedOn w:val="Normal"/>
    <w:next w:val="Normal"/>
    <w:uiPriority w:val="39"/>
    <w:rsid w:val="00EF25FB"/>
    <w:pPr>
      <w:tabs>
        <w:tab w:val="right" w:leader="underscore" w:pos="9299"/>
      </w:tabs>
      <w:spacing w:after="0"/>
      <w:ind w:left="567" w:right="425"/>
    </w:pPr>
  </w:style>
  <w:style w:type="paragraph" w:styleId="TOC5">
    <w:name w:val="toc 5"/>
    <w:basedOn w:val="Normal"/>
    <w:next w:val="Normal"/>
    <w:autoRedefine/>
    <w:uiPriority w:val="39"/>
    <w:semiHidden/>
    <w:rsid w:val="0059075D"/>
    <w:pPr>
      <w:tabs>
        <w:tab w:val="right" w:leader="dot" w:pos="9299"/>
      </w:tabs>
      <w:spacing w:after="0" w:line="260" w:lineRule="atLeast"/>
      <w:ind w:left="851" w:right="425"/>
    </w:pPr>
  </w:style>
  <w:style w:type="paragraph" w:styleId="TOC6">
    <w:name w:val="toc 6"/>
    <w:basedOn w:val="Normal"/>
    <w:next w:val="Normal"/>
    <w:autoRedefine/>
    <w:uiPriority w:val="39"/>
    <w:semiHidden/>
    <w:rsid w:val="0059075D"/>
    <w:pPr>
      <w:spacing w:after="100"/>
      <w:ind w:left="1100"/>
    </w:pPr>
  </w:style>
  <w:style w:type="paragraph" w:styleId="TOC7">
    <w:name w:val="toc 7"/>
    <w:basedOn w:val="Normal"/>
    <w:next w:val="Normal"/>
    <w:autoRedefine/>
    <w:uiPriority w:val="39"/>
    <w:semiHidden/>
    <w:rsid w:val="0059075D"/>
    <w:pPr>
      <w:spacing w:after="100"/>
      <w:ind w:left="1320"/>
    </w:pPr>
  </w:style>
  <w:style w:type="paragraph" w:styleId="TOC8">
    <w:name w:val="toc 8"/>
    <w:basedOn w:val="Normal"/>
    <w:next w:val="Normal"/>
    <w:autoRedefine/>
    <w:uiPriority w:val="39"/>
    <w:semiHidden/>
    <w:rsid w:val="0059075D"/>
    <w:pPr>
      <w:spacing w:after="100"/>
      <w:ind w:left="1540"/>
    </w:pPr>
  </w:style>
  <w:style w:type="paragraph" w:styleId="TOC9">
    <w:name w:val="toc 9"/>
    <w:basedOn w:val="Normal"/>
    <w:next w:val="Normal"/>
    <w:autoRedefine/>
    <w:uiPriority w:val="39"/>
    <w:semiHidden/>
    <w:rsid w:val="0059075D"/>
    <w:pPr>
      <w:spacing w:after="100"/>
      <w:ind w:left="1760"/>
    </w:pPr>
  </w:style>
  <w:style w:type="paragraph" w:styleId="TOCHeading">
    <w:name w:val="TOC Heading"/>
    <w:basedOn w:val="Heading1"/>
    <w:next w:val="BodyText"/>
    <w:uiPriority w:val="1"/>
    <w:rsid w:val="00093A81"/>
    <w:pPr>
      <w:spacing w:before="0"/>
      <w:outlineLvl w:val="9"/>
    </w:pPr>
  </w:style>
  <w:style w:type="paragraph" w:styleId="BodyText">
    <w:name w:val="Body Text"/>
    <w:basedOn w:val="Normal"/>
    <w:link w:val="BodyTextChar"/>
    <w:uiPriority w:val="2"/>
    <w:rsid w:val="0059075D"/>
  </w:style>
  <w:style w:type="character" w:customStyle="1" w:styleId="BodyTextChar">
    <w:name w:val="Body Text Char"/>
    <w:basedOn w:val="DefaultParagraphFont"/>
    <w:link w:val="BodyText"/>
    <w:uiPriority w:val="2"/>
    <w:rsid w:val="005804D9"/>
    <w:rPr>
      <w:rFonts w:ascii="Calibri" w:hAnsi="Calibri"/>
      <w:color w:val="1E1E1E"/>
      <w:sz w:val="24"/>
    </w:rPr>
  </w:style>
  <w:style w:type="paragraph" w:styleId="CommentText">
    <w:name w:val="annotation text"/>
    <w:basedOn w:val="Normal"/>
    <w:link w:val="CommentTextChar"/>
    <w:uiPriority w:val="98"/>
    <w:semiHidden/>
    <w:rsid w:val="0059075D"/>
    <w:pPr>
      <w:spacing w:line="240" w:lineRule="auto"/>
    </w:pPr>
    <w:rPr>
      <w:sz w:val="22"/>
      <w:szCs w:val="20"/>
    </w:rPr>
  </w:style>
  <w:style w:type="character" w:customStyle="1" w:styleId="CommentTextChar">
    <w:name w:val="Comment Text Char"/>
    <w:basedOn w:val="DefaultParagraphFont"/>
    <w:link w:val="CommentText"/>
    <w:uiPriority w:val="98"/>
    <w:semiHidden/>
    <w:rsid w:val="00002E2B"/>
    <w:rPr>
      <w:rFonts w:ascii="Calibri" w:hAnsi="Calibri"/>
      <w:color w:val="1E1E1E"/>
      <w:szCs w:val="20"/>
    </w:rPr>
  </w:style>
  <w:style w:type="paragraph" w:styleId="CommentSubject">
    <w:name w:val="annotation subject"/>
    <w:basedOn w:val="CommentText"/>
    <w:next w:val="CommentText"/>
    <w:link w:val="CommentSubjectChar"/>
    <w:uiPriority w:val="12"/>
    <w:semiHidden/>
    <w:rsid w:val="0059075D"/>
    <w:rPr>
      <w:b/>
      <w:bCs/>
    </w:rPr>
  </w:style>
  <w:style w:type="character" w:customStyle="1" w:styleId="CommentSubjectChar">
    <w:name w:val="Comment Subject Char"/>
    <w:basedOn w:val="CommentTextChar"/>
    <w:link w:val="CommentSubject"/>
    <w:uiPriority w:val="12"/>
    <w:semiHidden/>
    <w:rsid w:val="00D933EF"/>
    <w:rPr>
      <w:rFonts w:ascii="Calibri" w:hAnsi="Calibri"/>
      <w:b/>
      <w:bCs/>
      <w:color w:val="1E1E1E"/>
      <w:szCs w:val="20"/>
    </w:rPr>
  </w:style>
  <w:style w:type="paragraph" w:styleId="Date">
    <w:name w:val="Date"/>
    <w:basedOn w:val="Normal"/>
    <w:next w:val="Normal"/>
    <w:link w:val="DateChar"/>
    <w:uiPriority w:val="99"/>
    <w:semiHidden/>
    <w:rsid w:val="0059075D"/>
  </w:style>
  <w:style w:type="character" w:customStyle="1" w:styleId="DateChar">
    <w:name w:val="Date Char"/>
    <w:basedOn w:val="DefaultParagraphFont"/>
    <w:link w:val="Date"/>
    <w:uiPriority w:val="99"/>
    <w:semiHidden/>
    <w:rsid w:val="00971D0C"/>
    <w:rPr>
      <w:rFonts w:ascii="Calibri" w:hAnsi="Calibri"/>
      <w:color w:val="1E1E1E"/>
      <w:sz w:val="24"/>
    </w:rPr>
  </w:style>
  <w:style w:type="paragraph" w:styleId="E-mailSignature">
    <w:name w:val="E-mail Signature"/>
    <w:basedOn w:val="Normal"/>
    <w:link w:val="E-mailSignatureChar"/>
    <w:uiPriority w:val="99"/>
    <w:semiHidden/>
    <w:rsid w:val="0059075D"/>
    <w:pPr>
      <w:spacing w:after="0" w:line="240" w:lineRule="auto"/>
    </w:pPr>
  </w:style>
  <w:style w:type="character" w:customStyle="1" w:styleId="E-mailSignatureChar">
    <w:name w:val="E-mail Signature Char"/>
    <w:basedOn w:val="DefaultParagraphFont"/>
    <w:link w:val="E-mailSignature"/>
    <w:uiPriority w:val="99"/>
    <w:semiHidden/>
    <w:rsid w:val="00EC0268"/>
    <w:rPr>
      <w:rFonts w:ascii="Calibri" w:hAnsi="Calibri"/>
      <w:color w:val="1E1E1E"/>
      <w:sz w:val="24"/>
    </w:rPr>
  </w:style>
  <w:style w:type="paragraph" w:styleId="EndnoteText">
    <w:name w:val="endnote text"/>
    <w:basedOn w:val="Normal"/>
    <w:link w:val="EndnoteTextChar"/>
    <w:uiPriority w:val="7"/>
    <w:unhideWhenUsed/>
    <w:rsid w:val="00284C17"/>
    <w:pPr>
      <w:spacing w:after="0" w:line="240" w:lineRule="auto"/>
    </w:pPr>
    <w:rPr>
      <w:rFonts w:asciiTheme="minorHAnsi" w:hAnsiTheme="minorHAnsi"/>
      <w:color w:val="auto"/>
      <w:sz w:val="20"/>
      <w:szCs w:val="20"/>
    </w:rPr>
  </w:style>
  <w:style w:type="character" w:customStyle="1" w:styleId="EndnoteTextChar">
    <w:name w:val="Endnote Text Char"/>
    <w:basedOn w:val="DefaultParagraphFont"/>
    <w:link w:val="EndnoteText"/>
    <w:uiPriority w:val="7"/>
    <w:rsid w:val="00284C17"/>
    <w:rPr>
      <w:sz w:val="20"/>
      <w:szCs w:val="20"/>
    </w:rPr>
  </w:style>
  <w:style w:type="paragraph" w:styleId="EnvelopeAddress">
    <w:name w:val="envelope address"/>
    <w:basedOn w:val="Normal"/>
    <w:uiPriority w:val="99"/>
    <w:semiHidden/>
    <w:rsid w:val="0059075D"/>
    <w:pPr>
      <w:framePr w:w="7920" w:h="1980" w:hRule="exact" w:hSpace="180" w:wrap="auto" w:hAnchor="page" w:xAlign="center" w:yAlign="bottom"/>
      <w:spacing w:after="0" w:line="240" w:lineRule="auto"/>
      <w:ind w:left="2880"/>
    </w:pPr>
    <w:rPr>
      <w:rFonts w:asciiTheme="majorHAnsi" w:eastAsiaTheme="majorEastAsia" w:hAnsiTheme="majorHAnsi" w:cstheme="majorBidi"/>
      <w:szCs w:val="24"/>
    </w:rPr>
  </w:style>
  <w:style w:type="paragraph" w:styleId="EnvelopeReturn">
    <w:name w:val="envelope return"/>
    <w:basedOn w:val="Normal"/>
    <w:uiPriority w:val="99"/>
    <w:semiHidden/>
    <w:rsid w:val="0059075D"/>
    <w:pPr>
      <w:spacing w:after="0" w:line="240" w:lineRule="auto"/>
    </w:pPr>
    <w:rPr>
      <w:rFonts w:asciiTheme="majorHAnsi" w:eastAsiaTheme="majorEastAsia" w:hAnsiTheme="majorHAnsi" w:cstheme="majorBidi"/>
      <w:sz w:val="20"/>
      <w:szCs w:val="20"/>
    </w:rPr>
  </w:style>
  <w:style w:type="paragraph" w:styleId="Footer">
    <w:name w:val="footer"/>
    <w:basedOn w:val="Normal"/>
    <w:link w:val="FooterChar"/>
    <w:uiPriority w:val="10"/>
    <w:rsid w:val="000F43B0"/>
    <w:pPr>
      <w:tabs>
        <w:tab w:val="right" w:pos="9299"/>
      </w:tabs>
      <w:spacing w:after="0" w:line="240" w:lineRule="auto"/>
    </w:pPr>
    <w:rPr>
      <w:color w:val="696969"/>
      <w:sz w:val="20"/>
    </w:rPr>
  </w:style>
  <w:style w:type="character" w:customStyle="1" w:styleId="FooterChar">
    <w:name w:val="Footer Char"/>
    <w:basedOn w:val="DefaultParagraphFont"/>
    <w:link w:val="Footer"/>
    <w:uiPriority w:val="10"/>
    <w:rsid w:val="000F43B0"/>
    <w:rPr>
      <w:rFonts w:ascii="Calibri" w:hAnsi="Calibri"/>
      <w:color w:val="696969"/>
      <w:sz w:val="20"/>
    </w:rPr>
  </w:style>
  <w:style w:type="paragraph" w:styleId="FootnoteText">
    <w:name w:val="footnote text"/>
    <w:basedOn w:val="Normal"/>
    <w:link w:val="FootnoteTextChar"/>
    <w:uiPriority w:val="7"/>
    <w:rsid w:val="0059075D"/>
    <w:pPr>
      <w:tabs>
        <w:tab w:val="left" w:pos="284"/>
      </w:tabs>
      <w:spacing w:after="80" w:line="230" w:lineRule="atLeast"/>
      <w:ind w:left="284" w:hanging="284"/>
    </w:pPr>
    <w:rPr>
      <w:color w:val="4D4D4D"/>
      <w:sz w:val="20"/>
      <w:szCs w:val="20"/>
    </w:rPr>
  </w:style>
  <w:style w:type="character" w:customStyle="1" w:styleId="FootnoteTextChar">
    <w:name w:val="Footnote Text Char"/>
    <w:basedOn w:val="DefaultParagraphFont"/>
    <w:link w:val="FootnoteText"/>
    <w:uiPriority w:val="7"/>
    <w:rsid w:val="00C91491"/>
    <w:rPr>
      <w:rFonts w:ascii="Calibri" w:hAnsi="Calibri"/>
      <w:color w:val="4D4D4D"/>
      <w:sz w:val="20"/>
      <w:szCs w:val="20"/>
    </w:rPr>
  </w:style>
  <w:style w:type="paragraph" w:styleId="Header">
    <w:name w:val="header"/>
    <w:basedOn w:val="Normal"/>
    <w:link w:val="HeaderChar"/>
    <w:rsid w:val="0059075D"/>
    <w:pPr>
      <w:tabs>
        <w:tab w:val="right" w:pos="9299"/>
      </w:tabs>
      <w:spacing w:after="0" w:line="240" w:lineRule="auto"/>
    </w:pPr>
    <w:rPr>
      <w:color w:val="696969"/>
      <w:sz w:val="20"/>
    </w:rPr>
  </w:style>
  <w:style w:type="character" w:customStyle="1" w:styleId="HeaderChar">
    <w:name w:val="Header Char"/>
    <w:basedOn w:val="DefaultParagraphFont"/>
    <w:link w:val="Header"/>
    <w:rsid w:val="00043CC2"/>
    <w:rPr>
      <w:rFonts w:ascii="Calibri" w:hAnsi="Calibri"/>
      <w:color w:val="696969"/>
      <w:sz w:val="20"/>
    </w:rPr>
  </w:style>
  <w:style w:type="paragraph" w:styleId="HTMLAddress">
    <w:name w:val="HTML Address"/>
    <w:basedOn w:val="Normal"/>
    <w:link w:val="HTMLAddressChar"/>
    <w:uiPriority w:val="87"/>
    <w:semiHidden/>
    <w:rsid w:val="0059075D"/>
    <w:pPr>
      <w:spacing w:after="0" w:line="240" w:lineRule="auto"/>
    </w:pPr>
    <w:rPr>
      <w:i/>
      <w:iCs/>
    </w:rPr>
  </w:style>
  <w:style w:type="character" w:customStyle="1" w:styleId="HTMLAddressChar">
    <w:name w:val="HTML Address Char"/>
    <w:basedOn w:val="DefaultParagraphFont"/>
    <w:link w:val="HTMLAddress"/>
    <w:uiPriority w:val="87"/>
    <w:semiHidden/>
    <w:rsid w:val="00D933EF"/>
    <w:rPr>
      <w:rFonts w:ascii="Calibri" w:hAnsi="Calibri"/>
      <w:i/>
      <w:iCs/>
      <w:color w:val="1E1E1E"/>
      <w:sz w:val="24"/>
    </w:rPr>
  </w:style>
  <w:style w:type="paragraph" w:styleId="HTMLPreformatted">
    <w:name w:val="HTML Preformatted"/>
    <w:basedOn w:val="Normal"/>
    <w:link w:val="HTMLPreformattedChar"/>
    <w:uiPriority w:val="87"/>
    <w:semiHidden/>
    <w:rsid w:val="0059075D"/>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87"/>
    <w:semiHidden/>
    <w:rsid w:val="00D933EF"/>
    <w:rPr>
      <w:rFonts w:ascii="Consolas" w:hAnsi="Consolas"/>
      <w:color w:val="1E1E1E"/>
      <w:sz w:val="20"/>
      <w:szCs w:val="20"/>
    </w:rPr>
  </w:style>
  <w:style w:type="paragraph" w:styleId="Index1">
    <w:name w:val="index 1"/>
    <w:basedOn w:val="Normal"/>
    <w:uiPriority w:val="99"/>
    <w:semiHidden/>
    <w:rsid w:val="00415BB3"/>
    <w:pPr>
      <w:spacing w:after="0"/>
      <w:ind w:left="220" w:hanging="220"/>
    </w:pPr>
    <w:rPr>
      <w:szCs w:val="18"/>
    </w:rPr>
  </w:style>
  <w:style w:type="paragraph" w:styleId="Index2">
    <w:name w:val="index 2"/>
    <w:basedOn w:val="Normal"/>
    <w:uiPriority w:val="99"/>
    <w:semiHidden/>
    <w:rsid w:val="00415BB3"/>
    <w:pPr>
      <w:spacing w:after="0"/>
      <w:ind w:left="440" w:hanging="220"/>
    </w:pPr>
    <w:rPr>
      <w:szCs w:val="18"/>
    </w:rPr>
  </w:style>
  <w:style w:type="paragraph" w:styleId="Index3">
    <w:name w:val="index 3"/>
    <w:basedOn w:val="Normal"/>
    <w:uiPriority w:val="99"/>
    <w:semiHidden/>
    <w:rsid w:val="00415BB3"/>
    <w:pPr>
      <w:spacing w:after="0"/>
      <w:ind w:left="660" w:hanging="220"/>
    </w:pPr>
    <w:rPr>
      <w:szCs w:val="18"/>
    </w:rPr>
  </w:style>
  <w:style w:type="paragraph" w:styleId="Index4">
    <w:name w:val="index 4"/>
    <w:basedOn w:val="Normal"/>
    <w:uiPriority w:val="99"/>
    <w:semiHidden/>
    <w:rsid w:val="00415BB3"/>
    <w:pPr>
      <w:spacing w:after="0"/>
      <w:ind w:left="880" w:hanging="220"/>
    </w:pPr>
    <w:rPr>
      <w:szCs w:val="18"/>
    </w:rPr>
  </w:style>
  <w:style w:type="paragraph" w:styleId="Index5">
    <w:name w:val="index 5"/>
    <w:basedOn w:val="Normal"/>
    <w:uiPriority w:val="99"/>
    <w:semiHidden/>
    <w:rsid w:val="00415BB3"/>
    <w:pPr>
      <w:spacing w:after="0"/>
      <w:ind w:left="1100" w:hanging="220"/>
    </w:pPr>
    <w:rPr>
      <w:szCs w:val="18"/>
    </w:rPr>
  </w:style>
  <w:style w:type="paragraph" w:styleId="Index6">
    <w:name w:val="index 6"/>
    <w:basedOn w:val="Normal"/>
    <w:uiPriority w:val="99"/>
    <w:semiHidden/>
    <w:rsid w:val="00415BB3"/>
    <w:pPr>
      <w:spacing w:after="0"/>
      <w:ind w:left="1320" w:hanging="220"/>
    </w:pPr>
    <w:rPr>
      <w:szCs w:val="18"/>
    </w:rPr>
  </w:style>
  <w:style w:type="paragraph" w:styleId="Index7">
    <w:name w:val="index 7"/>
    <w:basedOn w:val="Normal"/>
    <w:uiPriority w:val="99"/>
    <w:semiHidden/>
    <w:rsid w:val="00415BB3"/>
    <w:pPr>
      <w:spacing w:after="0"/>
      <w:ind w:left="1540" w:hanging="220"/>
    </w:pPr>
    <w:rPr>
      <w:szCs w:val="18"/>
    </w:rPr>
  </w:style>
  <w:style w:type="paragraph" w:styleId="Index8">
    <w:name w:val="index 8"/>
    <w:basedOn w:val="Normal"/>
    <w:uiPriority w:val="99"/>
    <w:semiHidden/>
    <w:rsid w:val="00415BB3"/>
    <w:pPr>
      <w:spacing w:after="0"/>
      <w:ind w:left="1760" w:hanging="220"/>
    </w:pPr>
    <w:rPr>
      <w:szCs w:val="18"/>
    </w:rPr>
  </w:style>
  <w:style w:type="paragraph" w:styleId="Index9">
    <w:name w:val="index 9"/>
    <w:basedOn w:val="Normal"/>
    <w:uiPriority w:val="99"/>
    <w:semiHidden/>
    <w:rsid w:val="00415BB3"/>
    <w:pPr>
      <w:spacing w:after="0"/>
      <w:ind w:left="1980" w:hanging="220"/>
    </w:pPr>
    <w:rPr>
      <w:szCs w:val="18"/>
    </w:rPr>
  </w:style>
  <w:style w:type="paragraph" w:styleId="IndexHeading">
    <w:name w:val="index heading"/>
    <w:basedOn w:val="Normal"/>
    <w:next w:val="Index1"/>
    <w:uiPriority w:val="1"/>
    <w:semiHidden/>
    <w:rsid w:val="00415BB3"/>
    <w:pPr>
      <w:pBdr>
        <w:bottom w:val="single" w:sz="8" w:space="1" w:color="2BB673"/>
      </w:pBdr>
      <w:spacing w:before="200" w:after="60"/>
    </w:pPr>
    <w:rPr>
      <w:rFonts w:eastAsiaTheme="majorEastAsia" w:cstheme="majorBidi"/>
      <w:b/>
      <w:bCs/>
      <w:color w:val="2BB673"/>
      <w:sz w:val="26"/>
    </w:rPr>
  </w:style>
  <w:style w:type="paragraph" w:styleId="ListBullet2">
    <w:name w:val="List Bullet 2"/>
    <w:basedOn w:val="Normal"/>
    <w:uiPriority w:val="3"/>
    <w:semiHidden/>
    <w:rsid w:val="0059075D"/>
    <w:pPr>
      <w:numPr>
        <w:ilvl w:val="1"/>
        <w:numId w:val="2"/>
      </w:numPr>
    </w:pPr>
  </w:style>
  <w:style w:type="paragraph" w:styleId="ListBullet3">
    <w:name w:val="List Bullet 3"/>
    <w:basedOn w:val="Normal"/>
    <w:uiPriority w:val="3"/>
    <w:semiHidden/>
    <w:rsid w:val="0059075D"/>
    <w:pPr>
      <w:numPr>
        <w:ilvl w:val="2"/>
        <w:numId w:val="2"/>
      </w:numPr>
    </w:pPr>
  </w:style>
  <w:style w:type="paragraph" w:styleId="ListBullet4">
    <w:name w:val="List Bullet 4"/>
    <w:basedOn w:val="Normal"/>
    <w:uiPriority w:val="3"/>
    <w:semiHidden/>
    <w:rsid w:val="0059075D"/>
    <w:pPr>
      <w:numPr>
        <w:ilvl w:val="3"/>
        <w:numId w:val="2"/>
      </w:numPr>
    </w:pPr>
  </w:style>
  <w:style w:type="paragraph" w:styleId="ListContinue">
    <w:name w:val="List Continue"/>
    <w:basedOn w:val="Normal"/>
    <w:uiPriority w:val="4"/>
    <w:semiHidden/>
    <w:rsid w:val="0059075D"/>
    <w:pPr>
      <w:ind w:left="567"/>
    </w:pPr>
  </w:style>
  <w:style w:type="paragraph" w:styleId="ListContinue2">
    <w:name w:val="List Continue 2"/>
    <w:basedOn w:val="Normal"/>
    <w:uiPriority w:val="4"/>
    <w:semiHidden/>
    <w:rsid w:val="0059075D"/>
    <w:pPr>
      <w:ind w:left="1134"/>
    </w:pPr>
  </w:style>
  <w:style w:type="paragraph" w:styleId="ListContinue3">
    <w:name w:val="List Continue 3"/>
    <w:basedOn w:val="Normal"/>
    <w:uiPriority w:val="4"/>
    <w:semiHidden/>
    <w:rsid w:val="0059075D"/>
    <w:pPr>
      <w:ind w:left="1701"/>
    </w:pPr>
  </w:style>
  <w:style w:type="paragraph" w:styleId="ListContinue4">
    <w:name w:val="List Continue 4"/>
    <w:basedOn w:val="Normal"/>
    <w:uiPriority w:val="4"/>
    <w:semiHidden/>
    <w:rsid w:val="0059075D"/>
    <w:pPr>
      <w:ind w:left="2268"/>
    </w:pPr>
  </w:style>
  <w:style w:type="paragraph" w:styleId="ListContinue5">
    <w:name w:val="List Continue 5"/>
    <w:basedOn w:val="Normal"/>
    <w:uiPriority w:val="99"/>
    <w:semiHidden/>
    <w:rsid w:val="0059075D"/>
    <w:pPr>
      <w:spacing w:after="120"/>
      <w:ind w:left="1415"/>
      <w:contextualSpacing/>
    </w:pPr>
  </w:style>
  <w:style w:type="paragraph" w:styleId="ListNumber2">
    <w:name w:val="List Number 2"/>
    <w:basedOn w:val="Normal"/>
    <w:uiPriority w:val="5"/>
    <w:semiHidden/>
    <w:rsid w:val="0059075D"/>
    <w:pPr>
      <w:numPr>
        <w:ilvl w:val="1"/>
        <w:numId w:val="3"/>
      </w:numPr>
    </w:pPr>
  </w:style>
  <w:style w:type="paragraph" w:styleId="ListNumber3">
    <w:name w:val="List Number 3"/>
    <w:basedOn w:val="Normal"/>
    <w:uiPriority w:val="5"/>
    <w:semiHidden/>
    <w:rsid w:val="0059075D"/>
    <w:pPr>
      <w:numPr>
        <w:ilvl w:val="2"/>
        <w:numId w:val="3"/>
      </w:numPr>
    </w:pPr>
  </w:style>
  <w:style w:type="paragraph" w:styleId="NormalWeb">
    <w:name w:val="Normal (Web)"/>
    <w:basedOn w:val="Normal"/>
    <w:uiPriority w:val="97"/>
    <w:semiHidden/>
    <w:rsid w:val="0059075D"/>
    <w:rPr>
      <w:rFonts w:cs="Times New Roman"/>
      <w:szCs w:val="24"/>
    </w:rPr>
  </w:style>
  <w:style w:type="paragraph" w:styleId="TableofAuthorities">
    <w:name w:val="table of authorities"/>
    <w:basedOn w:val="Normal"/>
    <w:next w:val="Normal"/>
    <w:uiPriority w:val="9"/>
    <w:semiHidden/>
    <w:rsid w:val="0059075D"/>
    <w:pPr>
      <w:spacing w:after="0"/>
      <w:ind w:left="220" w:hanging="220"/>
    </w:pPr>
  </w:style>
  <w:style w:type="paragraph" w:styleId="TableofFigures">
    <w:name w:val="table of figures"/>
    <w:basedOn w:val="Normal"/>
    <w:next w:val="BodyText"/>
    <w:uiPriority w:val="99"/>
    <w:rsid w:val="00873821"/>
    <w:pPr>
      <w:tabs>
        <w:tab w:val="right" w:leader="underscore" w:pos="9299"/>
      </w:tabs>
      <w:spacing w:after="0"/>
      <w:ind w:right="425"/>
    </w:pPr>
  </w:style>
  <w:style w:type="paragraph" w:styleId="TOAHeading">
    <w:name w:val="toa heading"/>
    <w:basedOn w:val="Normal"/>
    <w:next w:val="Normal"/>
    <w:uiPriority w:val="9"/>
    <w:semiHidden/>
    <w:rsid w:val="0059075D"/>
    <w:pPr>
      <w:spacing w:before="120"/>
    </w:pPr>
    <w:rPr>
      <w:rFonts w:asciiTheme="majorHAnsi" w:eastAsiaTheme="majorEastAsia" w:hAnsiTheme="majorHAnsi" w:cstheme="majorBidi"/>
      <w:b/>
      <w:bCs/>
      <w:szCs w:val="24"/>
    </w:rPr>
  </w:style>
  <w:style w:type="paragraph" w:customStyle="1" w:styleId="Normalcolour">
    <w:name w:val="Normal colour"/>
    <w:basedOn w:val="Normal"/>
    <w:uiPriority w:val="98"/>
    <w:rsid w:val="000C1528"/>
    <w:rPr>
      <w:color w:val="9561CC"/>
    </w:rPr>
  </w:style>
  <w:style w:type="character" w:styleId="PageNumber">
    <w:name w:val="page number"/>
    <w:basedOn w:val="DefaultParagraphFont"/>
    <w:rsid w:val="0059075D"/>
    <w:rPr>
      <w:b/>
      <w:color w:val="1E1E1E"/>
      <w:sz w:val="20"/>
    </w:rPr>
  </w:style>
  <w:style w:type="paragraph" w:customStyle="1" w:styleId="Heading1line">
    <w:name w:val="Heading 1 line"/>
    <w:basedOn w:val="Normal"/>
    <w:next w:val="BodyText"/>
    <w:uiPriority w:val="1"/>
    <w:rsid w:val="0059075D"/>
    <w:pPr>
      <w:pBdr>
        <w:bottom w:val="single" w:sz="4" w:space="1" w:color="696969"/>
      </w:pBdr>
      <w:spacing w:before="1500" w:line="240" w:lineRule="auto"/>
    </w:pPr>
    <w:rPr>
      <w:color w:val="696969"/>
    </w:rPr>
  </w:style>
  <w:style w:type="table" w:styleId="TableGrid">
    <w:name w:val="Table Grid"/>
    <w:basedOn w:val="TableNormal"/>
    <w:uiPriority w:val="59"/>
    <w:rsid w:val="00EF25FB"/>
    <w:pPr>
      <w:spacing w:line="240" w:lineRule="atLeast"/>
    </w:pPr>
    <w:rPr>
      <w:rFonts w:ascii="Calibri" w:hAnsi="Calibri"/>
    </w:rPr>
    <w:tblPr>
      <w:tblStyleRowBandSize w:val="1"/>
      <w:tblStyleColBandSize w:val="1"/>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
    <w:tblStylePr w:type="firstRow">
      <w:tblPr/>
      <w:trPr>
        <w:tblHeader/>
      </w:trPr>
      <w:tcPr>
        <w:tcBorders>
          <w:top w:val="single" w:sz="4" w:space="0" w:color="A6A6A6" w:themeColor="background1" w:themeShade="A6"/>
          <w:left w:val="single" w:sz="4" w:space="0" w:color="595959"/>
          <w:bottom w:val="single" w:sz="4" w:space="0" w:color="A6A6A6" w:themeColor="background1" w:themeShade="A6"/>
          <w:right w:val="single" w:sz="4" w:space="0" w:color="595959"/>
          <w:insideH w:val="single" w:sz="4" w:space="0" w:color="A6A6A6" w:themeColor="background1" w:themeShade="A6"/>
          <w:insideV w:val="single" w:sz="4" w:space="0" w:color="A6A6A6" w:themeColor="background1" w:themeShade="A6"/>
          <w:tl2br w:val="nil"/>
          <w:tr2bl w:val="nil"/>
        </w:tcBorders>
        <w:shd w:val="clear" w:color="auto" w:fill="595959"/>
      </w:tcPr>
    </w:tblStylePr>
    <w:tblStylePr w:type="lastRow">
      <w:tblPr/>
      <w:tcPr>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l2br w:val="nil"/>
          <w:tr2bl w:val="nil"/>
        </w:tcBorders>
        <w:shd w:val="clear" w:color="auto" w:fill="D3D3D3"/>
      </w:tcPr>
    </w:tblStylePr>
    <w:tblStylePr w:type="firstCol">
      <w:tblPr/>
      <w:tcPr>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l2br w:val="nil"/>
          <w:tr2bl w:val="nil"/>
        </w:tcBorders>
        <w:shd w:val="clear" w:color="auto" w:fill="D3D3D3"/>
      </w:tcPr>
    </w:tblStylePr>
    <w:tblStylePr w:type="lastCol">
      <w:tblPr/>
      <w:tcPr>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l2br w:val="nil"/>
          <w:tr2bl w:val="nil"/>
        </w:tcBorders>
        <w:shd w:val="clear" w:color="auto" w:fill="D3D3D3"/>
      </w:tcPr>
    </w:tblStylePr>
    <w:tblStylePr w:type="band1Vert">
      <w:tblPr/>
      <w:tcPr>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l2br w:val="nil"/>
          <w:tr2bl w:val="nil"/>
        </w:tcBorders>
        <w:shd w:val="clear" w:color="auto" w:fill="E9E9E9"/>
      </w:tcPr>
    </w:tblStylePr>
    <w:tblStylePr w:type="band2Vert">
      <w:tblPr/>
      <w:tcPr>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l2br w:val="nil"/>
          <w:tr2bl w:val="nil"/>
        </w:tcBorders>
      </w:tcPr>
    </w:tblStylePr>
    <w:tblStylePr w:type="band1Horz">
      <w:tblPr/>
      <w:tcPr>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l2br w:val="nil"/>
          <w:tr2bl w:val="nil"/>
        </w:tcBorders>
        <w:shd w:val="clear" w:color="auto" w:fill="E9E9E9"/>
      </w:tcPr>
    </w:tblStylePr>
    <w:tblStylePr w:type="band2Horz">
      <w:tblPr/>
      <w:tcPr>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l2br w:val="nil"/>
          <w:tr2bl w:val="nil"/>
        </w:tcBorders>
      </w:tcPr>
    </w:tblStylePr>
  </w:style>
  <w:style w:type="paragraph" w:customStyle="1" w:styleId="Tableheadingrow1">
    <w:name w:val="Table heading row 1"/>
    <w:basedOn w:val="Normal"/>
    <w:uiPriority w:val="1"/>
    <w:rsid w:val="0059075D"/>
    <w:pPr>
      <w:keepNext/>
      <w:spacing w:before="60" w:after="60" w:line="240" w:lineRule="auto"/>
    </w:pPr>
    <w:rPr>
      <w:color w:val="FFFFFF" w:themeColor="background1"/>
    </w:rPr>
  </w:style>
  <w:style w:type="paragraph" w:customStyle="1" w:styleId="Listoutline1-1">
    <w:name w:val="List outline 1 - 1."/>
    <w:basedOn w:val="BodyText"/>
    <w:uiPriority w:val="6"/>
    <w:semiHidden/>
    <w:rsid w:val="0059075D"/>
    <w:pPr>
      <w:numPr>
        <w:numId w:val="4"/>
      </w:numPr>
    </w:pPr>
  </w:style>
  <w:style w:type="paragraph" w:customStyle="1" w:styleId="Listoutline2-11">
    <w:name w:val="List outline 2 - 1.1"/>
    <w:basedOn w:val="Normal"/>
    <w:uiPriority w:val="6"/>
    <w:semiHidden/>
    <w:rsid w:val="0059075D"/>
    <w:pPr>
      <w:numPr>
        <w:ilvl w:val="1"/>
        <w:numId w:val="4"/>
      </w:numPr>
    </w:pPr>
  </w:style>
  <w:style w:type="paragraph" w:customStyle="1" w:styleId="Listoutline3-111">
    <w:name w:val="List outline 3 - 1.1.1"/>
    <w:basedOn w:val="Normal"/>
    <w:uiPriority w:val="6"/>
    <w:semiHidden/>
    <w:rsid w:val="0059075D"/>
    <w:pPr>
      <w:numPr>
        <w:ilvl w:val="2"/>
        <w:numId w:val="4"/>
      </w:numPr>
    </w:pPr>
  </w:style>
  <w:style w:type="paragraph" w:customStyle="1" w:styleId="Listoutline4-a">
    <w:name w:val="List outline 4 - a."/>
    <w:basedOn w:val="Normal"/>
    <w:uiPriority w:val="6"/>
    <w:semiHidden/>
    <w:rsid w:val="0059075D"/>
    <w:pPr>
      <w:numPr>
        <w:ilvl w:val="3"/>
        <w:numId w:val="4"/>
      </w:numPr>
    </w:pPr>
  </w:style>
  <w:style w:type="character" w:styleId="Hyperlink">
    <w:name w:val="Hyperlink"/>
    <w:basedOn w:val="DefaultParagraphFont"/>
    <w:uiPriority w:val="99"/>
    <w:rsid w:val="0059075D"/>
    <w:rPr>
      <w:color w:val="0D6AB8"/>
      <w:u w:val="single"/>
    </w:rPr>
  </w:style>
  <w:style w:type="paragraph" w:customStyle="1" w:styleId="Heading2-Start">
    <w:name w:val="Heading 2 - Start"/>
    <w:basedOn w:val="Heading2"/>
    <w:next w:val="BodyText"/>
    <w:uiPriority w:val="1"/>
    <w:semiHidden/>
    <w:qFormat/>
    <w:rsid w:val="0059075D"/>
    <w:pPr>
      <w:spacing w:before="0"/>
    </w:pPr>
  </w:style>
  <w:style w:type="paragraph" w:customStyle="1" w:styleId="Quotationparagraphbefore">
    <w:name w:val="Quotation (paragraph before)"/>
    <w:basedOn w:val="Normal"/>
    <w:next w:val="Quotationseparateparagraph"/>
    <w:uiPriority w:val="6"/>
    <w:rsid w:val="000C35B0"/>
    <w:pPr>
      <w:spacing w:after="120"/>
    </w:pPr>
  </w:style>
  <w:style w:type="character" w:styleId="Emphasis">
    <w:name w:val="Emphasis"/>
    <w:uiPriority w:val="2"/>
    <w:rsid w:val="00030E78"/>
    <w:rPr>
      <w:rFonts w:ascii="Calibri" w:hAnsi="Calibri"/>
      <w:b/>
      <w:bCs/>
      <w:iCs/>
      <w:spacing w:val="0"/>
      <w:lang w:val="en-NZ"/>
    </w:rPr>
  </w:style>
  <w:style w:type="paragraph" w:customStyle="1" w:styleId="Listcheckbox">
    <w:name w:val="List check box"/>
    <w:basedOn w:val="BodyText"/>
    <w:uiPriority w:val="3"/>
    <w:semiHidden/>
    <w:rsid w:val="0059075D"/>
  </w:style>
  <w:style w:type="paragraph" w:customStyle="1" w:styleId="Boxsmalltext">
    <w:name w:val="Box small text"/>
    <w:basedOn w:val="Normal"/>
    <w:uiPriority w:val="2"/>
    <w:qFormat/>
    <w:rsid w:val="0059075D"/>
  </w:style>
  <w:style w:type="paragraph" w:customStyle="1" w:styleId="Boxlargetext">
    <w:name w:val="Box large text"/>
    <w:basedOn w:val="Normalcolour"/>
    <w:uiPriority w:val="2"/>
    <w:qFormat/>
    <w:rsid w:val="00D87682"/>
    <w:rPr>
      <w:sz w:val="26"/>
    </w:rPr>
  </w:style>
  <w:style w:type="paragraph" w:customStyle="1" w:styleId="Listoutline5-i">
    <w:name w:val="List outline 5 - i."/>
    <w:basedOn w:val="Normal"/>
    <w:uiPriority w:val="6"/>
    <w:semiHidden/>
    <w:rsid w:val="0059075D"/>
    <w:pPr>
      <w:numPr>
        <w:ilvl w:val="4"/>
        <w:numId w:val="4"/>
      </w:numPr>
    </w:pPr>
  </w:style>
  <w:style w:type="character" w:styleId="EndnoteReference">
    <w:name w:val="endnote reference"/>
    <w:basedOn w:val="DefaultParagraphFont"/>
    <w:uiPriority w:val="99"/>
    <w:rsid w:val="00A72DA3"/>
    <w:rPr>
      <w:vertAlign w:val="superscript"/>
    </w:rPr>
  </w:style>
  <w:style w:type="paragraph" w:customStyle="1" w:styleId="HeadingAppendix">
    <w:name w:val="Heading Appendix"/>
    <w:basedOn w:val="Normalcolour"/>
    <w:next w:val="BodyText"/>
    <w:uiPriority w:val="1"/>
    <w:rsid w:val="00065402"/>
    <w:pPr>
      <w:keepNext/>
      <w:pageBreakBefore/>
      <w:numPr>
        <w:numId w:val="1"/>
      </w:numPr>
      <w:spacing w:after="140" w:line="240" w:lineRule="auto"/>
      <w:ind w:right="284"/>
      <w:outlineLvl w:val="0"/>
    </w:pPr>
    <w:rPr>
      <w:sz w:val="38"/>
    </w:rPr>
  </w:style>
  <w:style w:type="table" w:customStyle="1" w:styleId="TableGridnoborders">
    <w:name w:val="Table Grid (no borders)"/>
    <w:basedOn w:val="TableNormal"/>
    <w:uiPriority w:val="99"/>
    <w:rsid w:val="00C85188"/>
    <w:pPr>
      <w:spacing w:line="240" w:lineRule="atLeast"/>
    </w:pPr>
    <w:rPr>
      <w:rFonts w:ascii="Calibri" w:hAnsi="Calibri"/>
      <w:sz w:val="24"/>
    </w:rPr>
    <w:tblPr>
      <w:tblInd w:w="113" w:type="dxa"/>
      <w:tblCellMar>
        <w:top w:w="28" w:type="dxa"/>
        <w:bottom w:w="28" w:type="dxa"/>
      </w:tblCellMar>
    </w:tblPr>
    <w:tcPr>
      <w:shd w:val="clear" w:color="auto" w:fill="auto"/>
    </w:tcPr>
  </w:style>
  <w:style w:type="paragraph" w:customStyle="1" w:styleId="Heading1-Sub">
    <w:name w:val="Heading 1 - Sub"/>
    <w:basedOn w:val="Normal"/>
    <w:uiPriority w:val="1"/>
    <w:rsid w:val="0059075D"/>
    <w:pPr>
      <w:tabs>
        <w:tab w:val="left" w:pos="2268"/>
      </w:tabs>
      <w:ind w:left="2268" w:hanging="2268"/>
    </w:pPr>
    <w:rPr>
      <w:b/>
    </w:rPr>
  </w:style>
  <w:style w:type="paragraph" w:customStyle="1" w:styleId="Whitespace">
    <w:name w:val="White space"/>
    <w:basedOn w:val="BodyText"/>
    <w:uiPriority w:val="2"/>
    <w:rsid w:val="00672F95"/>
    <w:pPr>
      <w:spacing w:after="240" w:line="240" w:lineRule="auto"/>
    </w:pPr>
    <w:rPr>
      <w:sz w:val="16"/>
    </w:rPr>
  </w:style>
  <w:style w:type="character" w:customStyle="1" w:styleId="Quotationwithinthesentence">
    <w:name w:val="Quotation (within the sentence)"/>
    <w:basedOn w:val="DefaultParagraphFont"/>
    <w:uiPriority w:val="6"/>
    <w:rsid w:val="000C35B0"/>
    <w:rPr>
      <w:i/>
    </w:rPr>
  </w:style>
  <w:style w:type="character" w:customStyle="1" w:styleId="Heading1-Subnonboldtext">
    <w:name w:val="Heading 1 - Sub (non bold text)"/>
    <w:basedOn w:val="DefaultParagraphFont"/>
    <w:uiPriority w:val="1"/>
    <w:rsid w:val="0059075D"/>
    <w:rPr>
      <w:b/>
    </w:rPr>
  </w:style>
  <w:style w:type="paragraph" w:customStyle="1" w:styleId="Tablebodytext">
    <w:name w:val="Table body text"/>
    <w:basedOn w:val="BodyText"/>
    <w:uiPriority w:val="2"/>
    <w:rsid w:val="0059075D"/>
    <w:pPr>
      <w:spacing w:before="120" w:after="120"/>
    </w:pPr>
    <w:rPr>
      <w:sz w:val="22"/>
    </w:rPr>
  </w:style>
  <w:style w:type="paragraph" w:customStyle="1" w:styleId="Tablebodytextnospaceafter">
    <w:name w:val="Table body text (no space after)"/>
    <w:basedOn w:val="BodyText"/>
    <w:uiPriority w:val="2"/>
    <w:rsid w:val="0059075D"/>
    <w:pPr>
      <w:spacing w:after="0"/>
    </w:pPr>
    <w:rPr>
      <w:sz w:val="22"/>
    </w:rPr>
  </w:style>
  <w:style w:type="table" w:customStyle="1" w:styleId="TableBox">
    <w:name w:val="Table Box"/>
    <w:basedOn w:val="TableNormal"/>
    <w:uiPriority w:val="99"/>
    <w:rsid w:val="00EF25FB"/>
    <w:pPr>
      <w:spacing w:line="240" w:lineRule="atLeast"/>
    </w:pPr>
    <w:rPr>
      <w:rFonts w:ascii="Calibri" w:hAnsi="Calibri"/>
      <w:sz w:val="24"/>
    </w:rPr>
    <w:tblPr>
      <w:tblCellMar>
        <w:top w:w="142" w:type="dxa"/>
        <w:left w:w="284" w:type="dxa"/>
        <w:bottom w:w="142" w:type="dxa"/>
        <w:right w:w="284" w:type="dxa"/>
      </w:tblCellMar>
    </w:tblPr>
    <w:tcPr>
      <w:shd w:val="clear" w:color="auto" w:fill="D3D3D3"/>
    </w:tcPr>
  </w:style>
  <w:style w:type="paragraph" w:styleId="Title">
    <w:name w:val="Title"/>
    <w:basedOn w:val="Normalcolour"/>
    <w:next w:val="BodyText"/>
    <w:link w:val="TitleChar"/>
    <w:uiPriority w:val="1"/>
    <w:semiHidden/>
    <w:qFormat/>
    <w:rsid w:val="0059075D"/>
    <w:pPr>
      <w:spacing w:after="0" w:line="240" w:lineRule="auto"/>
      <w:ind w:right="284"/>
      <w:contextualSpacing/>
    </w:pPr>
    <w:rPr>
      <w:rFonts w:eastAsiaTheme="majorEastAsia" w:cstheme="majorBidi"/>
      <w:spacing w:val="5"/>
      <w:kern w:val="28"/>
      <w:sz w:val="48"/>
      <w:szCs w:val="52"/>
    </w:rPr>
  </w:style>
  <w:style w:type="character" w:customStyle="1" w:styleId="TitleChar">
    <w:name w:val="Title Char"/>
    <w:basedOn w:val="DefaultParagraphFont"/>
    <w:link w:val="Title"/>
    <w:uiPriority w:val="1"/>
    <w:semiHidden/>
    <w:rsid w:val="00C91491"/>
    <w:rPr>
      <w:rFonts w:ascii="Calibri" w:eastAsiaTheme="majorEastAsia" w:hAnsi="Calibri" w:cstheme="majorBidi"/>
      <w:color w:val="894FBF"/>
      <w:spacing w:val="5"/>
      <w:kern w:val="28"/>
      <w:sz w:val="48"/>
      <w:szCs w:val="52"/>
    </w:rPr>
  </w:style>
  <w:style w:type="paragraph" w:customStyle="1" w:styleId="Headingboxtextinbody">
    <w:name w:val="Heading box text (in body)"/>
    <w:basedOn w:val="Normalcolour"/>
    <w:uiPriority w:val="1"/>
    <w:rsid w:val="00890952"/>
    <w:pPr>
      <w:keepNext/>
      <w:spacing w:before="360" w:after="60" w:line="320" w:lineRule="atLeast"/>
    </w:pPr>
    <w:rPr>
      <w:b/>
      <w:sz w:val="26"/>
    </w:rPr>
  </w:style>
  <w:style w:type="paragraph" w:customStyle="1" w:styleId="Headingboxtexttop">
    <w:name w:val="Heading box text (top)"/>
    <w:basedOn w:val="Normalcolour"/>
    <w:uiPriority w:val="1"/>
    <w:rsid w:val="00D87682"/>
    <w:pPr>
      <w:keepNext/>
      <w:spacing w:after="60" w:line="320" w:lineRule="atLeast"/>
    </w:pPr>
    <w:rPr>
      <w:b/>
      <w:sz w:val="26"/>
    </w:rPr>
  </w:style>
  <w:style w:type="character" w:styleId="FollowedHyperlink">
    <w:name w:val="FollowedHyperlink"/>
    <w:basedOn w:val="DefaultParagraphFont"/>
    <w:uiPriority w:val="2"/>
    <w:rsid w:val="0059075D"/>
    <w:rPr>
      <w:color w:val="3C98E7"/>
      <w:u w:val="single"/>
    </w:rPr>
  </w:style>
  <w:style w:type="paragraph" w:customStyle="1" w:styleId="Singlespacedparagraph">
    <w:name w:val="Single spaced paragraph"/>
    <w:basedOn w:val="BodyText"/>
    <w:uiPriority w:val="2"/>
    <w:rsid w:val="0059075D"/>
    <w:pPr>
      <w:spacing w:after="0"/>
    </w:pPr>
  </w:style>
  <w:style w:type="paragraph" w:customStyle="1" w:styleId="Footerline">
    <w:name w:val="Footer line"/>
    <w:basedOn w:val="Footer"/>
    <w:next w:val="Footer"/>
    <w:uiPriority w:val="10"/>
    <w:rsid w:val="0059075D"/>
    <w:pPr>
      <w:pBdr>
        <w:top w:val="single" w:sz="4" w:space="5" w:color="696969"/>
      </w:pBdr>
      <w:ind w:left="23" w:right="23"/>
    </w:pPr>
    <w:rPr>
      <w:sz w:val="2"/>
    </w:rPr>
  </w:style>
  <w:style w:type="paragraph" w:customStyle="1" w:styleId="Headerline">
    <w:name w:val="Header line"/>
    <w:basedOn w:val="Header"/>
    <w:rsid w:val="0059075D"/>
    <w:pPr>
      <w:pBdr>
        <w:bottom w:val="single" w:sz="4" w:space="5" w:color="696969"/>
      </w:pBdr>
      <w:ind w:left="23" w:right="23"/>
    </w:pPr>
    <w:rPr>
      <w:sz w:val="2"/>
    </w:rPr>
  </w:style>
  <w:style w:type="paragraph" w:customStyle="1" w:styleId="Heading1-Start">
    <w:name w:val="Heading 1 - Start"/>
    <w:basedOn w:val="Heading1"/>
    <w:next w:val="Number1"/>
    <w:uiPriority w:val="1"/>
    <w:rsid w:val="0059075D"/>
    <w:pPr>
      <w:spacing w:before="0"/>
    </w:pPr>
  </w:style>
  <w:style w:type="paragraph" w:customStyle="1" w:styleId="Legindent1">
    <w:name w:val="Leg indent 1"/>
    <w:basedOn w:val="Normal"/>
    <w:uiPriority w:val="9"/>
    <w:semiHidden/>
    <w:rsid w:val="002564C3"/>
    <w:pPr>
      <w:ind w:left="851"/>
    </w:pPr>
  </w:style>
  <w:style w:type="paragraph" w:customStyle="1" w:styleId="Legindent2">
    <w:name w:val="Leg indent 2"/>
    <w:basedOn w:val="Normal"/>
    <w:uiPriority w:val="9"/>
    <w:semiHidden/>
    <w:rsid w:val="002564C3"/>
    <w:pPr>
      <w:ind w:left="1559"/>
    </w:pPr>
  </w:style>
  <w:style w:type="paragraph" w:customStyle="1" w:styleId="Legindent3">
    <w:name w:val="Leg indent 3"/>
    <w:basedOn w:val="Normal"/>
    <w:uiPriority w:val="9"/>
    <w:semiHidden/>
    <w:rsid w:val="002564C3"/>
    <w:pPr>
      <w:ind w:left="2268"/>
    </w:pPr>
  </w:style>
  <w:style w:type="paragraph" w:customStyle="1" w:styleId="Legstyle-1">
    <w:name w:val="Leg style - (1)"/>
    <w:basedOn w:val="Normal"/>
    <w:uiPriority w:val="9"/>
    <w:semiHidden/>
    <w:rsid w:val="002564C3"/>
    <w:pPr>
      <w:tabs>
        <w:tab w:val="left" w:pos="851"/>
      </w:tabs>
      <w:ind w:left="851" w:hanging="851"/>
    </w:pPr>
  </w:style>
  <w:style w:type="paragraph" w:customStyle="1" w:styleId="Legstyle-a">
    <w:name w:val="Leg style - (a)"/>
    <w:basedOn w:val="Normal"/>
    <w:uiPriority w:val="9"/>
    <w:semiHidden/>
    <w:rsid w:val="002564C3"/>
    <w:pPr>
      <w:tabs>
        <w:tab w:val="left" w:pos="1559"/>
      </w:tabs>
      <w:ind w:left="1560" w:hanging="709"/>
    </w:pPr>
  </w:style>
  <w:style w:type="paragraph" w:customStyle="1" w:styleId="Legstyle-i">
    <w:name w:val="Leg style - (i)"/>
    <w:basedOn w:val="Normal"/>
    <w:uiPriority w:val="9"/>
    <w:semiHidden/>
    <w:rsid w:val="002564C3"/>
    <w:pPr>
      <w:tabs>
        <w:tab w:val="left" w:pos="2268"/>
      </w:tabs>
      <w:ind w:left="2268" w:hanging="709"/>
    </w:pPr>
  </w:style>
  <w:style w:type="paragraph" w:customStyle="1" w:styleId="Legstyle-10">
    <w:name w:val="Leg style - 1"/>
    <w:basedOn w:val="Normal"/>
    <w:uiPriority w:val="9"/>
    <w:semiHidden/>
    <w:rsid w:val="002564C3"/>
    <w:pPr>
      <w:tabs>
        <w:tab w:val="left" w:pos="851"/>
      </w:tabs>
      <w:ind w:left="851" w:hanging="851"/>
    </w:pPr>
    <w:rPr>
      <w:b/>
    </w:rPr>
  </w:style>
  <w:style w:type="paragraph" w:customStyle="1" w:styleId="QLegindent1">
    <w:name w:val="QLeg indent 1"/>
    <w:basedOn w:val="Normal"/>
    <w:uiPriority w:val="2"/>
    <w:semiHidden/>
    <w:rsid w:val="002564C3"/>
    <w:pPr>
      <w:ind w:left="1985" w:right="567"/>
    </w:pPr>
    <w:rPr>
      <w:i/>
      <w:color w:val="4D4D4D"/>
    </w:rPr>
  </w:style>
  <w:style w:type="paragraph" w:customStyle="1" w:styleId="QLegindent2">
    <w:name w:val="QLeg indent 2"/>
    <w:basedOn w:val="Normal"/>
    <w:uiPriority w:val="2"/>
    <w:semiHidden/>
    <w:rsid w:val="002564C3"/>
    <w:pPr>
      <w:ind w:left="2693" w:right="567"/>
    </w:pPr>
    <w:rPr>
      <w:i/>
      <w:color w:val="4D4D4D"/>
    </w:rPr>
  </w:style>
  <w:style w:type="paragraph" w:customStyle="1" w:styleId="QLegindent3">
    <w:name w:val="QLeg indent 3"/>
    <w:basedOn w:val="Normal"/>
    <w:uiPriority w:val="2"/>
    <w:semiHidden/>
    <w:rsid w:val="002564C3"/>
    <w:pPr>
      <w:ind w:left="3402" w:right="567"/>
    </w:pPr>
    <w:rPr>
      <w:i/>
      <w:color w:val="4D4D4D"/>
    </w:rPr>
  </w:style>
  <w:style w:type="paragraph" w:customStyle="1" w:styleId="QLegstyle-1">
    <w:name w:val="QLeg style - (1)"/>
    <w:basedOn w:val="Normal"/>
    <w:uiPriority w:val="2"/>
    <w:semiHidden/>
    <w:rsid w:val="002564C3"/>
    <w:pPr>
      <w:tabs>
        <w:tab w:val="left" w:pos="1985"/>
      </w:tabs>
      <w:ind w:left="1985" w:right="567" w:hanging="851"/>
    </w:pPr>
    <w:rPr>
      <w:i/>
      <w:color w:val="4D4D4D"/>
    </w:rPr>
  </w:style>
  <w:style w:type="paragraph" w:customStyle="1" w:styleId="QLegstyle-a">
    <w:name w:val="QLeg style - (a)"/>
    <w:basedOn w:val="Normal"/>
    <w:uiPriority w:val="2"/>
    <w:semiHidden/>
    <w:rsid w:val="002564C3"/>
    <w:pPr>
      <w:tabs>
        <w:tab w:val="left" w:pos="2693"/>
      </w:tabs>
      <w:ind w:left="2694" w:right="567" w:hanging="709"/>
    </w:pPr>
    <w:rPr>
      <w:i/>
      <w:color w:val="4D4D4D"/>
    </w:rPr>
  </w:style>
  <w:style w:type="paragraph" w:customStyle="1" w:styleId="QLegstyle-i">
    <w:name w:val="QLeg style - (i)"/>
    <w:basedOn w:val="Normal"/>
    <w:uiPriority w:val="2"/>
    <w:semiHidden/>
    <w:rsid w:val="002564C3"/>
    <w:pPr>
      <w:tabs>
        <w:tab w:val="left" w:pos="3402"/>
      </w:tabs>
      <w:ind w:left="3402" w:right="567" w:hanging="709"/>
    </w:pPr>
    <w:rPr>
      <w:i/>
      <w:color w:val="4D4D4D"/>
    </w:rPr>
  </w:style>
  <w:style w:type="paragraph" w:customStyle="1" w:styleId="QLegstyle-10">
    <w:name w:val="QLeg style - 1"/>
    <w:basedOn w:val="Normal"/>
    <w:uiPriority w:val="2"/>
    <w:semiHidden/>
    <w:rsid w:val="002564C3"/>
    <w:pPr>
      <w:tabs>
        <w:tab w:val="left" w:pos="1985"/>
      </w:tabs>
      <w:ind w:left="1985" w:right="567" w:hanging="851"/>
    </w:pPr>
    <w:rPr>
      <w:b/>
      <w:i/>
      <w:color w:val="4D4D4D"/>
    </w:rPr>
  </w:style>
  <w:style w:type="paragraph" w:customStyle="1" w:styleId="QIndent1">
    <w:name w:val="QIndent 1"/>
    <w:basedOn w:val="Normal"/>
    <w:uiPriority w:val="6"/>
    <w:rsid w:val="000C35B0"/>
    <w:pPr>
      <w:ind w:left="1134" w:right="567"/>
    </w:pPr>
    <w:rPr>
      <w:i/>
      <w:color w:val="4D4D4D"/>
    </w:rPr>
  </w:style>
  <w:style w:type="paragraph" w:customStyle="1" w:styleId="QIndent2">
    <w:name w:val="QIndent 2"/>
    <w:basedOn w:val="Normal"/>
    <w:uiPriority w:val="6"/>
    <w:rsid w:val="000C35B0"/>
    <w:pPr>
      <w:ind w:left="1701" w:right="567"/>
    </w:pPr>
    <w:rPr>
      <w:i/>
      <w:color w:val="4D4D4D"/>
    </w:rPr>
  </w:style>
  <w:style w:type="paragraph" w:customStyle="1" w:styleId="QIndent3">
    <w:name w:val="QIndent 3"/>
    <w:basedOn w:val="Normal"/>
    <w:uiPriority w:val="6"/>
    <w:rsid w:val="000C35B0"/>
    <w:pPr>
      <w:ind w:left="2268" w:right="567"/>
    </w:pPr>
    <w:rPr>
      <w:i/>
      <w:color w:val="4D4D4D"/>
    </w:rPr>
  </w:style>
  <w:style w:type="paragraph" w:customStyle="1" w:styleId="QListalpha">
    <w:name w:val="QList alpha"/>
    <w:basedOn w:val="Normal"/>
    <w:uiPriority w:val="6"/>
    <w:rsid w:val="00E546F7"/>
    <w:pPr>
      <w:numPr>
        <w:numId w:val="18"/>
      </w:numPr>
      <w:ind w:right="567"/>
    </w:pPr>
    <w:rPr>
      <w:i/>
      <w:color w:val="4D4D4D"/>
    </w:rPr>
  </w:style>
  <w:style w:type="paragraph" w:customStyle="1" w:styleId="QListbullet">
    <w:name w:val="QList bullet"/>
    <w:basedOn w:val="Normal"/>
    <w:uiPriority w:val="6"/>
    <w:rsid w:val="00E546F7"/>
    <w:pPr>
      <w:numPr>
        <w:numId w:val="19"/>
      </w:numPr>
      <w:ind w:right="567"/>
    </w:pPr>
    <w:rPr>
      <w:i/>
      <w:color w:val="4D4D4D"/>
    </w:rPr>
  </w:style>
  <w:style w:type="paragraph" w:customStyle="1" w:styleId="QListnumber">
    <w:name w:val="QList number"/>
    <w:basedOn w:val="Normal"/>
    <w:uiPriority w:val="6"/>
    <w:rsid w:val="00E546F7"/>
    <w:pPr>
      <w:numPr>
        <w:numId w:val="20"/>
      </w:numPr>
      <w:ind w:right="567"/>
    </w:pPr>
    <w:rPr>
      <w:i/>
      <w:color w:val="4D4D4D"/>
    </w:rPr>
  </w:style>
  <w:style w:type="paragraph" w:customStyle="1" w:styleId="QListroman">
    <w:name w:val="QList roman"/>
    <w:basedOn w:val="Normal"/>
    <w:uiPriority w:val="6"/>
    <w:rsid w:val="00E546F7"/>
    <w:pPr>
      <w:numPr>
        <w:numId w:val="21"/>
      </w:numPr>
      <w:ind w:right="567"/>
    </w:pPr>
    <w:rPr>
      <w:rFonts w:eastAsia="Times New Roman" w:cs="Times New Roman"/>
      <w:i/>
      <w:color w:val="4D4D4D"/>
      <w:szCs w:val="20"/>
    </w:rPr>
  </w:style>
  <w:style w:type="paragraph" w:customStyle="1" w:styleId="Bullet1">
    <w:name w:val="Bullet 1"/>
    <w:basedOn w:val="Normal"/>
    <w:uiPriority w:val="2"/>
    <w:rsid w:val="00415BB3"/>
    <w:pPr>
      <w:numPr>
        <w:numId w:val="8"/>
      </w:numPr>
    </w:pPr>
  </w:style>
  <w:style w:type="paragraph" w:customStyle="1" w:styleId="Bullet2">
    <w:name w:val="Bullet 2"/>
    <w:basedOn w:val="Normal"/>
    <w:uiPriority w:val="2"/>
    <w:rsid w:val="00415BB3"/>
    <w:pPr>
      <w:numPr>
        <w:ilvl w:val="1"/>
        <w:numId w:val="8"/>
      </w:numPr>
    </w:pPr>
  </w:style>
  <w:style w:type="paragraph" w:customStyle="1" w:styleId="Bullet3">
    <w:name w:val="Bullet 3"/>
    <w:basedOn w:val="Normal"/>
    <w:uiPriority w:val="2"/>
    <w:rsid w:val="00415BB3"/>
    <w:pPr>
      <w:numPr>
        <w:ilvl w:val="2"/>
        <w:numId w:val="8"/>
      </w:numPr>
    </w:pPr>
  </w:style>
  <w:style w:type="paragraph" w:customStyle="1" w:styleId="Bullet4">
    <w:name w:val="Bullet 4"/>
    <w:basedOn w:val="Normal"/>
    <w:uiPriority w:val="2"/>
    <w:rsid w:val="00415BB3"/>
    <w:pPr>
      <w:numPr>
        <w:ilvl w:val="3"/>
        <w:numId w:val="8"/>
      </w:numPr>
    </w:pPr>
  </w:style>
  <w:style w:type="paragraph" w:customStyle="1" w:styleId="Indent1">
    <w:name w:val="Indent 1"/>
    <w:basedOn w:val="Normal"/>
    <w:uiPriority w:val="4"/>
    <w:rsid w:val="00A208A4"/>
    <w:pPr>
      <w:ind w:left="567"/>
    </w:pPr>
  </w:style>
  <w:style w:type="paragraph" w:customStyle="1" w:styleId="Indent2">
    <w:name w:val="Indent 2"/>
    <w:basedOn w:val="Normal"/>
    <w:uiPriority w:val="4"/>
    <w:rsid w:val="00A208A4"/>
    <w:pPr>
      <w:ind w:left="1134"/>
    </w:pPr>
  </w:style>
  <w:style w:type="paragraph" w:customStyle="1" w:styleId="Indent3">
    <w:name w:val="Indent 3"/>
    <w:basedOn w:val="Normal"/>
    <w:uiPriority w:val="4"/>
    <w:rsid w:val="00A208A4"/>
    <w:pPr>
      <w:ind w:left="1701"/>
    </w:pPr>
  </w:style>
  <w:style w:type="paragraph" w:customStyle="1" w:styleId="Indent4">
    <w:name w:val="Indent 4"/>
    <w:basedOn w:val="Normal"/>
    <w:uiPriority w:val="4"/>
    <w:rsid w:val="00A208A4"/>
    <w:pPr>
      <w:ind w:left="2268"/>
    </w:pPr>
  </w:style>
  <w:style w:type="paragraph" w:customStyle="1" w:styleId="Number-1">
    <w:name w:val="Number - 1."/>
    <w:basedOn w:val="BodyText"/>
    <w:uiPriority w:val="5"/>
    <w:rsid w:val="00415BB3"/>
    <w:pPr>
      <w:numPr>
        <w:numId w:val="10"/>
      </w:numPr>
    </w:pPr>
  </w:style>
  <w:style w:type="paragraph" w:customStyle="1" w:styleId="Number-11">
    <w:name w:val="Number - 1.1"/>
    <w:basedOn w:val="Normal"/>
    <w:uiPriority w:val="5"/>
    <w:rsid w:val="00415BB3"/>
    <w:pPr>
      <w:numPr>
        <w:ilvl w:val="1"/>
        <w:numId w:val="10"/>
      </w:numPr>
    </w:pPr>
  </w:style>
  <w:style w:type="paragraph" w:customStyle="1" w:styleId="Number-111">
    <w:name w:val="Number - 1.1.1"/>
    <w:basedOn w:val="Normal"/>
    <w:uiPriority w:val="5"/>
    <w:rsid w:val="00415BB3"/>
    <w:pPr>
      <w:numPr>
        <w:ilvl w:val="2"/>
        <w:numId w:val="10"/>
      </w:numPr>
    </w:pPr>
  </w:style>
  <w:style w:type="paragraph" w:customStyle="1" w:styleId="Number-a">
    <w:name w:val="Number - a."/>
    <w:basedOn w:val="Normal"/>
    <w:uiPriority w:val="5"/>
    <w:rsid w:val="00415BB3"/>
    <w:pPr>
      <w:numPr>
        <w:numId w:val="11"/>
      </w:numPr>
    </w:pPr>
  </w:style>
  <w:style w:type="paragraph" w:customStyle="1" w:styleId="Number-i">
    <w:name w:val="Number - i."/>
    <w:basedOn w:val="Normal"/>
    <w:uiPriority w:val="5"/>
    <w:rsid w:val="00415BB3"/>
    <w:pPr>
      <w:numPr>
        <w:ilvl w:val="1"/>
        <w:numId w:val="11"/>
      </w:numPr>
    </w:pPr>
  </w:style>
  <w:style w:type="paragraph" w:customStyle="1" w:styleId="Number1">
    <w:name w:val="Number 1"/>
    <w:basedOn w:val="Normal"/>
    <w:uiPriority w:val="5"/>
    <w:rsid w:val="00415BB3"/>
    <w:pPr>
      <w:numPr>
        <w:numId w:val="12"/>
      </w:numPr>
    </w:pPr>
  </w:style>
  <w:style w:type="paragraph" w:customStyle="1" w:styleId="Number2">
    <w:name w:val="Number 2"/>
    <w:basedOn w:val="Normal"/>
    <w:uiPriority w:val="5"/>
    <w:rsid w:val="00415BB3"/>
    <w:pPr>
      <w:numPr>
        <w:ilvl w:val="1"/>
        <w:numId w:val="12"/>
      </w:numPr>
    </w:pPr>
  </w:style>
  <w:style w:type="paragraph" w:customStyle="1" w:styleId="Number3">
    <w:name w:val="Number 3"/>
    <w:basedOn w:val="Normal"/>
    <w:uiPriority w:val="5"/>
    <w:rsid w:val="00415BB3"/>
    <w:pPr>
      <w:numPr>
        <w:ilvl w:val="2"/>
        <w:numId w:val="12"/>
      </w:numPr>
    </w:pPr>
  </w:style>
  <w:style w:type="paragraph" w:customStyle="1" w:styleId="TableBullet1">
    <w:name w:val="Table Bullet 1"/>
    <w:basedOn w:val="Normal"/>
    <w:uiPriority w:val="2"/>
    <w:rsid w:val="00415BB3"/>
    <w:pPr>
      <w:numPr>
        <w:numId w:val="15"/>
      </w:numPr>
      <w:spacing w:before="120" w:after="120"/>
    </w:pPr>
    <w:rPr>
      <w:sz w:val="22"/>
    </w:rPr>
  </w:style>
  <w:style w:type="paragraph" w:customStyle="1" w:styleId="TableBullet2">
    <w:name w:val="Table Bullet 2"/>
    <w:basedOn w:val="Normal"/>
    <w:uiPriority w:val="2"/>
    <w:rsid w:val="00415BB3"/>
    <w:pPr>
      <w:numPr>
        <w:ilvl w:val="1"/>
        <w:numId w:val="15"/>
      </w:numPr>
      <w:spacing w:before="120" w:after="120"/>
    </w:pPr>
    <w:rPr>
      <w:sz w:val="22"/>
    </w:rPr>
  </w:style>
  <w:style w:type="paragraph" w:customStyle="1" w:styleId="TableBullet3">
    <w:name w:val="Table Bullet 3"/>
    <w:basedOn w:val="Normal"/>
    <w:uiPriority w:val="2"/>
    <w:rsid w:val="00415BB3"/>
    <w:pPr>
      <w:numPr>
        <w:ilvl w:val="2"/>
        <w:numId w:val="15"/>
      </w:numPr>
      <w:spacing w:before="120" w:after="120"/>
    </w:pPr>
    <w:rPr>
      <w:sz w:val="22"/>
    </w:rPr>
  </w:style>
  <w:style w:type="paragraph" w:customStyle="1" w:styleId="Tableheading">
    <w:name w:val="Table heading"/>
    <w:basedOn w:val="Tablebodytext"/>
    <w:next w:val="Tablebodytext"/>
    <w:uiPriority w:val="2"/>
    <w:rsid w:val="0023350A"/>
    <w:pPr>
      <w:keepNext/>
      <w:spacing w:after="60"/>
    </w:pPr>
    <w:rPr>
      <w:b/>
    </w:rPr>
  </w:style>
  <w:style w:type="paragraph" w:customStyle="1" w:styleId="TableIndent1">
    <w:name w:val="Table Indent 1"/>
    <w:basedOn w:val="Normal"/>
    <w:uiPriority w:val="2"/>
    <w:rsid w:val="00A208A4"/>
    <w:pPr>
      <w:spacing w:before="120" w:after="120"/>
      <w:ind w:left="357"/>
    </w:pPr>
    <w:rPr>
      <w:sz w:val="22"/>
    </w:rPr>
  </w:style>
  <w:style w:type="paragraph" w:customStyle="1" w:styleId="TableIndent2">
    <w:name w:val="Table Indent 2"/>
    <w:basedOn w:val="Normal"/>
    <w:uiPriority w:val="2"/>
    <w:rsid w:val="00A208A4"/>
    <w:pPr>
      <w:spacing w:before="120" w:after="120"/>
      <w:ind w:left="714"/>
    </w:pPr>
    <w:rPr>
      <w:sz w:val="22"/>
    </w:rPr>
  </w:style>
  <w:style w:type="paragraph" w:customStyle="1" w:styleId="TableIndent3">
    <w:name w:val="Table Indent 3"/>
    <w:basedOn w:val="Normal"/>
    <w:uiPriority w:val="2"/>
    <w:rsid w:val="00A208A4"/>
    <w:pPr>
      <w:spacing w:before="120" w:after="120"/>
      <w:ind w:left="1072"/>
    </w:pPr>
    <w:rPr>
      <w:sz w:val="22"/>
    </w:rPr>
  </w:style>
  <w:style w:type="paragraph" w:customStyle="1" w:styleId="TableNumber1">
    <w:name w:val="Table Number 1."/>
    <w:basedOn w:val="Normal"/>
    <w:uiPriority w:val="2"/>
    <w:rsid w:val="00415BB3"/>
    <w:pPr>
      <w:numPr>
        <w:numId w:val="17"/>
      </w:numPr>
      <w:spacing w:before="120" w:after="120"/>
    </w:pPr>
    <w:rPr>
      <w:sz w:val="22"/>
    </w:rPr>
  </w:style>
  <w:style w:type="paragraph" w:customStyle="1" w:styleId="TableNumbera">
    <w:name w:val="Table Number a."/>
    <w:basedOn w:val="Normal"/>
    <w:uiPriority w:val="2"/>
    <w:rsid w:val="00415BB3"/>
    <w:pPr>
      <w:numPr>
        <w:ilvl w:val="1"/>
        <w:numId w:val="17"/>
      </w:numPr>
      <w:spacing w:before="120" w:after="120"/>
    </w:pPr>
    <w:rPr>
      <w:sz w:val="22"/>
    </w:rPr>
  </w:style>
  <w:style w:type="paragraph" w:customStyle="1" w:styleId="TableNumberi">
    <w:name w:val="Table Number i."/>
    <w:basedOn w:val="Normal"/>
    <w:uiPriority w:val="2"/>
    <w:rsid w:val="00415BB3"/>
    <w:pPr>
      <w:numPr>
        <w:ilvl w:val="2"/>
        <w:numId w:val="17"/>
      </w:numPr>
      <w:spacing w:before="120" w:after="120"/>
    </w:pPr>
    <w:rPr>
      <w:sz w:val="22"/>
    </w:rPr>
  </w:style>
  <w:style w:type="paragraph" w:customStyle="1" w:styleId="TableQuotationseparateparagraph">
    <w:name w:val="Table Quotation (separate paragraph)"/>
    <w:basedOn w:val="Quotationseparateparagraph"/>
    <w:uiPriority w:val="2"/>
    <w:rsid w:val="0059075D"/>
    <w:pPr>
      <w:spacing w:after="120"/>
      <w:ind w:left="357" w:right="357"/>
    </w:pPr>
    <w:rPr>
      <w:sz w:val="22"/>
    </w:rPr>
  </w:style>
  <w:style w:type="paragraph" w:customStyle="1" w:styleId="Tablesinglespacedparagraph">
    <w:name w:val="Table single spaced paragraph"/>
    <w:basedOn w:val="BodyText"/>
    <w:uiPriority w:val="2"/>
    <w:rsid w:val="0059075D"/>
    <w:pPr>
      <w:spacing w:before="40" w:after="40"/>
    </w:pPr>
    <w:rPr>
      <w:sz w:val="22"/>
    </w:rPr>
  </w:style>
  <w:style w:type="paragraph" w:customStyle="1" w:styleId="Tablesinglespacedparagraphlast">
    <w:name w:val="Table single spaced paragraph (last)"/>
    <w:basedOn w:val="Tablesinglespacedparagraph"/>
    <w:uiPriority w:val="2"/>
    <w:rsid w:val="0059075D"/>
  </w:style>
  <w:style w:type="paragraph" w:customStyle="1" w:styleId="Tablecaption">
    <w:name w:val="Table caption"/>
    <w:basedOn w:val="Normal"/>
    <w:next w:val="BodyText"/>
    <w:uiPriority w:val="98"/>
    <w:rsid w:val="00E546F7"/>
    <w:pPr>
      <w:keepNext/>
      <w:spacing w:before="360" w:after="60" w:line="260" w:lineRule="atLeast"/>
    </w:pPr>
    <w:rPr>
      <w:b/>
      <w:sz w:val="26"/>
    </w:rPr>
  </w:style>
  <w:style w:type="paragraph" w:customStyle="1" w:styleId="FigureCaption">
    <w:name w:val="Figure Caption"/>
    <w:basedOn w:val="Normal"/>
    <w:next w:val="BodyText"/>
    <w:uiPriority w:val="2"/>
    <w:rsid w:val="00672F95"/>
    <w:pPr>
      <w:spacing w:after="240" w:line="240" w:lineRule="auto"/>
    </w:pPr>
    <w:rPr>
      <w:i/>
    </w:rPr>
  </w:style>
  <w:style w:type="paragraph" w:customStyle="1" w:styleId="Headerlandscape">
    <w:name w:val="Header landscape"/>
    <w:basedOn w:val="Header"/>
    <w:rsid w:val="0059075D"/>
    <w:pPr>
      <w:tabs>
        <w:tab w:val="clear" w:pos="9299"/>
        <w:tab w:val="right" w:pos="14232"/>
      </w:tabs>
    </w:pPr>
  </w:style>
  <w:style w:type="paragraph" w:customStyle="1" w:styleId="Footerlandscape">
    <w:name w:val="Footer landscape"/>
    <w:basedOn w:val="Footer"/>
    <w:uiPriority w:val="10"/>
    <w:rsid w:val="00D423E2"/>
    <w:pPr>
      <w:tabs>
        <w:tab w:val="clear" w:pos="9299"/>
        <w:tab w:val="right" w:pos="14232"/>
      </w:tabs>
    </w:pPr>
  </w:style>
  <w:style w:type="character" w:customStyle="1" w:styleId="Italics">
    <w:name w:val="Italics"/>
    <w:basedOn w:val="DefaultParagraphFont"/>
    <w:uiPriority w:val="2"/>
    <w:rsid w:val="00BF10C4"/>
    <w:rPr>
      <w:i/>
    </w:rPr>
  </w:style>
  <w:style w:type="character" w:customStyle="1" w:styleId="Bluetext">
    <w:name w:val="Blue text"/>
    <w:basedOn w:val="DefaultParagraphFont"/>
    <w:uiPriority w:val="2"/>
    <w:rsid w:val="0059075D"/>
    <w:rPr>
      <w:color w:val="0070C0"/>
    </w:rPr>
  </w:style>
  <w:style w:type="paragraph" w:customStyle="1" w:styleId="Guidelines">
    <w:name w:val="Guidelines"/>
    <w:basedOn w:val="Normal"/>
    <w:next w:val="BodyText"/>
    <w:uiPriority w:val="2"/>
    <w:rsid w:val="00833F77"/>
    <w:rPr>
      <w:color w:val="00B050"/>
    </w:rPr>
  </w:style>
  <w:style w:type="character" w:styleId="CommentReference">
    <w:name w:val="annotation reference"/>
    <w:basedOn w:val="DefaultParagraphFont"/>
    <w:uiPriority w:val="99"/>
    <w:semiHidden/>
    <w:unhideWhenUsed/>
    <w:rsid w:val="0059075D"/>
    <w:rPr>
      <w:sz w:val="16"/>
      <w:szCs w:val="16"/>
    </w:rPr>
  </w:style>
  <w:style w:type="paragraph" w:customStyle="1" w:styleId="Title1">
    <w:name w:val="Title 1"/>
    <w:basedOn w:val="Normal"/>
    <w:uiPriority w:val="1"/>
    <w:rsid w:val="007A4778"/>
    <w:pPr>
      <w:spacing w:after="0" w:line="240" w:lineRule="auto"/>
    </w:pPr>
    <w:rPr>
      <w:sz w:val="48"/>
    </w:rPr>
  </w:style>
  <w:style w:type="paragraph" w:customStyle="1" w:styleId="Title2">
    <w:name w:val="Title 2"/>
    <w:basedOn w:val="Normalcolour"/>
    <w:uiPriority w:val="1"/>
    <w:rsid w:val="007A4778"/>
    <w:pPr>
      <w:spacing w:after="0" w:line="240" w:lineRule="auto"/>
    </w:pPr>
    <w:rPr>
      <w:sz w:val="56"/>
    </w:rPr>
  </w:style>
  <w:style w:type="paragraph" w:customStyle="1" w:styleId="Datecover">
    <w:name w:val="Date cover"/>
    <w:basedOn w:val="BodyText"/>
    <w:uiPriority w:val="98"/>
    <w:rsid w:val="0035369E"/>
    <w:pPr>
      <w:spacing w:after="400"/>
    </w:pPr>
  </w:style>
  <w:style w:type="paragraph" w:customStyle="1" w:styleId="ChiefOmbudsman">
    <w:name w:val="Chief Ombudsman"/>
    <w:basedOn w:val="Singlespacedparagraph"/>
    <w:uiPriority w:val="98"/>
    <w:rsid w:val="0091228F"/>
    <w:pPr>
      <w:spacing w:before="120"/>
    </w:pPr>
    <w:rPr>
      <w:sz w:val="28"/>
      <w:szCs w:val="28"/>
    </w:rPr>
  </w:style>
  <w:style w:type="paragraph" w:customStyle="1" w:styleId="HeadingTableofTablesFigures">
    <w:name w:val="Heading Table of Tables/Figures"/>
    <w:basedOn w:val="Normalcolour"/>
    <w:next w:val="TableofFigures"/>
    <w:uiPriority w:val="1"/>
    <w:rsid w:val="00A70565"/>
    <w:rPr>
      <w:sz w:val="26"/>
    </w:rPr>
  </w:style>
  <w:style w:type="paragraph" w:customStyle="1" w:styleId="Pictureindent">
    <w:name w:val="Picture indent"/>
    <w:basedOn w:val="Indent1"/>
    <w:uiPriority w:val="98"/>
    <w:rsid w:val="0045192F"/>
    <w:pPr>
      <w:ind w:left="-28"/>
    </w:pPr>
  </w:style>
  <w:style w:type="paragraph" w:customStyle="1" w:styleId="ChiefOmbudsmansignatureblock">
    <w:name w:val="Chief Ombudsman signature block"/>
    <w:basedOn w:val="ChiefOmbudsman"/>
    <w:uiPriority w:val="98"/>
    <w:rsid w:val="0091228F"/>
    <w:rPr>
      <w:color w:val="auto"/>
      <w:sz w:val="24"/>
    </w:rPr>
  </w:style>
  <w:style w:type="paragraph" w:customStyle="1" w:styleId="ChiefOmbudsmantitle">
    <w:name w:val="Chief Ombudsman title"/>
    <w:basedOn w:val="Singlespacedparagraph"/>
    <w:uiPriority w:val="98"/>
    <w:rsid w:val="0091228F"/>
    <w:rPr>
      <w:color w:val="6B6B6B"/>
      <w:szCs w:val="24"/>
    </w:rPr>
  </w:style>
  <w:style w:type="paragraph" w:customStyle="1" w:styleId="Boxsmallbullet1">
    <w:name w:val="Box small bullet 1"/>
    <w:basedOn w:val="Normal"/>
    <w:uiPriority w:val="2"/>
    <w:rsid w:val="00415BB3"/>
    <w:pPr>
      <w:numPr>
        <w:numId w:val="13"/>
      </w:numPr>
    </w:pPr>
  </w:style>
  <w:style w:type="paragraph" w:customStyle="1" w:styleId="Boxsmallbullet2">
    <w:name w:val="Box small bullet 2"/>
    <w:basedOn w:val="Normal"/>
    <w:uiPriority w:val="2"/>
    <w:rsid w:val="00415BB3"/>
    <w:pPr>
      <w:numPr>
        <w:ilvl w:val="1"/>
        <w:numId w:val="13"/>
      </w:numPr>
    </w:pPr>
  </w:style>
  <w:style w:type="character" w:customStyle="1" w:styleId="HyperlinkSourceTextReference">
    <w:name w:val="Hyperlink (Source Text Reference)"/>
    <w:basedOn w:val="Hyperlink"/>
    <w:uiPriority w:val="2"/>
    <w:rsid w:val="00BF10C4"/>
    <w:rPr>
      <w:color w:val="0D6AB8"/>
      <w:u w:val="single"/>
    </w:rPr>
  </w:style>
  <w:style w:type="numbering" w:styleId="111111">
    <w:name w:val="Outline List 2"/>
    <w:basedOn w:val="NoList"/>
    <w:uiPriority w:val="99"/>
    <w:semiHidden/>
    <w:unhideWhenUsed/>
    <w:rsid w:val="008118C1"/>
    <w:pPr>
      <w:numPr>
        <w:numId w:val="5"/>
      </w:numPr>
    </w:pPr>
  </w:style>
  <w:style w:type="numbering" w:styleId="1ai">
    <w:name w:val="Outline List 1"/>
    <w:basedOn w:val="NoList"/>
    <w:uiPriority w:val="99"/>
    <w:semiHidden/>
    <w:unhideWhenUsed/>
    <w:rsid w:val="008118C1"/>
    <w:pPr>
      <w:numPr>
        <w:numId w:val="6"/>
      </w:numPr>
    </w:pPr>
  </w:style>
  <w:style w:type="numbering" w:styleId="ArticleSection">
    <w:name w:val="Outline List 3"/>
    <w:basedOn w:val="NoList"/>
    <w:uiPriority w:val="99"/>
    <w:semiHidden/>
    <w:unhideWhenUsed/>
    <w:rsid w:val="008118C1"/>
    <w:pPr>
      <w:numPr>
        <w:numId w:val="7"/>
      </w:numPr>
    </w:pPr>
  </w:style>
  <w:style w:type="paragraph" w:customStyle="1" w:styleId="Boxsmallnumber-1">
    <w:name w:val="Box small number - 1."/>
    <w:basedOn w:val="Normal"/>
    <w:uiPriority w:val="2"/>
    <w:rsid w:val="00415BB3"/>
    <w:pPr>
      <w:numPr>
        <w:numId w:val="14"/>
      </w:numPr>
    </w:pPr>
  </w:style>
  <w:style w:type="paragraph" w:customStyle="1" w:styleId="Boxsmallnumber-a">
    <w:name w:val="Box small number - a."/>
    <w:basedOn w:val="Normal"/>
    <w:uiPriority w:val="2"/>
    <w:rsid w:val="00415BB3"/>
    <w:pPr>
      <w:numPr>
        <w:ilvl w:val="1"/>
        <w:numId w:val="14"/>
      </w:numPr>
    </w:pPr>
  </w:style>
  <w:style w:type="paragraph" w:customStyle="1" w:styleId="Boxsmallnumber-i">
    <w:name w:val="Box small number - i."/>
    <w:basedOn w:val="Normal"/>
    <w:uiPriority w:val="2"/>
    <w:rsid w:val="00415BB3"/>
    <w:pPr>
      <w:numPr>
        <w:ilvl w:val="2"/>
        <w:numId w:val="14"/>
      </w:numPr>
    </w:pPr>
  </w:style>
  <w:style w:type="paragraph" w:customStyle="1" w:styleId="FootnoteBullet">
    <w:name w:val="Footnote Bullet"/>
    <w:basedOn w:val="FootnoteText"/>
    <w:uiPriority w:val="7"/>
    <w:rsid w:val="00D515A5"/>
    <w:pPr>
      <w:numPr>
        <w:numId w:val="23"/>
      </w:numPr>
      <w:tabs>
        <w:tab w:val="clear" w:pos="284"/>
      </w:tabs>
    </w:pPr>
  </w:style>
  <w:style w:type="paragraph" w:customStyle="1" w:styleId="Introduction">
    <w:name w:val="Introduction"/>
    <w:basedOn w:val="Normal"/>
    <w:uiPriority w:val="2"/>
    <w:rsid w:val="008118C1"/>
    <w:rPr>
      <w:color w:val="4D4D4D"/>
      <w:sz w:val="28"/>
    </w:rPr>
  </w:style>
  <w:style w:type="paragraph" w:customStyle="1" w:styleId="Checkbox1">
    <w:name w:val="Check box 1"/>
    <w:basedOn w:val="BodyText"/>
    <w:uiPriority w:val="3"/>
    <w:rsid w:val="00415BB3"/>
    <w:pPr>
      <w:numPr>
        <w:numId w:val="9"/>
      </w:numPr>
    </w:pPr>
  </w:style>
  <w:style w:type="paragraph" w:customStyle="1" w:styleId="Checkbox2">
    <w:name w:val="Check box 2"/>
    <w:basedOn w:val="Checkbox1"/>
    <w:uiPriority w:val="3"/>
    <w:rsid w:val="00415BB3"/>
    <w:pPr>
      <w:numPr>
        <w:ilvl w:val="1"/>
      </w:numPr>
    </w:pPr>
  </w:style>
  <w:style w:type="paragraph" w:customStyle="1" w:styleId="Checkbox3">
    <w:name w:val="Check box 3"/>
    <w:basedOn w:val="Checkbox1"/>
    <w:uiPriority w:val="3"/>
    <w:rsid w:val="00415BB3"/>
    <w:pPr>
      <w:numPr>
        <w:ilvl w:val="2"/>
      </w:numPr>
    </w:pPr>
  </w:style>
  <w:style w:type="paragraph" w:customStyle="1" w:styleId="Checkbox4">
    <w:name w:val="Check box 4"/>
    <w:basedOn w:val="Checkbox1"/>
    <w:uiPriority w:val="3"/>
    <w:rsid w:val="00415BB3"/>
    <w:pPr>
      <w:numPr>
        <w:ilvl w:val="3"/>
      </w:numPr>
    </w:pPr>
  </w:style>
  <w:style w:type="paragraph" w:customStyle="1" w:styleId="Tablecheckbox1">
    <w:name w:val="Table check box 1"/>
    <w:basedOn w:val="Normal"/>
    <w:uiPriority w:val="2"/>
    <w:rsid w:val="00415BB3"/>
    <w:pPr>
      <w:numPr>
        <w:numId w:val="16"/>
      </w:numPr>
      <w:spacing w:before="120" w:after="120"/>
    </w:pPr>
    <w:rPr>
      <w:sz w:val="22"/>
    </w:rPr>
  </w:style>
  <w:style w:type="paragraph" w:customStyle="1" w:styleId="Tablecheckbox2">
    <w:name w:val="Table check box 2"/>
    <w:basedOn w:val="Tablecheckbox1"/>
    <w:uiPriority w:val="2"/>
    <w:rsid w:val="00415BB3"/>
    <w:pPr>
      <w:numPr>
        <w:ilvl w:val="1"/>
      </w:numPr>
    </w:pPr>
  </w:style>
  <w:style w:type="paragraph" w:customStyle="1" w:styleId="Tablecheckbox3">
    <w:name w:val="Table check box 3"/>
    <w:basedOn w:val="Tablecheckbox1"/>
    <w:uiPriority w:val="2"/>
    <w:rsid w:val="00415BB3"/>
    <w:pPr>
      <w:numPr>
        <w:ilvl w:val="2"/>
      </w:numPr>
    </w:pPr>
  </w:style>
  <w:style w:type="paragraph" w:customStyle="1" w:styleId="EndnoteBullet">
    <w:name w:val="Endnote Bullet"/>
    <w:uiPriority w:val="7"/>
    <w:rsid w:val="00D515A5"/>
    <w:pPr>
      <w:numPr>
        <w:numId w:val="22"/>
      </w:numPr>
      <w:spacing w:after="80" w:line="230" w:lineRule="atLeast"/>
    </w:pPr>
    <w:rPr>
      <w:rFonts w:ascii="Calibri" w:hAnsi="Calibri"/>
      <w:color w:val="4D4D4D"/>
      <w:sz w:val="20"/>
      <w:szCs w:val="20"/>
    </w:rPr>
  </w:style>
  <w:style w:type="paragraph" w:customStyle="1" w:styleId="CQLegindent1">
    <w:name w:val="CQLeg indent 1"/>
    <w:basedOn w:val="Normal"/>
    <w:uiPriority w:val="6"/>
    <w:rsid w:val="000C35B0"/>
    <w:pPr>
      <w:ind w:left="2268" w:right="567"/>
    </w:pPr>
    <w:rPr>
      <w:i/>
      <w:color w:val="4D4D4D"/>
    </w:rPr>
  </w:style>
  <w:style w:type="paragraph" w:customStyle="1" w:styleId="CQLegindent2">
    <w:name w:val="CQLeg indent 2"/>
    <w:basedOn w:val="Normal"/>
    <w:uiPriority w:val="6"/>
    <w:rsid w:val="000C35B0"/>
    <w:pPr>
      <w:ind w:left="2977" w:right="567"/>
    </w:pPr>
    <w:rPr>
      <w:i/>
      <w:color w:val="4D4D4D"/>
    </w:rPr>
  </w:style>
  <w:style w:type="paragraph" w:customStyle="1" w:styleId="CQLegindent3">
    <w:name w:val="CQLeg indent 3"/>
    <w:basedOn w:val="Normal"/>
    <w:uiPriority w:val="6"/>
    <w:rsid w:val="000C35B0"/>
    <w:pPr>
      <w:ind w:left="3686" w:right="567"/>
    </w:pPr>
    <w:rPr>
      <w:i/>
      <w:color w:val="4D4D4D"/>
    </w:rPr>
  </w:style>
  <w:style w:type="paragraph" w:customStyle="1" w:styleId="CQLegstyle-1">
    <w:name w:val="CQLeg style - (1)"/>
    <w:basedOn w:val="Normal"/>
    <w:uiPriority w:val="6"/>
    <w:rsid w:val="000C35B0"/>
    <w:pPr>
      <w:tabs>
        <w:tab w:val="left" w:pos="2268"/>
      </w:tabs>
      <w:ind w:left="2269" w:right="567" w:hanging="851"/>
    </w:pPr>
    <w:rPr>
      <w:i/>
      <w:color w:val="4D4D4D"/>
    </w:rPr>
  </w:style>
  <w:style w:type="paragraph" w:customStyle="1" w:styleId="CQLegstyle-a">
    <w:name w:val="CQLeg style - (a)"/>
    <w:basedOn w:val="Normal"/>
    <w:uiPriority w:val="6"/>
    <w:rsid w:val="000C35B0"/>
    <w:pPr>
      <w:tabs>
        <w:tab w:val="left" w:pos="2977"/>
      </w:tabs>
      <w:ind w:left="2977" w:right="567" w:hanging="709"/>
    </w:pPr>
    <w:rPr>
      <w:i/>
      <w:color w:val="4D4D4D"/>
    </w:rPr>
  </w:style>
  <w:style w:type="paragraph" w:customStyle="1" w:styleId="CQLegstyle-i">
    <w:name w:val="CQLeg style - (i)"/>
    <w:basedOn w:val="Normal"/>
    <w:uiPriority w:val="6"/>
    <w:rsid w:val="000C35B0"/>
    <w:pPr>
      <w:tabs>
        <w:tab w:val="left" w:pos="3686"/>
      </w:tabs>
      <w:ind w:left="3686" w:right="567" w:hanging="709"/>
    </w:pPr>
    <w:rPr>
      <w:i/>
      <w:color w:val="4D4D4D"/>
    </w:rPr>
  </w:style>
  <w:style w:type="paragraph" w:customStyle="1" w:styleId="CQLegstyle-10">
    <w:name w:val="CQLeg style - 1"/>
    <w:basedOn w:val="Normal"/>
    <w:uiPriority w:val="6"/>
    <w:rsid w:val="004F6606"/>
    <w:pPr>
      <w:keepNext/>
      <w:tabs>
        <w:tab w:val="left" w:pos="2268"/>
      </w:tabs>
      <w:ind w:left="2269" w:right="567" w:hanging="851"/>
    </w:pPr>
    <w:rPr>
      <w:b/>
      <w:i/>
      <w:color w:val="4D4D4D"/>
    </w:rPr>
  </w:style>
  <w:style w:type="paragraph" w:customStyle="1" w:styleId="ALegindent1">
    <w:name w:val="ALeg indent 1"/>
    <w:basedOn w:val="Normal"/>
    <w:uiPriority w:val="6"/>
    <w:rsid w:val="000C35B0"/>
    <w:pPr>
      <w:ind w:left="851"/>
    </w:pPr>
  </w:style>
  <w:style w:type="paragraph" w:customStyle="1" w:styleId="ALegindent2">
    <w:name w:val="ALeg indent 2"/>
    <w:basedOn w:val="Normal"/>
    <w:uiPriority w:val="6"/>
    <w:rsid w:val="000C35B0"/>
    <w:pPr>
      <w:ind w:left="1559"/>
    </w:pPr>
  </w:style>
  <w:style w:type="paragraph" w:customStyle="1" w:styleId="ALegindent3">
    <w:name w:val="ALeg indent 3"/>
    <w:basedOn w:val="Normal"/>
    <w:uiPriority w:val="6"/>
    <w:rsid w:val="000C35B0"/>
    <w:pPr>
      <w:ind w:left="2268"/>
    </w:pPr>
  </w:style>
  <w:style w:type="paragraph" w:customStyle="1" w:styleId="ALegstyle-1">
    <w:name w:val="ALeg style - (1)"/>
    <w:basedOn w:val="Normal"/>
    <w:uiPriority w:val="6"/>
    <w:rsid w:val="000C35B0"/>
    <w:pPr>
      <w:tabs>
        <w:tab w:val="left" w:pos="851"/>
      </w:tabs>
      <w:ind w:left="851" w:hanging="851"/>
    </w:pPr>
  </w:style>
  <w:style w:type="paragraph" w:customStyle="1" w:styleId="ALegstyle-a">
    <w:name w:val="ALeg style - (a)"/>
    <w:basedOn w:val="Normal"/>
    <w:uiPriority w:val="6"/>
    <w:rsid w:val="000C35B0"/>
    <w:pPr>
      <w:tabs>
        <w:tab w:val="left" w:pos="1559"/>
      </w:tabs>
      <w:ind w:left="1560" w:hanging="709"/>
    </w:pPr>
  </w:style>
  <w:style w:type="paragraph" w:customStyle="1" w:styleId="ALegstyle-i">
    <w:name w:val="ALeg style - (i)"/>
    <w:basedOn w:val="Normal"/>
    <w:uiPriority w:val="6"/>
    <w:rsid w:val="000C35B0"/>
    <w:pPr>
      <w:tabs>
        <w:tab w:val="left" w:pos="2268"/>
      </w:tabs>
      <w:ind w:left="2268" w:hanging="709"/>
    </w:pPr>
  </w:style>
  <w:style w:type="paragraph" w:customStyle="1" w:styleId="ALegstyle-10">
    <w:name w:val="ALeg style - 1"/>
    <w:basedOn w:val="Normal"/>
    <w:uiPriority w:val="6"/>
    <w:rsid w:val="004F6606"/>
    <w:pPr>
      <w:keepNext/>
      <w:tabs>
        <w:tab w:val="left" w:pos="851"/>
      </w:tabs>
      <w:ind w:left="851" w:hanging="851"/>
    </w:pPr>
    <w:rPr>
      <w:b/>
    </w:rPr>
  </w:style>
  <w:style w:type="paragraph" w:customStyle="1" w:styleId="BQLegindent1">
    <w:name w:val="BQLeg indent 1"/>
    <w:basedOn w:val="Normal"/>
    <w:uiPriority w:val="6"/>
    <w:rsid w:val="005470A2"/>
    <w:pPr>
      <w:ind w:left="1418" w:right="567"/>
    </w:pPr>
    <w:rPr>
      <w:i/>
      <w:color w:val="4D4D4D"/>
    </w:rPr>
  </w:style>
  <w:style w:type="paragraph" w:customStyle="1" w:styleId="BQLegindent2">
    <w:name w:val="BQLeg indent 2"/>
    <w:basedOn w:val="Normal"/>
    <w:uiPriority w:val="6"/>
    <w:rsid w:val="005470A2"/>
    <w:pPr>
      <w:ind w:left="2126" w:right="567"/>
    </w:pPr>
    <w:rPr>
      <w:i/>
      <w:color w:val="4D4D4D"/>
    </w:rPr>
  </w:style>
  <w:style w:type="paragraph" w:customStyle="1" w:styleId="BQLegindent3">
    <w:name w:val="BQLeg indent 3"/>
    <w:basedOn w:val="Normal"/>
    <w:uiPriority w:val="6"/>
    <w:rsid w:val="005470A2"/>
    <w:pPr>
      <w:ind w:left="2835" w:right="567"/>
    </w:pPr>
    <w:rPr>
      <w:i/>
      <w:color w:val="4D4D4D"/>
    </w:rPr>
  </w:style>
  <w:style w:type="paragraph" w:customStyle="1" w:styleId="BQLegstyle-1">
    <w:name w:val="BQLeg style - (1)"/>
    <w:basedOn w:val="Normal"/>
    <w:uiPriority w:val="6"/>
    <w:rsid w:val="005470A2"/>
    <w:pPr>
      <w:tabs>
        <w:tab w:val="left" w:pos="1418"/>
      </w:tabs>
      <w:ind w:left="1418" w:right="567" w:hanging="851"/>
    </w:pPr>
    <w:rPr>
      <w:i/>
      <w:color w:val="4D4D4D"/>
    </w:rPr>
  </w:style>
  <w:style w:type="paragraph" w:customStyle="1" w:styleId="BQLegstyle-a">
    <w:name w:val="BQLeg style - (a)"/>
    <w:basedOn w:val="Normal"/>
    <w:uiPriority w:val="6"/>
    <w:rsid w:val="005470A2"/>
    <w:pPr>
      <w:tabs>
        <w:tab w:val="left" w:pos="2126"/>
      </w:tabs>
      <w:ind w:left="2127" w:right="567" w:hanging="709"/>
    </w:pPr>
    <w:rPr>
      <w:i/>
      <w:color w:val="4D4D4D"/>
    </w:rPr>
  </w:style>
  <w:style w:type="paragraph" w:customStyle="1" w:styleId="BQLegstyle-i">
    <w:name w:val="BQLeg style - (i)"/>
    <w:basedOn w:val="Normal"/>
    <w:uiPriority w:val="6"/>
    <w:rsid w:val="005470A2"/>
    <w:pPr>
      <w:tabs>
        <w:tab w:val="left" w:pos="2835"/>
      </w:tabs>
      <w:ind w:left="2835" w:right="567" w:hanging="709"/>
    </w:pPr>
    <w:rPr>
      <w:i/>
      <w:color w:val="4D4D4D"/>
    </w:rPr>
  </w:style>
  <w:style w:type="paragraph" w:customStyle="1" w:styleId="BQLegstyle-10">
    <w:name w:val="BQLeg style - 1"/>
    <w:basedOn w:val="Normal"/>
    <w:uiPriority w:val="6"/>
    <w:rsid w:val="005470A2"/>
    <w:pPr>
      <w:keepNext/>
      <w:tabs>
        <w:tab w:val="left" w:pos="1418"/>
      </w:tabs>
      <w:ind w:left="1418" w:right="567" w:hanging="851"/>
    </w:pPr>
    <w:rPr>
      <w:b/>
      <w:i/>
      <w:color w:val="4D4D4D"/>
    </w:rPr>
  </w:style>
  <w:style w:type="paragraph" w:customStyle="1" w:styleId="SQLegindent1">
    <w:name w:val="SQLeg indent 1"/>
    <w:basedOn w:val="Normal"/>
    <w:uiPriority w:val="6"/>
    <w:rsid w:val="000C35B0"/>
    <w:pPr>
      <w:ind w:left="1985" w:right="567"/>
    </w:pPr>
    <w:rPr>
      <w:i/>
      <w:color w:val="4D4D4D"/>
    </w:rPr>
  </w:style>
  <w:style w:type="paragraph" w:customStyle="1" w:styleId="SQLegindent2">
    <w:name w:val="SQLeg indent 2"/>
    <w:basedOn w:val="Normal"/>
    <w:uiPriority w:val="6"/>
    <w:rsid w:val="000C35B0"/>
    <w:pPr>
      <w:ind w:left="2693" w:right="567"/>
    </w:pPr>
    <w:rPr>
      <w:i/>
      <w:color w:val="4D4D4D"/>
    </w:rPr>
  </w:style>
  <w:style w:type="paragraph" w:customStyle="1" w:styleId="SQLegindent3">
    <w:name w:val="SQLeg indent 3"/>
    <w:basedOn w:val="Normal"/>
    <w:uiPriority w:val="6"/>
    <w:rsid w:val="000C35B0"/>
    <w:pPr>
      <w:ind w:left="3402" w:right="567"/>
    </w:pPr>
    <w:rPr>
      <w:i/>
      <w:color w:val="4D4D4D"/>
    </w:rPr>
  </w:style>
  <w:style w:type="paragraph" w:customStyle="1" w:styleId="SQLegstyle-1">
    <w:name w:val="SQLeg style - (1)"/>
    <w:basedOn w:val="Normal"/>
    <w:uiPriority w:val="6"/>
    <w:rsid w:val="000C35B0"/>
    <w:pPr>
      <w:tabs>
        <w:tab w:val="left" w:pos="1985"/>
      </w:tabs>
      <w:ind w:left="1985" w:right="567" w:hanging="851"/>
    </w:pPr>
    <w:rPr>
      <w:i/>
      <w:color w:val="4D4D4D"/>
    </w:rPr>
  </w:style>
  <w:style w:type="paragraph" w:customStyle="1" w:styleId="SQLegstyle-a">
    <w:name w:val="SQLeg style - (a)"/>
    <w:basedOn w:val="Normal"/>
    <w:uiPriority w:val="6"/>
    <w:rsid w:val="000C35B0"/>
    <w:pPr>
      <w:tabs>
        <w:tab w:val="left" w:pos="2693"/>
      </w:tabs>
      <w:ind w:left="2694" w:right="567" w:hanging="709"/>
    </w:pPr>
    <w:rPr>
      <w:i/>
      <w:color w:val="4D4D4D"/>
    </w:rPr>
  </w:style>
  <w:style w:type="paragraph" w:customStyle="1" w:styleId="SQLegstyle-i">
    <w:name w:val="SQLeg style - (i)"/>
    <w:basedOn w:val="Normal"/>
    <w:uiPriority w:val="6"/>
    <w:rsid w:val="000C35B0"/>
    <w:pPr>
      <w:tabs>
        <w:tab w:val="left" w:pos="3402"/>
      </w:tabs>
      <w:ind w:left="3402" w:right="567" w:hanging="709"/>
    </w:pPr>
    <w:rPr>
      <w:i/>
      <w:color w:val="4D4D4D"/>
    </w:rPr>
  </w:style>
  <w:style w:type="paragraph" w:customStyle="1" w:styleId="SQLegstyle-10">
    <w:name w:val="SQLeg style - 1"/>
    <w:basedOn w:val="Normal"/>
    <w:uiPriority w:val="6"/>
    <w:rsid w:val="004F6606"/>
    <w:pPr>
      <w:keepNext/>
      <w:tabs>
        <w:tab w:val="left" w:pos="1985"/>
      </w:tabs>
      <w:ind w:left="1985" w:right="567" w:hanging="851"/>
    </w:pPr>
    <w:rPr>
      <w:b/>
      <w:i/>
      <w:color w:val="4D4D4D"/>
    </w:rPr>
  </w:style>
  <w:style w:type="character" w:customStyle="1" w:styleId="EmphasisItalics">
    <w:name w:val="Emphasis Italics"/>
    <w:basedOn w:val="DefaultParagraphFont"/>
    <w:uiPriority w:val="2"/>
    <w:rsid w:val="001E6024"/>
    <w:rPr>
      <w:b/>
      <w:i/>
    </w:rPr>
  </w:style>
  <w:style w:type="table" w:styleId="PlainTable5">
    <w:name w:val="Plain Table 5"/>
    <w:basedOn w:val="TableNormal"/>
    <w:uiPriority w:val="45"/>
    <w:rsid w:val="00C025EF"/>
    <w:pPr>
      <w:spacing w:after="0" w:line="240" w:lineRule="auto"/>
    </w:pPr>
    <w:tblPr>
      <w:tblStyleRowBandSize w:val="1"/>
      <w:tblStyleColBandSize w:val="1"/>
      <w:tblInd w:w="0" w:type="nil"/>
    </w:tblPr>
    <w:tblStylePr w:type="firstRow">
      <w:rPr>
        <w:rFonts w:asciiTheme="majorHAnsi" w:eastAsiaTheme="majorEastAsia" w:hAnsiTheme="majorHAnsi" w:cstheme="majorBidi" w:hint="default"/>
        <w:i/>
        <w:iCs/>
        <w:sz w:val="26"/>
        <w:szCs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hint="default"/>
        <w:i/>
        <w:iCs/>
        <w:sz w:val="26"/>
        <w:szCs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hint="default"/>
        <w:i/>
        <w:iCs/>
        <w:sz w:val="26"/>
        <w:szCs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hint="default"/>
        <w:i/>
        <w:iCs/>
        <w:sz w:val="26"/>
        <w:szCs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BlockText">
    <w:name w:val="Block Text"/>
    <w:basedOn w:val="Normal"/>
    <w:uiPriority w:val="99"/>
    <w:semiHidden/>
    <w:unhideWhenUsed/>
    <w:rsid w:val="00762017"/>
    <w:pPr>
      <w:pBdr>
        <w:top w:val="single" w:sz="2" w:space="10" w:color="2BB673" w:themeColor="accent1" w:shadow="1" w:frame="1"/>
        <w:left w:val="single" w:sz="2" w:space="10" w:color="2BB673" w:themeColor="accent1" w:shadow="1" w:frame="1"/>
        <w:bottom w:val="single" w:sz="2" w:space="10" w:color="2BB673" w:themeColor="accent1" w:shadow="1" w:frame="1"/>
        <w:right w:val="single" w:sz="2" w:space="10" w:color="2BB673" w:themeColor="accent1" w:shadow="1" w:frame="1"/>
      </w:pBdr>
      <w:ind w:left="1152" w:right="1152"/>
    </w:pPr>
    <w:rPr>
      <w:rFonts w:asciiTheme="minorHAnsi" w:eastAsiaTheme="minorEastAsia" w:hAnsiTheme="minorHAnsi"/>
      <w:i/>
      <w:iCs/>
      <w:color w:val="2BB673" w:themeColor="accent1"/>
    </w:rPr>
  </w:style>
  <w:style w:type="paragraph" w:styleId="BodyText2">
    <w:name w:val="Body Text 2"/>
    <w:basedOn w:val="Normal"/>
    <w:link w:val="BodyText2Char"/>
    <w:uiPriority w:val="99"/>
    <w:unhideWhenUsed/>
    <w:rsid w:val="00762017"/>
    <w:pPr>
      <w:spacing w:after="120" w:line="480" w:lineRule="auto"/>
    </w:pPr>
  </w:style>
  <w:style w:type="character" w:customStyle="1" w:styleId="BodyText2Char">
    <w:name w:val="Body Text 2 Char"/>
    <w:basedOn w:val="DefaultParagraphFont"/>
    <w:link w:val="BodyText2"/>
    <w:uiPriority w:val="99"/>
    <w:rsid w:val="00762017"/>
    <w:rPr>
      <w:rFonts w:ascii="Calibri" w:hAnsi="Calibri"/>
      <w:color w:val="1E1E1E"/>
      <w:sz w:val="24"/>
    </w:rPr>
  </w:style>
  <w:style w:type="paragraph" w:styleId="BodyText3">
    <w:name w:val="Body Text 3"/>
    <w:basedOn w:val="Normal"/>
    <w:link w:val="BodyText3Char"/>
    <w:uiPriority w:val="99"/>
    <w:semiHidden/>
    <w:unhideWhenUsed/>
    <w:rsid w:val="00762017"/>
    <w:pPr>
      <w:spacing w:after="120"/>
    </w:pPr>
    <w:rPr>
      <w:sz w:val="16"/>
      <w:szCs w:val="16"/>
    </w:rPr>
  </w:style>
  <w:style w:type="character" w:customStyle="1" w:styleId="BodyText3Char">
    <w:name w:val="Body Text 3 Char"/>
    <w:basedOn w:val="DefaultParagraphFont"/>
    <w:link w:val="BodyText3"/>
    <w:uiPriority w:val="99"/>
    <w:semiHidden/>
    <w:rsid w:val="00762017"/>
    <w:rPr>
      <w:rFonts w:ascii="Calibri" w:hAnsi="Calibri"/>
      <w:color w:val="1E1E1E"/>
      <w:sz w:val="16"/>
      <w:szCs w:val="16"/>
    </w:rPr>
  </w:style>
  <w:style w:type="paragraph" w:styleId="BodyTextFirstIndent">
    <w:name w:val="Body Text First Indent"/>
    <w:basedOn w:val="BodyText"/>
    <w:link w:val="BodyTextFirstIndentChar"/>
    <w:uiPriority w:val="99"/>
    <w:semiHidden/>
    <w:unhideWhenUsed/>
    <w:rsid w:val="00762017"/>
    <w:pPr>
      <w:ind w:firstLine="360"/>
    </w:pPr>
  </w:style>
  <w:style w:type="character" w:customStyle="1" w:styleId="BodyTextFirstIndentChar">
    <w:name w:val="Body Text First Indent Char"/>
    <w:basedOn w:val="BodyTextChar"/>
    <w:link w:val="BodyTextFirstIndent"/>
    <w:uiPriority w:val="99"/>
    <w:semiHidden/>
    <w:rsid w:val="00762017"/>
    <w:rPr>
      <w:rFonts w:ascii="Calibri" w:hAnsi="Calibri"/>
      <w:color w:val="1E1E1E"/>
      <w:sz w:val="24"/>
    </w:rPr>
  </w:style>
  <w:style w:type="paragraph" w:styleId="BodyTextIndent">
    <w:name w:val="Body Text Indent"/>
    <w:basedOn w:val="Normal"/>
    <w:link w:val="BodyTextIndentChar"/>
    <w:uiPriority w:val="99"/>
    <w:semiHidden/>
    <w:unhideWhenUsed/>
    <w:rsid w:val="00762017"/>
    <w:pPr>
      <w:spacing w:after="120"/>
      <w:ind w:left="283"/>
    </w:pPr>
  </w:style>
  <w:style w:type="character" w:customStyle="1" w:styleId="BodyTextIndentChar">
    <w:name w:val="Body Text Indent Char"/>
    <w:basedOn w:val="DefaultParagraphFont"/>
    <w:link w:val="BodyTextIndent"/>
    <w:uiPriority w:val="99"/>
    <w:semiHidden/>
    <w:rsid w:val="00762017"/>
    <w:rPr>
      <w:rFonts w:ascii="Calibri" w:hAnsi="Calibri"/>
      <w:color w:val="1E1E1E"/>
      <w:sz w:val="24"/>
    </w:rPr>
  </w:style>
  <w:style w:type="paragraph" w:styleId="BodyTextFirstIndent2">
    <w:name w:val="Body Text First Indent 2"/>
    <w:basedOn w:val="BodyTextIndent"/>
    <w:link w:val="BodyTextFirstIndent2Char"/>
    <w:uiPriority w:val="99"/>
    <w:semiHidden/>
    <w:unhideWhenUsed/>
    <w:rsid w:val="00762017"/>
    <w:pPr>
      <w:spacing w:after="160"/>
      <w:ind w:left="360" w:firstLine="360"/>
    </w:pPr>
  </w:style>
  <w:style w:type="character" w:customStyle="1" w:styleId="BodyTextFirstIndent2Char">
    <w:name w:val="Body Text First Indent 2 Char"/>
    <w:basedOn w:val="BodyTextIndentChar"/>
    <w:link w:val="BodyTextFirstIndent2"/>
    <w:uiPriority w:val="99"/>
    <w:semiHidden/>
    <w:rsid w:val="00762017"/>
    <w:rPr>
      <w:rFonts w:ascii="Calibri" w:hAnsi="Calibri"/>
      <w:color w:val="1E1E1E"/>
      <w:sz w:val="24"/>
    </w:rPr>
  </w:style>
  <w:style w:type="paragraph" w:styleId="BodyTextIndent2">
    <w:name w:val="Body Text Indent 2"/>
    <w:basedOn w:val="Normal"/>
    <w:link w:val="BodyTextIndent2Char"/>
    <w:uiPriority w:val="99"/>
    <w:semiHidden/>
    <w:unhideWhenUsed/>
    <w:rsid w:val="00762017"/>
    <w:pPr>
      <w:spacing w:after="120" w:line="480" w:lineRule="auto"/>
      <w:ind w:left="283"/>
    </w:pPr>
  </w:style>
  <w:style w:type="character" w:customStyle="1" w:styleId="BodyTextIndent2Char">
    <w:name w:val="Body Text Indent 2 Char"/>
    <w:basedOn w:val="DefaultParagraphFont"/>
    <w:link w:val="BodyTextIndent2"/>
    <w:uiPriority w:val="99"/>
    <w:semiHidden/>
    <w:rsid w:val="00762017"/>
    <w:rPr>
      <w:rFonts w:ascii="Calibri" w:hAnsi="Calibri"/>
      <w:color w:val="1E1E1E"/>
      <w:sz w:val="24"/>
    </w:rPr>
  </w:style>
  <w:style w:type="paragraph" w:styleId="BodyTextIndent3">
    <w:name w:val="Body Text Indent 3"/>
    <w:basedOn w:val="Normal"/>
    <w:link w:val="BodyTextIndent3Char"/>
    <w:uiPriority w:val="99"/>
    <w:semiHidden/>
    <w:unhideWhenUsed/>
    <w:rsid w:val="00762017"/>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762017"/>
    <w:rPr>
      <w:rFonts w:ascii="Calibri" w:hAnsi="Calibri"/>
      <w:color w:val="1E1E1E"/>
      <w:sz w:val="16"/>
      <w:szCs w:val="16"/>
    </w:rPr>
  </w:style>
  <w:style w:type="character" w:styleId="BookTitle">
    <w:name w:val="Book Title"/>
    <w:basedOn w:val="DefaultParagraphFont"/>
    <w:uiPriority w:val="33"/>
    <w:rsid w:val="00762017"/>
    <w:rPr>
      <w:b/>
      <w:bCs/>
      <w:i/>
      <w:iCs/>
      <w:spacing w:val="5"/>
    </w:rPr>
  </w:style>
  <w:style w:type="paragraph" w:styleId="Closing">
    <w:name w:val="Closing"/>
    <w:basedOn w:val="Normal"/>
    <w:link w:val="ClosingChar"/>
    <w:uiPriority w:val="99"/>
    <w:semiHidden/>
    <w:unhideWhenUsed/>
    <w:rsid w:val="00762017"/>
    <w:pPr>
      <w:spacing w:after="0" w:line="240" w:lineRule="auto"/>
      <w:ind w:left="4252"/>
    </w:pPr>
  </w:style>
  <w:style w:type="character" w:customStyle="1" w:styleId="ClosingChar">
    <w:name w:val="Closing Char"/>
    <w:basedOn w:val="DefaultParagraphFont"/>
    <w:link w:val="Closing"/>
    <w:uiPriority w:val="99"/>
    <w:semiHidden/>
    <w:rsid w:val="00762017"/>
    <w:rPr>
      <w:rFonts w:ascii="Calibri" w:hAnsi="Calibri"/>
      <w:color w:val="1E1E1E"/>
      <w:sz w:val="24"/>
    </w:rPr>
  </w:style>
  <w:style w:type="table" w:styleId="ColorfulGrid">
    <w:name w:val="Colorful Grid"/>
    <w:basedOn w:val="TableNormal"/>
    <w:uiPriority w:val="73"/>
    <w:semiHidden/>
    <w:unhideWhenUsed/>
    <w:rsid w:val="00762017"/>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762017"/>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0F4E3" w:themeFill="accent1" w:themeFillTint="33"/>
    </w:tcPr>
    <w:tblStylePr w:type="firstRow">
      <w:rPr>
        <w:b/>
        <w:bCs/>
      </w:rPr>
      <w:tblPr/>
      <w:tcPr>
        <w:shd w:val="clear" w:color="auto" w:fill="A2E9C7" w:themeFill="accent1" w:themeFillTint="66"/>
      </w:tcPr>
    </w:tblStylePr>
    <w:tblStylePr w:type="lastRow">
      <w:rPr>
        <w:b/>
        <w:bCs/>
        <w:color w:val="000000" w:themeColor="text1"/>
      </w:rPr>
      <w:tblPr/>
      <w:tcPr>
        <w:shd w:val="clear" w:color="auto" w:fill="A2E9C7" w:themeFill="accent1" w:themeFillTint="66"/>
      </w:tcPr>
    </w:tblStylePr>
    <w:tblStylePr w:type="firstCol">
      <w:rPr>
        <w:color w:val="FFFFFF" w:themeColor="background1"/>
      </w:rPr>
      <w:tblPr/>
      <w:tcPr>
        <w:shd w:val="clear" w:color="auto" w:fill="208855" w:themeFill="accent1" w:themeFillShade="BF"/>
      </w:tcPr>
    </w:tblStylePr>
    <w:tblStylePr w:type="lastCol">
      <w:rPr>
        <w:color w:val="FFFFFF" w:themeColor="background1"/>
      </w:rPr>
      <w:tblPr/>
      <w:tcPr>
        <w:shd w:val="clear" w:color="auto" w:fill="208855" w:themeFill="accent1" w:themeFillShade="BF"/>
      </w:tcPr>
    </w:tblStylePr>
    <w:tblStylePr w:type="band1Vert">
      <w:tblPr/>
      <w:tcPr>
        <w:shd w:val="clear" w:color="auto" w:fill="8CE4B9" w:themeFill="accent1" w:themeFillTint="7F"/>
      </w:tcPr>
    </w:tblStylePr>
    <w:tblStylePr w:type="band1Horz">
      <w:tblPr/>
      <w:tcPr>
        <w:shd w:val="clear" w:color="auto" w:fill="8CE4B9" w:themeFill="accent1" w:themeFillTint="7F"/>
      </w:tcPr>
    </w:tblStylePr>
  </w:style>
  <w:style w:type="table" w:styleId="ColorfulGrid-Accent2">
    <w:name w:val="Colorful Grid Accent 2"/>
    <w:basedOn w:val="TableNormal"/>
    <w:uiPriority w:val="73"/>
    <w:semiHidden/>
    <w:unhideWhenUsed/>
    <w:rsid w:val="00762017"/>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DF7C9" w:themeFill="accent2" w:themeFillTint="33"/>
    </w:tcPr>
    <w:tblStylePr w:type="firstRow">
      <w:rPr>
        <w:b/>
        <w:bCs/>
      </w:rPr>
      <w:tblPr/>
      <w:tcPr>
        <w:shd w:val="clear" w:color="auto" w:fill="DCEF94" w:themeFill="accent2" w:themeFillTint="66"/>
      </w:tcPr>
    </w:tblStylePr>
    <w:tblStylePr w:type="lastRow">
      <w:rPr>
        <w:b/>
        <w:bCs/>
        <w:color w:val="000000" w:themeColor="text1"/>
      </w:rPr>
      <w:tblPr/>
      <w:tcPr>
        <w:shd w:val="clear" w:color="auto" w:fill="DCEF94" w:themeFill="accent2" w:themeFillTint="66"/>
      </w:tcPr>
    </w:tblStylePr>
    <w:tblStylePr w:type="firstCol">
      <w:rPr>
        <w:color w:val="FFFFFF" w:themeColor="background1"/>
      </w:rPr>
      <w:tblPr/>
      <w:tcPr>
        <w:shd w:val="clear" w:color="auto" w:fill="6D8613" w:themeFill="accent2" w:themeFillShade="BF"/>
      </w:tcPr>
    </w:tblStylePr>
    <w:tblStylePr w:type="lastCol">
      <w:rPr>
        <w:color w:val="FFFFFF" w:themeColor="background1"/>
      </w:rPr>
      <w:tblPr/>
      <w:tcPr>
        <w:shd w:val="clear" w:color="auto" w:fill="6D8613" w:themeFill="accent2" w:themeFillShade="BF"/>
      </w:tcPr>
    </w:tblStylePr>
    <w:tblStylePr w:type="band1Vert">
      <w:tblPr/>
      <w:tcPr>
        <w:shd w:val="clear" w:color="auto" w:fill="D3EB7A" w:themeFill="accent2" w:themeFillTint="7F"/>
      </w:tcPr>
    </w:tblStylePr>
    <w:tblStylePr w:type="band1Horz">
      <w:tblPr/>
      <w:tcPr>
        <w:shd w:val="clear" w:color="auto" w:fill="D3EB7A" w:themeFill="accent2" w:themeFillTint="7F"/>
      </w:tcPr>
    </w:tblStylePr>
  </w:style>
  <w:style w:type="table" w:styleId="ColorfulGrid-Accent3">
    <w:name w:val="Colorful Grid Accent 3"/>
    <w:basedOn w:val="TableNormal"/>
    <w:uiPriority w:val="73"/>
    <w:semiHidden/>
    <w:unhideWhenUsed/>
    <w:rsid w:val="00762017"/>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CE1D7" w:themeFill="accent3" w:themeFillTint="33"/>
    </w:tcPr>
    <w:tblStylePr w:type="firstRow">
      <w:rPr>
        <w:b/>
        <w:bCs/>
      </w:rPr>
      <w:tblPr/>
      <w:tcPr>
        <w:shd w:val="clear" w:color="auto" w:fill="F9C3B0" w:themeFill="accent3" w:themeFillTint="66"/>
      </w:tcPr>
    </w:tblStylePr>
    <w:tblStylePr w:type="lastRow">
      <w:rPr>
        <w:b/>
        <w:bCs/>
        <w:color w:val="000000" w:themeColor="text1"/>
      </w:rPr>
      <w:tblPr/>
      <w:tcPr>
        <w:shd w:val="clear" w:color="auto" w:fill="F9C3B0" w:themeFill="accent3" w:themeFillTint="66"/>
      </w:tcPr>
    </w:tblStylePr>
    <w:tblStylePr w:type="firstCol">
      <w:rPr>
        <w:color w:val="FFFFFF" w:themeColor="background1"/>
      </w:rPr>
      <w:tblPr/>
      <w:tcPr>
        <w:shd w:val="clear" w:color="auto" w:fill="CF4110" w:themeFill="accent3" w:themeFillShade="BF"/>
      </w:tcPr>
    </w:tblStylePr>
    <w:tblStylePr w:type="lastCol">
      <w:rPr>
        <w:color w:val="FFFFFF" w:themeColor="background1"/>
      </w:rPr>
      <w:tblPr/>
      <w:tcPr>
        <w:shd w:val="clear" w:color="auto" w:fill="CF4110" w:themeFill="accent3" w:themeFillShade="BF"/>
      </w:tcPr>
    </w:tblStylePr>
    <w:tblStylePr w:type="band1Vert">
      <w:tblPr/>
      <w:tcPr>
        <w:shd w:val="clear" w:color="auto" w:fill="F7B49D" w:themeFill="accent3" w:themeFillTint="7F"/>
      </w:tcPr>
    </w:tblStylePr>
    <w:tblStylePr w:type="band1Horz">
      <w:tblPr/>
      <w:tcPr>
        <w:shd w:val="clear" w:color="auto" w:fill="F7B49D" w:themeFill="accent3" w:themeFillTint="7F"/>
      </w:tcPr>
    </w:tblStylePr>
  </w:style>
  <w:style w:type="table" w:styleId="ColorfulGrid-Accent4">
    <w:name w:val="Colorful Grid Accent 4"/>
    <w:basedOn w:val="TableNormal"/>
    <w:uiPriority w:val="73"/>
    <w:semiHidden/>
    <w:unhideWhenUsed/>
    <w:rsid w:val="00762017"/>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9DFF4" w:themeFill="accent4" w:themeFillTint="33"/>
    </w:tcPr>
    <w:tblStylePr w:type="firstRow">
      <w:rPr>
        <w:b/>
        <w:bCs/>
      </w:rPr>
      <w:tblPr/>
      <w:tcPr>
        <w:shd w:val="clear" w:color="auto" w:fill="D4BFEA" w:themeFill="accent4" w:themeFillTint="66"/>
      </w:tcPr>
    </w:tblStylePr>
    <w:tblStylePr w:type="lastRow">
      <w:rPr>
        <w:b/>
        <w:bCs/>
        <w:color w:val="000000" w:themeColor="text1"/>
      </w:rPr>
      <w:tblPr/>
      <w:tcPr>
        <w:shd w:val="clear" w:color="auto" w:fill="D4BFEA" w:themeFill="accent4" w:themeFillTint="66"/>
      </w:tcPr>
    </w:tblStylePr>
    <w:tblStylePr w:type="firstCol">
      <w:rPr>
        <w:color w:val="FFFFFF" w:themeColor="background1"/>
      </w:rPr>
      <w:tblPr/>
      <w:tcPr>
        <w:shd w:val="clear" w:color="auto" w:fill="6E37AA" w:themeFill="accent4" w:themeFillShade="BF"/>
      </w:tcPr>
    </w:tblStylePr>
    <w:tblStylePr w:type="lastCol">
      <w:rPr>
        <w:color w:val="FFFFFF" w:themeColor="background1"/>
      </w:rPr>
      <w:tblPr/>
      <w:tcPr>
        <w:shd w:val="clear" w:color="auto" w:fill="6E37AA" w:themeFill="accent4" w:themeFillShade="BF"/>
      </w:tcPr>
    </w:tblStylePr>
    <w:tblStylePr w:type="band1Vert">
      <w:tblPr/>
      <w:tcPr>
        <w:shd w:val="clear" w:color="auto" w:fill="C9B0E5" w:themeFill="accent4" w:themeFillTint="7F"/>
      </w:tcPr>
    </w:tblStylePr>
    <w:tblStylePr w:type="band1Horz">
      <w:tblPr/>
      <w:tcPr>
        <w:shd w:val="clear" w:color="auto" w:fill="C9B0E5" w:themeFill="accent4" w:themeFillTint="7F"/>
      </w:tcPr>
    </w:tblStylePr>
  </w:style>
  <w:style w:type="table" w:styleId="ColorfulGrid-Accent5">
    <w:name w:val="Colorful Grid Accent 5"/>
    <w:basedOn w:val="TableNormal"/>
    <w:uiPriority w:val="73"/>
    <w:semiHidden/>
    <w:unhideWhenUsed/>
    <w:rsid w:val="00762017"/>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0F6FF" w:themeFill="accent5" w:themeFillTint="33"/>
    </w:tcPr>
    <w:tblStylePr w:type="firstRow">
      <w:rPr>
        <w:b/>
        <w:bCs/>
      </w:rPr>
      <w:tblPr/>
      <w:tcPr>
        <w:shd w:val="clear" w:color="auto" w:fill="82EEFF" w:themeFill="accent5" w:themeFillTint="66"/>
      </w:tcPr>
    </w:tblStylePr>
    <w:tblStylePr w:type="lastRow">
      <w:rPr>
        <w:b/>
        <w:bCs/>
        <w:color w:val="000000" w:themeColor="text1"/>
      </w:rPr>
      <w:tblPr/>
      <w:tcPr>
        <w:shd w:val="clear" w:color="auto" w:fill="82EEFF" w:themeFill="accent5" w:themeFillTint="66"/>
      </w:tcPr>
    </w:tblStylePr>
    <w:tblStylePr w:type="firstCol">
      <w:rPr>
        <w:color w:val="FFFFFF" w:themeColor="background1"/>
      </w:rPr>
      <w:tblPr/>
      <w:tcPr>
        <w:shd w:val="clear" w:color="auto" w:fill="008094" w:themeFill="accent5" w:themeFillShade="BF"/>
      </w:tcPr>
    </w:tblStylePr>
    <w:tblStylePr w:type="lastCol">
      <w:rPr>
        <w:color w:val="FFFFFF" w:themeColor="background1"/>
      </w:rPr>
      <w:tblPr/>
      <w:tcPr>
        <w:shd w:val="clear" w:color="auto" w:fill="008094" w:themeFill="accent5" w:themeFillShade="BF"/>
      </w:tcPr>
    </w:tblStylePr>
    <w:tblStylePr w:type="band1Vert">
      <w:tblPr/>
      <w:tcPr>
        <w:shd w:val="clear" w:color="auto" w:fill="63EAFF" w:themeFill="accent5" w:themeFillTint="7F"/>
      </w:tcPr>
    </w:tblStylePr>
    <w:tblStylePr w:type="band1Horz">
      <w:tblPr/>
      <w:tcPr>
        <w:shd w:val="clear" w:color="auto" w:fill="63EAFF" w:themeFill="accent5" w:themeFillTint="7F"/>
      </w:tcPr>
    </w:tblStylePr>
  </w:style>
  <w:style w:type="table" w:styleId="ColorfulGrid-Accent6">
    <w:name w:val="Colorful Grid Accent 6"/>
    <w:basedOn w:val="TableNormal"/>
    <w:uiPriority w:val="73"/>
    <w:semiHidden/>
    <w:unhideWhenUsed/>
    <w:rsid w:val="00762017"/>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EE8CD" w:themeFill="accent6" w:themeFillTint="33"/>
    </w:tcPr>
    <w:tblStylePr w:type="firstRow">
      <w:rPr>
        <w:b/>
        <w:bCs/>
      </w:rPr>
      <w:tblPr/>
      <w:tcPr>
        <w:shd w:val="clear" w:color="auto" w:fill="FED19C" w:themeFill="accent6" w:themeFillTint="66"/>
      </w:tcPr>
    </w:tblStylePr>
    <w:tblStylePr w:type="lastRow">
      <w:rPr>
        <w:b/>
        <w:bCs/>
        <w:color w:val="000000" w:themeColor="text1"/>
      </w:rPr>
      <w:tblPr/>
      <w:tcPr>
        <w:shd w:val="clear" w:color="auto" w:fill="FED19C" w:themeFill="accent6" w:themeFillTint="66"/>
      </w:tcPr>
    </w:tblStylePr>
    <w:tblStylePr w:type="firstCol">
      <w:rPr>
        <w:color w:val="FFFFFF" w:themeColor="background1"/>
      </w:rPr>
      <w:tblPr/>
      <w:tcPr>
        <w:shd w:val="clear" w:color="auto" w:fill="C36B01" w:themeFill="accent6" w:themeFillShade="BF"/>
      </w:tcPr>
    </w:tblStylePr>
    <w:tblStylePr w:type="lastCol">
      <w:rPr>
        <w:color w:val="FFFFFF" w:themeColor="background1"/>
      </w:rPr>
      <w:tblPr/>
      <w:tcPr>
        <w:shd w:val="clear" w:color="auto" w:fill="C36B01" w:themeFill="accent6" w:themeFillShade="BF"/>
      </w:tcPr>
    </w:tblStylePr>
    <w:tblStylePr w:type="band1Vert">
      <w:tblPr/>
      <w:tcPr>
        <w:shd w:val="clear" w:color="auto" w:fill="FEC684" w:themeFill="accent6" w:themeFillTint="7F"/>
      </w:tcPr>
    </w:tblStylePr>
    <w:tblStylePr w:type="band1Horz">
      <w:tblPr/>
      <w:tcPr>
        <w:shd w:val="clear" w:color="auto" w:fill="FEC684" w:themeFill="accent6" w:themeFillTint="7F"/>
      </w:tcPr>
    </w:tblStylePr>
  </w:style>
  <w:style w:type="table" w:styleId="ColorfulList">
    <w:name w:val="Colorful List"/>
    <w:basedOn w:val="TableNormal"/>
    <w:uiPriority w:val="72"/>
    <w:semiHidden/>
    <w:unhideWhenUsed/>
    <w:rsid w:val="00762017"/>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758F14" w:themeFill="accent2" w:themeFillShade="CC"/>
      </w:tcPr>
    </w:tblStylePr>
    <w:tblStylePr w:type="lastRow">
      <w:rPr>
        <w:b/>
        <w:bCs/>
        <w:color w:val="758F1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762017"/>
    <w:pPr>
      <w:spacing w:after="0" w:line="240" w:lineRule="auto"/>
    </w:pPr>
    <w:rPr>
      <w:color w:val="000000" w:themeColor="text1"/>
    </w:rPr>
    <w:tblPr>
      <w:tblStyleRowBandSize w:val="1"/>
      <w:tblStyleColBandSize w:val="1"/>
    </w:tblPr>
    <w:tcPr>
      <w:shd w:val="clear" w:color="auto" w:fill="E8F9F1" w:themeFill="accent1" w:themeFillTint="19"/>
    </w:tcPr>
    <w:tblStylePr w:type="firstRow">
      <w:rPr>
        <w:b/>
        <w:bCs/>
        <w:color w:val="FFFFFF" w:themeColor="background1"/>
      </w:rPr>
      <w:tblPr/>
      <w:tcPr>
        <w:tcBorders>
          <w:bottom w:val="single" w:sz="12" w:space="0" w:color="FFFFFF" w:themeColor="background1"/>
        </w:tcBorders>
        <w:shd w:val="clear" w:color="auto" w:fill="758F14" w:themeFill="accent2" w:themeFillShade="CC"/>
      </w:tcPr>
    </w:tblStylePr>
    <w:tblStylePr w:type="lastRow">
      <w:rPr>
        <w:b/>
        <w:bCs/>
        <w:color w:val="758F1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5F1DC" w:themeFill="accent1" w:themeFillTint="3F"/>
      </w:tcPr>
    </w:tblStylePr>
    <w:tblStylePr w:type="band1Horz">
      <w:tblPr/>
      <w:tcPr>
        <w:shd w:val="clear" w:color="auto" w:fill="D0F4E3" w:themeFill="accent1" w:themeFillTint="33"/>
      </w:tcPr>
    </w:tblStylePr>
  </w:style>
  <w:style w:type="table" w:styleId="ColorfulList-Accent2">
    <w:name w:val="Colorful List Accent 2"/>
    <w:basedOn w:val="TableNormal"/>
    <w:uiPriority w:val="72"/>
    <w:semiHidden/>
    <w:unhideWhenUsed/>
    <w:rsid w:val="00762017"/>
    <w:pPr>
      <w:spacing w:after="0" w:line="240" w:lineRule="auto"/>
    </w:pPr>
    <w:rPr>
      <w:color w:val="000000" w:themeColor="text1"/>
    </w:rPr>
    <w:tblPr>
      <w:tblStyleRowBandSize w:val="1"/>
      <w:tblStyleColBandSize w:val="1"/>
    </w:tblPr>
    <w:tcPr>
      <w:shd w:val="clear" w:color="auto" w:fill="F6FBE4" w:themeFill="accent2" w:themeFillTint="19"/>
    </w:tcPr>
    <w:tblStylePr w:type="firstRow">
      <w:rPr>
        <w:b/>
        <w:bCs/>
        <w:color w:val="FFFFFF" w:themeColor="background1"/>
      </w:rPr>
      <w:tblPr/>
      <w:tcPr>
        <w:tcBorders>
          <w:bottom w:val="single" w:sz="12" w:space="0" w:color="FFFFFF" w:themeColor="background1"/>
        </w:tcBorders>
        <w:shd w:val="clear" w:color="auto" w:fill="758F14" w:themeFill="accent2" w:themeFillShade="CC"/>
      </w:tcPr>
    </w:tblStylePr>
    <w:tblStylePr w:type="lastRow">
      <w:rPr>
        <w:b/>
        <w:bCs/>
        <w:color w:val="758F1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9F5BD" w:themeFill="accent2" w:themeFillTint="3F"/>
      </w:tcPr>
    </w:tblStylePr>
    <w:tblStylePr w:type="band1Horz">
      <w:tblPr/>
      <w:tcPr>
        <w:shd w:val="clear" w:color="auto" w:fill="EDF7C9" w:themeFill="accent2" w:themeFillTint="33"/>
      </w:tcPr>
    </w:tblStylePr>
  </w:style>
  <w:style w:type="table" w:styleId="ColorfulList-Accent3">
    <w:name w:val="Colorful List Accent 3"/>
    <w:basedOn w:val="TableNormal"/>
    <w:uiPriority w:val="72"/>
    <w:semiHidden/>
    <w:unhideWhenUsed/>
    <w:rsid w:val="00762017"/>
    <w:pPr>
      <w:spacing w:after="0" w:line="240" w:lineRule="auto"/>
    </w:pPr>
    <w:rPr>
      <w:color w:val="000000" w:themeColor="text1"/>
    </w:rPr>
    <w:tblPr>
      <w:tblStyleRowBandSize w:val="1"/>
      <w:tblStyleColBandSize w:val="1"/>
    </w:tblPr>
    <w:tcPr>
      <w:shd w:val="clear" w:color="auto" w:fill="FDF0EB" w:themeFill="accent3" w:themeFillTint="19"/>
    </w:tcPr>
    <w:tblStylePr w:type="firstRow">
      <w:rPr>
        <w:b/>
        <w:bCs/>
        <w:color w:val="FFFFFF" w:themeColor="background1"/>
      </w:rPr>
      <w:tblPr/>
      <w:tcPr>
        <w:tcBorders>
          <w:bottom w:val="single" w:sz="12" w:space="0" w:color="FFFFFF" w:themeColor="background1"/>
        </w:tcBorders>
        <w:shd w:val="clear" w:color="auto" w:fill="763AB5" w:themeFill="accent4" w:themeFillShade="CC"/>
      </w:tcPr>
    </w:tblStylePr>
    <w:tblStylePr w:type="lastRow">
      <w:rPr>
        <w:b/>
        <w:bCs/>
        <w:color w:val="763AB5"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BD9CE" w:themeFill="accent3" w:themeFillTint="3F"/>
      </w:tcPr>
    </w:tblStylePr>
    <w:tblStylePr w:type="band1Horz">
      <w:tblPr/>
      <w:tcPr>
        <w:shd w:val="clear" w:color="auto" w:fill="FCE1D7" w:themeFill="accent3" w:themeFillTint="33"/>
      </w:tcPr>
    </w:tblStylePr>
  </w:style>
  <w:style w:type="table" w:styleId="ColorfulList-Accent4">
    <w:name w:val="Colorful List Accent 4"/>
    <w:basedOn w:val="TableNormal"/>
    <w:uiPriority w:val="72"/>
    <w:semiHidden/>
    <w:unhideWhenUsed/>
    <w:rsid w:val="00762017"/>
    <w:pPr>
      <w:spacing w:after="0" w:line="240" w:lineRule="auto"/>
    </w:pPr>
    <w:rPr>
      <w:color w:val="000000" w:themeColor="text1"/>
    </w:rPr>
    <w:tblPr>
      <w:tblStyleRowBandSize w:val="1"/>
      <w:tblStyleColBandSize w:val="1"/>
    </w:tblPr>
    <w:tcPr>
      <w:shd w:val="clear" w:color="auto" w:fill="F4EFFA" w:themeFill="accent4" w:themeFillTint="19"/>
    </w:tcPr>
    <w:tblStylePr w:type="firstRow">
      <w:rPr>
        <w:b/>
        <w:bCs/>
        <w:color w:val="FFFFFF" w:themeColor="background1"/>
      </w:rPr>
      <w:tblPr/>
      <w:tcPr>
        <w:tcBorders>
          <w:bottom w:val="single" w:sz="12" w:space="0" w:color="FFFFFF" w:themeColor="background1"/>
        </w:tcBorders>
        <w:shd w:val="clear" w:color="auto" w:fill="DD4611" w:themeFill="accent3" w:themeFillShade="CC"/>
      </w:tcPr>
    </w:tblStylePr>
    <w:tblStylePr w:type="lastRow">
      <w:rPr>
        <w:b/>
        <w:bCs/>
        <w:color w:val="DD4611"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4D7F2" w:themeFill="accent4" w:themeFillTint="3F"/>
      </w:tcPr>
    </w:tblStylePr>
    <w:tblStylePr w:type="band1Horz">
      <w:tblPr/>
      <w:tcPr>
        <w:shd w:val="clear" w:color="auto" w:fill="E9DFF4" w:themeFill="accent4" w:themeFillTint="33"/>
      </w:tcPr>
    </w:tblStylePr>
  </w:style>
  <w:style w:type="table" w:styleId="ColorfulList-Accent5">
    <w:name w:val="Colorful List Accent 5"/>
    <w:basedOn w:val="TableNormal"/>
    <w:uiPriority w:val="72"/>
    <w:semiHidden/>
    <w:unhideWhenUsed/>
    <w:rsid w:val="00762017"/>
    <w:pPr>
      <w:spacing w:after="0" w:line="240" w:lineRule="auto"/>
    </w:pPr>
    <w:rPr>
      <w:color w:val="000000" w:themeColor="text1"/>
    </w:rPr>
    <w:tblPr>
      <w:tblStyleRowBandSize w:val="1"/>
      <w:tblStyleColBandSize w:val="1"/>
    </w:tblPr>
    <w:tcPr>
      <w:shd w:val="clear" w:color="auto" w:fill="E0FBFF" w:themeFill="accent5" w:themeFillTint="19"/>
    </w:tcPr>
    <w:tblStylePr w:type="firstRow">
      <w:rPr>
        <w:b/>
        <w:bCs/>
        <w:color w:val="FFFFFF" w:themeColor="background1"/>
      </w:rPr>
      <w:tblPr/>
      <w:tcPr>
        <w:tcBorders>
          <w:bottom w:val="single" w:sz="12" w:space="0" w:color="FFFFFF" w:themeColor="background1"/>
        </w:tcBorders>
        <w:shd w:val="clear" w:color="auto" w:fill="D07201" w:themeFill="accent6" w:themeFillShade="CC"/>
      </w:tcPr>
    </w:tblStylePr>
    <w:tblStylePr w:type="lastRow">
      <w:rPr>
        <w:b/>
        <w:bCs/>
        <w:color w:val="D07201"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1F4FF" w:themeFill="accent5" w:themeFillTint="3F"/>
      </w:tcPr>
    </w:tblStylePr>
    <w:tblStylePr w:type="band1Horz">
      <w:tblPr/>
      <w:tcPr>
        <w:shd w:val="clear" w:color="auto" w:fill="C0F6FF" w:themeFill="accent5" w:themeFillTint="33"/>
      </w:tcPr>
    </w:tblStylePr>
  </w:style>
  <w:style w:type="table" w:styleId="ColorfulList-Accent6">
    <w:name w:val="Colorful List Accent 6"/>
    <w:basedOn w:val="TableNormal"/>
    <w:uiPriority w:val="72"/>
    <w:semiHidden/>
    <w:unhideWhenUsed/>
    <w:rsid w:val="00762017"/>
    <w:pPr>
      <w:spacing w:after="0" w:line="240" w:lineRule="auto"/>
    </w:pPr>
    <w:rPr>
      <w:color w:val="000000" w:themeColor="text1"/>
    </w:rPr>
    <w:tblPr>
      <w:tblStyleRowBandSize w:val="1"/>
      <w:tblStyleColBandSize w:val="1"/>
    </w:tblPr>
    <w:tcPr>
      <w:shd w:val="clear" w:color="auto" w:fill="FEF3E6" w:themeFill="accent6" w:themeFillTint="19"/>
    </w:tcPr>
    <w:tblStylePr w:type="firstRow">
      <w:rPr>
        <w:b/>
        <w:bCs/>
        <w:color w:val="FFFFFF" w:themeColor="background1"/>
      </w:rPr>
      <w:tblPr/>
      <w:tcPr>
        <w:tcBorders>
          <w:bottom w:val="single" w:sz="12" w:space="0" w:color="FFFFFF" w:themeColor="background1"/>
        </w:tcBorders>
        <w:shd w:val="clear" w:color="auto" w:fill="00899E" w:themeFill="accent5" w:themeFillShade="CC"/>
      </w:tcPr>
    </w:tblStylePr>
    <w:tblStylePr w:type="lastRow">
      <w:rPr>
        <w:b/>
        <w:bCs/>
        <w:color w:val="00899E"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EE3C2" w:themeFill="accent6" w:themeFillTint="3F"/>
      </w:tcPr>
    </w:tblStylePr>
    <w:tblStylePr w:type="band1Horz">
      <w:tblPr/>
      <w:tcPr>
        <w:shd w:val="clear" w:color="auto" w:fill="FEE8CD" w:themeFill="accent6" w:themeFillTint="33"/>
      </w:tcPr>
    </w:tblStylePr>
  </w:style>
  <w:style w:type="table" w:styleId="ColorfulShading">
    <w:name w:val="Colorful Shading"/>
    <w:basedOn w:val="TableNormal"/>
    <w:uiPriority w:val="71"/>
    <w:semiHidden/>
    <w:unhideWhenUsed/>
    <w:rsid w:val="00762017"/>
    <w:pPr>
      <w:spacing w:after="0" w:line="240" w:lineRule="auto"/>
    </w:pPr>
    <w:rPr>
      <w:color w:val="000000" w:themeColor="text1"/>
    </w:rPr>
    <w:tblPr>
      <w:tblStyleRowBandSize w:val="1"/>
      <w:tblStyleColBandSize w:val="1"/>
      <w:tblBorders>
        <w:top w:val="single" w:sz="24" w:space="0" w:color="93B41A"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93B41A"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762017"/>
    <w:pPr>
      <w:spacing w:after="0" w:line="240" w:lineRule="auto"/>
    </w:pPr>
    <w:rPr>
      <w:color w:val="000000" w:themeColor="text1"/>
    </w:rPr>
    <w:tblPr>
      <w:tblStyleRowBandSize w:val="1"/>
      <w:tblStyleColBandSize w:val="1"/>
      <w:tblBorders>
        <w:top w:val="single" w:sz="24" w:space="0" w:color="93B41A" w:themeColor="accent2"/>
        <w:left w:val="single" w:sz="4" w:space="0" w:color="2BB673" w:themeColor="accent1"/>
        <w:bottom w:val="single" w:sz="4" w:space="0" w:color="2BB673" w:themeColor="accent1"/>
        <w:right w:val="single" w:sz="4" w:space="0" w:color="2BB673" w:themeColor="accent1"/>
        <w:insideH w:val="single" w:sz="4" w:space="0" w:color="FFFFFF" w:themeColor="background1"/>
        <w:insideV w:val="single" w:sz="4" w:space="0" w:color="FFFFFF" w:themeColor="background1"/>
      </w:tblBorders>
    </w:tblPr>
    <w:tcPr>
      <w:shd w:val="clear" w:color="auto" w:fill="E8F9F1" w:themeFill="accent1" w:themeFillTint="19"/>
    </w:tcPr>
    <w:tblStylePr w:type="firstRow">
      <w:rPr>
        <w:b/>
        <w:bCs/>
      </w:rPr>
      <w:tblPr/>
      <w:tcPr>
        <w:tcBorders>
          <w:top w:val="nil"/>
          <w:left w:val="nil"/>
          <w:bottom w:val="single" w:sz="24" w:space="0" w:color="93B41A"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96D44" w:themeFill="accent1" w:themeFillShade="99"/>
      </w:tcPr>
    </w:tblStylePr>
    <w:tblStylePr w:type="firstCol">
      <w:rPr>
        <w:color w:val="FFFFFF" w:themeColor="background1"/>
      </w:rPr>
      <w:tblPr/>
      <w:tcPr>
        <w:tcBorders>
          <w:top w:val="nil"/>
          <w:left w:val="nil"/>
          <w:bottom w:val="nil"/>
          <w:right w:val="nil"/>
          <w:insideH w:val="single" w:sz="4" w:space="0" w:color="196D44" w:themeColor="accent1" w:themeShade="99"/>
          <w:insideV w:val="nil"/>
        </w:tcBorders>
        <w:shd w:val="clear" w:color="auto" w:fill="196D4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196D44" w:themeFill="accent1" w:themeFillShade="99"/>
      </w:tcPr>
    </w:tblStylePr>
    <w:tblStylePr w:type="band1Vert">
      <w:tblPr/>
      <w:tcPr>
        <w:shd w:val="clear" w:color="auto" w:fill="A2E9C7" w:themeFill="accent1" w:themeFillTint="66"/>
      </w:tcPr>
    </w:tblStylePr>
    <w:tblStylePr w:type="band1Horz">
      <w:tblPr/>
      <w:tcPr>
        <w:shd w:val="clear" w:color="auto" w:fill="8CE4B9"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762017"/>
    <w:pPr>
      <w:spacing w:after="0" w:line="240" w:lineRule="auto"/>
    </w:pPr>
    <w:rPr>
      <w:color w:val="000000" w:themeColor="text1"/>
    </w:rPr>
    <w:tblPr>
      <w:tblStyleRowBandSize w:val="1"/>
      <w:tblStyleColBandSize w:val="1"/>
      <w:tblBorders>
        <w:top w:val="single" w:sz="24" w:space="0" w:color="93B41A" w:themeColor="accent2"/>
        <w:left w:val="single" w:sz="4" w:space="0" w:color="93B41A" w:themeColor="accent2"/>
        <w:bottom w:val="single" w:sz="4" w:space="0" w:color="93B41A" w:themeColor="accent2"/>
        <w:right w:val="single" w:sz="4" w:space="0" w:color="93B41A" w:themeColor="accent2"/>
        <w:insideH w:val="single" w:sz="4" w:space="0" w:color="FFFFFF" w:themeColor="background1"/>
        <w:insideV w:val="single" w:sz="4" w:space="0" w:color="FFFFFF" w:themeColor="background1"/>
      </w:tblBorders>
    </w:tblPr>
    <w:tcPr>
      <w:shd w:val="clear" w:color="auto" w:fill="F6FBE4" w:themeFill="accent2" w:themeFillTint="19"/>
    </w:tcPr>
    <w:tblStylePr w:type="firstRow">
      <w:rPr>
        <w:b/>
        <w:bCs/>
      </w:rPr>
      <w:tblPr/>
      <w:tcPr>
        <w:tcBorders>
          <w:top w:val="nil"/>
          <w:left w:val="nil"/>
          <w:bottom w:val="single" w:sz="24" w:space="0" w:color="93B41A"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76B0F" w:themeFill="accent2" w:themeFillShade="99"/>
      </w:tcPr>
    </w:tblStylePr>
    <w:tblStylePr w:type="firstCol">
      <w:rPr>
        <w:color w:val="FFFFFF" w:themeColor="background1"/>
      </w:rPr>
      <w:tblPr/>
      <w:tcPr>
        <w:tcBorders>
          <w:top w:val="nil"/>
          <w:left w:val="nil"/>
          <w:bottom w:val="nil"/>
          <w:right w:val="nil"/>
          <w:insideH w:val="single" w:sz="4" w:space="0" w:color="576B0F" w:themeColor="accent2" w:themeShade="99"/>
          <w:insideV w:val="nil"/>
        </w:tcBorders>
        <w:shd w:val="clear" w:color="auto" w:fill="576B0F"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576B0F" w:themeFill="accent2" w:themeFillShade="99"/>
      </w:tcPr>
    </w:tblStylePr>
    <w:tblStylePr w:type="band1Vert">
      <w:tblPr/>
      <w:tcPr>
        <w:shd w:val="clear" w:color="auto" w:fill="DCEF94" w:themeFill="accent2" w:themeFillTint="66"/>
      </w:tcPr>
    </w:tblStylePr>
    <w:tblStylePr w:type="band1Horz">
      <w:tblPr/>
      <w:tcPr>
        <w:shd w:val="clear" w:color="auto" w:fill="D3EB7A"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762017"/>
    <w:pPr>
      <w:spacing w:after="0" w:line="240" w:lineRule="auto"/>
    </w:pPr>
    <w:rPr>
      <w:color w:val="000000" w:themeColor="text1"/>
    </w:rPr>
    <w:tblPr>
      <w:tblStyleRowBandSize w:val="1"/>
      <w:tblStyleColBandSize w:val="1"/>
      <w:tblBorders>
        <w:top w:val="single" w:sz="24" w:space="0" w:color="9561CC" w:themeColor="accent4"/>
        <w:left w:val="single" w:sz="4" w:space="0" w:color="F06A3B" w:themeColor="accent3"/>
        <w:bottom w:val="single" w:sz="4" w:space="0" w:color="F06A3B" w:themeColor="accent3"/>
        <w:right w:val="single" w:sz="4" w:space="0" w:color="F06A3B" w:themeColor="accent3"/>
        <w:insideH w:val="single" w:sz="4" w:space="0" w:color="FFFFFF" w:themeColor="background1"/>
        <w:insideV w:val="single" w:sz="4" w:space="0" w:color="FFFFFF" w:themeColor="background1"/>
      </w:tblBorders>
    </w:tblPr>
    <w:tcPr>
      <w:shd w:val="clear" w:color="auto" w:fill="FDF0EB" w:themeFill="accent3" w:themeFillTint="19"/>
    </w:tcPr>
    <w:tblStylePr w:type="firstRow">
      <w:rPr>
        <w:b/>
        <w:bCs/>
      </w:rPr>
      <w:tblPr/>
      <w:tcPr>
        <w:tcBorders>
          <w:top w:val="nil"/>
          <w:left w:val="nil"/>
          <w:bottom w:val="single" w:sz="24" w:space="0" w:color="9561CC"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A6340C" w:themeFill="accent3" w:themeFillShade="99"/>
      </w:tcPr>
    </w:tblStylePr>
    <w:tblStylePr w:type="firstCol">
      <w:rPr>
        <w:color w:val="FFFFFF" w:themeColor="background1"/>
      </w:rPr>
      <w:tblPr/>
      <w:tcPr>
        <w:tcBorders>
          <w:top w:val="nil"/>
          <w:left w:val="nil"/>
          <w:bottom w:val="nil"/>
          <w:right w:val="nil"/>
          <w:insideH w:val="single" w:sz="4" w:space="0" w:color="A6340C" w:themeColor="accent3" w:themeShade="99"/>
          <w:insideV w:val="nil"/>
        </w:tcBorders>
        <w:shd w:val="clear" w:color="auto" w:fill="A6340C"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A6340C" w:themeFill="accent3" w:themeFillShade="99"/>
      </w:tcPr>
    </w:tblStylePr>
    <w:tblStylePr w:type="band1Vert">
      <w:tblPr/>
      <w:tcPr>
        <w:shd w:val="clear" w:color="auto" w:fill="F9C3B0" w:themeFill="accent3" w:themeFillTint="66"/>
      </w:tcPr>
    </w:tblStylePr>
    <w:tblStylePr w:type="band1Horz">
      <w:tblPr/>
      <w:tcPr>
        <w:shd w:val="clear" w:color="auto" w:fill="F7B49D" w:themeFill="accent3" w:themeFillTint="7F"/>
      </w:tcPr>
    </w:tblStylePr>
  </w:style>
  <w:style w:type="table" w:styleId="ColorfulShading-Accent4">
    <w:name w:val="Colorful Shading Accent 4"/>
    <w:basedOn w:val="TableNormal"/>
    <w:uiPriority w:val="71"/>
    <w:semiHidden/>
    <w:unhideWhenUsed/>
    <w:rsid w:val="00762017"/>
    <w:pPr>
      <w:spacing w:after="0" w:line="240" w:lineRule="auto"/>
    </w:pPr>
    <w:rPr>
      <w:color w:val="000000" w:themeColor="text1"/>
    </w:rPr>
    <w:tblPr>
      <w:tblStyleRowBandSize w:val="1"/>
      <w:tblStyleColBandSize w:val="1"/>
      <w:tblBorders>
        <w:top w:val="single" w:sz="24" w:space="0" w:color="F06A3B" w:themeColor="accent3"/>
        <w:left w:val="single" w:sz="4" w:space="0" w:color="9561CC" w:themeColor="accent4"/>
        <w:bottom w:val="single" w:sz="4" w:space="0" w:color="9561CC" w:themeColor="accent4"/>
        <w:right w:val="single" w:sz="4" w:space="0" w:color="9561CC" w:themeColor="accent4"/>
        <w:insideH w:val="single" w:sz="4" w:space="0" w:color="FFFFFF" w:themeColor="background1"/>
        <w:insideV w:val="single" w:sz="4" w:space="0" w:color="FFFFFF" w:themeColor="background1"/>
      </w:tblBorders>
    </w:tblPr>
    <w:tcPr>
      <w:shd w:val="clear" w:color="auto" w:fill="F4EFFA" w:themeFill="accent4" w:themeFillTint="19"/>
    </w:tcPr>
    <w:tblStylePr w:type="firstRow">
      <w:rPr>
        <w:b/>
        <w:bCs/>
      </w:rPr>
      <w:tblPr/>
      <w:tcPr>
        <w:tcBorders>
          <w:top w:val="nil"/>
          <w:left w:val="nil"/>
          <w:bottom w:val="single" w:sz="24" w:space="0" w:color="F06A3B"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82C88" w:themeFill="accent4" w:themeFillShade="99"/>
      </w:tcPr>
    </w:tblStylePr>
    <w:tblStylePr w:type="firstCol">
      <w:rPr>
        <w:color w:val="FFFFFF" w:themeColor="background1"/>
      </w:rPr>
      <w:tblPr/>
      <w:tcPr>
        <w:tcBorders>
          <w:top w:val="nil"/>
          <w:left w:val="nil"/>
          <w:bottom w:val="nil"/>
          <w:right w:val="nil"/>
          <w:insideH w:val="single" w:sz="4" w:space="0" w:color="582C88" w:themeColor="accent4" w:themeShade="99"/>
          <w:insideV w:val="nil"/>
        </w:tcBorders>
        <w:shd w:val="clear" w:color="auto" w:fill="582C88"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582C88" w:themeFill="accent4" w:themeFillShade="99"/>
      </w:tcPr>
    </w:tblStylePr>
    <w:tblStylePr w:type="band1Vert">
      <w:tblPr/>
      <w:tcPr>
        <w:shd w:val="clear" w:color="auto" w:fill="D4BFEA" w:themeFill="accent4" w:themeFillTint="66"/>
      </w:tcPr>
    </w:tblStylePr>
    <w:tblStylePr w:type="band1Horz">
      <w:tblPr/>
      <w:tcPr>
        <w:shd w:val="clear" w:color="auto" w:fill="C9B0E5"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762017"/>
    <w:pPr>
      <w:spacing w:after="0" w:line="240" w:lineRule="auto"/>
    </w:pPr>
    <w:rPr>
      <w:color w:val="000000" w:themeColor="text1"/>
    </w:rPr>
    <w:tblPr>
      <w:tblStyleRowBandSize w:val="1"/>
      <w:tblStyleColBandSize w:val="1"/>
      <w:tblBorders>
        <w:top w:val="single" w:sz="24" w:space="0" w:color="FD8F0A" w:themeColor="accent6"/>
        <w:left w:val="single" w:sz="4" w:space="0" w:color="00ADC6" w:themeColor="accent5"/>
        <w:bottom w:val="single" w:sz="4" w:space="0" w:color="00ADC6" w:themeColor="accent5"/>
        <w:right w:val="single" w:sz="4" w:space="0" w:color="00ADC6" w:themeColor="accent5"/>
        <w:insideH w:val="single" w:sz="4" w:space="0" w:color="FFFFFF" w:themeColor="background1"/>
        <w:insideV w:val="single" w:sz="4" w:space="0" w:color="FFFFFF" w:themeColor="background1"/>
      </w:tblBorders>
    </w:tblPr>
    <w:tcPr>
      <w:shd w:val="clear" w:color="auto" w:fill="E0FBFF" w:themeFill="accent5" w:themeFillTint="19"/>
    </w:tcPr>
    <w:tblStylePr w:type="firstRow">
      <w:rPr>
        <w:b/>
        <w:bCs/>
      </w:rPr>
      <w:tblPr/>
      <w:tcPr>
        <w:tcBorders>
          <w:top w:val="nil"/>
          <w:left w:val="nil"/>
          <w:bottom w:val="single" w:sz="24" w:space="0" w:color="FD8F0A"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6776" w:themeFill="accent5" w:themeFillShade="99"/>
      </w:tcPr>
    </w:tblStylePr>
    <w:tblStylePr w:type="firstCol">
      <w:rPr>
        <w:color w:val="FFFFFF" w:themeColor="background1"/>
      </w:rPr>
      <w:tblPr/>
      <w:tcPr>
        <w:tcBorders>
          <w:top w:val="nil"/>
          <w:left w:val="nil"/>
          <w:bottom w:val="nil"/>
          <w:right w:val="nil"/>
          <w:insideH w:val="single" w:sz="4" w:space="0" w:color="006776" w:themeColor="accent5" w:themeShade="99"/>
          <w:insideV w:val="nil"/>
        </w:tcBorders>
        <w:shd w:val="clear" w:color="auto" w:fill="006776"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006776" w:themeFill="accent5" w:themeFillShade="99"/>
      </w:tcPr>
    </w:tblStylePr>
    <w:tblStylePr w:type="band1Vert">
      <w:tblPr/>
      <w:tcPr>
        <w:shd w:val="clear" w:color="auto" w:fill="82EEFF" w:themeFill="accent5" w:themeFillTint="66"/>
      </w:tcPr>
    </w:tblStylePr>
    <w:tblStylePr w:type="band1Horz">
      <w:tblPr/>
      <w:tcPr>
        <w:shd w:val="clear" w:color="auto" w:fill="63EAF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762017"/>
    <w:pPr>
      <w:spacing w:after="0" w:line="240" w:lineRule="auto"/>
    </w:pPr>
    <w:rPr>
      <w:color w:val="000000" w:themeColor="text1"/>
    </w:rPr>
    <w:tblPr>
      <w:tblStyleRowBandSize w:val="1"/>
      <w:tblStyleColBandSize w:val="1"/>
      <w:tblBorders>
        <w:top w:val="single" w:sz="24" w:space="0" w:color="00ADC6" w:themeColor="accent5"/>
        <w:left w:val="single" w:sz="4" w:space="0" w:color="FD8F0A" w:themeColor="accent6"/>
        <w:bottom w:val="single" w:sz="4" w:space="0" w:color="FD8F0A" w:themeColor="accent6"/>
        <w:right w:val="single" w:sz="4" w:space="0" w:color="FD8F0A" w:themeColor="accent6"/>
        <w:insideH w:val="single" w:sz="4" w:space="0" w:color="FFFFFF" w:themeColor="background1"/>
        <w:insideV w:val="single" w:sz="4" w:space="0" w:color="FFFFFF" w:themeColor="background1"/>
      </w:tblBorders>
    </w:tblPr>
    <w:tcPr>
      <w:shd w:val="clear" w:color="auto" w:fill="FEF3E6" w:themeFill="accent6" w:themeFillTint="19"/>
    </w:tcPr>
    <w:tblStylePr w:type="firstRow">
      <w:rPr>
        <w:b/>
        <w:bCs/>
      </w:rPr>
      <w:tblPr/>
      <w:tcPr>
        <w:tcBorders>
          <w:top w:val="nil"/>
          <w:left w:val="nil"/>
          <w:bottom w:val="single" w:sz="24" w:space="0" w:color="00AD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C5501" w:themeFill="accent6" w:themeFillShade="99"/>
      </w:tcPr>
    </w:tblStylePr>
    <w:tblStylePr w:type="firstCol">
      <w:rPr>
        <w:color w:val="FFFFFF" w:themeColor="background1"/>
      </w:rPr>
      <w:tblPr/>
      <w:tcPr>
        <w:tcBorders>
          <w:top w:val="nil"/>
          <w:left w:val="nil"/>
          <w:bottom w:val="nil"/>
          <w:right w:val="nil"/>
          <w:insideH w:val="single" w:sz="4" w:space="0" w:color="9C5501" w:themeColor="accent6" w:themeShade="99"/>
          <w:insideV w:val="nil"/>
        </w:tcBorders>
        <w:shd w:val="clear" w:color="auto" w:fill="9C5501"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9C5501" w:themeFill="accent6" w:themeFillShade="99"/>
      </w:tcPr>
    </w:tblStylePr>
    <w:tblStylePr w:type="band1Vert">
      <w:tblPr/>
      <w:tcPr>
        <w:shd w:val="clear" w:color="auto" w:fill="FED19C" w:themeFill="accent6" w:themeFillTint="66"/>
      </w:tcPr>
    </w:tblStylePr>
    <w:tblStylePr w:type="band1Horz">
      <w:tblPr/>
      <w:tcPr>
        <w:shd w:val="clear" w:color="auto" w:fill="FEC684" w:themeFill="accent6"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semiHidden/>
    <w:unhideWhenUsed/>
    <w:rsid w:val="00762017"/>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762017"/>
    <w:pPr>
      <w:spacing w:after="0" w:line="240" w:lineRule="auto"/>
    </w:pPr>
    <w:rPr>
      <w:color w:val="FFFFFF" w:themeColor="background1"/>
    </w:rPr>
    <w:tblPr>
      <w:tblStyleRowBandSize w:val="1"/>
      <w:tblStyleColBandSize w:val="1"/>
    </w:tblPr>
    <w:tcPr>
      <w:shd w:val="clear" w:color="auto" w:fill="2BB673"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55A39"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0885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08855" w:themeFill="accent1" w:themeFillShade="BF"/>
      </w:tcPr>
    </w:tblStylePr>
    <w:tblStylePr w:type="band1Vert">
      <w:tblPr/>
      <w:tcPr>
        <w:tcBorders>
          <w:top w:val="nil"/>
          <w:left w:val="nil"/>
          <w:bottom w:val="nil"/>
          <w:right w:val="nil"/>
          <w:insideH w:val="nil"/>
          <w:insideV w:val="nil"/>
        </w:tcBorders>
        <w:shd w:val="clear" w:color="auto" w:fill="208855" w:themeFill="accent1" w:themeFillShade="BF"/>
      </w:tcPr>
    </w:tblStylePr>
    <w:tblStylePr w:type="band1Horz">
      <w:tblPr/>
      <w:tcPr>
        <w:tcBorders>
          <w:top w:val="nil"/>
          <w:left w:val="nil"/>
          <w:bottom w:val="nil"/>
          <w:right w:val="nil"/>
          <w:insideH w:val="nil"/>
          <w:insideV w:val="nil"/>
        </w:tcBorders>
        <w:shd w:val="clear" w:color="auto" w:fill="208855" w:themeFill="accent1" w:themeFillShade="BF"/>
      </w:tcPr>
    </w:tblStylePr>
  </w:style>
  <w:style w:type="table" w:styleId="DarkList-Accent2">
    <w:name w:val="Dark List Accent 2"/>
    <w:basedOn w:val="TableNormal"/>
    <w:uiPriority w:val="70"/>
    <w:semiHidden/>
    <w:unhideWhenUsed/>
    <w:rsid w:val="00762017"/>
    <w:pPr>
      <w:spacing w:after="0" w:line="240" w:lineRule="auto"/>
    </w:pPr>
    <w:rPr>
      <w:color w:val="FFFFFF" w:themeColor="background1"/>
    </w:rPr>
    <w:tblPr>
      <w:tblStyleRowBandSize w:val="1"/>
      <w:tblStyleColBandSize w:val="1"/>
    </w:tblPr>
    <w:tcPr>
      <w:shd w:val="clear" w:color="auto" w:fill="93B41A"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8590D"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6D8613"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6D8613" w:themeFill="accent2" w:themeFillShade="BF"/>
      </w:tcPr>
    </w:tblStylePr>
    <w:tblStylePr w:type="band1Vert">
      <w:tblPr/>
      <w:tcPr>
        <w:tcBorders>
          <w:top w:val="nil"/>
          <w:left w:val="nil"/>
          <w:bottom w:val="nil"/>
          <w:right w:val="nil"/>
          <w:insideH w:val="nil"/>
          <w:insideV w:val="nil"/>
        </w:tcBorders>
        <w:shd w:val="clear" w:color="auto" w:fill="6D8613" w:themeFill="accent2" w:themeFillShade="BF"/>
      </w:tcPr>
    </w:tblStylePr>
    <w:tblStylePr w:type="band1Horz">
      <w:tblPr/>
      <w:tcPr>
        <w:tcBorders>
          <w:top w:val="nil"/>
          <w:left w:val="nil"/>
          <w:bottom w:val="nil"/>
          <w:right w:val="nil"/>
          <w:insideH w:val="nil"/>
          <w:insideV w:val="nil"/>
        </w:tcBorders>
        <w:shd w:val="clear" w:color="auto" w:fill="6D8613" w:themeFill="accent2" w:themeFillShade="BF"/>
      </w:tcPr>
    </w:tblStylePr>
  </w:style>
  <w:style w:type="table" w:styleId="DarkList-Accent3">
    <w:name w:val="Dark List Accent 3"/>
    <w:basedOn w:val="TableNormal"/>
    <w:uiPriority w:val="70"/>
    <w:semiHidden/>
    <w:unhideWhenUsed/>
    <w:rsid w:val="00762017"/>
    <w:pPr>
      <w:spacing w:after="0" w:line="240" w:lineRule="auto"/>
    </w:pPr>
    <w:rPr>
      <w:color w:val="FFFFFF" w:themeColor="background1"/>
    </w:rPr>
    <w:tblPr>
      <w:tblStyleRowBandSize w:val="1"/>
      <w:tblStyleColBandSize w:val="1"/>
    </w:tblPr>
    <w:tcPr>
      <w:shd w:val="clear" w:color="auto" w:fill="F06A3B"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A2B0A"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CF4110"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CF4110" w:themeFill="accent3" w:themeFillShade="BF"/>
      </w:tcPr>
    </w:tblStylePr>
    <w:tblStylePr w:type="band1Vert">
      <w:tblPr/>
      <w:tcPr>
        <w:tcBorders>
          <w:top w:val="nil"/>
          <w:left w:val="nil"/>
          <w:bottom w:val="nil"/>
          <w:right w:val="nil"/>
          <w:insideH w:val="nil"/>
          <w:insideV w:val="nil"/>
        </w:tcBorders>
        <w:shd w:val="clear" w:color="auto" w:fill="CF4110" w:themeFill="accent3" w:themeFillShade="BF"/>
      </w:tcPr>
    </w:tblStylePr>
    <w:tblStylePr w:type="band1Horz">
      <w:tblPr/>
      <w:tcPr>
        <w:tcBorders>
          <w:top w:val="nil"/>
          <w:left w:val="nil"/>
          <w:bottom w:val="nil"/>
          <w:right w:val="nil"/>
          <w:insideH w:val="nil"/>
          <w:insideV w:val="nil"/>
        </w:tcBorders>
        <w:shd w:val="clear" w:color="auto" w:fill="CF4110" w:themeFill="accent3" w:themeFillShade="BF"/>
      </w:tcPr>
    </w:tblStylePr>
  </w:style>
  <w:style w:type="table" w:styleId="DarkList-Accent4">
    <w:name w:val="Dark List Accent 4"/>
    <w:basedOn w:val="TableNormal"/>
    <w:uiPriority w:val="70"/>
    <w:semiHidden/>
    <w:unhideWhenUsed/>
    <w:rsid w:val="00762017"/>
    <w:pPr>
      <w:spacing w:after="0" w:line="240" w:lineRule="auto"/>
    </w:pPr>
    <w:rPr>
      <w:color w:val="FFFFFF" w:themeColor="background1"/>
    </w:rPr>
    <w:tblPr>
      <w:tblStyleRowBandSize w:val="1"/>
      <w:tblStyleColBandSize w:val="1"/>
    </w:tblPr>
    <w:tcPr>
      <w:shd w:val="clear" w:color="auto" w:fill="9561CC"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9247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6E37A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6E37AA" w:themeFill="accent4" w:themeFillShade="BF"/>
      </w:tcPr>
    </w:tblStylePr>
    <w:tblStylePr w:type="band1Vert">
      <w:tblPr/>
      <w:tcPr>
        <w:tcBorders>
          <w:top w:val="nil"/>
          <w:left w:val="nil"/>
          <w:bottom w:val="nil"/>
          <w:right w:val="nil"/>
          <w:insideH w:val="nil"/>
          <w:insideV w:val="nil"/>
        </w:tcBorders>
        <w:shd w:val="clear" w:color="auto" w:fill="6E37AA" w:themeFill="accent4" w:themeFillShade="BF"/>
      </w:tcPr>
    </w:tblStylePr>
    <w:tblStylePr w:type="band1Horz">
      <w:tblPr/>
      <w:tcPr>
        <w:tcBorders>
          <w:top w:val="nil"/>
          <w:left w:val="nil"/>
          <w:bottom w:val="nil"/>
          <w:right w:val="nil"/>
          <w:insideH w:val="nil"/>
          <w:insideV w:val="nil"/>
        </w:tcBorders>
        <w:shd w:val="clear" w:color="auto" w:fill="6E37AA" w:themeFill="accent4" w:themeFillShade="BF"/>
      </w:tcPr>
    </w:tblStylePr>
  </w:style>
  <w:style w:type="table" w:styleId="DarkList-Accent5">
    <w:name w:val="Dark List Accent 5"/>
    <w:basedOn w:val="TableNormal"/>
    <w:uiPriority w:val="70"/>
    <w:semiHidden/>
    <w:unhideWhenUsed/>
    <w:rsid w:val="00762017"/>
    <w:pPr>
      <w:spacing w:after="0" w:line="240" w:lineRule="auto"/>
    </w:pPr>
    <w:rPr>
      <w:color w:val="FFFFFF" w:themeColor="background1"/>
    </w:rPr>
    <w:tblPr>
      <w:tblStyleRowBandSize w:val="1"/>
      <w:tblStyleColBandSize w:val="1"/>
    </w:tblPr>
    <w:tcPr>
      <w:shd w:val="clear" w:color="auto" w:fill="00AD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5562"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008094"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008094" w:themeFill="accent5" w:themeFillShade="BF"/>
      </w:tcPr>
    </w:tblStylePr>
    <w:tblStylePr w:type="band1Vert">
      <w:tblPr/>
      <w:tcPr>
        <w:tcBorders>
          <w:top w:val="nil"/>
          <w:left w:val="nil"/>
          <w:bottom w:val="nil"/>
          <w:right w:val="nil"/>
          <w:insideH w:val="nil"/>
          <w:insideV w:val="nil"/>
        </w:tcBorders>
        <w:shd w:val="clear" w:color="auto" w:fill="008094" w:themeFill="accent5" w:themeFillShade="BF"/>
      </w:tcPr>
    </w:tblStylePr>
    <w:tblStylePr w:type="band1Horz">
      <w:tblPr/>
      <w:tcPr>
        <w:tcBorders>
          <w:top w:val="nil"/>
          <w:left w:val="nil"/>
          <w:bottom w:val="nil"/>
          <w:right w:val="nil"/>
          <w:insideH w:val="nil"/>
          <w:insideV w:val="nil"/>
        </w:tcBorders>
        <w:shd w:val="clear" w:color="auto" w:fill="008094" w:themeFill="accent5" w:themeFillShade="BF"/>
      </w:tcPr>
    </w:tblStylePr>
  </w:style>
  <w:style w:type="table" w:styleId="DarkList-Accent6">
    <w:name w:val="Dark List Accent 6"/>
    <w:basedOn w:val="TableNormal"/>
    <w:uiPriority w:val="70"/>
    <w:semiHidden/>
    <w:unhideWhenUsed/>
    <w:rsid w:val="00762017"/>
    <w:pPr>
      <w:spacing w:after="0" w:line="240" w:lineRule="auto"/>
    </w:pPr>
    <w:rPr>
      <w:color w:val="FFFFFF" w:themeColor="background1"/>
    </w:rPr>
    <w:tblPr>
      <w:tblStyleRowBandSize w:val="1"/>
      <w:tblStyleColBandSize w:val="1"/>
    </w:tblPr>
    <w:tcPr>
      <w:shd w:val="clear" w:color="auto" w:fill="FD8F0A"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14701"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C36B01"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C36B01" w:themeFill="accent6" w:themeFillShade="BF"/>
      </w:tcPr>
    </w:tblStylePr>
    <w:tblStylePr w:type="band1Vert">
      <w:tblPr/>
      <w:tcPr>
        <w:tcBorders>
          <w:top w:val="nil"/>
          <w:left w:val="nil"/>
          <w:bottom w:val="nil"/>
          <w:right w:val="nil"/>
          <w:insideH w:val="nil"/>
          <w:insideV w:val="nil"/>
        </w:tcBorders>
        <w:shd w:val="clear" w:color="auto" w:fill="C36B01" w:themeFill="accent6" w:themeFillShade="BF"/>
      </w:tcPr>
    </w:tblStylePr>
    <w:tblStylePr w:type="band1Horz">
      <w:tblPr/>
      <w:tcPr>
        <w:tcBorders>
          <w:top w:val="nil"/>
          <w:left w:val="nil"/>
          <w:bottom w:val="nil"/>
          <w:right w:val="nil"/>
          <w:insideH w:val="nil"/>
          <w:insideV w:val="nil"/>
        </w:tcBorders>
        <w:shd w:val="clear" w:color="auto" w:fill="C36B01" w:themeFill="accent6" w:themeFillShade="BF"/>
      </w:tcPr>
    </w:tblStylePr>
  </w:style>
  <w:style w:type="paragraph" w:styleId="DocumentMap">
    <w:name w:val="Document Map"/>
    <w:basedOn w:val="Normal"/>
    <w:link w:val="DocumentMapChar"/>
    <w:uiPriority w:val="99"/>
    <w:semiHidden/>
    <w:unhideWhenUsed/>
    <w:rsid w:val="00762017"/>
    <w:pPr>
      <w:spacing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762017"/>
    <w:rPr>
      <w:rFonts w:ascii="Segoe UI" w:hAnsi="Segoe UI" w:cs="Segoe UI"/>
      <w:color w:val="1E1E1E"/>
      <w:sz w:val="16"/>
      <w:szCs w:val="16"/>
    </w:rPr>
  </w:style>
  <w:style w:type="table" w:styleId="GridTable1Light">
    <w:name w:val="Grid Table 1 Light"/>
    <w:basedOn w:val="TableNormal"/>
    <w:uiPriority w:val="46"/>
    <w:rsid w:val="0076201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762017"/>
    <w:pPr>
      <w:spacing w:after="0" w:line="240" w:lineRule="auto"/>
    </w:pPr>
    <w:tblPr>
      <w:tblStyleRowBandSize w:val="1"/>
      <w:tblStyleColBandSize w:val="1"/>
      <w:tblBorders>
        <w:top w:val="single" w:sz="4" w:space="0" w:color="A2E9C7" w:themeColor="accent1" w:themeTint="66"/>
        <w:left w:val="single" w:sz="4" w:space="0" w:color="A2E9C7" w:themeColor="accent1" w:themeTint="66"/>
        <w:bottom w:val="single" w:sz="4" w:space="0" w:color="A2E9C7" w:themeColor="accent1" w:themeTint="66"/>
        <w:right w:val="single" w:sz="4" w:space="0" w:color="A2E9C7" w:themeColor="accent1" w:themeTint="66"/>
        <w:insideH w:val="single" w:sz="4" w:space="0" w:color="A2E9C7" w:themeColor="accent1" w:themeTint="66"/>
        <w:insideV w:val="single" w:sz="4" w:space="0" w:color="A2E9C7" w:themeColor="accent1" w:themeTint="66"/>
      </w:tblBorders>
    </w:tblPr>
    <w:tblStylePr w:type="firstRow">
      <w:rPr>
        <w:b/>
        <w:bCs/>
      </w:rPr>
      <w:tblPr/>
      <w:tcPr>
        <w:tcBorders>
          <w:bottom w:val="single" w:sz="12" w:space="0" w:color="74DEAB" w:themeColor="accent1" w:themeTint="99"/>
        </w:tcBorders>
      </w:tcPr>
    </w:tblStylePr>
    <w:tblStylePr w:type="lastRow">
      <w:rPr>
        <w:b/>
        <w:bCs/>
      </w:rPr>
      <w:tblPr/>
      <w:tcPr>
        <w:tcBorders>
          <w:top w:val="double" w:sz="2" w:space="0" w:color="74DEAB"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762017"/>
    <w:pPr>
      <w:spacing w:after="0" w:line="240" w:lineRule="auto"/>
    </w:pPr>
    <w:tblPr>
      <w:tblStyleRowBandSize w:val="1"/>
      <w:tblStyleColBandSize w:val="1"/>
      <w:tblBorders>
        <w:top w:val="single" w:sz="4" w:space="0" w:color="DCEF94" w:themeColor="accent2" w:themeTint="66"/>
        <w:left w:val="single" w:sz="4" w:space="0" w:color="DCEF94" w:themeColor="accent2" w:themeTint="66"/>
        <w:bottom w:val="single" w:sz="4" w:space="0" w:color="DCEF94" w:themeColor="accent2" w:themeTint="66"/>
        <w:right w:val="single" w:sz="4" w:space="0" w:color="DCEF94" w:themeColor="accent2" w:themeTint="66"/>
        <w:insideH w:val="single" w:sz="4" w:space="0" w:color="DCEF94" w:themeColor="accent2" w:themeTint="66"/>
        <w:insideV w:val="single" w:sz="4" w:space="0" w:color="DCEF94" w:themeColor="accent2" w:themeTint="66"/>
      </w:tblBorders>
    </w:tblPr>
    <w:tblStylePr w:type="firstRow">
      <w:rPr>
        <w:b/>
        <w:bCs/>
      </w:rPr>
      <w:tblPr/>
      <w:tcPr>
        <w:tcBorders>
          <w:bottom w:val="single" w:sz="12" w:space="0" w:color="CAE85F" w:themeColor="accent2" w:themeTint="99"/>
        </w:tcBorders>
      </w:tcPr>
    </w:tblStylePr>
    <w:tblStylePr w:type="lastRow">
      <w:rPr>
        <w:b/>
        <w:bCs/>
      </w:rPr>
      <w:tblPr/>
      <w:tcPr>
        <w:tcBorders>
          <w:top w:val="double" w:sz="2" w:space="0" w:color="CAE85F"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762017"/>
    <w:pPr>
      <w:spacing w:after="0" w:line="240" w:lineRule="auto"/>
    </w:pPr>
    <w:tblPr>
      <w:tblStyleRowBandSize w:val="1"/>
      <w:tblStyleColBandSize w:val="1"/>
      <w:tblBorders>
        <w:top w:val="single" w:sz="4" w:space="0" w:color="F9C3B0" w:themeColor="accent3" w:themeTint="66"/>
        <w:left w:val="single" w:sz="4" w:space="0" w:color="F9C3B0" w:themeColor="accent3" w:themeTint="66"/>
        <w:bottom w:val="single" w:sz="4" w:space="0" w:color="F9C3B0" w:themeColor="accent3" w:themeTint="66"/>
        <w:right w:val="single" w:sz="4" w:space="0" w:color="F9C3B0" w:themeColor="accent3" w:themeTint="66"/>
        <w:insideH w:val="single" w:sz="4" w:space="0" w:color="F9C3B0" w:themeColor="accent3" w:themeTint="66"/>
        <w:insideV w:val="single" w:sz="4" w:space="0" w:color="F9C3B0" w:themeColor="accent3" w:themeTint="66"/>
      </w:tblBorders>
    </w:tblPr>
    <w:tblStylePr w:type="firstRow">
      <w:rPr>
        <w:b/>
        <w:bCs/>
      </w:rPr>
      <w:tblPr/>
      <w:tcPr>
        <w:tcBorders>
          <w:bottom w:val="single" w:sz="12" w:space="0" w:color="F6A589" w:themeColor="accent3" w:themeTint="99"/>
        </w:tcBorders>
      </w:tcPr>
    </w:tblStylePr>
    <w:tblStylePr w:type="lastRow">
      <w:rPr>
        <w:b/>
        <w:bCs/>
      </w:rPr>
      <w:tblPr/>
      <w:tcPr>
        <w:tcBorders>
          <w:top w:val="double" w:sz="2" w:space="0" w:color="F6A589"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762017"/>
    <w:pPr>
      <w:spacing w:after="0" w:line="240" w:lineRule="auto"/>
    </w:pPr>
    <w:tblPr>
      <w:tblStyleRowBandSize w:val="1"/>
      <w:tblStyleColBandSize w:val="1"/>
      <w:tblBorders>
        <w:top w:val="single" w:sz="4" w:space="0" w:color="D4BFEA" w:themeColor="accent4" w:themeTint="66"/>
        <w:left w:val="single" w:sz="4" w:space="0" w:color="D4BFEA" w:themeColor="accent4" w:themeTint="66"/>
        <w:bottom w:val="single" w:sz="4" w:space="0" w:color="D4BFEA" w:themeColor="accent4" w:themeTint="66"/>
        <w:right w:val="single" w:sz="4" w:space="0" w:color="D4BFEA" w:themeColor="accent4" w:themeTint="66"/>
        <w:insideH w:val="single" w:sz="4" w:space="0" w:color="D4BFEA" w:themeColor="accent4" w:themeTint="66"/>
        <w:insideV w:val="single" w:sz="4" w:space="0" w:color="D4BFEA" w:themeColor="accent4" w:themeTint="66"/>
      </w:tblBorders>
    </w:tblPr>
    <w:tblStylePr w:type="firstRow">
      <w:rPr>
        <w:b/>
        <w:bCs/>
      </w:rPr>
      <w:tblPr/>
      <w:tcPr>
        <w:tcBorders>
          <w:bottom w:val="single" w:sz="12" w:space="0" w:color="BFA0E0" w:themeColor="accent4" w:themeTint="99"/>
        </w:tcBorders>
      </w:tcPr>
    </w:tblStylePr>
    <w:tblStylePr w:type="lastRow">
      <w:rPr>
        <w:b/>
        <w:bCs/>
      </w:rPr>
      <w:tblPr/>
      <w:tcPr>
        <w:tcBorders>
          <w:top w:val="double" w:sz="2" w:space="0" w:color="BFA0E0"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762017"/>
    <w:pPr>
      <w:spacing w:after="0" w:line="240" w:lineRule="auto"/>
    </w:pPr>
    <w:tblPr>
      <w:tblStyleRowBandSize w:val="1"/>
      <w:tblStyleColBandSize w:val="1"/>
      <w:tblBorders>
        <w:top w:val="single" w:sz="4" w:space="0" w:color="82EEFF" w:themeColor="accent5" w:themeTint="66"/>
        <w:left w:val="single" w:sz="4" w:space="0" w:color="82EEFF" w:themeColor="accent5" w:themeTint="66"/>
        <w:bottom w:val="single" w:sz="4" w:space="0" w:color="82EEFF" w:themeColor="accent5" w:themeTint="66"/>
        <w:right w:val="single" w:sz="4" w:space="0" w:color="82EEFF" w:themeColor="accent5" w:themeTint="66"/>
        <w:insideH w:val="single" w:sz="4" w:space="0" w:color="82EEFF" w:themeColor="accent5" w:themeTint="66"/>
        <w:insideV w:val="single" w:sz="4" w:space="0" w:color="82EEFF" w:themeColor="accent5" w:themeTint="66"/>
      </w:tblBorders>
    </w:tblPr>
    <w:tblStylePr w:type="firstRow">
      <w:rPr>
        <w:b/>
        <w:bCs/>
      </w:rPr>
      <w:tblPr/>
      <w:tcPr>
        <w:tcBorders>
          <w:bottom w:val="single" w:sz="12" w:space="0" w:color="43E6FF" w:themeColor="accent5" w:themeTint="99"/>
        </w:tcBorders>
      </w:tcPr>
    </w:tblStylePr>
    <w:tblStylePr w:type="lastRow">
      <w:rPr>
        <w:b/>
        <w:bCs/>
      </w:rPr>
      <w:tblPr/>
      <w:tcPr>
        <w:tcBorders>
          <w:top w:val="double" w:sz="2" w:space="0" w:color="43E6FF"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762017"/>
    <w:pPr>
      <w:spacing w:after="0" w:line="240" w:lineRule="auto"/>
    </w:pPr>
    <w:tblPr>
      <w:tblStyleRowBandSize w:val="1"/>
      <w:tblStyleColBandSize w:val="1"/>
      <w:tblBorders>
        <w:top w:val="single" w:sz="4" w:space="0" w:color="FED19C" w:themeColor="accent6" w:themeTint="66"/>
        <w:left w:val="single" w:sz="4" w:space="0" w:color="FED19C" w:themeColor="accent6" w:themeTint="66"/>
        <w:bottom w:val="single" w:sz="4" w:space="0" w:color="FED19C" w:themeColor="accent6" w:themeTint="66"/>
        <w:right w:val="single" w:sz="4" w:space="0" w:color="FED19C" w:themeColor="accent6" w:themeTint="66"/>
        <w:insideH w:val="single" w:sz="4" w:space="0" w:color="FED19C" w:themeColor="accent6" w:themeTint="66"/>
        <w:insideV w:val="single" w:sz="4" w:space="0" w:color="FED19C" w:themeColor="accent6" w:themeTint="66"/>
      </w:tblBorders>
    </w:tblPr>
    <w:tblStylePr w:type="firstRow">
      <w:rPr>
        <w:b/>
        <w:bCs/>
      </w:rPr>
      <w:tblPr/>
      <w:tcPr>
        <w:tcBorders>
          <w:bottom w:val="single" w:sz="12" w:space="0" w:color="FDBB6B" w:themeColor="accent6" w:themeTint="99"/>
        </w:tcBorders>
      </w:tcPr>
    </w:tblStylePr>
    <w:tblStylePr w:type="lastRow">
      <w:rPr>
        <w:b/>
        <w:bCs/>
      </w:rPr>
      <w:tblPr/>
      <w:tcPr>
        <w:tcBorders>
          <w:top w:val="double" w:sz="2" w:space="0" w:color="FDBB6B"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762017"/>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762017"/>
    <w:pPr>
      <w:spacing w:after="0" w:line="240" w:lineRule="auto"/>
    </w:pPr>
    <w:tblPr>
      <w:tblStyleRowBandSize w:val="1"/>
      <w:tblStyleColBandSize w:val="1"/>
      <w:tblBorders>
        <w:top w:val="single" w:sz="2" w:space="0" w:color="74DEAB" w:themeColor="accent1" w:themeTint="99"/>
        <w:bottom w:val="single" w:sz="2" w:space="0" w:color="74DEAB" w:themeColor="accent1" w:themeTint="99"/>
        <w:insideH w:val="single" w:sz="2" w:space="0" w:color="74DEAB" w:themeColor="accent1" w:themeTint="99"/>
        <w:insideV w:val="single" w:sz="2" w:space="0" w:color="74DEAB" w:themeColor="accent1" w:themeTint="99"/>
      </w:tblBorders>
    </w:tblPr>
    <w:tblStylePr w:type="firstRow">
      <w:rPr>
        <w:b/>
        <w:bCs/>
      </w:rPr>
      <w:tblPr/>
      <w:tcPr>
        <w:tcBorders>
          <w:top w:val="nil"/>
          <w:bottom w:val="single" w:sz="12" w:space="0" w:color="74DEAB" w:themeColor="accent1" w:themeTint="99"/>
          <w:insideH w:val="nil"/>
          <w:insideV w:val="nil"/>
        </w:tcBorders>
        <w:shd w:val="clear" w:color="auto" w:fill="FFFFFF" w:themeFill="background1"/>
      </w:tcPr>
    </w:tblStylePr>
    <w:tblStylePr w:type="lastRow">
      <w:rPr>
        <w:b/>
        <w:bCs/>
      </w:rPr>
      <w:tblPr/>
      <w:tcPr>
        <w:tcBorders>
          <w:top w:val="double" w:sz="2" w:space="0" w:color="74DEA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0F4E3" w:themeFill="accent1" w:themeFillTint="33"/>
      </w:tcPr>
    </w:tblStylePr>
    <w:tblStylePr w:type="band1Horz">
      <w:tblPr/>
      <w:tcPr>
        <w:shd w:val="clear" w:color="auto" w:fill="D0F4E3" w:themeFill="accent1" w:themeFillTint="33"/>
      </w:tcPr>
    </w:tblStylePr>
  </w:style>
  <w:style w:type="table" w:styleId="GridTable2-Accent2">
    <w:name w:val="Grid Table 2 Accent 2"/>
    <w:basedOn w:val="TableNormal"/>
    <w:uiPriority w:val="47"/>
    <w:rsid w:val="00762017"/>
    <w:pPr>
      <w:spacing w:after="0" w:line="240" w:lineRule="auto"/>
    </w:pPr>
    <w:tblPr>
      <w:tblStyleRowBandSize w:val="1"/>
      <w:tblStyleColBandSize w:val="1"/>
      <w:tblBorders>
        <w:top w:val="single" w:sz="2" w:space="0" w:color="CAE85F" w:themeColor="accent2" w:themeTint="99"/>
        <w:bottom w:val="single" w:sz="2" w:space="0" w:color="CAE85F" w:themeColor="accent2" w:themeTint="99"/>
        <w:insideH w:val="single" w:sz="2" w:space="0" w:color="CAE85F" w:themeColor="accent2" w:themeTint="99"/>
        <w:insideV w:val="single" w:sz="2" w:space="0" w:color="CAE85F" w:themeColor="accent2" w:themeTint="99"/>
      </w:tblBorders>
    </w:tblPr>
    <w:tblStylePr w:type="firstRow">
      <w:rPr>
        <w:b/>
        <w:bCs/>
      </w:rPr>
      <w:tblPr/>
      <w:tcPr>
        <w:tcBorders>
          <w:top w:val="nil"/>
          <w:bottom w:val="single" w:sz="12" w:space="0" w:color="CAE85F" w:themeColor="accent2" w:themeTint="99"/>
          <w:insideH w:val="nil"/>
          <w:insideV w:val="nil"/>
        </w:tcBorders>
        <w:shd w:val="clear" w:color="auto" w:fill="FFFFFF" w:themeFill="background1"/>
      </w:tcPr>
    </w:tblStylePr>
    <w:tblStylePr w:type="lastRow">
      <w:rPr>
        <w:b/>
        <w:bCs/>
      </w:rPr>
      <w:tblPr/>
      <w:tcPr>
        <w:tcBorders>
          <w:top w:val="double" w:sz="2" w:space="0" w:color="CAE85F"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F7C9" w:themeFill="accent2" w:themeFillTint="33"/>
      </w:tcPr>
    </w:tblStylePr>
    <w:tblStylePr w:type="band1Horz">
      <w:tblPr/>
      <w:tcPr>
        <w:shd w:val="clear" w:color="auto" w:fill="EDF7C9" w:themeFill="accent2" w:themeFillTint="33"/>
      </w:tcPr>
    </w:tblStylePr>
  </w:style>
  <w:style w:type="table" w:styleId="GridTable2-Accent3">
    <w:name w:val="Grid Table 2 Accent 3"/>
    <w:basedOn w:val="TableNormal"/>
    <w:uiPriority w:val="47"/>
    <w:rsid w:val="00762017"/>
    <w:pPr>
      <w:spacing w:after="0" w:line="240" w:lineRule="auto"/>
    </w:pPr>
    <w:tblPr>
      <w:tblStyleRowBandSize w:val="1"/>
      <w:tblStyleColBandSize w:val="1"/>
      <w:tblBorders>
        <w:top w:val="single" w:sz="2" w:space="0" w:color="F6A589" w:themeColor="accent3" w:themeTint="99"/>
        <w:bottom w:val="single" w:sz="2" w:space="0" w:color="F6A589" w:themeColor="accent3" w:themeTint="99"/>
        <w:insideH w:val="single" w:sz="2" w:space="0" w:color="F6A589" w:themeColor="accent3" w:themeTint="99"/>
        <w:insideV w:val="single" w:sz="2" w:space="0" w:color="F6A589" w:themeColor="accent3" w:themeTint="99"/>
      </w:tblBorders>
    </w:tblPr>
    <w:tblStylePr w:type="firstRow">
      <w:rPr>
        <w:b/>
        <w:bCs/>
      </w:rPr>
      <w:tblPr/>
      <w:tcPr>
        <w:tcBorders>
          <w:top w:val="nil"/>
          <w:bottom w:val="single" w:sz="12" w:space="0" w:color="F6A589" w:themeColor="accent3" w:themeTint="99"/>
          <w:insideH w:val="nil"/>
          <w:insideV w:val="nil"/>
        </w:tcBorders>
        <w:shd w:val="clear" w:color="auto" w:fill="FFFFFF" w:themeFill="background1"/>
      </w:tcPr>
    </w:tblStylePr>
    <w:tblStylePr w:type="lastRow">
      <w:rPr>
        <w:b/>
        <w:bCs/>
      </w:rPr>
      <w:tblPr/>
      <w:tcPr>
        <w:tcBorders>
          <w:top w:val="double" w:sz="2" w:space="0" w:color="F6A58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E1D7" w:themeFill="accent3" w:themeFillTint="33"/>
      </w:tcPr>
    </w:tblStylePr>
    <w:tblStylePr w:type="band1Horz">
      <w:tblPr/>
      <w:tcPr>
        <w:shd w:val="clear" w:color="auto" w:fill="FCE1D7" w:themeFill="accent3" w:themeFillTint="33"/>
      </w:tcPr>
    </w:tblStylePr>
  </w:style>
  <w:style w:type="table" w:styleId="GridTable2-Accent4">
    <w:name w:val="Grid Table 2 Accent 4"/>
    <w:basedOn w:val="TableNormal"/>
    <w:uiPriority w:val="47"/>
    <w:rsid w:val="00762017"/>
    <w:pPr>
      <w:spacing w:after="0" w:line="240" w:lineRule="auto"/>
    </w:pPr>
    <w:tblPr>
      <w:tblStyleRowBandSize w:val="1"/>
      <w:tblStyleColBandSize w:val="1"/>
      <w:tblBorders>
        <w:top w:val="single" w:sz="2" w:space="0" w:color="BFA0E0" w:themeColor="accent4" w:themeTint="99"/>
        <w:bottom w:val="single" w:sz="2" w:space="0" w:color="BFA0E0" w:themeColor="accent4" w:themeTint="99"/>
        <w:insideH w:val="single" w:sz="2" w:space="0" w:color="BFA0E0" w:themeColor="accent4" w:themeTint="99"/>
        <w:insideV w:val="single" w:sz="2" w:space="0" w:color="BFA0E0" w:themeColor="accent4" w:themeTint="99"/>
      </w:tblBorders>
    </w:tblPr>
    <w:tblStylePr w:type="firstRow">
      <w:rPr>
        <w:b/>
        <w:bCs/>
      </w:rPr>
      <w:tblPr/>
      <w:tcPr>
        <w:tcBorders>
          <w:top w:val="nil"/>
          <w:bottom w:val="single" w:sz="12" w:space="0" w:color="BFA0E0" w:themeColor="accent4" w:themeTint="99"/>
          <w:insideH w:val="nil"/>
          <w:insideV w:val="nil"/>
        </w:tcBorders>
        <w:shd w:val="clear" w:color="auto" w:fill="FFFFFF" w:themeFill="background1"/>
      </w:tcPr>
    </w:tblStylePr>
    <w:tblStylePr w:type="lastRow">
      <w:rPr>
        <w:b/>
        <w:bCs/>
      </w:rPr>
      <w:tblPr/>
      <w:tcPr>
        <w:tcBorders>
          <w:top w:val="double" w:sz="2" w:space="0" w:color="BFA0E0"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9DFF4" w:themeFill="accent4" w:themeFillTint="33"/>
      </w:tcPr>
    </w:tblStylePr>
    <w:tblStylePr w:type="band1Horz">
      <w:tblPr/>
      <w:tcPr>
        <w:shd w:val="clear" w:color="auto" w:fill="E9DFF4" w:themeFill="accent4" w:themeFillTint="33"/>
      </w:tcPr>
    </w:tblStylePr>
  </w:style>
  <w:style w:type="table" w:styleId="GridTable2-Accent5">
    <w:name w:val="Grid Table 2 Accent 5"/>
    <w:basedOn w:val="TableNormal"/>
    <w:uiPriority w:val="47"/>
    <w:rsid w:val="00762017"/>
    <w:pPr>
      <w:spacing w:after="0" w:line="240" w:lineRule="auto"/>
    </w:pPr>
    <w:tblPr>
      <w:tblStyleRowBandSize w:val="1"/>
      <w:tblStyleColBandSize w:val="1"/>
      <w:tblBorders>
        <w:top w:val="single" w:sz="2" w:space="0" w:color="43E6FF" w:themeColor="accent5" w:themeTint="99"/>
        <w:bottom w:val="single" w:sz="2" w:space="0" w:color="43E6FF" w:themeColor="accent5" w:themeTint="99"/>
        <w:insideH w:val="single" w:sz="2" w:space="0" w:color="43E6FF" w:themeColor="accent5" w:themeTint="99"/>
        <w:insideV w:val="single" w:sz="2" w:space="0" w:color="43E6FF" w:themeColor="accent5" w:themeTint="99"/>
      </w:tblBorders>
    </w:tblPr>
    <w:tblStylePr w:type="firstRow">
      <w:rPr>
        <w:b/>
        <w:bCs/>
      </w:rPr>
      <w:tblPr/>
      <w:tcPr>
        <w:tcBorders>
          <w:top w:val="nil"/>
          <w:bottom w:val="single" w:sz="12" w:space="0" w:color="43E6FF" w:themeColor="accent5" w:themeTint="99"/>
          <w:insideH w:val="nil"/>
          <w:insideV w:val="nil"/>
        </w:tcBorders>
        <w:shd w:val="clear" w:color="auto" w:fill="FFFFFF" w:themeFill="background1"/>
      </w:tcPr>
    </w:tblStylePr>
    <w:tblStylePr w:type="lastRow">
      <w:rPr>
        <w:b/>
        <w:bCs/>
      </w:rPr>
      <w:tblPr/>
      <w:tcPr>
        <w:tcBorders>
          <w:top w:val="double" w:sz="2" w:space="0" w:color="43E6FF"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0F6FF" w:themeFill="accent5" w:themeFillTint="33"/>
      </w:tcPr>
    </w:tblStylePr>
    <w:tblStylePr w:type="band1Horz">
      <w:tblPr/>
      <w:tcPr>
        <w:shd w:val="clear" w:color="auto" w:fill="C0F6FF" w:themeFill="accent5" w:themeFillTint="33"/>
      </w:tcPr>
    </w:tblStylePr>
  </w:style>
  <w:style w:type="table" w:styleId="GridTable2-Accent6">
    <w:name w:val="Grid Table 2 Accent 6"/>
    <w:basedOn w:val="TableNormal"/>
    <w:uiPriority w:val="47"/>
    <w:rsid w:val="00762017"/>
    <w:pPr>
      <w:spacing w:after="0" w:line="240" w:lineRule="auto"/>
    </w:pPr>
    <w:tblPr>
      <w:tblStyleRowBandSize w:val="1"/>
      <w:tblStyleColBandSize w:val="1"/>
      <w:tblBorders>
        <w:top w:val="single" w:sz="2" w:space="0" w:color="FDBB6B" w:themeColor="accent6" w:themeTint="99"/>
        <w:bottom w:val="single" w:sz="2" w:space="0" w:color="FDBB6B" w:themeColor="accent6" w:themeTint="99"/>
        <w:insideH w:val="single" w:sz="2" w:space="0" w:color="FDBB6B" w:themeColor="accent6" w:themeTint="99"/>
        <w:insideV w:val="single" w:sz="2" w:space="0" w:color="FDBB6B" w:themeColor="accent6" w:themeTint="99"/>
      </w:tblBorders>
    </w:tblPr>
    <w:tblStylePr w:type="firstRow">
      <w:rPr>
        <w:b/>
        <w:bCs/>
      </w:rPr>
      <w:tblPr/>
      <w:tcPr>
        <w:tcBorders>
          <w:top w:val="nil"/>
          <w:bottom w:val="single" w:sz="12" w:space="0" w:color="FDBB6B" w:themeColor="accent6" w:themeTint="99"/>
          <w:insideH w:val="nil"/>
          <w:insideV w:val="nil"/>
        </w:tcBorders>
        <w:shd w:val="clear" w:color="auto" w:fill="FFFFFF" w:themeFill="background1"/>
      </w:tcPr>
    </w:tblStylePr>
    <w:tblStylePr w:type="lastRow">
      <w:rPr>
        <w:b/>
        <w:bCs/>
      </w:rPr>
      <w:tblPr/>
      <w:tcPr>
        <w:tcBorders>
          <w:top w:val="double" w:sz="2" w:space="0" w:color="FDBB6B"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EE8CD" w:themeFill="accent6" w:themeFillTint="33"/>
      </w:tcPr>
    </w:tblStylePr>
    <w:tblStylePr w:type="band1Horz">
      <w:tblPr/>
      <w:tcPr>
        <w:shd w:val="clear" w:color="auto" w:fill="FEE8CD" w:themeFill="accent6" w:themeFillTint="33"/>
      </w:tcPr>
    </w:tblStylePr>
  </w:style>
  <w:style w:type="table" w:styleId="GridTable3">
    <w:name w:val="Grid Table 3"/>
    <w:basedOn w:val="TableNormal"/>
    <w:uiPriority w:val="48"/>
    <w:rsid w:val="00762017"/>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762017"/>
    <w:pPr>
      <w:spacing w:after="0" w:line="240" w:lineRule="auto"/>
    </w:pPr>
    <w:tblPr>
      <w:tblStyleRowBandSize w:val="1"/>
      <w:tblStyleColBandSize w:val="1"/>
      <w:tblBorders>
        <w:top w:val="single" w:sz="4" w:space="0" w:color="74DEAB" w:themeColor="accent1" w:themeTint="99"/>
        <w:left w:val="single" w:sz="4" w:space="0" w:color="74DEAB" w:themeColor="accent1" w:themeTint="99"/>
        <w:bottom w:val="single" w:sz="4" w:space="0" w:color="74DEAB" w:themeColor="accent1" w:themeTint="99"/>
        <w:right w:val="single" w:sz="4" w:space="0" w:color="74DEAB" w:themeColor="accent1" w:themeTint="99"/>
        <w:insideH w:val="single" w:sz="4" w:space="0" w:color="74DEAB" w:themeColor="accent1" w:themeTint="99"/>
        <w:insideV w:val="single" w:sz="4" w:space="0" w:color="74DEA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0F4E3" w:themeFill="accent1" w:themeFillTint="33"/>
      </w:tcPr>
    </w:tblStylePr>
    <w:tblStylePr w:type="band1Horz">
      <w:tblPr/>
      <w:tcPr>
        <w:shd w:val="clear" w:color="auto" w:fill="D0F4E3" w:themeFill="accent1" w:themeFillTint="33"/>
      </w:tcPr>
    </w:tblStylePr>
    <w:tblStylePr w:type="neCell">
      <w:tblPr/>
      <w:tcPr>
        <w:tcBorders>
          <w:bottom w:val="single" w:sz="4" w:space="0" w:color="74DEAB" w:themeColor="accent1" w:themeTint="99"/>
        </w:tcBorders>
      </w:tcPr>
    </w:tblStylePr>
    <w:tblStylePr w:type="nwCell">
      <w:tblPr/>
      <w:tcPr>
        <w:tcBorders>
          <w:bottom w:val="single" w:sz="4" w:space="0" w:color="74DEAB" w:themeColor="accent1" w:themeTint="99"/>
        </w:tcBorders>
      </w:tcPr>
    </w:tblStylePr>
    <w:tblStylePr w:type="seCell">
      <w:tblPr/>
      <w:tcPr>
        <w:tcBorders>
          <w:top w:val="single" w:sz="4" w:space="0" w:color="74DEAB" w:themeColor="accent1" w:themeTint="99"/>
        </w:tcBorders>
      </w:tcPr>
    </w:tblStylePr>
    <w:tblStylePr w:type="swCell">
      <w:tblPr/>
      <w:tcPr>
        <w:tcBorders>
          <w:top w:val="single" w:sz="4" w:space="0" w:color="74DEAB" w:themeColor="accent1" w:themeTint="99"/>
        </w:tcBorders>
      </w:tcPr>
    </w:tblStylePr>
  </w:style>
  <w:style w:type="table" w:styleId="GridTable3-Accent2">
    <w:name w:val="Grid Table 3 Accent 2"/>
    <w:basedOn w:val="TableNormal"/>
    <w:uiPriority w:val="48"/>
    <w:rsid w:val="00762017"/>
    <w:pPr>
      <w:spacing w:after="0" w:line="240" w:lineRule="auto"/>
    </w:pPr>
    <w:tblPr>
      <w:tblStyleRowBandSize w:val="1"/>
      <w:tblStyleColBandSize w:val="1"/>
      <w:tblBorders>
        <w:top w:val="single" w:sz="4" w:space="0" w:color="CAE85F" w:themeColor="accent2" w:themeTint="99"/>
        <w:left w:val="single" w:sz="4" w:space="0" w:color="CAE85F" w:themeColor="accent2" w:themeTint="99"/>
        <w:bottom w:val="single" w:sz="4" w:space="0" w:color="CAE85F" w:themeColor="accent2" w:themeTint="99"/>
        <w:right w:val="single" w:sz="4" w:space="0" w:color="CAE85F" w:themeColor="accent2" w:themeTint="99"/>
        <w:insideH w:val="single" w:sz="4" w:space="0" w:color="CAE85F" w:themeColor="accent2" w:themeTint="99"/>
        <w:insideV w:val="single" w:sz="4" w:space="0" w:color="CAE85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F7C9" w:themeFill="accent2" w:themeFillTint="33"/>
      </w:tcPr>
    </w:tblStylePr>
    <w:tblStylePr w:type="band1Horz">
      <w:tblPr/>
      <w:tcPr>
        <w:shd w:val="clear" w:color="auto" w:fill="EDF7C9" w:themeFill="accent2" w:themeFillTint="33"/>
      </w:tcPr>
    </w:tblStylePr>
    <w:tblStylePr w:type="neCell">
      <w:tblPr/>
      <w:tcPr>
        <w:tcBorders>
          <w:bottom w:val="single" w:sz="4" w:space="0" w:color="CAE85F" w:themeColor="accent2" w:themeTint="99"/>
        </w:tcBorders>
      </w:tcPr>
    </w:tblStylePr>
    <w:tblStylePr w:type="nwCell">
      <w:tblPr/>
      <w:tcPr>
        <w:tcBorders>
          <w:bottom w:val="single" w:sz="4" w:space="0" w:color="CAE85F" w:themeColor="accent2" w:themeTint="99"/>
        </w:tcBorders>
      </w:tcPr>
    </w:tblStylePr>
    <w:tblStylePr w:type="seCell">
      <w:tblPr/>
      <w:tcPr>
        <w:tcBorders>
          <w:top w:val="single" w:sz="4" w:space="0" w:color="CAE85F" w:themeColor="accent2" w:themeTint="99"/>
        </w:tcBorders>
      </w:tcPr>
    </w:tblStylePr>
    <w:tblStylePr w:type="swCell">
      <w:tblPr/>
      <w:tcPr>
        <w:tcBorders>
          <w:top w:val="single" w:sz="4" w:space="0" w:color="CAE85F" w:themeColor="accent2" w:themeTint="99"/>
        </w:tcBorders>
      </w:tcPr>
    </w:tblStylePr>
  </w:style>
  <w:style w:type="table" w:styleId="GridTable3-Accent3">
    <w:name w:val="Grid Table 3 Accent 3"/>
    <w:basedOn w:val="TableNormal"/>
    <w:uiPriority w:val="48"/>
    <w:rsid w:val="00762017"/>
    <w:pPr>
      <w:spacing w:after="0" w:line="240" w:lineRule="auto"/>
    </w:pPr>
    <w:tblPr>
      <w:tblStyleRowBandSize w:val="1"/>
      <w:tblStyleColBandSize w:val="1"/>
      <w:tblBorders>
        <w:top w:val="single" w:sz="4" w:space="0" w:color="F6A589" w:themeColor="accent3" w:themeTint="99"/>
        <w:left w:val="single" w:sz="4" w:space="0" w:color="F6A589" w:themeColor="accent3" w:themeTint="99"/>
        <w:bottom w:val="single" w:sz="4" w:space="0" w:color="F6A589" w:themeColor="accent3" w:themeTint="99"/>
        <w:right w:val="single" w:sz="4" w:space="0" w:color="F6A589" w:themeColor="accent3" w:themeTint="99"/>
        <w:insideH w:val="single" w:sz="4" w:space="0" w:color="F6A589" w:themeColor="accent3" w:themeTint="99"/>
        <w:insideV w:val="single" w:sz="4" w:space="0" w:color="F6A58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E1D7" w:themeFill="accent3" w:themeFillTint="33"/>
      </w:tcPr>
    </w:tblStylePr>
    <w:tblStylePr w:type="band1Horz">
      <w:tblPr/>
      <w:tcPr>
        <w:shd w:val="clear" w:color="auto" w:fill="FCE1D7" w:themeFill="accent3" w:themeFillTint="33"/>
      </w:tcPr>
    </w:tblStylePr>
    <w:tblStylePr w:type="neCell">
      <w:tblPr/>
      <w:tcPr>
        <w:tcBorders>
          <w:bottom w:val="single" w:sz="4" w:space="0" w:color="F6A589" w:themeColor="accent3" w:themeTint="99"/>
        </w:tcBorders>
      </w:tcPr>
    </w:tblStylePr>
    <w:tblStylePr w:type="nwCell">
      <w:tblPr/>
      <w:tcPr>
        <w:tcBorders>
          <w:bottom w:val="single" w:sz="4" w:space="0" w:color="F6A589" w:themeColor="accent3" w:themeTint="99"/>
        </w:tcBorders>
      </w:tcPr>
    </w:tblStylePr>
    <w:tblStylePr w:type="seCell">
      <w:tblPr/>
      <w:tcPr>
        <w:tcBorders>
          <w:top w:val="single" w:sz="4" w:space="0" w:color="F6A589" w:themeColor="accent3" w:themeTint="99"/>
        </w:tcBorders>
      </w:tcPr>
    </w:tblStylePr>
    <w:tblStylePr w:type="swCell">
      <w:tblPr/>
      <w:tcPr>
        <w:tcBorders>
          <w:top w:val="single" w:sz="4" w:space="0" w:color="F6A589" w:themeColor="accent3" w:themeTint="99"/>
        </w:tcBorders>
      </w:tcPr>
    </w:tblStylePr>
  </w:style>
  <w:style w:type="table" w:styleId="GridTable3-Accent4">
    <w:name w:val="Grid Table 3 Accent 4"/>
    <w:basedOn w:val="TableNormal"/>
    <w:uiPriority w:val="48"/>
    <w:rsid w:val="00762017"/>
    <w:pPr>
      <w:spacing w:after="0" w:line="240" w:lineRule="auto"/>
    </w:pPr>
    <w:tblPr>
      <w:tblStyleRowBandSize w:val="1"/>
      <w:tblStyleColBandSize w:val="1"/>
      <w:tblBorders>
        <w:top w:val="single" w:sz="4" w:space="0" w:color="BFA0E0" w:themeColor="accent4" w:themeTint="99"/>
        <w:left w:val="single" w:sz="4" w:space="0" w:color="BFA0E0" w:themeColor="accent4" w:themeTint="99"/>
        <w:bottom w:val="single" w:sz="4" w:space="0" w:color="BFA0E0" w:themeColor="accent4" w:themeTint="99"/>
        <w:right w:val="single" w:sz="4" w:space="0" w:color="BFA0E0" w:themeColor="accent4" w:themeTint="99"/>
        <w:insideH w:val="single" w:sz="4" w:space="0" w:color="BFA0E0" w:themeColor="accent4" w:themeTint="99"/>
        <w:insideV w:val="single" w:sz="4" w:space="0" w:color="BFA0E0"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9DFF4" w:themeFill="accent4" w:themeFillTint="33"/>
      </w:tcPr>
    </w:tblStylePr>
    <w:tblStylePr w:type="band1Horz">
      <w:tblPr/>
      <w:tcPr>
        <w:shd w:val="clear" w:color="auto" w:fill="E9DFF4" w:themeFill="accent4" w:themeFillTint="33"/>
      </w:tcPr>
    </w:tblStylePr>
    <w:tblStylePr w:type="neCell">
      <w:tblPr/>
      <w:tcPr>
        <w:tcBorders>
          <w:bottom w:val="single" w:sz="4" w:space="0" w:color="BFA0E0" w:themeColor="accent4" w:themeTint="99"/>
        </w:tcBorders>
      </w:tcPr>
    </w:tblStylePr>
    <w:tblStylePr w:type="nwCell">
      <w:tblPr/>
      <w:tcPr>
        <w:tcBorders>
          <w:bottom w:val="single" w:sz="4" w:space="0" w:color="BFA0E0" w:themeColor="accent4" w:themeTint="99"/>
        </w:tcBorders>
      </w:tcPr>
    </w:tblStylePr>
    <w:tblStylePr w:type="seCell">
      <w:tblPr/>
      <w:tcPr>
        <w:tcBorders>
          <w:top w:val="single" w:sz="4" w:space="0" w:color="BFA0E0" w:themeColor="accent4" w:themeTint="99"/>
        </w:tcBorders>
      </w:tcPr>
    </w:tblStylePr>
    <w:tblStylePr w:type="swCell">
      <w:tblPr/>
      <w:tcPr>
        <w:tcBorders>
          <w:top w:val="single" w:sz="4" w:space="0" w:color="BFA0E0" w:themeColor="accent4" w:themeTint="99"/>
        </w:tcBorders>
      </w:tcPr>
    </w:tblStylePr>
  </w:style>
  <w:style w:type="table" w:styleId="GridTable3-Accent5">
    <w:name w:val="Grid Table 3 Accent 5"/>
    <w:basedOn w:val="TableNormal"/>
    <w:uiPriority w:val="48"/>
    <w:rsid w:val="00762017"/>
    <w:pPr>
      <w:spacing w:after="0" w:line="240" w:lineRule="auto"/>
    </w:pPr>
    <w:tblPr>
      <w:tblStyleRowBandSize w:val="1"/>
      <w:tblStyleColBandSize w:val="1"/>
      <w:tblBorders>
        <w:top w:val="single" w:sz="4" w:space="0" w:color="43E6FF" w:themeColor="accent5" w:themeTint="99"/>
        <w:left w:val="single" w:sz="4" w:space="0" w:color="43E6FF" w:themeColor="accent5" w:themeTint="99"/>
        <w:bottom w:val="single" w:sz="4" w:space="0" w:color="43E6FF" w:themeColor="accent5" w:themeTint="99"/>
        <w:right w:val="single" w:sz="4" w:space="0" w:color="43E6FF" w:themeColor="accent5" w:themeTint="99"/>
        <w:insideH w:val="single" w:sz="4" w:space="0" w:color="43E6FF" w:themeColor="accent5" w:themeTint="99"/>
        <w:insideV w:val="single" w:sz="4" w:space="0" w:color="43E6F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0F6FF" w:themeFill="accent5" w:themeFillTint="33"/>
      </w:tcPr>
    </w:tblStylePr>
    <w:tblStylePr w:type="band1Horz">
      <w:tblPr/>
      <w:tcPr>
        <w:shd w:val="clear" w:color="auto" w:fill="C0F6FF" w:themeFill="accent5" w:themeFillTint="33"/>
      </w:tcPr>
    </w:tblStylePr>
    <w:tblStylePr w:type="neCell">
      <w:tblPr/>
      <w:tcPr>
        <w:tcBorders>
          <w:bottom w:val="single" w:sz="4" w:space="0" w:color="43E6FF" w:themeColor="accent5" w:themeTint="99"/>
        </w:tcBorders>
      </w:tcPr>
    </w:tblStylePr>
    <w:tblStylePr w:type="nwCell">
      <w:tblPr/>
      <w:tcPr>
        <w:tcBorders>
          <w:bottom w:val="single" w:sz="4" w:space="0" w:color="43E6FF" w:themeColor="accent5" w:themeTint="99"/>
        </w:tcBorders>
      </w:tcPr>
    </w:tblStylePr>
    <w:tblStylePr w:type="seCell">
      <w:tblPr/>
      <w:tcPr>
        <w:tcBorders>
          <w:top w:val="single" w:sz="4" w:space="0" w:color="43E6FF" w:themeColor="accent5" w:themeTint="99"/>
        </w:tcBorders>
      </w:tcPr>
    </w:tblStylePr>
    <w:tblStylePr w:type="swCell">
      <w:tblPr/>
      <w:tcPr>
        <w:tcBorders>
          <w:top w:val="single" w:sz="4" w:space="0" w:color="43E6FF" w:themeColor="accent5" w:themeTint="99"/>
        </w:tcBorders>
      </w:tcPr>
    </w:tblStylePr>
  </w:style>
  <w:style w:type="table" w:styleId="GridTable3-Accent6">
    <w:name w:val="Grid Table 3 Accent 6"/>
    <w:basedOn w:val="TableNormal"/>
    <w:uiPriority w:val="48"/>
    <w:rsid w:val="00762017"/>
    <w:pPr>
      <w:spacing w:after="0" w:line="240" w:lineRule="auto"/>
    </w:pPr>
    <w:tblPr>
      <w:tblStyleRowBandSize w:val="1"/>
      <w:tblStyleColBandSize w:val="1"/>
      <w:tblBorders>
        <w:top w:val="single" w:sz="4" w:space="0" w:color="FDBB6B" w:themeColor="accent6" w:themeTint="99"/>
        <w:left w:val="single" w:sz="4" w:space="0" w:color="FDBB6B" w:themeColor="accent6" w:themeTint="99"/>
        <w:bottom w:val="single" w:sz="4" w:space="0" w:color="FDBB6B" w:themeColor="accent6" w:themeTint="99"/>
        <w:right w:val="single" w:sz="4" w:space="0" w:color="FDBB6B" w:themeColor="accent6" w:themeTint="99"/>
        <w:insideH w:val="single" w:sz="4" w:space="0" w:color="FDBB6B" w:themeColor="accent6" w:themeTint="99"/>
        <w:insideV w:val="single" w:sz="4" w:space="0" w:color="FDBB6B"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E8CD" w:themeFill="accent6" w:themeFillTint="33"/>
      </w:tcPr>
    </w:tblStylePr>
    <w:tblStylePr w:type="band1Horz">
      <w:tblPr/>
      <w:tcPr>
        <w:shd w:val="clear" w:color="auto" w:fill="FEE8CD" w:themeFill="accent6" w:themeFillTint="33"/>
      </w:tcPr>
    </w:tblStylePr>
    <w:tblStylePr w:type="neCell">
      <w:tblPr/>
      <w:tcPr>
        <w:tcBorders>
          <w:bottom w:val="single" w:sz="4" w:space="0" w:color="FDBB6B" w:themeColor="accent6" w:themeTint="99"/>
        </w:tcBorders>
      </w:tcPr>
    </w:tblStylePr>
    <w:tblStylePr w:type="nwCell">
      <w:tblPr/>
      <w:tcPr>
        <w:tcBorders>
          <w:bottom w:val="single" w:sz="4" w:space="0" w:color="FDBB6B" w:themeColor="accent6" w:themeTint="99"/>
        </w:tcBorders>
      </w:tcPr>
    </w:tblStylePr>
    <w:tblStylePr w:type="seCell">
      <w:tblPr/>
      <w:tcPr>
        <w:tcBorders>
          <w:top w:val="single" w:sz="4" w:space="0" w:color="FDBB6B" w:themeColor="accent6" w:themeTint="99"/>
        </w:tcBorders>
      </w:tcPr>
    </w:tblStylePr>
    <w:tblStylePr w:type="swCell">
      <w:tblPr/>
      <w:tcPr>
        <w:tcBorders>
          <w:top w:val="single" w:sz="4" w:space="0" w:color="FDBB6B" w:themeColor="accent6" w:themeTint="99"/>
        </w:tcBorders>
      </w:tcPr>
    </w:tblStylePr>
  </w:style>
  <w:style w:type="table" w:styleId="GridTable4">
    <w:name w:val="Grid Table 4"/>
    <w:basedOn w:val="TableNormal"/>
    <w:uiPriority w:val="49"/>
    <w:rsid w:val="00762017"/>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762017"/>
    <w:pPr>
      <w:spacing w:after="0" w:line="240" w:lineRule="auto"/>
    </w:pPr>
    <w:tblPr>
      <w:tblStyleRowBandSize w:val="1"/>
      <w:tblStyleColBandSize w:val="1"/>
      <w:tblBorders>
        <w:top w:val="single" w:sz="4" w:space="0" w:color="74DEAB" w:themeColor="accent1" w:themeTint="99"/>
        <w:left w:val="single" w:sz="4" w:space="0" w:color="74DEAB" w:themeColor="accent1" w:themeTint="99"/>
        <w:bottom w:val="single" w:sz="4" w:space="0" w:color="74DEAB" w:themeColor="accent1" w:themeTint="99"/>
        <w:right w:val="single" w:sz="4" w:space="0" w:color="74DEAB" w:themeColor="accent1" w:themeTint="99"/>
        <w:insideH w:val="single" w:sz="4" w:space="0" w:color="74DEAB" w:themeColor="accent1" w:themeTint="99"/>
        <w:insideV w:val="single" w:sz="4" w:space="0" w:color="74DEAB" w:themeColor="accent1" w:themeTint="99"/>
      </w:tblBorders>
    </w:tblPr>
    <w:tblStylePr w:type="firstRow">
      <w:rPr>
        <w:b/>
        <w:bCs/>
        <w:color w:val="FFFFFF" w:themeColor="background1"/>
      </w:rPr>
      <w:tblPr/>
      <w:tcPr>
        <w:tcBorders>
          <w:top w:val="single" w:sz="4" w:space="0" w:color="2BB673" w:themeColor="accent1"/>
          <w:left w:val="single" w:sz="4" w:space="0" w:color="2BB673" w:themeColor="accent1"/>
          <w:bottom w:val="single" w:sz="4" w:space="0" w:color="2BB673" w:themeColor="accent1"/>
          <w:right w:val="single" w:sz="4" w:space="0" w:color="2BB673" w:themeColor="accent1"/>
          <w:insideH w:val="nil"/>
          <w:insideV w:val="nil"/>
        </w:tcBorders>
        <w:shd w:val="clear" w:color="auto" w:fill="2BB673" w:themeFill="accent1"/>
      </w:tcPr>
    </w:tblStylePr>
    <w:tblStylePr w:type="lastRow">
      <w:rPr>
        <w:b/>
        <w:bCs/>
      </w:rPr>
      <w:tblPr/>
      <w:tcPr>
        <w:tcBorders>
          <w:top w:val="double" w:sz="4" w:space="0" w:color="2BB673" w:themeColor="accent1"/>
        </w:tcBorders>
      </w:tcPr>
    </w:tblStylePr>
    <w:tblStylePr w:type="firstCol">
      <w:rPr>
        <w:b/>
        <w:bCs/>
      </w:rPr>
    </w:tblStylePr>
    <w:tblStylePr w:type="lastCol">
      <w:rPr>
        <w:b/>
        <w:bCs/>
      </w:rPr>
    </w:tblStylePr>
    <w:tblStylePr w:type="band1Vert">
      <w:tblPr/>
      <w:tcPr>
        <w:shd w:val="clear" w:color="auto" w:fill="D0F4E3" w:themeFill="accent1" w:themeFillTint="33"/>
      </w:tcPr>
    </w:tblStylePr>
    <w:tblStylePr w:type="band1Horz">
      <w:tblPr/>
      <w:tcPr>
        <w:shd w:val="clear" w:color="auto" w:fill="D0F4E3" w:themeFill="accent1" w:themeFillTint="33"/>
      </w:tcPr>
    </w:tblStylePr>
  </w:style>
  <w:style w:type="table" w:styleId="GridTable4-Accent2">
    <w:name w:val="Grid Table 4 Accent 2"/>
    <w:basedOn w:val="TableNormal"/>
    <w:uiPriority w:val="49"/>
    <w:rsid w:val="00762017"/>
    <w:pPr>
      <w:spacing w:after="0" w:line="240" w:lineRule="auto"/>
    </w:pPr>
    <w:tblPr>
      <w:tblStyleRowBandSize w:val="1"/>
      <w:tblStyleColBandSize w:val="1"/>
      <w:tblBorders>
        <w:top w:val="single" w:sz="4" w:space="0" w:color="CAE85F" w:themeColor="accent2" w:themeTint="99"/>
        <w:left w:val="single" w:sz="4" w:space="0" w:color="CAE85F" w:themeColor="accent2" w:themeTint="99"/>
        <w:bottom w:val="single" w:sz="4" w:space="0" w:color="CAE85F" w:themeColor="accent2" w:themeTint="99"/>
        <w:right w:val="single" w:sz="4" w:space="0" w:color="CAE85F" w:themeColor="accent2" w:themeTint="99"/>
        <w:insideH w:val="single" w:sz="4" w:space="0" w:color="CAE85F" w:themeColor="accent2" w:themeTint="99"/>
        <w:insideV w:val="single" w:sz="4" w:space="0" w:color="CAE85F" w:themeColor="accent2" w:themeTint="99"/>
      </w:tblBorders>
    </w:tblPr>
    <w:tblStylePr w:type="firstRow">
      <w:rPr>
        <w:b/>
        <w:bCs/>
        <w:color w:val="FFFFFF" w:themeColor="background1"/>
      </w:rPr>
      <w:tblPr/>
      <w:tcPr>
        <w:tcBorders>
          <w:top w:val="single" w:sz="4" w:space="0" w:color="93B41A" w:themeColor="accent2"/>
          <w:left w:val="single" w:sz="4" w:space="0" w:color="93B41A" w:themeColor="accent2"/>
          <w:bottom w:val="single" w:sz="4" w:space="0" w:color="93B41A" w:themeColor="accent2"/>
          <w:right w:val="single" w:sz="4" w:space="0" w:color="93B41A" w:themeColor="accent2"/>
          <w:insideH w:val="nil"/>
          <w:insideV w:val="nil"/>
        </w:tcBorders>
        <w:shd w:val="clear" w:color="auto" w:fill="93B41A" w:themeFill="accent2"/>
      </w:tcPr>
    </w:tblStylePr>
    <w:tblStylePr w:type="lastRow">
      <w:rPr>
        <w:b/>
        <w:bCs/>
      </w:rPr>
      <w:tblPr/>
      <w:tcPr>
        <w:tcBorders>
          <w:top w:val="double" w:sz="4" w:space="0" w:color="93B41A" w:themeColor="accent2"/>
        </w:tcBorders>
      </w:tcPr>
    </w:tblStylePr>
    <w:tblStylePr w:type="firstCol">
      <w:rPr>
        <w:b/>
        <w:bCs/>
      </w:rPr>
    </w:tblStylePr>
    <w:tblStylePr w:type="lastCol">
      <w:rPr>
        <w:b/>
        <w:bCs/>
      </w:rPr>
    </w:tblStylePr>
    <w:tblStylePr w:type="band1Vert">
      <w:tblPr/>
      <w:tcPr>
        <w:shd w:val="clear" w:color="auto" w:fill="EDF7C9" w:themeFill="accent2" w:themeFillTint="33"/>
      </w:tcPr>
    </w:tblStylePr>
    <w:tblStylePr w:type="band1Horz">
      <w:tblPr/>
      <w:tcPr>
        <w:shd w:val="clear" w:color="auto" w:fill="EDF7C9" w:themeFill="accent2" w:themeFillTint="33"/>
      </w:tcPr>
    </w:tblStylePr>
  </w:style>
  <w:style w:type="table" w:styleId="GridTable4-Accent3">
    <w:name w:val="Grid Table 4 Accent 3"/>
    <w:basedOn w:val="TableNormal"/>
    <w:uiPriority w:val="49"/>
    <w:rsid w:val="00762017"/>
    <w:pPr>
      <w:spacing w:after="0" w:line="240" w:lineRule="auto"/>
    </w:pPr>
    <w:tblPr>
      <w:tblStyleRowBandSize w:val="1"/>
      <w:tblStyleColBandSize w:val="1"/>
      <w:tblBorders>
        <w:top w:val="single" w:sz="4" w:space="0" w:color="F6A589" w:themeColor="accent3" w:themeTint="99"/>
        <w:left w:val="single" w:sz="4" w:space="0" w:color="F6A589" w:themeColor="accent3" w:themeTint="99"/>
        <w:bottom w:val="single" w:sz="4" w:space="0" w:color="F6A589" w:themeColor="accent3" w:themeTint="99"/>
        <w:right w:val="single" w:sz="4" w:space="0" w:color="F6A589" w:themeColor="accent3" w:themeTint="99"/>
        <w:insideH w:val="single" w:sz="4" w:space="0" w:color="F6A589" w:themeColor="accent3" w:themeTint="99"/>
        <w:insideV w:val="single" w:sz="4" w:space="0" w:color="F6A589" w:themeColor="accent3" w:themeTint="99"/>
      </w:tblBorders>
    </w:tblPr>
    <w:tblStylePr w:type="firstRow">
      <w:rPr>
        <w:b/>
        <w:bCs/>
        <w:color w:val="FFFFFF" w:themeColor="background1"/>
      </w:rPr>
      <w:tblPr/>
      <w:tcPr>
        <w:tcBorders>
          <w:top w:val="single" w:sz="4" w:space="0" w:color="F06A3B" w:themeColor="accent3"/>
          <w:left w:val="single" w:sz="4" w:space="0" w:color="F06A3B" w:themeColor="accent3"/>
          <w:bottom w:val="single" w:sz="4" w:space="0" w:color="F06A3B" w:themeColor="accent3"/>
          <w:right w:val="single" w:sz="4" w:space="0" w:color="F06A3B" w:themeColor="accent3"/>
          <w:insideH w:val="nil"/>
          <w:insideV w:val="nil"/>
        </w:tcBorders>
        <w:shd w:val="clear" w:color="auto" w:fill="F06A3B" w:themeFill="accent3"/>
      </w:tcPr>
    </w:tblStylePr>
    <w:tblStylePr w:type="lastRow">
      <w:rPr>
        <w:b/>
        <w:bCs/>
      </w:rPr>
      <w:tblPr/>
      <w:tcPr>
        <w:tcBorders>
          <w:top w:val="double" w:sz="4" w:space="0" w:color="F06A3B" w:themeColor="accent3"/>
        </w:tcBorders>
      </w:tcPr>
    </w:tblStylePr>
    <w:tblStylePr w:type="firstCol">
      <w:rPr>
        <w:b/>
        <w:bCs/>
      </w:rPr>
    </w:tblStylePr>
    <w:tblStylePr w:type="lastCol">
      <w:rPr>
        <w:b/>
        <w:bCs/>
      </w:rPr>
    </w:tblStylePr>
    <w:tblStylePr w:type="band1Vert">
      <w:tblPr/>
      <w:tcPr>
        <w:shd w:val="clear" w:color="auto" w:fill="FCE1D7" w:themeFill="accent3" w:themeFillTint="33"/>
      </w:tcPr>
    </w:tblStylePr>
    <w:tblStylePr w:type="band1Horz">
      <w:tblPr/>
      <w:tcPr>
        <w:shd w:val="clear" w:color="auto" w:fill="FCE1D7" w:themeFill="accent3" w:themeFillTint="33"/>
      </w:tcPr>
    </w:tblStylePr>
  </w:style>
  <w:style w:type="table" w:styleId="GridTable4-Accent4">
    <w:name w:val="Grid Table 4 Accent 4"/>
    <w:basedOn w:val="TableNormal"/>
    <w:uiPriority w:val="49"/>
    <w:rsid w:val="00762017"/>
    <w:pPr>
      <w:spacing w:after="0" w:line="240" w:lineRule="auto"/>
    </w:pPr>
    <w:tblPr>
      <w:tblStyleRowBandSize w:val="1"/>
      <w:tblStyleColBandSize w:val="1"/>
      <w:tblBorders>
        <w:top w:val="single" w:sz="4" w:space="0" w:color="BFA0E0" w:themeColor="accent4" w:themeTint="99"/>
        <w:left w:val="single" w:sz="4" w:space="0" w:color="BFA0E0" w:themeColor="accent4" w:themeTint="99"/>
        <w:bottom w:val="single" w:sz="4" w:space="0" w:color="BFA0E0" w:themeColor="accent4" w:themeTint="99"/>
        <w:right w:val="single" w:sz="4" w:space="0" w:color="BFA0E0" w:themeColor="accent4" w:themeTint="99"/>
        <w:insideH w:val="single" w:sz="4" w:space="0" w:color="BFA0E0" w:themeColor="accent4" w:themeTint="99"/>
        <w:insideV w:val="single" w:sz="4" w:space="0" w:color="BFA0E0" w:themeColor="accent4" w:themeTint="99"/>
      </w:tblBorders>
    </w:tblPr>
    <w:tblStylePr w:type="firstRow">
      <w:rPr>
        <w:b/>
        <w:bCs/>
        <w:color w:val="FFFFFF" w:themeColor="background1"/>
      </w:rPr>
      <w:tblPr/>
      <w:tcPr>
        <w:tcBorders>
          <w:top w:val="single" w:sz="4" w:space="0" w:color="9561CC" w:themeColor="accent4"/>
          <w:left w:val="single" w:sz="4" w:space="0" w:color="9561CC" w:themeColor="accent4"/>
          <w:bottom w:val="single" w:sz="4" w:space="0" w:color="9561CC" w:themeColor="accent4"/>
          <w:right w:val="single" w:sz="4" w:space="0" w:color="9561CC" w:themeColor="accent4"/>
          <w:insideH w:val="nil"/>
          <w:insideV w:val="nil"/>
        </w:tcBorders>
        <w:shd w:val="clear" w:color="auto" w:fill="9561CC" w:themeFill="accent4"/>
      </w:tcPr>
    </w:tblStylePr>
    <w:tblStylePr w:type="lastRow">
      <w:rPr>
        <w:b/>
        <w:bCs/>
      </w:rPr>
      <w:tblPr/>
      <w:tcPr>
        <w:tcBorders>
          <w:top w:val="double" w:sz="4" w:space="0" w:color="9561CC" w:themeColor="accent4"/>
        </w:tcBorders>
      </w:tcPr>
    </w:tblStylePr>
    <w:tblStylePr w:type="firstCol">
      <w:rPr>
        <w:b/>
        <w:bCs/>
      </w:rPr>
    </w:tblStylePr>
    <w:tblStylePr w:type="lastCol">
      <w:rPr>
        <w:b/>
        <w:bCs/>
      </w:rPr>
    </w:tblStylePr>
    <w:tblStylePr w:type="band1Vert">
      <w:tblPr/>
      <w:tcPr>
        <w:shd w:val="clear" w:color="auto" w:fill="E9DFF4" w:themeFill="accent4" w:themeFillTint="33"/>
      </w:tcPr>
    </w:tblStylePr>
    <w:tblStylePr w:type="band1Horz">
      <w:tblPr/>
      <w:tcPr>
        <w:shd w:val="clear" w:color="auto" w:fill="E9DFF4" w:themeFill="accent4" w:themeFillTint="33"/>
      </w:tcPr>
    </w:tblStylePr>
  </w:style>
  <w:style w:type="table" w:styleId="GridTable4-Accent5">
    <w:name w:val="Grid Table 4 Accent 5"/>
    <w:basedOn w:val="TableNormal"/>
    <w:uiPriority w:val="49"/>
    <w:rsid w:val="00762017"/>
    <w:pPr>
      <w:spacing w:after="0" w:line="240" w:lineRule="auto"/>
    </w:pPr>
    <w:tblPr>
      <w:tblStyleRowBandSize w:val="1"/>
      <w:tblStyleColBandSize w:val="1"/>
      <w:tblBorders>
        <w:top w:val="single" w:sz="4" w:space="0" w:color="43E6FF" w:themeColor="accent5" w:themeTint="99"/>
        <w:left w:val="single" w:sz="4" w:space="0" w:color="43E6FF" w:themeColor="accent5" w:themeTint="99"/>
        <w:bottom w:val="single" w:sz="4" w:space="0" w:color="43E6FF" w:themeColor="accent5" w:themeTint="99"/>
        <w:right w:val="single" w:sz="4" w:space="0" w:color="43E6FF" w:themeColor="accent5" w:themeTint="99"/>
        <w:insideH w:val="single" w:sz="4" w:space="0" w:color="43E6FF" w:themeColor="accent5" w:themeTint="99"/>
        <w:insideV w:val="single" w:sz="4" w:space="0" w:color="43E6FF" w:themeColor="accent5" w:themeTint="99"/>
      </w:tblBorders>
    </w:tblPr>
    <w:tblStylePr w:type="firstRow">
      <w:rPr>
        <w:b/>
        <w:bCs/>
        <w:color w:val="FFFFFF" w:themeColor="background1"/>
      </w:rPr>
      <w:tblPr/>
      <w:tcPr>
        <w:tcBorders>
          <w:top w:val="single" w:sz="4" w:space="0" w:color="00ADC6" w:themeColor="accent5"/>
          <w:left w:val="single" w:sz="4" w:space="0" w:color="00ADC6" w:themeColor="accent5"/>
          <w:bottom w:val="single" w:sz="4" w:space="0" w:color="00ADC6" w:themeColor="accent5"/>
          <w:right w:val="single" w:sz="4" w:space="0" w:color="00ADC6" w:themeColor="accent5"/>
          <w:insideH w:val="nil"/>
          <w:insideV w:val="nil"/>
        </w:tcBorders>
        <w:shd w:val="clear" w:color="auto" w:fill="00ADC6" w:themeFill="accent5"/>
      </w:tcPr>
    </w:tblStylePr>
    <w:tblStylePr w:type="lastRow">
      <w:rPr>
        <w:b/>
        <w:bCs/>
      </w:rPr>
      <w:tblPr/>
      <w:tcPr>
        <w:tcBorders>
          <w:top w:val="double" w:sz="4" w:space="0" w:color="00ADC6" w:themeColor="accent5"/>
        </w:tcBorders>
      </w:tcPr>
    </w:tblStylePr>
    <w:tblStylePr w:type="firstCol">
      <w:rPr>
        <w:b/>
        <w:bCs/>
      </w:rPr>
    </w:tblStylePr>
    <w:tblStylePr w:type="lastCol">
      <w:rPr>
        <w:b/>
        <w:bCs/>
      </w:rPr>
    </w:tblStylePr>
    <w:tblStylePr w:type="band1Vert">
      <w:tblPr/>
      <w:tcPr>
        <w:shd w:val="clear" w:color="auto" w:fill="C0F6FF" w:themeFill="accent5" w:themeFillTint="33"/>
      </w:tcPr>
    </w:tblStylePr>
    <w:tblStylePr w:type="band1Horz">
      <w:tblPr/>
      <w:tcPr>
        <w:shd w:val="clear" w:color="auto" w:fill="C0F6FF" w:themeFill="accent5" w:themeFillTint="33"/>
      </w:tcPr>
    </w:tblStylePr>
  </w:style>
  <w:style w:type="table" w:styleId="GridTable4-Accent6">
    <w:name w:val="Grid Table 4 Accent 6"/>
    <w:basedOn w:val="TableNormal"/>
    <w:uiPriority w:val="49"/>
    <w:rsid w:val="00762017"/>
    <w:pPr>
      <w:spacing w:after="0" w:line="240" w:lineRule="auto"/>
    </w:pPr>
    <w:tblPr>
      <w:tblStyleRowBandSize w:val="1"/>
      <w:tblStyleColBandSize w:val="1"/>
      <w:tblBorders>
        <w:top w:val="single" w:sz="4" w:space="0" w:color="FDBB6B" w:themeColor="accent6" w:themeTint="99"/>
        <w:left w:val="single" w:sz="4" w:space="0" w:color="FDBB6B" w:themeColor="accent6" w:themeTint="99"/>
        <w:bottom w:val="single" w:sz="4" w:space="0" w:color="FDBB6B" w:themeColor="accent6" w:themeTint="99"/>
        <w:right w:val="single" w:sz="4" w:space="0" w:color="FDBB6B" w:themeColor="accent6" w:themeTint="99"/>
        <w:insideH w:val="single" w:sz="4" w:space="0" w:color="FDBB6B" w:themeColor="accent6" w:themeTint="99"/>
        <w:insideV w:val="single" w:sz="4" w:space="0" w:color="FDBB6B" w:themeColor="accent6" w:themeTint="99"/>
      </w:tblBorders>
    </w:tblPr>
    <w:tblStylePr w:type="firstRow">
      <w:rPr>
        <w:b/>
        <w:bCs/>
        <w:color w:val="FFFFFF" w:themeColor="background1"/>
      </w:rPr>
      <w:tblPr/>
      <w:tcPr>
        <w:tcBorders>
          <w:top w:val="single" w:sz="4" w:space="0" w:color="FD8F0A" w:themeColor="accent6"/>
          <w:left w:val="single" w:sz="4" w:space="0" w:color="FD8F0A" w:themeColor="accent6"/>
          <w:bottom w:val="single" w:sz="4" w:space="0" w:color="FD8F0A" w:themeColor="accent6"/>
          <w:right w:val="single" w:sz="4" w:space="0" w:color="FD8F0A" w:themeColor="accent6"/>
          <w:insideH w:val="nil"/>
          <w:insideV w:val="nil"/>
        </w:tcBorders>
        <w:shd w:val="clear" w:color="auto" w:fill="FD8F0A" w:themeFill="accent6"/>
      </w:tcPr>
    </w:tblStylePr>
    <w:tblStylePr w:type="lastRow">
      <w:rPr>
        <w:b/>
        <w:bCs/>
      </w:rPr>
      <w:tblPr/>
      <w:tcPr>
        <w:tcBorders>
          <w:top w:val="double" w:sz="4" w:space="0" w:color="FD8F0A" w:themeColor="accent6"/>
        </w:tcBorders>
      </w:tcPr>
    </w:tblStylePr>
    <w:tblStylePr w:type="firstCol">
      <w:rPr>
        <w:b/>
        <w:bCs/>
      </w:rPr>
    </w:tblStylePr>
    <w:tblStylePr w:type="lastCol">
      <w:rPr>
        <w:b/>
        <w:bCs/>
      </w:rPr>
    </w:tblStylePr>
    <w:tblStylePr w:type="band1Vert">
      <w:tblPr/>
      <w:tcPr>
        <w:shd w:val="clear" w:color="auto" w:fill="FEE8CD" w:themeFill="accent6" w:themeFillTint="33"/>
      </w:tcPr>
    </w:tblStylePr>
    <w:tblStylePr w:type="band1Horz">
      <w:tblPr/>
      <w:tcPr>
        <w:shd w:val="clear" w:color="auto" w:fill="FEE8CD" w:themeFill="accent6" w:themeFillTint="33"/>
      </w:tcPr>
    </w:tblStylePr>
  </w:style>
  <w:style w:type="table" w:styleId="GridTable5Dark">
    <w:name w:val="Grid Table 5 Dark"/>
    <w:basedOn w:val="TableNormal"/>
    <w:uiPriority w:val="50"/>
    <w:rsid w:val="0076201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76201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0F4E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BB673"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BB673"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BB673"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BB673" w:themeFill="accent1"/>
      </w:tcPr>
    </w:tblStylePr>
    <w:tblStylePr w:type="band1Vert">
      <w:tblPr/>
      <w:tcPr>
        <w:shd w:val="clear" w:color="auto" w:fill="A2E9C7" w:themeFill="accent1" w:themeFillTint="66"/>
      </w:tcPr>
    </w:tblStylePr>
    <w:tblStylePr w:type="band1Horz">
      <w:tblPr/>
      <w:tcPr>
        <w:shd w:val="clear" w:color="auto" w:fill="A2E9C7" w:themeFill="accent1" w:themeFillTint="66"/>
      </w:tcPr>
    </w:tblStylePr>
  </w:style>
  <w:style w:type="table" w:styleId="GridTable5Dark-Accent2">
    <w:name w:val="Grid Table 5 Dark Accent 2"/>
    <w:basedOn w:val="TableNormal"/>
    <w:uiPriority w:val="50"/>
    <w:rsid w:val="0076201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F7C9"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3B41A"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3B41A"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3B41A"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3B41A" w:themeFill="accent2"/>
      </w:tcPr>
    </w:tblStylePr>
    <w:tblStylePr w:type="band1Vert">
      <w:tblPr/>
      <w:tcPr>
        <w:shd w:val="clear" w:color="auto" w:fill="DCEF94" w:themeFill="accent2" w:themeFillTint="66"/>
      </w:tcPr>
    </w:tblStylePr>
    <w:tblStylePr w:type="band1Horz">
      <w:tblPr/>
      <w:tcPr>
        <w:shd w:val="clear" w:color="auto" w:fill="DCEF94" w:themeFill="accent2" w:themeFillTint="66"/>
      </w:tcPr>
    </w:tblStylePr>
  </w:style>
  <w:style w:type="table" w:styleId="GridTable5Dark-Accent3">
    <w:name w:val="Grid Table 5 Dark Accent 3"/>
    <w:basedOn w:val="TableNormal"/>
    <w:uiPriority w:val="50"/>
    <w:rsid w:val="0076201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CE1D7"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06A3B"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06A3B"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06A3B"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06A3B" w:themeFill="accent3"/>
      </w:tcPr>
    </w:tblStylePr>
    <w:tblStylePr w:type="band1Vert">
      <w:tblPr/>
      <w:tcPr>
        <w:shd w:val="clear" w:color="auto" w:fill="F9C3B0" w:themeFill="accent3" w:themeFillTint="66"/>
      </w:tcPr>
    </w:tblStylePr>
    <w:tblStylePr w:type="band1Horz">
      <w:tblPr/>
      <w:tcPr>
        <w:shd w:val="clear" w:color="auto" w:fill="F9C3B0" w:themeFill="accent3" w:themeFillTint="66"/>
      </w:tcPr>
    </w:tblStylePr>
  </w:style>
  <w:style w:type="table" w:styleId="GridTable5Dark-Accent4">
    <w:name w:val="Grid Table 5 Dark Accent 4"/>
    <w:basedOn w:val="TableNormal"/>
    <w:uiPriority w:val="50"/>
    <w:rsid w:val="0076201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9DFF4"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561CC"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561CC"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561CC"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561CC" w:themeFill="accent4"/>
      </w:tcPr>
    </w:tblStylePr>
    <w:tblStylePr w:type="band1Vert">
      <w:tblPr/>
      <w:tcPr>
        <w:shd w:val="clear" w:color="auto" w:fill="D4BFEA" w:themeFill="accent4" w:themeFillTint="66"/>
      </w:tcPr>
    </w:tblStylePr>
    <w:tblStylePr w:type="band1Horz">
      <w:tblPr/>
      <w:tcPr>
        <w:shd w:val="clear" w:color="auto" w:fill="D4BFEA" w:themeFill="accent4" w:themeFillTint="66"/>
      </w:tcPr>
    </w:tblStylePr>
  </w:style>
  <w:style w:type="table" w:styleId="GridTable5Dark-Accent5">
    <w:name w:val="Grid Table 5 Dark Accent 5"/>
    <w:basedOn w:val="TableNormal"/>
    <w:uiPriority w:val="50"/>
    <w:rsid w:val="0076201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0F6FF"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AD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AD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AD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ADC6" w:themeFill="accent5"/>
      </w:tcPr>
    </w:tblStylePr>
    <w:tblStylePr w:type="band1Vert">
      <w:tblPr/>
      <w:tcPr>
        <w:shd w:val="clear" w:color="auto" w:fill="82EEFF" w:themeFill="accent5" w:themeFillTint="66"/>
      </w:tcPr>
    </w:tblStylePr>
    <w:tblStylePr w:type="band1Horz">
      <w:tblPr/>
      <w:tcPr>
        <w:shd w:val="clear" w:color="auto" w:fill="82EEFF" w:themeFill="accent5" w:themeFillTint="66"/>
      </w:tcPr>
    </w:tblStylePr>
  </w:style>
  <w:style w:type="table" w:styleId="GridTable5Dark-Accent6">
    <w:name w:val="Grid Table 5 Dark Accent 6"/>
    <w:basedOn w:val="TableNormal"/>
    <w:uiPriority w:val="50"/>
    <w:rsid w:val="0076201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EE8CD"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D8F0A"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D8F0A"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D8F0A"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D8F0A" w:themeFill="accent6"/>
      </w:tcPr>
    </w:tblStylePr>
    <w:tblStylePr w:type="band1Vert">
      <w:tblPr/>
      <w:tcPr>
        <w:shd w:val="clear" w:color="auto" w:fill="FED19C" w:themeFill="accent6" w:themeFillTint="66"/>
      </w:tcPr>
    </w:tblStylePr>
    <w:tblStylePr w:type="band1Horz">
      <w:tblPr/>
      <w:tcPr>
        <w:shd w:val="clear" w:color="auto" w:fill="FED19C" w:themeFill="accent6" w:themeFillTint="66"/>
      </w:tcPr>
    </w:tblStylePr>
  </w:style>
  <w:style w:type="table" w:styleId="GridTable6Colorful">
    <w:name w:val="Grid Table 6 Colorful"/>
    <w:basedOn w:val="TableNormal"/>
    <w:uiPriority w:val="51"/>
    <w:rsid w:val="00762017"/>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762017"/>
    <w:pPr>
      <w:spacing w:after="0" w:line="240" w:lineRule="auto"/>
    </w:pPr>
    <w:rPr>
      <w:color w:val="208855" w:themeColor="accent1" w:themeShade="BF"/>
    </w:rPr>
    <w:tblPr>
      <w:tblStyleRowBandSize w:val="1"/>
      <w:tblStyleColBandSize w:val="1"/>
      <w:tblBorders>
        <w:top w:val="single" w:sz="4" w:space="0" w:color="74DEAB" w:themeColor="accent1" w:themeTint="99"/>
        <w:left w:val="single" w:sz="4" w:space="0" w:color="74DEAB" w:themeColor="accent1" w:themeTint="99"/>
        <w:bottom w:val="single" w:sz="4" w:space="0" w:color="74DEAB" w:themeColor="accent1" w:themeTint="99"/>
        <w:right w:val="single" w:sz="4" w:space="0" w:color="74DEAB" w:themeColor="accent1" w:themeTint="99"/>
        <w:insideH w:val="single" w:sz="4" w:space="0" w:color="74DEAB" w:themeColor="accent1" w:themeTint="99"/>
        <w:insideV w:val="single" w:sz="4" w:space="0" w:color="74DEAB" w:themeColor="accent1" w:themeTint="99"/>
      </w:tblBorders>
    </w:tblPr>
    <w:tblStylePr w:type="firstRow">
      <w:rPr>
        <w:b/>
        <w:bCs/>
      </w:rPr>
      <w:tblPr/>
      <w:tcPr>
        <w:tcBorders>
          <w:bottom w:val="single" w:sz="12" w:space="0" w:color="74DEAB" w:themeColor="accent1" w:themeTint="99"/>
        </w:tcBorders>
      </w:tcPr>
    </w:tblStylePr>
    <w:tblStylePr w:type="lastRow">
      <w:rPr>
        <w:b/>
        <w:bCs/>
      </w:rPr>
      <w:tblPr/>
      <w:tcPr>
        <w:tcBorders>
          <w:top w:val="double" w:sz="4" w:space="0" w:color="74DEAB" w:themeColor="accent1" w:themeTint="99"/>
        </w:tcBorders>
      </w:tcPr>
    </w:tblStylePr>
    <w:tblStylePr w:type="firstCol">
      <w:rPr>
        <w:b/>
        <w:bCs/>
      </w:rPr>
    </w:tblStylePr>
    <w:tblStylePr w:type="lastCol">
      <w:rPr>
        <w:b/>
        <w:bCs/>
      </w:rPr>
    </w:tblStylePr>
    <w:tblStylePr w:type="band1Vert">
      <w:tblPr/>
      <w:tcPr>
        <w:shd w:val="clear" w:color="auto" w:fill="D0F4E3" w:themeFill="accent1" w:themeFillTint="33"/>
      </w:tcPr>
    </w:tblStylePr>
    <w:tblStylePr w:type="band1Horz">
      <w:tblPr/>
      <w:tcPr>
        <w:shd w:val="clear" w:color="auto" w:fill="D0F4E3" w:themeFill="accent1" w:themeFillTint="33"/>
      </w:tcPr>
    </w:tblStylePr>
  </w:style>
  <w:style w:type="table" w:styleId="GridTable6Colorful-Accent2">
    <w:name w:val="Grid Table 6 Colorful Accent 2"/>
    <w:basedOn w:val="TableNormal"/>
    <w:uiPriority w:val="51"/>
    <w:rsid w:val="00762017"/>
    <w:pPr>
      <w:spacing w:after="0" w:line="240" w:lineRule="auto"/>
    </w:pPr>
    <w:rPr>
      <w:color w:val="6D8613" w:themeColor="accent2" w:themeShade="BF"/>
    </w:rPr>
    <w:tblPr>
      <w:tblStyleRowBandSize w:val="1"/>
      <w:tblStyleColBandSize w:val="1"/>
      <w:tblBorders>
        <w:top w:val="single" w:sz="4" w:space="0" w:color="CAE85F" w:themeColor="accent2" w:themeTint="99"/>
        <w:left w:val="single" w:sz="4" w:space="0" w:color="CAE85F" w:themeColor="accent2" w:themeTint="99"/>
        <w:bottom w:val="single" w:sz="4" w:space="0" w:color="CAE85F" w:themeColor="accent2" w:themeTint="99"/>
        <w:right w:val="single" w:sz="4" w:space="0" w:color="CAE85F" w:themeColor="accent2" w:themeTint="99"/>
        <w:insideH w:val="single" w:sz="4" w:space="0" w:color="CAE85F" w:themeColor="accent2" w:themeTint="99"/>
        <w:insideV w:val="single" w:sz="4" w:space="0" w:color="CAE85F" w:themeColor="accent2" w:themeTint="99"/>
      </w:tblBorders>
    </w:tblPr>
    <w:tblStylePr w:type="firstRow">
      <w:rPr>
        <w:b/>
        <w:bCs/>
      </w:rPr>
      <w:tblPr/>
      <w:tcPr>
        <w:tcBorders>
          <w:bottom w:val="single" w:sz="12" w:space="0" w:color="CAE85F" w:themeColor="accent2" w:themeTint="99"/>
        </w:tcBorders>
      </w:tcPr>
    </w:tblStylePr>
    <w:tblStylePr w:type="lastRow">
      <w:rPr>
        <w:b/>
        <w:bCs/>
      </w:rPr>
      <w:tblPr/>
      <w:tcPr>
        <w:tcBorders>
          <w:top w:val="double" w:sz="4" w:space="0" w:color="CAE85F" w:themeColor="accent2" w:themeTint="99"/>
        </w:tcBorders>
      </w:tcPr>
    </w:tblStylePr>
    <w:tblStylePr w:type="firstCol">
      <w:rPr>
        <w:b/>
        <w:bCs/>
      </w:rPr>
    </w:tblStylePr>
    <w:tblStylePr w:type="lastCol">
      <w:rPr>
        <w:b/>
        <w:bCs/>
      </w:rPr>
    </w:tblStylePr>
    <w:tblStylePr w:type="band1Vert">
      <w:tblPr/>
      <w:tcPr>
        <w:shd w:val="clear" w:color="auto" w:fill="EDF7C9" w:themeFill="accent2" w:themeFillTint="33"/>
      </w:tcPr>
    </w:tblStylePr>
    <w:tblStylePr w:type="band1Horz">
      <w:tblPr/>
      <w:tcPr>
        <w:shd w:val="clear" w:color="auto" w:fill="EDF7C9" w:themeFill="accent2" w:themeFillTint="33"/>
      </w:tcPr>
    </w:tblStylePr>
  </w:style>
  <w:style w:type="table" w:styleId="GridTable6Colorful-Accent3">
    <w:name w:val="Grid Table 6 Colorful Accent 3"/>
    <w:basedOn w:val="TableNormal"/>
    <w:uiPriority w:val="51"/>
    <w:rsid w:val="00762017"/>
    <w:pPr>
      <w:spacing w:after="0" w:line="240" w:lineRule="auto"/>
    </w:pPr>
    <w:rPr>
      <w:color w:val="CF4110" w:themeColor="accent3" w:themeShade="BF"/>
    </w:rPr>
    <w:tblPr>
      <w:tblStyleRowBandSize w:val="1"/>
      <w:tblStyleColBandSize w:val="1"/>
      <w:tblBorders>
        <w:top w:val="single" w:sz="4" w:space="0" w:color="F6A589" w:themeColor="accent3" w:themeTint="99"/>
        <w:left w:val="single" w:sz="4" w:space="0" w:color="F6A589" w:themeColor="accent3" w:themeTint="99"/>
        <w:bottom w:val="single" w:sz="4" w:space="0" w:color="F6A589" w:themeColor="accent3" w:themeTint="99"/>
        <w:right w:val="single" w:sz="4" w:space="0" w:color="F6A589" w:themeColor="accent3" w:themeTint="99"/>
        <w:insideH w:val="single" w:sz="4" w:space="0" w:color="F6A589" w:themeColor="accent3" w:themeTint="99"/>
        <w:insideV w:val="single" w:sz="4" w:space="0" w:color="F6A589" w:themeColor="accent3" w:themeTint="99"/>
      </w:tblBorders>
    </w:tblPr>
    <w:tblStylePr w:type="firstRow">
      <w:rPr>
        <w:b/>
        <w:bCs/>
      </w:rPr>
      <w:tblPr/>
      <w:tcPr>
        <w:tcBorders>
          <w:bottom w:val="single" w:sz="12" w:space="0" w:color="F6A589" w:themeColor="accent3" w:themeTint="99"/>
        </w:tcBorders>
      </w:tcPr>
    </w:tblStylePr>
    <w:tblStylePr w:type="lastRow">
      <w:rPr>
        <w:b/>
        <w:bCs/>
      </w:rPr>
      <w:tblPr/>
      <w:tcPr>
        <w:tcBorders>
          <w:top w:val="double" w:sz="4" w:space="0" w:color="F6A589" w:themeColor="accent3" w:themeTint="99"/>
        </w:tcBorders>
      </w:tcPr>
    </w:tblStylePr>
    <w:tblStylePr w:type="firstCol">
      <w:rPr>
        <w:b/>
        <w:bCs/>
      </w:rPr>
    </w:tblStylePr>
    <w:tblStylePr w:type="lastCol">
      <w:rPr>
        <w:b/>
        <w:bCs/>
      </w:rPr>
    </w:tblStylePr>
    <w:tblStylePr w:type="band1Vert">
      <w:tblPr/>
      <w:tcPr>
        <w:shd w:val="clear" w:color="auto" w:fill="FCE1D7" w:themeFill="accent3" w:themeFillTint="33"/>
      </w:tcPr>
    </w:tblStylePr>
    <w:tblStylePr w:type="band1Horz">
      <w:tblPr/>
      <w:tcPr>
        <w:shd w:val="clear" w:color="auto" w:fill="FCE1D7" w:themeFill="accent3" w:themeFillTint="33"/>
      </w:tcPr>
    </w:tblStylePr>
  </w:style>
  <w:style w:type="table" w:styleId="GridTable6Colorful-Accent4">
    <w:name w:val="Grid Table 6 Colorful Accent 4"/>
    <w:basedOn w:val="TableNormal"/>
    <w:uiPriority w:val="51"/>
    <w:rsid w:val="00762017"/>
    <w:pPr>
      <w:spacing w:after="0" w:line="240" w:lineRule="auto"/>
    </w:pPr>
    <w:rPr>
      <w:color w:val="6E37AA" w:themeColor="accent4" w:themeShade="BF"/>
    </w:rPr>
    <w:tblPr>
      <w:tblStyleRowBandSize w:val="1"/>
      <w:tblStyleColBandSize w:val="1"/>
      <w:tblBorders>
        <w:top w:val="single" w:sz="4" w:space="0" w:color="BFA0E0" w:themeColor="accent4" w:themeTint="99"/>
        <w:left w:val="single" w:sz="4" w:space="0" w:color="BFA0E0" w:themeColor="accent4" w:themeTint="99"/>
        <w:bottom w:val="single" w:sz="4" w:space="0" w:color="BFA0E0" w:themeColor="accent4" w:themeTint="99"/>
        <w:right w:val="single" w:sz="4" w:space="0" w:color="BFA0E0" w:themeColor="accent4" w:themeTint="99"/>
        <w:insideH w:val="single" w:sz="4" w:space="0" w:color="BFA0E0" w:themeColor="accent4" w:themeTint="99"/>
        <w:insideV w:val="single" w:sz="4" w:space="0" w:color="BFA0E0" w:themeColor="accent4" w:themeTint="99"/>
      </w:tblBorders>
    </w:tblPr>
    <w:tblStylePr w:type="firstRow">
      <w:rPr>
        <w:b/>
        <w:bCs/>
      </w:rPr>
      <w:tblPr/>
      <w:tcPr>
        <w:tcBorders>
          <w:bottom w:val="single" w:sz="12" w:space="0" w:color="BFA0E0" w:themeColor="accent4" w:themeTint="99"/>
        </w:tcBorders>
      </w:tcPr>
    </w:tblStylePr>
    <w:tblStylePr w:type="lastRow">
      <w:rPr>
        <w:b/>
        <w:bCs/>
      </w:rPr>
      <w:tblPr/>
      <w:tcPr>
        <w:tcBorders>
          <w:top w:val="double" w:sz="4" w:space="0" w:color="BFA0E0" w:themeColor="accent4" w:themeTint="99"/>
        </w:tcBorders>
      </w:tcPr>
    </w:tblStylePr>
    <w:tblStylePr w:type="firstCol">
      <w:rPr>
        <w:b/>
        <w:bCs/>
      </w:rPr>
    </w:tblStylePr>
    <w:tblStylePr w:type="lastCol">
      <w:rPr>
        <w:b/>
        <w:bCs/>
      </w:rPr>
    </w:tblStylePr>
    <w:tblStylePr w:type="band1Vert">
      <w:tblPr/>
      <w:tcPr>
        <w:shd w:val="clear" w:color="auto" w:fill="E9DFF4" w:themeFill="accent4" w:themeFillTint="33"/>
      </w:tcPr>
    </w:tblStylePr>
    <w:tblStylePr w:type="band1Horz">
      <w:tblPr/>
      <w:tcPr>
        <w:shd w:val="clear" w:color="auto" w:fill="E9DFF4" w:themeFill="accent4" w:themeFillTint="33"/>
      </w:tcPr>
    </w:tblStylePr>
  </w:style>
  <w:style w:type="table" w:styleId="GridTable6Colorful-Accent5">
    <w:name w:val="Grid Table 6 Colorful Accent 5"/>
    <w:basedOn w:val="TableNormal"/>
    <w:uiPriority w:val="51"/>
    <w:rsid w:val="00762017"/>
    <w:pPr>
      <w:spacing w:after="0" w:line="240" w:lineRule="auto"/>
    </w:pPr>
    <w:rPr>
      <w:color w:val="008094" w:themeColor="accent5" w:themeShade="BF"/>
    </w:rPr>
    <w:tblPr>
      <w:tblStyleRowBandSize w:val="1"/>
      <w:tblStyleColBandSize w:val="1"/>
      <w:tblBorders>
        <w:top w:val="single" w:sz="4" w:space="0" w:color="43E6FF" w:themeColor="accent5" w:themeTint="99"/>
        <w:left w:val="single" w:sz="4" w:space="0" w:color="43E6FF" w:themeColor="accent5" w:themeTint="99"/>
        <w:bottom w:val="single" w:sz="4" w:space="0" w:color="43E6FF" w:themeColor="accent5" w:themeTint="99"/>
        <w:right w:val="single" w:sz="4" w:space="0" w:color="43E6FF" w:themeColor="accent5" w:themeTint="99"/>
        <w:insideH w:val="single" w:sz="4" w:space="0" w:color="43E6FF" w:themeColor="accent5" w:themeTint="99"/>
        <w:insideV w:val="single" w:sz="4" w:space="0" w:color="43E6FF" w:themeColor="accent5" w:themeTint="99"/>
      </w:tblBorders>
    </w:tblPr>
    <w:tblStylePr w:type="firstRow">
      <w:rPr>
        <w:b/>
        <w:bCs/>
      </w:rPr>
      <w:tblPr/>
      <w:tcPr>
        <w:tcBorders>
          <w:bottom w:val="single" w:sz="12" w:space="0" w:color="43E6FF" w:themeColor="accent5" w:themeTint="99"/>
        </w:tcBorders>
      </w:tcPr>
    </w:tblStylePr>
    <w:tblStylePr w:type="lastRow">
      <w:rPr>
        <w:b/>
        <w:bCs/>
      </w:rPr>
      <w:tblPr/>
      <w:tcPr>
        <w:tcBorders>
          <w:top w:val="double" w:sz="4" w:space="0" w:color="43E6FF" w:themeColor="accent5" w:themeTint="99"/>
        </w:tcBorders>
      </w:tcPr>
    </w:tblStylePr>
    <w:tblStylePr w:type="firstCol">
      <w:rPr>
        <w:b/>
        <w:bCs/>
      </w:rPr>
    </w:tblStylePr>
    <w:tblStylePr w:type="lastCol">
      <w:rPr>
        <w:b/>
        <w:bCs/>
      </w:rPr>
    </w:tblStylePr>
    <w:tblStylePr w:type="band1Vert">
      <w:tblPr/>
      <w:tcPr>
        <w:shd w:val="clear" w:color="auto" w:fill="C0F6FF" w:themeFill="accent5" w:themeFillTint="33"/>
      </w:tcPr>
    </w:tblStylePr>
    <w:tblStylePr w:type="band1Horz">
      <w:tblPr/>
      <w:tcPr>
        <w:shd w:val="clear" w:color="auto" w:fill="C0F6FF" w:themeFill="accent5" w:themeFillTint="33"/>
      </w:tcPr>
    </w:tblStylePr>
  </w:style>
  <w:style w:type="table" w:styleId="GridTable6Colorful-Accent6">
    <w:name w:val="Grid Table 6 Colorful Accent 6"/>
    <w:basedOn w:val="TableNormal"/>
    <w:uiPriority w:val="51"/>
    <w:rsid w:val="00762017"/>
    <w:pPr>
      <w:spacing w:after="0" w:line="240" w:lineRule="auto"/>
    </w:pPr>
    <w:rPr>
      <w:color w:val="C36B01" w:themeColor="accent6" w:themeShade="BF"/>
    </w:rPr>
    <w:tblPr>
      <w:tblStyleRowBandSize w:val="1"/>
      <w:tblStyleColBandSize w:val="1"/>
      <w:tblBorders>
        <w:top w:val="single" w:sz="4" w:space="0" w:color="FDBB6B" w:themeColor="accent6" w:themeTint="99"/>
        <w:left w:val="single" w:sz="4" w:space="0" w:color="FDBB6B" w:themeColor="accent6" w:themeTint="99"/>
        <w:bottom w:val="single" w:sz="4" w:space="0" w:color="FDBB6B" w:themeColor="accent6" w:themeTint="99"/>
        <w:right w:val="single" w:sz="4" w:space="0" w:color="FDBB6B" w:themeColor="accent6" w:themeTint="99"/>
        <w:insideH w:val="single" w:sz="4" w:space="0" w:color="FDBB6B" w:themeColor="accent6" w:themeTint="99"/>
        <w:insideV w:val="single" w:sz="4" w:space="0" w:color="FDBB6B" w:themeColor="accent6" w:themeTint="99"/>
      </w:tblBorders>
    </w:tblPr>
    <w:tblStylePr w:type="firstRow">
      <w:rPr>
        <w:b/>
        <w:bCs/>
      </w:rPr>
      <w:tblPr/>
      <w:tcPr>
        <w:tcBorders>
          <w:bottom w:val="single" w:sz="12" w:space="0" w:color="FDBB6B" w:themeColor="accent6" w:themeTint="99"/>
        </w:tcBorders>
      </w:tcPr>
    </w:tblStylePr>
    <w:tblStylePr w:type="lastRow">
      <w:rPr>
        <w:b/>
        <w:bCs/>
      </w:rPr>
      <w:tblPr/>
      <w:tcPr>
        <w:tcBorders>
          <w:top w:val="double" w:sz="4" w:space="0" w:color="FDBB6B" w:themeColor="accent6" w:themeTint="99"/>
        </w:tcBorders>
      </w:tcPr>
    </w:tblStylePr>
    <w:tblStylePr w:type="firstCol">
      <w:rPr>
        <w:b/>
        <w:bCs/>
      </w:rPr>
    </w:tblStylePr>
    <w:tblStylePr w:type="lastCol">
      <w:rPr>
        <w:b/>
        <w:bCs/>
      </w:rPr>
    </w:tblStylePr>
    <w:tblStylePr w:type="band1Vert">
      <w:tblPr/>
      <w:tcPr>
        <w:shd w:val="clear" w:color="auto" w:fill="FEE8CD" w:themeFill="accent6" w:themeFillTint="33"/>
      </w:tcPr>
    </w:tblStylePr>
    <w:tblStylePr w:type="band1Horz">
      <w:tblPr/>
      <w:tcPr>
        <w:shd w:val="clear" w:color="auto" w:fill="FEE8CD" w:themeFill="accent6" w:themeFillTint="33"/>
      </w:tcPr>
    </w:tblStylePr>
  </w:style>
  <w:style w:type="table" w:styleId="GridTable7Colorful">
    <w:name w:val="Grid Table 7 Colorful"/>
    <w:basedOn w:val="TableNormal"/>
    <w:uiPriority w:val="52"/>
    <w:rsid w:val="00762017"/>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762017"/>
    <w:pPr>
      <w:spacing w:after="0" w:line="240" w:lineRule="auto"/>
    </w:pPr>
    <w:rPr>
      <w:color w:val="208855" w:themeColor="accent1" w:themeShade="BF"/>
    </w:rPr>
    <w:tblPr>
      <w:tblStyleRowBandSize w:val="1"/>
      <w:tblStyleColBandSize w:val="1"/>
      <w:tblBorders>
        <w:top w:val="single" w:sz="4" w:space="0" w:color="74DEAB" w:themeColor="accent1" w:themeTint="99"/>
        <w:left w:val="single" w:sz="4" w:space="0" w:color="74DEAB" w:themeColor="accent1" w:themeTint="99"/>
        <w:bottom w:val="single" w:sz="4" w:space="0" w:color="74DEAB" w:themeColor="accent1" w:themeTint="99"/>
        <w:right w:val="single" w:sz="4" w:space="0" w:color="74DEAB" w:themeColor="accent1" w:themeTint="99"/>
        <w:insideH w:val="single" w:sz="4" w:space="0" w:color="74DEAB" w:themeColor="accent1" w:themeTint="99"/>
        <w:insideV w:val="single" w:sz="4" w:space="0" w:color="74DEA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0F4E3" w:themeFill="accent1" w:themeFillTint="33"/>
      </w:tcPr>
    </w:tblStylePr>
    <w:tblStylePr w:type="band1Horz">
      <w:tblPr/>
      <w:tcPr>
        <w:shd w:val="clear" w:color="auto" w:fill="D0F4E3" w:themeFill="accent1" w:themeFillTint="33"/>
      </w:tcPr>
    </w:tblStylePr>
    <w:tblStylePr w:type="neCell">
      <w:tblPr/>
      <w:tcPr>
        <w:tcBorders>
          <w:bottom w:val="single" w:sz="4" w:space="0" w:color="74DEAB" w:themeColor="accent1" w:themeTint="99"/>
        </w:tcBorders>
      </w:tcPr>
    </w:tblStylePr>
    <w:tblStylePr w:type="nwCell">
      <w:tblPr/>
      <w:tcPr>
        <w:tcBorders>
          <w:bottom w:val="single" w:sz="4" w:space="0" w:color="74DEAB" w:themeColor="accent1" w:themeTint="99"/>
        </w:tcBorders>
      </w:tcPr>
    </w:tblStylePr>
    <w:tblStylePr w:type="seCell">
      <w:tblPr/>
      <w:tcPr>
        <w:tcBorders>
          <w:top w:val="single" w:sz="4" w:space="0" w:color="74DEAB" w:themeColor="accent1" w:themeTint="99"/>
        </w:tcBorders>
      </w:tcPr>
    </w:tblStylePr>
    <w:tblStylePr w:type="swCell">
      <w:tblPr/>
      <w:tcPr>
        <w:tcBorders>
          <w:top w:val="single" w:sz="4" w:space="0" w:color="74DEAB" w:themeColor="accent1" w:themeTint="99"/>
        </w:tcBorders>
      </w:tcPr>
    </w:tblStylePr>
  </w:style>
  <w:style w:type="table" w:styleId="GridTable7Colorful-Accent2">
    <w:name w:val="Grid Table 7 Colorful Accent 2"/>
    <w:basedOn w:val="TableNormal"/>
    <w:uiPriority w:val="52"/>
    <w:rsid w:val="00762017"/>
    <w:pPr>
      <w:spacing w:after="0" w:line="240" w:lineRule="auto"/>
    </w:pPr>
    <w:rPr>
      <w:color w:val="6D8613" w:themeColor="accent2" w:themeShade="BF"/>
    </w:rPr>
    <w:tblPr>
      <w:tblStyleRowBandSize w:val="1"/>
      <w:tblStyleColBandSize w:val="1"/>
      <w:tblBorders>
        <w:top w:val="single" w:sz="4" w:space="0" w:color="CAE85F" w:themeColor="accent2" w:themeTint="99"/>
        <w:left w:val="single" w:sz="4" w:space="0" w:color="CAE85F" w:themeColor="accent2" w:themeTint="99"/>
        <w:bottom w:val="single" w:sz="4" w:space="0" w:color="CAE85F" w:themeColor="accent2" w:themeTint="99"/>
        <w:right w:val="single" w:sz="4" w:space="0" w:color="CAE85F" w:themeColor="accent2" w:themeTint="99"/>
        <w:insideH w:val="single" w:sz="4" w:space="0" w:color="CAE85F" w:themeColor="accent2" w:themeTint="99"/>
        <w:insideV w:val="single" w:sz="4" w:space="0" w:color="CAE85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F7C9" w:themeFill="accent2" w:themeFillTint="33"/>
      </w:tcPr>
    </w:tblStylePr>
    <w:tblStylePr w:type="band1Horz">
      <w:tblPr/>
      <w:tcPr>
        <w:shd w:val="clear" w:color="auto" w:fill="EDF7C9" w:themeFill="accent2" w:themeFillTint="33"/>
      </w:tcPr>
    </w:tblStylePr>
    <w:tblStylePr w:type="neCell">
      <w:tblPr/>
      <w:tcPr>
        <w:tcBorders>
          <w:bottom w:val="single" w:sz="4" w:space="0" w:color="CAE85F" w:themeColor="accent2" w:themeTint="99"/>
        </w:tcBorders>
      </w:tcPr>
    </w:tblStylePr>
    <w:tblStylePr w:type="nwCell">
      <w:tblPr/>
      <w:tcPr>
        <w:tcBorders>
          <w:bottom w:val="single" w:sz="4" w:space="0" w:color="CAE85F" w:themeColor="accent2" w:themeTint="99"/>
        </w:tcBorders>
      </w:tcPr>
    </w:tblStylePr>
    <w:tblStylePr w:type="seCell">
      <w:tblPr/>
      <w:tcPr>
        <w:tcBorders>
          <w:top w:val="single" w:sz="4" w:space="0" w:color="CAE85F" w:themeColor="accent2" w:themeTint="99"/>
        </w:tcBorders>
      </w:tcPr>
    </w:tblStylePr>
    <w:tblStylePr w:type="swCell">
      <w:tblPr/>
      <w:tcPr>
        <w:tcBorders>
          <w:top w:val="single" w:sz="4" w:space="0" w:color="CAE85F" w:themeColor="accent2" w:themeTint="99"/>
        </w:tcBorders>
      </w:tcPr>
    </w:tblStylePr>
  </w:style>
  <w:style w:type="table" w:styleId="GridTable7Colorful-Accent3">
    <w:name w:val="Grid Table 7 Colorful Accent 3"/>
    <w:basedOn w:val="TableNormal"/>
    <w:uiPriority w:val="52"/>
    <w:rsid w:val="00762017"/>
    <w:pPr>
      <w:spacing w:after="0" w:line="240" w:lineRule="auto"/>
    </w:pPr>
    <w:rPr>
      <w:color w:val="CF4110" w:themeColor="accent3" w:themeShade="BF"/>
    </w:rPr>
    <w:tblPr>
      <w:tblStyleRowBandSize w:val="1"/>
      <w:tblStyleColBandSize w:val="1"/>
      <w:tblBorders>
        <w:top w:val="single" w:sz="4" w:space="0" w:color="F6A589" w:themeColor="accent3" w:themeTint="99"/>
        <w:left w:val="single" w:sz="4" w:space="0" w:color="F6A589" w:themeColor="accent3" w:themeTint="99"/>
        <w:bottom w:val="single" w:sz="4" w:space="0" w:color="F6A589" w:themeColor="accent3" w:themeTint="99"/>
        <w:right w:val="single" w:sz="4" w:space="0" w:color="F6A589" w:themeColor="accent3" w:themeTint="99"/>
        <w:insideH w:val="single" w:sz="4" w:space="0" w:color="F6A589" w:themeColor="accent3" w:themeTint="99"/>
        <w:insideV w:val="single" w:sz="4" w:space="0" w:color="F6A58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E1D7" w:themeFill="accent3" w:themeFillTint="33"/>
      </w:tcPr>
    </w:tblStylePr>
    <w:tblStylePr w:type="band1Horz">
      <w:tblPr/>
      <w:tcPr>
        <w:shd w:val="clear" w:color="auto" w:fill="FCE1D7" w:themeFill="accent3" w:themeFillTint="33"/>
      </w:tcPr>
    </w:tblStylePr>
    <w:tblStylePr w:type="neCell">
      <w:tblPr/>
      <w:tcPr>
        <w:tcBorders>
          <w:bottom w:val="single" w:sz="4" w:space="0" w:color="F6A589" w:themeColor="accent3" w:themeTint="99"/>
        </w:tcBorders>
      </w:tcPr>
    </w:tblStylePr>
    <w:tblStylePr w:type="nwCell">
      <w:tblPr/>
      <w:tcPr>
        <w:tcBorders>
          <w:bottom w:val="single" w:sz="4" w:space="0" w:color="F6A589" w:themeColor="accent3" w:themeTint="99"/>
        </w:tcBorders>
      </w:tcPr>
    </w:tblStylePr>
    <w:tblStylePr w:type="seCell">
      <w:tblPr/>
      <w:tcPr>
        <w:tcBorders>
          <w:top w:val="single" w:sz="4" w:space="0" w:color="F6A589" w:themeColor="accent3" w:themeTint="99"/>
        </w:tcBorders>
      </w:tcPr>
    </w:tblStylePr>
    <w:tblStylePr w:type="swCell">
      <w:tblPr/>
      <w:tcPr>
        <w:tcBorders>
          <w:top w:val="single" w:sz="4" w:space="0" w:color="F6A589" w:themeColor="accent3" w:themeTint="99"/>
        </w:tcBorders>
      </w:tcPr>
    </w:tblStylePr>
  </w:style>
  <w:style w:type="table" w:styleId="GridTable7Colorful-Accent4">
    <w:name w:val="Grid Table 7 Colorful Accent 4"/>
    <w:basedOn w:val="TableNormal"/>
    <w:uiPriority w:val="52"/>
    <w:rsid w:val="00762017"/>
    <w:pPr>
      <w:spacing w:after="0" w:line="240" w:lineRule="auto"/>
    </w:pPr>
    <w:rPr>
      <w:color w:val="6E37AA" w:themeColor="accent4" w:themeShade="BF"/>
    </w:rPr>
    <w:tblPr>
      <w:tblStyleRowBandSize w:val="1"/>
      <w:tblStyleColBandSize w:val="1"/>
      <w:tblBorders>
        <w:top w:val="single" w:sz="4" w:space="0" w:color="BFA0E0" w:themeColor="accent4" w:themeTint="99"/>
        <w:left w:val="single" w:sz="4" w:space="0" w:color="BFA0E0" w:themeColor="accent4" w:themeTint="99"/>
        <w:bottom w:val="single" w:sz="4" w:space="0" w:color="BFA0E0" w:themeColor="accent4" w:themeTint="99"/>
        <w:right w:val="single" w:sz="4" w:space="0" w:color="BFA0E0" w:themeColor="accent4" w:themeTint="99"/>
        <w:insideH w:val="single" w:sz="4" w:space="0" w:color="BFA0E0" w:themeColor="accent4" w:themeTint="99"/>
        <w:insideV w:val="single" w:sz="4" w:space="0" w:color="BFA0E0"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9DFF4" w:themeFill="accent4" w:themeFillTint="33"/>
      </w:tcPr>
    </w:tblStylePr>
    <w:tblStylePr w:type="band1Horz">
      <w:tblPr/>
      <w:tcPr>
        <w:shd w:val="clear" w:color="auto" w:fill="E9DFF4" w:themeFill="accent4" w:themeFillTint="33"/>
      </w:tcPr>
    </w:tblStylePr>
    <w:tblStylePr w:type="neCell">
      <w:tblPr/>
      <w:tcPr>
        <w:tcBorders>
          <w:bottom w:val="single" w:sz="4" w:space="0" w:color="BFA0E0" w:themeColor="accent4" w:themeTint="99"/>
        </w:tcBorders>
      </w:tcPr>
    </w:tblStylePr>
    <w:tblStylePr w:type="nwCell">
      <w:tblPr/>
      <w:tcPr>
        <w:tcBorders>
          <w:bottom w:val="single" w:sz="4" w:space="0" w:color="BFA0E0" w:themeColor="accent4" w:themeTint="99"/>
        </w:tcBorders>
      </w:tcPr>
    </w:tblStylePr>
    <w:tblStylePr w:type="seCell">
      <w:tblPr/>
      <w:tcPr>
        <w:tcBorders>
          <w:top w:val="single" w:sz="4" w:space="0" w:color="BFA0E0" w:themeColor="accent4" w:themeTint="99"/>
        </w:tcBorders>
      </w:tcPr>
    </w:tblStylePr>
    <w:tblStylePr w:type="swCell">
      <w:tblPr/>
      <w:tcPr>
        <w:tcBorders>
          <w:top w:val="single" w:sz="4" w:space="0" w:color="BFA0E0" w:themeColor="accent4" w:themeTint="99"/>
        </w:tcBorders>
      </w:tcPr>
    </w:tblStylePr>
  </w:style>
  <w:style w:type="table" w:styleId="GridTable7Colorful-Accent5">
    <w:name w:val="Grid Table 7 Colorful Accent 5"/>
    <w:basedOn w:val="TableNormal"/>
    <w:uiPriority w:val="52"/>
    <w:rsid w:val="00762017"/>
    <w:pPr>
      <w:spacing w:after="0" w:line="240" w:lineRule="auto"/>
    </w:pPr>
    <w:rPr>
      <w:color w:val="008094" w:themeColor="accent5" w:themeShade="BF"/>
    </w:rPr>
    <w:tblPr>
      <w:tblStyleRowBandSize w:val="1"/>
      <w:tblStyleColBandSize w:val="1"/>
      <w:tblBorders>
        <w:top w:val="single" w:sz="4" w:space="0" w:color="43E6FF" w:themeColor="accent5" w:themeTint="99"/>
        <w:left w:val="single" w:sz="4" w:space="0" w:color="43E6FF" w:themeColor="accent5" w:themeTint="99"/>
        <w:bottom w:val="single" w:sz="4" w:space="0" w:color="43E6FF" w:themeColor="accent5" w:themeTint="99"/>
        <w:right w:val="single" w:sz="4" w:space="0" w:color="43E6FF" w:themeColor="accent5" w:themeTint="99"/>
        <w:insideH w:val="single" w:sz="4" w:space="0" w:color="43E6FF" w:themeColor="accent5" w:themeTint="99"/>
        <w:insideV w:val="single" w:sz="4" w:space="0" w:color="43E6F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0F6FF" w:themeFill="accent5" w:themeFillTint="33"/>
      </w:tcPr>
    </w:tblStylePr>
    <w:tblStylePr w:type="band1Horz">
      <w:tblPr/>
      <w:tcPr>
        <w:shd w:val="clear" w:color="auto" w:fill="C0F6FF" w:themeFill="accent5" w:themeFillTint="33"/>
      </w:tcPr>
    </w:tblStylePr>
    <w:tblStylePr w:type="neCell">
      <w:tblPr/>
      <w:tcPr>
        <w:tcBorders>
          <w:bottom w:val="single" w:sz="4" w:space="0" w:color="43E6FF" w:themeColor="accent5" w:themeTint="99"/>
        </w:tcBorders>
      </w:tcPr>
    </w:tblStylePr>
    <w:tblStylePr w:type="nwCell">
      <w:tblPr/>
      <w:tcPr>
        <w:tcBorders>
          <w:bottom w:val="single" w:sz="4" w:space="0" w:color="43E6FF" w:themeColor="accent5" w:themeTint="99"/>
        </w:tcBorders>
      </w:tcPr>
    </w:tblStylePr>
    <w:tblStylePr w:type="seCell">
      <w:tblPr/>
      <w:tcPr>
        <w:tcBorders>
          <w:top w:val="single" w:sz="4" w:space="0" w:color="43E6FF" w:themeColor="accent5" w:themeTint="99"/>
        </w:tcBorders>
      </w:tcPr>
    </w:tblStylePr>
    <w:tblStylePr w:type="swCell">
      <w:tblPr/>
      <w:tcPr>
        <w:tcBorders>
          <w:top w:val="single" w:sz="4" w:space="0" w:color="43E6FF" w:themeColor="accent5" w:themeTint="99"/>
        </w:tcBorders>
      </w:tcPr>
    </w:tblStylePr>
  </w:style>
  <w:style w:type="table" w:styleId="GridTable7Colorful-Accent6">
    <w:name w:val="Grid Table 7 Colorful Accent 6"/>
    <w:basedOn w:val="TableNormal"/>
    <w:uiPriority w:val="52"/>
    <w:rsid w:val="00762017"/>
    <w:pPr>
      <w:spacing w:after="0" w:line="240" w:lineRule="auto"/>
    </w:pPr>
    <w:rPr>
      <w:color w:val="C36B01" w:themeColor="accent6" w:themeShade="BF"/>
    </w:rPr>
    <w:tblPr>
      <w:tblStyleRowBandSize w:val="1"/>
      <w:tblStyleColBandSize w:val="1"/>
      <w:tblBorders>
        <w:top w:val="single" w:sz="4" w:space="0" w:color="FDBB6B" w:themeColor="accent6" w:themeTint="99"/>
        <w:left w:val="single" w:sz="4" w:space="0" w:color="FDBB6B" w:themeColor="accent6" w:themeTint="99"/>
        <w:bottom w:val="single" w:sz="4" w:space="0" w:color="FDBB6B" w:themeColor="accent6" w:themeTint="99"/>
        <w:right w:val="single" w:sz="4" w:space="0" w:color="FDBB6B" w:themeColor="accent6" w:themeTint="99"/>
        <w:insideH w:val="single" w:sz="4" w:space="0" w:color="FDBB6B" w:themeColor="accent6" w:themeTint="99"/>
        <w:insideV w:val="single" w:sz="4" w:space="0" w:color="FDBB6B"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E8CD" w:themeFill="accent6" w:themeFillTint="33"/>
      </w:tcPr>
    </w:tblStylePr>
    <w:tblStylePr w:type="band1Horz">
      <w:tblPr/>
      <w:tcPr>
        <w:shd w:val="clear" w:color="auto" w:fill="FEE8CD" w:themeFill="accent6" w:themeFillTint="33"/>
      </w:tcPr>
    </w:tblStylePr>
    <w:tblStylePr w:type="neCell">
      <w:tblPr/>
      <w:tcPr>
        <w:tcBorders>
          <w:bottom w:val="single" w:sz="4" w:space="0" w:color="FDBB6B" w:themeColor="accent6" w:themeTint="99"/>
        </w:tcBorders>
      </w:tcPr>
    </w:tblStylePr>
    <w:tblStylePr w:type="nwCell">
      <w:tblPr/>
      <w:tcPr>
        <w:tcBorders>
          <w:bottom w:val="single" w:sz="4" w:space="0" w:color="FDBB6B" w:themeColor="accent6" w:themeTint="99"/>
        </w:tcBorders>
      </w:tcPr>
    </w:tblStylePr>
    <w:tblStylePr w:type="seCell">
      <w:tblPr/>
      <w:tcPr>
        <w:tcBorders>
          <w:top w:val="single" w:sz="4" w:space="0" w:color="FDBB6B" w:themeColor="accent6" w:themeTint="99"/>
        </w:tcBorders>
      </w:tcPr>
    </w:tblStylePr>
    <w:tblStylePr w:type="swCell">
      <w:tblPr/>
      <w:tcPr>
        <w:tcBorders>
          <w:top w:val="single" w:sz="4" w:space="0" w:color="FDBB6B" w:themeColor="accent6" w:themeTint="99"/>
        </w:tcBorders>
      </w:tcPr>
    </w:tblStylePr>
  </w:style>
  <w:style w:type="character" w:styleId="HTMLAcronym">
    <w:name w:val="HTML Acronym"/>
    <w:basedOn w:val="DefaultParagraphFont"/>
    <w:uiPriority w:val="99"/>
    <w:semiHidden/>
    <w:unhideWhenUsed/>
    <w:rsid w:val="00762017"/>
  </w:style>
  <w:style w:type="character" w:styleId="HTMLCite">
    <w:name w:val="HTML Cite"/>
    <w:basedOn w:val="DefaultParagraphFont"/>
    <w:uiPriority w:val="99"/>
    <w:semiHidden/>
    <w:unhideWhenUsed/>
    <w:rsid w:val="00762017"/>
    <w:rPr>
      <w:i/>
      <w:iCs/>
    </w:rPr>
  </w:style>
  <w:style w:type="character" w:styleId="HTMLCode">
    <w:name w:val="HTML Code"/>
    <w:basedOn w:val="DefaultParagraphFont"/>
    <w:uiPriority w:val="99"/>
    <w:semiHidden/>
    <w:unhideWhenUsed/>
    <w:rsid w:val="00762017"/>
    <w:rPr>
      <w:rFonts w:ascii="Consolas" w:hAnsi="Consolas"/>
      <w:sz w:val="20"/>
      <w:szCs w:val="20"/>
    </w:rPr>
  </w:style>
  <w:style w:type="character" w:styleId="HTMLDefinition">
    <w:name w:val="HTML Definition"/>
    <w:basedOn w:val="DefaultParagraphFont"/>
    <w:uiPriority w:val="99"/>
    <w:semiHidden/>
    <w:unhideWhenUsed/>
    <w:rsid w:val="00762017"/>
    <w:rPr>
      <w:i/>
      <w:iCs/>
    </w:rPr>
  </w:style>
  <w:style w:type="character" w:styleId="HTMLKeyboard">
    <w:name w:val="HTML Keyboard"/>
    <w:basedOn w:val="DefaultParagraphFont"/>
    <w:uiPriority w:val="99"/>
    <w:semiHidden/>
    <w:unhideWhenUsed/>
    <w:rsid w:val="00762017"/>
    <w:rPr>
      <w:rFonts w:ascii="Consolas" w:hAnsi="Consolas"/>
      <w:sz w:val="20"/>
      <w:szCs w:val="20"/>
    </w:rPr>
  </w:style>
  <w:style w:type="character" w:styleId="HTMLSample">
    <w:name w:val="HTML Sample"/>
    <w:basedOn w:val="DefaultParagraphFont"/>
    <w:uiPriority w:val="99"/>
    <w:semiHidden/>
    <w:unhideWhenUsed/>
    <w:rsid w:val="00762017"/>
    <w:rPr>
      <w:rFonts w:ascii="Consolas" w:hAnsi="Consolas"/>
      <w:sz w:val="24"/>
      <w:szCs w:val="24"/>
    </w:rPr>
  </w:style>
  <w:style w:type="character" w:styleId="HTMLTypewriter">
    <w:name w:val="HTML Typewriter"/>
    <w:basedOn w:val="DefaultParagraphFont"/>
    <w:uiPriority w:val="99"/>
    <w:semiHidden/>
    <w:unhideWhenUsed/>
    <w:rsid w:val="00762017"/>
    <w:rPr>
      <w:rFonts w:ascii="Consolas" w:hAnsi="Consolas"/>
      <w:sz w:val="20"/>
      <w:szCs w:val="20"/>
    </w:rPr>
  </w:style>
  <w:style w:type="character" w:styleId="HTMLVariable">
    <w:name w:val="HTML Variable"/>
    <w:basedOn w:val="DefaultParagraphFont"/>
    <w:uiPriority w:val="99"/>
    <w:semiHidden/>
    <w:unhideWhenUsed/>
    <w:rsid w:val="00762017"/>
    <w:rPr>
      <w:i/>
      <w:iCs/>
    </w:rPr>
  </w:style>
  <w:style w:type="character" w:styleId="IntenseEmphasis">
    <w:name w:val="Intense Emphasis"/>
    <w:basedOn w:val="DefaultParagraphFont"/>
    <w:uiPriority w:val="21"/>
    <w:rsid w:val="00762017"/>
    <w:rPr>
      <w:i/>
      <w:iCs/>
      <w:color w:val="2BB673" w:themeColor="accent1"/>
    </w:rPr>
  </w:style>
  <w:style w:type="paragraph" w:styleId="IntenseQuote">
    <w:name w:val="Intense Quote"/>
    <w:basedOn w:val="Normal"/>
    <w:next w:val="Normal"/>
    <w:link w:val="IntenseQuoteChar"/>
    <w:uiPriority w:val="30"/>
    <w:rsid w:val="00762017"/>
    <w:pPr>
      <w:pBdr>
        <w:top w:val="single" w:sz="4" w:space="10" w:color="2BB673" w:themeColor="accent1"/>
        <w:bottom w:val="single" w:sz="4" w:space="10" w:color="2BB673" w:themeColor="accent1"/>
      </w:pBdr>
      <w:spacing w:before="360" w:after="360"/>
      <w:ind w:left="864" w:right="864"/>
      <w:jc w:val="center"/>
    </w:pPr>
    <w:rPr>
      <w:i/>
      <w:iCs/>
      <w:color w:val="2BB673" w:themeColor="accent1"/>
    </w:rPr>
  </w:style>
  <w:style w:type="character" w:customStyle="1" w:styleId="IntenseQuoteChar">
    <w:name w:val="Intense Quote Char"/>
    <w:basedOn w:val="DefaultParagraphFont"/>
    <w:link w:val="IntenseQuote"/>
    <w:uiPriority w:val="30"/>
    <w:rsid w:val="00762017"/>
    <w:rPr>
      <w:rFonts w:ascii="Calibri" w:hAnsi="Calibri"/>
      <w:i/>
      <w:iCs/>
      <w:color w:val="2BB673" w:themeColor="accent1"/>
      <w:sz w:val="24"/>
    </w:rPr>
  </w:style>
  <w:style w:type="character" w:styleId="IntenseReference">
    <w:name w:val="Intense Reference"/>
    <w:basedOn w:val="DefaultParagraphFont"/>
    <w:uiPriority w:val="32"/>
    <w:rsid w:val="00762017"/>
    <w:rPr>
      <w:b/>
      <w:bCs/>
      <w:smallCaps/>
      <w:color w:val="2BB673" w:themeColor="accent1"/>
      <w:spacing w:val="5"/>
    </w:rPr>
  </w:style>
  <w:style w:type="table" w:styleId="LightGrid">
    <w:name w:val="Light Grid"/>
    <w:basedOn w:val="TableNormal"/>
    <w:uiPriority w:val="62"/>
    <w:semiHidden/>
    <w:unhideWhenUsed/>
    <w:rsid w:val="00762017"/>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762017"/>
    <w:pPr>
      <w:spacing w:after="0" w:line="240" w:lineRule="auto"/>
    </w:pPr>
    <w:tblPr>
      <w:tblStyleRowBandSize w:val="1"/>
      <w:tblStyleColBandSize w:val="1"/>
      <w:tblBorders>
        <w:top w:val="single" w:sz="8" w:space="0" w:color="2BB673" w:themeColor="accent1"/>
        <w:left w:val="single" w:sz="8" w:space="0" w:color="2BB673" w:themeColor="accent1"/>
        <w:bottom w:val="single" w:sz="8" w:space="0" w:color="2BB673" w:themeColor="accent1"/>
        <w:right w:val="single" w:sz="8" w:space="0" w:color="2BB673" w:themeColor="accent1"/>
        <w:insideH w:val="single" w:sz="8" w:space="0" w:color="2BB673" w:themeColor="accent1"/>
        <w:insideV w:val="single" w:sz="8" w:space="0" w:color="2BB673"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BB673" w:themeColor="accent1"/>
          <w:left w:val="single" w:sz="8" w:space="0" w:color="2BB673" w:themeColor="accent1"/>
          <w:bottom w:val="single" w:sz="18" w:space="0" w:color="2BB673" w:themeColor="accent1"/>
          <w:right w:val="single" w:sz="8" w:space="0" w:color="2BB673" w:themeColor="accent1"/>
          <w:insideH w:val="nil"/>
          <w:insideV w:val="single" w:sz="8" w:space="0" w:color="2BB673"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BB673" w:themeColor="accent1"/>
          <w:left w:val="single" w:sz="8" w:space="0" w:color="2BB673" w:themeColor="accent1"/>
          <w:bottom w:val="single" w:sz="8" w:space="0" w:color="2BB673" w:themeColor="accent1"/>
          <w:right w:val="single" w:sz="8" w:space="0" w:color="2BB673" w:themeColor="accent1"/>
          <w:insideH w:val="nil"/>
          <w:insideV w:val="single" w:sz="8" w:space="0" w:color="2BB673"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BB673" w:themeColor="accent1"/>
          <w:left w:val="single" w:sz="8" w:space="0" w:color="2BB673" w:themeColor="accent1"/>
          <w:bottom w:val="single" w:sz="8" w:space="0" w:color="2BB673" w:themeColor="accent1"/>
          <w:right w:val="single" w:sz="8" w:space="0" w:color="2BB673" w:themeColor="accent1"/>
        </w:tcBorders>
      </w:tcPr>
    </w:tblStylePr>
    <w:tblStylePr w:type="band1Vert">
      <w:tblPr/>
      <w:tcPr>
        <w:tcBorders>
          <w:top w:val="single" w:sz="8" w:space="0" w:color="2BB673" w:themeColor="accent1"/>
          <w:left w:val="single" w:sz="8" w:space="0" w:color="2BB673" w:themeColor="accent1"/>
          <w:bottom w:val="single" w:sz="8" w:space="0" w:color="2BB673" w:themeColor="accent1"/>
          <w:right w:val="single" w:sz="8" w:space="0" w:color="2BB673" w:themeColor="accent1"/>
        </w:tcBorders>
        <w:shd w:val="clear" w:color="auto" w:fill="C5F1DC" w:themeFill="accent1" w:themeFillTint="3F"/>
      </w:tcPr>
    </w:tblStylePr>
    <w:tblStylePr w:type="band1Horz">
      <w:tblPr/>
      <w:tcPr>
        <w:tcBorders>
          <w:top w:val="single" w:sz="8" w:space="0" w:color="2BB673" w:themeColor="accent1"/>
          <w:left w:val="single" w:sz="8" w:space="0" w:color="2BB673" w:themeColor="accent1"/>
          <w:bottom w:val="single" w:sz="8" w:space="0" w:color="2BB673" w:themeColor="accent1"/>
          <w:right w:val="single" w:sz="8" w:space="0" w:color="2BB673" w:themeColor="accent1"/>
          <w:insideV w:val="single" w:sz="8" w:space="0" w:color="2BB673" w:themeColor="accent1"/>
        </w:tcBorders>
        <w:shd w:val="clear" w:color="auto" w:fill="C5F1DC" w:themeFill="accent1" w:themeFillTint="3F"/>
      </w:tcPr>
    </w:tblStylePr>
    <w:tblStylePr w:type="band2Horz">
      <w:tblPr/>
      <w:tcPr>
        <w:tcBorders>
          <w:top w:val="single" w:sz="8" w:space="0" w:color="2BB673" w:themeColor="accent1"/>
          <w:left w:val="single" w:sz="8" w:space="0" w:color="2BB673" w:themeColor="accent1"/>
          <w:bottom w:val="single" w:sz="8" w:space="0" w:color="2BB673" w:themeColor="accent1"/>
          <w:right w:val="single" w:sz="8" w:space="0" w:color="2BB673" w:themeColor="accent1"/>
          <w:insideV w:val="single" w:sz="8" w:space="0" w:color="2BB673" w:themeColor="accent1"/>
        </w:tcBorders>
      </w:tcPr>
    </w:tblStylePr>
  </w:style>
  <w:style w:type="table" w:styleId="LightGrid-Accent2">
    <w:name w:val="Light Grid Accent 2"/>
    <w:basedOn w:val="TableNormal"/>
    <w:uiPriority w:val="62"/>
    <w:semiHidden/>
    <w:unhideWhenUsed/>
    <w:rsid w:val="00762017"/>
    <w:pPr>
      <w:spacing w:after="0" w:line="240" w:lineRule="auto"/>
    </w:pPr>
    <w:tblPr>
      <w:tblStyleRowBandSize w:val="1"/>
      <w:tblStyleColBandSize w:val="1"/>
      <w:tblBorders>
        <w:top w:val="single" w:sz="8" w:space="0" w:color="93B41A" w:themeColor="accent2"/>
        <w:left w:val="single" w:sz="8" w:space="0" w:color="93B41A" w:themeColor="accent2"/>
        <w:bottom w:val="single" w:sz="8" w:space="0" w:color="93B41A" w:themeColor="accent2"/>
        <w:right w:val="single" w:sz="8" w:space="0" w:color="93B41A" w:themeColor="accent2"/>
        <w:insideH w:val="single" w:sz="8" w:space="0" w:color="93B41A" w:themeColor="accent2"/>
        <w:insideV w:val="single" w:sz="8" w:space="0" w:color="93B41A"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3B41A" w:themeColor="accent2"/>
          <w:left w:val="single" w:sz="8" w:space="0" w:color="93B41A" w:themeColor="accent2"/>
          <w:bottom w:val="single" w:sz="18" w:space="0" w:color="93B41A" w:themeColor="accent2"/>
          <w:right w:val="single" w:sz="8" w:space="0" w:color="93B41A" w:themeColor="accent2"/>
          <w:insideH w:val="nil"/>
          <w:insideV w:val="single" w:sz="8" w:space="0" w:color="93B41A"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3B41A" w:themeColor="accent2"/>
          <w:left w:val="single" w:sz="8" w:space="0" w:color="93B41A" w:themeColor="accent2"/>
          <w:bottom w:val="single" w:sz="8" w:space="0" w:color="93B41A" w:themeColor="accent2"/>
          <w:right w:val="single" w:sz="8" w:space="0" w:color="93B41A" w:themeColor="accent2"/>
          <w:insideH w:val="nil"/>
          <w:insideV w:val="single" w:sz="8" w:space="0" w:color="93B41A"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3B41A" w:themeColor="accent2"/>
          <w:left w:val="single" w:sz="8" w:space="0" w:color="93B41A" w:themeColor="accent2"/>
          <w:bottom w:val="single" w:sz="8" w:space="0" w:color="93B41A" w:themeColor="accent2"/>
          <w:right w:val="single" w:sz="8" w:space="0" w:color="93B41A" w:themeColor="accent2"/>
        </w:tcBorders>
      </w:tcPr>
    </w:tblStylePr>
    <w:tblStylePr w:type="band1Vert">
      <w:tblPr/>
      <w:tcPr>
        <w:tcBorders>
          <w:top w:val="single" w:sz="8" w:space="0" w:color="93B41A" w:themeColor="accent2"/>
          <w:left w:val="single" w:sz="8" w:space="0" w:color="93B41A" w:themeColor="accent2"/>
          <w:bottom w:val="single" w:sz="8" w:space="0" w:color="93B41A" w:themeColor="accent2"/>
          <w:right w:val="single" w:sz="8" w:space="0" w:color="93B41A" w:themeColor="accent2"/>
        </w:tcBorders>
        <w:shd w:val="clear" w:color="auto" w:fill="E9F5BD" w:themeFill="accent2" w:themeFillTint="3F"/>
      </w:tcPr>
    </w:tblStylePr>
    <w:tblStylePr w:type="band1Horz">
      <w:tblPr/>
      <w:tcPr>
        <w:tcBorders>
          <w:top w:val="single" w:sz="8" w:space="0" w:color="93B41A" w:themeColor="accent2"/>
          <w:left w:val="single" w:sz="8" w:space="0" w:color="93B41A" w:themeColor="accent2"/>
          <w:bottom w:val="single" w:sz="8" w:space="0" w:color="93B41A" w:themeColor="accent2"/>
          <w:right w:val="single" w:sz="8" w:space="0" w:color="93B41A" w:themeColor="accent2"/>
          <w:insideV w:val="single" w:sz="8" w:space="0" w:color="93B41A" w:themeColor="accent2"/>
        </w:tcBorders>
        <w:shd w:val="clear" w:color="auto" w:fill="E9F5BD" w:themeFill="accent2" w:themeFillTint="3F"/>
      </w:tcPr>
    </w:tblStylePr>
    <w:tblStylePr w:type="band2Horz">
      <w:tblPr/>
      <w:tcPr>
        <w:tcBorders>
          <w:top w:val="single" w:sz="8" w:space="0" w:color="93B41A" w:themeColor="accent2"/>
          <w:left w:val="single" w:sz="8" w:space="0" w:color="93B41A" w:themeColor="accent2"/>
          <w:bottom w:val="single" w:sz="8" w:space="0" w:color="93B41A" w:themeColor="accent2"/>
          <w:right w:val="single" w:sz="8" w:space="0" w:color="93B41A" w:themeColor="accent2"/>
          <w:insideV w:val="single" w:sz="8" w:space="0" w:color="93B41A" w:themeColor="accent2"/>
        </w:tcBorders>
      </w:tcPr>
    </w:tblStylePr>
  </w:style>
  <w:style w:type="table" w:styleId="LightGrid-Accent3">
    <w:name w:val="Light Grid Accent 3"/>
    <w:basedOn w:val="TableNormal"/>
    <w:uiPriority w:val="62"/>
    <w:semiHidden/>
    <w:unhideWhenUsed/>
    <w:rsid w:val="00762017"/>
    <w:pPr>
      <w:spacing w:after="0" w:line="240" w:lineRule="auto"/>
    </w:pPr>
    <w:tblPr>
      <w:tblStyleRowBandSize w:val="1"/>
      <w:tblStyleColBandSize w:val="1"/>
      <w:tblBorders>
        <w:top w:val="single" w:sz="8" w:space="0" w:color="F06A3B" w:themeColor="accent3"/>
        <w:left w:val="single" w:sz="8" w:space="0" w:color="F06A3B" w:themeColor="accent3"/>
        <w:bottom w:val="single" w:sz="8" w:space="0" w:color="F06A3B" w:themeColor="accent3"/>
        <w:right w:val="single" w:sz="8" w:space="0" w:color="F06A3B" w:themeColor="accent3"/>
        <w:insideH w:val="single" w:sz="8" w:space="0" w:color="F06A3B" w:themeColor="accent3"/>
        <w:insideV w:val="single" w:sz="8" w:space="0" w:color="F06A3B"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06A3B" w:themeColor="accent3"/>
          <w:left w:val="single" w:sz="8" w:space="0" w:color="F06A3B" w:themeColor="accent3"/>
          <w:bottom w:val="single" w:sz="18" w:space="0" w:color="F06A3B" w:themeColor="accent3"/>
          <w:right w:val="single" w:sz="8" w:space="0" w:color="F06A3B" w:themeColor="accent3"/>
          <w:insideH w:val="nil"/>
          <w:insideV w:val="single" w:sz="8" w:space="0" w:color="F06A3B"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06A3B" w:themeColor="accent3"/>
          <w:left w:val="single" w:sz="8" w:space="0" w:color="F06A3B" w:themeColor="accent3"/>
          <w:bottom w:val="single" w:sz="8" w:space="0" w:color="F06A3B" w:themeColor="accent3"/>
          <w:right w:val="single" w:sz="8" w:space="0" w:color="F06A3B" w:themeColor="accent3"/>
          <w:insideH w:val="nil"/>
          <w:insideV w:val="single" w:sz="8" w:space="0" w:color="F06A3B"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06A3B" w:themeColor="accent3"/>
          <w:left w:val="single" w:sz="8" w:space="0" w:color="F06A3B" w:themeColor="accent3"/>
          <w:bottom w:val="single" w:sz="8" w:space="0" w:color="F06A3B" w:themeColor="accent3"/>
          <w:right w:val="single" w:sz="8" w:space="0" w:color="F06A3B" w:themeColor="accent3"/>
        </w:tcBorders>
      </w:tcPr>
    </w:tblStylePr>
    <w:tblStylePr w:type="band1Vert">
      <w:tblPr/>
      <w:tcPr>
        <w:tcBorders>
          <w:top w:val="single" w:sz="8" w:space="0" w:color="F06A3B" w:themeColor="accent3"/>
          <w:left w:val="single" w:sz="8" w:space="0" w:color="F06A3B" w:themeColor="accent3"/>
          <w:bottom w:val="single" w:sz="8" w:space="0" w:color="F06A3B" w:themeColor="accent3"/>
          <w:right w:val="single" w:sz="8" w:space="0" w:color="F06A3B" w:themeColor="accent3"/>
        </w:tcBorders>
        <w:shd w:val="clear" w:color="auto" w:fill="FBD9CE" w:themeFill="accent3" w:themeFillTint="3F"/>
      </w:tcPr>
    </w:tblStylePr>
    <w:tblStylePr w:type="band1Horz">
      <w:tblPr/>
      <w:tcPr>
        <w:tcBorders>
          <w:top w:val="single" w:sz="8" w:space="0" w:color="F06A3B" w:themeColor="accent3"/>
          <w:left w:val="single" w:sz="8" w:space="0" w:color="F06A3B" w:themeColor="accent3"/>
          <w:bottom w:val="single" w:sz="8" w:space="0" w:color="F06A3B" w:themeColor="accent3"/>
          <w:right w:val="single" w:sz="8" w:space="0" w:color="F06A3B" w:themeColor="accent3"/>
          <w:insideV w:val="single" w:sz="8" w:space="0" w:color="F06A3B" w:themeColor="accent3"/>
        </w:tcBorders>
        <w:shd w:val="clear" w:color="auto" w:fill="FBD9CE" w:themeFill="accent3" w:themeFillTint="3F"/>
      </w:tcPr>
    </w:tblStylePr>
    <w:tblStylePr w:type="band2Horz">
      <w:tblPr/>
      <w:tcPr>
        <w:tcBorders>
          <w:top w:val="single" w:sz="8" w:space="0" w:color="F06A3B" w:themeColor="accent3"/>
          <w:left w:val="single" w:sz="8" w:space="0" w:color="F06A3B" w:themeColor="accent3"/>
          <w:bottom w:val="single" w:sz="8" w:space="0" w:color="F06A3B" w:themeColor="accent3"/>
          <w:right w:val="single" w:sz="8" w:space="0" w:color="F06A3B" w:themeColor="accent3"/>
          <w:insideV w:val="single" w:sz="8" w:space="0" w:color="F06A3B" w:themeColor="accent3"/>
        </w:tcBorders>
      </w:tcPr>
    </w:tblStylePr>
  </w:style>
  <w:style w:type="table" w:styleId="LightGrid-Accent4">
    <w:name w:val="Light Grid Accent 4"/>
    <w:basedOn w:val="TableNormal"/>
    <w:uiPriority w:val="62"/>
    <w:semiHidden/>
    <w:unhideWhenUsed/>
    <w:rsid w:val="00762017"/>
    <w:pPr>
      <w:spacing w:after="0" w:line="240" w:lineRule="auto"/>
    </w:pPr>
    <w:tblPr>
      <w:tblStyleRowBandSize w:val="1"/>
      <w:tblStyleColBandSize w:val="1"/>
      <w:tblBorders>
        <w:top w:val="single" w:sz="8" w:space="0" w:color="9561CC" w:themeColor="accent4"/>
        <w:left w:val="single" w:sz="8" w:space="0" w:color="9561CC" w:themeColor="accent4"/>
        <w:bottom w:val="single" w:sz="8" w:space="0" w:color="9561CC" w:themeColor="accent4"/>
        <w:right w:val="single" w:sz="8" w:space="0" w:color="9561CC" w:themeColor="accent4"/>
        <w:insideH w:val="single" w:sz="8" w:space="0" w:color="9561CC" w:themeColor="accent4"/>
        <w:insideV w:val="single" w:sz="8" w:space="0" w:color="9561CC"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561CC" w:themeColor="accent4"/>
          <w:left w:val="single" w:sz="8" w:space="0" w:color="9561CC" w:themeColor="accent4"/>
          <w:bottom w:val="single" w:sz="18" w:space="0" w:color="9561CC" w:themeColor="accent4"/>
          <w:right w:val="single" w:sz="8" w:space="0" w:color="9561CC" w:themeColor="accent4"/>
          <w:insideH w:val="nil"/>
          <w:insideV w:val="single" w:sz="8" w:space="0" w:color="9561CC"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561CC" w:themeColor="accent4"/>
          <w:left w:val="single" w:sz="8" w:space="0" w:color="9561CC" w:themeColor="accent4"/>
          <w:bottom w:val="single" w:sz="8" w:space="0" w:color="9561CC" w:themeColor="accent4"/>
          <w:right w:val="single" w:sz="8" w:space="0" w:color="9561CC" w:themeColor="accent4"/>
          <w:insideH w:val="nil"/>
          <w:insideV w:val="single" w:sz="8" w:space="0" w:color="9561CC"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561CC" w:themeColor="accent4"/>
          <w:left w:val="single" w:sz="8" w:space="0" w:color="9561CC" w:themeColor="accent4"/>
          <w:bottom w:val="single" w:sz="8" w:space="0" w:color="9561CC" w:themeColor="accent4"/>
          <w:right w:val="single" w:sz="8" w:space="0" w:color="9561CC" w:themeColor="accent4"/>
        </w:tcBorders>
      </w:tcPr>
    </w:tblStylePr>
    <w:tblStylePr w:type="band1Vert">
      <w:tblPr/>
      <w:tcPr>
        <w:tcBorders>
          <w:top w:val="single" w:sz="8" w:space="0" w:color="9561CC" w:themeColor="accent4"/>
          <w:left w:val="single" w:sz="8" w:space="0" w:color="9561CC" w:themeColor="accent4"/>
          <w:bottom w:val="single" w:sz="8" w:space="0" w:color="9561CC" w:themeColor="accent4"/>
          <w:right w:val="single" w:sz="8" w:space="0" w:color="9561CC" w:themeColor="accent4"/>
        </w:tcBorders>
        <w:shd w:val="clear" w:color="auto" w:fill="E4D7F2" w:themeFill="accent4" w:themeFillTint="3F"/>
      </w:tcPr>
    </w:tblStylePr>
    <w:tblStylePr w:type="band1Horz">
      <w:tblPr/>
      <w:tcPr>
        <w:tcBorders>
          <w:top w:val="single" w:sz="8" w:space="0" w:color="9561CC" w:themeColor="accent4"/>
          <w:left w:val="single" w:sz="8" w:space="0" w:color="9561CC" w:themeColor="accent4"/>
          <w:bottom w:val="single" w:sz="8" w:space="0" w:color="9561CC" w:themeColor="accent4"/>
          <w:right w:val="single" w:sz="8" w:space="0" w:color="9561CC" w:themeColor="accent4"/>
          <w:insideV w:val="single" w:sz="8" w:space="0" w:color="9561CC" w:themeColor="accent4"/>
        </w:tcBorders>
        <w:shd w:val="clear" w:color="auto" w:fill="E4D7F2" w:themeFill="accent4" w:themeFillTint="3F"/>
      </w:tcPr>
    </w:tblStylePr>
    <w:tblStylePr w:type="band2Horz">
      <w:tblPr/>
      <w:tcPr>
        <w:tcBorders>
          <w:top w:val="single" w:sz="8" w:space="0" w:color="9561CC" w:themeColor="accent4"/>
          <w:left w:val="single" w:sz="8" w:space="0" w:color="9561CC" w:themeColor="accent4"/>
          <w:bottom w:val="single" w:sz="8" w:space="0" w:color="9561CC" w:themeColor="accent4"/>
          <w:right w:val="single" w:sz="8" w:space="0" w:color="9561CC" w:themeColor="accent4"/>
          <w:insideV w:val="single" w:sz="8" w:space="0" w:color="9561CC" w:themeColor="accent4"/>
        </w:tcBorders>
      </w:tcPr>
    </w:tblStylePr>
  </w:style>
  <w:style w:type="table" w:styleId="LightGrid-Accent5">
    <w:name w:val="Light Grid Accent 5"/>
    <w:basedOn w:val="TableNormal"/>
    <w:uiPriority w:val="62"/>
    <w:semiHidden/>
    <w:unhideWhenUsed/>
    <w:rsid w:val="00762017"/>
    <w:pPr>
      <w:spacing w:after="0" w:line="240" w:lineRule="auto"/>
    </w:pPr>
    <w:tblPr>
      <w:tblStyleRowBandSize w:val="1"/>
      <w:tblStyleColBandSize w:val="1"/>
      <w:tblBorders>
        <w:top w:val="single" w:sz="8" w:space="0" w:color="00ADC6" w:themeColor="accent5"/>
        <w:left w:val="single" w:sz="8" w:space="0" w:color="00ADC6" w:themeColor="accent5"/>
        <w:bottom w:val="single" w:sz="8" w:space="0" w:color="00ADC6" w:themeColor="accent5"/>
        <w:right w:val="single" w:sz="8" w:space="0" w:color="00ADC6" w:themeColor="accent5"/>
        <w:insideH w:val="single" w:sz="8" w:space="0" w:color="00ADC6" w:themeColor="accent5"/>
        <w:insideV w:val="single" w:sz="8" w:space="0" w:color="00AD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ADC6" w:themeColor="accent5"/>
          <w:left w:val="single" w:sz="8" w:space="0" w:color="00ADC6" w:themeColor="accent5"/>
          <w:bottom w:val="single" w:sz="18" w:space="0" w:color="00ADC6" w:themeColor="accent5"/>
          <w:right w:val="single" w:sz="8" w:space="0" w:color="00ADC6" w:themeColor="accent5"/>
          <w:insideH w:val="nil"/>
          <w:insideV w:val="single" w:sz="8" w:space="0" w:color="00AD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ADC6" w:themeColor="accent5"/>
          <w:left w:val="single" w:sz="8" w:space="0" w:color="00ADC6" w:themeColor="accent5"/>
          <w:bottom w:val="single" w:sz="8" w:space="0" w:color="00ADC6" w:themeColor="accent5"/>
          <w:right w:val="single" w:sz="8" w:space="0" w:color="00ADC6" w:themeColor="accent5"/>
          <w:insideH w:val="nil"/>
          <w:insideV w:val="single" w:sz="8" w:space="0" w:color="00AD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ADC6" w:themeColor="accent5"/>
          <w:left w:val="single" w:sz="8" w:space="0" w:color="00ADC6" w:themeColor="accent5"/>
          <w:bottom w:val="single" w:sz="8" w:space="0" w:color="00ADC6" w:themeColor="accent5"/>
          <w:right w:val="single" w:sz="8" w:space="0" w:color="00ADC6" w:themeColor="accent5"/>
        </w:tcBorders>
      </w:tcPr>
    </w:tblStylePr>
    <w:tblStylePr w:type="band1Vert">
      <w:tblPr/>
      <w:tcPr>
        <w:tcBorders>
          <w:top w:val="single" w:sz="8" w:space="0" w:color="00ADC6" w:themeColor="accent5"/>
          <w:left w:val="single" w:sz="8" w:space="0" w:color="00ADC6" w:themeColor="accent5"/>
          <w:bottom w:val="single" w:sz="8" w:space="0" w:color="00ADC6" w:themeColor="accent5"/>
          <w:right w:val="single" w:sz="8" w:space="0" w:color="00ADC6" w:themeColor="accent5"/>
        </w:tcBorders>
        <w:shd w:val="clear" w:color="auto" w:fill="B1F4FF" w:themeFill="accent5" w:themeFillTint="3F"/>
      </w:tcPr>
    </w:tblStylePr>
    <w:tblStylePr w:type="band1Horz">
      <w:tblPr/>
      <w:tcPr>
        <w:tcBorders>
          <w:top w:val="single" w:sz="8" w:space="0" w:color="00ADC6" w:themeColor="accent5"/>
          <w:left w:val="single" w:sz="8" w:space="0" w:color="00ADC6" w:themeColor="accent5"/>
          <w:bottom w:val="single" w:sz="8" w:space="0" w:color="00ADC6" w:themeColor="accent5"/>
          <w:right w:val="single" w:sz="8" w:space="0" w:color="00ADC6" w:themeColor="accent5"/>
          <w:insideV w:val="single" w:sz="8" w:space="0" w:color="00ADC6" w:themeColor="accent5"/>
        </w:tcBorders>
        <w:shd w:val="clear" w:color="auto" w:fill="B1F4FF" w:themeFill="accent5" w:themeFillTint="3F"/>
      </w:tcPr>
    </w:tblStylePr>
    <w:tblStylePr w:type="band2Horz">
      <w:tblPr/>
      <w:tcPr>
        <w:tcBorders>
          <w:top w:val="single" w:sz="8" w:space="0" w:color="00ADC6" w:themeColor="accent5"/>
          <w:left w:val="single" w:sz="8" w:space="0" w:color="00ADC6" w:themeColor="accent5"/>
          <w:bottom w:val="single" w:sz="8" w:space="0" w:color="00ADC6" w:themeColor="accent5"/>
          <w:right w:val="single" w:sz="8" w:space="0" w:color="00ADC6" w:themeColor="accent5"/>
          <w:insideV w:val="single" w:sz="8" w:space="0" w:color="00ADC6" w:themeColor="accent5"/>
        </w:tcBorders>
      </w:tcPr>
    </w:tblStylePr>
  </w:style>
  <w:style w:type="table" w:styleId="LightGrid-Accent6">
    <w:name w:val="Light Grid Accent 6"/>
    <w:basedOn w:val="TableNormal"/>
    <w:uiPriority w:val="62"/>
    <w:semiHidden/>
    <w:unhideWhenUsed/>
    <w:rsid w:val="00762017"/>
    <w:pPr>
      <w:spacing w:after="0" w:line="240" w:lineRule="auto"/>
    </w:pPr>
    <w:tblPr>
      <w:tblStyleRowBandSize w:val="1"/>
      <w:tblStyleColBandSize w:val="1"/>
      <w:tblBorders>
        <w:top w:val="single" w:sz="8" w:space="0" w:color="FD8F0A" w:themeColor="accent6"/>
        <w:left w:val="single" w:sz="8" w:space="0" w:color="FD8F0A" w:themeColor="accent6"/>
        <w:bottom w:val="single" w:sz="8" w:space="0" w:color="FD8F0A" w:themeColor="accent6"/>
        <w:right w:val="single" w:sz="8" w:space="0" w:color="FD8F0A" w:themeColor="accent6"/>
        <w:insideH w:val="single" w:sz="8" w:space="0" w:color="FD8F0A" w:themeColor="accent6"/>
        <w:insideV w:val="single" w:sz="8" w:space="0" w:color="FD8F0A"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D8F0A" w:themeColor="accent6"/>
          <w:left w:val="single" w:sz="8" w:space="0" w:color="FD8F0A" w:themeColor="accent6"/>
          <w:bottom w:val="single" w:sz="18" w:space="0" w:color="FD8F0A" w:themeColor="accent6"/>
          <w:right w:val="single" w:sz="8" w:space="0" w:color="FD8F0A" w:themeColor="accent6"/>
          <w:insideH w:val="nil"/>
          <w:insideV w:val="single" w:sz="8" w:space="0" w:color="FD8F0A"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D8F0A" w:themeColor="accent6"/>
          <w:left w:val="single" w:sz="8" w:space="0" w:color="FD8F0A" w:themeColor="accent6"/>
          <w:bottom w:val="single" w:sz="8" w:space="0" w:color="FD8F0A" w:themeColor="accent6"/>
          <w:right w:val="single" w:sz="8" w:space="0" w:color="FD8F0A" w:themeColor="accent6"/>
          <w:insideH w:val="nil"/>
          <w:insideV w:val="single" w:sz="8" w:space="0" w:color="FD8F0A"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D8F0A" w:themeColor="accent6"/>
          <w:left w:val="single" w:sz="8" w:space="0" w:color="FD8F0A" w:themeColor="accent6"/>
          <w:bottom w:val="single" w:sz="8" w:space="0" w:color="FD8F0A" w:themeColor="accent6"/>
          <w:right w:val="single" w:sz="8" w:space="0" w:color="FD8F0A" w:themeColor="accent6"/>
        </w:tcBorders>
      </w:tcPr>
    </w:tblStylePr>
    <w:tblStylePr w:type="band1Vert">
      <w:tblPr/>
      <w:tcPr>
        <w:tcBorders>
          <w:top w:val="single" w:sz="8" w:space="0" w:color="FD8F0A" w:themeColor="accent6"/>
          <w:left w:val="single" w:sz="8" w:space="0" w:color="FD8F0A" w:themeColor="accent6"/>
          <w:bottom w:val="single" w:sz="8" w:space="0" w:color="FD8F0A" w:themeColor="accent6"/>
          <w:right w:val="single" w:sz="8" w:space="0" w:color="FD8F0A" w:themeColor="accent6"/>
        </w:tcBorders>
        <w:shd w:val="clear" w:color="auto" w:fill="FEE3C2" w:themeFill="accent6" w:themeFillTint="3F"/>
      </w:tcPr>
    </w:tblStylePr>
    <w:tblStylePr w:type="band1Horz">
      <w:tblPr/>
      <w:tcPr>
        <w:tcBorders>
          <w:top w:val="single" w:sz="8" w:space="0" w:color="FD8F0A" w:themeColor="accent6"/>
          <w:left w:val="single" w:sz="8" w:space="0" w:color="FD8F0A" w:themeColor="accent6"/>
          <w:bottom w:val="single" w:sz="8" w:space="0" w:color="FD8F0A" w:themeColor="accent6"/>
          <w:right w:val="single" w:sz="8" w:space="0" w:color="FD8F0A" w:themeColor="accent6"/>
          <w:insideV w:val="single" w:sz="8" w:space="0" w:color="FD8F0A" w:themeColor="accent6"/>
        </w:tcBorders>
        <w:shd w:val="clear" w:color="auto" w:fill="FEE3C2" w:themeFill="accent6" w:themeFillTint="3F"/>
      </w:tcPr>
    </w:tblStylePr>
    <w:tblStylePr w:type="band2Horz">
      <w:tblPr/>
      <w:tcPr>
        <w:tcBorders>
          <w:top w:val="single" w:sz="8" w:space="0" w:color="FD8F0A" w:themeColor="accent6"/>
          <w:left w:val="single" w:sz="8" w:space="0" w:color="FD8F0A" w:themeColor="accent6"/>
          <w:bottom w:val="single" w:sz="8" w:space="0" w:color="FD8F0A" w:themeColor="accent6"/>
          <w:right w:val="single" w:sz="8" w:space="0" w:color="FD8F0A" w:themeColor="accent6"/>
          <w:insideV w:val="single" w:sz="8" w:space="0" w:color="FD8F0A" w:themeColor="accent6"/>
        </w:tcBorders>
      </w:tcPr>
    </w:tblStylePr>
  </w:style>
  <w:style w:type="table" w:styleId="LightList">
    <w:name w:val="Light List"/>
    <w:basedOn w:val="TableNormal"/>
    <w:uiPriority w:val="61"/>
    <w:semiHidden/>
    <w:unhideWhenUsed/>
    <w:rsid w:val="00762017"/>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762017"/>
    <w:pPr>
      <w:spacing w:after="0" w:line="240" w:lineRule="auto"/>
    </w:pPr>
    <w:tblPr>
      <w:tblStyleRowBandSize w:val="1"/>
      <w:tblStyleColBandSize w:val="1"/>
      <w:tblBorders>
        <w:top w:val="single" w:sz="8" w:space="0" w:color="2BB673" w:themeColor="accent1"/>
        <w:left w:val="single" w:sz="8" w:space="0" w:color="2BB673" w:themeColor="accent1"/>
        <w:bottom w:val="single" w:sz="8" w:space="0" w:color="2BB673" w:themeColor="accent1"/>
        <w:right w:val="single" w:sz="8" w:space="0" w:color="2BB673" w:themeColor="accent1"/>
      </w:tblBorders>
    </w:tblPr>
    <w:tblStylePr w:type="firstRow">
      <w:pPr>
        <w:spacing w:before="0" w:after="0" w:line="240" w:lineRule="auto"/>
      </w:pPr>
      <w:rPr>
        <w:b/>
        <w:bCs/>
        <w:color w:val="FFFFFF" w:themeColor="background1"/>
      </w:rPr>
      <w:tblPr/>
      <w:tcPr>
        <w:shd w:val="clear" w:color="auto" w:fill="2BB673" w:themeFill="accent1"/>
      </w:tcPr>
    </w:tblStylePr>
    <w:tblStylePr w:type="lastRow">
      <w:pPr>
        <w:spacing w:before="0" w:after="0" w:line="240" w:lineRule="auto"/>
      </w:pPr>
      <w:rPr>
        <w:b/>
        <w:bCs/>
      </w:rPr>
      <w:tblPr/>
      <w:tcPr>
        <w:tcBorders>
          <w:top w:val="double" w:sz="6" w:space="0" w:color="2BB673" w:themeColor="accent1"/>
          <w:left w:val="single" w:sz="8" w:space="0" w:color="2BB673" w:themeColor="accent1"/>
          <w:bottom w:val="single" w:sz="8" w:space="0" w:color="2BB673" w:themeColor="accent1"/>
          <w:right w:val="single" w:sz="8" w:space="0" w:color="2BB673" w:themeColor="accent1"/>
        </w:tcBorders>
      </w:tcPr>
    </w:tblStylePr>
    <w:tblStylePr w:type="firstCol">
      <w:rPr>
        <w:b/>
        <w:bCs/>
      </w:rPr>
    </w:tblStylePr>
    <w:tblStylePr w:type="lastCol">
      <w:rPr>
        <w:b/>
        <w:bCs/>
      </w:rPr>
    </w:tblStylePr>
    <w:tblStylePr w:type="band1Vert">
      <w:tblPr/>
      <w:tcPr>
        <w:tcBorders>
          <w:top w:val="single" w:sz="8" w:space="0" w:color="2BB673" w:themeColor="accent1"/>
          <w:left w:val="single" w:sz="8" w:space="0" w:color="2BB673" w:themeColor="accent1"/>
          <w:bottom w:val="single" w:sz="8" w:space="0" w:color="2BB673" w:themeColor="accent1"/>
          <w:right w:val="single" w:sz="8" w:space="0" w:color="2BB673" w:themeColor="accent1"/>
        </w:tcBorders>
      </w:tcPr>
    </w:tblStylePr>
    <w:tblStylePr w:type="band1Horz">
      <w:tblPr/>
      <w:tcPr>
        <w:tcBorders>
          <w:top w:val="single" w:sz="8" w:space="0" w:color="2BB673" w:themeColor="accent1"/>
          <w:left w:val="single" w:sz="8" w:space="0" w:color="2BB673" w:themeColor="accent1"/>
          <w:bottom w:val="single" w:sz="8" w:space="0" w:color="2BB673" w:themeColor="accent1"/>
          <w:right w:val="single" w:sz="8" w:space="0" w:color="2BB673" w:themeColor="accent1"/>
        </w:tcBorders>
      </w:tcPr>
    </w:tblStylePr>
  </w:style>
  <w:style w:type="table" w:styleId="LightList-Accent2">
    <w:name w:val="Light List Accent 2"/>
    <w:basedOn w:val="TableNormal"/>
    <w:uiPriority w:val="61"/>
    <w:semiHidden/>
    <w:unhideWhenUsed/>
    <w:rsid w:val="00762017"/>
    <w:pPr>
      <w:spacing w:after="0" w:line="240" w:lineRule="auto"/>
    </w:pPr>
    <w:tblPr>
      <w:tblStyleRowBandSize w:val="1"/>
      <w:tblStyleColBandSize w:val="1"/>
      <w:tblBorders>
        <w:top w:val="single" w:sz="8" w:space="0" w:color="93B41A" w:themeColor="accent2"/>
        <w:left w:val="single" w:sz="8" w:space="0" w:color="93B41A" w:themeColor="accent2"/>
        <w:bottom w:val="single" w:sz="8" w:space="0" w:color="93B41A" w:themeColor="accent2"/>
        <w:right w:val="single" w:sz="8" w:space="0" w:color="93B41A" w:themeColor="accent2"/>
      </w:tblBorders>
    </w:tblPr>
    <w:tblStylePr w:type="firstRow">
      <w:pPr>
        <w:spacing w:before="0" w:after="0" w:line="240" w:lineRule="auto"/>
      </w:pPr>
      <w:rPr>
        <w:b/>
        <w:bCs/>
        <w:color w:val="FFFFFF" w:themeColor="background1"/>
      </w:rPr>
      <w:tblPr/>
      <w:tcPr>
        <w:shd w:val="clear" w:color="auto" w:fill="93B41A" w:themeFill="accent2"/>
      </w:tcPr>
    </w:tblStylePr>
    <w:tblStylePr w:type="lastRow">
      <w:pPr>
        <w:spacing w:before="0" w:after="0" w:line="240" w:lineRule="auto"/>
      </w:pPr>
      <w:rPr>
        <w:b/>
        <w:bCs/>
      </w:rPr>
      <w:tblPr/>
      <w:tcPr>
        <w:tcBorders>
          <w:top w:val="double" w:sz="6" w:space="0" w:color="93B41A" w:themeColor="accent2"/>
          <w:left w:val="single" w:sz="8" w:space="0" w:color="93B41A" w:themeColor="accent2"/>
          <w:bottom w:val="single" w:sz="8" w:space="0" w:color="93B41A" w:themeColor="accent2"/>
          <w:right w:val="single" w:sz="8" w:space="0" w:color="93B41A" w:themeColor="accent2"/>
        </w:tcBorders>
      </w:tcPr>
    </w:tblStylePr>
    <w:tblStylePr w:type="firstCol">
      <w:rPr>
        <w:b/>
        <w:bCs/>
      </w:rPr>
    </w:tblStylePr>
    <w:tblStylePr w:type="lastCol">
      <w:rPr>
        <w:b/>
        <w:bCs/>
      </w:rPr>
    </w:tblStylePr>
    <w:tblStylePr w:type="band1Vert">
      <w:tblPr/>
      <w:tcPr>
        <w:tcBorders>
          <w:top w:val="single" w:sz="8" w:space="0" w:color="93B41A" w:themeColor="accent2"/>
          <w:left w:val="single" w:sz="8" w:space="0" w:color="93B41A" w:themeColor="accent2"/>
          <w:bottom w:val="single" w:sz="8" w:space="0" w:color="93B41A" w:themeColor="accent2"/>
          <w:right w:val="single" w:sz="8" w:space="0" w:color="93B41A" w:themeColor="accent2"/>
        </w:tcBorders>
      </w:tcPr>
    </w:tblStylePr>
    <w:tblStylePr w:type="band1Horz">
      <w:tblPr/>
      <w:tcPr>
        <w:tcBorders>
          <w:top w:val="single" w:sz="8" w:space="0" w:color="93B41A" w:themeColor="accent2"/>
          <w:left w:val="single" w:sz="8" w:space="0" w:color="93B41A" w:themeColor="accent2"/>
          <w:bottom w:val="single" w:sz="8" w:space="0" w:color="93B41A" w:themeColor="accent2"/>
          <w:right w:val="single" w:sz="8" w:space="0" w:color="93B41A" w:themeColor="accent2"/>
        </w:tcBorders>
      </w:tcPr>
    </w:tblStylePr>
  </w:style>
  <w:style w:type="table" w:styleId="LightList-Accent3">
    <w:name w:val="Light List Accent 3"/>
    <w:basedOn w:val="TableNormal"/>
    <w:uiPriority w:val="61"/>
    <w:semiHidden/>
    <w:unhideWhenUsed/>
    <w:rsid w:val="00762017"/>
    <w:pPr>
      <w:spacing w:after="0" w:line="240" w:lineRule="auto"/>
    </w:pPr>
    <w:tblPr>
      <w:tblStyleRowBandSize w:val="1"/>
      <w:tblStyleColBandSize w:val="1"/>
      <w:tblBorders>
        <w:top w:val="single" w:sz="8" w:space="0" w:color="F06A3B" w:themeColor="accent3"/>
        <w:left w:val="single" w:sz="8" w:space="0" w:color="F06A3B" w:themeColor="accent3"/>
        <w:bottom w:val="single" w:sz="8" w:space="0" w:color="F06A3B" w:themeColor="accent3"/>
        <w:right w:val="single" w:sz="8" w:space="0" w:color="F06A3B" w:themeColor="accent3"/>
      </w:tblBorders>
    </w:tblPr>
    <w:tblStylePr w:type="firstRow">
      <w:pPr>
        <w:spacing w:before="0" w:after="0" w:line="240" w:lineRule="auto"/>
      </w:pPr>
      <w:rPr>
        <w:b/>
        <w:bCs/>
        <w:color w:val="FFFFFF" w:themeColor="background1"/>
      </w:rPr>
      <w:tblPr/>
      <w:tcPr>
        <w:shd w:val="clear" w:color="auto" w:fill="F06A3B" w:themeFill="accent3"/>
      </w:tcPr>
    </w:tblStylePr>
    <w:tblStylePr w:type="lastRow">
      <w:pPr>
        <w:spacing w:before="0" w:after="0" w:line="240" w:lineRule="auto"/>
      </w:pPr>
      <w:rPr>
        <w:b/>
        <w:bCs/>
      </w:rPr>
      <w:tblPr/>
      <w:tcPr>
        <w:tcBorders>
          <w:top w:val="double" w:sz="6" w:space="0" w:color="F06A3B" w:themeColor="accent3"/>
          <w:left w:val="single" w:sz="8" w:space="0" w:color="F06A3B" w:themeColor="accent3"/>
          <w:bottom w:val="single" w:sz="8" w:space="0" w:color="F06A3B" w:themeColor="accent3"/>
          <w:right w:val="single" w:sz="8" w:space="0" w:color="F06A3B" w:themeColor="accent3"/>
        </w:tcBorders>
      </w:tcPr>
    </w:tblStylePr>
    <w:tblStylePr w:type="firstCol">
      <w:rPr>
        <w:b/>
        <w:bCs/>
      </w:rPr>
    </w:tblStylePr>
    <w:tblStylePr w:type="lastCol">
      <w:rPr>
        <w:b/>
        <w:bCs/>
      </w:rPr>
    </w:tblStylePr>
    <w:tblStylePr w:type="band1Vert">
      <w:tblPr/>
      <w:tcPr>
        <w:tcBorders>
          <w:top w:val="single" w:sz="8" w:space="0" w:color="F06A3B" w:themeColor="accent3"/>
          <w:left w:val="single" w:sz="8" w:space="0" w:color="F06A3B" w:themeColor="accent3"/>
          <w:bottom w:val="single" w:sz="8" w:space="0" w:color="F06A3B" w:themeColor="accent3"/>
          <w:right w:val="single" w:sz="8" w:space="0" w:color="F06A3B" w:themeColor="accent3"/>
        </w:tcBorders>
      </w:tcPr>
    </w:tblStylePr>
    <w:tblStylePr w:type="band1Horz">
      <w:tblPr/>
      <w:tcPr>
        <w:tcBorders>
          <w:top w:val="single" w:sz="8" w:space="0" w:color="F06A3B" w:themeColor="accent3"/>
          <w:left w:val="single" w:sz="8" w:space="0" w:color="F06A3B" w:themeColor="accent3"/>
          <w:bottom w:val="single" w:sz="8" w:space="0" w:color="F06A3B" w:themeColor="accent3"/>
          <w:right w:val="single" w:sz="8" w:space="0" w:color="F06A3B" w:themeColor="accent3"/>
        </w:tcBorders>
      </w:tcPr>
    </w:tblStylePr>
  </w:style>
  <w:style w:type="table" w:styleId="LightList-Accent4">
    <w:name w:val="Light List Accent 4"/>
    <w:basedOn w:val="TableNormal"/>
    <w:uiPriority w:val="61"/>
    <w:semiHidden/>
    <w:unhideWhenUsed/>
    <w:rsid w:val="00762017"/>
    <w:pPr>
      <w:spacing w:after="0" w:line="240" w:lineRule="auto"/>
    </w:pPr>
    <w:tblPr>
      <w:tblStyleRowBandSize w:val="1"/>
      <w:tblStyleColBandSize w:val="1"/>
      <w:tblBorders>
        <w:top w:val="single" w:sz="8" w:space="0" w:color="9561CC" w:themeColor="accent4"/>
        <w:left w:val="single" w:sz="8" w:space="0" w:color="9561CC" w:themeColor="accent4"/>
        <w:bottom w:val="single" w:sz="8" w:space="0" w:color="9561CC" w:themeColor="accent4"/>
        <w:right w:val="single" w:sz="8" w:space="0" w:color="9561CC" w:themeColor="accent4"/>
      </w:tblBorders>
    </w:tblPr>
    <w:tblStylePr w:type="firstRow">
      <w:pPr>
        <w:spacing w:before="0" w:after="0" w:line="240" w:lineRule="auto"/>
      </w:pPr>
      <w:rPr>
        <w:b/>
        <w:bCs/>
        <w:color w:val="FFFFFF" w:themeColor="background1"/>
      </w:rPr>
      <w:tblPr/>
      <w:tcPr>
        <w:shd w:val="clear" w:color="auto" w:fill="9561CC" w:themeFill="accent4"/>
      </w:tcPr>
    </w:tblStylePr>
    <w:tblStylePr w:type="lastRow">
      <w:pPr>
        <w:spacing w:before="0" w:after="0" w:line="240" w:lineRule="auto"/>
      </w:pPr>
      <w:rPr>
        <w:b/>
        <w:bCs/>
      </w:rPr>
      <w:tblPr/>
      <w:tcPr>
        <w:tcBorders>
          <w:top w:val="double" w:sz="6" w:space="0" w:color="9561CC" w:themeColor="accent4"/>
          <w:left w:val="single" w:sz="8" w:space="0" w:color="9561CC" w:themeColor="accent4"/>
          <w:bottom w:val="single" w:sz="8" w:space="0" w:color="9561CC" w:themeColor="accent4"/>
          <w:right w:val="single" w:sz="8" w:space="0" w:color="9561CC" w:themeColor="accent4"/>
        </w:tcBorders>
      </w:tcPr>
    </w:tblStylePr>
    <w:tblStylePr w:type="firstCol">
      <w:rPr>
        <w:b/>
        <w:bCs/>
      </w:rPr>
    </w:tblStylePr>
    <w:tblStylePr w:type="lastCol">
      <w:rPr>
        <w:b/>
        <w:bCs/>
      </w:rPr>
    </w:tblStylePr>
    <w:tblStylePr w:type="band1Vert">
      <w:tblPr/>
      <w:tcPr>
        <w:tcBorders>
          <w:top w:val="single" w:sz="8" w:space="0" w:color="9561CC" w:themeColor="accent4"/>
          <w:left w:val="single" w:sz="8" w:space="0" w:color="9561CC" w:themeColor="accent4"/>
          <w:bottom w:val="single" w:sz="8" w:space="0" w:color="9561CC" w:themeColor="accent4"/>
          <w:right w:val="single" w:sz="8" w:space="0" w:color="9561CC" w:themeColor="accent4"/>
        </w:tcBorders>
      </w:tcPr>
    </w:tblStylePr>
    <w:tblStylePr w:type="band1Horz">
      <w:tblPr/>
      <w:tcPr>
        <w:tcBorders>
          <w:top w:val="single" w:sz="8" w:space="0" w:color="9561CC" w:themeColor="accent4"/>
          <w:left w:val="single" w:sz="8" w:space="0" w:color="9561CC" w:themeColor="accent4"/>
          <w:bottom w:val="single" w:sz="8" w:space="0" w:color="9561CC" w:themeColor="accent4"/>
          <w:right w:val="single" w:sz="8" w:space="0" w:color="9561CC" w:themeColor="accent4"/>
        </w:tcBorders>
      </w:tcPr>
    </w:tblStylePr>
  </w:style>
  <w:style w:type="table" w:styleId="LightList-Accent5">
    <w:name w:val="Light List Accent 5"/>
    <w:basedOn w:val="TableNormal"/>
    <w:uiPriority w:val="61"/>
    <w:semiHidden/>
    <w:unhideWhenUsed/>
    <w:rsid w:val="00762017"/>
    <w:pPr>
      <w:spacing w:after="0" w:line="240" w:lineRule="auto"/>
    </w:pPr>
    <w:tblPr>
      <w:tblStyleRowBandSize w:val="1"/>
      <w:tblStyleColBandSize w:val="1"/>
      <w:tblBorders>
        <w:top w:val="single" w:sz="8" w:space="0" w:color="00ADC6" w:themeColor="accent5"/>
        <w:left w:val="single" w:sz="8" w:space="0" w:color="00ADC6" w:themeColor="accent5"/>
        <w:bottom w:val="single" w:sz="8" w:space="0" w:color="00ADC6" w:themeColor="accent5"/>
        <w:right w:val="single" w:sz="8" w:space="0" w:color="00ADC6" w:themeColor="accent5"/>
      </w:tblBorders>
    </w:tblPr>
    <w:tblStylePr w:type="firstRow">
      <w:pPr>
        <w:spacing w:before="0" w:after="0" w:line="240" w:lineRule="auto"/>
      </w:pPr>
      <w:rPr>
        <w:b/>
        <w:bCs/>
        <w:color w:val="FFFFFF" w:themeColor="background1"/>
      </w:rPr>
      <w:tblPr/>
      <w:tcPr>
        <w:shd w:val="clear" w:color="auto" w:fill="00ADC6" w:themeFill="accent5"/>
      </w:tcPr>
    </w:tblStylePr>
    <w:tblStylePr w:type="lastRow">
      <w:pPr>
        <w:spacing w:before="0" w:after="0" w:line="240" w:lineRule="auto"/>
      </w:pPr>
      <w:rPr>
        <w:b/>
        <w:bCs/>
      </w:rPr>
      <w:tblPr/>
      <w:tcPr>
        <w:tcBorders>
          <w:top w:val="double" w:sz="6" w:space="0" w:color="00ADC6" w:themeColor="accent5"/>
          <w:left w:val="single" w:sz="8" w:space="0" w:color="00ADC6" w:themeColor="accent5"/>
          <w:bottom w:val="single" w:sz="8" w:space="0" w:color="00ADC6" w:themeColor="accent5"/>
          <w:right w:val="single" w:sz="8" w:space="0" w:color="00ADC6" w:themeColor="accent5"/>
        </w:tcBorders>
      </w:tcPr>
    </w:tblStylePr>
    <w:tblStylePr w:type="firstCol">
      <w:rPr>
        <w:b/>
        <w:bCs/>
      </w:rPr>
    </w:tblStylePr>
    <w:tblStylePr w:type="lastCol">
      <w:rPr>
        <w:b/>
        <w:bCs/>
      </w:rPr>
    </w:tblStylePr>
    <w:tblStylePr w:type="band1Vert">
      <w:tblPr/>
      <w:tcPr>
        <w:tcBorders>
          <w:top w:val="single" w:sz="8" w:space="0" w:color="00ADC6" w:themeColor="accent5"/>
          <w:left w:val="single" w:sz="8" w:space="0" w:color="00ADC6" w:themeColor="accent5"/>
          <w:bottom w:val="single" w:sz="8" w:space="0" w:color="00ADC6" w:themeColor="accent5"/>
          <w:right w:val="single" w:sz="8" w:space="0" w:color="00ADC6" w:themeColor="accent5"/>
        </w:tcBorders>
      </w:tcPr>
    </w:tblStylePr>
    <w:tblStylePr w:type="band1Horz">
      <w:tblPr/>
      <w:tcPr>
        <w:tcBorders>
          <w:top w:val="single" w:sz="8" w:space="0" w:color="00ADC6" w:themeColor="accent5"/>
          <w:left w:val="single" w:sz="8" w:space="0" w:color="00ADC6" w:themeColor="accent5"/>
          <w:bottom w:val="single" w:sz="8" w:space="0" w:color="00ADC6" w:themeColor="accent5"/>
          <w:right w:val="single" w:sz="8" w:space="0" w:color="00ADC6" w:themeColor="accent5"/>
        </w:tcBorders>
      </w:tcPr>
    </w:tblStylePr>
  </w:style>
  <w:style w:type="table" w:styleId="LightList-Accent6">
    <w:name w:val="Light List Accent 6"/>
    <w:basedOn w:val="TableNormal"/>
    <w:uiPriority w:val="61"/>
    <w:semiHidden/>
    <w:unhideWhenUsed/>
    <w:rsid w:val="00762017"/>
    <w:pPr>
      <w:spacing w:after="0" w:line="240" w:lineRule="auto"/>
    </w:pPr>
    <w:tblPr>
      <w:tblStyleRowBandSize w:val="1"/>
      <w:tblStyleColBandSize w:val="1"/>
      <w:tblBorders>
        <w:top w:val="single" w:sz="8" w:space="0" w:color="FD8F0A" w:themeColor="accent6"/>
        <w:left w:val="single" w:sz="8" w:space="0" w:color="FD8F0A" w:themeColor="accent6"/>
        <w:bottom w:val="single" w:sz="8" w:space="0" w:color="FD8F0A" w:themeColor="accent6"/>
        <w:right w:val="single" w:sz="8" w:space="0" w:color="FD8F0A" w:themeColor="accent6"/>
      </w:tblBorders>
    </w:tblPr>
    <w:tblStylePr w:type="firstRow">
      <w:pPr>
        <w:spacing w:before="0" w:after="0" w:line="240" w:lineRule="auto"/>
      </w:pPr>
      <w:rPr>
        <w:b/>
        <w:bCs/>
        <w:color w:val="FFFFFF" w:themeColor="background1"/>
      </w:rPr>
      <w:tblPr/>
      <w:tcPr>
        <w:shd w:val="clear" w:color="auto" w:fill="FD8F0A" w:themeFill="accent6"/>
      </w:tcPr>
    </w:tblStylePr>
    <w:tblStylePr w:type="lastRow">
      <w:pPr>
        <w:spacing w:before="0" w:after="0" w:line="240" w:lineRule="auto"/>
      </w:pPr>
      <w:rPr>
        <w:b/>
        <w:bCs/>
      </w:rPr>
      <w:tblPr/>
      <w:tcPr>
        <w:tcBorders>
          <w:top w:val="double" w:sz="6" w:space="0" w:color="FD8F0A" w:themeColor="accent6"/>
          <w:left w:val="single" w:sz="8" w:space="0" w:color="FD8F0A" w:themeColor="accent6"/>
          <w:bottom w:val="single" w:sz="8" w:space="0" w:color="FD8F0A" w:themeColor="accent6"/>
          <w:right w:val="single" w:sz="8" w:space="0" w:color="FD8F0A" w:themeColor="accent6"/>
        </w:tcBorders>
      </w:tcPr>
    </w:tblStylePr>
    <w:tblStylePr w:type="firstCol">
      <w:rPr>
        <w:b/>
        <w:bCs/>
      </w:rPr>
    </w:tblStylePr>
    <w:tblStylePr w:type="lastCol">
      <w:rPr>
        <w:b/>
        <w:bCs/>
      </w:rPr>
    </w:tblStylePr>
    <w:tblStylePr w:type="band1Vert">
      <w:tblPr/>
      <w:tcPr>
        <w:tcBorders>
          <w:top w:val="single" w:sz="8" w:space="0" w:color="FD8F0A" w:themeColor="accent6"/>
          <w:left w:val="single" w:sz="8" w:space="0" w:color="FD8F0A" w:themeColor="accent6"/>
          <w:bottom w:val="single" w:sz="8" w:space="0" w:color="FD8F0A" w:themeColor="accent6"/>
          <w:right w:val="single" w:sz="8" w:space="0" w:color="FD8F0A" w:themeColor="accent6"/>
        </w:tcBorders>
      </w:tcPr>
    </w:tblStylePr>
    <w:tblStylePr w:type="band1Horz">
      <w:tblPr/>
      <w:tcPr>
        <w:tcBorders>
          <w:top w:val="single" w:sz="8" w:space="0" w:color="FD8F0A" w:themeColor="accent6"/>
          <w:left w:val="single" w:sz="8" w:space="0" w:color="FD8F0A" w:themeColor="accent6"/>
          <w:bottom w:val="single" w:sz="8" w:space="0" w:color="FD8F0A" w:themeColor="accent6"/>
          <w:right w:val="single" w:sz="8" w:space="0" w:color="FD8F0A" w:themeColor="accent6"/>
        </w:tcBorders>
      </w:tcPr>
    </w:tblStylePr>
  </w:style>
  <w:style w:type="table" w:styleId="LightShading">
    <w:name w:val="Light Shading"/>
    <w:basedOn w:val="TableNormal"/>
    <w:uiPriority w:val="60"/>
    <w:semiHidden/>
    <w:unhideWhenUsed/>
    <w:rsid w:val="00762017"/>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762017"/>
    <w:pPr>
      <w:spacing w:after="0" w:line="240" w:lineRule="auto"/>
    </w:pPr>
    <w:rPr>
      <w:color w:val="208855" w:themeColor="accent1" w:themeShade="BF"/>
    </w:rPr>
    <w:tblPr>
      <w:tblStyleRowBandSize w:val="1"/>
      <w:tblStyleColBandSize w:val="1"/>
      <w:tblBorders>
        <w:top w:val="single" w:sz="8" w:space="0" w:color="2BB673" w:themeColor="accent1"/>
        <w:bottom w:val="single" w:sz="8" w:space="0" w:color="2BB673" w:themeColor="accent1"/>
      </w:tblBorders>
    </w:tblPr>
    <w:tblStylePr w:type="firstRow">
      <w:pPr>
        <w:spacing w:before="0" w:after="0" w:line="240" w:lineRule="auto"/>
      </w:pPr>
      <w:rPr>
        <w:b/>
        <w:bCs/>
      </w:rPr>
      <w:tblPr/>
      <w:tcPr>
        <w:tcBorders>
          <w:top w:val="single" w:sz="8" w:space="0" w:color="2BB673" w:themeColor="accent1"/>
          <w:left w:val="nil"/>
          <w:bottom w:val="single" w:sz="8" w:space="0" w:color="2BB673" w:themeColor="accent1"/>
          <w:right w:val="nil"/>
          <w:insideH w:val="nil"/>
          <w:insideV w:val="nil"/>
        </w:tcBorders>
      </w:tcPr>
    </w:tblStylePr>
    <w:tblStylePr w:type="lastRow">
      <w:pPr>
        <w:spacing w:before="0" w:after="0" w:line="240" w:lineRule="auto"/>
      </w:pPr>
      <w:rPr>
        <w:b/>
        <w:bCs/>
      </w:rPr>
      <w:tblPr/>
      <w:tcPr>
        <w:tcBorders>
          <w:top w:val="single" w:sz="8" w:space="0" w:color="2BB673" w:themeColor="accent1"/>
          <w:left w:val="nil"/>
          <w:bottom w:val="single" w:sz="8" w:space="0" w:color="2BB673"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5F1DC" w:themeFill="accent1" w:themeFillTint="3F"/>
      </w:tcPr>
    </w:tblStylePr>
    <w:tblStylePr w:type="band1Horz">
      <w:tblPr/>
      <w:tcPr>
        <w:tcBorders>
          <w:left w:val="nil"/>
          <w:right w:val="nil"/>
          <w:insideH w:val="nil"/>
          <w:insideV w:val="nil"/>
        </w:tcBorders>
        <w:shd w:val="clear" w:color="auto" w:fill="C5F1DC" w:themeFill="accent1" w:themeFillTint="3F"/>
      </w:tcPr>
    </w:tblStylePr>
  </w:style>
  <w:style w:type="table" w:styleId="LightShading-Accent2">
    <w:name w:val="Light Shading Accent 2"/>
    <w:basedOn w:val="TableNormal"/>
    <w:uiPriority w:val="60"/>
    <w:semiHidden/>
    <w:unhideWhenUsed/>
    <w:rsid w:val="00762017"/>
    <w:pPr>
      <w:spacing w:after="0" w:line="240" w:lineRule="auto"/>
    </w:pPr>
    <w:rPr>
      <w:color w:val="6D8613" w:themeColor="accent2" w:themeShade="BF"/>
    </w:rPr>
    <w:tblPr>
      <w:tblStyleRowBandSize w:val="1"/>
      <w:tblStyleColBandSize w:val="1"/>
      <w:tblBorders>
        <w:top w:val="single" w:sz="8" w:space="0" w:color="93B41A" w:themeColor="accent2"/>
        <w:bottom w:val="single" w:sz="8" w:space="0" w:color="93B41A" w:themeColor="accent2"/>
      </w:tblBorders>
    </w:tblPr>
    <w:tblStylePr w:type="firstRow">
      <w:pPr>
        <w:spacing w:before="0" w:after="0" w:line="240" w:lineRule="auto"/>
      </w:pPr>
      <w:rPr>
        <w:b/>
        <w:bCs/>
      </w:rPr>
      <w:tblPr/>
      <w:tcPr>
        <w:tcBorders>
          <w:top w:val="single" w:sz="8" w:space="0" w:color="93B41A" w:themeColor="accent2"/>
          <w:left w:val="nil"/>
          <w:bottom w:val="single" w:sz="8" w:space="0" w:color="93B41A" w:themeColor="accent2"/>
          <w:right w:val="nil"/>
          <w:insideH w:val="nil"/>
          <w:insideV w:val="nil"/>
        </w:tcBorders>
      </w:tcPr>
    </w:tblStylePr>
    <w:tblStylePr w:type="lastRow">
      <w:pPr>
        <w:spacing w:before="0" w:after="0" w:line="240" w:lineRule="auto"/>
      </w:pPr>
      <w:rPr>
        <w:b/>
        <w:bCs/>
      </w:rPr>
      <w:tblPr/>
      <w:tcPr>
        <w:tcBorders>
          <w:top w:val="single" w:sz="8" w:space="0" w:color="93B41A" w:themeColor="accent2"/>
          <w:left w:val="nil"/>
          <w:bottom w:val="single" w:sz="8" w:space="0" w:color="93B41A"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9F5BD" w:themeFill="accent2" w:themeFillTint="3F"/>
      </w:tcPr>
    </w:tblStylePr>
    <w:tblStylePr w:type="band1Horz">
      <w:tblPr/>
      <w:tcPr>
        <w:tcBorders>
          <w:left w:val="nil"/>
          <w:right w:val="nil"/>
          <w:insideH w:val="nil"/>
          <w:insideV w:val="nil"/>
        </w:tcBorders>
        <w:shd w:val="clear" w:color="auto" w:fill="E9F5BD" w:themeFill="accent2" w:themeFillTint="3F"/>
      </w:tcPr>
    </w:tblStylePr>
  </w:style>
  <w:style w:type="table" w:styleId="LightShading-Accent3">
    <w:name w:val="Light Shading Accent 3"/>
    <w:basedOn w:val="TableNormal"/>
    <w:uiPriority w:val="60"/>
    <w:semiHidden/>
    <w:unhideWhenUsed/>
    <w:rsid w:val="00762017"/>
    <w:pPr>
      <w:spacing w:after="0" w:line="240" w:lineRule="auto"/>
    </w:pPr>
    <w:rPr>
      <w:color w:val="CF4110" w:themeColor="accent3" w:themeShade="BF"/>
    </w:rPr>
    <w:tblPr>
      <w:tblStyleRowBandSize w:val="1"/>
      <w:tblStyleColBandSize w:val="1"/>
      <w:tblBorders>
        <w:top w:val="single" w:sz="8" w:space="0" w:color="F06A3B" w:themeColor="accent3"/>
        <w:bottom w:val="single" w:sz="8" w:space="0" w:color="F06A3B" w:themeColor="accent3"/>
      </w:tblBorders>
    </w:tblPr>
    <w:tblStylePr w:type="firstRow">
      <w:pPr>
        <w:spacing w:before="0" w:after="0" w:line="240" w:lineRule="auto"/>
      </w:pPr>
      <w:rPr>
        <w:b/>
        <w:bCs/>
      </w:rPr>
      <w:tblPr/>
      <w:tcPr>
        <w:tcBorders>
          <w:top w:val="single" w:sz="8" w:space="0" w:color="F06A3B" w:themeColor="accent3"/>
          <w:left w:val="nil"/>
          <w:bottom w:val="single" w:sz="8" w:space="0" w:color="F06A3B" w:themeColor="accent3"/>
          <w:right w:val="nil"/>
          <w:insideH w:val="nil"/>
          <w:insideV w:val="nil"/>
        </w:tcBorders>
      </w:tcPr>
    </w:tblStylePr>
    <w:tblStylePr w:type="lastRow">
      <w:pPr>
        <w:spacing w:before="0" w:after="0" w:line="240" w:lineRule="auto"/>
      </w:pPr>
      <w:rPr>
        <w:b/>
        <w:bCs/>
      </w:rPr>
      <w:tblPr/>
      <w:tcPr>
        <w:tcBorders>
          <w:top w:val="single" w:sz="8" w:space="0" w:color="F06A3B" w:themeColor="accent3"/>
          <w:left w:val="nil"/>
          <w:bottom w:val="single" w:sz="8" w:space="0" w:color="F06A3B"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BD9CE" w:themeFill="accent3" w:themeFillTint="3F"/>
      </w:tcPr>
    </w:tblStylePr>
    <w:tblStylePr w:type="band1Horz">
      <w:tblPr/>
      <w:tcPr>
        <w:tcBorders>
          <w:left w:val="nil"/>
          <w:right w:val="nil"/>
          <w:insideH w:val="nil"/>
          <w:insideV w:val="nil"/>
        </w:tcBorders>
        <w:shd w:val="clear" w:color="auto" w:fill="FBD9CE" w:themeFill="accent3" w:themeFillTint="3F"/>
      </w:tcPr>
    </w:tblStylePr>
  </w:style>
  <w:style w:type="table" w:styleId="LightShading-Accent4">
    <w:name w:val="Light Shading Accent 4"/>
    <w:basedOn w:val="TableNormal"/>
    <w:uiPriority w:val="60"/>
    <w:semiHidden/>
    <w:unhideWhenUsed/>
    <w:rsid w:val="00762017"/>
    <w:pPr>
      <w:spacing w:after="0" w:line="240" w:lineRule="auto"/>
    </w:pPr>
    <w:rPr>
      <w:color w:val="6E37AA" w:themeColor="accent4" w:themeShade="BF"/>
    </w:rPr>
    <w:tblPr>
      <w:tblStyleRowBandSize w:val="1"/>
      <w:tblStyleColBandSize w:val="1"/>
      <w:tblBorders>
        <w:top w:val="single" w:sz="8" w:space="0" w:color="9561CC" w:themeColor="accent4"/>
        <w:bottom w:val="single" w:sz="8" w:space="0" w:color="9561CC" w:themeColor="accent4"/>
      </w:tblBorders>
    </w:tblPr>
    <w:tblStylePr w:type="firstRow">
      <w:pPr>
        <w:spacing w:before="0" w:after="0" w:line="240" w:lineRule="auto"/>
      </w:pPr>
      <w:rPr>
        <w:b/>
        <w:bCs/>
      </w:rPr>
      <w:tblPr/>
      <w:tcPr>
        <w:tcBorders>
          <w:top w:val="single" w:sz="8" w:space="0" w:color="9561CC" w:themeColor="accent4"/>
          <w:left w:val="nil"/>
          <w:bottom w:val="single" w:sz="8" w:space="0" w:color="9561CC" w:themeColor="accent4"/>
          <w:right w:val="nil"/>
          <w:insideH w:val="nil"/>
          <w:insideV w:val="nil"/>
        </w:tcBorders>
      </w:tcPr>
    </w:tblStylePr>
    <w:tblStylePr w:type="lastRow">
      <w:pPr>
        <w:spacing w:before="0" w:after="0" w:line="240" w:lineRule="auto"/>
      </w:pPr>
      <w:rPr>
        <w:b/>
        <w:bCs/>
      </w:rPr>
      <w:tblPr/>
      <w:tcPr>
        <w:tcBorders>
          <w:top w:val="single" w:sz="8" w:space="0" w:color="9561CC" w:themeColor="accent4"/>
          <w:left w:val="nil"/>
          <w:bottom w:val="single" w:sz="8" w:space="0" w:color="9561CC"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D7F2" w:themeFill="accent4" w:themeFillTint="3F"/>
      </w:tcPr>
    </w:tblStylePr>
    <w:tblStylePr w:type="band1Horz">
      <w:tblPr/>
      <w:tcPr>
        <w:tcBorders>
          <w:left w:val="nil"/>
          <w:right w:val="nil"/>
          <w:insideH w:val="nil"/>
          <w:insideV w:val="nil"/>
        </w:tcBorders>
        <w:shd w:val="clear" w:color="auto" w:fill="E4D7F2" w:themeFill="accent4" w:themeFillTint="3F"/>
      </w:tcPr>
    </w:tblStylePr>
  </w:style>
  <w:style w:type="table" w:styleId="LightShading-Accent5">
    <w:name w:val="Light Shading Accent 5"/>
    <w:basedOn w:val="TableNormal"/>
    <w:uiPriority w:val="60"/>
    <w:semiHidden/>
    <w:unhideWhenUsed/>
    <w:rsid w:val="00762017"/>
    <w:pPr>
      <w:spacing w:after="0" w:line="240" w:lineRule="auto"/>
    </w:pPr>
    <w:rPr>
      <w:color w:val="008094" w:themeColor="accent5" w:themeShade="BF"/>
    </w:rPr>
    <w:tblPr>
      <w:tblStyleRowBandSize w:val="1"/>
      <w:tblStyleColBandSize w:val="1"/>
      <w:tblBorders>
        <w:top w:val="single" w:sz="8" w:space="0" w:color="00ADC6" w:themeColor="accent5"/>
        <w:bottom w:val="single" w:sz="8" w:space="0" w:color="00ADC6" w:themeColor="accent5"/>
      </w:tblBorders>
    </w:tblPr>
    <w:tblStylePr w:type="firstRow">
      <w:pPr>
        <w:spacing w:before="0" w:after="0" w:line="240" w:lineRule="auto"/>
      </w:pPr>
      <w:rPr>
        <w:b/>
        <w:bCs/>
      </w:rPr>
      <w:tblPr/>
      <w:tcPr>
        <w:tcBorders>
          <w:top w:val="single" w:sz="8" w:space="0" w:color="00ADC6" w:themeColor="accent5"/>
          <w:left w:val="nil"/>
          <w:bottom w:val="single" w:sz="8" w:space="0" w:color="00ADC6" w:themeColor="accent5"/>
          <w:right w:val="nil"/>
          <w:insideH w:val="nil"/>
          <w:insideV w:val="nil"/>
        </w:tcBorders>
      </w:tcPr>
    </w:tblStylePr>
    <w:tblStylePr w:type="lastRow">
      <w:pPr>
        <w:spacing w:before="0" w:after="0" w:line="240" w:lineRule="auto"/>
      </w:pPr>
      <w:rPr>
        <w:b/>
        <w:bCs/>
      </w:rPr>
      <w:tblPr/>
      <w:tcPr>
        <w:tcBorders>
          <w:top w:val="single" w:sz="8" w:space="0" w:color="00ADC6" w:themeColor="accent5"/>
          <w:left w:val="nil"/>
          <w:bottom w:val="single" w:sz="8" w:space="0" w:color="00AD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1F4FF" w:themeFill="accent5" w:themeFillTint="3F"/>
      </w:tcPr>
    </w:tblStylePr>
    <w:tblStylePr w:type="band1Horz">
      <w:tblPr/>
      <w:tcPr>
        <w:tcBorders>
          <w:left w:val="nil"/>
          <w:right w:val="nil"/>
          <w:insideH w:val="nil"/>
          <w:insideV w:val="nil"/>
        </w:tcBorders>
        <w:shd w:val="clear" w:color="auto" w:fill="B1F4FF" w:themeFill="accent5" w:themeFillTint="3F"/>
      </w:tcPr>
    </w:tblStylePr>
  </w:style>
  <w:style w:type="table" w:styleId="LightShading-Accent6">
    <w:name w:val="Light Shading Accent 6"/>
    <w:basedOn w:val="TableNormal"/>
    <w:uiPriority w:val="60"/>
    <w:semiHidden/>
    <w:unhideWhenUsed/>
    <w:rsid w:val="00762017"/>
    <w:pPr>
      <w:spacing w:after="0" w:line="240" w:lineRule="auto"/>
    </w:pPr>
    <w:rPr>
      <w:color w:val="C36B01" w:themeColor="accent6" w:themeShade="BF"/>
    </w:rPr>
    <w:tblPr>
      <w:tblStyleRowBandSize w:val="1"/>
      <w:tblStyleColBandSize w:val="1"/>
      <w:tblBorders>
        <w:top w:val="single" w:sz="8" w:space="0" w:color="FD8F0A" w:themeColor="accent6"/>
        <w:bottom w:val="single" w:sz="8" w:space="0" w:color="FD8F0A" w:themeColor="accent6"/>
      </w:tblBorders>
    </w:tblPr>
    <w:tblStylePr w:type="firstRow">
      <w:pPr>
        <w:spacing w:before="0" w:after="0" w:line="240" w:lineRule="auto"/>
      </w:pPr>
      <w:rPr>
        <w:b/>
        <w:bCs/>
      </w:rPr>
      <w:tblPr/>
      <w:tcPr>
        <w:tcBorders>
          <w:top w:val="single" w:sz="8" w:space="0" w:color="FD8F0A" w:themeColor="accent6"/>
          <w:left w:val="nil"/>
          <w:bottom w:val="single" w:sz="8" w:space="0" w:color="FD8F0A" w:themeColor="accent6"/>
          <w:right w:val="nil"/>
          <w:insideH w:val="nil"/>
          <w:insideV w:val="nil"/>
        </w:tcBorders>
      </w:tcPr>
    </w:tblStylePr>
    <w:tblStylePr w:type="lastRow">
      <w:pPr>
        <w:spacing w:before="0" w:after="0" w:line="240" w:lineRule="auto"/>
      </w:pPr>
      <w:rPr>
        <w:b/>
        <w:bCs/>
      </w:rPr>
      <w:tblPr/>
      <w:tcPr>
        <w:tcBorders>
          <w:top w:val="single" w:sz="8" w:space="0" w:color="FD8F0A" w:themeColor="accent6"/>
          <w:left w:val="nil"/>
          <w:bottom w:val="single" w:sz="8" w:space="0" w:color="FD8F0A"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EE3C2" w:themeFill="accent6" w:themeFillTint="3F"/>
      </w:tcPr>
    </w:tblStylePr>
    <w:tblStylePr w:type="band1Horz">
      <w:tblPr/>
      <w:tcPr>
        <w:tcBorders>
          <w:left w:val="nil"/>
          <w:right w:val="nil"/>
          <w:insideH w:val="nil"/>
          <w:insideV w:val="nil"/>
        </w:tcBorders>
        <w:shd w:val="clear" w:color="auto" w:fill="FEE3C2" w:themeFill="accent6" w:themeFillTint="3F"/>
      </w:tcPr>
    </w:tblStylePr>
  </w:style>
  <w:style w:type="character" w:styleId="LineNumber">
    <w:name w:val="line number"/>
    <w:basedOn w:val="DefaultParagraphFont"/>
    <w:uiPriority w:val="99"/>
    <w:semiHidden/>
    <w:unhideWhenUsed/>
    <w:rsid w:val="00762017"/>
  </w:style>
  <w:style w:type="paragraph" w:styleId="List">
    <w:name w:val="List"/>
    <w:basedOn w:val="Normal"/>
    <w:uiPriority w:val="99"/>
    <w:semiHidden/>
    <w:unhideWhenUsed/>
    <w:rsid w:val="00762017"/>
    <w:pPr>
      <w:ind w:left="283" w:hanging="283"/>
      <w:contextualSpacing/>
    </w:pPr>
  </w:style>
  <w:style w:type="paragraph" w:styleId="List2">
    <w:name w:val="List 2"/>
    <w:basedOn w:val="Normal"/>
    <w:uiPriority w:val="99"/>
    <w:semiHidden/>
    <w:unhideWhenUsed/>
    <w:rsid w:val="00762017"/>
    <w:pPr>
      <w:ind w:left="566" w:hanging="283"/>
      <w:contextualSpacing/>
    </w:pPr>
  </w:style>
  <w:style w:type="paragraph" w:styleId="List3">
    <w:name w:val="List 3"/>
    <w:basedOn w:val="Normal"/>
    <w:uiPriority w:val="99"/>
    <w:semiHidden/>
    <w:unhideWhenUsed/>
    <w:rsid w:val="00762017"/>
    <w:pPr>
      <w:ind w:left="849" w:hanging="283"/>
      <w:contextualSpacing/>
    </w:pPr>
  </w:style>
  <w:style w:type="paragraph" w:styleId="List4">
    <w:name w:val="List 4"/>
    <w:basedOn w:val="Normal"/>
    <w:uiPriority w:val="99"/>
    <w:semiHidden/>
    <w:unhideWhenUsed/>
    <w:rsid w:val="00762017"/>
    <w:pPr>
      <w:ind w:left="1132" w:hanging="283"/>
      <w:contextualSpacing/>
    </w:pPr>
  </w:style>
  <w:style w:type="paragraph" w:styleId="List5">
    <w:name w:val="List 5"/>
    <w:basedOn w:val="Normal"/>
    <w:uiPriority w:val="99"/>
    <w:semiHidden/>
    <w:unhideWhenUsed/>
    <w:rsid w:val="00762017"/>
    <w:pPr>
      <w:ind w:left="1415" w:hanging="283"/>
      <w:contextualSpacing/>
    </w:pPr>
  </w:style>
  <w:style w:type="paragraph" w:styleId="ListBullet5">
    <w:name w:val="List Bullet 5"/>
    <w:basedOn w:val="Normal"/>
    <w:uiPriority w:val="99"/>
    <w:semiHidden/>
    <w:rsid w:val="00762017"/>
    <w:pPr>
      <w:numPr>
        <w:numId w:val="25"/>
      </w:numPr>
      <w:contextualSpacing/>
    </w:pPr>
  </w:style>
  <w:style w:type="paragraph" w:styleId="ListNumber4">
    <w:name w:val="List Number 4"/>
    <w:basedOn w:val="Normal"/>
    <w:uiPriority w:val="99"/>
    <w:semiHidden/>
    <w:unhideWhenUsed/>
    <w:rsid w:val="00762017"/>
    <w:pPr>
      <w:numPr>
        <w:numId w:val="26"/>
      </w:numPr>
      <w:contextualSpacing/>
    </w:pPr>
  </w:style>
  <w:style w:type="paragraph" w:styleId="ListNumber5">
    <w:name w:val="List Number 5"/>
    <w:basedOn w:val="Normal"/>
    <w:uiPriority w:val="99"/>
    <w:semiHidden/>
    <w:rsid w:val="00762017"/>
    <w:pPr>
      <w:numPr>
        <w:numId w:val="27"/>
      </w:numPr>
      <w:contextualSpacing/>
    </w:pPr>
  </w:style>
  <w:style w:type="paragraph" w:styleId="ListParagraph">
    <w:name w:val="List Paragraph"/>
    <w:basedOn w:val="Normal"/>
    <w:uiPriority w:val="34"/>
    <w:qFormat/>
    <w:rsid w:val="00762017"/>
    <w:pPr>
      <w:ind w:left="720"/>
      <w:contextualSpacing/>
    </w:pPr>
  </w:style>
  <w:style w:type="table" w:styleId="ListTable1Light">
    <w:name w:val="List Table 1 Light"/>
    <w:basedOn w:val="TableNormal"/>
    <w:uiPriority w:val="46"/>
    <w:rsid w:val="00762017"/>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762017"/>
    <w:pPr>
      <w:spacing w:after="0" w:line="240" w:lineRule="auto"/>
    </w:pPr>
    <w:tblPr>
      <w:tblStyleRowBandSize w:val="1"/>
      <w:tblStyleColBandSize w:val="1"/>
    </w:tblPr>
    <w:tblStylePr w:type="firstRow">
      <w:rPr>
        <w:b/>
        <w:bCs/>
      </w:rPr>
      <w:tblPr/>
      <w:tcPr>
        <w:tcBorders>
          <w:bottom w:val="single" w:sz="4" w:space="0" w:color="74DEAB" w:themeColor="accent1" w:themeTint="99"/>
        </w:tcBorders>
      </w:tcPr>
    </w:tblStylePr>
    <w:tblStylePr w:type="lastRow">
      <w:rPr>
        <w:b/>
        <w:bCs/>
      </w:rPr>
      <w:tblPr/>
      <w:tcPr>
        <w:tcBorders>
          <w:top w:val="single" w:sz="4" w:space="0" w:color="74DEAB" w:themeColor="accent1" w:themeTint="99"/>
        </w:tcBorders>
      </w:tcPr>
    </w:tblStylePr>
    <w:tblStylePr w:type="firstCol">
      <w:rPr>
        <w:b/>
        <w:bCs/>
      </w:rPr>
    </w:tblStylePr>
    <w:tblStylePr w:type="lastCol">
      <w:rPr>
        <w:b/>
        <w:bCs/>
      </w:rPr>
    </w:tblStylePr>
    <w:tblStylePr w:type="band1Vert">
      <w:tblPr/>
      <w:tcPr>
        <w:shd w:val="clear" w:color="auto" w:fill="D0F4E3" w:themeFill="accent1" w:themeFillTint="33"/>
      </w:tcPr>
    </w:tblStylePr>
    <w:tblStylePr w:type="band1Horz">
      <w:tblPr/>
      <w:tcPr>
        <w:shd w:val="clear" w:color="auto" w:fill="D0F4E3" w:themeFill="accent1" w:themeFillTint="33"/>
      </w:tcPr>
    </w:tblStylePr>
  </w:style>
  <w:style w:type="table" w:styleId="ListTable1Light-Accent2">
    <w:name w:val="List Table 1 Light Accent 2"/>
    <w:basedOn w:val="TableNormal"/>
    <w:uiPriority w:val="46"/>
    <w:rsid w:val="00762017"/>
    <w:pPr>
      <w:spacing w:after="0" w:line="240" w:lineRule="auto"/>
    </w:pPr>
    <w:tblPr>
      <w:tblStyleRowBandSize w:val="1"/>
      <w:tblStyleColBandSize w:val="1"/>
    </w:tblPr>
    <w:tblStylePr w:type="firstRow">
      <w:rPr>
        <w:b/>
        <w:bCs/>
      </w:rPr>
      <w:tblPr/>
      <w:tcPr>
        <w:tcBorders>
          <w:bottom w:val="single" w:sz="4" w:space="0" w:color="CAE85F" w:themeColor="accent2" w:themeTint="99"/>
        </w:tcBorders>
      </w:tcPr>
    </w:tblStylePr>
    <w:tblStylePr w:type="lastRow">
      <w:rPr>
        <w:b/>
        <w:bCs/>
      </w:rPr>
      <w:tblPr/>
      <w:tcPr>
        <w:tcBorders>
          <w:top w:val="single" w:sz="4" w:space="0" w:color="CAE85F" w:themeColor="accent2" w:themeTint="99"/>
        </w:tcBorders>
      </w:tcPr>
    </w:tblStylePr>
    <w:tblStylePr w:type="firstCol">
      <w:rPr>
        <w:b/>
        <w:bCs/>
      </w:rPr>
    </w:tblStylePr>
    <w:tblStylePr w:type="lastCol">
      <w:rPr>
        <w:b/>
        <w:bCs/>
      </w:rPr>
    </w:tblStylePr>
    <w:tblStylePr w:type="band1Vert">
      <w:tblPr/>
      <w:tcPr>
        <w:shd w:val="clear" w:color="auto" w:fill="EDF7C9" w:themeFill="accent2" w:themeFillTint="33"/>
      </w:tcPr>
    </w:tblStylePr>
    <w:tblStylePr w:type="band1Horz">
      <w:tblPr/>
      <w:tcPr>
        <w:shd w:val="clear" w:color="auto" w:fill="EDF7C9" w:themeFill="accent2" w:themeFillTint="33"/>
      </w:tcPr>
    </w:tblStylePr>
  </w:style>
  <w:style w:type="table" w:styleId="ListTable1Light-Accent3">
    <w:name w:val="List Table 1 Light Accent 3"/>
    <w:basedOn w:val="TableNormal"/>
    <w:uiPriority w:val="46"/>
    <w:rsid w:val="00762017"/>
    <w:pPr>
      <w:spacing w:after="0" w:line="240" w:lineRule="auto"/>
    </w:pPr>
    <w:tblPr>
      <w:tblStyleRowBandSize w:val="1"/>
      <w:tblStyleColBandSize w:val="1"/>
    </w:tblPr>
    <w:tblStylePr w:type="firstRow">
      <w:rPr>
        <w:b/>
        <w:bCs/>
      </w:rPr>
      <w:tblPr/>
      <w:tcPr>
        <w:tcBorders>
          <w:bottom w:val="single" w:sz="4" w:space="0" w:color="F6A589" w:themeColor="accent3" w:themeTint="99"/>
        </w:tcBorders>
      </w:tcPr>
    </w:tblStylePr>
    <w:tblStylePr w:type="lastRow">
      <w:rPr>
        <w:b/>
        <w:bCs/>
      </w:rPr>
      <w:tblPr/>
      <w:tcPr>
        <w:tcBorders>
          <w:top w:val="single" w:sz="4" w:space="0" w:color="F6A589" w:themeColor="accent3" w:themeTint="99"/>
        </w:tcBorders>
      </w:tcPr>
    </w:tblStylePr>
    <w:tblStylePr w:type="firstCol">
      <w:rPr>
        <w:b/>
        <w:bCs/>
      </w:rPr>
    </w:tblStylePr>
    <w:tblStylePr w:type="lastCol">
      <w:rPr>
        <w:b/>
        <w:bCs/>
      </w:rPr>
    </w:tblStylePr>
    <w:tblStylePr w:type="band1Vert">
      <w:tblPr/>
      <w:tcPr>
        <w:shd w:val="clear" w:color="auto" w:fill="FCE1D7" w:themeFill="accent3" w:themeFillTint="33"/>
      </w:tcPr>
    </w:tblStylePr>
    <w:tblStylePr w:type="band1Horz">
      <w:tblPr/>
      <w:tcPr>
        <w:shd w:val="clear" w:color="auto" w:fill="FCE1D7" w:themeFill="accent3" w:themeFillTint="33"/>
      </w:tcPr>
    </w:tblStylePr>
  </w:style>
  <w:style w:type="table" w:styleId="ListTable1Light-Accent4">
    <w:name w:val="List Table 1 Light Accent 4"/>
    <w:basedOn w:val="TableNormal"/>
    <w:uiPriority w:val="46"/>
    <w:rsid w:val="00762017"/>
    <w:pPr>
      <w:spacing w:after="0" w:line="240" w:lineRule="auto"/>
    </w:pPr>
    <w:tblPr>
      <w:tblStyleRowBandSize w:val="1"/>
      <w:tblStyleColBandSize w:val="1"/>
    </w:tblPr>
    <w:tblStylePr w:type="firstRow">
      <w:rPr>
        <w:b/>
        <w:bCs/>
      </w:rPr>
      <w:tblPr/>
      <w:tcPr>
        <w:tcBorders>
          <w:bottom w:val="single" w:sz="4" w:space="0" w:color="BFA0E0" w:themeColor="accent4" w:themeTint="99"/>
        </w:tcBorders>
      </w:tcPr>
    </w:tblStylePr>
    <w:tblStylePr w:type="lastRow">
      <w:rPr>
        <w:b/>
        <w:bCs/>
      </w:rPr>
      <w:tblPr/>
      <w:tcPr>
        <w:tcBorders>
          <w:top w:val="single" w:sz="4" w:space="0" w:color="BFA0E0" w:themeColor="accent4" w:themeTint="99"/>
        </w:tcBorders>
      </w:tcPr>
    </w:tblStylePr>
    <w:tblStylePr w:type="firstCol">
      <w:rPr>
        <w:b/>
        <w:bCs/>
      </w:rPr>
    </w:tblStylePr>
    <w:tblStylePr w:type="lastCol">
      <w:rPr>
        <w:b/>
        <w:bCs/>
      </w:rPr>
    </w:tblStylePr>
    <w:tblStylePr w:type="band1Vert">
      <w:tblPr/>
      <w:tcPr>
        <w:shd w:val="clear" w:color="auto" w:fill="E9DFF4" w:themeFill="accent4" w:themeFillTint="33"/>
      </w:tcPr>
    </w:tblStylePr>
    <w:tblStylePr w:type="band1Horz">
      <w:tblPr/>
      <w:tcPr>
        <w:shd w:val="clear" w:color="auto" w:fill="E9DFF4" w:themeFill="accent4" w:themeFillTint="33"/>
      </w:tcPr>
    </w:tblStylePr>
  </w:style>
  <w:style w:type="table" w:styleId="ListTable1Light-Accent5">
    <w:name w:val="List Table 1 Light Accent 5"/>
    <w:basedOn w:val="TableNormal"/>
    <w:uiPriority w:val="46"/>
    <w:rsid w:val="00762017"/>
    <w:pPr>
      <w:spacing w:after="0" w:line="240" w:lineRule="auto"/>
    </w:pPr>
    <w:tblPr>
      <w:tblStyleRowBandSize w:val="1"/>
      <w:tblStyleColBandSize w:val="1"/>
    </w:tblPr>
    <w:tblStylePr w:type="firstRow">
      <w:rPr>
        <w:b/>
        <w:bCs/>
      </w:rPr>
      <w:tblPr/>
      <w:tcPr>
        <w:tcBorders>
          <w:bottom w:val="single" w:sz="4" w:space="0" w:color="43E6FF" w:themeColor="accent5" w:themeTint="99"/>
        </w:tcBorders>
      </w:tcPr>
    </w:tblStylePr>
    <w:tblStylePr w:type="lastRow">
      <w:rPr>
        <w:b/>
        <w:bCs/>
      </w:rPr>
      <w:tblPr/>
      <w:tcPr>
        <w:tcBorders>
          <w:top w:val="single" w:sz="4" w:space="0" w:color="43E6FF" w:themeColor="accent5" w:themeTint="99"/>
        </w:tcBorders>
      </w:tcPr>
    </w:tblStylePr>
    <w:tblStylePr w:type="firstCol">
      <w:rPr>
        <w:b/>
        <w:bCs/>
      </w:rPr>
    </w:tblStylePr>
    <w:tblStylePr w:type="lastCol">
      <w:rPr>
        <w:b/>
        <w:bCs/>
      </w:rPr>
    </w:tblStylePr>
    <w:tblStylePr w:type="band1Vert">
      <w:tblPr/>
      <w:tcPr>
        <w:shd w:val="clear" w:color="auto" w:fill="C0F6FF" w:themeFill="accent5" w:themeFillTint="33"/>
      </w:tcPr>
    </w:tblStylePr>
    <w:tblStylePr w:type="band1Horz">
      <w:tblPr/>
      <w:tcPr>
        <w:shd w:val="clear" w:color="auto" w:fill="C0F6FF" w:themeFill="accent5" w:themeFillTint="33"/>
      </w:tcPr>
    </w:tblStylePr>
  </w:style>
  <w:style w:type="table" w:styleId="ListTable1Light-Accent6">
    <w:name w:val="List Table 1 Light Accent 6"/>
    <w:basedOn w:val="TableNormal"/>
    <w:uiPriority w:val="46"/>
    <w:rsid w:val="00762017"/>
    <w:pPr>
      <w:spacing w:after="0" w:line="240" w:lineRule="auto"/>
    </w:pPr>
    <w:tblPr>
      <w:tblStyleRowBandSize w:val="1"/>
      <w:tblStyleColBandSize w:val="1"/>
    </w:tblPr>
    <w:tblStylePr w:type="firstRow">
      <w:rPr>
        <w:b/>
        <w:bCs/>
      </w:rPr>
      <w:tblPr/>
      <w:tcPr>
        <w:tcBorders>
          <w:bottom w:val="single" w:sz="4" w:space="0" w:color="FDBB6B" w:themeColor="accent6" w:themeTint="99"/>
        </w:tcBorders>
      </w:tcPr>
    </w:tblStylePr>
    <w:tblStylePr w:type="lastRow">
      <w:rPr>
        <w:b/>
        <w:bCs/>
      </w:rPr>
      <w:tblPr/>
      <w:tcPr>
        <w:tcBorders>
          <w:top w:val="single" w:sz="4" w:space="0" w:color="FDBB6B" w:themeColor="accent6" w:themeTint="99"/>
        </w:tcBorders>
      </w:tcPr>
    </w:tblStylePr>
    <w:tblStylePr w:type="firstCol">
      <w:rPr>
        <w:b/>
        <w:bCs/>
      </w:rPr>
    </w:tblStylePr>
    <w:tblStylePr w:type="lastCol">
      <w:rPr>
        <w:b/>
        <w:bCs/>
      </w:rPr>
    </w:tblStylePr>
    <w:tblStylePr w:type="band1Vert">
      <w:tblPr/>
      <w:tcPr>
        <w:shd w:val="clear" w:color="auto" w:fill="FEE8CD" w:themeFill="accent6" w:themeFillTint="33"/>
      </w:tcPr>
    </w:tblStylePr>
    <w:tblStylePr w:type="band1Horz">
      <w:tblPr/>
      <w:tcPr>
        <w:shd w:val="clear" w:color="auto" w:fill="FEE8CD" w:themeFill="accent6" w:themeFillTint="33"/>
      </w:tcPr>
    </w:tblStylePr>
  </w:style>
  <w:style w:type="table" w:styleId="ListTable2">
    <w:name w:val="List Table 2"/>
    <w:basedOn w:val="TableNormal"/>
    <w:uiPriority w:val="47"/>
    <w:rsid w:val="00762017"/>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762017"/>
    <w:pPr>
      <w:spacing w:after="0" w:line="240" w:lineRule="auto"/>
    </w:pPr>
    <w:tblPr>
      <w:tblStyleRowBandSize w:val="1"/>
      <w:tblStyleColBandSize w:val="1"/>
      <w:tblBorders>
        <w:top w:val="single" w:sz="4" w:space="0" w:color="74DEAB" w:themeColor="accent1" w:themeTint="99"/>
        <w:bottom w:val="single" w:sz="4" w:space="0" w:color="74DEAB" w:themeColor="accent1" w:themeTint="99"/>
        <w:insideH w:val="single" w:sz="4" w:space="0" w:color="74DEAB"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0F4E3" w:themeFill="accent1" w:themeFillTint="33"/>
      </w:tcPr>
    </w:tblStylePr>
    <w:tblStylePr w:type="band1Horz">
      <w:tblPr/>
      <w:tcPr>
        <w:shd w:val="clear" w:color="auto" w:fill="D0F4E3" w:themeFill="accent1" w:themeFillTint="33"/>
      </w:tcPr>
    </w:tblStylePr>
  </w:style>
  <w:style w:type="table" w:styleId="ListTable2-Accent2">
    <w:name w:val="List Table 2 Accent 2"/>
    <w:basedOn w:val="TableNormal"/>
    <w:uiPriority w:val="47"/>
    <w:rsid w:val="00762017"/>
    <w:pPr>
      <w:spacing w:after="0" w:line="240" w:lineRule="auto"/>
    </w:pPr>
    <w:tblPr>
      <w:tblStyleRowBandSize w:val="1"/>
      <w:tblStyleColBandSize w:val="1"/>
      <w:tblBorders>
        <w:top w:val="single" w:sz="4" w:space="0" w:color="CAE85F" w:themeColor="accent2" w:themeTint="99"/>
        <w:bottom w:val="single" w:sz="4" w:space="0" w:color="CAE85F" w:themeColor="accent2" w:themeTint="99"/>
        <w:insideH w:val="single" w:sz="4" w:space="0" w:color="CAE85F"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F7C9" w:themeFill="accent2" w:themeFillTint="33"/>
      </w:tcPr>
    </w:tblStylePr>
    <w:tblStylePr w:type="band1Horz">
      <w:tblPr/>
      <w:tcPr>
        <w:shd w:val="clear" w:color="auto" w:fill="EDF7C9" w:themeFill="accent2" w:themeFillTint="33"/>
      </w:tcPr>
    </w:tblStylePr>
  </w:style>
  <w:style w:type="table" w:styleId="ListTable2-Accent3">
    <w:name w:val="List Table 2 Accent 3"/>
    <w:basedOn w:val="TableNormal"/>
    <w:uiPriority w:val="47"/>
    <w:rsid w:val="00762017"/>
    <w:pPr>
      <w:spacing w:after="0" w:line="240" w:lineRule="auto"/>
    </w:pPr>
    <w:tblPr>
      <w:tblStyleRowBandSize w:val="1"/>
      <w:tblStyleColBandSize w:val="1"/>
      <w:tblBorders>
        <w:top w:val="single" w:sz="4" w:space="0" w:color="F6A589" w:themeColor="accent3" w:themeTint="99"/>
        <w:bottom w:val="single" w:sz="4" w:space="0" w:color="F6A589" w:themeColor="accent3" w:themeTint="99"/>
        <w:insideH w:val="single" w:sz="4" w:space="0" w:color="F6A58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E1D7" w:themeFill="accent3" w:themeFillTint="33"/>
      </w:tcPr>
    </w:tblStylePr>
    <w:tblStylePr w:type="band1Horz">
      <w:tblPr/>
      <w:tcPr>
        <w:shd w:val="clear" w:color="auto" w:fill="FCE1D7" w:themeFill="accent3" w:themeFillTint="33"/>
      </w:tcPr>
    </w:tblStylePr>
  </w:style>
  <w:style w:type="table" w:styleId="ListTable2-Accent4">
    <w:name w:val="List Table 2 Accent 4"/>
    <w:basedOn w:val="TableNormal"/>
    <w:uiPriority w:val="47"/>
    <w:rsid w:val="00762017"/>
    <w:pPr>
      <w:spacing w:after="0" w:line="240" w:lineRule="auto"/>
    </w:pPr>
    <w:tblPr>
      <w:tblStyleRowBandSize w:val="1"/>
      <w:tblStyleColBandSize w:val="1"/>
      <w:tblBorders>
        <w:top w:val="single" w:sz="4" w:space="0" w:color="BFA0E0" w:themeColor="accent4" w:themeTint="99"/>
        <w:bottom w:val="single" w:sz="4" w:space="0" w:color="BFA0E0" w:themeColor="accent4" w:themeTint="99"/>
        <w:insideH w:val="single" w:sz="4" w:space="0" w:color="BFA0E0"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9DFF4" w:themeFill="accent4" w:themeFillTint="33"/>
      </w:tcPr>
    </w:tblStylePr>
    <w:tblStylePr w:type="band1Horz">
      <w:tblPr/>
      <w:tcPr>
        <w:shd w:val="clear" w:color="auto" w:fill="E9DFF4" w:themeFill="accent4" w:themeFillTint="33"/>
      </w:tcPr>
    </w:tblStylePr>
  </w:style>
  <w:style w:type="table" w:styleId="ListTable2-Accent5">
    <w:name w:val="List Table 2 Accent 5"/>
    <w:basedOn w:val="TableNormal"/>
    <w:uiPriority w:val="47"/>
    <w:rsid w:val="00762017"/>
    <w:pPr>
      <w:spacing w:after="0" w:line="240" w:lineRule="auto"/>
    </w:pPr>
    <w:tblPr>
      <w:tblStyleRowBandSize w:val="1"/>
      <w:tblStyleColBandSize w:val="1"/>
      <w:tblBorders>
        <w:top w:val="single" w:sz="4" w:space="0" w:color="43E6FF" w:themeColor="accent5" w:themeTint="99"/>
        <w:bottom w:val="single" w:sz="4" w:space="0" w:color="43E6FF" w:themeColor="accent5" w:themeTint="99"/>
        <w:insideH w:val="single" w:sz="4" w:space="0" w:color="43E6FF"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0F6FF" w:themeFill="accent5" w:themeFillTint="33"/>
      </w:tcPr>
    </w:tblStylePr>
    <w:tblStylePr w:type="band1Horz">
      <w:tblPr/>
      <w:tcPr>
        <w:shd w:val="clear" w:color="auto" w:fill="C0F6FF" w:themeFill="accent5" w:themeFillTint="33"/>
      </w:tcPr>
    </w:tblStylePr>
  </w:style>
  <w:style w:type="table" w:styleId="ListTable2-Accent6">
    <w:name w:val="List Table 2 Accent 6"/>
    <w:basedOn w:val="TableNormal"/>
    <w:uiPriority w:val="47"/>
    <w:rsid w:val="00762017"/>
    <w:pPr>
      <w:spacing w:after="0" w:line="240" w:lineRule="auto"/>
    </w:pPr>
    <w:tblPr>
      <w:tblStyleRowBandSize w:val="1"/>
      <w:tblStyleColBandSize w:val="1"/>
      <w:tblBorders>
        <w:top w:val="single" w:sz="4" w:space="0" w:color="FDBB6B" w:themeColor="accent6" w:themeTint="99"/>
        <w:bottom w:val="single" w:sz="4" w:space="0" w:color="FDBB6B" w:themeColor="accent6" w:themeTint="99"/>
        <w:insideH w:val="single" w:sz="4" w:space="0" w:color="FDBB6B"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EE8CD" w:themeFill="accent6" w:themeFillTint="33"/>
      </w:tcPr>
    </w:tblStylePr>
    <w:tblStylePr w:type="band1Horz">
      <w:tblPr/>
      <w:tcPr>
        <w:shd w:val="clear" w:color="auto" w:fill="FEE8CD" w:themeFill="accent6" w:themeFillTint="33"/>
      </w:tcPr>
    </w:tblStylePr>
  </w:style>
  <w:style w:type="table" w:styleId="ListTable3">
    <w:name w:val="List Table 3"/>
    <w:basedOn w:val="TableNormal"/>
    <w:uiPriority w:val="48"/>
    <w:rsid w:val="00762017"/>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762017"/>
    <w:pPr>
      <w:spacing w:after="0" w:line="240" w:lineRule="auto"/>
    </w:pPr>
    <w:tblPr>
      <w:tblStyleRowBandSize w:val="1"/>
      <w:tblStyleColBandSize w:val="1"/>
      <w:tblBorders>
        <w:top w:val="single" w:sz="4" w:space="0" w:color="2BB673" w:themeColor="accent1"/>
        <w:left w:val="single" w:sz="4" w:space="0" w:color="2BB673" w:themeColor="accent1"/>
        <w:bottom w:val="single" w:sz="4" w:space="0" w:color="2BB673" w:themeColor="accent1"/>
        <w:right w:val="single" w:sz="4" w:space="0" w:color="2BB673" w:themeColor="accent1"/>
      </w:tblBorders>
    </w:tblPr>
    <w:tblStylePr w:type="firstRow">
      <w:rPr>
        <w:b/>
        <w:bCs/>
        <w:color w:val="FFFFFF" w:themeColor="background1"/>
      </w:rPr>
      <w:tblPr/>
      <w:tcPr>
        <w:shd w:val="clear" w:color="auto" w:fill="2BB673" w:themeFill="accent1"/>
      </w:tcPr>
    </w:tblStylePr>
    <w:tblStylePr w:type="lastRow">
      <w:rPr>
        <w:b/>
        <w:bCs/>
      </w:rPr>
      <w:tblPr/>
      <w:tcPr>
        <w:tcBorders>
          <w:top w:val="double" w:sz="4" w:space="0" w:color="2BB673"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BB673" w:themeColor="accent1"/>
          <w:right w:val="single" w:sz="4" w:space="0" w:color="2BB673" w:themeColor="accent1"/>
        </w:tcBorders>
      </w:tcPr>
    </w:tblStylePr>
    <w:tblStylePr w:type="band1Horz">
      <w:tblPr/>
      <w:tcPr>
        <w:tcBorders>
          <w:top w:val="single" w:sz="4" w:space="0" w:color="2BB673" w:themeColor="accent1"/>
          <w:bottom w:val="single" w:sz="4" w:space="0" w:color="2BB673"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BB673" w:themeColor="accent1"/>
          <w:left w:val="nil"/>
        </w:tcBorders>
      </w:tcPr>
    </w:tblStylePr>
    <w:tblStylePr w:type="swCell">
      <w:tblPr/>
      <w:tcPr>
        <w:tcBorders>
          <w:top w:val="double" w:sz="4" w:space="0" w:color="2BB673" w:themeColor="accent1"/>
          <w:right w:val="nil"/>
        </w:tcBorders>
      </w:tcPr>
    </w:tblStylePr>
  </w:style>
  <w:style w:type="table" w:styleId="ListTable3-Accent2">
    <w:name w:val="List Table 3 Accent 2"/>
    <w:basedOn w:val="TableNormal"/>
    <w:uiPriority w:val="48"/>
    <w:rsid w:val="00762017"/>
    <w:pPr>
      <w:spacing w:after="0" w:line="240" w:lineRule="auto"/>
    </w:pPr>
    <w:tblPr>
      <w:tblStyleRowBandSize w:val="1"/>
      <w:tblStyleColBandSize w:val="1"/>
      <w:tblBorders>
        <w:top w:val="single" w:sz="4" w:space="0" w:color="93B41A" w:themeColor="accent2"/>
        <w:left w:val="single" w:sz="4" w:space="0" w:color="93B41A" w:themeColor="accent2"/>
        <w:bottom w:val="single" w:sz="4" w:space="0" w:color="93B41A" w:themeColor="accent2"/>
        <w:right w:val="single" w:sz="4" w:space="0" w:color="93B41A" w:themeColor="accent2"/>
      </w:tblBorders>
    </w:tblPr>
    <w:tblStylePr w:type="firstRow">
      <w:rPr>
        <w:b/>
        <w:bCs/>
        <w:color w:val="FFFFFF" w:themeColor="background1"/>
      </w:rPr>
      <w:tblPr/>
      <w:tcPr>
        <w:shd w:val="clear" w:color="auto" w:fill="93B41A" w:themeFill="accent2"/>
      </w:tcPr>
    </w:tblStylePr>
    <w:tblStylePr w:type="lastRow">
      <w:rPr>
        <w:b/>
        <w:bCs/>
      </w:rPr>
      <w:tblPr/>
      <w:tcPr>
        <w:tcBorders>
          <w:top w:val="double" w:sz="4" w:space="0" w:color="93B41A"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3B41A" w:themeColor="accent2"/>
          <w:right w:val="single" w:sz="4" w:space="0" w:color="93B41A" w:themeColor="accent2"/>
        </w:tcBorders>
      </w:tcPr>
    </w:tblStylePr>
    <w:tblStylePr w:type="band1Horz">
      <w:tblPr/>
      <w:tcPr>
        <w:tcBorders>
          <w:top w:val="single" w:sz="4" w:space="0" w:color="93B41A" w:themeColor="accent2"/>
          <w:bottom w:val="single" w:sz="4" w:space="0" w:color="93B41A"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3B41A" w:themeColor="accent2"/>
          <w:left w:val="nil"/>
        </w:tcBorders>
      </w:tcPr>
    </w:tblStylePr>
    <w:tblStylePr w:type="swCell">
      <w:tblPr/>
      <w:tcPr>
        <w:tcBorders>
          <w:top w:val="double" w:sz="4" w:space="0" w:color="93B41A" w:themeColor="accent2"/>
          <w:right w:val="nil"/>
        </w:tcBorders>
      </w:tcPr>
    </w:tblStylePr>
  </w:style>
  <w:style w:type="table" w:styleId="ListTable3-Accent3">
    <w:name w:val="List Table 3 Accent 3"/>
    <w:basedOn w:val="TableNormal"/>
    <w:uiPriority w:val="48"/>
    <w:rsid w:val="00762017"/>
    <w:pPr>
      <w:spacing w:after="0" w:line="240" w:lineRule="auto"/>
    </w:pPr>
    <w:tblPr>
      <w:tblStyleRowBandSize w:val="1"/>
      <w:tblStyleColBandSize w:val="1"/>
      <w:tblBorders>
        <w:top w:val="single" w:sz="4" w:space="0" w:color="F06A3B" w:themeColor="accent3"/>
        <w:left w:val="single" w:sz="4" w:space="0" w:color="F06A3B" w:themeColor="accent3"/>
        <w:bottom w:val="single" w:sz="4" w:space="0" w:color="F06A3B" w:themeColor="accent3"/>
        <w:right w:val="single" w:sz="4" w:space="0" w:color="F06A3B" w:themeColor="accent3"/>
      </w:tblBorders>
    </w:tblPr>
    <w:tblStylePr w:type="firstRow">
      <w:rPr>
        <w:b/>
        <w:bCs/>
        <w:color w:val="FFFFFF" w:themeColor="background1"/>
      </w:rPr>
      <w:tblPr/>
      <w:tcPr>
        <w:shd w:val="clear" w:color="auto" w:fill="F06A3B" w:themeFill="accent3"/>
      </w:tcPr>
    </w:tblStylePr>
    <w:tblStylePr w:type="lastRow">
      <w:rPr>
        <w:b/>
        <w:bCs/>
      </w:rPr>
      <w:tblPr/>
      <w:tcPr>
        <w:tcBorders>
          <w:top w:val="double" w:sz="4" w:space="0" w:color="F06A3B"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06A3B" w:themeColor="accent3"/>
          <w:right w:val="single" w:sz="4" w:space="0" w:color="F06A3B" w:themeColor="accent3"/>
        </w:tcBorders>
      </w:tcPr>
    </w:tblStylePr>
    <w:tblStylePr w:type="band1Horz">
      <w:tblPr/>
      <w:tcPr>
        <w:tcBorders>
          <w:top w:val="single" w:sz="4" w:space="0" w:color="F06A3B" w:themeColor="accent3"/>
          <w:bottom w:val="single" w:sz="4" w:space="0" w:color="F06A3B"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06A3B" w:themeColor="accent3"/>
          <w:left w:val="nil"/>
        </w:tcBorders>
      </w:tcPr>
    </w:tblStylePr>
    <w:tblStylePr w:type="swCell">
      <w:tblPr/>
      <w:tcPr>
        <w:tcBorders>
          <w:top w:val="double" w:sz="4" w:space="0" w:color="F06A3B" w:themeColor="accent3"/>
          <w:right w:val="nil"/>
        </w:tcBorders>
      </w:tcPr>
    </w:tblStylePr>
  </w:style>
  <w:style w:type="table" w:styleId="ListTable3-Accent4">
    <w:name w:val="List Table 3 Accent 4"/>
    <w:basedOn w:val="TableNormal"/>
    <w:uiPriority w:val="48"/>
    <w:rsid w:val="00762017"/>
    <w:pPr>
      <w:spacing w:after="0" w:line="240" w:lineRule="auto"/>
    </w:pPr>
    <w:tblPr>
      <w:tblStyleRowBandSize w:val="1"/>
      <w:tblStyleColBandSize w:val="1"/>
      <w:tblBorders>
        <w:top w:val="single" w:sz="4" w:space="0" w:color="9561CC" w:themeColor="accent4"/>
        <w:left w:val="single" w:sz="4" w:space="0" w:color="9561CC" w:themeColor="accent4"/>
        <w:bottom w:val="single" w:sz="4" w:space="0" w:color="9561CC" w:themeColor="accent4"/>
        <w:right w:val="single" w:sz="4" w:space="0" w:color="9561CC" w:themeColor="accent4"/>
      </w:tblBorders>
    </w:tblPr>
    <w:tblStylePr w:type="firstRow">
      <w:rPr>
        <w:b/>
        <w:bCs/>
        <w:color w:val="FFFFFF" w:themeColor="background1"/>
      </w:rPr>
      <w:tblPr/>
      <w:tcPr>
        <w:shd w:val="clear" w:color="auto" w:fill="9561CC" w:themeFill="accent4"/>
      </w:tcPr>
    </w:tblStylePr>
    <w:tblStylePr w:type="lastRow">
      <w:rPr>
        <w:b/>
        <w:bCs/>
      </w:rPr>
      <w:tblPr/>
      <w:tcPr>
        <w:tcBorders>
          <w:top w:val="double" w:sz="4" w:space="0" w:color="9561CC"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561CC" w:themeColor="accent4"/>
          <w:right w:val="single" w:sz="4" w:space="0" w:color="9561CC" w:themeColor="accent4"/>
        </w:tcBorders>
      </w:tcPr>
    </w:tblStylePr>
    <w:tblStylePr w:type="band1Horz">
      <w:tblPr/>
      <w:tcPr>
        <w:tcBorders>
          <w:top w:val="single" w:sz="4" w:space="0" w:color="9561CC" w:themeColor="accent4"/>
          <w:bottom w:val="single" w:sz="4" w:space="0" w:color="9561CC"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561CC" w:themeColor="accent4"/>
          <w:left w:val="nil"/>
        </w:tcBorders>
      </w:tcPr>
    </w:tblStylePr>
    <w:tblStylePr w:type="swCell">
      <w:tblPr/>
      <w:tcPr>
        <w:tcBorders>
          <w:top w:val="double" w:sz="4" w:space="0" w:color="9561CC" w:themeColor="accent4"/>
          <w:right w:val="nil"/>
        </w:tcBorders>
      </w:tcPr>
    </w:tblStylePr>
  </w:style>
  <w:style w:type="table" w:styleId="ListTable3-Accent5">
    <w:name w:val="List Table 3 Accent 5"/>
    <w:basedOn w:val="TableNormal"/>
    <w:uiPriority w:val="48"/>
    <w:rsid w:val="00762017"/>
    <w:pPr>
      <w:spacing w:after="0" w:line="240" w:lineRule="auto"/>
    </w:pPr>
    <w:tblPr>
      <w:tblStyleRowBandSize w:val="1"/>
      <w:tblStyleColBandSize w:val="1"/>
      <w:tblBorders>
        <w:top w:val="single" w:sz="4" w:space="0" w:color="00ADC6" w:themeColor="accent5"/>
        <w:left w:val="single" w:sz="4" w:space="0" w:color="00ADC6" w:themeColor="accent5"/>
        <w:bottom w:val="single" w:sz="4" w:space="0" w:color="00ADC6" w:themeColor="accent5"/>
        <w:right w:val="single" w:sz="4" w:space="0" w:color="00ADC6" w:themeColor="accent5"/>
      </w:tblBorders>
    </w:tblPr>
    <w:tblStylePr w:type="firstRow">
      <w:rPr>
        <w:b/>
        <w:bCs/>
        <w:color w:val="FFFFFF" w:themeColor="background1"/>
      </w:rPr>
      <w:tblPr/>
      <w:tcPr>
        <w:shd w:val="clear" w:color="auto" w:fill="00ADC6" w:themeFill="accent5"/>
      </w:tcPr>
    </w:tblStylePr>
    <w:tblStylePr w:type="lastRow">
      <w:rPr>
        <w:b/>
        <w:bCs/>
      </w:rPr>
      <w:tblPr/>
      <w:tcPr>
        <w:tcBorders>
          <w:top w:val="double" w:sz="4" w:space="0" w:color="00AD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ADC6" w:themeColor="accent5"/>
          <w:right w:val="single" w:sz="4" w:space="0" w:color="00ADC6" w:themeColor="accent5"/>
        </w:tcBorders>
      </w:tcPr>
    </w:tblStylePr>
    <w:tblStylePr w:type="band1Horz">
      <w:tblPr/>
      <w:tcPr>
        <w:tcBorders>
          <w:top w:val="single" w:sz="4" w:space="0" w:color="00ADC6" w:themeColor="accent5"/>
          <w:bottom w:val="single" w:sz="4" w:space="0" w:color="00AD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ADC6" w:themeColor="accent5"/>
          <w:left w:val="nil"/>
        </w:tcBorders>
      </w:tcPr>
    </w:tblStylePr>
    <w:tblStylePr w:type="swCell">
      <w:tblPr/>
      <w:tcPr>
        <w:tcBorders>
          <w:top w:val="double" w:sz="4" w:space="0" w:color="00ADC6" w:themeColor="accent5"/>
          <w:right w:val="nil"/>
        </w:tcBorders>
      </w:tcPr>
    </w:tblStylePr>
  </w:style>
  <w:style w:type="table" w:styleId="ListTable3-Accent6">
    <w:name w:val="List Table 3 Accent 6"/>
    <w:basedOn w:val="TableNormal"/>
    <w:uiPriority w:val="48"/>
    <w:rsid w:val="00762017"/>
    <w:pPr>
      <w:spacing w:after="0" w:line="240" w:lineRule="auto"/>
    </w:pPr>
    <w:tblPr>
      <w:tblStyleRowBandSize w:val="1"/>
      <w:tblStyleColBandSize w:val="1"/>
      <w:tblBorders>
        <w:top w:val="single" w:sz="4" w:space="0" w:color="FD8F0A" w:themeColor="accent6"/>
        <w:left w:val="single" w:sz="4" w:space="0" w:color="FD8F0A" w:themeColor="accent6"/>
        <w:bottom w:val="single" w:sz="4" w:space="0" w:color="FD8F0A" w:themeColor="accent6"/>
        <w:right w:val="single" w:sz="4" w:space="0" w:color="FD8F0A" w:themeColor="accent6"/>
      </w:tblBorders>
    </w:tblPr>
    <w:tblStylePr w:type="firstRow">
      <w:rPr>
        <w:b/>
        <w:bCs/>
        <w:color w:val="FFFFFF" w:themeColor="background1"/>
      </w:rPr>
      <w:tblPr/>
      <w:tcPr>
        <w:shd w:val="clear" w:color="auto" w:fill="FD8F0A" w:themeFill="accent6"/>
      </w:tcPr>
    </w:tblStylePr>
    <w:tblStylePr w:type="lastRow">
      <w:rPr>
        <w:b/>
        <w:bCs/>
      </w:rPr>
      <w:tblPr/>
      <w:tcPr>
        <w:tcBorders>
          <w:top w:val="double" w:sz="4" w:space="0" w:color="FD8F0A"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D8F0A" w:themeColor="accent6"/>
          <w:right w:val="single" w:sz="4" w:space="0" w:color="FD8F0A" w:themeColor="accent6"/>
        </w:tcBorders>
      </w:tcPr>
    </w:tblStylePr>
    <w:tblStylePr w:type="band1Horz">
      <w:tblPr/>
      <w:tcPr>
        <w:tcBorders>
          <w:top w:val="single" w:sz="4" w:space="0" w:color="FD8F0A" w:themeColor="accent6"/>
          <w:bottom w:val="single" w:sz="4" w:space="0" w:color="FD8F0A"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D8F0A" w:themeColor="accent6"/>
          <w:left w:val="nil"/>
        </w:tcBorders>
      </w:tcPr>
    </w:tblStylePr>
    <w:tblStylePr w:type="swCell">
      <w:tblPr/>
      <w:tcPr>
        <w:tcBorders>
          <w:top w:val="double" w:sz="4" w:space="0" w:color="FD8F0A" w:themeColor="accent6"/>
          <w:right w:val="nil"/>
        </w:tcBorders>
      </w:tcPr>
    </w:tblStylePr>
  </w:style>
  <w:style w:type="table" w:styleId="ListTable4">
    <w:name w:val="List Table 4"/>
    <w:basedOn w:val="TableNormal"/>
    <w:uiPriority w:val="49"/>
    <w:rsid w:val="00762017"/>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762017"/>
    <w:pPr>
      <w:spacing w:after="0" w:line="240" w:lineRule="auto"/>
    </w:pPr>
    <w:tblPr>
      <w:tblStyleRowBandSize w:val="1"/>
      <w:tblStyleColBandSize w:val="1"/>
      <w:tblBorders>
        <w:top w:val="single" w:sz="4" w:space="0" w:color="74DEAB" w:themeColor="accent1" w:themeTint="99"/>
        <w:left w:val="single" w:sz="4" w:space="0" w:color="74DEAB" w:themeColor="accent1" w:themeTint="99"/>
        <w:bottom w:val="single" w:sz="4" w:space="0" w:color="74DEAB" w:themeColor="accent1" w:themeTint="99"/>
        <w:right w:val="single" w:sz="4" w:space="0" w:color="74DEAB" w:themeColor="accent1" w:themeTint="99"/>
        <w:insideH w:val="single" w:sz="4" w:space="0" w:color="74DEAB" w:themeColor="accent1" w:themeTint="99"/>
      </w:tblBorders>
    </w:tblPr>
    <w:tblStylePr w:type="firstRow">
      <w:rPr>
        <w:b/>
        <w:bCs/>
        <w:color w:val="FFFFFF" w:themeColor="background1"/>
      </w:rPr>
      <w:tblPr/>
      <w:tcPr>
        <w:tcBorders>
          <w:top w:val="single" w:sz="4" w:space="0" w:color="2BB673" w:themeColor="accent1"/>
          <w:left w:val="single" w:sz="4" w:space="0" w:color="2BB673" w:themeColor="accent1"/>
          <w:bottom w:val="single" w:sz="4" w:space="0" w:color="2BB673" w:themeColor="accent1"/>
          <w:right w:val="single" w:sz="4" w:space="0" w:color="2BB673" w:themeColor="accent1"/>
          <w:insideH w:val="nil"/>
        </w:tcBorders>
        <w:shd w:val="clear" w:color="auto" w:fill="2BB673" w:themeFill="accent1"/>
      </w:tcPr>
    </w:tblStylePr>
    <w:tblStylePr w:type="lastRow">
      <w:rPr>
        <w:b/>
        <w:bCs/>
      </w:rPr>
      <w:tblPr/>
      <w:tcPr>
        <w:tcBorders>
          <w:top w:val="double" w:sz="4" w:space="0" w:color="74DEAB" w:themeColor="accent1" w:themeTint="99"/>
        </w:tcBorders>
      </w:tcPr>
    </w:tblStylePr>
    <w:tblStylePr w:type="firstCol">
      <w:rPr>
        <w:b/>
        <w:bCs/>
      </w:rPr>
    </w:tblStylePr>
    <w:tblStylePr w:type="lastCol">
      <w:rPr>
        <w:b/>
        <w:bCs/>
      </w:rPr>
    </w:tblStylePr>
    <w:tblStylePr w:type="band1Vert">
      <w:tblPr/>
      <w:tcPr>
        <w:shd w:val="clear" w:color="auto" w:fill="D0F4E3" w:themeFill="accent1" w:themeFillTint="33"/>
      </w:tcPr>
    </w:tblStylePr>
    <w:tblStylePr w:type="band1Horz">
      <w:tblPr/>
      <w:tcPr>
        <w:shd w:val="clear" w:color="auto" w:fill="D0F4E3" w:themeFill="accent1" w:themeFillTint="33"/>
      </w:tcPr>
    </w:tblStylePr>
  </w:style>
  <w:style w:type="table" w:styleId="ListTable4-Accent2">
    <w:name w:val="List Table 4 Accent 2"/>
    <w:basedOn w:val="TableNormal"/>
    <w:uiPriority w:val="49"/>
    <w:rsid w:val="00762017"/>
    <w:pPr>
      <w:spacing w:after="0" w:line="240" w:lineRule="auto"/>
    </w:pPr>
    <w:tblPr>
      <w:tblStyleRowBandSize w:val="1"/>
      <w:tblStyleColBandSize w:val="1"/>
      <w:tblBorders>
        <w:top w:val="single" w:sz="4" w:space="0" w:color="CAE85F" w:themeColor="accent2" w:themeTint="99"/>
        <w:left w:val="single" w:sz="4" w:space="0" w:color="CAE85F" w:themeColor="accent2" w:themeTint="99"/>
        <w:bottom w:val="single" w:sz="4" w:space="0" w:color="CAE85F" w:themeColor="accent2" w:themeTint="99"/>
        <w:right w:val="single" w:sz="4" w:space="0" w:color="CAE85F" w:themeColor="accent2" w:themeTint="99"/>
        <w:insideH w:val="single" w:sz="4" w:space="0" w:color="CAE85F" w:themeColor="accent2" w:themeTint="99"/>
      </w:tblBorders>
    </w:tblPr>
    <w:tblStylePr w:type="firstRow">
      <w:rPr>
        <w:b/>
        <w:bCs/>
        <w:color w:val="FFFFFF" w:themeColor="background1"/>
      </w:rPr>
      <w:tblPr/>
      <w:tcPr>
        <w:tcBorders>
          <w:top w:val="single" w:sz="4" w:space="0" w:color="93B41A" w:themeColor="accent2"/>
          <w:left w:val="single" w:sz="4" w:space="0" w:color="93B41A" w:themeColor="accent2"/>
          <w:bottom w:val="single" w:sz="4" w:space="0" w:color="93B41A" w:themeColor="accent2"/>
          <w:right w:val="single" w:sz="4" w:space="0" w:color="93B41A" w:themeColor="accent2"/>
          <w:insideH w:val="nil"/>
        </w:tcBorders>
        <w:shd w:val="clear" w:color="auto" w:fill="93B41A" w:themeFill="accent2"/>
      </w:tcPr>
    </w:tblStylePr>
    <w:tblStylePr w:type="lastRow">
      <w:rPr>
        <w:b/>
        <w:bCs/>
      </w:rPr>
      <w:tblPr/>
      <w:tcPr>
        <w:tcBorders>
          <w:top w:val="double" w:sz="4" w:space="0" w:color="CAE85F" w:themeColor="accent2" w:themeTint="99"/>
        </w:tcBorders>
      </w:tcPr>
    </w:tblStylePr>
    <w:tblStylePr w:type="firstCol">
      <w:rPr>
        <w:b/>
        <w:bCs/>
      </w:rPr>
    </w:tblStylePr>
    <w:tblStylePr w:type="lastCol">
      <w:rPr>
        <w:b/>
        <w:bCs/>
      </w:rPr>
    </w:tblStylePr>
    <w:tblStylePr w:type="band1Vert">
      <w:tblPr/>
      <w:tcPr>
        <w:shd w:val="clear" w:color="auto" w:fill="EDF7C9" w:themeFill="accent2" w:themeFillTint="33"/>
      </w:tcPr>
    </w:tblStylePr>
    <w:tblStylePr w:type="band1Horz">
      <w:tblPr/>
      <w:tcPr>
        <w:shd w:val="clear" w:color="auto" w:fill="EDF7C9" w:themeFill="accent2" w:themeFillTint="33"/>
      </w:tcPr>
    </w:tblStylePr>
  </w:style>
  <w:style w:type="table" w:styleId="ListTable4-Accent3">
    <w:name w:val="List Table 4 Accent 3"/>
    <w:basedOn w:val="TableNormal"/>
    <w:uiPriority w:val="49"/>
    <w:rsid w:val="00762017"/>
    <w:pPr>
      <w:spacing w:after="0" w:line="240" w:lineRule="auto"/>
    </w:pPr>
    <w:tblPr>
      <w:tblStyleRowBandSize w:val="1"/>
      <w:tblStyleColBandSize w:val="1"/>
      <w:tblBorders>
        <w:top w:val="single" w:sz="4" w:space="0" w:color="F6A589" w:themeColor="accent3" w:themeTint="99"/>
        <w:left w:val="single" w:sz="4" w:space="0" w:color="F6A589" w:themeColor="accent3" w:themeTint="99"/>
        <w:bottom w:val="single" w:sz="4" w:space="0" w:color="F6A589" w:themeColor="accent3" w:themeTint="99"/>
        <w:right w:val="single" w:sz="4" w:space="0" w:color="F6A589" w:themeColor="accent3" w:themeTint="99"/>
        <w:insideH w:val="single" w:sz="4" w:space="0" w:color="F6A589" w:themeColor="accent3" w:themeTint="99"/>
      </w:tblBorders>
    </w:tblPr>
    <w:tblStylePr w:type="firstRow">
      <w:rPr>
        <w:b/>
        <w:bCs/>
        <w:color w:val="FFFFFF" w:themeColor="background1"/>
      </w:rPr>
      <w:tblPr/>
      <w:tcPr>
        <w:tcBorders>
          <w:top w:val="single" w:sz="4" w:space="0" w:color="F06A3B" w:themeColor="accent3"/>
          <w:left w:val="single" w:sz="4" w:space="0" w:color="F06A3B" w:themeColor="accent3"/>
          <w:bottom w:val="single" w:sz="4" w:space="0" w:color="F06A3B" w:themeColor="accent3"/>
          <w:right w:val="single" w:sz="4" w:space="0" w:color="F06A3B" w:themeColor="accent3"/>
          <w:insideH w:val="nil"/>
        </w:tcBorders>
        <w:shd w:val="clear" w:color="auto" w:fill="F06A3B" w:themeFill="accent3"/>
      </w:tcPr>
    </w:tblStylePr>
    <w:tblStylePr w:type="lastRow">
      <w:rPr>
        <w:b/>
        <w:bCs/>
      </w:rPr>
      <w:tblPr/>
      <w:tcPr>
        <w:tcBorders>
          <w:top w:val="double" w:sz="4" w:space="0" w:color="F6A589" w:themeColor="accent3" w:themeTint="99"/>
        </w:tcBorders>
      </w:tcPr>
    </w:tblStylePr>
    <w:tblStylePr w:type="firstCol">
      <w:rPr>
        <w:b/>
        <w:bCs/>
      </w:rPr>
    </w:tblStylePr>
    <w:tblStylePr w:type="lastCol">
      <w:rPr>
        <w:b/>
        <w:bCs/>
      </w:rPr>
    </w:tblStylePr>
    <w:tblStylePr w:type="band1Vert">
      <w:tblPr/>
      <w:tcPr>
        <w:shd w:val="clear" w:color="auto" w:fill="FCE1D7" w:themeFill="accent3" w:themeFillTint="33"/>
      </w:tcPr>
    </w:tblStylePr>
    <w:tblStylePr w:type="band1Horz">
      <w:tblPr/>
      <w:tcPr>
        <w:shd w:val="clear" w:color="auto" w:fill="FCE1D7" w:themeFill="accent3" w:themeFillTint="33"/>
      </w:tcPr>
    </w:tblStylePr>
  </w:style>
  <w:style w:type="table" w:styleId="ListTable4-Accent4">
    <w:name w:val="List Table 4 Accent 4"/>
    <w:basedOn w:val="TableNormal"/>
    <w:uiPriority w:val="49"/>
    <w:rsid w:val="00762017"/>
    <w:pPr>
      <w:spacing w:after="0" w:line="240" w:lineRule="auto"/>
    </w:pPr>
    <w:tblPr>
      <w:tblStyleRowBandSize w:val="1"/>
      <w:tblStyleColBandSize w:val="1"/>
      <w:tblBorders>
        <w:top w:val="single" w:sz="4" w:space="0" w:color="BFA0E0" w:themeColor="accent4" w:themeTint="99"/>
        <w:left w:val="single" w:sz="4" w:space="0" w:color="BFA0E0" w:themeColor="accent4" w:themeTint="99"/>
        <w:bottom w:val="single" w:sz="4" w:space="0" w:color="BFA0E0" w:themeColor="accent4" w:themeTint="99"/>
        <w:right w:val="single" w:sz="4" w:space="0" w:color="BFA0E0" w:themeColor="accent4" w:themeTint="99"/>
        <w:insideH w:val="single" w:sz="4" w:space="0" w:color="BFA0E0" w:themeColor="accent4" w:themeTint="99"/>
      </w:tblBorders>
    </w:tblPr>
    <w:tblStylePr w:type="firstRow">
      <w:rPr>
        <w:b/>
        <w:bCs/>
        <w:color w:val="FFFFFF" w:themeColor="background1"/>
      </w:rPr>
      <w:tblPr/>
      <w:tcPr>
        <w:tcBorders>
          <w:top w:val="single" w:sz="4" w:space="0" w:color="9561CC" w:themeColor="accent4"/>
          <w:left w:val="single" w:sz="4" w:space="0" w:color="9561CC" w:themeColor="accent4"/>
          <w:bottom w:val="single" w:sz="4" w:space="0" w:color="9561CC" w:themeColor="accent4"/>
          <w:right w:val="single" w:sz="4" w:space="0" w:color="9561CC" w:themeColor="accent4"/>
          <w:insideH w:val="nil"/>
        </w:tcBorders>
        <w:shd w:val="clear" w:color="auto" w:fill="9561CC" w:themeFill="accent4"/>
      </w:tcPr>
    </w:tblStylePr>
    <w:tblStylePr w:type="lastRow">
      <w:rPr>
        <w:b/>
        <w:bCs/>
      </w:rPr>
      <w:tblPr/>
      <w:tcPr>
        <w:tcBorders>
          <w:top w:val="double" w:sz="4" w:space="0" w:color="BFA0E0" w:themeColor="accent4" w:themeTint="99"/>
        </w:tcBorders>
      </w:tcPr>
    </w:tblStylePr>
    <w:tblStylePr w:type="firstCol">
      <w:rPr>
        <w:b/>
        <w:bCs/>
      </w:rPr>
    </w:tblStylePr>
    <w:tblStylePr w:type="lastCol">
      <w:rPr>
        <w:b/>
        <w:bCs/>
      </w:rPr>
    </w:tblStylePr>
    <w:tblStylePr w:type="band1Vert">
      <w:tblPr/>
      <w:tcPr>
        <w:shd w:val="clear" w:color="auto" w:fill="E9DFF4" w:themeFill="accent4" w:themeFillTint="33"/>
      </w:tcPr>
    </w:tblStylePr>
    <w:tblStylePr w:type="band1Horz">
      <w:tblPr/>
      <w:tcPr>
        <w:shd w:val="clear" w:color="auto" w:fill="E9DFF4" w:themeFill="accent4" w:themeFillTint="33"/>
      </w:tcPr>
    </w:tblStylePr>
  </w:style>
  <w:style w:type="table" w:styleId="ListTable4-Accent5">
    <w:name w:val="List Table 4 Accent 5"/>
    <w:basedOn w:val="TableNormal"/>
    <w:uiPriority w:val="49"/>
    <w:rsid w:val="00762017"/>
    <w:pPr>
      <w:spacing w:after="0" w:line="240" w:lineRule="auto"/>
    </w:pPr>
    <w:tblPr>
      <w:tblStyleRowBandSize w:val="1"/>
      <w:tblStyleColBandSize w:val="1"/>
      <w:tblBorders>
        <w:top w:val="single" w:sz="4" w:space="0" w:color="43E6FF" w:themeColor="accent5" w:themeTint="99"/>
        <w:left w:val="single" w:sz="4" w:space="0" w:color="43E6FF" w:themeColor="accent5" w:themeTint="99"/>
        <w:bottom w:val="single" w:sz="4" w:space="0" w:color="43E6FF" w:themeColor="accent5" w:themeTint="99"/>
        <w:right w:val="single" w:sz="4" w:space="0" w:color="43E6FF" w:themeColor="accent5" w:themeTint="99"/>
        <w:insideH w:val="single" w:sz="4" w:space="0" w:color="43E6FF" w:themeColor="accent5" w:themeTint="99"/>
      </w:tblBorders>
    </w:tblPr>
    <w:tblStylePr w:type="firstRow">
      <w:rPr>
        <w:b/>
        <w:bCs/>
        <w:color w:val="FFFFFF" w:themeColor="background1"/>
      </w:rPr>
      <w:tblPr/>
      <w:tcPr>
        <w:tcBorders>
          <w:top w:val="single" w:sz="4" w:space="0" w:color="00ADC6" w:themeColor="accent5"/>
          <w:left w:val="single" w:sz="4" w:space="0" w:color="00ADC6" w:themeColor="accent5"/>
          <w:bottom w:val="single" w:sz="4" w:space="0" w:color="00ADC6" w:themeColor="accent5"/>
          <w:right w:val="single" w:sz="4" w:space="0" w:color="00ADC6" w:themeColor="accent5"/>
          <w:insideH w:val="nil"/>
        </w:tcBorders>
        <w:shd w:val="clear" w:color="auto" w:fill="00ADC6" w:themeFill="accent5"/>
      </w:tcPr>
    </w:tblStylePr>
    <w:tblStylePr w:type="lastRow">
      <w:rPr>
        <w:b/>
        <w:bCs/>
      </w:rPr>
      <w:tblPr/>
      <w:tcPr>
        <w:tcBorders>
          <w:top w:val="double" w:sz="4" w:space="0" w:color="43E6FF" w:themeColor="accent5" w:themeTint="99"/>
        </w:tcBorders>
      </w:tcPr>
    </w:tblStylePr>
    <w:tblStylePr w:type="firstCol">
      <w:rPr>
        <w:b/>
        <w:bCs/>
      </w:rPr>
    </w:tblStylePr>
    <w:tblStylePr w:type="lastCol">
      <w:rPr>
        <w:b/>
        <w:bCs/>
      </w:rPr>
    </w:tblStylePr>
    <w:tblStylePr w:type="band1Vert">
      <w:tblPr/>
      <w:tcPr>
        <w:shd w:val="clear" w:color="auto" w:fill="C0F6FF" w:themeFill="accent5" w:themeFillTint="33"/>
      </w:tcPr>
    </w:tblStylePr>
    <w:tblStylePr w:type="band1Horz">
      <w:tblPr/>
      <w:tcPr>
        <w:shd w:val="clear" w:color="auto" w:fill="C0F6FF" w:themeFill="accent5" w:themeFillTint="33"/>
      </w:tcPr>
    </w:tblStylePr>
  </w:style>
  <w:style w:type="table" w:styleId="ListTable4-Accent6">
    <w:name w:val="List Table 4 Accent 6"/>
    <w:basedOn w:val="TableNormal"/>
    <w:uiPriority w:val="49"/>
    <w:rsid w:val="00762017"/>
    <w:pPr>
      <w:spacing w:after="0" w:line="240" w:lineRule="auto"/>
    </w:pPr>
    <w:tblPr>
      <w:tblStyleRowBandSize w:val="1"/>
      <w:tblStyleColBandSize w:val="1"/>
      <w:tblBorders>
        <w:top w:val="single" w:sz="4" w:space="0" w:color="FDBB6B" w:themeColor="accent6" w:themeTint="99"/>
        <w:left w:val="single" w:sz="4" w:space="0" w:color="FDBB6B" w:themeColor="accent6" w:themeTint="99"/>
        <w:bottom w:val="single" w:sz="4" w:space="0" w:color="FDBB6B" w:themeColor="accent6" w:themeTint="99"/>
        <w:right w:val="single" w:sz="4" w:space="0" w:color="FDBB6B" w:themeColor="accent6" w:themeTint="99"/>
        <w:insideH w:val="single" w:sz="4" w:space="0" w:color="FDBB6B" w:themeColor="accent6" w:themeTint="99"/>
      </w:tblBorders>
    </w:tblPr>
    <w:tblStylePr w:type="firstRow">
      <w:rPr>
        <w:b/>
        <w:bCs/>
        <w:color w:val="FFFFFF" w:themeColor="background1"/>
      </w:rPr>
      <w:tblPr/>
      <w:tcPr>
        <w:tcBorders>
          <w:top w:val="single" w:sz="4" w:space="0" w:color="FD8F0A" w:themeColor="accent6"/>
          <w:left w:val="single" w:sz="4" w:space="0" w:color="FD8F0A" w:themeColor="accent6"/>
          <w:bottom w:val="single" w:sz="4" w:space="0" w:color="FD8F0A" w:themeColor="accent6"/>
          <w:right w:val="single" w:sz="4" w:space="0" w:color="FD8F0A" w:themeColor="accent6"/>
          <w:insideH w:val="nil"/>
        </w:tcBorders>
        <w:shd w:val="clear" w:color="auto" w:fill="FD8F0A" w:themeFill="accent6"/>
      </w:tcPr>
    </w:tblStylePr>
    <w:tblStylePr w:type="lastRow">
      <w:rPr>
        <w:b/>
        <w:bCs/>
      </w:rPr>
      <w:tblPr/>
      <w:tcPr>
        <w:tcBorders>
          <w:top w:val="double" w:sz="4" w:space="0" w:color="FDBB6B" w:themeColor="accent6" w:themeTint="99"/>
        </w:tcBorders>
      </w:tcPr>
    </w:tblStylePr>
    <w:tblStylePr w:type="firstCol">
      <w:rPr>
        <w:b/>
        <w:bCs/>
      </w:rPr>
    </w:tblStylePr>
    <w:tblStylePr w:type="lastCol">
      <w:rPr>
        <w:b/>
        <w:bCs/>
      </w:rPr>
    </w:tblStylePr>
    <w:tblStylePr w:type="band1Vert">
      <w:tblPr/>
      <w:tcPr>
        <w:shd w:val="clear" w:color="auto" w:fill="FEE8CD" w:themeFill="accent6" w:themeFillTint="33"/>
      </w:tcPr>
    </w:tblStylePr>
    <w:tblStylePr w:type="band1Horz">
      <w:tblPr/>
      <w:tcPr>
        <w:shd w:val="clear" w:color="auto" w:fill="FEE8CD" w:themeFill="accent6" w:themeFillTint="33"/>
      </w:tcPr>
    </w:tblStylePr>
  </w:style>
  <w:style w:type="table" w:styleId="ListTable5Dark">
    <w:name w:val="List Table 5 Dark"/>
    <w:basedOn w:val="TableNormal"/>
    <w:uiPriority w:val="50"/>
    <w:rsid w:val="00762017"/>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762017"/>
    <w:pPr>
      <w:spacing w:after="0" w:line="240" w:lineRule="auto"/>
    </w:pPr>
    <w:rPr>
      <w:color w:val="FFFFFF" w:themeColor="background1"/>
    </w:rPr>
    <w:tblPr>
      <w:tblStyleRowBandSize w:val="1"/>
      <w:tblStyleColBandSize w:val="1"/>
      <w:tblBorders>
        <w:top w:val="single" w:sz="24" w:space="0" w:color="2BB673" w:themeColor="accent1"/>
        <w:left w:val="single" w:sz="24" w:space="0" w:color="2BB673" w:themeColor="accent1"/>
        <w:bottom w:val="single" w:sz="24" w:space="0" w:color="2BB673" w:themeColor="accent1"/>
        <w:right w:val="single" w:sz="24" w:space="0" w:color="2BB673" w:themeColor="accent1"/>
      </w:tblBorders>
    </w:tblPr>
    <w:tcPr>
      <w:shd w:val="clear" w:color="auto" w:fill="2BB673"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762017"/>
    <w:pPr>
      <w:spacing w:after="0" w:line="240" w:lineRule="auto"/>
    </w:pPr>
    <w:rPr>
      <w:color w:val="FFFFFF" w:themeColor="background1"/>
    </w:rPr>
    <w:tblPr>
      <w:tblStyleRowBandSize w:val="1"/>
      <w:tblStyleColBandSize w:val="1"/>
      <w:tblBorders>
        <w:top w:val="single" w:sz="24" w:space="0" w:color="93B41A" w:themeColor="accent2"/>
        <w:left w:val="single" w:sz="24" w:space="0" w:color="93B41A" w:themeColor="accent2"/>
        <w:bottom w:val="single" w:sz="24" w:space="0" w:color="93B41A" w:themeColor="accent2"/>
        <w:right w:val="single" w:sz="24" w:space="0" w:color="93B41A" w:themeColor="accent2"/>
      </w:tblBorders>
    </w:tblPr>
    <w:tcPr>
      <w:shd w:val="clear" w:color="auto" w:fill="93B41A"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762017"/>
    <w:pPr>
      <w:spacing w:after="0" w:line="240" w:lineRule="auto"/>
    </w:pPr>
    <w:rPr>
      <w:color w:val="FFFFFF" w:themeColor="background1"/>
    </w:rPr>
    <w:tblPr>
      <w:tblStyleRowBandSize w:val="1"/>
      <w:tblStyleColBandSize w:val="1"/>
      <w:tblBorders>
        <w:top w:val="single" w:sz="24" w:space="0" w:color="F06A3B" w:themeColor="accent3"/>
        <w:left w:val="single" w:sz="24" w:space="0" w:color="F06A3B" w:themeColor="accent3"/>
        <w:bottom w:val="single" w:sz="24" w:space="0" w:color="F06A3B" w:themeColor="accent3"/>
        <w:right w:val="single" w:sz="24" w:space="0" w:color="F06A3B" w:themeColor="accent3"/>
      </w:tblBorders>
    </w:tblPr>
    <w:tcPr>
      <w:shd w:val="clear" w:color="auto" w:fill="F06A3B"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762017"/>
    <w:pPr>
      <w:spacing w:after="0" w:line="240" w:lineRule="auto"/>
    </w:pPr>
    <w:rPr>
      <w:color w:val="FFFFFF" w:themeColor="background1"/>
    </w:rPr>
    <w:tblPr>
      <w:tblStyleRowBandSize w:val="1"/>
      <w:tblStyleColBandSize w:val="1"/>
      <w:tblBorders>
        <w:top w:val="single" w:sz="24" w:space="0" w:color="9561CC" w:themeColor="accent4"/>
        <w:left w:val="single" w:sz="24" w:space="0" w:color="9561CC" w:themeColor="accent4"/>
        <w:bottom w:val="single" w:sz="24" w:space="0" w:color="9561CC" w:themeColor="accent4"/>
        <w:right w:val="single" w:sz="24" w:space="0" w:color="9561CC" w:themeColor="accent4"/>
      </w:tblBorders>
    </w:tblPr>
    <w:tcPr>
      <w:shd w:val="clear" w:color="auto" w:fill="9561CC"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762017"/>
    <w:pPr>
      <w:spacing w:after="0" w:line="240" w:lineRule="auto"/>
    </w:pPr>
    <w:rPr>
      <w:color w:val="FFFFFF" w:themeColor="background1"/>
    </w:rPr>
    <w:tblPr>
      <w:tblStyleRowBandSize w:val="1"/>
      <w:tblStyleColBandSize w:val="1"/>
      <w:tblBorders>
        <w:top w:val="single" w:sz="24" w:space="0" w:color="00ADC6" w:themeColor="accent5"/>
        <w:left w:val="single" w:sz="24" w:space="0" w:color="00ADC6" w:themeColor="accent5"/>
        <w:bottom w:val="single" w:sz="24" w:space="0" w:color="00ADC6" w:themeColor="accent5"/>
        <w:right w:val="single" w:sz="24" w:space="0" w:color="00ADC6" w:themeColor="accent5"/>
      </w:tblBorders>
    </w:tblPr>
    <w:tcPr>
      <w:shd w:val="clear" w:color="auto" w:fill="00ADC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762017"/>
    <w:pPr>
      <w:spacing w:after="0" w:line="240" w:lineRule="auto"/>
    </w:pPr>
    <w:rPr>
      <w:color w:val="FFFFFF" w:themeColor="background1"/>
    </w:rPr>
    <w:tblPr>
      <w:tblStyleRowBandSize w:val="1"/>
      <w:tblStyleColBandSize w:val="1"/>
      <w:tblBorders>
        <w:top w:val="single" w:sz="24" w:space="0" w:color="FD8F0A" w:themeColor="accent6"/>
        <w:left w:val="single" w:sz="24" w:space="0" w:color="FD8F0A" w:themeColor="accent6"/>
        <w:bottom w:val="single" w:sz="24" w:space="0" w:color="FD8F0A" w:themeColor="accent6"/>
        <w:right w:val="single" w:sz="24" w:space="0" w:color="FD8F0A" w:themeColor="accent6"/>
      </w:tblBorders>
    </w:tblPr>
    <w:tcPr>
      <w:shd w:val="clear" w:color="auto" w:fill="FD8F0A"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762017"/>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762017"/>
    <w:pPr>
      <w:spacing w:after="0" w:line="240" w:lineRule="auto"/>
    </w:pPr>
    <w:rPr>
      <w:color w:val="208855" w:themeColor="accent1" w:themeShade="BF"/>
    </w:rPr>
    <w:tblPr>
      <w:tblStyleRowBandSize w:val="1"/>
      <w:tblStyleColBandSize w:val="1"/>
      <w:tblBorders>
        <w:top w:val="single" w:sz="4" w:space="0" w:color="2BB673" w:themeColor="accent1"/>
        <w:bottom w:val="single" w:sz="4" w:space="0" w:color="2BB673" w:themeColor="accent1"/>
      </w:tblBorders>
    </w:tblPr>
    <w:tblStylePr w:type="firstRow">
      <w:rPr>
        <w:b/>
        <w:bCs/>
      </w:rPr>
      <w:tblPr/>
      <w:tcPr>
        <w:tcBorders>
          <w:bottom w:val="single" w:sz="4" w:space="0" w:color="2BB673" w:themeColor="accent1"/>
        </w:tcBorders>
      </w:tcPr>
    </w:tblStylePr>
    <w:tblStylePr w:type="lastRow">
      <w:rPr>
        <w:b/>
        <w:bCs/>
      </w:rPr>
      <w:tblPr/>
      <w:tcPr>
        <w:tcBorders>
          <w:top w:val="double" w:sz="4" w:space="0" w:color="2BB673" w:themeColor="accent1"/>
        </w:tcBorders>
      </w:tcPr>
    </w:tblStylePr>
    <w:tblStylePr w:type="firstCol">
      <w:rPr>
        <w:b/>
        <w:bCs/>
      </w:rPr>
    </w:tblStylePr>
    <w:tblStylePr w:type="lastCol">
      <w:rPr>
        <w:b/>
        <w:bCs/>
      </w:rPr>
    </w:tblStylePr>
    <w:tblStylePr w:type="band1Vert">
      <w:tblPr/>
      <w:tcPr>
        <w:shd w:val="clear" w:color="auto" w:fill="D0F4E3" w:themeFill="accent1" w:themeFillTint="33"/>
      </w:tcPr>
    </w:tblStylePr>
    <w:tblStylePr w:type="band1Horz">
      <w:tblPr/>
      <w:tcPr>
        <w:shd w:val="clear" w:color="auto" w:fill="D0F4E3" w:themeFill="accent1" w:themeFillTint="33"/>
      </w:tcPr>
    </w:tblStylePr>
  </w:style>
  <w:style w:type="table" w:styleId="ListTable6Colorful-Accent2">
    <w:name w:val="List Table 6 Colorful Accent 2"/>
    <w:basedOn w:val="TableNormal"/>
    <w:uiPriority w:val="51"/>
    <w:rsid w:val="00762017"/>
    <w:pPr>
      <w:spacing w:after="0" w:line="240" w:lineRule="auto"/>
    </w:pPr>
    <w:rPr>
      <w:color w:val="6D8613" w:themeColor="accent2" w:themeShade="BF"/>
    </w:rPr>
    <w:tblPr>
      <w:tblStyleRowBandSize w:val="1"/>
      <w:tblStyleColBandSize w:val="1"/>
      <w:tblBorders>
        <w:top w:val="single" w:sz="4" w:space="0" w:color="93B41A" w:themeColor="accent2"/>
        <w:bottom w:val="single" w:sz="4" w:space="0" w:color="93B41A" w:themeColor="accent2"/>
      </w:tblBorders>
    </w:tblPr>
    <w:tblStylePr w:type="firstRow">
      <w:rPr>
        <w:b/>
        <w:bCs/>
      </w:rPr>
      <w:tblPr/>
      <w:tcPr>
        <w:tcBorders>
          <w:bottom w:val="single" w:sz="4" w:space="0" w:color="93B41A" w:themeColor="accent2"/>
        </w:tcBorders>
      </w:tcPr>
    </w:tblStylePr>
    <w:tblStylePr w:type="lastRow">
      <w:rPr>
        <w:b/>
        <w:bCs/>
      </w:rPr>
      <w:tblPr/>
      <w:tcPr>
        <w:tcBorders>
          <w:top w:val="double" w:sz="4" w:space="0" w:color="93B41A" w:themeColor="accent2"/>
        </w:tcBorders>
      </w:tcPr>
    </w:tblStylePr>
    <w:tblStylePr w:type="firstCol">
      <w:rPr>
        <w:b/>
        <w:bCs/>
      </w:rPr>
    </w:tblStylePr>
    <w:tblStylePr w:type="lastCol">
      <w:rPr>
        <w:b/>
        <w:bCs/>
      </w:rPr>
    </w:tblStylePr>
    <w:tblStylePr w:type="band1Vert">
      <w:tblPr/>
      <w:tcPr>
        <w:shd w:val="clear" w:color="auto" w:fill="EDF7C9" w:themeFill="accent2" w:themeFillTint="33"/>
      </w:tcPr>
    </w:tblStylePr>
    <w:tblStylePr w:type="band1Horz">
      <w:tblPr/>
      <w:tcPr>
        <w:shd w:val="clear" w:color="auto" w:fill="EDF7C9" w:themeFill="accent2" w:themeFillTint="33"/>
      </w:tcPr>
    </w:tblStylePr>
  </w:style>
  <w:style w:type="table" w:styleId="ListTable6Colorful-Accent3">
    <w:name w:val="List Table 6 Colorful Accent 3"/>
    <w:basedOn w:val="TableNormal"/>
    <w:uiPriority w:val="51"/>
    <w:rsid w:val="00762017"/>
    <w:pPr>
      <w:spacing w:after="0" w:line="240" w:lineRule="auto"/>
    </w:pPr>
    <w:rPr>
      <w:color w:val="CF4110" w:themeColor="accent3" w:themeShade="BF"/>
    </w:rPr>
    <w:tblPr>
      <w:tblStyleRowBandSize w:val="1"/>
      <w:tblStyleColBandSize w:val="1"/>
      <w:tblBorders>
        <w:top w:val="single" w:sz="4" w:space="0" w:color="F06A3B" w:themeColor="accent3"/>
        <w:bottom w:val="single" w:sz="4" w:space="0" w:color="F06A3B" w:themeColor="accent3"/>
      </w:tblBorders>
    </w:tblPr>
    <w:tblStylePr w:type="firstRow">
      <w:rPr>
        <w:b/>
        <w:bCs/>
      </w:rPr>
      <w:tblPr/>
      <w:tcPr>
        <w:tcBorders>
          <w:bottom w:val="single" w:sz="4" w:space="0" w:color="F06A3B" w:themeColor="accent3"/>
        </w:tcBorders>
      </w:tcPr>
    </w:tblStylePr>
    <w:tblStylePr w:type="lastRow">
      <w:rPr>
        <w:b/>
        <w:bCs/>
      </w:rPr>
      <w:tblPr/>
      <w:tcPr>
        <w:tcBorders>
          <w:top w:val="double" w:sz="4" w:space="0" w:color="F06A3B" w:themeColor="accent3"/>
        </w:tcBorders>
      </w:tcPr>
    </w:tblStylePr>
    <w:tblStylePr w:type="firstCol">
      <w:rPr>
        <w:b/>
        <w:bCs/>
      </w:rPr>
    </w:tblStylePr>
    <w:tblStylePr w:type="lastCol">
      <w:rPr>
        <w:b/>
        <w:bCs/>
      </w:rPr>
    </w:tblStylePr>
    <w:tblStylePr w:type="band1Vert">
      <w:tblPr/>
      <w:tcPr>
        <w:shd w:val="clear" w:color="auto" w:fill="FCE1D7" w:themeFill="accent3" w:themeFillTint="33"/>
      </w:tcPr>
    </w:tblStylePr>
    <w:tblStylePr w:type="band1Horz">
      <w:tblPr/>
      <w:tcPr>
        <w:shd w:val="clear" w:color="auto" w:fill="FCE1D7" w:themeFill="accent3" w:themeFillTint="33"/>
      </w:tcPr>
    </w:tblStylePr>
  </w:style>
  <w:style w:type="table" w:styleId="ListTable6Colorful-Accent4">
    <w:name w:val="List Table 6 Colorful Accent 4"/>
    <w:basedOn w:val="TableNormal"/>
    <w:uiPriority w:val="51"/>
    <w:rsid w:val="00762017"/>
    <w:pPr>
      <w:spacing w:after="0" w:line="240" w:lineRule="auto"/>
    </w:pPr>
    <w:rPr>
      <w:color w:val="6E37AA" w:themeColor="accent4" w:themeShade="BF"/>
    </w:rPr>
    <w:tblPr>
      <w:tblStyleRowBandSize w:val="1"/>
      <w:tblStyleColBandSize w:val="1"/>
      <w:tblBorders>
        <w:top w:val="single" w:sz="4" w:space="0" w:color="9561CC" w:themeColor="accent4"/>
        <w:bottom w:val="single" w:sz="4" w:space="0" w:color="9561CC" w:themeColor="accent4"/>
      </w:tblBorders>
    </w:tblPr>
    <w:tblStylePr w:type="firstRow">
      <w:rPr>
        <w:b/>
        <w:bCs/>
      </w:rPr>
      <w:tblPr/>
      <w:tcPr>
        <w:tcBorders>
          <w:bottom w:val="single" w:sz="4" w:space="0" w:color="9561CC" w:themeColor="accent4"/>
        </w:tcBorders>
      </w:tcPr>
    </w:tblStylePr>
    <w:tblStylePr w:type="lastRow">
      <w:rPr>
        <w:b/>
        <w:bCs/>
      </w:rPr>
      <w:tblPr/>
      <w:tcPr>
        <w:tcBorders>
          <w:top w:val="double" w:sz="4" w:space="0" w:color="9561CC" w:themeColor="accent4"/>
        </w:tcBorders>
      </w:tcPr>
    </w:tblStylePr>
    <w:tblStylePr w:type="firstCol">
      <w:rPr>
        <w:b/>
        <w:bCs/>
      </w:rPr>
    </w:tblStylePr>
    <w:tblStylePr w:type="lastCol">
      <w:rPr>
        <w:b/>
        <w:bCs/>
      </w:rPr>
    </w:tblStylePr>
    <w:tblStylePr w:type="band1Vert">
      <w:tblPr/>
      <w:tcPr>
        <w:shd w:val="clear" w:color="auto" w:fill="E9DFF4" w:themeFill="accent4" w:themeFillTint="33"/>
      </w:tcPr>
    </w:tblStylePr>
    <w:tblStylePr w:type="band1Horz">
      <w:tblPr/>
      <w:tcPr>
        <w:shd w:val="clear" w:color="auto" w:fill="E9DFF4" w:themeFill="accent4" w:themeFillTint="33"/>
      </w:tcPr>
    </w:tblStylePr>
  </w:style>
  <w:style w:type="table" w:styleId="ListTable6Colorful-Accent5">
    <w:name w:val="List Table 6 Colorful Accent 5"/>
    <w:basedOn w:val="TableNormal"/>
    <w:uiPriority w:val="51"/>
    <w:rsid w:val="00762017"/>
    <w:pPr>
      <w:spacing w:after="0" w:line="240" w:lineRule="auto"/>
    </w:pPr>
    <w:rPr>
      <w:color w:val="008094" w:themeColor="accent5" w:themeShade="BF"/>
    </w:rPr>
    <w:tblPr>
      <w:tblStyleRowBandSize w:val="1"/>
      <w:tblStyleColBandSize w:val="1"/>
      <w:tblBorders>
        <w:top w:val="single" w:sz="4" w:space="0" w:color="00ADC6" w:themeColor="accent5"/>
        <w:bottom w:val="single" w:sz="4" w:space="0" w:color="00ADC6" w:themeColor="accent5"/>
      </w:tblBorders>
    </w:tblPr>
    <w:tblStylePr w:type="firstRow">
      <w:rPr>
        <w:b/>
        <w:bCs/>
      </w:rPr>
      <w:tblPr/>
      <w:tcPr>
        <w:tcBorders>
          <w:bottom w:val="single" w:sz="4" w:space="0" w:color="00ADC6" w:themeColor="accent5"/>
        </w:tcBorders>
      </w:tcPr>
    </w:tblStylePr>
    <w:tblStylePr w:type="lastRow">
      <w:rPr>
        <w:b/>
        <w:bCs/>
      </w:rPr>
      <w:tblPr/>
      <w:tcPr>
        <w:tcBorders>
          <w:top w:val="double" w:sz="4" w:space="0" w:color="00ADC6" w:themeColor="accent5"/>
        </w:tcBorders>
      </w:tcPr>
    </w:tblStylePr>
    <w:tblStylePr w:type="firstCol">
      <w:rPr>
        <w:b/>
        <w:bCs/>
      </w:rPr>
    </w:tblStylePr>
    <w:tblStylePr w:type="lastCol">
      <w:rPr>
        <w:b/>
        <w:bCs/>
      </w:rPr>
    </w:tblStylePr>
    <w:tblStylePr w:type="band1Vert">
      <w:tblPr/>
      <w:tcPr>
        <w:shd w:val="clear" w:color="auto" w:fill="C0F6FF" w:themeFill="accent5" w:themeFillTint="33"/>
      </w:tcPr>
    </w:tblStylePr>
    <w:tblStylePr w:type="band1Horz">
      <w:tblPr/>
      <w:tcPr>
        <w:shd w:val="clear" w:color="auto" w:fill="C0F6FF" w:themeFill="accent5" w:themeFillTint="33"/>
      </w:tcPr>
    </w:tblStylePr>
  </w:style>
  <w:style w:type="table" w:styleId="ListTable6Colorful-Accent6">
    <w:name w:val="List Table 6 Colorful Accent 6"/>
    <w:basedOn w:val="TableNormal"/>
    <w:uiPriority w:val="51"/>
    <w:rsid w:val="00762017"/>
    <w:pPr>
      <w:spacing w:after="0" w:line="240" w:lineRule="auto"/>
    </w:pPr>
    <w:rPr>
      <w:color w:val="C36B01" w:themeColor="accent6" w:themeShade="BF"/>
    </w:rPr>
    <w:tblPr>
      <w:tblStyleRowBandSize w:val="1"/>
      <w:tblStyleColBandSize w:val="1"/>
      <w:tblBorders>
        <w:top w:val="single" w:sz="4" w:space="0" w:color="FD8F0A" w:themeColor="accent6"/>
        <w:bottom w:val="single" w:sz="4" w:space="0" w:color="FD8F0A" w:themeColor="accent6"/>
      </w:tblBorders>
    </w:tblPr>
    <w:tblStylePr w:type="firstRow">
      <w:rPr>
        <w:b/>
        <w:bCs/>
      </w:rPr>
      <w:tblPr/>
      <w:tcPr>
        <w:tcBorders>
          <w:bottom w:val="single" w:sz="4" w:space="0" w:color="FD8F0A" w:themeColor="accent6"/>
        </w:tcBorders>
      </w:tcPr>
    </w:tblStylePr>
    <w:tblStylePr w:type="lastRow">
      <w:rPr>
        <w:b/>
        <w:bCs/>
      </w:rPr>
      <w:tblPr/>
      <w:tcPr>
        <w:tcBorders>
          <w:top w:val="double" w:sz="4" w:space="0" w:color="FD8F0A" w:themeColor="accent6"/>
        </w:tcBorders>
      </w:tcPr>
    </w:tblStylePr>
    <w:tblStylePr w:type="firstCol">
      <w:rPr>
        <w:b/>
        <w:bCs/>
      </w:rPr>
    </w:tblStylePr>
    <w:tblStylePr w:type="lastCol">
      <w:rPr>
        <w:b/>
        <w:bCs/>
      </w:rPr>
    </w:tblStylePr>
    <w:tblStylePr w:type="band1Vert">
      <w:tblPr/>
      <w:tcPr>
        <w:shd w:val="clear" w:color="auto" w:fill="FEE8CD" w:themeFill="accent6" w:themeFillTint="33"/>
      </w:tcPr>
    </w:tblStylePr>
    <w:tblStylePr w:type="band1Horz">
      <w:tblPr/>
      <w:tcPr>
        <w:shd w:val="clear" w:color="auto" w:fill="FEE8CD" w:themeFill="accent6" w:themeFillTint="33"/>
      </w:tcPr>
    </w:tblStylePr>
  </w:style>
  <w:style w:type="table" w:styleId="ListTable7Colorful">
    <w:name w:val="List Table 7 Colorful"/>
    <w:basedOn w:val="TableNormal"/>
    <w:uiPriority w:val="52"/>
    <w:rsid w:val="00762017"/>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762017"/>
    <w:pPr>
      <w:spacing w:after="0" w:line="240" w:lineRule="auto"/>
    </w:pPr>
    <w:rPr>
      <w:color w:val="208855"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BB673"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BB673"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BB673"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BB673" w:themeColor="accent1"/>
        </w:tcBorders>
        <w:shd w:val="clear" w:color="auto" w:fill="FFFFFF" w:themeFill="background1"/>
      </w:tcPr>
    </w:tblStylePr>
    <w:tblStylePr w:type="band1Vert">
      <w:tblPr/>
      <w:tcPr>
        <w:shd w:val="clear" w:color="auto" w:fill="D0F4E3" w:themeFill="accent1" w:themeFillTint="33"/>
      </w:tcPr>
    </w:tblStylePr>
    <w:tblStylePr w:type="band1Horz">
      <w:tblPr/>
      <w:tcPr>
        <w:shd w:val="clear" w:color="auto" w:fill="D0F4E3"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762017"/>
    <w:pPr>
      <w:spacing w:after="0" w:line="240" w:lineRule="auto"/>
    </w:pPr>
    <w:rPr>
      <w:color w:val="6D8613"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3B41A"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3B41A"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3B41A"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3B41A" w:themeColor="accent2"/>
        </w:tcBorders>
        <w:shd w:val="clear" w:color="auto" w:fill="FFFFFF" w:themeFill="background1"/>
      </w:tcPr>
    </w:tblStylePr>
    <w:tblStylePr w:type="band1Vert">
      <w:tblPr/>
      <w:tcPr>
        <w:shd w:val="clear" w:color="auto" w:fill="EDF7C9" w:themeFill="accent2" w:themeFillTint="33"/>
      </w:tcPr>
    </w:tblStylePr>
    <w:tblStylePr w:type="band1Horz">
      <w:tblPr/>
      <w:tcPr>
        <w:shd w:val="clear" w:color="auto" w:fill="EDF7C9"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762017"/>
    <w:pPr>
      <w:spacing w:after="0" w:line="240" w:lineRule="auto"/>
    </w:pPr>
    <w:rPr>
      <w:color w:val="CF4110"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06A3B"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06A3B"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06A3B"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06A3B" w:themeColor="accent3"/>
        </w:tcBorders>
        <w:shd w:val="clear" w:color="auto" w:fill="FFFFFF" w:themeFill="background1"/>
      </w:tcPr>
    </w:tblStylePr>
    <w:tblStylePr w:type="band1Vert">
      <w:tblPr/>
      <w:tcPr>
        <w:shd w:val="clear" w:color="auto" w:fill="FCE1D7" w:themeFill="accent3" w:themeFillTint="33"/>
      </w:tcPr>
    </w:tblStylePr>
    <w:tblStylePr w:type="band1Horz">
      <w:tblPr/>
      <w:tcPr>
        <w:shd w:val="clear" w:color="auto" w:fill="FCE1D7"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762017"/>
    <w:pPr>
      <w:spacing w:after="0" w:line="240" w:lineRule="auto"/>
    </w:pPr>
    <w:rPr>
      <w:color w:val="6E37AA"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561CC"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561CC"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561CC"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561CC" w:themeColor="accent4"/>
        </w:tcBorders>
        <w:shd w:val="clear" w:color="auto" w:fill="FFFFFF" w:themeFill="background1"/>
      </w:tcPr>
    </w:tblStylePr>
    <w:tblStylePr w:type="band1Vert">
      <w:tblPr/>
      <w:tcPr>
        <w:shd w:val="clear" w:color="auto" w:fill="E9DFF4" w:themeFill="accent4" w:themeFillTint="33"/>
      </w:tcPr>
    </w:tblStylePr>
    <w:tblStylePr w:type="band1Horz">
      <w:tblPr/>
      <w:tcPr>
        <w:shd w:val="clear" w:color="auto" w:fill="E9DFF4"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762017"/>
    <w:pPr>
      <w:spacing w:after="0" w:line="240" w:lineRule="auto"/>
    </w:pPr>
    <w:rPr>
      <w:color w:val="008094"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ADC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ADC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ADC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ADC6" w:themeColor="accent5"/>
        </w:tcBorders>
        <w:shd w:val="clear" w:color="auto" w:fill="FFFFFF" w:themeFill="background1"/>
      </w:tcPr>
    </w:tblStylePr>
    <w:tblStylePr w:type="band1Vert">
      <w:tblPr/>
      <w:tcPr>
        <w:shd w:val="clear" w:color="auto" w:fill="C0F6FF" w:themeFill="accent5" w:themeFillTint="33"/>
      </w:tcPr>
    </w:tblStylePr>
    <w:tblStylePr w:type="band1Horz">
      <w:tblPr/>
      <w:tcPr>
        <w:shd w:val="clear" w:color="auto" w:fill="C0F6FF"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762017"/>
    <w:pPr>
      <w:spacing w:after="0" w:line="240" w:lineRule="auto"/>
    </w:pPr>
    <w:rPr>
      <w:color w:val="C36B01"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D8F0A"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D8F0A"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D8F0A"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D8F0A" w:themeColor="accent6"/>
        </w:tcBorders>
        <w:shd w:val="clear" w:color="auto" w:fill="FFFFFF" w:themeFill="background1"/>
      </w:tcPr>
    </w:tblStylePr>
    <w:tblStylePr w:type="band1Vert">
      <w:tblPr/>
      <w:tcPr>
        <w:shd w:val="clear" w:color="auto" w:fill="FEE8CD" w:themeFill="accent6" w:themeFillTint="33"/>
      </w:tcPr>
    </w:tblStylePr>
    <w:tblStylePr w:type="band1Horz">
      <w:tblPr/>
      <w:tcPr>
        <w:shd w:val="clear" w:color="auto" w:fill="FEE8CD"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rsid w:val="00762017"/>
    <w:pPr>
      <w:tabs>
        <w:tab w:val="left" w:pos="480"/>
        <w:tab w:val="left" w:pos="960"/>
        <w:tab w:val="left" w:pos="1440"/>
        <w:tab w:val="left" w:pos="1920"/>
        <w:tab w:val="left" w:pos="2400"/>
        <w:tab w:val="left" w:pos="2880"/>
        <w:tab w:val="left" w:pos="3360"/>
        <w:tab w:val="left" w:pos="3840"/>
        <w:tab w:val="left" w:pos="4320"/>
      </w:tabs>
      <w:spacing w:after="0" w:line="300" w:lineRule="atLeast"/>
    </w:pPr>
    <w:rPr>
      <w:rFonts w:ascii="Consolas" w:hAnsi="Consolas"/>
      <w:color w:val="1E1E1E"/>
      <w:sz w:val="20"/>
      <w:szCs w:val="20"/>
    </w:rPr>
  </w:style>
  <w:style w:type="character" w:customStyle="1" w:styleId="MacroTextChar">
    <w:name w:val="Macro Text Char"/>
    <w:basedOn w:val="DefaultParagraphFont"/>
    <w:link w:val="MacroText"/>
    <w:uiPriority w:val="99"/>
    <w:semiHidden/>
    <w:rsid w:val="00762017"/>
    <w:rPr>
      <w:rFonts w:ascii="Consolas" w:hAnsi="Consolas"/>
      <w:color w:val="1E1E1E"/>
      <w:sz w:val="20"/>
      <w:szCs w:val="20"/>
    </w:rPr>
  </w:style>
  <w:style w:type="table" w:styleId="MediumGrid1">
    <w:name w:val="Medium Grid 1"/>
    <w:basedOn w:val="TableNormal"/>
    <w:uiPriority w:val="67"/>
    <w:semiHidden/>
    <w:unhideWhenUsed/>
    <w:rsid w:val="00762017"/>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762017"/>
    <w:pPr>
      <w:spacing w:after="0" w:line="240" w:lineRule="auto"/>
    </w:pPr>
    <w:tblPr>
      <w:tblStyleRowBandSize w:val="1"/>
      <w:tblStyleColBandSize w:val="1"/>
      <w:tblBorders>
        <w:top w:val="single" w:sz="8" w:space="0" w:color="52D696" w:themeColor="accent1" w:themeTint="BF"/>
        <w:left w:val="single" w:sz="8" w:space="0" w:color="52D696" w:themeColor="accent1" w:themeTint="BF"/>
        <w:bottom w:val="single" w:sz="8" w:space="0" w:color="52D696" w:themeColor="accent1" w:themeTint="BF"/>
        <w:right w:val="single" w:sz="8" w:space="0" w:color="52D696" w:themeColor="accent1" w:themeTint="BF"/>
        <w:insideH w:val="single" w:sz="8" w:space="0" w:color="52D696" w:themeColor="accent1" w:themeTint="BF"/>
        <w:insideV w:val="single" w:sz="8" w:space="0" w:color="52D696" w:themeColor="accent1" w:themeTint="BF"/>
      </w:tblBorders>
    </w:tblPr>
    <w:tcPr>
      <w:shd w:val="clear" w:color="auto" w:fill="C5F1DC" w:themeFill="accent1" w:themeFillTint="3F"/>
    </w:tcPr>
    <w:tblStylePr w:type="firstRow">
      <w:rPr>
        <w:b/>
        <w:bCs/>
      </w:rPr>
    </w:tblStylePr>
    <w:tblStylePr w:type="lastRow">
      <w:rPr>
        <w:b/>
        <w:bCs/>
      </w:rPr>
      <w:tblPr/>
      <w:tcPr>
        <w:tcBorders>
          <w:top w:val="single" w:sz="18" w:space="0" w:color="52D696" w:themeColor="accent1" w:themeTint="BF"/>
        </w:tcBorders>
      </w:tcPr>
    </w:tblStylePr>
    <w:tblStylePr w:type="firstCol">
      <w:rPr>
        <w:b/>
        <w:bCs/>
      </w:rPr>
    </w:tblStylePr>
    <w:tblStylePr w:type="lastCol">
      <w:rPr>
        <w:b/>
        <w:bCs/>
      </w:rPr>
    </w:tblStylePr>
    <w:tblStylePr w:type="band1Vert">
      <w:tblPr/>
      <w:tcPr>
        <w:shd w:val="clear" w:color="auto" w:fill="8CE4B9" w:themeFill="accent1" w:themeFillTint="7F"/>
      </w:tcPr>
    </w:tblStylePr>
    <w:tblStylePr w:type="band1Horz">
      <w:tblPr/>
      <w:tcPr>
        <w:shd w:val="clear" w:color="auto" w:fill="8CE4B9" w:themeFill="accent1" w:themeFillTint="7F"/>
      </w:tcPr>
    </w:tblStylePr>
  </w:style>
  <w:style w:type="table" w:styleId="MediumGrid1-Accent2">
    <w:name w:val="Medium Grid 1 Accent 2"/>
    <w:basedOn w:val="TableNormal"/>
    <w:uiPriority w:val="67"/>
    <w:semiHidden/>
    <w:unhideWhenUsed/>
    <w:rsid w:val="00762017"/>
    <w:pPr>
      <w:spacing w:after="0" w:line="240" w:lineRule="auto"/>
    </w:pPr>
    <w:tblPr>
      <w:tblStyleRowBandSize w:val="1"/>
      <w:tblStyleColBandSize w:val="1"/>
      <w:tblBorders>
        <w:top w:val="single" w:sz="8" w:space="0" w:color="BDE237" w:themeColor="accent2" w:themeTint="BF"/>
        <w:left w:val="single" w:sz="8" w:space="0" w:color="BDE237" w:themeColor="accent2" w:themeTint="BF"/>
        <w:bottom w:val="single" w:sz="8" w:space="0" w:color="BDE237" w:themeColor="accent2" w:themeTint="BF"/>
        <w:right w:val="single" w:sz="8" w:space="0" w:color="BDE237" w:themeColor="accent2" w:themeTint="BF"/>
        <w:insideH w:val="single" w:sz="8" w:space="0" w:color="BDE237" w:themeColor="accent2" w:themeTint="BF"/>
        <w:insideV w:val="single" w:sz="8" w:space="0" w:color="BDE237" w:themeColor="accent2" w:themeTint="BF"/>
      </w:tblBorders>
    </w:tblPr>
    <w:tcPr>
      <w:shd w:val="clear" w:color="auto" w:fill="E9F5BD" w:themeFill="accent2" w:themeFillTint="3F"/>
    </w:tcPr>
    <w:tblStylePr w:type="firstRow">
      <w:rPr>
        <w:b/>
        <w:bCs/>
      </w:rPr>
    </w:tblStylePr>
    <w:tblStylePr w:type="lastRow">
      <w:rPr>
        <w:b/>
        <w:bCs/>
      </w:rPr>
      <w:tblPr/>
      <w:tcPr>
        <w:tcBorders>
          <w:top w:val="single" w:sz="18" w:space="0" w:color="BDE237" w:themeColor="accent2" w:themeTint="BF"/>
        </w:tcBorders>
      </w:tcPr>
    </w:tblStylePr>
    <w:tblStylePr w:type="firstCol">
      <w:rPr>
        <w:b/>
        <w:bCs/>
      </w:rPr>
    </w:tblStylePr>
    <w:tblStylePr w:type="lastCol">
      <w:rPr>
        <w:b/>
        <w:bCs/>
      </w:rPr>
    </w:tblStylePr>
    <w:tblStylePr w:type="band1Vert">
      <w:tblPr/>
      <w:tcPr>
        <w:shd w:val="clear" w:color="auto" w:fill="D3EB7A" w:themeFill="accent2" w:themeFillTint="7F"/>
      </w:tcPr>
    </w:tblStylePr>
    <w:tblStylePr w:type="band1Horz">
      <w:tblPr/>
      <w:tcPr>
        <w:shd w:val="clear" w:color="auto" w:fill="D3EB7A" w:themeFill="accent2" w:themeFillTint="7F"/>
      </w:tcPr>
    </w:tblStylePr>
  </w:style>
  <w:style w:type="table" w:styleId="MediumGrid1-Accent3">
    <w:name w:val="Medium Grid 1 Accent 3"/>
    <w:basedOn w:val="TableNormal"/>
    <w:uiPriority w:val="67"/>
    <w:semiHidden/>
    <w:unhideWhenUsed/>
    <w:rsid w:val="00762017"/>
    <w:pPr>
      <w:spacing w:after="0" w:line="240" w:lineRule="auto"/>
    </w:pPr>
    <w:tblPr>
      <w:tblStyleRowBandSize w:val="1"/>
      <w:tblStyleColBandSize w:val="1"/>
      <w:tblBorders>
        <w:top w:val="single" w:sz="8" w:space="0" w:color="F38F6B" w:themeColor="accent3" w:themeTint="BF"/>
        <w:left w:val="single" w:sz="8" w:space="0" w:color="F38F6B" w:themeColor="accent3" w:themeTint="BF"/>
        <w:bottom w:val="single" w:sz="8" w:space="0" w:color="F38F6B" w:themeColor="accent3" w:themeTint="BF"/>
        <w:right w:val="single" w:sz="8" w:space="0" w:color="F38F6B" w:themeColor="accent3" w:themeTint="BF"/>
        <w:insideH w:val="single" w:sz="8" w:space="0" w:color="F38F6B" w:themeColor="accent3" w:themeTint="BF"/>
        <w:insideV w:val="single" w:sz="8" w:space="0" w:color="F38F6B" w:themeColor="accent3" w:themeTint="BF"/>
      </w:tblBorders>
    </w:tblPr>
    <w:tcPr>
      <w:shd w:val="clear" w:color="auto" w:fill="FBD9CE" w:themeFill="accent3" w:themeFillTint="3F"/>
    </w:tcPr>
    <w:tblStylePr w:type="firstRow">
      <w:rPr>
        <w:b/>
        <w:bCs/>
      </w:rPr>
    </w:tblStylePr>
    <w:tblStylePr w:type="lastRow">
      <w:rPr>
        <w:b/>
        <w:bCs/>
      </w:rPr>
      <w:tblPr/>
      <w:tcPr>
        <w:tcBorders>
          <w:top w:val="single" w:sz="18" w:space="0" w:color="F38F6B" w:themeColor="accent3" w:themeTint="BF"/>
        </w:tcBorders>
      </w:tcPr>
    </w:tblStylePr>
    <w:tblStylePr w:type="firstCol">
      <w:rPr>
        <w:b/>
        <w:bCs/>
      </w:rPr>
    </w:tblStylePr>
    <w:tblStylePr w:type="lastCol">
      <w:rPr>
        <w:b/>
        <w:bCs/>
      </w:rPr>
    </w:tblStylePr>
    <w:tblStylePr w:type="band1Vert">
      <w:tblPr/>
      <w:tcPr>
        <w:shd w:val="clear" w:color="auto" w:fill="F7B49D" w:themeFill="accent3" w:themeFillTint="7F"/>
      </w:tcPr>
    </w:tblStylePr>
    <w:tblStylePr w:type="band1Horz">
      <w:tblPr/>
      <w:tcPr>
        <w:shd w:val="clear" w:color="auto" w:fill="F7B49D" w:themeFill="accent3" w:themeFillTint="7F"/>
      </w:tcPr>
    </w:tblStylePr>
  </w:style>
  <w:style w:type="table" w:styleId="MediumGrid1-Accent4">
    <w:name w:val="Medium Grid 1 Accent 4"/>
    <w:basedOn w:val="TableNormal"/>
    <w:uiPriority w:val="67"/>
    <w:semiHidden/>
    <w:unhideWhenUsed/>
    <w:rsid w:val="00762017"/>
    <w:pPr>
      <w:spacing w:after="0" w:line="240" w:lineRule="auto"/>
    </w:pPr>
    <w:tblPr>
      <w:tblStyleRowBandSize w:val="1"/>
      <w:tblStyleColBandSize w:val="1"/>
      <w:tblBorders>
        <w:top w:val="single" w:sz="8" w:space="0" w:color="AF88D8" w:themeColor="accent4" w:themeTint="BF"/>
        <w:left w:val="single" w:sz="8" w:space="0" w:color="AF88D8" w:themeColor="accent4" w:themeTint="BF"/>
        <w:bottom w:val="single" w:sz="8" w:space="0" w:color="AF88D8" w:themeColor="accent4" w:themeTint="BF"/>
        <w:right w:val="single" w:sz="8" w:space="0" w:color="AF88D8" w:themeColor="accent4" w:themeTint="BF"/>
        <w:insideH w:val="single" w:sz="8" w:space="0" w:color="AF88D8" w:themeColor="accent4" w:themeTint="BF"/>
        <w:insideV w:val="single" w:sz="8" w:space="0" w:color="AF88D8" w:themeColor="accent4" w:themeTint="BF"/>
      </w:tblBorders>
    </w:tblPr>
    <w:tcPr>
      <w:shd w:val="clear" w:color="auto" w:fill="E4D7F2" w:themeFill="accent4" w:themeFillTint="3F"/>
    </w:tcPr>
    <w:tblStylePr w:type="firstRow">
      <w:rPr>
        <w:b/>
        <w:bCs/>
      </w:rPr>
    </w:tblStylePr>
    <w:tblStylePr w:type="lastRow">
      <w:rPr>
        <w:b/>
        <w:bCs/>
      </w:rPr>
      <w:tblPr/>
      <w:tcPr>
        <w:tcBorders>
          <w:top w:val="single" w:sz="18" w:space="0" w:color="AF88D8" w:themeColor="accent4" w:themeTint="BF"/>
        </w:tcBorders>
      </w:tcPr>
    </w:tblStylePr>
    <w:tblStylePr w:type="firstCol">
      <w:rPr>
        <w:b/>
        <w:bCs/>
      </w:rPr>
    </w:tblStylePr>
    <w:tblStylePr w:type="lastCol">
      <w:rPr>
        <w:b/>
        <w:bCs/>
      </w:rPr>
    </w:tblStylePr>
    <w:tblStylePr w:type="band1Vert">
      <w:tblPr/>
      <w:tcPr>
        <w:shd w:val="clear" w:color="auto" w:fill="C9B0E5" w:themeFill="accent4" w:themeFillTint="7F"/>
      </w:tcPr>
    </w:tblStylePr>
    <w:tblStylePr w:type="band1Horz">
      <w:tblPr/>
      <w:tcPr>
        <w:shd w:val="clear" w:color="auto" w:fill="C9B0E5" w:themeFill="accent4" w:themeFillTint="7F"/>
      </w:tcPr>
    </w:tblStylePr>
  </w:style>
  <w:style w:type="table" w:styleId="MediumGrid1-Accent5">
    <w:name w:val="Medium Grid 1 Accent 5"/>
    <w:basedOn w:val="TableNormal"/>
    <w:uiPriority w:val="67"/>
    <w:semiHidden/>
    <w:unhideWhenUsed/>
    <w:rsid w:val="00762017"/>
    <w:pPr>
      <w:spacing w:after="0" w:line="240" w:lineRule="auto"/>
    </w:pPr>
    <w:tblPr>
      <w:tblStyleRowBandSize w:val="1"/>
      <w:tblStyleColBandSize w:val="1"/>
      <w:tblBorders>
        <w:top w:val="single" w:sz="8" w:space="0" w:color="15E0FF" w:themeColor="accent5" w:themeTint="BF"/>
        <w:left w:val="single" w:sz="8" w:space="0" w:color="15E0FF" w:themeColor="accent5" w:themeTint="BF"/>
        <w:bottom w:val="single" w:sz="8" w:space="0" w:color="15E0FF" w:themeColor="accent5" w:themeTint="BF"/>
        <w:right w:val="single" w:sz="8" w:space="0" w:color="15E0FF" w:themeColor="accent5" w:themeTint="BF"/>
        <w:insideH w:val="single" w:sz="8" w:space="0" w:color="15E0FF" w:themeColor="accent5" w:themeTint="BF"/>
        <w:insideV w:val="single" w:sz="8" w:space="0" w:color="15E0FF" w:themeColor="accent5" w:themeTint="BF"/>
      </w:tblBorders>
    </w:tblPr>
    <w:tcPr>
      <w:shd w:val="clear" w:color="auto" w:fill="B1F4FF" w:themeFill="accent5" w:themeFillTint="3F"/>
    </w:tcPr>
    <w:tblStylePr w:type="firstRow">
      <w:rPr>
        <w:b/>
        <w:bCs/>
      </w:rPr>
    </w:tblStylePr>
    <w:tblStylePr w:type="lastRow">
      <w:rPr>
        <w:b/>
        <w:bCs/>
      </w:rPr>
      <w:tblPr/>
      <w:tcPr>
        <w:tcBorders>
          <w:top w:val="single" w:sz="18" w:space="0" w:color="15E0FF" w:themeColor="accent5" w:themeTint="BF"/>
        </w:tcBorders>
      </w:tcPr>
    </w:tblStylePr>
    <w:tblStylePr w:type="firstCol">
      <w:rPr>
        <w:b/>
        <w:bCs/>
      </w:rPr>
    </w:tblStylePr>
    <w:tblStylePr w:type="lastCol">
      <w:rPr>
        <w:b/>
        <w:bCs/>
      </w:rPr>
    </w:tblStylePr>
    <w:tblStylePr w:type="band1Vert">
      <w:tblPr/>
      <w:tcPr>
        <w:shd w:val="clear" w:color="auto" w:fill="63EAFF" w:themeFill="accent5" w:themeFillTint="7F"/>
      </w:tcPr>
    </w:tblStylePr>
    <w:tblStylePr w:type="band1Horz">
      <w:tblPr/>
      <w:tcPr>
        <w:shd w:val="clear" w:color="auto" w:fill="63EAFF" w:themeFill="accent5" w:themeFillTint="7F"/>
      </w:tcPr>
    </w:tblStylePr>
  </w:style>
  <w:style w:type="table" w:styleId="MediumGrid1-Accent6">
    <w:name w:val="Medium Grid 1 Accent 6"/>
    <w:basedOn w:val="TableNormal"/>
    <w:uiPriority w:val="67"/>
    <w:semiHidden/>
    <w:unhideWhenUsed/>
    <w:rsid w:val="00762017"/>
    <w:pPr>
      <w:spacing w:after="0" w:line="240" w:lineRule="auto"/>
    </w:pPr>
    <w:tblPr>
      <w:tblStyleRowBandSize w:val="1"/>
      <w:tblStyleColBandSize w:val="1"/>
      <w:tblBorders>
        <w:top w:val="single" w:sz="8" w:space="0" w:color="FDAA47" w:themeColor="accent6" w:themeTint="BF"/>
        <w:left w:val="single" w:sz="8" w:space="0" w:color="FDAA47" w:themeColor="accent6" w:themeTint="BF"/>
        <w:bottom w:val="single" w:sz="8" w:space="0" w:color="FDAA47" w:themeColor="accent6" w:themeTint="BF"/>
        <w:right w:val="single" w:sz="8" w:space="0" w:color="FDAA47" w:themeColor="accent6" w:themeTint="BF"/>
        <w:insideH w:val="single" w:sz="8" w:space="0" w:color="FDAA47" w:themeColor="accent6" w:themeTint="BF"/>
        <w:insideV w:val="single" w:sz="8" w:space="0" w:color="FDAA47" w:themeColor="accent6" w:themeTint="BF"/>
      </w:tblBorders>
    </w:tblPr>
    <w:tcPr>
      <w:shd w:val="clear" w:color="auto" w:fill="FEE3C2" w:themeFill="accent6" w:themeFillTint="3F"/>
    </w:tcPr>
    <w:tblStylePr w:type="firstRow">
      <w:rPr>
        <w:b/>
        <w:bCs/>
      </w:rPr>
    </w:tblStylePr>
    <w:tblStylePr w:type="lastRow">
      <w:rPr>
        <w:b/>
        <w:bCs/>
      </w:rPr>
      <w:tblPr/>
      <w:tcPr>
        <w:tcBorders>
          <w:top w:val="single" w:sz="18" w:space="0" w:color="FDAA47" w:themeColor="accent6" w:themeTint="BF"/>
        </w:tcBorders>
      </w:tcPr>
    </w:tblStylePr>
    <w:tblStylePr w:type="firstCol">
      <w:rPr>
        <w:b/>
        <w:bCs/>
      </w:rPr>
    </w:tblStylePr>
    <w:tblStylePr w:type="lastCol">
      <w:rPr>
        <w:b/>
        <w:bCs/>
      </w:rPr>
    </w:tblStylePr>
    <w:tblStylePr w:type="band1Vert">
      <w:tblPr/>
      <w:tcPr>
        <w:shd w:val="clear" w:color="auto" w:fill="FEC684" w:themeFill="accent6" w:themeFillTint="7F"/>
      </w:tcPr>
    </w:tblStylePr>
    <w:tblStylePr w:type="band1Horz">
      <w:tblPr/>
      <w:tcPr>
        <w:shd w:val="clear" w:color="auto" w:fill="FEC684" w:themeFill="accent6" w:themeFillTint="7F"/>
      </w:tcPr>
    </w:tblStylePr>
  </w:style>
  <w:style w:type="table" w:styleId="MediumGrid2">
    <w:name w:val="Medium Grid 2"/>
    <w:basedOn w:val="TableNormal"/>
    <w:uiPriority w:val="68"/>
    <w:semiHidden/>
    <w:unhideWhenUsed/>
    <w:rsid w:val="00762017"/>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762017"/>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2BB673" w:themeColor="accent1"/>
        <w:left w:val="single" w:sz="8" w:space="0" w:color="2BB673" w:themeColor="accent1"/>
        <w:bottom w:val="single" w:sz="8" w:space="0" w:color="2BB673" w:themeColor="accent1"/>
        <w:right w:val="single" w:sz="8" w:space="0" w:color="2BB673" w:themeColor="accent1"/>
        <w:insideH w:val="single" w:sz="8" w:space="0" w:color="2BB673" w:themeColor="accent1"/>
        <w:insideV w:val="single" w:sz="8" w:space="0" w:color="2BB673" w:themeColor="accent1"/>
      </w:tblBorders>
    </w:tblPr>
    <w:tcPr>
      <w:shd w:val="clear" w:color="auto" w:fill="C5F1DC" w:themeFill="accent1" w:themeFillTint="3F"/>
    </w:tcPr>
    <w:tblStylePr w:type="firstRow">
      <w:rPr>
        <w:b/>
        <w:bCs/>
        <w:color w:val="000000" w:themeColor="text1"/>
      </w:rPr>
      <w:tblPr/>
      <w:tcPr>
        <w:shd w:val="clear" w:color="auto" w:fill="E8F9F1"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0F4E3" w:themeFill="accent1" w:themeFillTint="33"/>
      </w:tcPr>
    </w:tblStylePr>
    <w:tblStylePr w:type="band1Vert">
      <w:tblPr/>
      <w:tcPr>
        <w:shd w:val="clear" w:color="auto" w:fill="8CE4B9" w:themeFill="accent1" w:themeFillTint="7F"/>
      </w:tcPr>
    </w:tblStylePr>
    <w:tblStylePr w:type="band1Horz">
      <w:tblPr/>
      <w:tcPr>
        <w:tcBorders>
          <w:insideH w:val="single" w:sz="6" w:space="0" w:color="2BB673" w:themeColor="accent1"/>
          <w:insideV w:val="single" w:sz="6" w:space="0" w:color="2BB673" w:themeColor="accent1"/>
        </w:tcBorders>
        <w:shd w:val="clear" w:color="auto" w:fill="8CE4B9"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762017"/>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3B41A" w:themeColor="accent2"/>
        <w:left w:val="single" w:sz="8" w:space="0" w:color="93B41A" w:themeColor="accent2"/>
        <w:bottom w:val="single" w:sz="8" w:space="0" w:color="93B41A" w:themeColor="accent2"/>
        <w:right w:val="single" w:sz="8" w:space="0" w:color="93B41A" w:themeColor="accent2"/>
        <w:insideH w:val="single" w:sz="8" w:space="0" w:color="93B41A" w:themeColor="accent2"/>
        <w:insideV w:val="single" w:sz="8" w:space="0" w:color="93B41A" w:themeColor="accent2"/>
      </w:tblBorders>
    </w:tblPr>
    <w:tcPr>
      <w:shd w:val="clear" w:color="auto" w:fill="E9F5BD" w:themeFill="accent2" w:themeFillTint="3F"/>
    </w:tcPr>
    <w:tblStylePr w:type="firstRow">
      <w:rPr>
        <w:b/>
        <w:bCs/>
        <w:color w:val="000000" w:themeColor="text1"/>
      </w:rPr>
      <w:tblPr/>
      <w:tcPr>
        <w:shd w:val="clear" w:color="auto" w:fill="F6FBE4"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F7C9" w:themeFill="accent2" w:themeFillTint="33"/>
      </w:tcPr>
    </w:tblStylePr>
    <w:tblStylePr w:type="band1Vert">
      <w:tblPr/>
      <w:tcPr>
        <w:shd w:val="clear" w:color="auto" w:fill="D3EB7A" w:themeFill="accent2" w:themeFillTint="7F"/>
      </w:tcPr>
    </w:tblStylePr>
    <w:tblStylePr w:type="band1Horz">
      <w:tblPr/>
      <w:tcPr>
        <w:tcBorders>
          <w:insideH w:val="single" w:sz="6" w:space="0" w:color="93B41A" w:themeColor="accent2"/>
          <w:insideV w:val="single" w:sz="6" w:space="0" w:color="93B41A" w:themeColor="accent2"/>
        </w:tcBorders>
        <w:shd w:val="clear" w:color="auto" w:fill="D3EB7A"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762017"/>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06A3B" w:themeColor="accent3"/>
        <w:left w:val="single" w:sz="8" w:space="0" w:color="F06A3B" w:themeColor="accent3"/>
        <w:bottom w:val="single" w:sz="8" w:space="0" w:color="F06A3B" w:themeColor="accent3"/>
        <w:right w:val="single" w:sz="8" w:space="0" w:color="F06A3B" w:themeColor="accent3"/>
        <w:insideH w:val="single" w:sz="8" w:space="0" w:color="F06A3B" w:themeColor="accent3"/>
        <w:insideV w:val="single" w:sz="8" w:space="0" w:color="F06A3B" w:themeColor="accent3"/>
      </w:tblBorders>
    </w:tblPr>
    <w:tcPr>
      <w:shd w:val="clear" w:color="auto" w:fill="FBD9CE" w:themeFill="accent3" w:themeFillTint="3F"/>
    </w:tcPr>
    <w:tblStylePr w:type="firstRow">
      <w:rPr>
        <w:b/>
        <w:bCs/>
        <w:color w:val="000000" w:themeColor="text1"/>
      </w:rPr>
      <w:tblPr/>
      <w:tcPr>
        <w:shd w:val="clear" w:color="auto" w:fill="FDF0EB"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CE1D7" w:themeFill="accent3" w:themeFillTint="33"/>
      </w:tcPr>
    </w:tblStylePr>
    <w:tblStylePr w:type="band1Vert">
      <w:tblPr/>
      <w:tcPr>
        <w:shd w:val="clear" w:color="auto" w:fill="F7B49D" w:themeFill="accent3" w:themeFillTint="7F"/>
      </w:tcPr>
    </w:tblStylePr>
    <w:tblStylePr w:type="band1Horz">
      <w:tblPr/>
      <w:tcPr>
        <w:tcBorders>
          <w:insideH w:val="single" w:sz="6" w:space="0" w:color="F06A3B" w:themeColor="accent3"/>
          <w:insideV w:val="single" w:sz="6" w:space="0" w:color="F06A3B" w:themeColor="accent3"/>
        </w:tcBorders>
        <w:shd w:val="clear" w:color="auto" w:fill="F7B49D"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762017"/>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561CC" w:themeColor="accent4"/>
        <w:left w:val="single" w:sz="8" w:space="0" w:color="9561CC" w:themeColor="accent4"/>
        <w:bottom w:val="single" w:sz="8" w:space="0" w:color="9561CC" w:themeColor="accent4"/>
        <w:right w:val="single" w:sz="8" w:space="0" w:color="9561CC" w:themeColor="accent4"/>
        <w:insideH w:val="single" w:sz="8" w:space="0" w:color="9561CC" w:themeColor="accent4"/>
        <w:insideV w:val="single" w:sz="8" w:space="0" w:color="9561CC" w:themeColor="accent4"/>
      </w:tblBorders>
    </w:tblPr>
    <w:tcPr>
      <w:shd w:val="clear" w:color="auto" w:fill="E4D7F2" w:themeFill="accent4" w:themeFillTint="3F"/>
    </w:tcPr>
    <w:tblStylePr w:type="firstRow">
      <w:rPr>
        <w:b/>
        <w:bCs/>
        <w:color w:val="000000" w:themeColor="text1"/>
      </w:rPr>
      <w:tblPr/>
      <w:tcPr>
        <w:shd w:val="clear" w:color="auto" w:fill="F4EFFA"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9DFF4" w:themeFill="accent4" w:themeFillTint="33"/>
      </w:tcPr>
    </w:tblStylePr>
    <w:tblStylePr w:type="band1Vert">
      <w:tblPr/>
      <w:tcPr>
        <w:shd w:val="clear" w:color="auto" w:fill="C9B0E5" w:themeFill="accent4" w:themeFillTint="7F"/>
      </w:tcPr>
    </w:tblStylePr>
    <w:tblStylePr w:type="band1Horz">
      <w:tblPr/>
      <w:tcPr>
        <w:tcBorders>
          <w:insideH w:val="single" w:sz="6" w:space="0" w:color="9561CC" w:themeColor="accent4"/>
          <w:insideV w:val="single" w:sz="6" w:space="0" w:color="9561CC" w:themeColor="accent4"/>
        </w:tcBorders>
        <w:shd w:val="clear" w:color="auto" w:fill="C9B0E5"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762017"/>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ADC6" w:themeColor="accent5"/>
        <w:left w:val="single" w:sz="8" w:space="0" w:color="00ADC6" w:themeColor="accent5"/>
        <w:bottom w:val="single" w:sz="8" w:space="0" w:color="00ADC6" w:themeColor="accent5"/>
        <w:right w:val="single" w:sz="8" w:space="0" w:color="00ADC6" w:themeColor="accent5"/>
        <w:insideH w:val="single" w:sz="8" w:space="0" w:color="00ADC6" w:themeColor="accent5"/>
        <w:insideV w:val="single" w:sz="8" w:space="0" w:color="00ADC6" w:themeColor="accent5"/>
      </w:tblBorders>
    </w:tblPr>
    <w:tcPr>
      <w:shd w:val="clear" w:color="auto" w:fill="B1F4FF" w:themeFill="accent5" w:themeFillTint="3F"/>
    </w:tcPr>
    <w:tblStylePr w:type="firstRow">
      <w:rPr>
        <w:b/>
        <w:bCs/>
        <w:color w:val="000000" w:themeColor="text1"/>
      </w:rPr>
      <w:tblPr/>
      <w:tcPr>
        <w:shd w:val="clear" w:color="auto" w:fill="E0FBF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0F6FF" w:themeFill="accent5" w:themeFillTint="33"/>
      </w:tcPr>
    </w:tblStylePr>
    <w:tblStylePr w:type="band1Vert">
      <w:tblPr/>
      <w:tcPr>
        <w:shd w:val="clear" w:color="auto" w:fill="63EAFF" w:themeFill="accent5" w:themeFillTint="7F"/>
      </w:tcPr>
    </w:tblStylePr>
    <w:tblStylePr w:type="band1Horz">
      <w:tblPr/>
      <w:tcPr>
        <w:tcBorders>
          <w:insideH w:val="single" w:sz="6" w:space="0" w:color="00ADC6" w:themeColor="accent5"/>
          <w:insideV w:val="single" w:sz="6" w:space="0" w:color="00ADC6" w:themeColor="accent5"/>
        </w:tcBorders>
        <w:shd w:val="clear" w:color="auto" w:fill="63EAF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762017"/>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D8F0A" w:themeColor="accent6"/>
        <w:left w:val="single" w:sz="8" w:space="0" w:color="FD8F0A" w:themeColor="accent6"/>
        <w:bottom w:val="single" w:sz="8" w:space="0" w:color="FD8F0A" w:themeColor="accent6"/>
        <w:right w:val="single" w:sz="8" w:space="0" w:color="FD8F0A" w:themeColor="accent6"/>
        <w:insideH w:val="single" w:sz="8" w:space="0" w:color="FD8F0A" w:themeColor="accent6"/>
        <w:insideV w:val="single" w:sz="8" w:space="0" w:color="FD8F0A" w:themeColor="accent6"/>
      </w:tblBorders>
    </w:tblPr>
    <w:tcPr>
      <w:shd w:val="clear" w:color="auto" w:fill="FEE3C2" w:themeFill="accent6" w:themeFillTint="3F"/>
    </w:tcPr>
    <w:tblStylePr w:type="firstRow">
      <w:rPr>
        <w:b/>
        <w:bCs/>
        <w:color w:val="000000" w:themeColor="text1"/>
      </w:rPr>
      <w:tblPr/>
      <w:tcPr>
        <w:shd w:val="clear" w:color="auto" w:fill="FEF3E6"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EE8CD" w:themeFill="accent6" w:themeFillTint="33"/>
      </w:tcPr>
    </w:tblStylePr>
    <w:tblStylePr w:type="band1Vert">
      <w:tblPr/>
      <w:tcPr>
        <w:shd w:val="clear" w:color="auto" w:fill="FEC684" w:themeFill="accent6" w:themeFillTint="7F"/>
      </w:tcPr>
    </w:tblStylePr>
    <w:tblStylePr w:type="band1Horz">
      <w:tblPr/>
      <w:tcPr>
        <w:tcBorders>
          <w:insideH w:val="single" w:sz="6" w:space="0" w:color="FD8F0A" w:themeColor="accent6"/>
          <w:insideV w:val="single" w:sz="6" w:space="0" w:color="FD8F0A" w:themeColor="accent6"/>
        </w:tcBorders>
        <w:shd w:val="clear" w:color="auto" w:fill="FEC684"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762017"/>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762017"/>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5F1DC"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BB673"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BB673"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BB673"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BB673"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CE4B9"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CE4B9" w:themeFill="accent1" w:themeFillTint="7F"/>
      </w:tcPr>
    </w:tblStylePr>
  </w:style>
  <w:style w:type="table" w:styleId="MediumGrid3-Accent2">
    <w:name w:val="Medium Grid 3 Accent 2"/>
    <w:basedOn w:val="TableNormal"/>
    <w:uiPriority w:val="69"/>
    <w:semiHidden/>
    <w:unhideWhenUsed/>
    <w:rsid w:val="00762017"/>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9F5BD"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3B41A"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3B41A"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3B41A"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3B41A"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3EB7A"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3EB7A" w:themeFill="accent2" w:themeFillTint="7F"/>
      </w:tcPr>
    </w:tblStylePr>
  </w:style>
  <w:style w:type="table" w:styleId="MediumGrid3-Accent3">
    <w:name w:val="Medium Grid 3 Accent 3"/>
    <w:basedOn w:val="TableNormal"/>
    <w:uiPriority w:val="69"/>
    <w:semiHidden/>
    <w:unhideWhenUsed/>
    <w:rsid w:val="00762017"/>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BD9CE"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06A3B"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06A3B"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06A3B"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06A3B"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7B49D"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7B49D" w:themeFill="accent3" w:themeFillTint="7F"/>
      </w:tcPr>
    </w:tblStylePr>
  </w:style>
  <w:style w:type="table" w:styleId="MediumGrid3-Accent4">
    <w:name w:val="Medium Grid 3 Accent 4"/>
    <w:basedOn w:val="TableNormal"/>
    <w:uiPriority w:val="69"/>
    <w:semiHidden/>
    <w:unhideWhenUsed/>
    <w:rsid w:val="00762017"/>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D7F2"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561CC"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561CC"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561CC"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561CC"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9B0E5"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9B0E5" w:themeFill="accent4" w:themeFillTint="7F"/>
      </w:tcPr>
    </w:tblStylePr>
  </w:style>
  <w:style w:type="table" w:styleId="MediumGrid3-Accent5">
    <w:name w:val="Medium Grid 3 Accent 5"/>
    <w:basedOn w:val="TableNormal"/>
    <w:uiPriority w:val="69"/>
    <w:semiHidden/>
    <w:unhideWhenUsed/>
    <w:rsid w:val="00762017"/>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1F4F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AD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AD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AD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AD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3EAF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3EAFF" w:themeFill="accent5" w:themeFillTint="7F"/>
      </w:tcPr>
    </w:tblStylePr>
  </w:style>
  <w:style w:type="table" w:styleId="MediumGrid3-Accent6">
    <w:name w:val="Medium Grid 3 Accent 6"/>
    <w:basedOn w:val="TableNormal"/>
    <w:uiPriority w:val="69"/>
    <w:semiHidden/>
    <w:unhideWhenUsed/>
    <w:rsid w:val="00762017"/>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EE3C2"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D8F0A"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D8F0A"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D8F0A"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D8F0A"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EC684"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EC684" w:themeFill="accent6" w:themeFillTint="7F"/>
      </w:tcPr>
    </w:tblStylePr>
  </w:style>
  <w:style w:type="table" w:styleId="MediumList1">
    <w:name w:val="Medium List 1"/>
    <w:basedOn w:val="TableNormal"/>
    <w:uiPriority w:val="65"/>
    <w:semiHidden/>
    <w:unhideWhenUsed/>
    <w:rsid w:val="00762017"/>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262626"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762017"/>
    <w:pPr>
      <w:spacing w:after="0" w:line="240" w:lineRule="auto"/>
    </w:pPr>
    <w:rPr>
      <w:color w:val="000000" w:themeColor="text1"/>
    </w:rPr>
    <w:tblPr>
      <w:tblStyleRowBandSize w:val="1"/>
      <w:tblStyleColBandSize w:val="1"/>
      <w:tblBorders>
        <w:top w:val="single" w:sz="8" w:space="0" w:color="2BB673" w:themeColor="accent1"/>
        <w:bottom w:val="single" w:sz="8" w:space="0" w:color="2BB673" w:themeColor="accent1"/>
      </w:tblBorders>
    </w:tblPr>
    <w:tblStylePr w:type="firstRow">
      <w:rPr>
        <w:rFonts w:asciiTheme="majorHAnsi" w:eastAsiaTheme="majorEastAsia" w:hAnsiTheme="majorHAnsi" w:cstheme="majorBidi"/>
      </w:rPr>
      <w:tblPr/>
      <w:tcPr>
        <w:tcBorders>
          <w:top w:val="nil"/>
          <w:bottom w:val="single" w:sz="8" w:space="0" w:color="2BB673" w:themeColor="accent1"/>
        </w:tcBorders>
      </w:tcPr>
    </w:tblStylePr>
    <w:tblStylePr w:type="lastRow">
      <w:rPr>
        <w:b/>
        <w:bCs/>
        <w:color w:val="262626" w:themeColor="text2"/>
      </w:rPr>
      <w:tblPr/>
      <w:tcPr>
        <w:tcBorders>
          <w:top w:val="single" w:sz="8" w:space="0" w:color="2BB673" w:themeColor="accent1"/>
          <w:bottom w:val="single" w:sz="8" w:space="0" w:color="2BB673" w:themeColor="accent1"/>
        </w:tcBorders>
      </w:tcPr>
    </w:tblStylePr>
    <w:tblStylePr w:type="firstCol">
      <w:rPr>
        <w:b/>
        <w:bCs/>
      </w:rPr>
    </w:tblStylePr>
    <w:tblStylePr w:type="lastCol">
      <w:rPr>
        <w:b/>
        <w:bCs/>
      </w:rPr>
      <w:tblPr/>
      <w:tcPr>
        <w:tcBorders>
          <w:top w:val="single" w:sz="8" w:space="0" w:color="2BB673" w:themeColor="accent1"/>
          <w:bottom w:val="single" w:sz="8" w:space="0" w:color="2BB673" w:themeColor="accent1"/>
        </w:tcBorders>
      </w:tcPr>
    </w:tblStylePr>
    <w:tblStylePr w:type="band1Vert">
      <w:tblPr/>
      <w:tcPr>
        <w:shd w:val="clear" w:color="auto" w:fill="C5F1DC" w:themeFill="accent1" w:themeFillTint="3F"/>
      </w:tcPr>
    </w:tblStylePr>
    <w:tblStylePr w:type="band1Horz">
      <w:tblPr/>
      <w:tcPr>
        <w:shd w:val="clear" w:color="auto" w:fill="C5F1DC" w:themeFill="accent1" w:themeFillTint="3F"/>
      </w:tcPr>
    </w:tblStylePr>
  </w:style>
  <w:style w:type="table" w:styleId="MediumList1-Accent2">
    <w:name w:val="Medium List 1 Accent 2"/>
    <w:basedOn w:val="TableNormal"/>
    <w:uiPriority w:val="65"/>
    <w:semiHidden/>
    <w:unhideWhenUsed/>
    <w:rsid w:val="00762017"/>
    <w:pPr>
      <w:spacing w:after="0" w:line="240" w:lineRule="auto"/>
    </w:pPr>
    <w:rPr>
      <w:color w:val="000000" w:themeColor="text1"/>
    </w:rPr>
    <w:tblPr>
      <w:tblStyleRowBandSize w:val="1"/>
      <w:tblStyleColBandSize w:val="1"/>
      <w:tblBorders>
        <w:top w:val="single" w:sz="8" w:space="0" w:color="93B41A" w:themeColor="accent2"/>
        <w:bottom w:val="single" w:sz="8" w:space="0" w:color="93B41A" w:themeColor="accent2"/>
      </w:tblBorders>
    </w:tblPr>
    <w:tblStylePr w:type="firstRow">
      <w:rPr>
        <w:rFonts w:asciiTheme="majorHAnsi" w:eastAsiaTheme="majorEastAsia" w:hAnsiTheme="majorHAnsi" w:cstheme="majorBidi"/>
      </w:rPr>
      <w:tblPr/>
      <w:tcPr>
        <w:tcBorders>
          <w:top w:val="nil"/>
          <w:bottom w:val="single" w:sz="8" w:space="0" w:color="93B41A" w:themeColor="accent2"/>
        </w:tcBorders>
      </w:tcPr>
    </w:tblStylePr>
    <w:tblStylePr w:type="lastRow">
      <w:rPr>
        <w:b/>
        <w:bCs/>
        <w:color w:val="262626" w:themeColor="text2"/>
      </w:rPr>
      <w:tblPr/>
      <w:tcPr>
        <w:tcBorders>
          <w:top w:val="single" w:sz="8" w:space="0" w:color="93B41A" w:themeColor="accent2"/>
          <w:bottom w:val="single" w:sz="8" w:space="0" w:color="93B41A" w:themeColor="accent2"/>
        </w:tcBorders>
      </w:tcPr>
    </w:tblStylePr>
    <w:tblStylePr w:type="firstCol">
      <w:rPr>
        <w:b/>
        <w:bCs/>
      </w:rPr>
    </w:tblStylePr>
    <w:tblStylePr w:type="lastCol">
      <w:rPr>
        <w:b/>
        <w:bCs/>
      </w:rPr>
      <w:tblPr/>
      <w:tcPr>
        <w:tcBorders>
          <w:top w:val="single" w:sz="8" w:space="0" w:color="93B41A" w:themeColor="accent2"/>
          <w:bottom w:val="single" w:sz="8" w:space="0" w:color="93B41A" w:themeColor="accent2"/>
        </w:tcBorders>
      </w:tcPr>
    </w:tblStylePr>
    <w:tblStylePr w:type="band1Vert">
      <w:tblPr/>
      <w:tcPr>
        <w:shd w:val="clear" w:color="auto" w:fill="E9F5BD" w:themeFill="accent2" w:themeFillTint="3F"/>
      </w:tcPr>
    </w:tblStylePr>
    <w:tblStylePr w:type="band1Horz">
      <w:tblPr/>
      <w:tcPr>
        <w:shd w:val="clear" w:color="auto" w:fill="E9F5BD" w:themeFill="accent2" w:themeFillTint="3F"/>
      </w:tcPr>
    </w:tblStylePr>
  </w:style>
  <w:style w:type="table" w:styleId="MediumList1-Accent3">
    <w:name w:val="Medium List 1 Accent 3"/>
    <w:basedOn w:val="TableNormal"/>
    <w:uiPriority w:val="65"/>
    <w:semiHidden/>
    <w:unhideWhenUsed/>
    <w:rsid w:val="00762017"/>
    <w:pPr>
      <w:spacing w:after="0" w:line="240" w:lineRule="auto"/>
    </w:pPr>
    <w:rPr>
      <w:color w:val="000000" w:themeColor="text1"/>
    </w:rPr>
    <w:tblPr>
      <w:tblStyleRowBandSize w:val="1"/>
      <w:tblStyleColBandSize w:val="1"/>
      <w:tblBorders>
        <w:top w:val="single" w:sz="8" w:space="0" w:color="F06A3B" w:themeColor="accent3"/>
        <w:bottom w:val="single" w:sz="8" w:space="0" w:color="F06A3B" w:themeColor="accent3"/>
      </w:tblBorders>
    </w:tblPr>
    <w:tblStylePr w:type="firstRow">
      <w:rPr>
        <w:rFonts w:asciiTheme="majorHAnsi" w:eastAsiaTheme="majorEastAsia" w:hAnsiTheme="majorHAnsi" w:cstheme="majorBidi"/>
      </w:rPr>
      <w:tblPr/>
      <w:tcPr>
        <w:tcBorders>
          <w:top w:val="nil"/>
          <w:bottom w:val="single" w:sz="8" w:space="0" w:color="F06A3B" w:themeColor="accent3"/>
        </w:tcBorders>
      </w:tcPr>
    </w:tblStylePr>
    <w:tblStylePr w:type="lastRow">
      <w:rPr>
        <w:b/>
        <w:bCs/>
        <w:color w:val="262626" w:themeColor="text2"/>
      </w:rPr>
      <w:tblPr/>
      <w:tcPr>
        <w:tcBorders>
          <w:top w:val="single" w:sz="8" w:space="0" w:color="F06A3B" w:themeColor="accent3"/>
          <w:bottom w:val="single" w:sz="8" w:space="0" w:color="F06A3B" w:themeColor="accent3"/>
        </w:tcBorders>
      </w:tcPr>
    </w:tblStylePr>
    <w:tblStylePr w:type="firstCol">
      <w:rPr>
        <w:b/>
        <w:bCs/>
      </w:rPr>
    </w:tblStylePr>
    <w:tblStylePr w:type="lastCol">
      <w:rPr>
        <w:b/>
        <w:bCs/>
      </w:rPr>
      <w:tblPr/>
      <w:tcPr>
        <w:tcBorders>
          <w:top w:val="single" w:sz="8" w:space="0" w:color="F06A3B" w:themeColor="accent3"/>
          <w:bottom w:val="single" w:sz="8" w:space="0" w:color="F06A3B" w:themeColor="accent3"/>
        </w:tcBorders>
      </w:tcPr>
    </w:tblStylePr>
    <w:tblStylePr w:type="band1Vert">
      <w:tblPr/>
      <w:tcPr>
        <w:shd w:val="clear" w:color="auto" w:fill="FBD9CE" w:themeFill="accent3" w:themeFillTint="3F"/>
      </w:tcPr>
    </w:tblStylePr>
    <w:tblStylePr w:type="band1Horz">
      <w:tblPr/>
      <w:tcPr>
        <w:shd w:val="clear" w:color="auto" w:fill="FBD9CE" w:themeFill="accent3" w:themeFillTint="3F"/>
      </w:tcPr>
    </w:tblStylePr>
  </w:style>
  <w:style w:type="table" w:styleId="MediumList1-Accent4">
    <w:name w:val="Medium List 1 Accent 4"/>
    <w:basedOn w:val="TableNormal"/>
    <w:uiPriority w:val="65"/>
    <w:semiHidden/>
    <w:unhideWhenUsed/>
    <w:rsid w:val="00762017"/>
    <w:pPr>
      <w:spacing w:after="0" w:line="240" w:lineRule="auto"/>
    </w:pPr>
    <w:rPr>
      <w:color w:val="000000" w:themeColor="text1"/>
    </w:rPr>
    <w:tblPr>
      <w:tblStyleRowBandSize w:val="1"/>
      <w:tblStyleColBandSize w:val="1"/>
      <w:tblBorders>
        <w:top w:val="single" w:sz="8" w:space="0" w:color="9561CC" w:themeColor="accent4"/>
        <w:bottom w:val="single" w:sz="8" w:space="0" w:color="9561CC" w:themeColor="accent4"/>
      </w:tblBorders>
    </w:tblPr>
    <w:tblStylePr w:type="firstRow">
      <w:rPr>
        <w:rFonts w:asciiTheme="majorHAnsi" w:eastAsiaTheme="majorEastAsia" w:hAnsiTheme="majorHAnsi" w:cstheme="majorBidi"/>
      </w:rPr>
      <w:tblPr/>
      <w:tcPr>
        <w:tcBorders>
          <w:top w:val="nil"/>
          <w:bottom w:val="single" w:sz="8" w:space="0" w:color="9561CC" w:themeColor="accent4"/>
        </w:tcBorders>
      </w:tcPr>
    </w:tblStylePr>
    <w:tblStylePr w:type="lastRow">
      <w:rPr>
        <w:b/>
        <w:bCs/>
        <w:color w:val="262626" w:themeColor="text2"/>
      </w:rPr>
      <w:tblPr/>
      <w:tcPr>
        <w:tcBorders>
          <w:top w:val="single" w:sz="8" w:space="0" w:color="9561CC" w:themeColor="accent4"/>
          <w:bottom w:val="single" w:sz="8" w:space="0" w:color="9561CC" w:themeColor="accent4"/>
        </w:tcBorders>
      </w:tcPr>
    </w:tblStylePr>
    <w:tblStylePr w:type="firstCol">
      <w:rPr>
        <w:b/>
        <w:bCs/>
      </w:rPr>
    </w:tblStylePr>
    <w:tblStylePr w:type="lastCol">
      <w:rPr>
        <w:b/>
        <w:bCs/>
      </w:rPr>
      <w:tblPr/>
      <w:tcPr>
        <w:tcBorders>
          <w:top w:val="single" w:sz="8" w:space="0" w:color="9561CC" w:themeColor="accent4"/>
          <w:bottom w:val="single" w:sz="8" w:space="0" w:color="9561CC" w:themeColor="accent4"/>
        </w:tcBorders>
      </w:tcPr>
    </w:tblStylePr>
    <w:tblStylePr w:type="band1Vert">
      <w:tblPr/>
      <w:tcPr>
        <w:shd w:val="clear" w:color="auto" w:fill="E4D7F2" w:themeFill="accent4" w:themeFillTint="3F"/>
      </w:tcPr>
    </w:tblStylePr>
    <w:tblStylePr w:type="band1Horz">
      <w:tblPr/>
      <w:tcPr>
        <w:shd w:val="clear" w:color="auto" w:fill="E4D7F2" w:themeFill="accent4" w:themeFillTint="3F"/>
      </w:tcPr>
    </w:tblStylePr>
  </w:style>
  <w:style w:type="table" w:styleId="MediumList1-Accent5">
    <w:name w:val="Medium List 1 Accent 5"/>
    <w:basedOn w:val="TableNormal"/>
    <w:uiPriority w:val="65"/>
    <w:semiHidden/>
    <w:unhideWhenUsed/>
    <w:rsid w:val="00762017"/>
    <w:pPr>
      <w:spacing w:after="0" w:line="240" w:lineRule="auto"/>
    </w:pPr>
    <w:rPr>
      <w:color w:val="000000" w:themeColor="text1"/>
    </w:rPr>
    <w:tblPr>
      <w:tblStyleRowBandSize w:val="1"/>
      <w:tblStyleColBandSize w:val="1"/>
      <w:tblBorders>
        <w:top w:val="single" w:sz="8" w:space="0" w:color="00ADC6" w:themeColor="accent5"/>
        <w:bottom w:val="single" w:sz="8" w:space="0" w:color="00ADC6" w:themeColor="accent5"/>
      </w:tblBorders>
    </w:tblPr>
    <w:tblStylePr w:type="firstRow">
      <w:rPr>
        <w:rFonts w:asciiTheme="majorHAnsi" w:eastAsiaTheme="majorEastAsia" w:hAnsiTheme="majorHAnsi" w:cstheme="majorBidi"/>
      </w:rPr>
      <w:tblPr/>
      <w:tcPr>
        <w:tcBorders>
          <w:top w:val="nil"/>
          <w:bottom w:val="single" w:sz="8" w:space="0" w:color="00ADC6" w:themeColor="accent5"/>
        </w:tcBorders>
      </w:tcPr>
    </w:tblStylePr>
    <w:tblStylePr w:type="lastRow">
      <w:rPr>
        <w:b/>
        <w:bCs/>
        <w:color w:val="262626" w:themeColor="text2"/>
      </w:rPr>
      <w:tblPr/>
      <w:tcPr>
        <w:tcBorders>
          <w:top w:val="single" w:sz="8" w:space="0" w:color="00ADC6" w:themeColor="accent5"/>
          <w:bottom w:val="single" w:sz="8" w:space="0" w:color="00ADC6" w:themeColor="accent5"/>
        </w:tcBorders>
      </w:tcPr>
    </w:tblStylePr>
    <w:tblStylePr w:type="firstCol">
      <w:rPr>
        <w:b/>
        <w:bCs/>
      </w:rPr>
    </w:tblStylePr>
    <w:tblStylePr w:type="lastCol">
      <w:rPr>
        <w:b/>
        <w:bCs/>
      </w:rPr>
      <w:tblPr/>
      <w:tcPr>
        <w:tcBorders>
          <w:top w:val="single" w:sz="8" w:space="0" w:color="00ADC6" w:themeColor="accent5"/>
          <w:bottom w:val="single" w:sz="8" w:space="0" w:color="00ADC6" w:themeColor="accent5"/>
        </w:tcBorders>
      </w:tcPr>
    </w:tblStylePr>
    <w:tblStylePr w:type="band1Vert">
      <w:tblPr/>
      <w:tcPr>
        <w:shd w:val="clear" w:color="auto" w:fill="B1F4FF" w:themeFill="accent5" w:themeFillTint="3F"/>
      </w:tcPr>
    </w:tblStylePr>
    <w:tblStylePr w:type="band1Horz">
      <w:tblPr/>
      <w:tcPr>
        <w:shd w:val="clear" w:color="auto" w:fill="B1F4FF" w:themeFill="accent5" w:themeFillTint="3F"/>
      </w:tcPr>
    </w:tblStylePr>
  </w:style>
  <w:style w:type="table" w:styleId="MediumList1-Accent6">
    <w:name w:val="Medium List 1 Accent 6"/>
    <w:basedOn w:val="TableNormal"/>
    <w:uiPriority w:val="65"/>
    <w:semiHidden/>
    <w:unhideWhenUsed/>
    <w:rsid w:val="00762017"/>
    <w:pPr>
      <w:spacing w:after="0" w:line="240" w:lineRule="auto"/>
    </w:pPr>
    <w:rPr>
      <w:color w:val="000000" w:themeColor="text1"/>
    </w:rPr>
    <w:tblPr>
      <w:tblStyleRowBandSize w:val="1"/>
      <w:tblStyleColBandSize w:val="1"/>
      <w:tblBorders>
        <w:top w:val="single" w:sz="8" w:space="0" w:color="FD8F0A" w:themeColor="accent6"/>
        <w:bottom w:val="single" w:sz="8" w:space="0" w:color="FD8F0A" w:themeColor="accent6"/>
      </w:tblBorders>
    </w:tblPr>
    <w:tblStylePr w:type="firstRow">
      <w:rPr>
        <w:rFonts w:asciiTheme="majorHAnsi" w:eastAsiaTheme="majorEastAsia" w:hAnsiTheme="majorHAnsi" w:cstheme="majorBidi"/>
      </w:rPr>
      <w:tblPr/>
      <w:tcPr>
        <w:tcBorders>
          <w:top w:val="nil"/>
          <w:bottom w:val="single" w:sz="8" w:space="0" w:color="FD8F0A" w:themeColor="accent6"/>
        </w:tcBorders>
      </w:tcPr>
    </w:tblStylePr>
    <w:tblStylePr w:type="lastRow">
      <w:rPr>
        <w:b/>
        <w:bCs/>
        <w:color w:val="262626" w:themeColor="text2"/>
      </w:rPr>
      <w:tblPr/>
      <w:tcPr>
        <w:tcBorders>
          <w:top w:val="single" w:sz="8" w:space="0" w:color="FD8F0A" w:themeColor="accent6"/>
          <w:bottom w:val="single" w:sz="8" w:space="0" w:color="FD8F0A" w:themeColor="accent6"/>
        </w:tcBorders>
      </w:tcPr>
    </w:tblStylePr>
    <w:tblStylePr w:type="firstCol">
      <w:rPr>
        <w:b/>
        <w:bCs/>
      </w:rPr>
    </w:tblStylePr>
    <w:tblStylePr w:type="lastCol">
      <w:rPr>
        <w:b/>
        <w:bCs/>
      </w:rPr>
      <w:tblPr/>
      <w:tcPr>
        <w:tcBorders>
          <w:top w:val="single" w:sz="8" w:space="0" w:color="FD8F0A" w:themeColor="accent6"/>
          <w:bottom w:val="single" w:sz="8" w:space="0" w:color="FD8F0A" w:themeColor="accent6"/>
        </w:tcBorders>
      </w:tcPr>
    </w:tblStylePr>
    <w:tblStylePr w:type="band1Vert">
      <w:tblPr/>
      <w:tcPr>
        <w:shd w:val="clear" w:color="auto" w:fill="FEE3C2" w:themeFill="accent6" w:themeFillTint="3F"/>
      </w:tcPr>
    </w:tblStylePr>
    <w:tblStylePr w:type="band1Horz">
      <w:tblPr/>
      <w:tcPr>
        <w:shd w:val="clear" w:color="auto" w:fill="FEE3C2" w:themeFill="accent6" w:themeFillTint="3F"/>
      </w:tcPr>
    </w:tblStylePr>
  </w:style>
  <w:style w:type="table" w:styleId="MediumList2">
    <w:name w:val="Medium List 2"/>
    <w:basedOn w:val="TableNormal"/>
    <w:uiPriority w:val="66"/>
    <w:semiHidden/>
    <w:unhideWhenUsed/>
    <w:rsid w:val="00762017"/>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762017"/>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2BB673" w:themeColor="accent1"/>
        <w:left w:val="single" w:sz="8" w:space="0" w:color="2BB673" w:themeColor="accent1"/>
        <w:bottom w:val="single" w:sz="8" w:space="0" w:color="2BB673" w:themeColor="accent1"/>
        <w:right w:val="single" w:sz="8" w:space="0" w:color="2BB673" w:themeColor="accent1"/>
      </w:tblBorders>
    </w:tblPr>
    <w:tblStylePr w:type="firstRow">
      <w:rPr>
        <w:sz w:val="24"/>
        <w:szCs w:val="24"/>
      </w:rPr>
      <w:tblPr/>
      <w:tcPr>
        <w:tcBorders>
          <w:top w:val="nil"/>
          <w:left w:val="nil"/>
          <w:bottom w:val="single" w:sz="24" w:space="0" w:color="2BB673"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BB673" w:themeColor="accent1"/>
          <w:insideH w:val="nil"/>
          <w:insideV w:val="nil"/>
        </w:tcBorders>
        <w:shd w:val="clear" w:color="auto" w:fill="FFFFFF" w:themeFill="background1"/>
      </w:tcPr>
    </w:tblStylePr>
    <w:tblStylePr w:type="lastCol">
      <w:tblPr/>
      <w:tcPr>
        <w:tcBorders>
          <w:top w:val="nil"/>
          <w:left w:val="single" w:sz="8" w:space="0" w:color="2BB673"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5F1DC" w:themeFill="accent1" w:themeFillTint="3F"/>
      </w:tcPr>
    </w:tblStylePr>
    <w:tblStylePr w:type="band1Horz">
      <w:tblPr/>
      <w:tcPr>
        <w:tcBorders>
          <w:top w:val="nil"/>
          <w:bottom w:val="nil"/>
          <w:insideH w:val="nil"/>
          <w:insideV w:val="nil"/>
        </w:tcBorders>
        <w:shd w:val="clear" w:color="auto" w:fill="C5F1DC"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762017"/>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3B41A" w:themeColor="accent2"/>
        <w:left w:val="single" w:sz="8" w:space="0" w:color="93B41A" w:themeColor="accent2"/>
        <w:bottom w:val="single" w:sz="8" w:space="0" w:color="93B41A" w:themeColor="accent2"/>
        <w:right w:val="single" w:sz="8" w:space="0" w:color="93B41A" w:themeColor="accent2"/>
      </w:tblBorders>
    </w:tblPr>
    <w:tblStylePr w:type="firstRow">
      <w:rPr>
        <w:sz w:val="24"/>
        <w:szCs w:val="24"/>
      </w:rPr>
      <w:tblPr/>
      <w:tcPr>
        <w:tcBorders>
          <w:top w:val="nil"/>
          <w:left w:val="nil"/>
          <w:bottom w:val="single" w:sz="24" w:space="0" w:color="93B41A"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3B41A" w:themeColor="accent2"/>
          <w:insideH w:val="nil"/>
          <w:insideV w:val="nil"/>
        </w:tcBorders>
        <w:shd w:val="clear" w:color="auto" w:fill="FFFFFF" w:themeFill="background1"/>
      </w:tcPr>
    </w:tblStylePr>
    <w:tblStylePr w:type="lastCol">
      <w:tblPr/>
      <w:tcPr>
        <w:tcBorders>
          <w:top w:val="nil"/>
          <w:left w:val="single" w:sz="8" w:space="0" w:color="93B41A"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9F5BD" w:themeFill="accent2" w:themeFillTint="3F"/>
      </w:tcPr>
    </w:tblStylePr>
    <w:tblStylePr w:type="band1Horz">
      <w:tblPr/>
      <w:tcPr>
        <w:tcBorders>
          <w:top w:val="nil"/>
          <w:bottom w:val="nil"/>
          <w:insideH w:val="nil"/>
          <w:insideV w:val="nil"/>
        </w:tcBorders>
        <w:shd w:val="clear" w:color="auto" w:fill="E9F5BD"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762017"/>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06A3B" w:themeColor="accent3"/>
        <w:left w:val="single" w:sz="8" w:space="0" w:color="F06A3B" w:themeColor="accent3"/>
        <w:bottom w:val="single" w:sz="8" w:space="0" w:color="F06A3B" w:themeColor="accent3"/>
        <w:right w:val="single" w:sz="8" w:space="0" w:color="F06A3B" w:themeColor="accent3"/>
      </w:tblBorders>
    </w:tblPr>
    <w:tblStylePr w:type="firstRow">
      <w:rPr>
        <w:sz w:val="24"/>
        <w:szCs w:val="24"/>
      </w:rPr>
      <w:tblPr/>
      <w:tcPr>
        <w:tcBorders>
          <w:top w:val="nil"/>
          <w:left w:val="nil"/>
          <w:bottom w:val="single" w:sz="24" w:space="0" w:color="F06A3B"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06A3B" w:themeColor="accent3"/>
          <w:insideH w:val="nil"/>
          <w:insideV w:val="nil"/>
        </w:tcBorders>
        <w:shd w:val="clear" w:color="auto" w:fill="FFFFFF" w:themeFill="background1"/>
      </w:tcPr>
    </w:tblStylePr>
    <w:tblStylePr w:type="lastCol">
      <w:tblPr/>
      <w:tcPr>
        <w:tcBorders>
          <w:top w:val="nil"/>
          <w:left w:val="single" w:sz="8" w:space="0" w:color="F06A3B"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BD9CE" w:themeFill="accent3" w:themeFillTint="3F"/>
      </w:tcPr>
    </w:tblStylePr>
    <w:tblStylePr w:type="band1Horz">
      <w:tblPr/>
      <w:tcPr>
        <w:tcBorders>
          <w:top w:val="nil"/>
          <w:bottom w:val="nil"/>
          <w:insideH w:val="nil"/>
          <w:insideV w:val="nil"/>
        </w:tcBorders>
        <w:shd w:val="clear" w:color="auto" w:fill="FBD9CE"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762017"/>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561CC" w:themeColor="accent4"/>
        <w:left w:val="single" w:sz="8" w:space="0" w:color="9561CC" w:themeColor="accent4"/>
        <w:bottom w:val="single" w:sz="8" w:space="0" w:color="9561CC" w:themeColor="accent4"/>
        <w:right w:val="single" w:sz="8" w:space="0" w:color="9561CC" w:themeColor="accent4"/>
      </w:tblBorders>
    </w:tblPr>
    <w:tblStylePr w:type="firstRow">
      <w:rPr>
        <w:sz w:val="24"/>
        <w:szCs w:val="24"/>
      </w:rPr>
      <w:tblPr/>
      <w:tcPr>
        <w:tcBorders>
          <w:top w:val="nil"/>
          <w:left w:val="nil"/>
          <w:bottom w:val="single" w:sz="24" w:space="0" w:color="9561CC"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561CC" w:themeColor="accent4"/>
          <w:insideH w:val="nil"/>
          <w:insideV w:val="nil"/>
        </w:tcBorders>
        <w:shd w:val="clear" w:color="auto" w:fill="FFFFFF" w:themeFill="background1"/>
      </w:tcPr>
    </w:tblStylePr>
    <w:tblStylePr w:type="lastCol">
      <w:tblPr/>
      <w:tcPr>
        <w:tcBorders>
          <w:top w:val="nil"/>
          <w:left w:val="single" w:sz="8" w:space="0" w:color="9561CC"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4D7F2" w:themeFill="accent4" w:themeFillTint="3F"/>
      </w:tcPr>
    </w:tblStylePr>
    <w:tblStylePr w:type="band1Horz">
      <w:tblPr/>
      <w:tcPr>
        <w:tcBorders>
          <w:top w:val="nil"/>
          <w:bottom w:val="nil"/>
          <w:insideH w:val="nil"/>
          <w:insideV w:val="nil"/>
        </w:tcBorders>
        <w:shd w:val="clear" w:color="auto" w:fill="E4D7F2"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762017"/>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ADC6" w:themeColor="accent5"/>
        <w:left w:val="single" w:sz="8" w:space="0" w:color="00ADC6" w:themeColor="accent5"/>
        <w:bottom w:val="single" w:sz="8" w:space="0" w:color="00ADC6" w:themeColor="accent5"/>
        <w:right w:val="single" w:sz="8" w:space="0" w:color="00ADC6" w:themeColor="accent5"/>
      </w:tblBorders>
    </w:tblPr>
    <w:tblStylePr w:type="firstRow">
      <w:rPr>
        <w:sz w:val="24"/>
        <w:szCs w:val="24"/>
      </w:rPr>
      <w:tblPr/>
      <w:tcPr>
        <w:tcBorders>
          <w:top w:val="nil"/>
          <w:left w:val="nil"/>
          <w:bottom w:val="single" w:sz="24" w:space="0" w:color="00ADC6"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ADC6" w:themeColor="accent5"/>
          <w:insideH w:val="nil"/>
          <w:insideV w:val="nil"/>
        </w:tcBorders>
        <w:shd w:val="clear" w:color="auto" w:fill="FFFFFF" w:themeFill="background1"/>
      </w:tcPr>
    </w:tblStylePr>
    <w:tblStylePr w:type="lastCol">
      <w:tblPr/>
      <w:tcPr>
        <w:tcBorders>
          <w:top w:val="nil"/>
          <w:left w:val="single" w:sz="8" w:space="0" w:color="00AD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1F4FF" w:themeFill="accent5" w:themeFillTint="3F"/>
      </w:tcPr>
    </w:tblStylePr>
    <w:tblStylePr w:type="band1Horz">
      <w:tblPr/>
      <w:tcPr>
        <w:tcBorders>
          <w:top w:val="nil"/>
          <w:bottom w:val="nil"/>
          <w:insideH w:val="nil"/>
          <w:insideV w:val="nil"/>
        </w:tcBorders>
        <w:shd w:val="clear" w:color="auto" w:fill="B1F4F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762017"/>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D8F0A" w:themeColor="accent6"/>
        <w:left w:val="single" w:sz="8" w:space="0" w:color="FD8F0A" w:themeColor="accent6"/>
        <w:bottom w:val="single" w:sz="8" w:space="0" w:color="FD8F0A" w:themeColor="accent6"/>
        <w:right w:val="single" w:sz="8" w:space="0" w:color="FD8F0A" w:themeColor="accent6"/>
      </w:tblBorders>
    </w:tblPr>
    <w:tblStylePr w:type="firstRow">
      <w:rPr>
        <w:sz w:val="24"/>
        <w:szCs w:val="24"/>
      </w:rPr>
      <w:tblPr/>
      <w:tcPr>
        <w:tcBorders>
          <w:top w:val="nil"/>
          <w:left w:val="nil"/>
          <w:bottom w:val="single" w:sz="24" w:space="0" w:color="FD8F0A"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D8F0A" w:themeColor="accent6"/>
          <w:insideH w:val="nil"/>
          <w:insideV w:val="nil"/>
        </w:tcBorders>
        <w:shd w:val="clear" w:color="auto" w:fill="FFFFFF" w:themeFill="background1"/>
      </w:tcPr>
    </w:tblStylePr>
    <w:tblStylePr w:type="lastCol">
      <w:tblPr/>
      <w:tcPr>
        <w:tcBorders>
          <w:top w:val="nil"/>
          <w:left w:val="single" w:sz="8" w:space="0" w:color="FD8F0A"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EE3C2" w:themeFill="accent6" w:themeFillTint="3F"/>
      </w:tcPr>
    </w:tblStylePr>
    <w:tblStylePr w:type="band1Horz">
      <w:tblPr/>
      <w:tcPr>
        <w:tcBorders>
          <w:top w:val="nil"/>
          <w:bottom w:val="nil"/>
          <w:insideH w:val="nil"/>
          <w:insideV w:val="nil"/>
        </w:tcBorders>
        <w:shd w:val="clear" w:color="auto" w:fill="FEE3C2"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762017"/>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762017"/>
    <w:pPr>
      <w:spacing w:after="0" w:line="240" w:lineRule="auto"/>
    </w:pPr>
    <w:tblPr>
      <w:tblStyleRowBandSize w:val="1"/>
      <w:tblStyleColBandSize w:val="1"/>
      <w:tblBorders>
        <w:top w:val="single" w:sz="8" w:space="0" w:color="52D696" w:themeColor="accent1" w:themeTint="BF"/>
        <w:left w:val="single" w:sz="8" w:space="0" w:color="52D696" w:themeColor="accent1" w:themeTint="BF"/>
        <w:bottom w:val="single" w:sz="8" w:space="0" w:color="52D696" w:themeColor="accent1" w:themeTint="BF"/>
        <w:right w:val="single" w:sz="8" w:space="0" w:color="52D696" w:themeColor="accent1" w:themeTint="BF"/>
        <w:insideH w:val="single" w:sz="8" w:space="0" w:color="52D696" w:themeColor="accent1" w:themeTint="BF"/>
      </w:tblBorders>
    </w:tblPr>
    <w:tblStylePr w:type="firstRow">
      <w:pPr>
        <w:spacing w:before="0" w:after="0" w:line="240" w:lineRule="auto"/>
      </w:pPr>
      <w:rPr>
        <w:b/>
        <w:bCs/>
        <w:color w:val="FFFFFF" w:themeColor="background1"/>
      </w:rPr>
      <w:tblPr/>
      <w:tcPr>
        <w:tcBorders>
          <w:top w:val="single" w:sz="8" w:space="0" w:color="52D696" w:themeColor="accent1" w:themeTint="BF"/>
          <w:left w:val="single" w:sz="8" w:space="0" w:color="52D696" w:themeColor="accent1" w:themeTint="BF"/>
          <w:bottom w:val="single" w:sz="8" w:space="0" w:color="52D696" w:themeColor="accent1" w:themeTint="BF"/>
          <w:right w:val="single" w:sz="8" w:space="0" w:color="52D696" w:themeColor="accent1" w:themeTint="BF"/>
          <w:insideH w:val="nil"/>
          <w:insideV w:val="nil"/>
        </w:tcBorders>
        <w:shd w:val="clear" w:color="auto" w:fill="2BB673" w:themeFill="accent1"/>
      </w:tcPr>
    </w:tblStylePr>
    <w:tblStylePr w:type="lastRow">
      <w:pPr>
        <w:spacing w:before="0" w:after="0" w:line="240" w:lineRule="auto"/>
      </w:pPr>
      <w:rPr>
        <w:b/>
        <w:bCs/>
      </w:rPr>
      <w:tblPr/>
      <w:tcPr>
        <w:tcBorders>
          <w:top w:val="double" w:sz="6" w:space="0" w:color="52D696" w:themeColor="accent1" w:themeTint="BF"/>
          <w:left w:val="single" w:sz="8" w:space="0" w:color="52D696" w:themeColor="accent1" w:themeTint="BF"/>
          <w:bottom w:val="single" w:sz="8" w:space="0" w:color="52D696" w:themeColor="accent1" w:themeTint="BF"/>
          <w:right w:val="single" w:sz="8" w:space="0" w:color="52D696" w:themeColor="accent1" w:themeTint="BF"/>
          <w:insideH w:val="nil"/>
          <w:insideV w:val="nil"/>
        </w:tcBorders>
      </w:tcPr>
    </w:tblStylePr>
    <w:tblStylePr w:type="firstCol">
      <w:rPr>
        <w:b/>
        <w:bCs/>
      </w:rPr>
    </w:tblStylePr>
    <w:tblStylePr w:type="lastCol">
      <w:rPr>
        <w:b/>
        <w:bCs/>
      </w:rPr>
    </w:tblStylePr>
    <w:tblStylePr w:type="band1Vert">
      <w:tblPr/>
      <w:tcPr>
        <w:shd w:val="clear" w:color="auto" w:fill="C5F1DC" w:themeFill="accent1" w:themeFillTint="3F"/>
      </w:tcPr>
    </w:tblStylePr>
    <w:tblStylePr w:type="band1Horz">
      <w:tblPr/>
      <w:tcPr>
        <w:tcBorders>
          <w:insideH w:val="nil"/>
          <w:insideV w:val="nil"/>
        </w:tcBorders>
        <w:shd w:val="clear" w:color="auto" w:fill="C5F1DC"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762017"/>
    <w:pPr>
      <w:spacing w:after="0" w:line="240" w:lineRule="auto"/>
    </w:pPr>
    <w:tblPr>
      <w:tblStyleRowBandSize w:val="1"/>
      <w:tblStyleColBandSize w:val="1"/>
      <w:tblBorders>
        <w:top w:val="single" w:sz="8" w:space="0" w:color="BDE237" w:themeColor="accent2" w:themeTint="BF"/>
        <w:left w:val="single" w:sz="8" w:space="0" w:color="BDE237" w:themeColor="accent2" w:themeTint="BF"/>
        <w:bottom w:val="single" w:sz="8" w:space="0" w:color="BDE237" w:themeColor="accent2" w:themeTint="BF"/>
        <w:right w:val="single" w:sz="8" w:space="0" w:color="BDE237" w:themeColor="accent2" w:themeTint="BF"/>
        <w:insideH w:val="single" w:sz="8" w:space="0" w:color="BDE237" w:themeColor="accent2" w:themeTint="BF"/>
      </w:tblBorders>
    </w:tblPr>
    <w:tblStylePr w:type="firstRow">
      <w:pPr>
        <w:spacing w:before="0" w:after="0" w:line="240" w:lineRule="auto"/>
      </w:pPr>
      <w:rPr>
        <w:b/>
        <w:bCs/>
        <w:color w:val="FFFFFF" w:themeColor="background1"/>
      </w:rPr>
      <w:tblPr/>
      <w:tcPr>
        <w:tcBorders>
          <w:top w:val="single" w:sz="8" w:space="0" w:color="BDE237" w:themeColor="accent2" w:themeTint="BF"/>
          <w:left w:val="single" w:sz="8" w:space="0" w:color="BDE237" w:themeColor="accent2" w:themeTint="BF"/>
          <w:bottom w:val="single" w:sz="8" w:space="0" w:color="BDE237" w:themeColor="accent2" w:themeTint="BF"/>
          <w:right w:val="single" w:sz="8" w:space="0" w:color="BDE237" w:themeColor="accent2" w:themeTint="BF"/>
          <w:insideH w:val="nil"/>
          <w:insideV w:val="nil"/>
        </w:tcBorders>
        <w:shd w:val="clear" w:color="auto" w:fill="93B41A" w:themeFill="accent2"/>
      </w:tcPr>
    </w:tblStylePr>
    <w:tblStylePr w:type="lastRow">
      <w:pPr>
        <w:spacing w:before="0" w:after="0" w:line="240" w:lineRule="auto"/>
      </w:pPr>
      <w:rPr>
        <w:b/>
        <w:bCs/>
      </w:rPr>
      <w:tblPr/>
      <w:tcPr>
        <w:tcBorders>
          <w:top w:val="double" w:sz="6" w:space="0" w:color="BDE237" w:themeColor="accent2" w:themeTint="BF"/>
          <w:left w:val="single" w:sz="8" w:space="0" w:color="BDE237" w:themeColor="accent2" w:themeTint="BF"/>
          <w:bottom w:val="single" w:sz="8" w:space="0" w:color="BDE237" w:themeColor="accent2" w:themeTint="BF"/>
          <w:right w:val="single" w:sz="8" w:space="0" w:color="BDE237" w:themeColor="accent2" w:themeTint="BF"/>
          <w:insideH w:val="nil"/>
          <w:insideV w:val="nil"/>
        </w:tcBorders>
      </w:tcPr>
    </w:tblStylePr>
    <w:tblStylePr w:type="firstCol">
      <w:rPr>
        <w:b/>
        <w:bCs/>
      </w:rPr>
    </w:tblStylePr>
    <w:tblStylePr w:type="lastCol">
      <w:rPr>
        <w:b/>
        <w:bCs/>
      </w:rPr>
    </w:tblStylePr>
    <w:tblStylePr w:type="band1Vert">
      <w:tblPr/>
      <w:tcPr>
        <w:shd w:val="clear" w:color="auto" w:fill="E9F5BD" w:themeFill="accent2" w:themeFillTint="3F"/>
      </w:tcPr>
    </w:tblStylePr>
    <w:tblStylePr w:type="band1Horz">
      <w:tblPr/>
      <w:tcPr>
        <w:tcBorders>
          <w:insideH w:val="nil"/>
          <w:insideV w:val="nil"/>
        </w:tcBorders>
        <w:shd w:val="clear" w:color="auto" w:fill="E9F5BD"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762017"/>
    <w:pPr>
      <w:spacing w:after="0" w:line="240" w:lineRule="auto"/>
    </w:pPr>
    <w:tblPr>
      <w:tblStyleRowBandSize w:val="1"/>
      <w:tblStyleColBandSize w:val="1"/>
      <w:tblBorders>
        <w:top w:val="single" w:sz="8" w:space="0" w:color="F38F6B" w:themeColor="accent3" w:themeTint="BF"/>
        <w:left w:val="single" w:sz="8" w:space="0" w:color="F38F6B" w:themeColor="accent3" w:themeTint="BF"/>
        <w:bottom w:val="single" w:sz="8" w:space="0" w:color="F38F6B" w:themeColor="accent3" w:themeTint="BF"/>
        <w:right w:val="single" w:sz="8" w:space="0" w:color="F38F6B" w:themeColor="accent3" w:themeTint="BF"/>
        <w:insideH w:val="single" w:sz="8" w:space="0" w:color="F38F6B" w:themeColor="accent3" w:themeTint="BF"/>
      </w:tblBorders>
    </w:tblPr>
    <w:tblStylePr w:type="firstRow">
      <w:pPr>
        <w:spacing w:before="0" w:after="0" w:line="240" w:lineRule="auto"/>
      </w:pPr>
      <w:rPr>
        <w:b/>
        <w:bCs/>
        <w:color w:val="FFFFFF" w:themeColor="background1"/>
      </w:rPr>
      <w:tblPr/>
      <w:tcPr>
        <w:tcBorders>
          <w:top w:val="single" w:sz="8" w:space="0" w:color="F38F6B" w:themeColor="accent3" w:themeTint="BF"/>
          <w:left w:val="single" w:sz="8" w:space="0" w:color="F38F6B" w:themeColor="accent3" w:themeTint="BF"/>
          <w:bottom w:val="single" w:sz="8" w:space="0" w:color="F38F6B" w:themeColor="accent3" w:themeTint="BF"/>
          <w:right w:val="single" w:sz="8" w:space="0" w:color="F38F6B" w:themeColor="accent3" w:themeTint="BF"/>
          <w:insideH w:val="nil"/>
          <w:insideV w:val="nil"/>
        </w:tcBorders>
        <w:shd w:val="clear" w:color="auto" w:fill="F06A3B" w:themeFill="accent3"/>
      </w:tcPr>
    </w:tblStylePr>
    <w:tblStylePr w:type="lastRow">
      <w:pPr>
        <w:spacing w:before="0" w:after="0" w:line="240" w:lineRule="auto"/>
      </w:pPr>
      <w:rPr>
        <w:b/>
        <w:bCs/>
      </w:rPr>
      <w:tblPr/>
      <w:tcPr>
        <w:tcBorders>
          <w:top w:val="double" w:sz="6" w:space="0" w:color="F38F6B" w:themeColor="accent3" w:themeTint="BF"/>
          <w:left w:val="single" w:sz="8" w:space="0" w:color="F38F6B" w:themeColor="accent3" w:themeTint="BF"/>
          <w:bottom w:val="single" w:sz="8" w:space="0" w:color="F38F6B" w:themeColor="accent3" w:themeTint="BF"/>
          <w:right w:val="single" w:sz="8" w:space="0" w:color="F38F6B" w:themeColor="accent3" w:themeTint="BF"/>
          <w:insideH w:val="nil"/>
          <w:insideV w:val="nil"/>
        </w:tcBorders>
      </w:tcPr>
    </w:tblStylePr>
    <w:tblStylePr w:type="firstCol">
      <w:rPr>
        <w:b/>
        <w:bCs/>
      </w:rPr>
    </w:tblStylePr>
    <w:tblStylePr w:type="lastCol">
      <w:rPr>
        <w:b/>
        <w:bCs/>
      </w:rPr>
    </w:tblStylePr>
    <w:tblStylePr w:type="band1Vert">
      <w:tblPr/>
      <w:tcPr>
        <w:shd w:val="clear" w:color="auto" w:fill="FBD9CE" w:themeFill="accent3" w:themeFillTint="3F"/>
      </w:tcPr>
    </w:tblStylePr>
    <w:tblStylePr w:type="band1Horz">
      <w:tblPr/>
      <w:tcPr>
        <w:tcBorders>
          <w:insideH w:val="nil"/>
          <w:insideV w:val="nil"/>
        </w:tcBorders>
        <w:shd w:val="clear" w:color="auto" w:fill="FBD9CE"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762017"/>
    <w:pPr>
      <w:spacing w:after="0" w:line="240" w:lineRule="auto"/>
    </w:pPr>
    <w:tblPr>
      <w:tblStyleRowBandSize w:val="1"/>
      <w:tblStyleColBandSize w:val="1"/>
      <w:tblBorders>
        <w:top w:val="single" w:sz="8" w:space="0" w:color="AF88D8" w:themeColor="accent4" w:themeTint="BF"/>
        <w:left w:val="single" w:sz="8" w:space="0" w:color="AF88D8" w:themeColor="accent4" w:themeTint="BF"/>
        <w:bottom w:val="single" w:sz="8" w:space="0" w:color="AF88D8" w:themeColor="accent4" w:themeTint="BF"/>
        <w:right w:val="single" w:sz="8" w:space="0" w:color="AF88D8" w:themeColor="accent4" w:themeTint="BF"/>
        <w:insideH w:val="single" w:sz="8" w:space="0" w:color="AF88D8" w:themeColor="accent4" w:themeTint="BF"/>
      </w:tblBorders>
    </w:tblPr>
    <w:tblStylePr w:type="firstRow">
      <w:pPr>
        <w:spacing w:before="0" w:after="0" w:line="240" w:lineRule="auto"/>
      </w:pPr>
      <w:rPr>
        <w:b/>
        <w:bCs/>
        <w:color w:val="FFFFFF" w:themeColor="background1"/>
      </w:rPr>
      <w:tblPr/>
      <w:tcPr>
        <w:tcBorders>
          <w:top w:val="single" w:sz="8" w:space="0" w:color="AF88D8" w:themeColor="accent4" w:themeTint="BF"/>
          <w:left w:val="single" w:sz="8" w:space="0" w:color="AF88D8" w:themeColor="accent4" w:themeTint="BF"/>
          <w:bottom w:val="single" w:sz="8" w:space="0" w:color="AF88D8" w:themeColor="accent4" w:themeTint="BF"/>
          <w:right w:val="single" w:sz="8" w:space="0" w:color="AF88D8" w:themeColor="accent4" w:themeTint="BF"/>
          <w:insideH w:val="nil"/>
          <w:insideV w:val="nil"/>
        </w:tcBorders>
        <w:shd w:val="clear" w:color="auto" w:fill="9561CC" w:themeFill="accent4"/>
      </w:tcPr>
    </w:tblStylePr>
    <w:tblStylePr w:type="lastRow">
      <w:pPr>
        <w:spacing w:before="0" w:after="0" w:line="240" w:lineRule="auto"/>
      </w:pPr>
      <w:rPr>
        <w:b/>
        <w:bCs/>
      </w:rPr>
      <w:tblPr/>
      <w:tcPr>
        <w:tcBorders>
          <w:top w:val="double" w:sz="6" w:space="0" w:color="AF88D8" w:themeColor="accent4" w:themeTint="BF"/>
          <w:left w:val="single" w:sz="8" w:space="0" w:color="AF88D8" w:themeColor="accent4" w:themeTint="BF"/>
          <w:bottom w:val="single" w:sz="8" w:space="0" w:color="AF88D8" w:themeColor="accent4" w:themeTint="BF"/>
          <w:right w:val="single" w:sz="8" w:space="0" w:color="AF88D8"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D7F2" w:themeFill="accent4" w:themeFillTint="3F"/>
      </w:tcPr>
    </w:tblStylePr>
    <w:tblStylePr w:type="band1Horz">
      <w:tblPr/>
      <w:tcPr>
        <w:tcBorders>
          <w:insideH w:val="nil"/>
          <w:insideV w:val="nil"/>
        </w:tcBorders>
        <w:shd w:val="clear" w:color="auto" w:fill="E4D7F2"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762017"/>
    <w:pPr>
      <w:spacing w:after="0" w:line="240" w:lineRule="auto"/>
    </w:pPr>
    <w:tblPr>
      <w:tblStyleRowBandSize w:val="1"/>
      <w:tblStyleColBandSize w:val="1"/>
      <w:tblBorders>
        <w:top w:val="single" w:sz="8" w:space="0" w:color="15E0FF" w:themeColor="accent5" w:themeTint="BF"/>
        <w:left w:val="single" w:sz="8" w:space="0" w:color="15E0FF" w:themeColor="accent5" w:themeTint="BF"/>
        <w:bottom w:val="single" w:sz="8" w:space="0" w:color="15E0FF" w:themeColor="accent5" w:themeTint="BF"/>
        <w:right w:val="single" w:sz="8" w:space="0" w:color="15E0FF" w:themeColor="accent5" w:themeTint="BF"/>
        <w:insideH w:val="single" w:sz="8" w:space="0" w:color="15E0FF" w:themeColor="accent5" w:themeTint="BF"/>
      </w:tblBorders>
    </w:tblPr>
    <w:tblStylePr w:type="firstRow">
      <w:pPr>
        <w:spacing w:before="0" w:after="0" w:line="240" w:lineRule="auto"/>
      </w:pPr>
      <w:rPr>
        <w:b/>
        <w:bCs/>
        <w:color w:val="FFFFFF" w:themeColor="background1"/>
      </w:rPr>
      <w:tblPr/>
      <w:tcPr>
        <w:tcBorders>
          <w:top w:val="single" w:sz="8" w:space="0" w:color="15E0FF" w:themeColor="accent5" w:themeTint="BF"/>
          <w:left w:val="single" w:sz="8" w:space="0" w:color="15E0FF" w:themeColor="accent5" w:themeTint="BF"/>
          <w:bottom w:val="single" w:sz="8" w:space="0" w:color="15E0FF" w:themeColor="accent5" w:themeTint="BF"/>
          <w:right w:val="single" w:sz="8" w:space="0" w:color="15E0FF" w:themeColor="accent5" w:themeTint="BF"/>
          <w:insideH w:val="nil"/>
          <w:insideV w:val="nil"/>
        </w:tcBorders>
        <w:shd w:val="clear" w:color="auto" w:fill="00ADC6" w:themeFill="accent5"/>
      </w:tcPr>
    </w:tblStylePr>
    <w:tblStylePr w:type="lastRow">
      <w:pPr>
        <w:spacing w:before="0" w:after="0" w:line="240" w:lineRule="auto"/>
      </w:pPr>
      <w:rPr>
        <w:b/>
        <w:bCs/>
      </w:rPr>
      <w:tblPr/>
      <w:tcPr>
        <w:tcBorders>
          <w:top w:val="double" w:sz="6" w:space="0" w:color="15E0FF" w:themeColor="accent5" w:themeTint="BF"/>
          <w:left w:val="single" w:sz="8" w:space="0" w:color="15E0FF" w:themeColor="accent5" w:themeTint="BF"/>
          <w:bottom w:val="single" w:sz="8" w:space="0" w:color="15E0FF" w:themeColor="accent5" w:themeTint="BF"/>
          <w:right w:val="single" w:sz="8" w:space="0" w:color="15E0FF" w:themeColor="accent5" w:themeTint="BF"/>
          <w:insideH w:val="nil"/>
          <w:insideV w:val="nil"/>
        </w:tcBorders>
      </w:tcPr>
    </w:tblStylePr>
    <w:tblStylePr w:type="firstCol">
      <w:rPr>
        <w:b/>
        <w:bCs/>
      </w:rPr>
    </w:tblStylePr>
    <w:tblStylePr w:type="lastCol">
      <w:rPr>
        <w:b/>
        <w:bCs/>
      </w:rPr>
    </w:tblStylePr>
    <w:tblStylePr w:type="band1Vert">
      <w:tblPr/>
      <w:tcPr>
        <w:shd w:val="clear" w:color="auto" w:fill="B1F4FF" w:themeFill="accent5" w:themeFillTint="3F"/>
      </w:tcPr>
    </w:tblStylePr>
    <w:tblStylePr w:type="band1Horz">
      <w:tblPr/>
      <w:tcPr>
        <w:tcBorders>
          <w:insideH w:val="nil"/>
          <w:insideV w:val="nil"/>
        </w:tcBorders>
        <w:shd w:val="clear" w:color="auto" w:fill="B1F4FF"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762017"/>
    <w:pPr>
      <w:spacing w:after="0" w:line="240" w:lineRule="auto"/>
    </w:pPr>
    <w:tblPr>
      <w:tblStyleRowBandSize w:val="1"/>
      <w:tblStyleColBandSize w:val="1"/>
      <w:tblBorders>
        <w:top w:val="single" w:sz="8" w:space="0" w:color="FDAA47" w:themeColor="accent6" w:themeTint="BF"/>
        <w:left w:val="single" w:sz="8" w:space="0" w:color="FDAA47" w:themeColor="accent6" w:themeTint="BF"/>
        <w:bottom w:val="single" w:sz="8" w:space="0" w:color="FDAA47" w:themeColor="accent6" w:themeTint="BF"/>
        <w:right w:val="single" w:sz="8" w:space="0" w:color="FDAA47" w:themeColor="accent6" w:themeTint="BF"/>
        <w:insideH w:val="single" w:sz="8" w:space="0" w:color="FDAA47" w:themeColor="accent6" w:themeTint="BF"/>
      </w:tblBorders>
    </w:tblPr>
    <w:tblStylePr w:type="firstRow">
      <w:pPr>
        <w:spacing w:before="0" w:after="0" w:line="240" w:lineRule="auto"/>
      </w:pPr>
      <w:rPr>
        <w:b/>
        <w:bCs/>
        <w:color w:val="FFFFFF" w:themeColor="background1"/>
      </w:rPr>
      <w:tblPr/>
      <w:tcPr>
        <w:tcBorders>
          <w:top w:val="single" w:sz="8" w:space="0" w:color="FDAA47" w:themeColor="accent6" w:themeTint="BF"/>
          <w:left w:val="single" w:sz="8" w:space="0" w:color="FDAA47" w:themeColor="accent6" w:themeTint="BF"/>
          <w:bottom w:val="single" w:sz="8" w:space="0" w:color="FDAA47" w:themeColor="accent6" w:themeTint="BF"/>
          <w:right w:val="single" w:sz="8" w:space="0" w:color="FDAA47" w:themeColor="accent6" w:themeTint="BF"/>
          <w:insideH w:val="nil"/>
          <w:insideV w:val="nil"/>
        </w:tcBorders>
        <w:shd w:val="clear" w:color="auto" w:fill="FD8F0A" w:themeFill="accent6"/>
      </w:tcPr>
    </w:tblStylePr>
    <w:tblStylePr w:type="lastRow">
      <w:pPr>
        <w:spacing w:before="0" w:after="0" w:line="240" w:lineRule="auto"/>
      </w:pPr>
      <w:rPr>
        <w:b/>
        <w:bCs/>
      </w:rPr>
      <w:tblPr/>
      <w:tcPr>
        <w:tcBorders>
          <w:top w:val="double" w:sz="6" w:space="0" w:color="FDAA47" w:themeColor="accent6" w:themeTint="BF"/>
          <w:left w:val="single" w:sz="8" w:space="0" w:color="FDAA47" w:themeColor="accent6" w:themeTint="BF"/>
          <w:bottom w:val="single" w:sz="8" w:space="0" w:color="FDAA47" w:themeColor="accent6" w:themeTint="BF"/>
          <w:right w:val="single" w:sz="8" w:space="0" w:color="FDAA47" w:themeColor="accent6" w:themeTint="BF"/>
          <w:insideH w:val="nil"/>
          <w:insideV w:val="nil"/>
        </w:tcBorders>
      </w:tcPr>
    </w:tblStylePr>
    <w:tblStylePr w:type="firstCol">
      <w:rPr>
        <w:b/>
        <w:bCs/>
      </w:rPr>
    </w:tblStylePr>
    <w:tblStylePr w:type="lastCol">
      <w:rPr>
        <w:b/>
        <w:bCs/>
      </w:rPr>
    </w:tblStylePr>
    <w:tblStylePr w:type="band1Vert">
      <w:tblPr/>
      <w:tcPr>
        <w:shd w:val="clear" w:color="auto" w:fill="FEE3C2" w:themeFill="accent6" w:themeFillTint="3F"/>
      </w:tcPr>
    </w:tblStylePr>
    <w:tblStylePr w:type="band1Horz">
      <w:tblPr/>
      <w:tcPr>
        <w:tcBorders>
          <w:insideH w:val="nil"/>
          <w:insideV w:val="nil"/>
        </w:tcBorders>
        <w:shd w:val="clear" w:color="auto" w:fill="FEE3C2"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762017"/>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762017"/>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BB673"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2BB673" w:themeFill="accent1"/>
      </w:tcPr>
    </w:tblStylePr>
    <w:tblStylePr w:type="lastCol">
      <w:rPr>
        <w:b/>
        <w:bCs/>
        <w:color w:val="FFFFFF" w:themeColor="background1"/>
      </w:rPr>
      <w:tblPr/>
      <w:tcPr>
        <w:tcBorders>
          <w:left w:val="nil"/>
          <w:right w:val="nil"/>
          <w:insideH w:val="nil"/>
          <w:insideV w:val="nil"/>
        </w:tcBorders>
        <w:shd w:val="clear" w:color="auto" w:fill="2BB673"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762017"/>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3B41A"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93B41A" w:themeFill="accent2"/>
      </w:tcPr>
    </w:tblStylePr>
    <w:tblStylePr w:type="lastCol">
      <w:rPr>
        <w:b/>
        <w:bCs/>
        <w:color w:val="FFFFFF" w:themeColor="background1"/>
      </w:rPr>
      <w:tblPr/>
      <w:tcPr>
        <w:tcBorders>
          <w:left w:val="nil"/>
          <w:right w:val="nil"/>
          <w:insideH w:val="nil"/>
          <w:insideV w:val="nil"/>
        </w:tcBorders>
        <w:shd w:val="clear" w:color="auto" w:fill="93B41A"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762017"/>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06A3B"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06A3B" w:themeFill="accent3"/>
      </w:tcPr>
    </w:tblStylePr>
    <w:tblStylePr w:type="lastCol">
      <w:rPr>
        <w:b/>
        <w:bCs/>
        <w:color w:val="FFFFFF" w:themeColor="background1"/>
      </w:rPr>
      <w:tblPr/>
      <w:tcPr>
        <w:tcBorders>
          <w:left w:val="nil"/>
          <w:right w:val="nil"/>
          <w:insideH w:val="nil"/>
          <w:insideV w:val="nil"/>
        </w:tcBorders>
        <w:shd w:val="clear" w:color="auto" w:fill="F06A3B"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762017"/>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561CC"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9561CC" w:themeFill="accent4"/>
      </w:tcPr>
    </w:tblStylePr>
    <w:tblStylePr w:type="lastCol">
      <w:rPr>
        <w:b/>
        <w:bCs/>
        <w:color w:val="FFFFFF" w:themeColor="background1"/>
      </w:rPr>
      <w:tblPr/>
      <w:tcPr>
        <w:tcBorders>
          <w:left w:val="nil"/>
          <w:right w:val="nil"/>
          <w:insideH w:val="nil"/>
          <w:insideV w:val="nil"/>
        </w:tcBorders>
        <w:shd w:val="clear" w:color="auto" w:fill="9561CC"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762017"/>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AD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ADC6" w:themeFill="accent5"/>
      </w:tcPr>
    </w:tblStylePr>
    <w:tblStylePr w:type="lastCol">
      <w:rPr>
        <w:b/>
        <w:bCs/>
        <w:color w:val="FFFFFF" w:themeColor="background1"/>
      </w:rPr>
      <w:tblPr/>
      <w:tcPr>
        <w:tcBorders>
          <w:left w:val="nil"/>
          <w:right w:val="nil"/>
          <w:insideH w:val="nil"/>
          <w:insideV w:val="nil"/>
        </w:tcBorders>
        <w:shd w:val="clear" w:color="auto" w:fill="00AD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762017"/>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D8F0A"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D8F0A" w:themeFill="accent6"/>
      </w:tcPr>
    </w:tblStylePr>
    <w:tblStylePr w:type="lastCol">
      <w:rPr>
        <w:b/>
        <w:bCs/>
        <w:color w:val="FFFFFF" w:themeColor="background1"/>
      </w:rPr>
      <w:tblPr/>
      <w:tcPr>
        <w:tcBorders>
          <w:left w:val="nil"/>
          <w:right w:val="nil"/>
          <w:insideH w:val="nil"/>
          <w:insideV w:val="nil"/>
        </w:tcBorders>
        <w:shd w:val="clear" w:color="auto" w:fill="FD8F0A"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styleId="MessageHeader">
    <w:name w:val="Message Header"/>
    <w:basedOn w:val="Normal"/>
    <w:link w:val="MessageHeaderChar"/>
    <w:uiPriority w:val="99"/>
    <w:semiHidden/>
    <w:unhideWhenUsed/>
    <w:rsid w:val="00762017"/>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Cs w:val="24"/>
    </w:rPr>
  </w:style>
  <w:style w:type="character" w:customStyle="1" w:styleId="MessageHeaderChar">
    <w:name w:val="Message Header Char"/>
    <w:basedOn w:val="DefaultParagraphFont"/>
    <w:link w:val="MessageHeader"/>
    <w:uiPriority w:val="99"/>
    <w:semiHidden/>
    <w:rsid w:val="00762017"/>
    <w:rPr>
      <w:rFonts w:asciiTheme="majorHAnsi" w:eastAsiaTheme="majorEastAsia" w:hAnsiTheme="majorHAnsi" w:cstheme="majorBidi"/>
      <w:color w:val="1E1E1E"/>
      <w:sz w:val="24"/>
      <w:szCs w:val="24"/>
      <w:shd w:val="pct20" w:color="auto" w:fill="auto"/>
    </w:rPr>
  </w:style>
  <w:style w:type="paragraph" w:styleId="NoSpacing">
    <w:name w:val="No Spacing"/>
    <w:uiPriority w:val="1"/>
    <w:semiHidden/>
    <w:rsid w:val="00762017"/>
    <w:pPr>
      <w:spacing w:after="0" w:line="240" w:lineRule="auto"/>
    </w:pPr>
    <w:rPr>
      <w:rFonts w:ascii="Calibri" w:hAnsi="Calibri"/>
      <w:color w:val="1E1E1E"/>
      <w:sz w:val="24"/>
    </w:rPr>
  </w:style>
  <w:style w:type="paragraph" w:styleId="NormalIndent">
    <w:name w:val="Normal Indent"/>
    <w:basedOn w:val="Normal"/>
    <w:uiPriority w:val="99"/>
    <w:semiHidden/>
    <w:unhideWhenUsed/>
    <w:rsid w:val="00762017"/>
    <w:pPr>
      <w:ind w:left="720"/>
    </w:pPr>
  </w:style>
  <w:style w:type="paragraph" w:styleId="NoteHeading">
    <w:name w:val="Note Heading"/>
    <w:basedOn w:val="Normal"/>
    <w:next w:val="Normal"/>
    <w:link w:val="NoteHeadingChar"/>
    <w:uiPriority w:val="99"/>
    <w:semiHidden/>
    <w:unhideWhenUsed/>
    <w:rsid w:val="00762017"/>
    <w:pPr>
      <w:spacing w:after="0" w:line="240" w:lineRule="auto"/>
    </w:pPr>
  </w:style>
  <w:style w:type="character" w:customStyle="1" w:styleId="NoteHeadingChar">
    <w:name w:val="Note Heading Char"/>
    <w:basedOn w:val="DefaultParagraphFont"/>
    <w:link w:val="NoteHeading"/>
    <w:uiPriority w:val="99"/>
    <w:semiHidden/>
    <w:rsid w:val="00762017"/>
    <w:rPr>
      <w:rFonts w:ascii="Calibri" w:hAnsi="Calibri"/>
      <w:color w:val="1E1E1E"/>
      <w:sz w:val="24"/>
    </w:rPr>
  </w:style>
  <w:style w:type="character" w:styleId="PlaceholderText">
    <w:name w:val="Placeholder Text"/>
    <w:basedOn w:val="DefaultParagraphFont"/>
    <w:uiPriority w:val="99"/>
    <w:semiHidden/>
    <w:rsid w:val="00762017"/>
    <w:rPr>
      <w:color w:val="808080"/>
    </w:rPr>
  </w:style>
  <w:style w:type="table" w:styleId="PlainTable1">
    <w:name w:val="Plain Table 1"/>
    <w:basedOn w:val="TableNormal"/>
    <w:uiPriority w:val="41"/>
    <w:rsid w:val="00762017"/>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762017"/>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762017"/>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762017"/>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PlainText">
    <w:name w:val="Plain Text"/>
    <w:basedOn w:val="Normal"/>
    <w:link w:val="PlainTextChar"/>
    <w:uiPriority w:val="99"/>
    <w:semiHidden/>
    <w:unhideWhenUsed/>
    <w:rsid w:val="00762017"/>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762017"/>
    <w:rPr>
      <w:rFonts w:ascii="Consolas" w:hAnsi="Consolas"/>
      <w:color w:val="1E1E1E"/>
      <w:sz w:val="21"/>
      <w:szCs w:val="21"/>
    </w:rPr>
  </w:style>
  <w:style w:type="paragraph" w:styleId="Quote">
    <w:name w:val="Quote"/>
    <w:basedOn w:val="Normal"/>
    <w:next w:val="Normal"/>
    <w:link w:val="QuoteChar"/>
    <w:uiPriority w:val="29"/>
    <w:qFormat/>
    <w:rsid w:val="00762017"/>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762017"/>
    <w:rPr>
      <w:rFonts w:ascii="Calibri" w:hAnsi="Calibri"/>
      <w:i/>
      <w:iCs/>
      <w:color w:val="404040" w:themeColor="text1" w:themeTint="BF"/>
      <w:sz w:val="24"/>
    </w:rPr>
  </w:style>
  <w:style w:type="paragraph" w:styleId="Salutation">
    <w:name w:val="Salutation"/>
    <w:basedOn w:val="Normal"/>
    <w:next w:val="Normal"/>
    <w:link w:val="SalutationChar"/>
    <w:uiPriority w:val="99"/>
    <w:semiHidden/>
    <w:unhideWhenUsed/>
    <w:rsid w:val="00762017"/>
  </w:style>
  <w:style w:type="character" w:customStyle="1" w:styleId="SalutationChar">
    <w:name w:val="Salutation Char"/>
    <w:basedOn w:val="DefaultParagraphFont"/>
    <w:link w:val="Salutation"/>
    <w:uiPriority w:val="99"/>
    <w:semiHidden/>
    <w:rsid w:val="00762017"/>
    <w:rPr>
      <w:rFonts w:ascii="Calibri" w:hAnsi="Calibri"/>
      <w:color w:val="1E1E1E"/>
      <w:sz w:val="24"/>
    </w:rPr>
  </w:style>
  <w:style w:type="paragraph" w:styleId="Signature">
    <w:name w:val="Signature"/>
    <w:basedOn w:val="Normal"/>
    <w:link w:val="SignatureChar"/>
    <w:uiPriority w:val="99"/>
    <w:semiHidden/>
    <w:unhideWhenUsed/>
    <w:rsid w:val="00762017"/>
    <w:pPr>
      <w:spacing w:after="0" w:line="240" w:lineRule="auto"/>
      <w:ind w:left="4252"/>
    </w:pPr>
  </w:style>
  <w:style w:type="character" w:customStyle="1" w:styleId="SignatureChar">
    <w:name w:val="Signature Char"/>
    <w:basedOn w:val="DefaultParagraphFont"/>
    <w:link w:val="Signature"/>
    <w:uiPriority w:val="99"/>
    <w:semiHidden/>
    <w:rsid w:val="00762017"/>
    <w:rPr>
      <w:rFonts w:ascii="Calibri" w:hAnsi="Calibri"/>
      <w:color w:val="1E1E1E"/>
      <w:sz w:val="24"/>
    </w:rPr>
  </w:style>
  <w:style w:type="character" w:styleId="Strong">
    <w:name w:val="Strong"/>
    <w:basedOn w:val="DefaultParagraphFont"/>
    <w:uiPriority w:val="22"/>
    <w:qFormat/>
    <w:rsid w:val="00762017"/>
    <w:rPr>
      <w:b/>
      <w:bCs/>
    </w:rPr>
  </w:style>
  <w:style w:type="paragraph" w:styleId="Subtitle">
    <w:name w:val="Subtitle"/>
    <w:basedOn w:val="Normal"/>
    <w:next w:val="Normal"/>
    <w:link w:val="SubtitleChar"/>
    <w:uiPriority w:val="11"/>
    <w:semiHidden/>
    <w:qFormat/>
    <w:rsid w:val="00762017"/>
    <w:pPr>
      <w:numPr>
        <w:ilvl w:val="1"/>
      </w:numPr>
    </w:pPr>
    <w:rPr>
      <w:rFonts w:asciiTheme="minorHAnsi" w:eastAsiaTheme="minorEastAsia" w:hAnsiTheme="minorHAnsi"/>
      <w:color w:val="5A5A5A" w:themeColor="text1" w:themeTint="A5"/>
      <w:spacing w:val="15"/>
      <w:sz w:val="22"/>
    </w:rPr>
  </w:style>
  <w:style w:type="character" w:customStyle="1" w:styleId="SubtitleChar">
    <w:name w:val="Subtitle Char"/>
    <w:basedOn w:val="DefaultParagraphFont"/>
    <w:link w:val="Subtitle"/>
    <w:uiPriority w:val="11"/>
    <w:semiHidden/>
    <w:rsid w:val="00762017"/>
    <w:rPr>
      <w:rFonts w:eastAsiaTheme="minorEastAsia"/>
      <w:color w:val="5A5A5A" w:themeColor="text1" w:themeTint="A5"/>
      <w:spacing w:val="15"/>
    </w:rPr>
  </w:style>
  <w:style w:type="character" w:styleId="SubtleEmphasis">
    <w:name w:val="Subtle Emphasis"/>
    <w:basedOn w:val="DefaultParagraphFont"/>
    <w:uiPriority w:val="19"/>
    <w:rsid w:val="00762017"/>
    <w:rPr>
      <w:i/>
      <w:iCs/>
      <w:color w:val="404040" w:themeColor="text1" w:themeTint="BF"/>
    </w:rPr>
  </w:style>
  <w:style w:type="character" w:styleId="SubtleReference">
    <w:name w:val="Subtle Reference"/>
    <w:basedOn w:val="DefaultParagraphFont"/>
    <w:uiPriority w:val="31"/>
    <w:rsid w:val="00762017"/>
    <w:rPr>
      <w:smallCaps/>
      <w:color w:val="5A5A5A" w:themeColor="text1" w:themeTint="A5"/>
    </w:rPr>
  </w:style>
  <w:style w:type="table" w:styleId="Table3Deffects1">
    <w:name w:val="Table 3D effects 1"/>
    <w:basedOn w:val="TableNormal"/>
    <w:uiPriority w:val="99"/>
    <w:semiHidden/>
    <w:unhideWhenUsed/>
    <w:rsid w:val="00762017"/>
    <w:pPr>
      <w:spacing w:after="160" w:line="30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762017"/>
    <w:pPr>
      <w:spacing w:after="160" w:line="30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762017"/>
    <w:pPr>
      <w:spacing w:after="160" w:line="30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762017"/>
    <w:pPr>
      <w:spacing w:after="160" w:line="30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762017"/>
    <w:pPr>
      <w:spacing w:after="160" w:line="30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762017"/>
    <w:pPr>
      <w:spacing w:after="160" w:line="30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762017"/>
    <w:pPr>
      <w:spacing w:after="160" w:line="30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762017"/>
    <w:pPr>
      <w:spacing w:after="160" w:line="30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762017"/>
    <w:pPr>
      <w:spacing w:after="160" w:line="30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762017"/>
    <w:pPr>
      <w:spacing w:after="160" w:line="30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762017"/>
    <w:pPr>
      <w:spacing w:after="160" w:line="30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762017"/>
    <w:pPr>
      <w:spacing w:after="160" w:line="30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762017"/>
    <w:pPr>
      <w:spacing w:after="160" w:line="30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762017"/>
    <w:pPr>
      <w:spacing w:after="160" w:line="30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762017"/>
    <w:pPr>
      <w:spacing w:after="160" w:line="30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762017"/>
    <w:pPr>
      <w:spacing w:after="160" w:line="30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762017"/>
    <w:pPr>
      <w:spacing w:after="160" w:line="30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762017"/>
    <w:pPr>
      <w:spacing w:after="160" w:line="30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762017"/>
    <w:pPr>
      <w:spacing w:after="160" w:line="30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762017"/>
    <w:pPr>
      <w:spacing w:after="160" w:line="30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762017"/>
    <w:pPr>
      <w:spacing w:after="160" w:line="30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762017"/>
    <w:pPr>
      <w:spacing w:after="160" w:line="30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762017"/>
    <w:pPr>
      <w:spacing w:after="160" w:line="30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762017"/>
    <w:pPr>
      <w:spacing w:after="160" w:line="30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762017"/>
    <w:pPr>
      <w:spacing w:after="160" w:line="30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762017"/>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762017"/>
    <w:pPr>
      <w:spacing w:after="160" w:line="30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762017"/>
    <w:pPr>
      <w:spacing w:after="160" w:line="30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762017"/>
    <w:pPr>
      <w:spacing w:after="160" w:line="30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762017"/>
    <w:pPr>
      <w:spacing w:after="160" w:line="30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762017"/>
    <w:pPr>
      <w:spacing w:after="160" w:line="30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762017"/>
    <w:pPr>
      <w:spacing w:after="160" w:line="30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762017"/>
    <w:pPr>
      <w:spacing w:after="160" w:line="30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762017"/>
    <w:pPr>
      <w:spacing w:after="160" w:line="30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semiHidden/>
    <w:unhideWhenUsed/>
    <w:rsid w:val="00762017"/>
    <w:pPr>
      <w:spacing w:after="160" w:line="30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762017"/>
    <w:pPr>
      <w:spacing w:after="160" w:line="30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762017"/>
    <w:pPr>
      <w:spacing w:after="160" w:line="30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762017"/>
    <w:pPr>
      <w:spacing w:after="160" w:line="30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762017"/>
    <w:pPr>
      <w:spacing w:after="160" w:line="30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762017"/>
    <w:pPr>
      <w:spacing w:after="160" w:line="30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762017"/>
    <w:pPr>
      <w:spacing w:after="160" w:line="30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762017"/>
    <w:pPr>
      <w:spacing w:after="160" w:line="30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762017"/>
    <w:pPr>
      <w:spacing w:after="160" w:line="30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762017"/>
    <w:pPr>
      <w:spacing w:after="160" w:line="30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footnotedescription">
    <w:name w:val="footnote description"/>
    <w:next w:val="Normal"/>
    <w:link w:val="footnotedescriptionChar"/>
    <w:hidden/>
    <w:rsid w:val="008D00B3"/>
    <w:pPr>
      <w:spacing w:after="0" w:line="259" w:lineRule="auto"/>
      <w:ind w:left="283" w:hanging="283"/>
    </w:pPr>
    <w:rPr>
      <w:rFonts w:ascii="Calibri" w:eastAsia="Calibri" w:hAnsi="Calibri" w:cs="Calibri"/>
      <w:color w:val="4D4D4D"/>
      <w:sz w:val="20"/>
      <w:lang w:eastAsia="en-NZ"/>
    </w:rPr>
  </w:style>
  <w:style w:type="character" w:customStyle="1" w:styleId="footnotedescriptionChar">
    <w:name w:val="footnote description Char"/>
    <w:link w:val="footnotedescription"/>
    <w:rsid w:val="008D00B3"/>
    <w:rPr>
      <w:rFonts w:ascii="Calibri" w:eastAsia="Calibri" w:hAnsi="Calibri" w:cs="Calibri"/>
      <w:color w:val="4D4D4D"/>
      <w:sz w:val="20"/>
      <w:lang w:eastAsia="en-NZ"/>
    </w:rPr>
  </w:style>
  <w:style w:type="character" w:customStyle="1" w:styleId="footnotemark">
    <w:name w:val="footnote mark"/>
    <w:hidden/>
    <w:rsid w:val="008D00B3"/>
    <w:rPr>
      <w:rFonts w:ascii="Calibri" w:eastAsia="Calibri" w:hAnsi="Calibri" w:cs="Calibri"/>
      <w:color w:val="4D4D4D"/>
      <w:sz w:val="20"/>
      <w:vertAlign w:val="superscript"/>
    </w:rPr>
  </w:style>
  <w:style w:type="paragraph" w:customStyle="1" w:styleId="Footnote">
    <w:name w:val="Footnote"/>
    <w:basedOn w:val="FootnoteText"/>
    <w:rsid w:val="00C05A4E"/>
  </w:style>
  <w:style w:type="paragraph" w:customStyle="1" w:styleId="Number">
    <w:name w:val="Number"/>
    <w:basedOn w:val="Normal"/>
    <w:rsid w:val="007918AB"/>
    <w:pPr>
      <w:tabs>
        <w:tab w:val="num" w:pos="567"/>
      </w:tabs>
      <w:spacing w:before="240" w:after="0" w:line="240" w:lineRule="auto"/>
      <w:ind w:left="567" w:hanging="567"/>
    </w:pPr>
    <w:rPr>
      <w:rFonts w:ascii="Arial" w:eastAsia="Times New Roman" w:hAnsi="Arial" w:cs="Times New Roman"/>
      <w:color w:val="auto"/>
      <w:szCs w:val="20"/>
      <w:lang w:eastAsia="en-GB"/>
    </w:rPr>
  </w:style>
  <w:style w:type="paragraph" w:customStyle="1" w:styleId="Subnumber">
    <w:name w:val="Subnumber"/>
    <w:basedOn w:val="Number"/>
    <w:rsid w:val="007918AB"/>
    <w:pPr>
      <w:tabs>
        <w:tab w:val="clear" w:pos="567"/>
        <w:tab w:val="num" w:pos="1418"/>
      </w:tabs>
      <w:spacing w:before="180"/>
      <w:ind w:left="1418" w:hanging="851"/>
    </w:pPr>
  </w:style>
  <w:style w:type="paragraph" w:styleId="Revision">
    <w:name w:val="Revision"/>
    <w:hidden/>
    <w:uiPriority w:val="99"/>
    <w:semiHidden/>
    <w:rsid w:val="00123CB6"/>
    <w:pPr>
      <w:spacing w:after="0" w:line="240" w:lineRule="auto"/>
    </w:pPr>
    <w:rPr>
      <w:rFonts w:ascii="Calibri" w:hAnsi="Calibri"/>
      <w:color w:val="1E1E1E"/>
      <w:sz w:val="24"/>
    </w:rPr>
  </w:style>
  <w:style w:type="paragraph" w:customStyle="1" w:styleId="Default">
    <w:name w:val="Default"/>
    <w:rsid w:val="00D97988"/>
    <w:pPr>
      <w:autoSpaceDE w:val="0"/>
      <w:autoSpaceDN w:val="0"/>
      <w:adjustRightInd w:val="0"/>
      <w:spacing w:after="0" w:line="240" w:lineRule="auto"/>
    </w:pPr>
    <w:rPr>
      <w:rFonts w:ascii="Calibri" w:hAnsi="Calibri" w:cs="Calibri"/>
      <w:color w:val="000000"/>
      <w:sz w:val="24"/>
      <w:szCs w:val="24"/>
    </w:rPr>
  </w:style>
  <w:style w:type="paragraph" w:customStyle="1" w:styleId="Body">
    <w:name w:val="Body"/>
    <w:basedOn w:val="Normal"/>
    <w:uiPriority w:val="99"/>
    <w:rsid w:val="00457B81"/>
    <w:pPr>
      <w:suppressAutoHyphens/>
      <w:autoSpaceDE w:val="0"/>
      <w:autoSpaceDN w:val="0"/>
      <w:adjustRightInd w:val="0"/>
      <w:spacing w:after="142" w:line="280" w:lineRule="atLeast"/>
      <w:textAlignment w:val="center"/>
    </w:pPr>
    <w:rPr>
      <w:rFonts w:ascii="MyriadPro-Light" w:eastAsiaTheme="minorEastAsia" w:hAnsi="MyriadPro-Light" w:cs="MyriadPro-Light"/>
      <w:color w:val="000000"/>
      <w:spacing w:val="1"/>
      <w:sz w:val="22"/>
      <w:lang w:val="en-US" w:eastAsia="en-N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487226">
      <w:bodyDiv w:val="1"/>
      <w:marLeft w:val="0"/>
      <w:marRight w:val="0"/>
      <w:marTop w:val="0"/>
      <w:marBottom w:val="0"/>
      <w:divBdr>
        <w:top w:val="none" w:sz="0" w:space="0" w:color="auto"/>
        <w:left w:val="none" w:sz="0" w:space="0" w:color="auto"/>
        <w:bottom w:val="none" w:sz="0" w:space="0" w:color="auto"/>
        <w:right w:val="none" w:sz="0" w:space="0" w:color="auto"/>
      </w:divBdr>
    </w:div>
    <w:div w:id="986398148">
      <w:bodyDiv w:val="1"/>
      <w:marLeft w:val="0"/>
      <w:marRight w:val="0"/>
      <w:marTop w:val="0"/>
      <w:marBottom w:val="0"/>
      <w:divBdr>
        <w:top w:val="none" w:sz="0" w:space="0" w:color="auto"/>
        <w:left w:val="none" w:sz="0" w:space="0" w:color="auto"/>
        <w:bottom w:val="none" w:sz="0" w:space="0" w:color="auto"/>
        <w:right w:val="none" w:sz="0" w:space="0" w:color="auto"/>
      </w:divBdr>
    </w:div>
    <w:div w:id="1118451182">
      <w:bodyDiv w:val="1"/>
      <w:marLeft w:val="0"/>
      <w:marRight w:val="0"/>
      <w:marTop w:val="0"/>
      <w:marBottom w:val="0"/>
      <w:divBdr>
        <w:top w:val="none" w:sz="0" w:space="0" w:color="auto"/>
        <w:left w:val="none" w:sz="0" w:space="0" w:color="auto"/>
        <w:bottom w:val="none" w:sz="0" w:space="0" w:color="auto"/>
        <w:right w:val="none" w:sz="0" w:space="0" w:color="auto"/>
      </w:divBdr>
    </w:div>
    <w:div w:id="1257177609">
      <w:bodyDiv w:val="1"/>
      <w:marLeft w:val="0"/>
      <w:marRight w:val="0"/>
      <w:marTop w:val="0"/>
      <w:marBottom w:val="0"/>
      <w:divBdr>
        <w:top w:val="none" w:sz="0" w:space="0" w:color="auto"/>
        <w:left w:val="none" w:sz="0" w:space="0" w:color="auto"/>
        <w:bottom w:val="none" w:sz="0" w:space="0" w:color="auto"/>
        <w:right w:val="none" w:sz="0" w:space="0" w:color="auto"/>
      </w:divBdr>
    </w:div>
    <w:div w:id="17059857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oter" Target="footer4.xml"/><Relationship Id="rId26" Type="http://schemas.openxmlformats.org/officeDocument/2006/relationships/header" Target="header8.xml"/><Relationship Id="rId3" Type="http://schemas.openxmlformats.org/officeDocument/2006/relationships/styles" Target="styles.xml"/><Relationship Id="rId21" Type="http://schemas.openxmlformats.org/officeDocument/2006/relationships/hyperlink" Target="https://www.ombudsman.parliament.nz/what-ombudsman-can-help/monitoring-places-detention" TargetMode="Externa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5.xml"/><Relationship Id="rId25" Type="http://schemas.openxmlformats.org/officeDocument/2006/relationships/header" Target="header7.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footer" Target="footer5.xml"/><Relationship Id="rId29"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www.ombudsman.parliament.nz/what-ombudsman-can-help/monitoring-places-detention"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hyperlink" Target="https://wakacs.ooto.ombudsmen.govt.nz/otcs/llisapi.dll/app/nodes/5217431" TargetMode="External"/><Relationship Id="rId28" Type="http://schemas.openxmlformats.org/officeDocument/2006/relationships/footer" Target="footer7.xml"/><Relationship Id="rId10" Type="http://schemas.openxmlformats.org/officeDocument/2006/relationships/footer" Target="footer1.xml"/><Relationship Id="rId19" Type="http://schemas.openxmlformats.org/officeDocument/2006/relationships/header" Target="header6.xm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jpeg"/><Relationship Id="rId22" Type="http://schemas.openxmlformats.org/officeDocument/2006/relationships/hyperlink" Target="https://www.ombudsman.parliament.nz/what-ombudsman-can-help/monitoring-places-detention" TargetMode="External"/><Relationship Id="rId27" Type="http://schemas.openxmlformats.org/officeDocument/2006/relationships/footer" Target="footer6.xml"/><Relationship Id="rId30" Type="http://schemas.openxmlformats.org/officeDocument/2006/relationships/footer" Target="footer8.xml"/></Relationships>
</file>

<file path=word/_rels/footnotes.xml.rels><?xml version="1.0" encoding="UTF-8" standalone="yes"?>
<Relationships xmlns="http://schemas.openxmlformats.org/package/2006/relationships"><Relationship Id="rId8" Type="http://schemas.openxmlformats.org/officeDocument/2006/relationships/hyperlink" Target="https://www.ombudsman.parliament.nz/what-we-can-help/monitoring-places-detention/why-ombudsman-monitors-places-detention" TargetMode="External"/><Relationship Id="rId13" Type="http://schemas.openxmlformats.org/officeDocument/2006/relationships/hyperlink" Target="https://www.ombudsman.parliament.nz/what-we-can-help/monitoring-places-detention/why-ombudsman-monitors-places-detention" TargetMode="External"/><Relationship Id="rId18" Type="http://schemas.openxmlformats.org/officeDocument/2006/relationships/hyperlink" Target="https://www.ombudsman.parliament.nz/what-we-can-help/monitoring-places-detention/why-ombudsman-monitors-places-detention" TargetMode="External"/><Relationship Id="rId3" Type="http://schemas.openxmlformats.org/officeDocument/2006/relationships/hyperlink" Target="https://www.ombudsman.parliament.nz/what-we-can-help/monitoring-places-detention/why-ombudsman-monitors-places-detention" TargetMode="External"/><Relationship Id="rId21" Type="http://schemas.openxmlformats.org/officeDocument/2006/relationships/hyperlink" Target="https://wakacs.ooto.ombudsmen.govt.nz/otcs/llisapi.dll/app/nodes/5215235" TargetMode="External"/><Relationship Id="rId7" Type="http://schemas.openxmlformats.org/officeDocument/2006/relationships/hyperlink" Target="https://www.ombudsman.parliament.nz/what-we-can-help/monitoring-places-detention/why-ombudsman-monitors-places-detention" TargetMode="External"/><Relationship Id="rId12" Type="http://schemas.openxmlformats.org/officeDocument/2006/relationships/hyperlink" Target="https://www.ombudsman.parliament.nz/what-we-can-help/monitoring-places-detention/why-ombudsman-monitors-places-detention" TargetMode="External"/><Relationship Id="rId17" Type="http://schemas.openxmlformats.org/officeDocument/2006/relationships/hyperlink" Target="https://www.ombudsman.parliament.nz/what-we-can-help/monitoring-places-detention/why-ombudsman-monitors-places-detention" TargetMode="External"/><Relationship Id="rId2" Type="http://schemas.openxmlformats.org/officeDocument/2006/relationships/hyperlink" Target="https://www.ombudsman.parliament.nz/what-we-can-help/monitoring-places-detention/why-ombudsman-monitors-places-detention" TargetMode="External"/><Relationship Id="rId16" Type="http://schemas.openxmlformats.org/officeDocument/2006/relationships/hyperlink" Target="https://www.ombudsman.parliament.nz/what-we-can-help/monitoring-places-detention/why-ombudsman-monitors-places-detention" TargetMode="External"/><Relationship Id="rId20" Type="http://schemas.openxmlformats.org/officeDocument/2006/relationships/hyperlink" Target="https://covid19.govt.nz/about-our-covid-19-response/history-of-the-covid-19-protection-framework-traffic-lights/" TargetMode="External"/><Relationship Id="rId1" Type="http://schemas.openxmlformats.org/officeDocument/2006/relationships/hyperlink" Target="https://www.ombudsman.parliament.nz/what-we-can-help/monitoring-places-detention/why-ombudsman-monitors-places-detention" TargetMode="External"/><Relationship Id="rId6" Type="http://schemas.openxmlformats.org/officeDocument/2006/relationships/hyperlink" Target="https://www.ombudsman.parliament.nz/what-we-can-help/monitoring-places-detention/why-ombudsman-monitors-places-detention" TargetMode="External"/><Relationship Id="rId11" Type="http://schemas.openxmlformats.org/officeDocument/2006/relationships/hyperlink" Target="https://www.ombudsman.parliament.nz/what-we-can-help/monitoring-places-detention/why-ombudsman-monitors-places-detention" TargetMode="External"/><Relationship Id="rId24" Type="http://schemas.openxmlformats.org/officeDocument/2006/relationships/hyperlink" Target="https://www.health.govt.nz/our-work/populations/maori-health/maori-health-models/maori-health-models-te-whare-tapa-wha" TargetMode="External"/><Relationship Id="rId5" Type="http://schemas.openxmlformats.org/officeDocument/2006/relationships/hyperlink" Target="https://www.ombudsman.parliament.nz/what-we-can-help/monitoring-places-detention/why-ombudsman-monitors-places-detention" TargetMode="External"/><Relationship Id="rId15" Type="http://schemas.openxmlformats.org/officeDocument/2006/relationships/hyperlink" Target="https://www.ombudsman.parliament.nz/what-we-can-help/monitoring-places-detention/why-ombudsman-monitors-places-detention" TargetMode="External"/><Relationship Id="rId23" Type="http://schemas.openxmlformats.org/officeDocument/2006/relationships/hyperlink" Target="https://maoridictionary.co.nz" TargetMode="External"/><Relationship Id="rId10" Type="http://schemas.openxmlformats.org/officeDocument/2006/relationships/hyperlink" Target="https://www.ombudsman.parliament.nz/what-we-can-help/monitoring-places-detention/why-ombudsman-monitors-places-detention" TargetMode="External"/><Relationship Id="rId19" Type="http://schemas.openxmlformats.org/officeDocument/2006/relationships/hyperlink" Target="https://www.ombudsman.parliament.nz/resources/report-unannounced-inspection-he-puna-waiora-mental-health-inpatient-unit-north-shore" TargetMode="External"/><Relationship Id="rId4" Type="http://schemas.openxmlformats.org/officeDocument/2006/relationships/hyperlink" Target="https://www.ombudsman.parliament.nz/what-we-can-help/monitoring-places-detention/why-ombudsman-monitors-places-detention" TargetMode="External"/><Relationship Id="rId9" Type="http://schemas.openxmlformats.org/officeDocument/2006/relationships/hyperlink" Target="https://www.ombudsman.parliament.nz/what-we-can-help/monitoring-places-detention/why-ombudsman-monitors-places-detention" TargetMode="External"/><Relationship Id="rId14" Type="http://schemas.openxmlformats.org/officeDocument/2006/relationships/hyperlink" Target="https://www.ombudsman.parliament.nz/what-we-can-help/monitoring-places-detention/why-ombudsman-monitors-places-detention" TargetMode="External"/><Relationship Id="rId22" Type="http://schemas.openxmlformats.org/officeDocument/2006/relationships/hyperlink" Target="https://maoridictionary.co.nz"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OTO Theme">
  <a:themeElements>
    <a:clrScheme name="OOTO Colours">
      <a:dk1>
        <a:srgbClr val="000000"/>
      </a:dk1>
      <a:lt1>
        <a:srgbClr val="FFFFFF"/>
      </a:lt1>
      <a:dk2>
        <a:srgbClr val="262626"/>
      </a:dk2>
      <a:lt2>
        <a:srgbClr val="F2F2F2"/>
      </a:lt2>
      <a:accent1>
        <a:srgbClr val="2BB673"/>
      </a:accent1>
      <a:accent2>
        <a:srgbClr val="93B41A"/>
      </a:accent2>
      <a:accent3>
        <a:srgbClr val="F06A3B"/>
      </a:accent3>
      <a:accent4>
        <a:srgbClr val="9561CC"/>
      </a:accent4>
      <a:accent5>
        <a:srgbClr val="00ADC6"/>
      </a:accent5>
      <a:accent6>
        <a:srgbClr val="FD8F0A"/>
      </a:accent6>
      <a:hlink>
        <a:srgbClr val="0D6AB8"/>
      </a:hlink>
      <a:folHlink>
        <a:srgbClr val="3C98E7"/>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93A4AB-471F-44F9-890F-EBB19B0D6C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29</Pages>
  <Words>9889</Words>
  <Characters>54987</Characters>
  <Application>Microsoft Office Word</Application>
  <DocSecurity>0</DocSecurity>
  <Lines>1169</Lines>
  <Paragraphs>487</Paragraphs>
  <ScaleCrop>false</ScaleCrop>
  <HeadingPairs>
    <vt:vector size="4" baseType="variant">
      <vt:variant>
        <vt:lpstr>Title</vt:lpstr>
      </vt:variant>
      <vt:variant>
        <vt:i4>1</vt:i4>
      </vt:variant>
      <vt:variant>
        <vt:lpstr>Headings</vt:lpstr>
      </vt:variant>
      <vt:variant>
        <vt:i4>23</vt:i4>
      </vt:variant>
    </vt:vector>
  </HeadingPairs>
  <TitlesOfParts>
    <vt:vector size="24" baseType="lpstr">
      <vt:lpstr/>
      <vt:lpstr>Introduction </vt:lpstr>
      <vt:lpstr>    More information </vt:lpstr>
      <vt:lpstr>Overview of inspection </vt:lpstr>
      <vt:lpstr>    Inspection approach </vt:lpstr>
      <vt:lpstr>    Facility facts </vt:lpstr>
      <vt:lpstr>        References to the District Health Board</vt:lpstr>
      <vt:lpstr>    Recommendations </vt:lpstr>
      <vt:lpstr>        Recommendations </vt:lpstr>
      <vt:lpstr>Discussion of key observations </vt:lpstr>
      <vt:lpstr>    Treatment </vt:lpstr>
      <vt:lpstr>        Seclusion facilities</vt:lpstr>
      <vt:lpstr>        Voluntary tāngata whai ora </vt:lpstr>
      <vt:lpstr>    Protective measures</vt:lpstr>
      <vt:lpstr>        Complaint process</vt:lpstr>
      <vt:lpstr>    Material conditions </vt:lpstr>
      <vt:lpstr>    Activities and programmes</vt:lpstr>
      <vt:lpstr>        Cultural support</vt:lpstr>
      <vt:lpstr>    Communications</vt:lpstr>
      <vt:lpstr>    Staffing</vt:lpstr>
      <vt:lpstr>    Additional observations from 2022 follow up inspection</vt:lpstr>
      <vt:lpstr>        Open seclusion</vt:lpstr>
      <vt:lpstr>Acknowledgement</vt:lpstr>
      <vt:lpstr>Legislative framework</vt:lpstr>
    </vt:vector>
  </TitlesOfParts>
  <Company/>
  <LinksUpToDate>false</LinksUpToDate>
  <CharactersWithSpaces>64389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2024-06-27T00:49:00Z</dcterms:created>
  <dcterms:modified xsi:type="dcterms:W3CDTF">2024-06-27T01:07:00Z</dcterms:modified>
</cp:coreProperties>
</file>