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0B87"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21A2C469" w14:textId="77777777" w:rsidTr="00E442E3">
        <w:trPr>
          <w:trHeight w:hRule="exact" w:val="2464"/>
        </w:trPr>
        <w:tc>
          <w:tcPr>
            <w:tcW w:w="9576" w:type="dxa"/>
            <w:tcMar>
              <w:top w:w="794" w:type="dxa"/>
            </w:tcMar>
            <w:vAlign w:val="bottom"/>
          </w:tcPr>
          <w:p w14:paraId="03DF1E87" w14:textId="77777777" w:rsidR="00166C30" w:rsidRPr="000E36A8" w:rsidRDefault="002C7BBD" w:rsidP="002C7BBD">
            <w:pPr>
              <w:pStyle w:val="Title"/>
            </w:pPr>
            <w:r>
              <w:t>Omission by school board to follow due process before excluding student for gross misconduct</w:t>
            </w:r>
          </w:p>
        </w:tc>
      </w:tr>
      <w:tr w:rsidR="00C87D78" w14:paraId="00ABABD0" w14:textId="77777777" w:rsidTr="00094D1D">
        <w:trPr>
          <w:trHeight w:hRule="exact" w:val="340"/>
        </w:trPr>
        <w:tc>
          <w:tcPr>
            <w:tcW w:w="9576" w:type="dxa"/>
            <w:vAlign w:val="bottom"/>
          </w:tcPr>
          <w:p w14:paraId="7C55BFCA" w14:textId="77777777" w:rsidR="00C87D78" w:rsidRDefault="00C87D78" w:rsidP="00C731DE"/>
        </w:tc>
      </w:tr>
      <w:tr w:rsidR="00F417FD" w14:paraId="09631A60" w14:textId="77777777" w:rsidTr="00E442E3">
        <w:trPr>
          <w:trHeight w:val="1780"/>
        </w:trPr>
        <w:tc>
          <w:tcPr>
            <w:tcW w:w="9576" w:type="dxa"/>
          </w:tcPr>
          <w:p w14:paraId="54EAEEC0" w14:textId="77777777" w:rsidR="00F417FD" w:rsidRPr="00971749" w:rsidRDefault="00F417FD" w:rsidP="00971749">
            <w:pPr>
              <w:pStyle w:val="Heading1-Subnonboldtext"/>
            </w:pPr>
            <w:r w:rsidRPr="00971749">
              <w:rPr>
                <w:rStyle w:val="Heading1-Sub"/>
              </w:rPr>
              <w:t>Legislation</w:t>
            </w:r>
            <w:r w:rsidRPr="00971749">
              <w:tab/>
            </w:r>
            <w:r w:rsidR="00600F81">
              <w:t>Ombudsmen Act 1975</w:t>
            </w:r>
            <w:r w:rsidR="00B763ED">
              <w:t>, Education and Training Act 2020, Education (Stand-Down, Suspension, Exclu</w:t>
            </w:r>
            <w:r w:rsidR="00996C2C">
              <w:t>sion, and Expulsion Rules) 1999</w:t>
            </w:r>
          </w:p>
          <w:p w14:paraId="53D631B0" w14:textId="72C81D5C" w:rsidR="00F417FD" w:rsidRPr="00971749" w:rsidRDefault="00F417FD" w:rsidP="00971749">
            <w:pPr>
              <w:pStyle w:val="Heading1-Subnonboldtext"/>
            </w:pPr>
            <w:r w:rsidRPr="00971749">
              <w:rPr>
                <w:rStyle w:val="Heading1-Sub"/>
              </w:rPr>
              <w:t>Agency</w:t>
            </w:r>
            <w:r w:rsidRPr="00971749">
              <w:tab/>
            </w:r>
            <w:r w:rsidR="007F0307">
              <w:t>S</w:t>
            </w:r>
            <w:r w:rsidR="00600F81">
              <w:t xml:space="preserve">chool </w:t>
            </w:r>
            <w:r w:rsidR="009266E4">
              <w:t>b</w:t>
            </w:r>
            <w:r w:rsidR="00600F81">
              <w:t xml:space="preserve">oard </w:t>
            </w:r>
          </w:p>
          <w:p w14:paraId="5B3D0E7E" w14:textId="77777777" w:rsidR="00F417FD" w:rsidRPr="00971749" w:rsidRDefault="00F417FD" w:rsidP="00971749">
            <w:pPr>
              <w:pStyle w:val="Heading1-Subnonboldtext"/>
            </w:pPr>
            <w:r w:rsidRPr="00971749">
              <w:rPr>
                <w:rStyle w:val="Heading1-Sub"/>
              </w:rPr>
              <w:t>Ombudsman</w:t>
            </w:r>
            <w:r w:rsidRPr="00971749">
              <w:tab/>
            </w:r>
            <w:r w:rsidR="00600F81">
              <w:t xml:space="preserve">Peter Boshier </w:t>
            </w:r>
          </w:p>
          <w:p w14:paraId="5061E4A5" w14:textId="77777777" w:rsidR="00F417FD" w:rsidRPr="00971749" w:rsidRDefault="00F417FD" w:rsidP="00971749">
            <w:pPr>
              <w:pStyle w:val="Heading1-Subnonboldtext"/>
            </w:pPr>
            <w:r w:rsidRPr="00971749">
              <w:rPr>
                <w:rStyle w:val="Heading1-Sub"/>
              </w:rPr>
              <w:t>Case number(s)</w:t>
            </w:r>
            <w:r w:rsidRPr="00971749">
              <w:tab/>
            </w:r>
            <w:r w:rsidR="00600F81">
              <w:t>557444</w:t>
            </w:r>
          </w:p>
          <w:p w14:paraId="568D64DB" w14:textId="77777777" w:rsidR="00F417FD" w:rsidRPr="00F417FD" w:rsidRDefault="00F417FD" w:rsidP="00600F81">
            <w:pPr>
              <w:pStyle w:val="Heading1-Subnonboldtext"/>
            </w:pPr>
            <w:r w:rsidRPr="00971749">
              <w:rPr>
                <w:rStyle w:val="Heading1-Sub"/>
              </w:rPr>
              <w:t>Date</w:t>
            </w:r>
            <w:r w:rsidRPr="00971749">
              <w:tab/>
            </w:r>
            <w:r w:rsidR="00600F81">
              <w:t>October 2022</w:t>
            </w:r>
          </w:p>
        </w:tc>
      </w:tr>
    </w:tbl>
    <w:p w14:paraId="39F78F2B" w14:textId="77777777" w:rsidR="00094D1D" w:rsidRPr="00094D1D" w:rsidRDefault="00094D1D" w:rsidP="00094D1D">
      <w:pPr>
        <w:pStyle w:val="Guidelines"/>
        <w:rPr>
          <w:color w:val="auto"/>
        </w:rPr>
      </w:pPr>
    </w:p>
    <w:p w14:paraId="693C4A99" w14:textId="5A9ACB63" w:rsidR="00E77A82" w:rsidRPr="000E41EA" w:rsidRDefault="008C75C3" w:rsidP="000E41EA">
      <w:pPr>
        <w:pStyle w:val="BodyText"/>
        <w:rPr>
          <w:rStyle w:val="Italics"/>
        </w:rPr>
      </w:pPr>
      <w:r w:rsidRPr="000E41EA">
        <w:rPr>
          <w:rStyle w:val="Italics"/>
        </w:rPr>
        <w:t>Investigation</w:t>
      </w:r>
      <w:r w:rsidR="00BD79CC" w:rsidRPr="000E41EA">
        <w:rPr>
          <w:rStyle w:val="Italics"/>
        </w:rPr>
        <w:t xml:space="preserve"> about </w:t>
      </w:r>
      <w:r w:rsidR="001D46A1">
        <w:rPr>
          <w:rStyle w:val="Italics"/>
        </w:rPr>
        <w:t>s</w:t>
      </w:r>
      <w:r w:rsidR="00BD79CC" w:rsidRPr="000E41EA">
        <w:rPr>
          <w:rStyle w:val="Italics"/>
        </w:rPr>
        <w:t xml:space="preserve">chool </w:t>
      </w:r>
      <w:r w:rsidR="009266E4">
        <w:rPr>
          <w:rStyle w:val="Italics"/>
        </w:rPr>
        <w:t>b</w:t>
      </w:r>
      <w:r w:rsidR="005A66AF">
        <w:rPr>
          <w:rStyle w:val="Italics"/>
        </w:rPr>
        <w:t>oard</w:t>
      </w:r>
      <w:r w:rsidR="00BD79CC" w:rsidRPr="000E41EA">
        <w:rPr>
          <w:rStyle w:val="Italics"/>
        </w:rPr>
        <w:t xml:space="preserve">’s decision to exclude a student under the Education and Training Act 2020 – </w:t>
      </w:r>
      <w:r w:rsidR="00CF0521" w:rsidRPr="000E41EA">
        <w:rPr>
          <w:rStyle w:val="Italics"/>
        </w:rPr>
        <w:t>Ombudsman satisfied</w:t>
      </w:r>
      <w:r w:rsidRPr="000E41EA">
        <w:rPr>
          <w:rStyle w:val="Italics"/>
        </w:rPr>
        <w:t xml:space="preserve"> student’s conduct met the statutory test </w:t>
      </w:r>
      <w:r w:rsidR="00CF0521" w:rsidRPr="000E41EA">
        <w:rPr>
          <w:rStyle w:val="Italics"/>
        </w:rPr>
        <w:t>for gross</w:t>
      </w:r>
      <w:r w:rsidR="00F3651F" w:rsidRPr="000E41EA">
        <w:rPr>
          <w:rStyle w:val="Italics"/>
        </w:rPr>
        <w:t xml:space="preserve"> misconduct</w:t>
      </w:r>
      <w:r w:rsidR="002670F0" w:rsidRPr="000E41EA">
        <w:rPr>
          <w:rStyle w:val="Italics"/>
        </w:rPr>
        <w:t xml:space="preserve"> </w:t>
      </w:r>
      <w:r w:rsidR="00756BE1">
        <w:rPr>
          <w:rStyle w:val="Italics"/>
        </w:rPr>
        <w:t>–</w:t>
      </w:r>
      <w:r w:rsidR="002670F0" w:rsidRPr="000E41EA">
        <w:rPr>
          <w:rStyle w:val="Italics"/>
        </w:rPr>
        <w:t xml:space="preserve"> </w:t>
      </w:r>
      <w:r w:rsidR="00756BE1">
        <w:rPr>
          <w:rStyle w:val="Italics"/>
        </w:rPr>
        <w:t xml:space="preserve">but </w:t>
      </w:r>
      <w:r w:rsidRPr="000E41EA">
        <w:rPr>
          <w:rStyle w:val="Italics"/>
        </w:rPr>
        <w:t>d</w:t>
      </w:r>
      <w:r w:rsidR="00F3651F" w:rsidRPr="000E41EA">
        <w:rPr>
          <w:rStyle w:val="Italics"/>
        </w:rPr>
        <w:t>ecision to exclude</w:t>
      </w:r>
      <w:r w:rsidR="004F338E" w:rsidRPr="000E41EA">
        <w:rPr>
          <w:rStyle w:val="Italics"/>
        </w:rPr>
        <w:t xml:space="preserve"> was</w:t>
      </w:r>
      <w:r w:rsidR="00F3651F" w:rsidRPr="000E41EA">
        <w:rPr>
          <w:rStyle w:val="Italics"/>
        </w:rPr>
        <w:t xml:space="preserve"> unreasonable</w:t>
      </w:r>
      <w:r w:rsidR="00AD0340" w:rsidRPr="000E41EA">
        <w:rPr>
          <w:rStyle w:val="Italics"/>
        </w:rPr>
        <w:t xml:space="preserve"> </w:t>
      </w:r>
      <w:r w:rsidR="00171BD9" w:rsidRPr="000E41EA">
        <w:rPr>
          <w:rStyle w:val="Italics"/>
        </w:rPr>
        <w:t xml:space="preserve">as the </w:t>
      </w:r>
      <w:r w:rsidR="000C012A">
        <w:rPr>
          <w:rStyle w:val="Italics"/>
        </w:rPr>
        <w:t>b</w:t>
      </w:r>
      <w:r w:rsidR="005A66AF">
        <w:rPr>
          <w:rStyle w:val="Italics"/>
        </w:rPr>
        <w:t>oard</w:t>
      </w:r>
      <w:r w:rsidR="00171BD9" w:rsidRPr="000E41EA">
        <w:rPr>
          <w:rStyle w:val="Italics"/>
        </w:rPr>
        <w:t xml:space="preserve"> did not consider </w:t>
      </w:r>
      <w:r w:rsidR="004F338E" w:rsidRPr="000E41EA">
        <w:rPr>
          <w:rStyle w:val="Italics"/>
        </w:rPr>
        <w:t>all options and</w:t>
      </w:r>
      <w:r w:rsidRPr="000E41EA">
        <w:rPr>
          <w:rStyle w:val="Italics"/>
        </w:rPr>
        <w:t xml:space="preserve"> relevant</w:t>
      </w:r>
      <w:r w:rsidR="00171BD9" w:rsidRPr="000E41EA">
        <w:rPr>
          <w:rStyle w:val="Italics"/>
        </w:rPr>
        <w:t xml:space="preserve"> circumstance</w:t>
      </w:r>
      <w:r w:rsidRPr="000E41EA">
        <w:rPr>
          <w:rStyle w:val="Italics"/>
        </w:rPr>
        <w:t>s</w:t>
      </w:r>
      <w:r w:rsidR="00171BD9" w:rsidRPr="000E41EA">
        <w:rPr>
          <w:rStyle w:val="Italics"/>
        </w:rPr>
        <w:t xml:space="preserve"> </w:t>
      </w:r>
      <w:r w:rsidR="00C37A8A" w:rsidRPr="000E41EA">
        <w:rPr>
          <w:rStyle w:val="Italics"/>
        </w:rPr>
        <w:t>–</w:t>
      </w:r>
      <w:r w:rsidR="00171BD9" w:rsidRPr="000E41EA">
        <w:rPr>
          <w:rStyle w:val="Italics"/>
        </w:rPr>
        <w:t xml:space="preserve"> </w:t>
      </w:r>
      <w:r w:rsidRPr="000E41EA">
        <w:rPr>
          <w:rStyle w:val="Italics"/>
        </w:rPr>
        <w:t>Ombudsman also concerned about</w:t>
      </w:r>
      <w:r w:rsidR="00171BD9" w:rsidRPr="000E41EA">
        <w:rPr>
          <w:rStyle w:val="Italics"/>
        </w:rPr>
        <w:t xml:space="preserve"> record</w:t>
      </w:r>
      <w:r w:rsidR="00A86851" w:rsidRPr="000E41EA">
        <w:rPr>
          <w:rStyle w:val="Italics"/>
        </w:rPr>
        <w:t>-</w:t>
      </w:r>
      <w:r w:rsidR="00171BD9" w:rsidRPr="000E41EA">
        <w:rPr>
          <w:rStyle w:val="Italics"/>
        </w:rPr>
        <w:t xml:space="preserve">keeping, </w:t>
      </w:r>
      <w:r w:rsidRPr="000E41EA">
        <w:rPr>
          <w:rStyle w:val="Italics"/>
        </w:rPr>
        <w:t>natural justice</w:t>
      </w:r>
      <w:r w:rsidR="00171BD9" w:rsidRPr="000E41EA">
        <w:rPr>
          <w:rStyle w:val="Italics"/>
        </w:rPr>
        <w:t xml:space="preserve"> and </w:t>
      </w:r>
      <w:r w:rsidR="000C012A">
        <w:rPr>
          <w:rStyle w:val="Italics"/>
        </w:rPr>
        <w:t>b</w:t>
      </w:r>
      <w:r w:rsidR="005A66AF">
        <w:rPr>
          <w:rStyle w:val="Italics"/>
        </w:rPr>
        <w:t>oard</w:t>
      </w:r>
      <w:r w:rsidR="00171BD9" w:rsidRPr="000E41EA">
        <w:rPr>
          <w:rStyle w:val="Italics"/>
        </w:rPr>
        <w:t>’s</w:t>
      </w:r>
      <w:r w:rsidRPr="000E41EA">
        <w:rPr>
          <w:rStyle w:val="Italics"/>
        </w:rPr>
        <w:t xml:space="preserve"> impartiality</w:t>
      </w:r>
      <w:r w:rsidR="002670F0" w:rsidRPr="000E41EA">
        <w:rPr>
          <w:rStyle w:val="Italics"/>
        </w:rPr>
        <w:t xml:space="preserve"> </w:t>
      </w:r>
      <w:r w:rsidR="000E41EA">
        <w:rPr>
          <w:rStyle w:val="Italics"/>
        </w:rPr>
        <w:t xml:space="preserve">– </w:t>
      </w:r>
      <w:r w:rsidR="000C012A">
        <w:rPr>
          <w:rStyle w:val="Italics"/>
        </w:rPr>
        <w:t>b</w:t>
      </w:r>
      <w:r w:rsidR="005A66AF">
        <w:rPr>
          <w:rStyle w:val="Italics"/>
        </w:rPr>
        <w:t>oard</w:t>
      </w:r>
      <w:r w:rsidR="002670F0" w:rsidRPr="000E41EA">
        <w:rPr>
          <w:rStyle w:val="Italics"/>
        </w:rPr>
        <w:t xml:space="preserve"> accepted recommendations including an apology</w:t>
      </w:r>
      <w:r w:rsidR="000C012A">
        <w:rPr>
          <w:rStyle w:val="Italics"/>
        </w:rPr>
        <w:t>.</w:t>
      </w:r>
    </w:p>
    <w:p w14:paraId="4906B197" w14:textId="77777777" w:rsidR="00C37A8A" w:rsidRDefault="00C37A8A" w:rsidP="00E77A82">
      <w:pPr>
        <w:pStyle w:val="Heading1"/>
      </w:pPr>
      <w:r>
        <w:t>Background</w:t>
      </w:r>
    </w:p>
    <w:p w14:paraId="20D7B7D0" w14:textId="379B7A11" w:rsidR="000720F2" w:rsidRPr="007639D6" w:rsidRDefault="003C645F" w:rsidP="007639D6">
      <w:pPr>
        <w:pStyle w:val="BodyText"/>
      </w:pPr>
      <w:bookmarkStart w:id="0" w:name="_GoBack"/>
      <w:r>
        <w:t>A</w:t>
      </w:r>
      <w:r w:rsidRPr="003C645F">
        <w:t xml:space="preserve"> student </w:t>
      </w:r>
      <w:r>
        <w:t>was suspended by the principal on the basis of</w:t>
      </w:r>
      <w:r w:rsidRPr="003C645F">
        <w:t xml:space="preserve"> </w:t>
      </w:r>
      <w:r w:rsidR="00B35939">
        <w:t>‘</w:t>
      </w:r>
      <w:r w:rsidRPr="000E41EA">
        <w:rPr>
          <w:rStyle w:val="Quotationwithinthesentence"/>
        </w:rPr>
        <w:t>gross misconduct</w:t>
      </w:r>
      <w:r w:rsidR="00B35939">
        <w:rPr>
          <w:rStyle w:val="Quotationwithinthesentence"/>
        </w:rPr>
        <w:t>’</w:t>
      </w:r>
      <w:r w:rsidR="00A86851" w:rsidRPr="000C08B5">
        <w:rPr>
          <w:rStyle w:val="Quotationwithinthesentence"/>
        </w:rPr>
        <w:t xml:space="preserve"> </w:t>
      </w:r>
      <w:r>
        <w:t xml:space="preserve">after bringing </w:t>
      </w:r>
      <w:r w:rsidR="00DF4915">
        <w:t xml:space="preserve">alcohol to school and </w:t>
      </w:r>
      <w:r>
        <w:t>sharing it</w:t>
      </w:r>
      <w:r w:rsidR="00DF4915">
        <w:t xml:space="preserve"> with another student. The other student became intoxicated in front of </w:t>
      </w:r>
      <w:r w:rsidR="000720F2">
        <w:t xml:space="preserve">several </w:t>
      </w:r>
      <w:r w:rsidR="000E41EA">
        <w:t>classmates</w:t>
      </w:r>
      <w:r w:rsidR="000720F2">
        <w:t>.</w:t>
      </w:r>
      <w:r>
        <w:t xml:space="preserve"> Prior to</w:t>
      </w:r>
      <w:r w:rsidR="00DF4915">
        <w:t xml:space="preserve"> th</w:t>
      </w:r>
      <w:r>
        <w:t>is</w:t>
      </w:r>
      <w:r w:rsidR="00DF4915">
        <w:t xml:space="preserve"> incident,</w:t>
      </w:r>
      <w:r>
        <w:t xml:space="preserve"> there had been various concerns about</w:t>
      </w:r>
      <w:r w:rsidR="00DF4915">
        <w:t xml:space="preserve"> </w:t>
      </w:r>
      <w:r w:rsidR="000B7910">
        <w:t xml:space="preserve">the </w:t>
      </w:r>
      <w:r w:rsidR="00DF4915">
        <w:t xml:space="preserve">student’s behaviour </w:t>
      </w:r>
      <w:r w:rsidR="00871BA2">
        <w:t xml:space="preserve">in class </w:t>
      </w:r>
      <w:r>
        <w:t xml:space="preserve">including swearing, using their phone, </w:t>
      </w:r>
      <w:r w:rsidR="000720F2">
        <w:t>being disruptive,</w:t>
      </w:r>
      <w:r w:rsidR="00DF4915">
        <w:t xml:space="preserve"> </w:t>
      </w:r>
      <w:r>
        <w:t>and unexp</w:t>
      </w:r>
      <w:r w:rsidR="00CF0521">
        <w:t xml:space="preserve">lained absences. The school </w:t>
      </w:r>
      <w:r>
        <w:t xml:space="preserve">asked the </w:t>
      </w:r>
      <w:r w:rsidR="00DF4915">
        <w:t>student to sign a behaviour contract</w:t>
      </w:r>
      <w:r>
        <w:t xml:space="preserve"> and </w:t>
      </w:r>
      <w:r w:rsidR="00CF0521">
        <w:t xml:space="preserve">had </w:t>
      </w:r>
      <w:r>
        <w:t>spoke</w:t>
      </w:r>
      <w:r w:rsidR="00871BA2">
        <w:t>n</w:t>
      </w:r>
      <w:r>
        <w:t xml:space="preserve"> to the</w:t>
      </w:r>
      <w:r w:rsidR="00DF4915">
        <w:t xml:space="preserve"> student</w:t>
      </w:r>
      <w:r w:rsidR="00A86851">
        <w:t>’</w:t>
      </w:r>
      <w:r w:rsidR="00DF4915">
        <w:t>s parents</w:t>
      </w:r>
      <w:r>
        <w:t xml:space="preserve"> on several occasions. </w:t>
      </w:r>
      <w:r w:rsidR="000720F2">
        <w:t xml:space="preserve">As required by the Education and Training Act 2020, the </w:t>
      </w:r>
      <w:r w:rsidR="000C012A">
        <w:t>b</w:t>
      </w:r>
      <w:r w:rsidR="005A66AF">
        <w:t>oard</w:t>
      </w:r>
      <w:r w:rsidR="000720F2">
        <w:t xml:space="preserve"> met to consider the suspension.</w:t>
      </w:r>
      <w:r w:rsidR="000720F2">
        <w:rPr>
          <w:rStyle w:val="FootnoteReference"/>
        </w:rPr>
        <w:footnoteReference w:id="2"/>
      </w:r>
      <w:r w:rsidR="000720F2">
        <w:t xml:space="preserve"> The </w:t>
      </w:r>
      <w:r w:rsidR="000C012A">
        <w:t>b</w:t>
      </w:r>
      <w:r w:rsidR="005A66AF">
        <w:t>oard</w:t>
      </w:r>
      <w:r w:rsidR="000720F2">
        <w:t xml:space="preserve"> then e</w:t>
      </w:r>
      <w:r w:rsidR="0086602F">
        <w:t>xclude</w:t>
      </w:r>
      <w:r>
        <w:t>d</w:t>
      </w:r>
      <w:r w:rsidR="0086602F">
        <w:t xml:space="preserve"> the student from school.</w:t>
      </w:r>
    </w:p>
    <w:bookmarkEnd w:id="0"/>
    <w:p w14:paraId="0EB364C2" w14:textId="77777777" w:rsidR="00E77A82" w:rsidRDefault="000720F2" w:rsidP="00E77A82">
      <w:pPr>
        <w:pStyle w:val="Heading1"/>
      </w:pPr>
      <w:r>
        <w:lastRenderedPageBreak/>
        <w:t>Investigation</w:t>
      </w:r>
    </w:p>
    <w:p w14:paraId="132D10D0" w14:textId="4176F7D8" w:rsidR="00E77A82" w:rsidRDefault="000720F2" w:rsidP="00E77A82">
      <w:pPr>
        <w:pStyle w:val="BodyText"/>
      </w:pPr>
      <w:r>
        <w:t xml:space="preserve">The </w:t>
      </w:r>
      <w:r w:rsidR="0059399F">
        <w:t xml:space="preserve">Chief </w:t>
      </w:r>
      <w:r>
        <w:t xml:space="preserve">Ombudsman investigated whether the </w:t>
      </w:r>
      <w:r w:rsidR="000C012A">
        <w:t>b</w:t>
      </w:r>
      <w:r w:rsidR="005A66AF">
        <w:t>oard</w:t>
      </w:r>
      <w:r>
        <w:t xml:space="preserve"> followed a reasonable process in relation to the suspension hearing, and whether the decision to exclude the student was sound. </w:t>
      </w:r>
    </w:p>
    <w:p w14:paraId="42EAC717" w14:textId="77777777" w:rsidR="000720F2" w:rsidRDefault="00871BA2" w:rsidP="00CB3E6C">
      <w:pPr>
        <w:pStyle w:val="Heading2"/>
      </w:pPr>
      <w:r>
        <w:t>De</w:t>
      </w:r>
      <w:r w:rsidR="00D56BEF">
        <w:t xml:space="preserve">cision to suspend: </w:t>
      </w:r>
      <w:r>
        <w:t>g</w:t>
      </w:r>
      <w:r w:rsidR="000720F2">
        <w:t>ross misconduct</w:t>
      </w:r>
    </w:p>
    <w:p w14:paraId="43E49ACB" w14:textId="567157D5" w:rsidR="00D56BEF" w:rsidRPr="00D56BEF" w:rsidRDefault="004805C0" w:rsidP="00F82A1D">
      <w:r>
        <w:t xml:space="preserve">Sections 78-88 of the </w:t>
      </w:r>
      <w:r w:rsidR="00A86851">
        <w:t xml:space="preserve">Education and Training </w:t>
      </w:r>
      <w:r>
        <w:t xml:space="preserve">Act cover stand-downs, suspensions, exclusions and expulsions. </w:t>
      </w:r>
      <w:r w:rsidR="00D56BEF" w:rsidRPr="00D56BEF">
        <w:rPr>
          <w:rFonts w:eastAsia="Calibri" w:cs="Times New Roman"/>
        </w:rPr>
        <w:t>The</w:t>
      </w:r>
      <w:r w:rsidR="00D56BEF" w:rsidRPr="00A86851">
        <w:rPr>
          <w:rFonts w:eastAsia="Calibri" w:cs="Times New Roman"/>
        </w:rPr>
        <w:t xml:space="preserve"> </w:t>
      </w:r>
      <w:hyperlink r:id="rId8" w:history="1">
        <w:r w:rsidR="00D56BEF" w:rsidRPr="00B4635E">
          <w:rPr>
            <w:rFonts w:eastAsia="Calibri" w:cs="Times New Roman"/>
            <w:color w:val="0D6AB8"/>
            <w:u w:val="single"/>
          </w:rPr>
          <w:t>Education (Stand-Down, Suspension, Exclusion and Expulsion) Rules 1999</w:t>
        </w:r>
      </w:hyperlink>
      <w:r w:rsidR="00D56BEF">
        <w:rPr>
          <w:rFonts w:eastAsia="Calibri" w:cs="Times New Roman"/>
        </w:rPr>
        <w:t xml:space="preserve"> </w:t>
      </w:r>
      <w:r w:rsidR="00D56BEF" w:rsidRPr="00D56BEF">
        <w:rPr>
          <w:rFonts w:eastAsia="Calibri" w:cs="Times New Roman"/>
        </w:rPr>
        <w:t>regulate the practice and process to be followed by b</w:t>
      </w:r>
      <w:r w:rsidR="003A06B6">
        <w:rPr>
          <w:rFonts w:eastAsia="Calibri" w:cs="Times New Roman"/>
        </w:rPr>
        <w:t>oards, principals, students, and</w:t>
      </w:r>
      <w:r w:rsidR="00D56BEF" w:rsidRPr="00D56BEF">
        <w:rPr>
          <w:rFonts w:eastAsia="Calibri" w:cs="Times New Roman"/>
        </w:rPr>
        <w:t xml:space="preserve"> parents (and other persons) concerning school discipline. In addition, the Ministry of Education has issued detailed guidance for school boards about their legal obligations in relation to school discipline.</w:t>
      </w:r>
      <w:r w:rsidR="00D56BEF" w:rsidRPr="00D56BEF">
        <w:rPr>
          <w:rFonts w:eastAsia="Calibri" w:cs="Times New Roman"/>
          <w:vertAlign w:val="superscript"/>
        </w:rPr>
        <w:footnoteReference w:id="3"/>
      </w:r>
      <w:r w:rsidR="00D56BEF" w:rsidRPr="00D56BEF">
        <w:rPr>
          <w:rFonts w:eastAsia="Calibri" w:cs="Times New Roman"/>
        </w:rPr>
        <w:t xml:space="preserve"> </w:t>
      </w:r>
    </w:p>
    <w:p w14:paraId="341324A1" w14:textId="369F230F" w:rsidR="00D56BEF" w:rsidRDefault="000720F2" w:rsidP="00F82A1D">
      <w:pPr>
        <w:pStyle w:val="BodyText"/>
        <w:rPr>
          <w:rFonts w:eastAsia="Calibri" w:cs="Times New Roman"/>
        </w:rPr>
      </w:pPr>
      <w:r>
        <w:t>Section 80(</w:t>
      </w:r>
      <w:r w:rsidR="00C63393">
        <w:t>1)(a) of the Act states that a p</w:t>
      </w:r>
      <w:r>
        <w:t>rincipal can suspend a student if they are satisfied on reasonable grounds that the student</w:t>
      </w:r>
      <w:r w:rsidR="00A86851">
        <w:t>’</w:t>
      </w:r>
      <w:r>
        <w:t xml:space="preserve">s </w:t>
      </w:r>
      <w:r w:rsidR="00B35939">
        <w:t>‘</w:t>
      </w:r>
      <w:r w:rsidRPr="00B35939">
        <w:rPr>
          <w:rStyle w:val="Quotationwithinthesentence"/>
        </w:rPr>
        <w:t>gross misconduct</w:t>
      </w:r>
      <w:r w:rsidR="00B35939">
        <w:rPr>
          <w:rStyle w:val="Quotationwithinthesentence"/>
        </w:rPr>
        <w:t>’</w:t>
      </w:r>
      <w:r w:rsidR="00A86851" w:rsidRPr="00094EB3">
        <w:rPr>
          <w:rStyle w:val="Quotationwithinthesentence"/>
        </w:rPr>
        <w:t xml:space="preserve"> </w:t>
      </w:r>
      <w:r>
        <w:t xml:space="preserve">is a harmful or dangerous example to other students at the school. </w:t>
      </w:r>
      <w:r w:rsidR="00207536" w:rsidRPr="00207536">
        <w:rPr>
          <w:rFonts w:eastAsia="Calibri" w:cs="Times New Roman"/>
        </w:rPr>
        <w:t>Th</w:t>
      </w:r>
      <w:r w:rsidR="00D56BEF">
        <w:rPr>
          <w:rFonts w:eastAsia="Calibri" w:cs="Times New Roman"/>
        </w:rPr>
        <w:t xml:space="preserve">e </w:t>
      </w:r>
      <w:r w:rsidR="000C012A">
        <w:rPr>
          <w:rFonts w:eastAsia="Calibri" w:cs="Times New Roman"/>
        </w:rPr>
        <w:t>b</w:t>
      </w:r>
      <w:r w:rsidR="005A66AF">
        <w:rPr>
          <w:rFonts w:eastAsia="Calibri" w:cs="Times New Roman"/>
        </w:rPr>
        <w:t>oard</w:t>
      </w:r>
      <w:r w:rsidR="00D56BEF">
        <w:rPr>
          <w:rFonts w:eastAsia="Calibri" w:cs="Times New Roman"/>
        </w:rPr>
        <w:t xml:space="preserve"> must then meet within </w:t>
      </w:r>
      <w:r w:rsidR="00207536" w:rsidRPr="00207536">
        <w:rPr>
          <w:rFonts w:eastAsia="Calibri" w:cs="Times New Roman"/>
        </w:rPr>
        <w:t>seven day</w:t>
      </w:r>
      <w:r w:rsidR="00D56BEF">
        <w:rPr>
          <w:rFonts w:eastAsia="Calibri" w:cs="Times New Roman"/>
        </w:rPr>
        <w:t>s</w:t>
      </w:r>
      <w:r w:rsidR="00207536" w:rsidRPr="00207536">
        <w:rPr>
          <w:rFonts w:eastAsia="Calibri" w:cs="Times New Roman"/>
        </w:rPr>
        <w:t xml:space="preserve"> to consider the suspension (section 81(5) of the Act). Under section 81(1)(c) of the Act, if the circumstances of the case </w:t>
      </w:r>
      <w:r w:rsidR="00B35939">
        <w:rPr>
          <w:rFonts w:eastAsia="Calibri" w:cs="Times New Roman"/>
        </w:rPr>
        <w:t>‘</w:t>
      </w:r>
      <w:r w:rsidR="00207536" w:rsidRPr="00094EB3">
        <w:rPr>
          <w:rStyle w:val="Quotationwithinthesentence"/>
        </w:rPr>
        <w:t>justify the most serious response</w:t>
      </w:r>
      <w:r w:rsidR="00B35939">
        <w:rPr>
          <w:rStyle w:val="Quotationwithinthesentence"/>
        </w:rPr>
        <w:t>’</w:t>
      </w:r>
      <w:r w:rsidR="00207536" w:rsidRPr="00207536">
        <w:rPr>
          <w:rFonts w:eastAsia="Calibri" w:cs="Times New Roman"/>
        </w:rPr>
        <w:t xml:space="preserve">, then the </w:t>
      </w:r>
      <w:r w:rsidR="000C012A">
        <w:rPr>
          <w:rFonts w:eastAsia="Calibri" w:cs="Times New Roman"/>
        </w:rPr>
        <w:t>b</w:t>
      </w:r>
      <w:r w:rsidR="005A66AF">
        <w:rPr>
          <w:rFonts w:eastAsia="Calibri" w:cs="Times New Roman"/>
        </w:rPr>
        <w:t>oard</w:t>
      </w:r>
      <w:r w:rsidR="00207536" w:rsidRPr="00207536">
        <w:rPr>
          <w:rFonts w:eastAsia="Calibri" w:cs="Times New Roman"/>
        </w:rPr>
        <w:t xml:space="preserve"> may exclude the student from the school, </w:t>
      </w:r>
      <w:r w:rsidR="00B35939">
        <w:rPr>
          <w:rFonts w:eastAsia="Calibri" w:cs="Times New Roman"/>
        </w:rPr>
        <w:t>which</w:t>
      </w:r>
      <w:r w:rsidR="00B35939" w:rsidRPr="00207536">
        <w:rPr>
          <w:rFonts w:eastAsia="Calibri" w:cs="Times New Roman"/>
        </w:rPr>
        <w:t xml:space="preserve"> </w:t>
      </w:r>
      <w:r w:rsidR="00B35939">
        <w:rPr>
          <w:rFonts w:eastAsia="Calibri" w:cs="Times New Roman"/>
        </w:rPr>
        <w:t>means</w:t>
      </w:r>
      <w:r w:rsidR="00207536" w:rsidRPr="00207536">
        <w:rPr>
          <w:rFonts w:eastAsia="Calibri" w:cs="Times New Roman"/>
        </w:rPr>
        <w:t xml:space="preserve"> the student</w:t>
      </w:r>
      <w:r w:rsidR="00B35939">
        <w:rPr>
          <w:rFonts w:eastAsia="Calibri" w:cs="Times New Roman"/>
        </w:rPr>
        <w:t xml:space="preserve"> needs</w:t>
      </w:r>
      <w:r w:rsidR="00207536" w:rsidRPr="00207536">
        <w:rPr>
          <w:rFonts w:eastAsia="Calibri" w:cs="Times New Roman"/>
        </w:rPr>
        <w:t xml:space="preserve"> to enrol at another school.</w:t>
      </w:r>
      <w:r w:rsidR="00D56BEF">
        <w:rPr>
          <w:rFonts w:eastAsia="Calibri" w:cs="Times New Roman"/>
        </w:rPr>
        <w:t xml:space="preserve"> </w:t>
      </w:r>
    </w:p>
    <w:p w14:paraId="5D7107E2" w14:textId="1B14E44A" w:rsidR="000720F2" w:rsidRDefault="00D56BEF" w:rsidP="000720F2">
      <w:pPr>
        <w:pStyle w:val="BodyText"/>
      </w:pPr>
      <w:r w:rsidRPr="00D56BEF">
        <w:rPr>
          <w:rFonts w:eastAsia="Calibri" w:cs="Times New Roman"/>
        </w:rPr>
        <w:t xml:space="preserve">As noted in the </w:t>
      </w:r>
      <w:r w:rsidR="00756BE1">
        <w:rPr>
          <w:rFonts w:eastAsia="Calibri" w:cs="Times New Roman"/>
        </w:rPr>
        <w:t>m</w:t>
      </w:r>
      <w:r w:rsidRPr="00D56BEF">
        <w:rPr>
          <w:rFonts w:eastAsia="Calibri" w:cs="Times New Roman"/>
        </w:rPr>
        <w:t xml:space="preserve">inistry’s guidance on suspension, the High Court </w:t>
      </w:r>
      <w:r>
        <w:rPr>
          <w:rFonts w:eastAsia="Calibri" w:cs="Times New Roman"/>
        </w:rPr>
        <w:t xml:space="preserve">in </w:t>
      </w:r>
      <w:r w:rsidRPr="00F82A1D">
        <w:rPr>
          <w:rStyle w:val="Italics"/>
        </w:rPr>
        <w:t>M &amp; Anor v S &amp; Board of Trustees of Palmerston North Boys’ High School</w:t>
      </w:r>
      <w:r w:rsidR="00CF0521">
        <w:rPr>
          <w:rFonts w:eastAsia="Calibri" w:cs="Times New Roman"/>
        </w:rPr>
        <w:t xml:space="preserve"> </w:t>
      </w:r>
      <w:r w:rsidRPr="00D56BEF">
        <w:rPr>
          <w:rFonts w:eastAsia="Calibri" w:cs="Times New Roman"/>
        </w:rPr>
        <w:t xml:space="preserve">defined gross misconduct as misconduct that is </w:t>
      </w:r>
      <w:r w:rsidR="00B35939" w:rsidRPr="00094EB3">
        <w:rPr>
          <w:rStyle w:val="Quotationwithinthesentence"/>
        </w:rPr>
        <w:t>‘</w:t>
      </w:r>
      <w:r w:rsidRPr="00094EB3">
        <w:rPr>
          <w:rStyle w:val="Quotationwithinthesentence"/>
        </w:rPr>
        <w:t>striking and reprehensible to a high degree</w:t>
      </w:r>
      <w:r w:rsidR="00B35939" w:rsidRPr="00094EB3">
        <w:rPr>
          <w:rStyle w:val="Quotationwithinthesentence"/>
        </w:rPr>
        <w:t>’</w:t>
      </w:r>
      <w:r w:rsidRPr="00D56BEF">
        <w:rPr>
          <w:rFonts w:eastAsia="Calibri" w:cs="Times New Roman"/>
          <w:i/>
        </w:rPr>
        <w:t>.</w:t>
      </w:r>
      <w:r w:rsidRPr="00D56BEF">
        <w:rPr>
          <w:rFonts w:eastAsia="Calibri" w:cs="Times New Roman"/>
          <w:vertAlign w:val="superscript"/>
        </w:rPr>
        <w:footnoteReference w:id="4"/>
      </w:r>
      <w:r w:rsidRPr="00D56BEF">
        <w:rPr>
          <w:rFonts w:eastAsia="Calibri" w:cs="Times New Roman"/>
        </w:rPr>
        <w:t xml:space="preserve"> </w:t>
      </w:r>
      <w:r w:rsidR="0082171D">
        <w:rPr>
          <w:rFonts w:eastAsia="Calibri" w:cs="Times New Roman"/>
        </w:rPr>
        <w:t>T</w:t>
      </w:r>
      <w:r w:rsidR="004129CC">
        <w:rPr>
          <w:rFonts w:eastAsia="Calibri" w:cs="Times New Roman"/>
        </w:rPr>
        <w:t>he High Court</w:t>
      </w:r>
      <w:r w:rsidR="0082171D">
        <w:rPr>
          <w:rFonts w:eastAsia="Calibri" w:cs="Times New Roman"/>
        </w:rPr>
        <w:t xml:space="preserve"> also</w:t>
      </w:r>
      <w:r w:rsidR="004129CC">
        <w:rPr>
          <w:rFonts w:eastAsia="Calibri" w:cs="Times New Roman"/>
        </w:rPr>
        <w:t xml:space="preserve"> stated</w:t>
      </w:r>
      <w:r>
        <w:rPr>
          <w:rFonts w:eastAsia="Calibri" w:cs="Times New Roman"/>
        </w:rPr>
        <w:t xml:space="preserve"> that </w:t>
      </w:r>
      <w:r w:rsidR="00464768">
        <w:t>breac</w:t>
      </w:r>
      <w:r>
        <w:t>hing</w:t>
      </w:r>
      <w:r w:rsidR="00464768">
        <w:t xml:space="preserve"> school rules</w:t>
      </w:r>
      <w:r>
        <w:t xml:space="preserve">, </w:t>
      </w:r>
      <w:r w:rsidR="00464768">
        <w:t>including alcohol</w:t>
      </w:r>
      <w:r w:rsidR="00A86851">
        <w:t>-</w:t>
      </w:r>
      <w:r w:rsidR="003169E9">
        <w:t>related</w:t>
      </w:r>
      <w:r w:rsidR="00464768">
        <w:t xml:space="preserve"> incidents does not, in itself, meet the statutory requirement for gross misconduct:</w:t>
      </w:r>
    </w:p>
    <w:p w14:paraId="5448494F" w14:textId="025EC129" w:rsidR="000720F2" w:rsidRPr="00B35939" w:rsidRDefault="003169E9" w:rsidP="00B35939">
      <w:pPr>
        <w:pStyle w:val="Quotationseparateparagraph"/>
      </w:pPr>
      <w:r w:rsidRPr="00B35939">
        <w:t>…s</w:t>
      </w:r>
      <w:r w:rsidR="000720F2" w:rsidRPr="00B35939">
        <w:t>chools may have a general policy towards alcohol and drugs but cases of alcohol and drug use must not be resolved automatically in accordance with such policy. Principals and Boards instead must carefully consider all the circumstances of each individual case before deciding whether or not individual alcohol related conduct amounts to gross misconduct. It may be troublesome, but it must be done</w:t>
      </w:r>
      <w:r w:rsidR="00F82A1D" w:rsidRPr="00B35939">
        <w:t>.</w:t>
      </w:r>
      <w:r w:rsidR="00BD5640" w:rsidRPr="00094EB3">
        <w:rPr>
          <w:rStyle w:val="FootnoteReference"/>
          <w:i w:val="0"/>
          <w:color w:val="auto"/>
        </w:rPr>
        <w:footnoteReference w:id="5"/>
      </w:r>
    </w:p>
    <w:p w14:paraId="74313E3A" w14:textId="284A451F" w:rsidR="00CB3E6C" w:rsidRDefault="00464768" w:rsidP="000720F2">
      <w:pPr>
        <w:pStyle w:val="BodyText"/>
      </w:pPr>
      <w:r>
        <w:t xml:space="preserve">The </w:t>
      </w:r>
      <w:r w:rsidR="003169E9">
        <w:t>Ombudsman was satisfied</w:t>
      </w:r>
      <w:r w:rsidR="0082171D">
        <w:t xml:space="preserve"> </w:t>
      </w:r>
      <w:r w:rsidR="00C63393">
        <w:t xml:space="preserve">the </w:t>
      </w:r>
      <w:r w:rsidR="00756BE1">
        <w:t>b</w:t>
      </w:r>
      <w:r w:rsidR="005A66AF">
        <w:t>oard</w:t>
      </w:r>
      <w:r w:rsidR="0082171D">
        <w:t xml:space="preserve"> </w:t>
      </w:r>
      <w:r w:rsidR="001D46A1">
        <w:t>could</w:t>
      </w:r>
      <w:r w:rsidR="0059399F">
        <w:t xml:space="preserve"> </w:t>
      </w:r>
      <w:r w:rsidR="0082171D">
        <w:t>consider</w:t>
      </w:r>
      <w:r>
        <w:t xml:space="preserve"> the incident amounted to </w:t>
      </w:r>
      <w:r w:rsidR="00B35939" w:rsidRPr="00094EB3">
        <w:rPr>
          <w:rStyle w:val="Quotationwithinthesentence"/>
        </w:rPr>
        <w:t>‘</w:t>
      </w:r>
      <w:r w:rsidRPr="00094EB3">
        <w:rPr>
          <w:rStyle w:val="Quotationwithinthesentence"/>
        </w:rPr>
        <w:t>gross misconduct</w:t>
      </w:r>
      <w:r w:rsidR="00B35939" w:rsidRPr="00094EB3">
        <w:rPr>
          <w:rStyle w:val="Quotationwithinthesentence"/>
        </w:rPr>
        <w:t>’</w:t>
      </w:r>
      <w:r w:rsidR="0059399F">
        <w:t>. T</w:t>
      </w:r>
      <w:r>
        <w:t xml:space="preserve">he </w:t>
      </w:r>
      <w:r w:rsidR="006A1EDF">
        <w:t xml:space="preserve">record of the decision confirmed that </w:t>
      </w:r>
      <w:r w:rsidR="003A06B6">
        <w:t xml:space="preserve">the </w:t>
      </w:r>
      <w:r w:rsidR="00756BE1">
        <w:t>b</w:t>
      </w:r>
      <w:r w:rsidR="005A66AF">
        <w:t>oard</w:t>
      </w:r>
      <w:r>
        <w:t xml:space="preserve"> </w:t>
      </w:r>
      <w:r w:rsidR="0059399F">
        <w:t>took into account the</w:t>
      </w:r>
      <w:r>
        <w:t xml:space="preserve"> amount of alcohol involved, </w:t>
      </w:r>
      <w:r w:rsidR="000720F2">
        <w:t>the level of intoxication</w:t>
      </w:r>
      <w:r>
        <w:t xml:space="preserve"> and impairment</w:t>
      </w:r>
      <w:r w:rsidR="000720F2">
        <w:t xml:space="preserve"> of the other student, the dangerous example to other students</w:t>
      </w:r>
      <w:r w:rsidR="00CB3E6C">
        <w:t xml:space="preserve"> who witnessed the incident</w:t>
      </w:r>
      <w:r>
        <w:t>, and that there were potentially unlawful elements</w:t>
      </w:r>
      <w:r w:rsidR="0059399F">
        <w:t xml:space="preserve"> to what occurred</w:t>
      </w:r>
      <w:r w:rsidR="000720F2">
        <w:t xml:space="preserve">. </w:t>
      </w:r>
      <w:r w:rsidR="0059399F">
        <w:t>T</w:t>
      </w:r>
      <w:r w:rsidR="0059399F" w:rsidRPr="0059399F">
        <w:t>he fact that it wa</w:t>
      </w:r>
      <w:r w:rsidR="0059399F">
        <w:t>s a breach of school rules was only one</w:t>
      </w:r>
      <w:r w:rsidR="0059399F" w:rsidRPr="0059399F">
        <w:t xml:space="preserve"> factor the </w:t>
      </w:r>
      <w:r w:rsidR="00756BE1">
        <w:t>b</w:t>
      </w:r>
      <w:r w:rsidR="005A66AF">
        <w:t>oard</w:t>
      </w:r>
      <w:r w:rsidR="0059399F" w:rsidRPr="0059399F">
        <w:t xml:space="preserve"> took into account. </w:t>
      </w:r>
      <w:r w:rsidR="0059399F">
        <w:t xml:space="preserve">However, the Ombudsman was not satisfied that the </w:t>
      </w:r>
      <w:r w:rsidR="00756BE1">
        <w:t>b</w:t>
      </w:r>
      <w:r w:rsidR="005A66AF">
        <w:t>oard</w:t>
      </w:r>
      <w:r w:rsidR="0059399F">
        <w:t xml:space="preserve"> took all the relevant circumstances into account in </w:t>
      </w:r>
      <w:r w:rsidR="003A06B6">
        <w:t xml:space="preserve">its </w:t>
      </w:r>
      <w:r w:rsidR="0059399F">
        <w:t xml:space="preserve">decision to </w:t>
      </w:r>
      <w:r w:rsidR="0032736A">
        <w:t>exclude the student.</w:t>
      </w:r>
    </w:p>
    <w:p w14:paraId="202D31CE" w14:textId="77777777" w:rsidR="000720F2" w:rsidRPr="000720F2" w:rsidRDefault="000720F2" w:rsidP="00CB3E6C">
      <w:pPr>
        <w:pStyle w:val="Heading2"/>
      </w:pPr>
      <w:r>
        <w:t>D</w:t>
      </w:r>
      <w:r w:rsidR="0059399F">
        <w:t>ecision to exclude</w:t>
      </w:r>
      <w:r w:rsidR="004E6CE2">
        <w:t xml:space="preserve"> student </w:t>
      </w:r>
    </w:p>
    <w:p w14:paraId="00DC73B2" w14:textId="4F6ED050" w:rsidR="00CB3E6C" w:rsidRDefault="00DA05BD" w:rsidP="00CB3E6C">
      <w:pPr>
        <w:pStyle w:val="BodyText"/>
      </w:pPr>
      <w:r>
        <w:t>Section 81 of the Act provides</w:t>
      </w:r>
      <w:r w:rsidR="00CB3E6C" w:rsidRPr="00CC53FD">
        <w:t xml:space="preserve"> three opti</w:t>
      </w:r>
      <w:r>
        <w:t>ons for</w:t>
      </w:r>
      <w:r w:rsidR="00CB3E6C" w:rsidRPr="00CC53FD">
        <w:t xml:space="preserve"> </w:t>
      </w:r>
      <w:r w:rsidR="001D46A1">
        <w:t xml:space="preserve">school </w:t>
      </w:r>
      <w:r w:rsidR="009266E4">
        <w:t>b</w:t>
      </w:r>
      <w:r w:rsidR="00E87FAA">
        <w:t>oards</w:t>
      </w:r>
      <w:r w:rsidR="00CB3E6C" w:rsidRPr="00CC53FD">
        <w:t xml:space="preserve"> when considering the appropriate disciplinary response:</w:t>
      </w:r>
    </w:p>
    <w:p w14:paraId="244F2E8F" w14:textId="77777777" w:rsidR="00CB3E6C" w:rsidRDefault="00CB3E6C" w:rsidP="00CB3E6C">
      <w:pPr>
        <w:pStyle w:val="Bullet1"/>
      </w:pPr>
      <w:r>
        <w:t>lift the suspension before it expires, either unconditionally or subject to</w:t>
      </w:r>
      <w:r w:rsidR="00C63393">
        <w:t xml:space="preserve"> any reasonable conditions the b</w:t>
      </w:r>
      <w:r>
        <w:t xml:space="preserve">oard wants to make; </w:t>
      </w:r>
    </w:p>
    <w:p w14:paraId="0CB9F4F4" w14:textId="1B7D7DE8" w:rsidR="009366E1" w:rsidRDefault="00CB3E6C" w:rsidP="00CB3E6C">
      <w:pPr>
        <w:pStyle w:val="Bullet1"/>
      </w:pPr>
      <w:r>
        <w:t>extend the suspension conditionally for a reasonable period determined</w:t>
      </w:r>
      <w:r w:rsidR="00C63393">
        <w:t xml:space="preserve"> by the b</w:t>
      </w:r>
      <w:r>
        <w:t xml:space="preserve">oard when extending the suspension; and </w:t>
      </w:r>
    </w:p>
    <w:p w14:paraId="54F6DAD1" w14:textId="3853FB0F" w:rsidR="00E87FAA" w:rsidRDefault="00CB3E6C">
      <w:pPr>
        <w:pStyle w:val="Bullet1"/>
      </w:pPr>
      <w:r>
        <w:t xml:space="preserve">if the circumstances of the case justify </w:t>
      </w:r>
      <w:r w:rsidR="00C63393">
        <w:t>the most serious response, the b</w:t>
      </w:r>
      <w:r>
        <w:t xml:space="preserve">oard may exclude the student from the school by extending the suspension and requiring the student to be enrolled at another school. </w:t>
      </w:r>
    </w:p>
    <w:p w14:paraId="08E50236" w14:textId="6E1AF62B" w:rsidR="008308C2" w:rsidRDefault="00E87FAA" w:rsidP="00CB3E6C">
      <w:pPr>
        <w:pStyle w:val="BodyText"/>
      </w:pPr>
      <w:r>
        <w:t xml:space="preserve">The </w:t>
      </w:r>
      <w:r w:rsidR="00A86851" w:rsidRPr="00A86851">
        <w:t xml:space="preserve">Education (Stand-Down, Suspension, Exclusion and Expulsion) </w:t>
      </w:r>
      <w:r w:rsidR="008E17DE">
        <w:t>Rules specifically require</w:t>
      </w:r>
      <w:r>
        <w:t xml:space="preserve"> boards to consider each </w:t>
      </w:r>
      <w:r w:rsidR="004F338E">
        <w:t xml:space="preserve">circumstance relevant to the suspension </w:t>
      </w:r>
      <w:r w:rsidR="00137DB7">
        <w:t xml:space="preserve">(clause 17(1)(a)) </w:t>
      </w:r>
      <w:r w:rsidR="004F338E">
        <w:t xml:space="preserve">and each </w:t>
      </w:r>
      <w:r>
        <w:t xml:space="preserve">of the statutory </w:t>
      </w:r>
      <w:r w:rsidR="004F338E">
        <w:t>options (clause 17(1)</w:t>
      </w:r>
      <w:r w:rsidR="00137DB7">
        <w:t>(b)</w:t>
      </w:r>
      <w:r w:rsidR="004F338E">
        <w:t>). Th</w:t>
      </w:r>
      <w:r w:rsidR="00137DB7">
        <w:t>e</w:t>
      </w:r>
      <w:r w:rsidR="00A86851">
        <w:t xml:space="preserve"> rules </w:t>
      </w:r>
      <w:r w:rsidR="004F338E">
        <w:t xml:space="preserve">also require the board </w:t>
      </w:r>
      <w:r w:rsidR="009366E1">
        <w:t>to</w:t>
      </w:r>
      <w:r w:rsidR="004F338E">
        <w:t xml:space="preserve"> record </w:t>
      </w:r>
      <w:r w:rsidR="009366E1">
        <w:t>the</w:t>
      </w:r>
      <w:r w:rsidR="004F338E">
        <w:t xml:space="preserve"> deliberation in writing (clause 17(4)</w:t>
      </w:r>
      <w:r w:rsidR="009366E1">
        <w:t>)</w:t>
      </w:r>
      <w:r w:rsidR="004F338E">
        <w:t xml:space="preserve">. </w:t>
      </w:r>
    </w:p>
    <w:p w14:paraId="1D355F87" w14:textId="54C17E36" w:rsidR="00CB3E6C" w:rsidRPr="00F82A1D" w:rsidRDefault="00CB3E6C" w:rsidP="00CB3E6C">
      <w:pPr>
        <w:pStyle w:val="BodyText"/>
      </w:pPr>
      <w:r w:rsidRPr="00BA2A42">
        <w:t xml:space="preserve">The </w:t>
      </w:r>
      <w:r w:rsidR="00756BE1">
        <w:t>m</w:t>
      </w:r>
      <w:r w:rsidRPr="00BA2A42">
        <w:t>inistry</w:t>
      </w:r>
      <w:r>
        <w:t xml:space="preserve">’s </w:t>
      </w:r>
      <w:r w:rsidRPr="00BA2A42">
        <w:t xml:space="preserve">guidelines </w:t>
      </w:r>
      <w:r w:rsidR="004F338E">
        <w:t xml:space="preserve">note that </w:t>
      </w:r>
      <w:r w:rsidR="00137DB7">
        <w:t>making a decision</w:t>
      </w:r>
      <w:r w:rsidR="004F338E">
        <w:t xml:space="preserve"> requires </w:t>
      </w:r>
      <w:r w:rsidR="009266E4">
        <w:t>boards</w:t>
      </w:r>
      <w:r w:rsidR="004F338E">
        <w:t xml:space="preserve"> to undertake a balancing exercise that includes</w:t>
      </w:r>
      <w:r w:rsidR="008308C2">
        <w:t xml:space="preserve"> </w:t>
      </w:r>
      <w:r w:rsidR="004F338E">
        <w:t xml:space="preserve">all the relevant circumstances. </w:t>
      </w:r>
      <w:r w:rsidR="008308C2">
        <w:t>This includes consideration of the statutory criteria and the student’s individual circumstances, before determining what further action is appropriate. In terms of recording the decision, t</w:t>
      </w:r>
      <w:r w:rsidR="004F338E">
        <w:t>he</w:t>
      </w:r>
      <w:r>
        <w:t xml:space="preserve"> guidelines </w:t>
      </w:r>
      <w:r w:rsidR="004F338E">
        <w:t>state</w:t>
      </w:r>
      <w:r>
        <w:t>:</w:t>
      </w:r>
    </w:p>
    <w:p w14:paraId="239E86E0" w14:textId="5B43EFD4" w:rsidR="00CB3E6C" w:rsidRPr="00B35939" w:rsidRDefault="00CB3E6C" w:rsidP="00B35939">
      <w:pPr>
        <w:pStyle w:val="Quotationseparateparagraph"/>
      </w:pPr>
      <w:r w:rsidRPr="00B35939">
        <w:t xml:space="preserve">You must record your decision, and the reasons for it, in writing. You must </w:t>
      </w:r>
      <w:r w:rsidRPr="00094EB3">
        <w:rPr>
          <w:rStyle w:val="EmphasisItalics"/>
          <w:i/>
        </w:rPr>
        <w:t>explicitly</w:t>
      </w:r>
      <w:r w:rsidRPr="00094EB3">
        <w:rPr>
          <w:rStyle w:val="Emphasis"/>
          <w:i w:val="0"/>
          <w:color w:val="auto"/>
        </w:rPr>
        <w:t xml:space="preserve"> </w:t>
      </w:r>
      <w:r w:rsidRPr="00B35939">
        <w:t>consider each option open to you. Your records need to be complete. There should be enough information in the report to show that you turned your mind to the criteria you had to apply. Document why you made the decision and how you arrived at the decision</w:t>
      </w:r>
      <w:r w:rsidR="00B35939">
        <w:t>.</w:t>
      </w:r>
      <w:r w:rsidRPr="00B35939">
        <w:t xml:space="preserve"> [</w:t>
      </w:r>
      <w:r w:rsidR="00B35939">
        <w:t>E</w:t>
      </w:r>
      <w:r w:rsidRPr="00B35939">
        <w:t>mphasis added].</w:t>
      </w:r>
      <w:r w:rsidR="004F338E" w:rsidRPr="00094EB3">
        <w:rPr>
          <w:rStyle w:val="FootnoteReference"/>
          <w:color w:val="auto"/>
        </w:rPr>
        <w:footnoteReference w:id="6"/>
      </w:r>
    </w:p>
    <w:p w14:paraId="73EC3D9D" w14:textId="20FDAAE7" w:rsidR="00137DB7" w:rsidRPr="00137DB7" w:rsidRDefault="00473598" w:rsidP="00137DB7">
      <w:pPr>
        <w:pStyle w:val="BodyText"/>
      </w:pPr>
      <w:r w:rsidRPr="00473598">
        <w:t>The O</w:t>
      </w:r>
      <w:r>
        <w:t xml:space="preserve">mbudsman relied on the </w:t>
      </w:r>
      <w:r w:rsidR="00756BE1">
        <w:t>b</w:t>
      </w:r>
      <w:r>
        <w:t xml:space="preserve">oard’s record of its decision-making </w:t>
      </w:r>
      <w:r w:rsidRPr="00473598">
        <w:t>to assess whether th</w:t>
      </w:r>
      <w:r w:rsidR="00756BE1">
        <w:t>e b</w:t>
      </w:r>
      <w:r w:rsidR="00137DB7">
        <w:t xml:space="preserve">oard fulfilled its </w:t>
      </w:r>
      <w:r w:rsidR="006064FD">
        <w:t xml:space="preserve">statutory </w:t>
      </w:r>
      <w:r w:rsidRPr="00473598">
        <w:t>obligat</w:t>
      </w:r>
      <w:r w:rsidR="006064FD">
        <w:t>ions</w:t>
      </w:r>
      <w:r w:rsidRPr="00473598">
        <w:t>.</w:t>
      </w:r>
      <w:r w:rsidR="004D1E4D">
        <w:t xml:space="preserve"> </w:t>
      </w:r>
      <w:r w:rsidR="00137DB7" w:rsidRPr="00137DB7">
        <w:t xml:space="preserve">There were two key reasons </w:t>
      </w:r>
      <w:r w:rsidR="00137DB7">
        <w:t xml:space="preserve">recorded </w:t>
      </w:r>
      <w:r w:rsidR="00137DB7" w:rsidRPr="00137DB7">
        <w:t>(other than the f</w:t>
      </w:r>
      <w:r w:rsidR="00137DB7">
        <w:t>inding of gross misconduct) for why</w:t>
      </w:r>
      <w:r w:rsidR="00756BE1">
        <w:t xml:space="preserve"> the b</w:t>
      </w:r>
      <w:r w:rsidR="00137DB7" w:rsidRPr="00137DB7">
        <w:t xml:space="preserve">oard decided </w:t>
      </w:r>
      <w:r w:rsidR="00137DB7">
        <w:t>to exclude the student</w:t>
      </w:r>
      <w:r w:rsidR="00137DB7" w:rsidRPr="00137DB7">
        <w:t>:</w:t>
      </w:r>
    </w:p>
    <w:p w14:paraId="001371F3" w14:textId="7F6B34A8" w:rsidR="00A65DE6" w:rsidRPr="00A65DE6" w:rsidRDefault="00A65DE6" w:rsidP="00A65DE6">
      <w:pPr>
        <w:pStyle w:val="BodyText"/>
        <w:numPr>
          <w:ilvl w:val="0"/>
          <w:numId w:val="11"/>
        </w:numPr>
      </w:pPr>
      <w:r w:rsidRPr="00A65DE6">
        <w:t>the student did no</w:t>
      </w:r>
      <w:r>
        <w:t xml:space="preserve">t show a commitment to changing; and </w:t>
      </w:r>
      <w:r w:rsidRPr="00A65DE6">
        <w:t xml:space="preserve"> </w:t>
      </w:r>
    </w:p>
    <w:p w14:paraId="4904ADC4" w14:textId="61B498BD" w:rsidR="00137DB7" w:rsidRPr="00137DB7" w:rsidRDefault="00137DB7" w:rsidP="00137DB7">
      <w:pPr>
        <w:pStyle w:val="BodyText"/>
        <w:numPr>
          <w:ilvl w:val="0"/>
          <w:numId w:val="11"/>
        </w:numPr>
      </w:pPr>
      <w:r w:rsidRPr="00137DB7">
        <w:t>staff and students would not be sa</w:t>
      </w:r>
      <w:r w:rsidR="00A65DE6">
        <w:t>fe if the student returned.</w:t>
      </w:r>
    </w:p>
    <w:p w14:paraId="697A7185" w14:textId="5EDF0CC8" w:rsidR="00E36216" w:rsidRDefault="00A70AF7" w:rsidP="00412961">
      <w:pPr>
        <w:pStyle w:val="BodyText"/>
      </w:pPr>
      <w:r>
        <w:t xml:space="preserve">Given the </w:t>
      </w:r>
      <w:r w:rsidR="006E7E41">
        <w:t>available</w:t>
      </w:r>
      <w:r w:rsidR="00137DB7">
        <w:t xml:space="preserve"> </w:t>
      </w:r>
      <w:r>
        <w:t>record, t</w:t>
      </w:r>
      <w:r w:rsidR="004D1981">
        <w:t>he</w:t>
      </w:r>
      <w:r w:rsidR="004D1981" w:rsidRPr="004D1981">
        <w:t xml:space="preserve"> Ombudsman was </w:t>
      </w:r>
      <w:r w:rsidR="0086039E">
        <w:t xml:space="preserve">not satisfied that the </w:t>
      </w:r>
      <w:r w:rsidR="00756BE1">
        <w:t>b</w:t>
      </w:r>
      <w:r w:rsidR="005A66AF">
        <w:t>oard</w:t>
      </w:r>
      <w:r w:rsidR="0086039E">
        <w:t xml:space="preserve"> properly </w:t>
      </w:r>
      <w:r w:rsidR="004D1981" w:rsidRPr="004D1981">
        <w:t>considered each circumstance relevant to the suspensi</w:t>
      </w:r>
      <w:r w:rsidR="0086039E">
        <w:t xml:space="preserve">on, </w:t>
      </w:r>
      <w:r w:rsidR="006E7E41">
        <w:t xml:space="preserve">or gave proper consideration to the three alternative options. </w:t>
      </w:r>
    </w:p>
    <w:p w14:paraId="6E17CDBA" w14:textId="06AA6835" w:rsidR="00E36216" w:rsidRDefault="006E7E41" w:rsidP="00412961">
      <w:pPr>
        <w:pStyle w:val="BodyText"/>
      </w:pPr>
      <w:r>
        <w:t>For example</w:t>
      </w:r>
      <w:r w:rsidR="0032736A">
        <w:t xml:space="preserve">, it was unclear how the </w:t>
      </w:r>
      <w:r w:rsidR="00756BE1">
        <w:t>b</w:t>
      </w:r>
      <w:r w:rsidR="005A66AF">
        <w:t>oard</w:t>
      </w:r>
      <w:r w:rsidR="0086039E">
        <w:t xml:space="preserve"> came to the view that the student did not show a real commitment to change, given the available information. </w:t>
      </w:r>
      <w:r w:rsidR="00E36216">
        <w:t>The student’s records</w:t>
      </w:r>
      <w:r w:rsidR="00E36216" w:rsidRPr="00E36216">
        <w:t xml:space="preserve"> </w:t>
      </w:r>
      <w:r w:rsidR="00E36216">
        <w:t>suggest that the</w:t>
      </w:r>
      <w:r w:rsidR="00E36216" w:rsidRPr="00E36216">
        <w:t xml:space="preserve"> student took accountability for their actions and was remorseful. The Dean’s report demonstrated the student had shown behavioural improvements over the c</w:t>
      </w:r>
      <w:r w:rsidR="00E36216">
        <w:t>ourse of the term. However, there was nothing to suggest that</w:t>
      </w:r>
      <w:r w:rsidR="00E36216" w:rsidRPr="00E36216">
        <w:t xml:space="preserve"> the </w:t>
      </w:r>
      <w:r w:rsidR="00756BE1">
        <w:t>b</w:t>
      </w:r>
      <w:r w:rsidR="00E36216" w:rsidRPr="00E36216">
        <w:t>oard took the</w:t>
      </w:r>
      <w:r w:rsidR="00E36216">
        <w:t>se</w:t>
      </w:r>
      <w:r w:rsidR="00E36216" w:rsidRPr="00E36216">
        <w:t xml:space="preserve"> positive aspects into account or that it balanced this information against other factors.</w:t>
      </w:r>
    </w:p>
    <w:p w14:paraId="59D86769" w14:textId="13F2B4B4" w:rsidR="00E36216" w:rsidRDefault="00B35939" w:rsidP="00412961">
      <w:pPr>
        <w:pStyle w:val="BodyText"/>
      </w:pPr>
      <w:r>
        <w:t xml:space="preserve">It was also not </w:t>
      </w:r>
      <w:r w:rsidR="0086039E">
        <w:t xml:space="preserve">clear </w:t>
      </w:r>
      <w:r w:rsidR="00996C2C">
        <w:t xml:space="preserve">from the record </w:t>
      </w:r>
      <w:r w:rsidR="0086039E">
        <w:t xml:space="preserve">why </w:t>
      </w:r>
      <w:r w:rsidR="0032736A">
        <w:t xml:space="preserve">the </w:t>
      </w:r>
      <w:r w:rsidR="00756BE1">
        <w:t>b</w:t>
      </w:r>
      <w:r w:rsidR="005A66AF">
        <w:t>oard</w:t>
      </w:r>
      <w:r w:rsidR="0086039E" w:rsidRPr="0086039E">
        <w:t xml:space="preserve"> reached the conc</w:t>
      </w:r>
      <w:r w:rsidR="0054178D">
        <w:t xml:space="preserve">lusion that the student posed an ongoing </w:t>
      </w:r>
      <w:r w:rsidR="0086039E" w:rsidRPr="0086039E">
        <w:t>safety risk</w:t>
      </w:r>
      <w:r w:rsidR="0086039E">
        <w:t xml:space="preserve"> to other students. </w:t>
      </w:r>
      <w:r w:rsidR="00137DB7" w:rsidRPr="00137DB7">
        <w:t xml:space="preserve">There was no record of the student previously causing injury or threatening to harm anyone, </w:t>
      </w:r>
      <w:r w:rsidR="001D46A1">
        <w:t>making it unsafe for</w:t>
      </w:r>
      <w:r w:rsidR="00137DB7" w:rsidRPr="00137DB7">
        <w:t xml:space="preserve"> students and staff</w:t>
      </w:r>
      <w:r w:rsidR="005E77D5">
        <w:t xml:space="preserve">. </w:t>
      </w:r>
      <w:r w:rsidR="0032736A">
        <w:t xml:space="preserve">The </w:t>
      </w:r>
      <w:r w:rsidR="00756BE1">
        <w:t>b</w:t>
      </w:r>
      <w:r w:rsidR="005A66AF">
        <w:t>oard</w:t>
      </w:r>
      <w:r w:rsidR="00996C2C">
        <w:t xml:space="preserve"> subsequently advised the Ombudsman that it</w:t>
      </w:r>
      <w:r w:rsidR="00AE07CE">
        <w:t xml:space="preserve"> had</w:t>
      </w:r>
      <w:r w:rsidR="00996C2C">
        <w:t xml:space="preserve"> relied on a comment </w:t>
      </w:r>
      <w:r w:rsidR="00C63393">
        <w:t>made by staff</w:t>
      </w:r>
      <w:r w:rsidR="00BC3EF5">
        <w:t xml:space="preserve"> that teachers</w:t>
      </w:r>
      <w:r w:rsidR="00E36216">
        <w:t xml:space="preserve"> felt u</w:t>
      </w:r>
      <w:r w:rsidR="00BC3EF5">
        <w:t>nsafe around the student when the student became upset</w:t>
      </w:r>
      <w:r w:rsidR="00E36216">
        <w:t xml:space="preserve">. </w:t>
      </w:r>
      <w:r w:rsidR="00E36216" w:rsidRPr="00E36216">
        <w:t>The Ombudsman was concerned the comment was vague and did not contain any information about the particular behaviour at issue</w:t>
      </w:r>
      <w:r w:rsidR="00E36216">
        <w:t xml:space="preserve">. Although </w:t>
      </w:r>
      <w:r w:rsidR="00307C30">
        <w:t xml:space="preserve">the </w:t>
      </w:r>
      <w:r w:rsidR="00E36216">
        <w:t>Ombudsman acknowledged the importance of teachers</w:t>
      </w:r>
      <w:r w:rsidR="00E36216" w:rsidRPr="00E36216">
        <w:t xml:space="preserve"> feel</w:t>
      </w:r>
      <w:r w:rsidR="00E36216">
        <w:t>ing</w:t>
      </w:r>
      <w:r w:rsidR="00E36216" w:rsidRPr="00E36216">
        <w:t xml:space="preserve"> safe, in the disciplinary context</w:t>
      </w:r>
      <w:r w:rsidR="001D46A1">
        <w:t>,</w:t>
      </w:r>
      <w:r w:rsidR="00E36216" w:rsidRPr="00E36216">
        <w:t xml:space="preserve"> there must be some objective basis or identifiable behaviour to justify such a conclusion. The Ombudsman did not consider there was sufficient information in this case</w:t>
      </w:r>
      <w:r w:rsidR="00E36216">
        <w:t xml:space="preserve"> to support such a finding</w:t>
      </w:r>
      <w:r w:rsidR="00996C2C">
        <w:t>.</w:t>
      </w:r>
      <w:r w:rsidR="008308C2">
        <w:rPr>
          <w:rStyle w:val="FootnoteReference"/>
        </w:rPr>
        <w:footnoteReference w:id="7"/>
      </w:r>
      <w:r w:rsidR="00996C2C">
        <w:t xml:space="preserve"> </w:t>
      </w:r>
    </w:p>
    <w:p w14:paraId="5A2091DC" w14:textId="216F7349" w:rsidR="008308C2" w:rsidRDefault="008308C2" w:rsidP="00412961">
      <w:pPr>
        <w:pStyle w:val="BodyText"/>
      </w:pPr>
      <w:r w:rsidRPr="008308C2">
        <w:t>The Ombudsman</w:t>
      </w:r>
      <w:r>
        <w:t xml:space="preserve"> </w:t>
      </w:r>
      <w:r w:rsidR="006E7E41">
        <w:t xml:space="preserve">also </w:t>
      </w:r>
      <w:r>
        <w:t>understood</w:t>
      </w:r>
      <w:r w:rsidR="00756BE1">
        <w:t xml:space="preserve"> that the b</w:t>
      </w:r>
      <w:r w:rsidRPr="008308C2">
        <w:t xml:space="preserve">oard refused to consider information the </w:t>
      </w:r>
      <w:r>
        <w:t>student put forward</w:t>
      </w:r>
      <w:r w:rsidRPr="008308C2">
        <w:t xml:space="preserve"> about potential trauma </w:t>
      </w:r>
      <w:r w:rsidR="007C66A8">
        <w:t>they were</w:t>
      </w:r>
      <w:r w:rsidRPr="008308C2">
        <w:t xml:space="preserve"> experiencing. The Ombudsman was concerned that the </w:t>
      </w:r>
      <w:r w:rsidR="00756BE1">
        <w:t>b</w:t>
      </w:r>
      <w:r w:rsidRPr="008308C2">
        <w:t xml:space="preserve">oard labelled this information as an </w:t>
      </w:r>
      <w:r w:rsidRPr="008308C2">
        <w:rPr>
          <w:i/>
        </w:rPr>
        <w:t>‘</w:t>
      </w:r>
      <w:r w:rsidRPr="00756BE1">
        <w:t>excuse</w:t>
      </w:r>
      <w:r w:rsidRPr="008308C2">
        <w:rPr>
          <w:i/>
        </w:rPr>
        <w:t>’</w:t>
      </w:r>
      <w:r w:rsidRPr="008308C2">
        <w:t xml:space="preserve"> and a distraction rather than considering whether the information provided a genuine explanation for the student’s behaviour. The Ombuds</w:t>
      </w:r>
      <w:r w:rsidR="00756BE1">
        <w:t>man was not confident that the b</w:t>
      </w:r>
      <w:r w:rsidRPr="008308C2">
        <w:t xml:space="preserve">oard had assessed all the available information objectively. </w:t>
      </w:r>
    </w:p>
    <w:p w14:paraId="45D7BE44" w14:textId="7AEB58CB" w:rsidR="008308C2" w:rsidRDefault="008308C2" w:rsidP="00412961">
      <w:pPr>
        <w:pStyle w:val="BodyText"/>
      </w:pPr>
      <w:r w:rsidRPr="008308C2">
        <w:t xml:space="preserve">In terms of the two </w:t>
      </w:r>
      <w:r w:rsidRPr="00756BE1">
        <w:rPr>
          <w:rStyle w:val="Italics"/>
          <w:i w:val="0"/>
        </w:rPr>
        <w:t>other</w:t>
      </w:r>
      <w:r w:rsidRPr="008308C2">
        <w:t xml:space="preserve"> options (extending or lifting the suspension</w:t>
      </w:r>
      <w:r w:rsidR="006E7E41">
        <w:t xml:space="preserve"> rather than exclusion</w:t>
      </w:r>
      <w:r w:rsidRPr="008308C2">
        <w:t xml:space="preserve">), the records simply stated that the </w:t>
      </w:r>
      <w:r w:rsidR="00756BE1">
        <w:t>b</w:t>
      </w:r>
      <w:r w:rsidRPr="008308C2">
        <w:t xml:space="preserve">oard </w:t>
      </w:r>
      <w:r w:rsidR="007C66A8">
        <w:t>‘</w:t>
      </w:r>
      <w:r w:rsidRPr="004D18B7">
        <w:rPr>
          <w:rStyle w:val="Italics"/>
        </w:rPr>
        <w:t>considered the other disciplinary options</w:t>
      </w:r>
      <w:r w:rsidR="00756BE1">
        <w:rPr>
          <w:rStyle w:val="Italics"/>
        </w:rPr>
        <w:t>’</w:t>
      </w:r>
      <w:r w:rsidR="007C66A8">
        <w:t xml:space="preserve">. </w:t>
      </w:r>
      <w:r w:rsidRPr="008308C2">
        <w:t xml:space="preserve">Based on this general statement, the Ombudsman was not satisfied the </w:t>
      </w:r>
      <w:r w:rsidR="00756BE1">
        <w:t>b</w:t>
      </w:r>
      <w:r w:rsidRPr="008308C2">
        <w:t xml:space="preserve">oard explicitly considered each statutory option available to it. There was no explanation of why the other two disciplinary options </w:t>
      </w:r>
      <w:r w:rsidR="001B6BB9">
        <w:t>were discounted.</w:t>
      </w:r>
    </w:p>
    <w:p w14:paraId="4989A4FC" w14:textId="0CDF3B27" w:rsidR="000E5CCF" w:rsidRDefault="00996C2C" w:rsidP="00CB3E6C">
      <w:pPr>
        <w:pStyle w:val="BodyText"/>
      </w:pPr>
      <w:r>
        <w:t>Overall</w:t>
      </w:r>
      <w:r w:rsidR="0086039E">
        <w:t xml:space="preserve">, </w:t>
      </w:r>
      <w:r w:rsidR="006E7E41">
        <w:t>while the fin</w:t>
      </w:r>
      <w:r w:rsidR="00BC42D8">
        <w:t>d</w:t>
      </w:r>
      <w:r w:rsidR="006E7E41">
        <w:t xml:space="preserve">ing of gross misconduct was justified, </w:t>
      </w:r>
      <w:r w:rsidR="0086039E">
        <w:t>the</w:t>
      </w:r>
      <w:r w:rsidR="00C63393">
        <w:t xml:space="preserve"> Ombudsman considered the </w:t>
      </w:r>
      <w:r w:rsidR="00756BE1">
        <w:t>b</w:t>
      </w:r>
      <w:r w:rsidR="005A66AF">
        <w:t>oard</w:t>
      </w:r>
      <w:r w:rsidR="0086039E">
        <w:t xml:space="preserve"> omitted to consider the</w:t>
      </w:r>
      <w:r w:rsidR="0086039E" w:rsidRPr="0086039E">
        <w:t xml:space="preserve"> wider context </w:t>
      </w:r>
      <w:r w:rsidR="001D46A1">
        <w:t>of</w:t>
      </w:r>
      <w:r w:rsidR="0086039E" w:rsidRPr="0086039E">
        <w:t xml:space="preserve"> the student’s behaviour</w:t>
      </w:r>
      <w:r w:rsidR="005709F7">
        <w:t xml:space="preserve"> and did not consider w</w:t>
      </w:r>
      <w:r w:rsidR="00C63393">
        <w:t xml:space="preserve">hether there was more that the </w:t>
      </w:r>
      <w:r w:rsidR="00756BE1">
        <w:t>b</w:t>
      </w:r>
      <w:r w:rsidR="005A66AF">
        <w:t>oard</w:t>
      </w:r>
      <w:r w:rsidR="005709F7">
        <w:t xml:space="preserve"> could have done to support the student.</w:t>
      </w:r>
      <w:r w:rsidR="005709F7">
        <w:rPr>
          <w:rStyle w:val="FootnoteReference"/>
        </w:rPr>
        <w:footnoteReference w:id="8"/>
      </w:r>
      <w:r w:rsidR="005709F7">
        <w:t xml:space="preserve"> </w:t>
      </w:r>
      <w:r>
        <w:t>There was</w:t>
      </w:r>
      <w:r w:rsidR="0086039E">
        <w:t xml:space="preserve"> no clear i</w:t>
      </w:r>
      <w:r w:rsidR="00C63393">
        <w:t xml:space="preserve">nformation to confirm that the </w:t>
      </w:r>
      <w:r w:rsidR="00756BE1">
        <w:t>b</w:t>
      </w:r>
      <w:r w:rsidR="005A66AF">
        <w:t>oard</w:t>
      </w:r>
      <w:r w:rsidR="0086039E">
        <w:t xml:space="preserve"> had undertaken the required balancing </w:t>
      </w:r>
      <w:r>
        <w:t xml:space="preserve">exercise </w:t>
      </w:r>
      <w:r w:rsidR="0086039E">
        <w:t xml:space="preserve">when </w:t>
      </w:r>
      <w:r w:rsidR="001D46A1">
        <w:t>reaching</w:t>
      </w:r>
      <w:r w:rsidR="0086039E">
        <w:t xml:space="preserve"> its decision. </w:t>
      </w:r>
      <w:r w:rsidR="00741B2D">
        <w:t>The Ombudsman emphasised</w:t>
      </w:r>
      <w:r w:rsidR="00C41B33">
        <w:t xml:space="preserve"> </w:t>
      </w:r>
      <w:r w:rsidR="004D1981">
        <w:t xml:space="preserve">that when </w:t>
      </w:r>
      <w:r w:rsidR="00172BAC">
        <w:t xml:space="preserve">excluding </w:t>
      </w:r>
      <w:r w:rsidR="00741B2D">
        <w:t>a student from school</w:t>
      </w:r>
      <w:r w:rsidR="001D46A1">
        <w:t>,</w:t>
      </w:r>
      <w:r w:rsidR="00C63393">
        <w:t xml:space="preserve"> the </w:t>
      </w:r>
      <w:r w:rsidR="00756BE1">
        <w:t>b</w:t>
      </w:r>
      <w:r w:rsidR="005A66AF">
        <w:t>oard</w:t>
      </w:r>
      <w:r w:rsidR="00741B2D">
        <w:t xml:space="preserve"> must be</w:t>
      </w:r>
      <w:r w:rsidR="004D1981">
        <w:t xml:space="preserve"> clear </w:t>
      </w:r>
      <w:r w:rsidR="00C41B33">
        <w:t>about why the circumstances justify the most serious response</w:t>
      </w:r>
      <w:r w:rsidR="004D1981">
        <w:t xml:space="preserve">, </w:t>
      </w:r>
      <w:r w:rsidR="00741B2D">
        <w:t xml:space="preserve">and </w:t>
      </w:r>
      <w:r w:rsidR="004D1981">
        <w:t>that all the circum</w:t>
      </w:r>
      <w:r w:rsidR="00741B2D">
        <w:t>stances are considered. T</w:t>
      </w:r>
      <w:r w:rsidR="004D1981">
        <w:t xml:space="preserve">he record of the decision </w:t>
      </w:r>
      <w:r w:rsidR="00741B2D">
        <w:t>must</w:t>
      </w:r>
      <w:r w:rsidR="00C63393">
        <w:t xml:space="preserve"> have enough detail to reveal</w:t>
      </w:r>
      <w:r w:rsidR="005709F7">
        <w:t xml:space="preserve"> the deliberative process. </w:t>
      </w:r>
    </w:p>
    <w:p w14:paraId="408B4372" w14:textId="1E842CB1" w:rsidR="00C63393" w:rsidRDefault="00C63393" w:rsidP="00CB3E6C">
      <w:pPr>
        <w:pStyle w:val="BodyText"/>
      </w:pPr>
      <w:r w:rsidRPr="00C63393">
        <w:t xml:space="preserve">The Ombudsman concluded that the </w:t>
      </w:r>
      <w:r w:rsidR="00756BE1">
        <w:t>b</w:t>
      </w:r>
      <w:r w:rsidR="005A66AF">
        <w:t>oard</w:t>
      </w:r>
      <w:r w:rsidRPr="00C63393">
        <w:t xml:space="preserve"> did not follow due process because it failed to give due regard to each</w:t>
      </w:r>
      <w:r w:rsidR="004C56F6">
        <w:t xml:space="preserve"> </w:t>
      </w:r>
      <w:r w:rsidRPr="00C63393">
        <w:t>circumstance relevant to the suspension</w:t>
      </w:r>
      <w:r w:rsidR="005E77D5">
        <w:t xml:space="preserve"> </w:t>
      </w:r>
      <w:r w:rsidRPr="00C63393">
        <w:t>and failed to demonstrate that it considered the alternative disciplinary options before deciding to exclude the student.</w:t>
      </w:r>
    </w:p>
    <w:p w14:paraId="39A73578" w14:textId="77777777" w:rsidR="00B868E8" w:rsidRDefault="00B868E8">
      <w:pPr>
        <w:pStyle w:val="Heading2"/>
      </w:pPr>
      <w:r>
        <w:t>Obligation to record the decision and the reasons for it in writing</w:t>
      </w:r>
    </w:p>
    <w:p w14:paraId="5EBB1A41" w14:textId="0372C2D3" w:rsidR="004E6CE2" w:rsidRDefault="00EB598A" w:rsidP="00B868E8">
      <w:pPr>
        <w:pStyle w:val="BodyText"/>
      </w:pPr>
      <w:r>
        <w:t xml:space="preserve">The Ombudsman did not consider the </w:t>
      </w:r>
      <w:r w:rsidR="00756BE1">
        <w:t>b</w:t>
      </w:r>
      <w:r w:rsidR="005A66AF">
        <w:t>oard</w:t>
      </w:r>
      <w:r>
        <w:t xml:space="preserve"> recorded its deliberations adequately. </w:t>
      </w:r>
      <w:r w:rsidR="004C56F6">
        <w:t>T</w:t>
      </w:r>
      <w:r>
        <w:t xml:space="preserve">he notes did not refer to </w:t>
      </w:r>
      <w:r w:rsidR="004E6CE2">
        <w:t>key</w:t>
      </w:r>
      <w:r w:rsidR="00DF2ABD">
        <w:t xml:space="preserve"> </w:t>
      </w:r>
      <w:r>
        <w:t xml:space="preserve">documents and did not explain how the </w:t>
      </w:r>
      <w:r w:rsidR="00756BE1">
        <w:t>b</w:t>
      </w:r>
      <w:r w:rsidR="005A66AF">
        <w:t>oard</w:t>
      </w:r>
      <w:r>
        <w:t xml:space="preserve"> </w:t>
      </w:r>
      <w:r w:rsidR="004C56F6">
        <w:t>reached relevant</w:t>
      </w:r>
      <w:r>
        <w:t xml:space="preserve"> conclusions. </w:t>
      </w:r>
      <w:r w:rsidR="00E36216">
        <w:t>As discussed above, t</w:t>
      </w:r>
      <w:r>
        <w:t xml:space="preserve">he notes did not reflect that the </w:t>
      </w:r>
      <w:r w:rsidR="00756BE1">
        <w:t>b</w:t>
      </w:r>
      <w:r w:rsidR="005A66AF">
        <w:t>oard</w:t>
      </w:r>
      <w:r>
        <w:t xml:space="preserve"> took into account each circumstance relevant to the suspension</w:t>
      </w:r>
      <w:r w:rsidR="00756BE1">
        <w:t>,</w:t>
      </w:r>
      <w:r>
        <w:t xml:space="preserve"> </w:t>
      </w:r>
      <w:r w:rsidR="004C56F6">
        <w:t>n</w:t>
      </w:r>
      <w:r>
        <w:t>or</w:t>
      </w:r>
      <w:r w:rsidR="004C56F6">
        <w:t xml:space="preserve"> did it</w:t>
      </w:r>
      <w:r>
        <w:t xml:space="preserve"> explain h</w:t>
      </w:r>
      <w:r w:rsidR="00926162">
        <w:t>ow it weighed and balanced the relevant</w:t>
      </w:r>
      <w:r>
        <w:t xml:space="preserve"> factors. The </w:t>
      </w:r>
      <w:r w:rsidR="00926162">
        <w:t xml:space="preserve">notes did not explain why the </w:t>
      </w:r>
      <w:r w:rsidR="00756BE1">
        <w:t>b</w:t>
      </w:r>
      <w:r w:rsidR="005A66AF">
        <w:t>oard</w:t>
      </w:r>
      <w:r w:rsidR="00926162">
        <w:t xml:space="preserve"> considered the most serious response was justified</w:t>
      </w:r>
      <w:r w:rsidR="004C56F6">
        <w:t>.</w:t>
      </w:r>
      <w:r w:rsidR="003E1E57">
        <w:t xml:space="preserve"> </w:t>
      </w:r>
      <w:r w:rsidR="004C56F6">
        <w:t>T</w:t>
      </w:r>
      <w:r w:rsidR="00926162">
        <w:t xml:space="preserve">he </w:t>
      </w:r>
      <w:r>
        <w:t xml:space="preserve">Ombudsman </w:t>
      </w:r>
      <w:r w:rsidR="006261AB">
        <w:t xml:space="preserve">regarded </w:t>
      </w:r>
      <w:r w:rsidR="00926162">
        <w:t xml:space="preserve">this </w:t>
      </w:r>
      <w:r w:rsidR="006261AB">
        <w:t>to be</w:t>
      </w:r>
      <w:r w:rsidR="00926162">
        <w:t xml:space="preserve"> a crucial omission.</w:t>
      </w:r>
    </w:p>
    <w:p w14:paraId="4AEB0B66" w14:textId="77777777" w:rsidR="003B5370" w:rsidRDefault="003B5370" w:rsidP="003B5370">
      <w:pPr>
        <w:pStyle w:val="Heading2"/>
      </w:pPr>
      <w:r>
        <w:t>Pre-emptive removal of student from rol</w:t>
      </w:r>
      <w:r w:rsidR="0032736A">
        <w:t>l</w:t>
      </w:r>
    </w:p>
    <w:p w14:paraId="36213573" w14:textId="15B71CDF" w:rsidR="003B5370" w:rsidRPr="003B5370" w:rsidRDefault="003B5370" w:rsidP="003B5370">
      <w:pPr>
        <w:pStyle w:val="BodyText"/>
      </w:pPr>
      <w:r w:rsidRPr="003B5370">
        <w:t xml:space="preserve">Section 86 of the Education and Training Act </w:t>
      </w:r>
      <w:r w:rsidR="0032736A">
        <w:t xml:space="preserve">states </w:t>
      </w:r>
      <w:r w:rsidRPr="003B5370">
        <w:t xml:space="preserve">the student must stay on the </w:t>
      </w:r>
      <w:r>
        <w:t xml:space="preserve">school’s </w:t>
      </w:r>
      <w:r w:rsidRPr="003B5370">
        <w:t>register until they are enrolled at another school</w:t>
      </w:r>
      <w:r>
        <w:t xml:space="preserve">. </w:t>
      </w:r>
      <w:r w:rsidRPr="003B5370">
        <w:t xml:space="preserve">The Ombudsman </w:t>
      </w:r>
      <w:r>
        <w:t>consider</w:t>
      </w:r>
      <w:r w:rsidR="0032736A">
        <w:t>ed</w:t>
      </w:r>
      <w:r w:rsidRPr="003B5370">
        <w:t xml:space="preserve"> that the </w:t>
      </w:r>
      <w:r w:rsidR="00756BE1">
        <w:t>b</w:t>
      </w:r>
      <w:r w:rsidR="005A66AF">
        <w:t>oard</w:t>
      </w:r>
      <w:r w:rsidRPr="003B5370">
        <w:t xml:space="preserve"> acted contrary to law </w:t>
      </w:r>
      <w:r>
        <w:t>when it removed the student from</w:t>
      </w:r>
      <w:r w:rsidRPr="003B5370">
        <w:t xml:space="preserve"> the register before they were</w:t>
      </w:r>
      <w:r w:rsidR="00172BAC">
        <w:t xml:space="preserve"> </w:t>
      </w:r>
      <w:r w:rsidRPr="003B5370">
        <w:t xml:space="preserve">enrolled at another school, and that the </w:t>
      </w:r>
      <w:r w:rsidR="00756BE1">
        <w:t>b</w:t>
      </w:r>
      <w:r w:rsidR="005A66AF">
        <w:t>oard</w:t>
      </w:r>
      <w:r w:rsidRPr="003B5370">
        <w:t xml:space="preserve"> did not properly respond to the parents</w:t>
      </w:r>
      <w:r w:rsidR="00756BE1">
        <w:t>’</w:t>
      </w:r>
      <w:r w:rsidRPr="003B5370">
        <w:t xml:space="preserve"> complaint about this issue.</w:t>
      </w:r>
    </w:p>
    <w:p w14:paraId="330C5E1C" w14:textId="1C8AD2D5" w:rsidR="00412961" w:rsidRDefault="00C63393" w:rsidP="000C6FFE">
      <w:pPr>
        <w:pStyle w:val="Heading2"/>
      </w:pPr>
      <w:r>
        <w:t xml:space="preserve">Impartiality of </w:t>
      </w:r>
      <w:r w:rsidR="005A66AF">
        <w:t>Board</w:t>
      </w:r>
      <w:r w:rsidR="004E6686">
        <w:t xml:space="preserve"> </w:t>
      </w:r>
      <w:r w:rsidR="0058220C">
        <w:t>and respect for student</w:t>
      </w:r>
    </w:p>
    <w:p w14:paraId="11658E3D" w14:textId="7A304DBF" w:rsidR="00034184" w:rsidRDefault="00034184" w:rsidP="00D060A6">
      <w:pPr>
        <w:pStyle w:val="BodyText"/>
      </w:pPr>
      <w:r w:rsidRPr="003B5370">
        <w:t xml:space="preserve">Under the Education (Stand-Down, Suspension, Exclusion, </w:t>
      </w:r>
      <w:r w:rsidR="00756BE1">
        <w:t>and Expulsion) Rules 1999, the b</w:t>
      </w:r>
      <w:r w:rsidRPr="003B5370">
        <w:t>oard must treat each participant with respect during the suspension hearing</w:t>
      </w:r>
      <w:r>
        <w:t>.</w:t>
      </w:r>
    </w:p>
    <w:p w14:paraId="7531AA30" w14:textId="75477414" w:rsidR="0058220C" w:rsidRPr="00E36216" w:rsidRDefault="00A3247F" w:rsidP="00D060A6">
      <w:pPr>
        <w:pStyle w:val="BodyText"/>
      </w:pPr>
      <w:r>
        <w:t xml:space="preserve">The </w:t>
      </w:r>
      <w:r w:rsidR="007B1281">
        <w:t xml:space="preserve">student’s </w:t>
      </w:r>
      <w:r>
        <w:t>family w</w:t>
      </w:r>
      <w:r w:rsidR="007B1281">
        <w:t>as</w:t>
      </w:r>
      <w:r>
        <w:t xml:space="preserve"> concerned that some of the questions and comments during the hearing had belittled the student</w:t>
      </w:r>
      <w:r w:rsidR="0058220C">
        <w:t xml:space="preserve"> in the context of an already stressful situation</w:t>
      </w:r>
      <w:r>
        <w:t xml:space="preserve">. </w:t>
      </w:r>
      <w:r w:rsidR="003E1E57">
        <w:t xml:space="preserve">Although this was not recorded, </w:t>
      </w:r>
      <w:r w:rsidR="0058220C">
        <w:t>the</w:t>
      </w:r>
      <w:r w:rsidRPr="00A3247F">
        <w:t xml:space="preserve"> Ombudsman considered there was sufficient inf</w:t>
      </w:r>
      <w:r>
        <w:t>ormation</w:t>
      </w:r>
      <w:r w:rsidRPr="00A3247F">
        <w:t xml:space="preserve"> to suggest that it was m</w:t>
      </w:r>
      <w:r>
        <w:t xml:space="preserve">ore likely than not that this had occurred. </w:t>
      </w:r>
      <w:r w:rsidR="0058220C" w:rsidRPr="0058220C">
        <w:t xml:space="preserve">The Ombudsman acknowledged that </w:t>
      </w:r>
      <w:r w:rsidR="007B1281">
        <w:t>b</w:t>
      </w:r>
      <w:r w:rsidR="0058220C" w:rsidRPr="0058220C">
        <w:t>oards might ask questions of the student that challenge what they have put forward to explain their behaviour. However, the Ombudsman con</w:t>
      </w:r>
      <w:r w:rsidR="00FE0CA2">
        <w:t xml:space="preserve">sidered that some of the </w:t>
      </w:r>
      <w:r w:rsidR="00756BE1">
        <w:t>b</w:t>
      </w:r>
      <w:r w:rsidR="00FE0CA2">
        <w:t xml:space="preserve">oard </w:t>
      </w:r>
      <w:r w:rsidR="00756BE1">
        <w:t>c</w:t>
      </w:r>
      <w:r w:rsidR="0058220C" w:rsidRPr="0058220C">
        <w:t>hair’s comments and questions during the hearing were not relevant to the suspension and were disrespectful.</w:t>
      </w:r>
      <w:r w:rsidR="0058220C">
        <w:t xml:space="preserve"> </w:t>
      </w:r>
      <w:r w:rsidR="0058220C" w:rsidRPr="0058220C">
        <w:t>Thi</w:t>
      </w:r>
      <w:r w:rsidR="00756BE1">
        <w:t>s gave the impression that the b</w:t>
      </w:r>
      <w:r w:rsidR="0058220C" w:rsidRPr="0058220C">
        <w:t>oard at times lacked objectivity during the hearing.</w:t>
      </w:r>
      <w:r w:rsidR="0058220C" w:rsidRPr="0058220C">
        <w:rPr>
          <w:vertAlign w:val="superscript"/>
        </w:rPr>
        <w:footnoteReference w:id="9"/>
      </w:r>
      <w:r w:rsidR="0058220C" w:rsidRPr="0058220C">
        <w:t xml:space="preserve"> </w:t>
      </w:r>
    </w:p>
    <w:p w14:paraId="0F1FB10A" w14:textId="77777777" w:rsidR="00AE260A" w:rsidRDefault="00AE260A" w:rsidP="00AE260A">
      <w:pPr>
        <w:pStyle w:val="Heading1"/>
      </w:pPr>
      <w:r>
        <w:t>Outcome</w:t>
      </w:r>
    </w:p>
    <w:p w14:paraId="4DD79876" w14:textId="7FF5B77C" w:rsidR="00F82A1D" w:rsidRDefault="00AE260A" w:rsidP="00AE260A">
      <w:pPr>
        <w:pStyle w:val="BodyText"/>
      </w:pPr>
      <w:r>
        <w:t>The Ombudsm</w:t>
      </w:r>
      <w:r w:rsidR="00F82A1D">
        <w:t xml:space="preserve">an formed the final </w:t>
      </w:r>
      <w:r w:rsidR="00F82A1D" w:rsidRPr="00F82A1D">
        <w:t xml:space="preserve">opinion that the </w:t>
      </w:r>
      <w:r w:rsidR="00756BE1">
        <w:t>b</w:t>
      </w:r>
      <w:r w:rsidR="005A66AF">
        <w:t>oard</w:t>
      </w:r>
      <w:r w:rsidR="00F82A1D" w:rsidRPr="00F82A1D">
        <w:t>’s decision to exclude the student was unreasonable</w:t>
      </w:r>
      <w:r w:rsidR="007B1281">
        <w:t>,</w:t>
      </w:r>
      <w:r w:rsidR="00F82A1D" w:rsidRPr="00F82A1D">
        <w:t xml:space="preserve"> the </w:t>
      </w:r>
      <w:r w:rsidR="00756BE1">
        <w:t>b</w:t>
      </w:r>
      <w:r w:rsidR="005A66AF">
        <w:t>oard</w:t>
      </w:r>
      <w:r w:rsidR="00FE0CA2">
        <w:t xml:space="preserve"> </w:t>
      </w:r>
      <w:r w:rsidR="00756BE1">
        <w:t>c</w:t>
      </w:r>
      <w:r w:rsidR="00F82A1D" w:rsidRPr="00F82A1D">
        <w:t xml:space="preserve">hair’s conduct was unreasonable, the </w:t>
      </w:r>
      <w:r w:rsidR="00756BE1">
        <w:t>b</w:t>
      </w:r>
      <w:r w:rsidR="005A66AF">
        <w:t>oard</w:t>
      </w:r>
      <w:r w:rsidR="00F82A1D" w:rsidRPr="00F82A1D">
        <w:t xml:space="preserve"> acted contrary to law when it removed the student from the roll, and the </w:t>
      </w:r>
      <w:r w:rsidR="00756BE1">
        <w:t>b</w:t>
      </w:r>
      <w:r w:rsidR="005A66AF">
        <w:t>oard</w:t>
      </w:r>
      <w:r w:rsidR="00F82A1D" w:rsidRPr="00F82A1D">
        <w:t xml:space="preserve">’s response </w:t>
      </w:r>
      <w:r w:rsidR="00FE0CA2">
        <w:t xml:space="preserve">to the parents </w:t>
      </w:r>
      <w:r w:rsidR="00F82A1D" w:rsidRPr="00F82A1D">
        <w:t xml:space="preserve">about the roll issue was unreasonable. </w:t>
      </w:r>
    </w:p>
    <w:p w14:paraId="6300B9D0" w14:textId="77777777" w:rsidR="005817A0" w:rsidRDefault="005817A0" w:rsidP="00AE260A">
      <w:pPr>
        <w:pStyle w:val="BodyText"/>
      </w:pPr>
      <w:r>
        <w:t>The Ombudsman recommended that:</w:t>
      </w:r>
    </w:p>
    <w:p w14:paraId="2DE53D53" w14:textId="17ED5E62" w:rsidR="00AE260A" w:rsidRDefault="00DF2ABD" w:rsidP="00AE260A">
      <w:pPr>
        <w:pStyle w:val="Bullet1"/>
      </w:pPr>
      <w:r>
        <w:t xml:space="preserve">the </w:t>
      </w:r>
      <w:r w:rsidR="00756BE1">
        <w:t>b</w:t>
      </w:r>
      <w:r w:rsidR="005A66AF">
        <w:t>oard</w:t>
      </w:r>
      <w:r>
        <w:t xml:space="preserve"> attach a copy of his</w:t>
      </w:r>
      <w:r w:rsidR="00AE260A">
        <w:t xml:space="preserve"> opinion</w:t>
      </w:r>
      <w:r w:rsidR="002670F0">
        <w:t xml:space="preserve"> </w:t>
      </w:r>
      <w:r w:rsidR="00AE260A">
        <w:t>to the student</w:t>
      </w:r>
      <w:r w:rsidR="002670F0">
        <w:t>’</w:t>
      </w:r>
      <w:r w:rsidR="00AE260A">
        <w:t>s disciplinary record;</w:t>
      </w:r>
    </w:p>
    <w:p w14:paraId="4E6E6E0C" w14:textId="5FFF0F4F" w:rsidR="00AE260A" w:rsidRDefault="00AE260A" w:rsidP="00AE260A">
      <w:pPr>
        <w:pStyle w:val="Bullet1"/>
      </w:pPr>
      <w:r>
        <w:t xml:space="preserve">the </w:t>
      </w:r>
      <w:r w:rsidR="00756BE1">
        <w:t>b</w:t>
      </w:r>
      <w:r w:rsidR="005A66AF">
        <w:t>oard</w:t>
      </w:r>
      <w:r>
        <w:t xml:space="preserve"> undertake a further review of the </w:t>
      </w:r>
      <w:r w:rsidR="002670F0">
        <w:t>s</w:t>
      </w:r>
      <w:r>
        <w:t>chool’s disciplinary and suspension policies and practices, relating to:</w:t>
      </w:r>
    </w:p>
    <w:p w14:paraId="7D80947A" w14:textId="757DED57" w:rsidR="00AE260A" w:rsidRDefault="00AE260A" w:rsidP="00AE260A">
      <w:pPr>
        <w:pStyle w:val="Bullet2"/>
      </w:pPr>
      <w:r>
        <w:t>natural justice, record</w:t>
      </w:r>
      <w:r w:rsidR="00756BE1">
        <w:t>-</w:t>
      </w:r>
      <w:r>
        <w:t>keeping, its obligation to explore each disciplinary option, its obligation to give due consideration to each circumstance relevant to the suspension in its proper context, and its obligation to treat participants with respect; and</w:t>
      </w:r>
    </w:p>
    <w:p w14:paraId="48CD0F85" w14:textId="3DE0FD71" w:rsidR="00AE260A" w:rsidRDefault="00AE260A" w:rsidP="00AE260A">
      <w:pPr>
        <w:pStyle w:val="Bullet1"/>
      </w:pPr>
      <w:r>
        <w:t xml:space="preserve">the </w:t>
      </w:r>
      <w:r w:rsidR="00756BE1">
        <w:t>b</w:t>
      </w:r>
      <w:r w:rsidR="005A66AF">
        <w:t>oard</w:t>
      </w:r>
      <w:r>
        <w:t xml:space="preserve"> apologise to the student and family for the errors identified in the investigation and for not treating the student with respect during the suspension meeting.</w:t>
      </w:r>
      <w:r>
        <w:rPr>
          <w:rStyle w:val="FootnoteReference"/>
        </w:rPr>
        <w:footnoteReference w:id="10"/>
      </w:r>
      <w:r>
        <w:t xml:space="preserve"> </w:t>
      </w:r>
    </w:p>
    <w:p w14:paraId="7DD93D40" w14:textId="40C99B9C" w:rsidR="005817A0" w:rsidRDefault="00AE260A" w:rsidP="00DF2ABD">
      <w:pPr>
        <w:pStyle w:val="BodyText"/>
      </w:pPr>
      <w:r>
        <w:t xml:space="preserve">The Ombudsman </w:t>
      </w:r>
      <w:r w:rsidR="002670F0">
        <w:t xml:space="preserve">had </w:t>
      </w:r>
      <w:r>
        <w:t xml:space="preserve">considered recommending the school offer to re-enrol the student. However, the parent did not consider this necessary as the student was already settled in another school. </w:t>
      </w:r>
    </w:p>
    <w:p w14:paraId="120FBB96" w14:textId="1A78A54C" w:rsidR="00F82A1D" w:rsidRPr="00AE260A" w:rsidRDefault="00F82A1D" w:rsidP="00DF2ABD">
      <w:pPr>
        <w:pStyle w:val="BodyText"/>
      </w:pPr>
      <w:r>
        <w:t xml:space="preserve">The </w:t>
      </w:r>
      <w:r w:rsidR="00756BE1">
        <w:t>b</w:t>
      </w:r>
      <w:r w:rsidR="005A66AF">
        <w:t>oard</w:t>
      </w:r>
      <w:r>
        <w:t xml:space="preserve"> accepted and</w:t>
      </w:r>
      <w:r w:rsidRPr="00F82A1D">
        <w:t xml:space="preserve"> implemented all of the Ombudsman’s recommendations. </w:t>
      </w:r>
    </w:p>
    <w:p w14:paraId="009C1C5F" w14:textId="1A045A4F" w:rsidR="003160E5" w:rsidRDefault="003160E5" w:rsidP="003160E5">
      <w:pPr>
        <w:pStyle w:val="BodyText"/>
        <w:rPr>
          <w:rStyle w:val="Italics"/>
        </w:rPr>
      </w:pPr>
      <w:r w:rsidRPr="003C5560">
        <w:rPr>
          <w:rStyle w:val="Italics"/>
        </w:rPr>
        <w:t xml:space="preserve">This case note is published under the authority of the </w:t>
      </w:r>
      <w:hyperlink r:id="rId9" w:history="1">
        <w:r w:rsidRPr="003C5560">
          <w:rPr>
            <w:rStyle w:val="Italics"/>
          </w:rPr>
          <w:t>Ombudsmen Rules 1989</w:t>
        </w:r>
      </w:hyperlink>
      <w:r w:rsidRPr="003C5560">
        <w:rPr>
          <w:rStyle w:val="Italics"/>
        </w:rPr>
        <w:t>. It sets out an Ombudsman’s view on the facts of a particular case. It should not be taken as establishing any legal precedent that would bind an Ombudsman in future.</w:t>
      </w:r>
    </w:p>
    <w:p w14:paraId="3010ACB9" w14:textId="7ABDD0EC" w:rsidR="00034184" w:rsidRPr="003C5560" w:rsidRDefault="00034184" w:rsidP="003160E5">
      <w:pPr>
        <w:pStyle w:val="BodyText"/>
        <w:rPr>
          <w:rStyle w:val="Italics"/>
        </w:rPr>
      </w:pPr>
    </w:p>
    <w:sectPr w:rsidR="00034184" w:rsidRPr="003C5560" w:rsidSect="00F417F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974C" w14:textId="77777777" w:rsidR="007A4239" w:rsidRPr="00D45126" w:rsidRDefault="007A4239" w:rsidP="00554FCD">
      <w:pPr>
        <w:spacing w:after="0" w:line="240" w:lineRule="auto"/>
        <w:rPr>
          <w:color w:val="4D4D4D"/>
        </w:rPr>
      </w:pPr>
      <w:r w:rsidRPr="00D45126">
        <w:rPr>
          <w:color w:val="4D4D4D"/>
        </w:rPr>
        <w:separator/>
      </w:r>
    </w:p>
  </w:endnote>
  <w:endnote w:type="continuationSeparator" w:id="0">
    <w:p w14:paraId="416343E6" w14:textId="77777777" w:rsidR="007A4239" w:rsidRPr="00D45126" w:rsidRDefault="007A4239" w:rsidP="00554FCD">
      <w:pPr>
        <w:spacing w:after="0" w:line="240" w:lineRule="auto"/>
        <w:rPr>
          <w:color w:val="4D4D4D"/>
        </w:rPr>
      </w:pPr>
      <w:r w:rsidRPr="00D45126">
        <w:rPr>
          <w:color w:val="4D4D4D"/>
        </w:rPr>
        <w:continuationSeparator/>
      </w:r>
    </w:p>
  </w:endnote>
  <w:endnote w:type="continuationNotice" w:id="1">
    <w:p w14:paraId="1BFE5048" w14:textId="77777777" w:rsidR="007A4239" w:rsidRDefault="007A4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6B2B" w14:textId="77777777" w:rsidR="005558DB" w:rsidRDefault="00555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31A9" w14:textId="77777777" w:rsidR="00D56BEF" w:rsidRPr="0059155D" w:rsidRDefault="00D56BEF" w:rsidP="00B81F45">
    <w:pPr>
      <w:pStyle w:val="Footerline"/>
    </w:pPr>
  </w:p>
  <w:p w14:paraId="65831DE6" w14:textId="77777777" w:rsidR="00D56BEF" w:rsidRPr="0059155D" w:rsidRDefault="00D56BEF" w:rsidP="00B81F45">
    <w:pPr>
      <w:pStyle w:val="Footerline"/>
    </w:pPr>
  </w:p>
  <w:p w14:paraId="721EE3FB" w14:textId="7E66122B" w:rsidR="00D56BEF" w:rsidRPr="005533D8" w:rsidRDefault="007A4239" w:rsidP="00B81F45">
    <w:pPr>
      <w:pStyle w:val="Footer"/>
    </w:pPr>
    <w:r>
      <w:fldChar w:fldCharType="begin"/>
    </w:r>
    <w:r>
      <w:instrText xml:space="preserve"> DOCVARIABLE  dvShortText </w:instrText>
    </w:r>
    <w:r>
      <w:fldChar w:fldCharType="separate"/>
    </w:r>
    <w:r w:rsidR="00756BE1">
      <w:t>Case note |</w:t>
    </w:r>
    <w:r>
      <w:fldChar w:fldCharType="end"/>
    </w:r>
    <w:r w:rsidR="00D56BEF">
      <w:t xml:space="preserve"> Page </w:t>
    </w:r>
    <w:r w:rsidR="00D56BEF" w:rsidRPr="00A32286">
      <w:rPr>
        <w:rStyle w:val="PageNumber"/>
      </w:rPr>
      <w:fldChar w:fldCharType="begin"/>
    </w:r>
    <w:r w:rsidR="00D56BEF" w:rsidRPr="00A32286">
      <w:rPr>
        <w:rStyle w:val="PageNumber"/>
      </w:rPr>
      <w:instrText xml:space="preserve"> PAGE   \* MERGEFORMAT </w:instrText>
    </w:r>
    <w:r w:rsidR="00D56BEF" w:rsidRPr="00A32286">
      <w:rPr>
        <w:rStyle w:val="PageNumber"/>
      </w:rPr>
      <w:fldChar w:fldCharType="separate"/>
    </w:r>
    <w:r w:rsidR="007943C2">
      <w:rPr>
        <w:rStyle w:val="PageNumber"/>
        <w:noProof/>
      </w:rPr>
      <w:t>2</w:t>
    </w:r>
    <w:r w:rsidR="00D56BEF"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C12B" w14:textId="77777777" w:rsidR="00D56BEF" w:rsidRPr="0059155D" w:rsidRDefault="00D56BEF" w:rsidP="00AA3322">
    <w:pPr>
      <w:pStyle w:val="Footerline"/>
    </w:pPr>
  </w:p>
  <w:p w14:paraId="7BAE64EF" w14:textId="77777777" w:rsidR="00D56BEF" w:rsidRPr="0059155D" w:rsidRDefault="00D56BEF" w:rsidP="00AA3322">
    <w:pPr>
      <w:pStyle w:val="Footerline"/>
    </w:pPr>
  </w:p>
  <w:p w14:paraId="6C632E9D" w14:textId="4ECD8F27" w:rsidR="00D56BEF" w:rsidRPr="005533D8" w:rsidRDefault="007A4239" w:rsidP="00AA3322">
    <w:pPr>
      <w:pStyle w:val="Footer"/>
    </w:pPr>
    <w:r>
      <w:fldChar w:fldCharType="begin"/>
    </w:r>
    <w:r>
      <w:instrText xml:space="preserve"> DOCVARIABLE  dvShortText </w:instrText>
    </w:r>
    <w:r>
      <w:fldChar w:fldCharType="separate"/>
    </w:r>
    <w:r w:rsidR="00756BE1">
      <w:t>Case note |</w:t>
    </w:r>
    <w:r>
      <w:fldChar w:fldCharType="end"/>
    </w:r>
    <w:r w:rsidR="00D56BEF">
      <w:t xml:space="preserve"> Page </w:t>
    </w:r>
    <w:r w:rsidR="00D56BEF" w:rsidRPr="00A32286">
      <w:rPr>
        <w:rStyle w:val="PageNumber"/>
      </w:rPr>
      <w:fldChar w:fldCharType="begin"/>
    </w:r>
    <w:r w:rsidR="00D56BEF" w:rsidRPr="00A32286">
      <w:rPr>
        <w:rStyle w:val="PageNumber"/>
      </w:rPr>
      <w:instrText xml:space="preserve"> PAGE   \* MERGEFORMAT </w:instrText>
    </w:r>
    <w:r w:rsidR="00D56BEF" w:rsidRPr="00A32286">
      <w:rPr>
        <w:rStyle w:val="PageNumber"/>
      </w:rPr>
      <w:fldChar w:fldCharType="separate"/>
    </w:r>
    <w:r>
      <w:rPr>
        <w:rStyle w:val="PageNumber"/>
        <w:noProof/>
      </w:rPr>
      <w:t>1</w:t>
    </w:r>
    <w:r w:rsidR="00D56BEF"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D1CD" w14:textId="77777777" w:rsidR="007A4239" w:rsidRPr="00D45126" w:rsidRDefault="007A4239" w:rsidP="00257DA0">
      <w:pPr>
        <w:spacing w:after="0" w:line="240" w:lineRule="auto"/>
        <w:rPr>
          <w:color w:val="4D4D4D"/>
        </w:rPr>
      </w:pPr>
      <w:r w:rsidRPr="00D45126">
        <w:rPr>
          <w:color w:val="4D4D4D"/>
        </w:rPr>
        <w:separator/>
      </w:r>
    </w:p>
  </w:footnote>
  <w:footnote w:type="continuationSeparator" w:id="0">
    <w:p w14:paraId="4A3E1506" w14:textId="77777777" w:rsidR="007A4239" w:rsidRPr="00C14083" w:rsidRDefault="007A4239" w:rsidP="00554FCD">
      <w:pPr>
        <w:spacing w:after="0" w:line="240" w:lineRule="auto"/>
        <w:rPr>
          <w:color w:val="4D4D4D"/>
        </w:rPr>
      </w:pPr>
      <w:r w:rsidRPr="00C14083">
        <w:rPr>
          <w:color w:val="4D4D4D"/>
        </w:rPr>
        <w:continuationSeparator/>
      </w:r>
    </w:p>
  </w:footnote>
  <w:footnote w:type="continuationNotice" w:id="1">
    <w:p w14:paraId="459AC52D" w14:textId="77777777" w:rsidR="007A4239" w:rsidRDefault="007A4239">
      <w:pPr>
        <w:spacing w:after="0" w:line="240" w:lineRule="auto"/>
      </w:pPr>
    </w:p>
  </w:footnote>
  <w:footnote w:id="2">
    <w:p w14:paraId="3326FC15" w14:textId="77777777" w:rsidR="00D56BEF" w:rsidRPr="00D56BEF" w:rsidRDefault="00D56BEF" w:rsidP="00D56BEF">
      <w:pPr>
        <w:pStyle w:val="FootnoteText"/>
        <w:rPr>
          <w:rFonts w:eastAsia="Calibri" w:cs="Times New Roman"/>
        </w:rPr>
      </w:pPr>
      <w:r>
        <w:rPr>
          <w:rStyle w:val="FootnoteReference"/>
        </w:rPr>
        <w:footnoteRef/>
      </w:r>
      <w:r>
        <w:t xml:space="preserve"> </w:t>
      </w:r>
      <w:r>
        <w:tab/>
        <w:t>Sections 80 and 81 of the Education and Training Act 2020.</w:t>
      </w:r>
      <w:r w:rsidRPr="00D56BEF">
        <w:rPr>
          <w:rFonts w:eastAsia="Calibri" w:cs="Times New Roman"/>
        </w:rPr>
        <w:t>The authority to suspend then exclude a student under 16 years of age was previously found in sections 14 and 15 of the Education Act 1989.</w:t>
      </w:r>
    </w:p>
    <w:p w14:paraId="79A183F9" w14:textId="77777777" w:rsidR="00D56BEF" w:rsidRDefault="00D56BEF">
      <w:pPr>
        <w:pStyle w:val="FootnoteText"/>
      </w:pPr>
    </w:p>
  </w:footnote>
  <w:footnote w:id="3">
    <w:p w14:paraId="4450D933" w14:textId="3C97AA8D" w:rsidR="00D56BEF" w:rsidRDefault="00D56BEF" w:rsidP="00D56BEF">
      <w:pPr>
        <w:pStyle w:val="FootnoteText"/>
      </w:pPr>
      <w:r>
        <w:rPr>
          <w:rStyle w:val="FootnoteReference"/>
        </w:rPr>
        <w:footnoteRef/>
      </w:r>
      <w:r>
        <w:t xml:space="preserve"> </w:t>
      </w:r>
      <w:r>
        <w:tab/>
        <w:t xml:space="preserve">Ministry of Education, </w:t>
      </w:r>
      <w:hyperlink r:id="rId1" w:history="1">
        <w:r>
          <w:rPr>
            <w:rStyle w:val="Hyperlink"/>
          </w:rPr>
          <w:t>https://www.education.govt.nz/school/managing-and-supporting-students/student-behaviour-help-and-guidance/stand-downs-suspensions-exclusions-and-expulsions-guidelines/</w:t>
        </w:r>
      </w:hyperlink>
      <w:r>
        <w:t>(Guidelines Part 1).</w:t>
      </w:r>
    </w:p>
  </w:footnote>
  <w:footnote w:id="4">
    <w:p w14:paraId="6CA9492C" w14:textId="77777777" w:rsidR="00D56BEF" w:rsidRDefault="00D56BEF" w:rsidP="00D56BEF">
      <w:pPr>
        <w:pStyle w:val="FootnoteText"/>
      </w:pPr>
      <w:r>
        <w:rPr>
          <w:rStyle w:val="FootnoteReference"/>
        </w:rPr>
        <w:footnoteRef/>
      </w:r>
      <w:r>
        <w:t xml:space="preserve"> </w:t>
      </w:r>
      <w:r>
        <w:tab/>
        <w:t xml:space="preserve">M &amp; Anor v S &amp; Board of Trustees of Palmerston North Boys’ </w:t>
      </w:r>
      <w:r w:rsidR="00996C2C">
        <w:t>High School [2003] NZAR 705</w:t>
      </w:r>
      <w:r>
        <w:t xml:space="preserve"> (decided 5 December 1990).</w:t>
      </w:r>
    </w:p>
  </w:footnote>
  <w:footnote w:id="5">
    <w:p w14:paraId="35692069" w14:textId="77777777" w:rsidR="00BD5640" w:rsidRDefault="00BD5640">
      <w:pPr>
        <w:pStyle w:val="FootnoteText"/>
      </w:pPr>
      <w:r>
        <w:rPr>
          <w:rStyle w:val="FootnoteReference"/>
        </w:rPr>
        <w:footnoteRef/>
      </w:r>
      <w:r>
        <w:t xml:space="preserve"> </w:t>
      </w:r>
      <w:r w:rsidR="00996C2C">
        <w:tab/>
        <w:t>F</w:t>
      </w:r>
      <w:r w:rsidR="0059399F">
        <w:t xml:space="preserve">tn </w:t>
      </w:r>
      <w:r w:rsidR="00996C2C">
        <w:t>3 above, page 712.</w:t>
      </w:r>
    </w:p>
  </w:footnote>
  <w:footnote w:id="6">
    <w:p w14:paraId="1D0D26B3" w14:textId="77777777" w:rsidR="004F338E" w:rsidRDefault="004F338E">
      <w:pPr>
        <w:pStyle w:val="FootnoteText"/>
      </w:pPr>
      <w:r>
        <w:rPr>
          <w:rStyle w:val="FootnoteReference"/>
        </w:rPr>
        <w:footnoteRef/>
      </w:r>
      <w:r>
        <w:t xml:space="preserve"> </w:t>
      </w:r>
      <w:r w:rsidR="005709F7">
        <w:tab/>
      </w:r>
      <w:r w:rsidR="009366E1">
        <w:t xml:space="preserve">Ftn 2 above, </w:t>
      </w:r>
      <w:r w:rsidR="005C0864">
        <w:t>Paragraph 97.</w:t>
      </w:r>
    </w:p>
  </w:footnote>
  <w:footnote w:id="7">
    <w:p w14:paraId="4284DA5B" w14:textId="32626287" w:rsidR="008308C2" w:rsidRDefault="008308C2">
      <w:pPr>
        <w:pStyle w:val="FootnoteText"/>
      </w:pPr>
      <w:r>
        <w:rPr>
          <w:rStyle w:val="FootnoteReference"/>
        </w:rPr>
        <w:footnoteRef/>
      </w:r>
      <w:r>
        <w:t xml:space="preserve"> </w:t>
      </w:r>
      <w:r>
        <w:tab/>
      </w:r>
      <w:r w:rsidRPr="008308C2">
        <w:t>The Ombudsman expressed concern that the parents did not receive information about the comment before the suspension meeting. The Ombudsman was concerned that this raised natural justice issues because the parents and student were unable to comment on a key piece of information which adversely affect</w:t>
      </w:r>
      <w:r w:rsidR="00307C30">
        <w:t>ed</w:t>
      </w:r>
      <w:r w:rsidRPr="008308C2">
        <w:t xml:space="preserve"> the student – this seemed inconsistent with section 78 of the Act.</w:t>
      </w:r>
    </w:p>
  </w:footnote>
  <w:footnote w:id="8">
    <w:p w14:paraId="1C92709B" w14:textId="3F7A4769" w:rsidR="005709F7" w:rsidRPr="002670F0" w:rsidRDefault="005709F7">
      <w:pPr>
        <w:pStyle w:val="FootnoteText"/>
      </w:pPr>
      <w:r>
        <w:rPr>
          <w:rStyle w:val="FootnoteReference"/>
        </w:rPr>
        <w:footnoteRef/>
      </w:r>
      <w:r>
        <w:t xml:space="preserve"> </w:t>
      </w:r>
      <w:r>
        <w:tab/>
      </w:r>
      <w:r w:rsidRPr="005709F7">
        <w:t xml:space="preserve">Under section 103(a) of the Act, Principals must </w:t>
      </w:r>
      <w:r w:rsidRPr="002670F0">
        <w:t xml:space="preserve">take </w:t>
      </w:r>
      <w:r w:rsidRPr="008E089F">
        <w:t>‘all reasonable steps’</w:t>
      </w:r>
      <w:r w:rsidRPr="002670F0">
        <w:t xml:space="preserve"> to ensure that students get </w:t>
      </w:r>
      <w:r w:rsidRPr="008E089F">
        <w:t>‘good guidance and counselling</w:t>
      </w:r>
      <w:r w:rsidR="00AE07CE">
        <w:t>’.</w:t>
      </w:r>
      <w:r w:rsidRPr="008E089F">
        <w:t xml:space="preserve"> </w:t>
      </w:r>
    </w:p>
  </w:footnote>
  <w:footnote w:id="9">
    <w:p w14:paraId="54BF35DC" w14:textId="77777777" w:rsidR="0058220C" w:rsidRDefault="0058220C" w:rsidP="0058220C">
      <w:pPr>
        <w:pStyle w:val="FootnoteText"/>
      </w:pPr>
      <w:r>
        <w:rPr>
          <w:rStyle w:val="FootnoteReference"/>
        </w:rPr>
        <w:footnoteRef/>
      </w:r>
      <w:r>
        <w:t xml:space="preserve"> </w:t>
      </w:r>
      <w:r>
        <w:tab/>
      </w:r>
      <w:r w:rsidRPr="003B5370">
        <w:t>Under the Education (Stand-Down, Suspension, Exclusion, and Expulsion) Rules 1999, the Board must treat each participant with respect during the suspension hearing</w:t>
      </w:r>
      <w:r>
        <w:t>.</w:t>
      </w:r>
    </w:p>
  </w:footnote>
  <w:footnote w:id="10">
    <w:p w14:paraId="67804028" w14:textId="0A880161" w:rsidR="00D56BEF" w:rsidRDefault="00D56BEF" w:rsidP="00A811F6">
      <w:pPr>
        <w:pStyle w:val="FootnoteText"/>
      </w:pPr>
      <w:r>
        <w:rPr>
          <w:rStyle w:val="FootnoteReference"/>
        </w:rPr>
        <w:footnoteRef/>
      </w:r>
      <w:r>
        <w:t xml:space="preserve"> </w:t>
      </w:r>
      <w:r>
        <w:tab/>
        <w:t>Apology to be made in accordance with</w:t>
      </w:r>
      <w:r w:rsidR="00A811F6">
        <w:t xml:space="preserve"> this Office’s guidance: </w:t>
      </w:r>
      <w:hyperlink r:id="rId2" w:history="1">
        <w:r w:rsidR="00A811F6" w:rsidRPr="00A811F6">
          <w:rPr>
            <w:rStyle w:val="Hyperlink"/>
          </w:rPr>
          <w:t>He rauemi tātaki ea – A resource for offering an effective apology</w:t>
        </w:r>
      </w:hyperlink>
      <w:r w:rsidR="005A66AF">
        <w:rPr>
          <w:rStyle w:val="Hyperlink"/>
        </w:rPr>
        <w:t>.</w:t>
      </w:r>
      <w:r w:rsidR="00A811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DD62" w14:textId="77777777" w:rsidR="005558DB" w:rsidRDefault="00555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61BB" w14:textId="77777777" w:rsidR="00D56BEF" w:rsidRDefault="00D56BEF" w:rsidP="00B81F45">
    <w:pPr>
      <w:pStyle w:val="Header"/>
      <w:tabs>
        <w:tab w:val="clear" w:pos="9299"/>
        <w:tab w:val="right" w:pos="9321"/>
      </w:tabs>
      <w:rPr>
        <w:rStyle w:val="PageNumber"/>
      </w:rPr>
    </w:pPr>
    <w:r>
      <w:t xml:space="preserve">Office of the Ombudsman | </w:t>
    </w:r>
    <w:r w:rsidRPr="00DD54DF">
      <w:t>Tari o te Kaitiaki Mana Tangata</w:t>
    </w:r>
  </w:p>
  <w:p w14:paraId="02F438A6" w14:textId="77777777" w:rsidR="00D56BEF" w:rsidRPr="00661EC9" w:rsidRDefault="00D56BEF"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8954" w14:textId="77777777" w:rsidR="00D56BEF" w:rsidRDefault="00D56BEF">
    <w:pPr>
      <w:pStyle w:val="Header"/>
    </w:pPr>
    <w:r w:rsidRPr="00F417FD">
      <w:rPr>
        <w:noProof/>
        <w:lang w:eastAsia="en-NZ"/>
      </w:rPr>
      <w:drawing>
        <wp:anchor distT="0" distB="0" distL="114300" distR="114300" simplePos="0" relativeHeight="251659264" behindDoc="0" locked="0" layoutInCell="1" allowOverlap="1" wp14:anchorId="5640D074" wp14:editId="0F89C3BE">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True"/>
    <w:docVar w:name="IsInTable" w:val="False"/>
    <w:docVar w:name="OOTOTemplate" w:val="OOTO General\Case note.dotm"/>
    <w:docVar w:name="ShowLogo" w:val="0"/>
  </w:docVars>
  <w:rsids>
    <w:rsidRoot w:val="00323647"/>
    <w:rsid w:val="00000AEE"/>
    <w:rsid w:val="0000164C"/>
    <w:rsid w:val="00002E2B"/>
    <w:rsid w:val="000048D2"/>
    <w:rsid w:val="0000771B"/>
    <w:rsid w:val="00011074"/>
    <w:rsid w:val="00013791"/>
    <w:rsid w:val="00021382"/>
    <w:rsid w:val="0002216D"/>
    <w:rsid w:val="00024F53"/>
    <w:rsid w:val="00026A3B"/>
    <w:rsid w:val="000273F0"/>
    <w:rsid w:val="000328E9"/>
    <w:rsid w:val="00032A75"/>
    <w:rsid w:val="0003373F"/>
    <w:rsid w:val="00034184"/>
    <w:rsid w:val="000349B4"/>
    <w:rsid w:val="00035821"/>
    <w:rsid w:val="00040F52"/>
    <w:rsid w:val="00041615"/>
    <w:rsid w:val="000419C3"/>
    <w:rsid w:val="00045FD7"/>
    <w:rsid w:val="00046B63"/>
    <w:rsid w:val="00050123"/>
    <w:rsid w:val="00053114"/>
    <w:rsid w:val="00056BC5"/>
    <w:rsid w:val="00057C4D"/>
    <w:rsid w:val="00064CFD"/>
    <w:rsid w:val="00065881"/>
    <w:rsid w:val="00071CC1"/>
    <w:rsid w:val="000720F2"/>
    <w:rsid w:val="000822C8"/>
    <w:rsid w:val="00084FC2"/>
    <w:rsid w:val="000929F9"/>
    <w:rsid w:val="00093C9D"/>
    <w:rsid w:val="00094D1D"/>
    <w:rsid w:val="00094EB3"/>
    <w:rsid w:val="0009569A"/>
    <w:rsid w:val="000965D2"/>
    <w:rsid w:val="00097211"/>
    <w:rsid w:val="00097E3A"/>
    <w:rsid w:val="000A084B"/>
    <w:rsid w:val="000A18DA"/>
    <w:rsid w:val="000A24B4"/>
    <w:rsid w:val="000A39DB"/>
    <w:rsid w:val="000A4639"/>
    <w:rsid w:val="000A547E"/>
    <w:rsid w:val="000A56A9"/>
    <w:rsid w:val="000B43C3"/>
    <w:rsid w:val="000B60ED"/>
    <w:rsid w:val="000B7910"/>
    <w:rsid w:val="000C012A"/>
    <w:rsid w:val="000C08B5"/>
    <w:rsid w:val="000C1E21"/>
    <w:rsid w:val="000C2A01"/>
    <w:rsid w:val="000C487C"/>
    <w:rsid w:val="000C498B"/>
    <w:rsid w:val="000C6FFE"/>
    <w:rsid w:val="000C7B2A"/>
    <w:rsid w:val="000D3B26"/>
    <w:rsid w:val="000D4757"/>
    <w:rsid w:val="000D5790"/>
    <w:rsid w:val="000D6DA5"/>
    <w:rsid w:val="000D6FA6"/>
    <w:rsid w:val="000E04C0"/>
    <w:rsid w:val="000E2563"/>
    <w:rsid w:val="000E2C2F"/>
    <w:rsid w:val="000E33C6"/>
    <w:rsid w:val="000E357E"/>
    <w:rsid w:val="000E36A8"/>
    <w:rsid w:val="000E41EA"/>
    <w:rsid w:val="000E48F3"/>
    <w:rsid w:val="000E5CCF"/>
    <w:rsid w:val="000F09B0"/>
    <w:rsid w:val="000F27A2"/>
    <w:rsid w:val="000F32C4"/>
    <w:rsid w:val="000F358E"/>
    <w:rsid w:val="000F496B"/>
    <w:rsid w:val="000F4A8C"/>
    <w:rsid w:val="000F5D79"/>
    <w:rsid w:val="00100392"/>
    <w:rsid w:val="001110B8"/>
    <w:rsid w:val="0011146D"/>
    <w:rsid w:val="001149E8"/>
    <w:rsid w:val="00114C6B"/>
    <w:rsid w:val="00114C7F"/>
    <w:rsid w:val="00122932"/>
    <w:rsid w:val="00123968"/>
    <w:rsid w:val="00131FCB"/>
    <w:rsid w:val="00134987"/>
    <w:rsid w:val="00137DB7"/>
    <w:rsid w:val="00140996"/>
    <w:rsid w:val="00140DAC"/>
    <w:rsid w:val="00144C1B"/>
    <w:rsid w:val="0014677B"/>
    <w:rsid w:val="00150AD4"/>
    <w:rsid w:val="00151F5B"/>
    <w:rsid w:val="00154165"/>
    <w:rsid w:val="001550B8"/>
    <w:rsid w:val="00157E61"/>
    <w:rsid w:val="001602AB"/>
    <w:rsid w:val="00160E82"/>
    <w:rsid w:val="001643FB"/>
    <w:rsid w:val="00166C30"/>
    <w:rsid w:val="00167506"/>
    <w:rsid w:val="00171BD9"/>
    <w:rsid w:val="0017216A"/>
    <w:rsid w:val="00172BAC"/>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979B5"/>
    <w:rsid w:val="001A265F"/>
    <w:rsid w:val="001A415D"/>
    <w:rsid w:val="001A4C19"/>
    <w:rsid w:val="001B1DCE"/>
    <w:rsid w:val="001B2F94"/>
    <w:rsid w:val="001B31CF"/>
    <w:rsid w:val="001B688C"/>
    <w:rsid w:val="001B6BB9"/>
    <w:rsid w:val="001B7EC1"/>
    <w:rsid w:val="001C12AF"/>
    <w:rsid w:val="001C7F14"/>
    <w:rsid w:val="001D46A1"/>
    <w:rsid w:val="001E067E"/>
    <w:rsid w:val="001E16D0"/>
    <w:rsid w:val="001E5784"/>
    <w:rsid w:val="001E795E"/>
    <w:rsid w:val="001F08E5"/>
    <w:rsid w:val="001F0C1C"/>
    <w:rsid w:val="001F0E26"/>
    <w:rsid w:val="001F14C5"/>
    <w:rsid w:val="001F20AE"/>
    <w:rsid w:val="001F2CAA"/>
    <w:rsid w:val="001F6FC1"/>
    <w:rsid w:val="00200C37"/>
    <w:rsid w:val="00204247"/>
    <w:rsid w:val="00207536"/>
    <w:rsid w:val="00210377"/>
    <w:rsid w:val="0021064F"/>
    <w:rsid w:val="002151BC"/>
    <w:rsid w:val="00216840"/>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670F0"/>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4EDF"/>
    <w:rsid w:val="00295101"/>
    <w:rsid w:val="002A1D84"/>
    <w:rsid w:val="002A67F4"/>
    <w:rsid w:val="002A7B22"/>
    <w:rsid w:val="002B0E1C"/>
    <w:rsid w:val="002B1535"/>
    <w:rsid w:val="002B319F"/>
    <w:rsid w:val="002B48BA"/>
    <w:rsid w:val="002B5274"/>
    <w:rsid w:val="002B5D4E"/>
    <w:rsid w:val="002B6A20"/>
    <w:rsid w:val="002B6A6C"/>
    <w:rsid w:val="002B7379"/>
    <w:rsid w:val="002C0241"/>
    <w:rsid w:val="002C03DC"/>
    <w:rsid w:val="002C4624"/>
    <w:rsid w:val="002C54BA"/>
    <w:rsid w:val="002C7BBD"/>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07C30"/>
    <w:rsid w:val="00313ABD"/>
    <w:rsid w:val="003160E5"/>
    <w:rsid w:val="003169E9"/>
    <w:rsid w:val="00316CF6"/>
    <w:rsid w:val="00317D8B"/>
    <w:rsid w:val="00320E2B"/>
    <w:rsid w:val="00321801"/>
    <w:rsid w:val="00321D36"/>
    <w:rsid w:val="00323647"/>
    <w:rsid w:val="00324517"/>
    <w:rsid w:val="0032736A"/>
    <w:rsid w:val="00335CAE"/>
    <w:rsid w:val="003374ED"/>
    <w:rsid w:val="00342CEE"/>
    <w:rsid w:val="003516B6"/>
    <w:rsid w:val="0035756E"/>
    <w:rsid w:val="00357B4F"/>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265D"/>
    <w:rsid w:val="003832EA"/>
    <w:rsid w:val="00383460"/>
    <w:rsid w:val="00385BCC"/>
    <w:rsid w:val="00385F42"/>
    <w:rsid w:val="00396770"/>
    <w:rsid w:val="003967AB"/>
    <w:rsid w:val="003A06B6"/>
    <w:rsid w:val="003A1465"/>
    <w:rsid w:val="003A4539"/>
    <w:rsid w:val="003A4EB3"/>
    <w:rsid w:val="003B3607"/>
    <w:rsid w:val="003B46E7"/>
    <w:rsid w:val="003B5370"/>
    <w:rsid w:val="003C1714"/>
    <w:rsid w:val="003C2059"/>
    <w:rsid w:val="003C5560"/>
    <w:rsid w:val="003C645F"/>
    <w:rsid w:val="003D02D4"/>
    <w:rsid w:val="003D139D"/>
    <w:rsid w:val="003D6A2B"/>
    <w:rsid w:val="003D7D3A"/>
    <w:rsid w:val="003E19E9"/>
    <w:rsid w:val="003E1E57"/>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12961"/>
    <w:rsid w:val="004129CC"/>
    <w:rsid w:val="004213E5"/>
    <w:rsid w:val="00424DBC"/>
    <w:rsid w:val="004302DE"/>
    <w:rsid w:val="00431860"/>
    <w:rsid w:val="00433038"/>
    <w:rsid w:val="00433F89"/>
    <w:rsid w:val="00442610"/>
    <w:rsid w:val="004426B5"/>
    <w:rsid w:val="00444754"/>
    <w:rsid w:val="00452CEF"/>
    <w:rsid w:val="00462213"/>
    <w:rsid w:val="00463898"/>
    <w:rsid w:val="00464768"/>
    <w:rsid w:val="00464DEF"/>
    <w:rsid w:val="00465438"/>
    <w:rsid w:val="00467645"/>
    <w:rsid w:val="00473598"/>
    <w:rsid w:val="004752AF"/>
    <w:rsid w:val="004805C0"/>
    <w:rsid w:val="00485E2C"/>
    <w:rsid w:val="004873B4"/>
    <w:rsid w:val="004903E8"/>
    <w:rsid w:val="00491852"/>
    <w:rsid w:val="0049294C"/>
    <w:rsid w:val="004938CA"/>
    <w:rsid w:val="00493EE8"/>
    <w:rsid w:val="00494124"/>
    <w:rsid w:val="004978CE"/>
    <w:rsid w:val="004A2B8E"/>
    <w:rsid w:val="004A3DD0"/>
    <w:rsid w:val="004A5E3E"/>
    <w:rsid w:val="004A60D8"/>
    <w:rsid w:val="004A7006"/>
    <w:rsid w:val="004A717A"/>
    <w:rsid w:val="004B1CFB"/>
    <w:rsid w:val="004B3108"/>
    <w:rsid w:val="004B5B00"/>
    <w:rsid w:val="004B6762"/>
    <w:rsid w:val="004B6DF7"/>
    <w:rsid w:val="004C3B23"/>
    <w:rsid w:val="004C56F6"/>
    <w:rsid w:val="004C748E"/>
    <w:rsid w:val="004D18B7"/>
    <w:rsid w:val="004D1981"/>
    <w:rsid w:val="004D1E4D"/>
    <w:rsid w:val="004D3A9D"/>
    <w:rsid w:val="004D4947"/>
    <w:rsid w:val="004D4CCB"/>
    <w:rsid w:val="004D6360"/>
    <w:rsid w:val="004E37DF"/>
    <w:rsid w:val="004E4498"/>
    <w:rsid w:val="004E6686"/>
    <w:rsid w:val="004E6CE2"/>
    <w:rsid w:val="004F143B"/>
    <w:rsid w:val="004F338E"/>
    <w:rsid w:val="004F5787"/>
    <w:rsid w:val="004F5E11"/>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178D"/>
    <w:rsid w:val="00546792"/>
    <w:rsid w:val="005467EE"/>
    <w:rsid w:val="00554E50"/>
    <w:rsid w:val="00554FCD"/>
    <w:rsid w:val="005558DB"/>
    <w:rsid w:val="00561DA3"/>
    <w:rsid w:val="005661BE"/>
    <w:rsid w:val="005671A5"/>
    <w:rsid w:val="00570439"/>
    <w:rsid w:val="005709F7"/>
    <w:rsid w:val="00570CA3"/>
    <w:rsid w:val="005710C7"/>
    <w:rsid w:val="005719C4"/>
    <w:rsid w:val="00573D48"/>
    <w:rsid w:val="005758E8"/>
    <w:rsid w:val="005772F4"/>
    <w:rsid w:val="005777E2"/>
    <w:rsid w:val="005804D9"/>
    <w:rsid w:val="005805BA"/>
    <w:rsid w:val="005817A0"/>
    <w:rsid w:val="005820EE"/>
    <w:rsid w:val="0058220C"/>
    <w:rsid w:val="005830DE"/>
    <w:rsid w:val="00585B6A"/>
    <w:rsid w:val="00590C6E"/>
    <w:rsid w:val="005910D7"/>
    <w:rsid w:val="005935A5"/>
    <w:rsid w:val="0059399F"/>
    <w:rsid w:val="00595347"/>
    <w:rsid w:val="00596025"/>
    <w:rsid w:val="005975D0"/>
    <w:rsid w:val="005A1D8F"/>
    <w:rsid w:val="005A2E1B"/>
    <w:rsid w:val="005A66AF"/>
    <w:rsid w:val="005B1169"/>
    <w:rsid w:val="005B352E"/>
    <w:rsid w:val="005B6E2F"/>
    <w:rsid w:val="005B7F25"/>
    <w:rsid w:val="005C0864"/>
    <w:rsid w:val="005C4DB4"/>
    <w:rsid w:val="005C76DD"/>
    <w:rsid w:val="005C7BA2"/>
    <w:rsid w:val="005D03D0"/>
    <w:rsid w:val="005D053D"/>
    <w:rsid w:val="005D525E"/>
    <w:rsid w:val="005E1119"/>
    <w:rsid w:val="005E1DEC"/>
    <w:rsid w:val="005E1F34"/>
    <w:rsid w:val="005E2932"/>
    <w:rsid w:val="005E4F3A"/>
    <w:rsid w:val="005E50C7"/>
    <w:rsid w:val="005E77D5"/>
    <w:rsid w:val="005F1945"/>
    <w:rsid w:val="005F3344"/>
    <w:rsid w:val="005F40D9"/>
    <w:rsid w:val="005F4281"/>
    <w:rsid w:val="005F43B4"/>
    <w:rsid w:val="005F70F0"/>
    <w:rsid w:val="00600F81"/>
    <w:rsid w:val="00604BDC"/>
    <w:rsid w:val="006064FD"/>
    <w:rsid w:val="00606871"/>
    <w:rsid w:val="006077BF"/>
    <w:rsid w:val="00607EC0"/>
    <w:rsid w:val="0061020F"/>
    <w:rsid w:val="00610FD3"/>
    <w:rsid w:val="00611625"/>
    <w:rsid w:val="006120A8"/>
    <w:rsid w:val="0061216C"/>
    <w:rsid w:val="00615CE0"/>
    <w:rsid w:val="00616CEE"/>
    <w:rsid w:val="00617F04"/>
    <w:rsid w:val="00621FD1"/>
    <w:rsid w:val="00624429"/>
    <w:rsid w:val="0062506B"/>
    <w:rsid w:val="006261AB"/>
    <w:rsid w:val="006279D4"/>
    <w:rsid w:val="00627E11"/>
    <w:rsid w:val="00631B80"/>
    <w:rsid w:val="006325E0"/>
    <w:rsid w:val="00640FA7"/>
    <w:rsid w:val="00644A97"/>
    <w:rsid w:val="00644B46"/>
    <w:rsid w:val="0064708D"/>
    <w:rsid w:val="006473DE"/>
    <w:rsid w:val="00655FF5"/>
    <w:rsid w:val="0065698A"/>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57F5"/>
    <w:rsid w:val="00697F10"/>
    <w:rsid w:val="006A05F7"/>
    <w:rsid w:val="006A12AA"/>
    <w:rsid w:val="006A1EDF"/>
    <w:rsid w:val="006A5545"/>
    <w:rsid w:val="006A5CB2"/>
    <w:rsid w:val="006B2725"/>
    <w:rsid w:val="006B4123"/>
    <w:rsid w:val="006B6F71"/>
    <w:rsid w:val="006B72A6"/>
    <w:rsid w:val="006C3811"/>
    <w:rsid w:val="006C3851"/>
    <w:rsid w:val="006C3FF6"/>
    <w:rsid w:val="006D1417"/>
    <w:rsid w:val="006D1717"/>
    <w:rsid w:val="006D17A0"/>
    <w:rsid w:val="006D2120"/>
    <w:rsid w:val="006D319D"/>
    <w:rsid w:val="006D78E8"/>
    <w:rsid w:val="006E05C4"/>
    <w:rsid w:val="006E190D"/>
    <w:rsid w:val="006E1BFE"/>
    <w:rsid w:val="006E5E11"/>
    <w:rsid w:val="006E7E4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1B2D"/>
    <w:rsid w:val="00743E91"/>
    <w:rsid w:val="00753648"/>
    <w:rsid w:val="007539DA"/>
    <w:rsid w:val="00756BE1"/>
    <w:rsid w:val="00760461"/>
    <w:rsid w:val="007639D6"/>
    <w:rsid w:val="00763D2B"/>
    <w:rsid w:val="00764619"/>
    <w:rsid w:val="00773694"/>
    <w:rsid w:val="0077590F"/>
    <w:rsid w:val="00776236"/>
    <w:rsid w:val="00776A46"/>
    <w:rsid w:val="00777829"/>
    <w:rsid w:val="0078036A"/>
    <w:rsid w:val="00780970"/>
    <w:rsid w:val="00780D07"/>
    <w:rsid w:val="007832F9"/>
    <w:rsid w:val="007842BB"/>
    <w:rsid w:val="007943C2"/>
    <w:rsid w:val="0079659E"/>
    <w:rsid w:val="00797F95"/>
    <w:rsid w:val="007A0E41"/>
    <w:rsid w:val="007A395C"/>
    <w:rsid w:val="007A4239"/>
    <w:rsid w:val="007A6586"/>
    <w:rsid w:val="007A6F0A"/>
    <w:rsid w:val="007A7020"/>
    <w:rsid w:val="007A74A0"/>
    <w:rsid w:val="007B1281"/>
    <w:rsid w:val="007B4F3B"/>
    <w:rsid w:val="007B755F"/>
    <w:rsid w:val="007C3BDA"/>
    <w:rsid w:val="007C5CD4"/>
    <w:rsid w:val="007C66A8"/>
    <w:rsid w:val="007C679B"/>
    <w:rsid w:val="007C7995"/>
    <w:rsid w:val="007D3C1B"/>
    <w:rsid w:val="007D4081"/>
    <w:rsid w:val="007D5753"/>
    <w:rsid w:val="007D76FD"/>
    <w:rsid w:val="007E01D2"/>
    <w:rsid w:val="007E1397"/>
    <w:rsid w:val="007E58A0"/>
    <w:rsid w:val="007E7F15"/>
    <w:rsid w:val="007F0307"/>
    <w:rsid w:val="007F489F"/>
    <w:rsid w:val="007F760D"/>
    <w:rsid w:val="00800219"/>
    <w:rsid w:val="0080047F"/>
    <w:rsid w:val="0080145D"/>
    <w:rsid w:val="00802414"/>
    <w:rsid w:val="00803CA9"/>
    <w:rsid w:val="00812748"/>
    <w:rsid w:val="00813A70"/>
    <w:rsid w:val="00820C9C"/>
    <w:rsid w:val="0082171D"/>
    <w:rsid w:val="008242EE"/>
    <w:rsid w:val="00825420"/>
    <w:rsid w:val="00825D06"/>
    <w:rsid w:val="00830680"/>
    <w:rsid w:val="008308C2"/>
    <w:rsid w:val="00831A4E"/>
    <w:rsid w:val="00831EBB"/>
    <w:rsid w:val="00833247"/>
    <w:rsid w:val="00837EA6"/>
    <w:rsid w:val="008429D3"/>
    <w:rsid w:val="00844F64"/>
    <w:rsid w:val="00846794"/>
    <w:rsid w:val="00846D79"/>
    <w:rsid w:val="0086039E"/>
    <w:rsid w:val="00860B01"/>
    <w:rsid w:val="00861C91"/>
    <w:rsid w:val="0086602F"/>
    <w:rsid w:val="00871BA2"/>
    <w:rsid w:val="00872924"/>
    <w:rsid w:val="00882B5C"/>
    <w:rsid w:val="00883D76"/>
    <w:rsid w:val="008841B5"/>
    <w:rsid w:val="00884716"/>
    <w:rsid w:val="00887AA8"/>
    <w:rsid w:val="0089080C"/>
    <w:rsid w:val="00892DF8"/>
    <w:rsid w:val="00893A27"/>
    <w:rsid w:val="00896D19"/>
    <w:rsid w:val="008A593E"/>
    <w:rsid w:val="008A6176"/>
    <w:rsid w:val="008B0D20"/>
    <w:rsid w:val="008B0F15"/>
    <w:rsid w:val="008B1687"/>
    <w:rsid w:val="008B1A1F"/>
    <w:rsid w:val="008B3D95"/>
    <w:rsid w:val="008B3DAA"/>
    <w:rsid w:val="008B4AAA"/>
    <w:rsid w:val="008B76D2"/>
    <w:rsid w:val="008C3437"/>
    <w:rsid w:val="008C7455"/>
    <w:rsid w:val="008C75C3"/>
    <w:rsid w:val="008D2D01"/>
    <w:rsid w:val="008D349D"/>
    <w:rsid w:val="008D7744"/>
    <w:rsid w:val="008E0636"/>
    <w:rsid w:val="008E089F"/>
    <w:rsid w:val="008E0999"/>
    <w:rsid w:val="008E1298"/>
    <w:rsid w:val="008E17DE"/>
    <w:rsid w:val="008E186D"/>
    <w:rsid w:val="008E1EF0"/>
    <w:rsid w:val="008E6C86"/>
    <w:rsid w:val="008F17E0"/>
    <w:rsid w:val="008F2893"/>
    <w:rsid w:val="008F614F"/>
    <w:rsid w:val="008F746D"/>
    <w:rsid w:val="00900394"/>
    <w:rsid w:val="00900B91"/>
    <w:rsid w:val="00903FCC"/>
    <w:rsid w:val="009135B5"/>
    <w:rsid w:val="0092033B"/>
    <w:rsid w:val="009203C6"/>
    <w:rsid w:val="00923ED7"/>
    <w:rsid w:val="0092445C"/>
    <w:rsid w:val="00926162"/>
    <w:rsid w:val="009266E4"/>
    <w:rsid w:val="0092789E"/>
    <w:rsid w:val="009300E6"/>
    <w:rsid w:val="009319DE"/>
    <w:rsid w:val="00934224"/>
    <w:rsid w:val="00934443"/>
    <w:rsid w:val="0093534C"/>
    <w:rsid w:val="00935540"/>
    <w:rsid w:val="009366E1"/>
    <w:rsid w:val="00936C1D"/>
    <w:rsid w:val="009401E4"/>
    <w:rsid w:val="00942420"/>
    <w:rsid w:val="009438B5"/>
    <w:rsid w:val="0094461F"/>
    <w:rsid w:val="00944B48"/>
    <w:rsid w:val="00946D1C"/>
    <w:rsid w:val="009639D4"/>
    <w:rsid w:val="009673FC"/>
    <w:rsid w:val="00967D11"/>
    <w:rsid w:val="00970955"/>
    <w:rsid w:val="00971749"/>
    <w:rsid w:val="00971D0C"/>
    <w:rsid w:val="009739B6"/>
    <w:rsid w:val="00974ABE"/>
    <w:rsid w:val="009779D9"/>
    <w:rsid w:val="00981DFE"/>
    <w:rsid w:val="009826E4"/>
    <w:rsid w:val="009909DF"/>
    <w:rsid w:val="0099196C"/>
    <w:rsid w:val="0099197D"/>
    <w:rsid w:val="00991F34"/>
    <w:rsid w:val="00994CBB"/>
    <w:rsid w:val="009954CB"/>
    <w:rsid w:val="00995755"/>
    <w:rsid w:val="00996C2C"/>
    <w:rsid w:val="009A66D4"/>
    <w:rsid w:val="009B47B9"/>
    <w:rsid w:val="009B7011"/>
    <w:rsid w:val="009C1083"/>
    <w:rsid w:val="009C1890"/>
    <w:rsid w:val="009C3499"/>
    <w:rsid w:val="009C375B"/>
    <w:rsid w:val="009C4723"/>
    <w:rsid w:val="009C6E15"/>
    <w:rsid w:val="009D4A03"/>
    <w:rsid w:val="009D6259"/>
    <w:rsid w:val="009D6DFB"/>
    <w:rsid w:val="009E2446"/>
    <w:rsid w:val="009E3199"/>
    <w:rsid w:val="009E72B2"/>
    <w:rsid w:val="009E78E3"/>
    <w:rsid w:val="009F0996"/>
    <w:rsid w:val="009F261A"/>
    <w:rsid w:val="009F4E72"/>
    <w:rsid w:val="009F5C3C"/>
    <w:rsid w:val="009F68AD"/>
    <w:rsid w:val="00A004F0"/>
    <w:rsid w:val="00A0089C"/>
    <w:rsid w:val="00A01B68"/>
    <w:rsid w:val="00A03DFD"/>
    <w:rsid w:val="00A055F3"/>
    <w:rsid w:val="00A1091A"/>
    <w:rsid w:val="00A13DA1"/>
    <w:rsid w:val="00A145A5"/>
    <w:rsid w:val="00A14DEB"/>
    <w:rsid w:val="00A23242"/>
    <w:rsid w:val="00A30994"/>
    <w:rsid w:val="00A31D26"/>
    <w:rsid w:val="00A3247F"/>
    <w:rsid w:val="00A333DF"/>
    <w:rsid w:val="00A34057"/>
    <w:rsid w:val="00A34706"/>
    <w:rsid w:val="00A366ED"/>
    <w:rsid w:val="00A37754"/>
    <w:rsid w:val="00A4087E"/>
    <w:rsid w:val="00A442D7"/>
    <w:rsid w:val="00A47F79"/>
    <w:rsid w:val="00A511A1"/>
    <w:rsid w:val="00A52EBD"/>
    <w:rsid w:val="00A5469F"/>
    <w:rsid w:val="00A60F61"/>
    <w:rsid w:val="00A6506D"/>
    <w:rsid w:val="00A65DE6"/>
    <w:rsid w:val="00A6655D"/>
    <w:rsid w:val="00A66569"/>
    <w:rsid w:val="00A7093F"/>
    <w:rsid w:val="00A70AF7"/>
    <w:rsid w:val="00A76E5D"/>
    <w:rsid w:val="00A800F7"/>
    <w:rsid w:val="00A80669"/>
    <w:rsid w:val="00A811F6"/>
    <w:rsid w:val="00A818A6"/>
    <w:rsid w:val="00A825A5"/>
    <w:rsid w:val="00A83F11"/>
    <w:rsid w:val="00A86138"/>
    <w:rsid w:val="00A86851"/>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0340"/>
    <w:rsid w:val="00AD09D0"/>
    <w:rsid w:val="00AD230F"/>
    <w:rsid w:val="00AD27AE"/>
    <w:rsid w:val="00AD2CF5"/>
    <w:rsid w:val="00AD6A30"/>
    <w:rsid w:val="00AD7017"/>
    <w:rsid w:val="00AE07CE"/>
    <w:rsid w:val="00AE260A"/>
    <w:rsid w:val="00AE4AA9"/>
    <w:rsid w:val="00AE4F25"/>
    <w:rsid w:val="00AF00EA"/>
    <w:rsid w:val="00B0060F"/>
    <w:rsid w:val="00B03939"/>
    <w:rsid w:val="00B07607"/>
    <w:rsid w:val="00B11D76"/>
    <w:rsid w:val="00B12CFF"/>
    <w:rsid w:val="00B12F2E"/>
    <w:rsid w:val="00B137A7"/>
    <w:rsid w:val="00B13DC3"/>
    <w:rsid w:val="00B142AB"/>
    <w:rsid w:val="00B15375"/>
    <w:rsid w:val="00B163F1"/>
    <w:rsid w:val="00B170E0"/>
    <w:rsid w:val="00B175AA"/>
    <w:rsid w:val="00B17D95"/>
    <w:rsid w:val="00B2480C"/>
    <w:rsid w:val="00B3033C"/>
    <w:rsid w:val="00B31C12"/>
    <w:rsid w:val="00B32513"/>
    <w:rsid w:val="00B331A2"/>
    <w:rsid w:val="00B3509C"/>
    <w:rsid w:val="00B35939"/>
    <w:rsid w:val="00B35C03"/>
    <w:rsid w:val="00B40B34"/>
    <w:rsid w:val="00B40E8C"/>
    <w:rsid w:val="00B41235"/>
    <w:rsid w:val="00B4635E"/>
    <w:rsid w:val="00B47034"/>
    <w:rsid w:val="00B47E06"/>
    <w:rsid w:val="00B47F4B"/>
    <w:rsid w:val="00B52654"/>
    <w:rsid w:val="00B52791"/>
    <w:rsid w:val="00B52EA2"/>
    <w:rsid w:val="00B54EDA"/>
    <w:rsid w:val="00B55CBE"/>
    <w:rsid w:val="00B57902"/>
    <w:rsid w:val="00B62B24"/>
    <w:rsid w:val="00B634ED"/>
    <w:rsid w:val="00B641D2"/>
    <w:rsid w:val="00B66DA1"/>
    <w:rsid w:val="00B66DB1"/>
    <w:rsid w:val="00B7053B"/>
    <w:rsid w:val="00B732D1"/>
    <w:rsid w:val="00B73CB0"/>
    <w:rsid w:val="00B7575F"/>
    <w:rsid w:val="00B763ED"/>
    <w:rsid w:val="00B76433"/>
    <w:rsid w:val="00B816FB"/>
    <w:rsid w:val="00B81F45"/>
    <w:rsid w:val="00B820D3"/>
    <w:rsid w:val="00B8255E"/>
    <w:rsid w:val="00B84178"/>
    <w:rsid w:val="00B868E8"/>
    <w:rsid w:val="00B923C1"/>
    <w:rsid w:val="00B92D10"/>
    <w:rsid w:val="00B943B4"/>
    <w:rsid w:val="00B94704"/>
    <w:rsid w:val="00B9569C"/>
    <w:rsid w:val="00B96F41"/>
    <w:rsid w:val="00BA1724"/>
    <w:rsid w:val="00BA1A63"/>
    <w:rsid w:val="00BA755A"/>
    <w:rsid w:val="00BB0529"/>
    <w:rsid w:val="00BB1A2F"/>
    <w:rsid w:val="00BB2E43"/>
    <w:rsid w:val="00BB31A4"/>
    <w:rsid w:val="00BB5F7D"/>
    <w:rsid w:val="00BB7C00"/>
    <w:rsid w:val="00BC1291"/>
    <w:rsid w:val="00BC3EF5"/>
    <w:rsid w:val="00BC42D8"/>
    <w:rsid w:val="00BC467C"/>
    <w:rsid w:val="00BD191C"/>
    <w:rsid w:val="00BD5640"/>
    <w:rsid w:val="00BD58DE"/>
    <w:rsid w:val="00BD5CAD"/>
    <w:rsid w:val="00BD777E"/>
    <w:rsid w:val="00BD79CC"/>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0C95"/>
    <w:rsid w:val="00C33861"/>
    <w:rsid w:val="00C35659"/>
    <w:rsid w:val="00C37A8A"/>
    <w:rsid w:val="00C4007B"/>
    <w:rsid w:val="00C41B33"/>
    <w:rsid w:val="00C4225E"/>
    <w:rsid w:val="00C44DF7"/>
    <w:rsid w:val="00C45B15"/>
    <w:rsid w:val="00C46E1D"/>
    <w:rsid w:val="00C521E5"/>
    <w:rsid w:val="00C5496A"/>
    <w:rsid w:val="00C54AE9"/>
    <w:rsid w:val="00C56640"/>
    <w:rsid w:val="00C57D9E"/>
    <w:rsid w:val="00C60934"/>
    <w:rsid w:val="00C617E9"/>
    <w:rsid w:val="00C63393"/>
    <w:rsid w:val="00C635CF"/>
    <w:rsid w:val="00C67C99"/>
    <w:rsid w:val="00C7291C"/>
    <w:rsid w:val="00C72B74"/>
    <w:rsid w:val="00C72DEC"/>
    <w:rsid w:val="00C731DE"/>
    <w:rsid w:val="00C73C41"/>
    <w:rsid w:val="00C7438C"/>
    <w:rsid w:val="00C7744C"/>
    <w:rsid w:val="00C80876"/>
    <w:rsid w:val="00C81873"/>
    <w:rsid w:val="00C8417E"/>
    <w:rsid w:val="00C843E4"/>
    <w:rsid w:val="00C87D78"/>
    <w:rsid w:val="00C90823"/>
    <w:rsid w:val="00C91EA8"/>
    <w:rsid w:val="00CA4D71"/>
    <w:rsid w:val="00CA540B"/>
    <w:rsid w:val="00CA6C0F"/>
    <w:rsid w:val="00CB3E6C"/>
    <w:rsid w:val="00CB40CA"/>
    <w:rsid w:val="00CC0EDA"/>
    <w:rsid w:val="00CC11B7"/>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E7AEB"/>
    <w:rsid w:val="00CF0521"/>
    <w:rsid w:val="00CF0EA3"/>
    <w:rsid w:val="00CF14EE"/>
    <w:rsid w:val="00CF4230"/>
    <w:rsid w:val="00CF5145"/>
    <w:rsid w:val="00CF6208"/>
    <w:rsid w:val="00D02730"/>
    <w:rsid w:val="00D034B7"/>
    <w:rsid w:val="00D044F7"/>
    <w:rsid w:val="00D045CA"/>
    <w:rsid w:val="00D05C0E"/>
    <w:rsid w:val="00D060A6"/>
    <w:rsid w:val="00D11117"/>
    <w:rsid w:val="00D12F64"/>
    <w:rsid w:val="00D137EC"/>
    <w:rsid w:val="00D138AC"/>
    <w:rsid w:val="00D15520"/>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1A1"/>
    <w:rsid w:val="00D44537"/>
    <w:rsid w:val="00D44CB1"/>
    <w:rsid w:val="00D45126"/>
    <w:rsid w:val="00D4586A"/>
    <w:rsid w:val="00D54F06"/>
    <w:rsid w:val="00D5554C"/>
    <w:rsid w:val="00D56BEF"/>
    <w:rsid w:val="00D61F80"/>
    <w:rsid w:val="00D663CA"/>
    <w:rsid w:val="00D674E8"/>
    <w:rsid w:val="00D73B0A"/>
    <w:rsid w:val="00D751C2"/>
    <w:rsid w:val="00D75233"/>
    <w:rsid w:val="00D82A56"/>
    <w:rsid w:val="00D82DAE"/>
    <w:rsid w:val="00D855F4"/>
    <w:rsid w:val="00D85606"/>
    <w:rsid w:val="00D877DB"/>
    <w:rsid w:val="00D9081A"/>
    <w:rsid w:val="00D91F07"/>
    <w:rsid w:val="00D933EF"/>
    <w:rsid w:val="00D94920"/>
    <w:rsid w:val="00D96EE7"/>
    <w:rsid w:val="00DA05BD"/>
    <w:rsid w:val="00DA1B9D"/>
    <w:rsid w:val="00DA45D8"/>
    <w:rsid w:val="00DA57CD"/>
    <w:rsid w:val="00DB191E"/>
    <w:rsid w:val="00DB3266"/>
    <w:rsid w:val="00DB4ABD"/>
    <w:rsid w:val="00DB4B68"/>
    <w:rsid w:val="00DC0572"/>
    <w:rsid w:val="00DC2FD1"/>
    <w:rsid w:val="00DC47AB"/>
    <w:rsid w:val="00DC5336"/>
    <w:rsid w:val="00DD052C"/>
    <w:rsid w:val="00DD242D"/>
    <w:rsid w:val="00DD25BC"/>
    <w:rsid w:val="00DD2DE8"/>
    <w:rsid w:val="00DD3B93"/>
    <w:rsid w:val="00DD54DF"/>
    <w:rsid w:val="00DE17A1"/>
    <w:rsid w:val="00DE1F5C"/>
    <w:rsid w:val="00DE28BA"/>
    <w:rsid w:val="00DE4643"/>
    <w:rsid w:val="00DF1B21"/>
    <w:rsid w:val="00DF2ABD"/>
    <w:rsid w:val="00DF3F06"/>
    <w:rsid w:val="00DF430D"/>
    <w:rsid w:val="00DF4915"/>
    <w:rsid w:val="00E06DD9"/>
    <w:rsid w:val="00E11C35"/>
    <w:rsid w:val="00E13D34"/>
    <w:rsid w:val="00E14566"/>
    <w:rsid w:val="00E16FC1"/>
    <w:rsid w:val="00E30785"/>
    <w:rsid w:val="00E324A7"/>
    <w:rsid w:val="00E34AE0"/>
    <w:rsid w:val="00E3581D"/>
    <w:rsid w:val="00E36216"/>
    <w:rsid w:val="00E378A9"/>
    <w:rsid w:val="00E43E20"/>
    <w:rsid w:val="00E442E3"/>
    <w:rsid w:val="00E45B4D"/>
    <w:rsid w:val="00E5193F"/>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87FAA"/>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B598A"/>
    <w:rsid w:val="00EB63F1"/>
    <w:rsid w:val="00EC0268"/>
    <w:rsid w:val="00EC2BAC"/>
    <w:rsid w:val="00EC622D"/>
    <w:rsid w:val="00EC70DD"/>
    <w:rsid w:val="00ED0181"/>
    <w:rsid w:val="00ED06D1"/>
    <w:rsid w:val="00ED07E7"/>
    <w:rsid w:val="00ED0CDD"/>
    <w:rsid w:val="00ED2445"/>
    <w:rsid w:val="00ED4D61"/>
    <w:rsid w:val="00ED774F"/>
    <w:rsid w:val="00EE15A1"/>
    <w:rsid w:val="00EE1DC0"/>
    <w:rsid w:val="00EE5FF3"/>
    <w:rsid w:val="00EF0BE7"/>
    <w:rsid w:val="00EF13A7"/>
    <w:rsid w:val="00EF1DF3"/>
    <w:rsid w:val="00EF446F"/>
    <w:rsid w:val="00EF4786"/>
    <w:rsid w:val="00EF4E61"/>
    <w:rsid w:val="00F0256C"/>
    <w:rsid w:val="00F03E2F"/>
    <w:rsid w:val="00F04A11"/>
    <w:rsid w:val="00F05438"/>
    <w:rsid w:val="00F05BE0"/>
    <w:rsid w:val="00F06882"/>
    <w:rsid w:val="00F11373"/>
    <w:rsid w:val="00F12913"/>
    <w:rsid w:val="00F14418"/>
    <w:rsid w:val="00F148B2"/>
    <w:rsid w:val="00F15F18"/>
    <w:rsid w:val="00F16C09"/>
    <w:rsid w:val="00F247BC"/>
    <w:rsid w:val="00F26004"/>
    <w:rsid w:val="00F315AB"/>
    <w:rsid w:val="00F3226B"/>
    <w:rsid w:val="00F331AC"/>
    <w:rsid w:val="00F342C7"/>
    <w:rsid w:val="00F35C53"/>
    <w:rsid w:val="00F3651F"/>
    <w:rsid w:val="00F36627"/>
    <w:rsid w:val="00F417FD"/>
    <w:rsid w:val="00F45C25"/>
    <w:rsid w:val="00F4637E"/>
    <w:rsid w:val="00F46FF8"/>
    <w:rsid w:val="00F47A93"/>
    <w:rsid w:val="00F50765"/>
    <w:rsid w:val="00F51502"/>
    <w:rsid w:val="00F55965"/>
    <w:rsid w:val="00F56FAE"/>
    <w:rsid w:val="00F57DBF"/>
    <w:rsid w:val="00F63084"/>
    <w:rsid w:val="00F720D6"/>
    <w:rsid w:val="00F75E07"/>
    <w:rsid w:val="00F77137"/>
    <w:rsid w:val="00F777C7"/>
    <w:rsid w:val="00F8132B"/>
    <w:rsid w:val="00F82A1D"/>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3DA7"/>
    <w:rsid w:val="00FD3F20"/>
    <w:rsid w:val="00FD662A"/>
    <w:rsid w:val="00FE0312"/>
    <w:rsid w:val="00FE0CA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2"/>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35939"/>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4219">
      <w:bodyDiv w:val="1"/>
      <w:marLeft w:val="0"/>
      <w:marRight w:val="0"/>
      <w:marTop w:val="0"/>
      <w:marBottom w:val="0"/>
      <w:divBdr>
        <w:top w:val="none" w:sz="0" w:space="0" w:color="auto"/>
        <w:left w:val="none" w:sz="0" w:space="0" w:color="auto"/>
        <w:bottom w:val="none" w:sz="0" w:space="0" w:color="auto"/>
        <w:right w:val="none" w:sz="0" w:space="0" w:color="auto"/>
      </w:divBdr>
    </w:div>
    <w:div w:id="764687933">
      <w:bodyDiv w:val="1"/>
      <w:marLeft w:val="0"/>
      <w:marRight w:val="0"/>
      <w:marTop w:val="0"/>
      <w:marBottom w:val="0"/>
      <w:divBdr>
        <w:top w:val="none" w:sz="0" w:space="0" w:color="auto"/>
        <w:left w:val="none" w:sz="0" w:space="0" w:color="auto"/>
        <w:bottom w:val="none" w:sz="0" w:space="0" w:color="auto"/>
        <w:right w:val="none" w:sz="0" w:space="0" w:color="auto"/>
      </w:divBdr>
    </w:div>
    <w:div w:id="1300499034">
      <w:bodyDiv w:val="1"/>
      <w:marLeft w:val="0"/>
      <w:marRight w:val="0"/>
      <w:marTop w:val="0"/>
      <w:marBottom w:val="0"/>
      <w:divBdr>
        <w:top w:val="none" w:sz="0" w:space="0" w:color="auto"/>
        <w:left w:val="none" w:sz="0" w:space="0" w:color="auto"/>
        <w:bottom w:val="none" w:sz="0" w:space="0" w:color="auto"/>
        <w:right w:val="none" w:sz="0" w:space="0" w:color="auto"/>
      </w:divBdr>
    </w:div>
    <w:div w:id="1611426924">
      <w:bodyDiv w:val="1"/>
      <w:marLeft w:val="0"/>
      <w:marRight w:val="0"/>
      <w:marTop w:val="0"/>
      <w:marBottom w:val="0"/>
      <w:divBdr>
        <w:top w:val="none" w:sz="0" w:space="0" w:color="auto"/>
        <w:left w:val="none" w:sz="0" w:space="0" w:color="auto"/>
        <w:bottom w:val="none" w:sz="0" w:space="0" w:color="auto"/>
        <w:right w:val="none" w:sz="0" w:space="0" w:color="auto"/>
      </w:divBdr>
    </w:div>
    <w:div w:id="1786727640">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 w:id="21217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regulation/public/1999/0202/latest/DLM288425.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on.govt.nz/regulation/public/1989/0064/latest/DLM129834.html?src=q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parliament.nz/resources/he-rauemi-tataki-ea-resource-offering-effective-apology" TargetMode="External"/><Relationship Id="rId1" Type="http://schemas.openxmlformats.org/officeDocument/2006/relationships/hyperlink" Target="https://www.education.govt.nz/school/managing-and-supporting-students/student-behaviour-help-and-guidance/stand-downs-suspensions-exclusions-and-expulsion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0D92-430F-48C6-8C57-02B4F11B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Background</vt:lpstr>
      <vt:lpstr>Investigation</vt:lpstr>
      <vt:lpstr>    Decision to suspend: gross misconduct</vt:lpstr>
      <vt:lpstr>    Decision to exclude student </vt:lpstr>
      <vt:lpstr>    Obligation to record the decision and the reasons for it in writing</vt:lpstr>
      <vt:lpstr>    Pre-emptive removal of student from roll</vt:lpstr>
      <vt:lpstr>    Impartiality of Board and respect for student</vt:lpstr>
      <vt:lpstr>Outcome</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2023-01-30T21:14:00Z</dcterms:created>
  <dcterms:modified xsi:type="dcterms:W3CDTF">2023-01-30T21:14:00Z</dcterms:modified>
  <cp:contentStatus/>
</cp:coreProperties>
</file>