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DDFEF" w14:textId="77777777" w:rsidR="00E96424" w:rsidRDefault="00E96424" w:rsidP="00283F3B">
      <w:pPr>
        <w:pStyle w:val="BodyText1"/>
      </w:pPr>
      <w:bookmarkStart w:id="0" w:name="_GoBack"/>
      <w:bookmarkEnd w:id="0"/>
    </w:p>
    <w:tbl>
      <w:tblPr>
        <w:tblStyle w:val="TableGridnoborders"/>
        <w:tblW w:w="9299" w:type="dxa"/>
        <w:tblInd w:w="0" w:type="dxa"/>
        <w:tblBorders>
          <w:bottom w:val="single" w:sz="4" w:space="0" w:color="4D4D4D"/>
        </w:tblBorders>
        <w:tblCellMar>
          <w:top w:w="0" w:type="dxa"/>
          <w:left w:w="0" w:type="dxa"/>
          <w:right w:w="0" w:type="dxa"/>
        </w:tblCellMar>
        <w:tblLook w:val="04A0" w:firstRow="1" w:lastRow="0" w:firstColumn="1" w:lastColumn="0" w:noHBand="0" w:noVBand="1"/>
        <w:tblCaption w:val="Table for formatting purposes"/>
      </w:tblPr>
      <w:tblGrid>
        <w:gridCol w:w="9299"/>
      </w:tblGrid>
      <w:tr w:rsidR="00ED0181" w14:paraId="1F07754D" w14:textId="77777777" w:rsidTr="0060547F">
        <w:trPr>
          <w:trHeight w:hRule="exact" w:val="3300"/>
        </w:trPr>
        <w:tc>
          <w:tcPr>
            <w:tcW w:w="9299" w:type="dxa"/>
            <w:tcMar>
              <w:top w:w="794" w:type="dxa"/>
            </w:tcMar>
            <w:vAlign w:val="bottom"/>
          </w:tcPr>
          <w:p w14:paraId="38F4B66E" w14:textId="40D0392C" w:rsidR="00166C30" w:rsidRPr="000E36A8" w:rsidRDefault="0060547F" w:rsidP="001D5708">
            <w:pPr>
              <w:pStyle w:val="Title"/>
            </w:pPr>
            <w:r>
              <w:t>O</w:t>
            </w:r>
            <w:r w:rsidR="00081823">
              <w:t xml:space="preserve">mission by </w:t>
            </w:r>
            <w:r w:rsidR="00860DCD">
              <w:t xml:space="preserve">school board </w:t>
            </w:r>
            <w:r w:rsidR="00081823">
              <w:t>to</w:t>
            </w:r>
            <w:r w:rsidR="005631D0">
              <w:t xml:space="preserve"> </w:t>
            </w:r>
            <w:r w:rsidR="001D5708">
              <w:t>consider</w:t>
            </w:r>
            <w:r>
              <w:t xml:space="preserve"> behavioural </w:t>
            </w:r>
            <w:r w:rsidR="005631D0">
              <w:t>su</w:t>
            </w:r>
            <w:r>
              <w:t xml:space="preserve">pport prior to exclusion </w:t>
            </w:r>
            <w:r w:rsidR="00531CEF">
              <w:t xml:space="preserve">of student </w:t>
            </w:r>
          </w:p>
        </w:tc>
      </w:tr>
      <w:tr w:rsidR="00C87D78" w14:paraId="37A017A5" w14:textId="77777777" w:rsidTr="004B6DF7">
        <w:trPr>
          <w:trHeight w:hRule="exact" w:val="340"/>
        </w:trPr>
        <w:tc>
          <w:tcPr>
            <w:tcW w:w="9299" w:type="dxa"/>
            <w:vAlign w:val="bottom"/>
          </w:tcPr>
          <w:p w14:paraId="7C2BCE8E" w14:textId="77777777" w:rsidR="00C87D78" w:rsidRDefault="00C87D78" w:rsidP="00C731DE"/>
        </w:tc>
      </w:tr>
      <w:tr w:rsidR="00F417FD" w14:paraId="005CC738" w14:textId="77777777" w:rsidTr="004B6DF7">
        <w:trPr>
          <w:trHeight w:val="2098"/>
        </w:trPr>
        <w:tc>
          <w:tcPr>
            <w:tcW w:w="9299" w:type="dxa"/>
          </w:tcPr>
          <w:p w14:paraId="13B7EABD" w14:textId="04DCA670" w:rsidR="00F417FD" w:rsidRPr="00971749" w:rsidRDefault="00F417FD" w:rsidP="00971749">
            <w:pPr>
              <w:pStyle w:val="Heading1-Subnonboldtext"/>
            </w:pPr>
            <w:r w:rsidRPr="00971749">
              <w:rPr>
                <w:rStyle w:val="Heading1-Sub"/>
              </w:rPr>
              <w:t>Legislation</w:t>
            </w:r>
            <w:r w:rsidRPr="00971749">
              <w:tab/>
            </w:r>
            <w:r w:rsidR="003D7060">
              <w:t>Ombudsm</w:t>
            </w:r>
            <w:r w:rsidR="001D5708">
              <w:t>e</w:t>
            </w:r>
            <w:r w:rsidR="003D7060">
              <w:t>n Act 1975</w:t>
            </w:r>
            <w:r w:rsidR="00E10C64">
              <w:t xml:space="preserve">, Education and Training Act 2020 </w:t>
            </w:r>
          </w:p>
          <w:p w14:paraId="11B50751" w14:textId="1FE9D435" w:rsidR="00F417FD" w:rsidRPr="00971749" w:rsidRDefault="00F417FD" w:rsidP="00971749">
            <w:pPr>
              <w:pStyle w:val="Heading1-Subnonboldtext"/>
            </w:pPr>
            <w:r w:rsidRPr="00971749">
              <w:rPr>
                <w:rStyle w:val="Heading1-Sub"/>
              </w:rPr>
              <w:t>Agency</w:t>
            </w:r>
            <w:r w:rsidRPr="00971749">
              <w:tab/>
            </w:r>
            <w:r w:rsidR="00531CEF">
              <w:t xml:space="preserve">School </w:t>
            </w:r>
            <w:r w:rsidR="001D5708">
              <w:t>B</w:t>
            </w:r>
            <w:r w:rsidR="003D7060">
              <w:t xml:space="preserve">oard </w:t>
            </w:r>
          </w:p>
          <w:p w14:paraId="68E659CF" w14:textId="77777777" w:rsidR="00F417FD" w:rsidRPr="00971749" w:rsidRDefault="00F417FD" w:rsidP="00971749">
            <w:pPr>
              <w:pStyle w:val="Heading1-Subnonboldtext"/>
            </w:pPr>
            <w:r w:rsidRPr="00971749">
              <w:rPr>
                <w:rStyle w:val="Heading1-Sub"/>
              </w:rPr>
              <w:t>Ombudsman</w:t>
            </w:r>
            <w:r w:rsidRPr="00971749">
              <w:tab/>
            </w:r>
            <w:r w:rsidR="003D7060">
              <w:t>Peter Boshier</w:t>
            </w:r>
          </w:p>
          <w:p w14:paraId="68103A8E" w14:textId="77777777" w:rsidR="00F417FD" w:rsidRPr="00971749" w:rsidRDefault="00F417FD" w:rsidP="00971749">
            <w:pPr>
              <w:pStyle w:val="Heading1-Subnonboldtext"/>
            </w:pPr>
            <w:r w:rsidRPr="00971749">
              <w:rPr>
                <w:rStyle w:val="Heading1-Sub"/>
              </w:rPr>
              <w:t>Case number(s)</w:t>
            </w:r>
            <w:r w:rsidRPr="00971749">
              <w:tab/>
            </w:r>
            <w:r w:rsidR="003D7060">
              <w:t>560447</w:t>
            </w:r>
          </w:p>
          <w:p w14:paraId="51A34A0D" w14:textId="77777777" w:rsidR="00F417FD" w:rsidRPr="00F417FD" w:rsidRDefault="00F417FD" w:rsidP="003D7060">
            <w:pPr>
              <w:pStyle w:val="Heading1-Subnonboldtext"/>
            </w:pPr>
            <w:r w:rsidRPr="00971749">
              <w:rPr>
                <w:rStyle w:val="Heading1-Sub"/>
              </w:rPr>
              <w:t>Date</w:t>
            </w:r>
            <w:r w:rsidRPr="00971749">
              <w:tab/>
            </w:r>
            <w:r w:rsidR="003D7060">
              <w:t>27 June 2022</w:t>
            </w:r>
          </w:p>
        </w:tc>
      </w:tr>
    </w:tbl>
    <w:p w14:paraId="0576800C" w14:textId="563D935F" w:rsidR="00E759C9" w:rsidRDefault="00E759C9" w:rsidP="00E759C9">
      <w:pPr>
        <w:pStyle w:val="BodyText"/>
      </w:pPr>
    </w:p>
    <w:p w14:paraId="3767F076" w14:textId="77777777" w:rsidR="00E759C9" w:rsidRPr="00E759C9" w:rsidRDefault="00E759C9" w:rsidP="00E759C9">
      <w:pPr>
        <w:pStyle w:val="BodyText"/>
        <w:rPr>
          <w:rFonts w:eastAsia="Calibri" w:cs="Times New Roman"/>
          <w:i/>
        </w:rPr>
      </w:pPr>
      <w:r w:rsidRPr="00E759C9">
        <w:rPr>
          <w:rStyle w:val="Italics"/>
        </w:rPr>
        <w:t xml:space="preserve">Complaint made about a decision by School Board to exclude a student under the Education and Training Act 2020 – investigation found </w:t>
      </w:r>
      <w:r w:rsidRPr="00E759C9">
        <w:rPr>
          <w:i/>
        </w:rPr>
        <w:t xml:space="preserve">the decision was not unreasonable but Board’s omission to examine whether the student provided with adequate support in relation to behavioural concerns was unreasonable – Ombudsman </w:t>
      </w:r>
      <w:r w:rsidRPr="00E759C9">
        <w:rPr>
          <w:rFonts w:eastAsia="Calibri" w:cs="Times New Roman"/>
          <w:i/>
        </w:rPr>
        <w:t xml:space="preserve">recommended </w:t>
      </w:r>
      <w:r w:rsidRPr="00E759C9">
        <w:rPr>
          <w:i/>
        </w:rPr>
        <w:t>the Board amend the School’s practices, policies, and guidelines.</w:t>
      </w:r>
    </w:p>
    <w:p w14:paraId="02535171" w14:textId="76C52DAF" w:rsidR="00E77A82" w:rsidRDefault="00E77A82" w:rsidP="00A333DF">
      <w:pPr>
        <w:pStyle w:val="Heading1"/>
      </w:pPr>
      <w:r>
        <w:t>Summary</w:t>
      </w:r>
    </w:p>
    <w:p w14:paraId="516801F7" w14:textId="7F488B8C" w:rsidR="003D7060" w:rsidRDefault="0026651F" w:rsidP="00E77A82">
      <w:pPr>
        <w:pStyle w:val="BodyText"/>
      </w:pPr>
      <w:r>
        <w:t>In term three,</w:t>
      </w:r>
      <w:r w:rsidR="00535191">
        <w:t xml:space="preserve"> </w:t>
      </w:r>
      <w:r>
        <w:t xml:space="preserve">a </w:t>
      </w:r>
      <w:r w:rsidR="00BE6CF0">
        <w:t>School</w:t>
      </w:r>
      <w:r w:rsidR="00974718">
        <w:t xml:space="preserve"> Board (the Board)</w:t>
      </w:r>
      <w:r w:rsidR="00BE6CF0">
        <w:t xml:space="preserve"> excluded a student for ‘</w:t>
      </w:r>
      <w:r w:rsidR="00BE6CF0" w:rsidRPr="005539D8">
        <w:rPr>
          <w:rStyle w:val="Quotationwithinthesentence"/>
        </w:rPr>
        <w:t>continual disobedience</w:t>
      </w:r>
      <w:r w:rsidR="00BE6CF0">
        <w:t>’</w:t>
      </w:r>
      <w:r w:rsidR="009A5A2E">
        <w:t xml:space="preserve"> under the Education and Training Act 2020 (the Act).</w:t>
      </w:r>
      <w:r w:rsidR="00A70B47" w:rsidRPr="00A70B47">
        <w:rPr>
          <w:vertAlign w:val="superscript"/>
        </w:rPr>
        <w:footnoteReference w:id="2"/>
      </w:r>
      <w:r w:rsidR="00A70B47" w:rsidRPr="00A70B47">
        <w:t xml:space="preserve"> </w:t>
      </w:r>
      <w:r w:rsidR="00BE6CF0">
        <w:t xml:space="preserve">The Chief Ombudsman found the Board failed to properly examine the </w:t>
      </w:r>
      <w:r w:rsidR="00C172A0">
        <w:t xml:space="preserve">level of </w:t>
      </w:r>
      <w:r w:rsidR="00BE6CF0">
        <w:t xml:space="preserve">support offered to the student before excluding </w:t>
      </w:r>
      <w:r w:rsidR="001D5708">
        <w:t>them</w:t>
      </w:r>
      <w:r w:rsidR="00BE6CF0">
        <w:t xml:space="preserve">. However, </w:t>
      </w:r>
      <w:r w:rsidR="00420054">
        <w:t xml:space="preserve">on the facts of the case, </w:t>
      </w:r>
      <w:r w:rsidR="00BE6CF0">
        <w:t xml:space="preserve">this omission was not enough for the Ombudsman to </w:t>
      </w:r>
      <w:r w:rsidR="00594D41">
        <w:t>conclude</w:t>
      </w:r>
      <w:r w:rsidR="00BE6CF0">
        <w:t xml:space="preserve"> that </w:t>
      </w:r>
      <w:r w:rsidR="00DF5A28">
        <w:t xml:space="preserve">the suspension and </w:t>
      </w:r>
      <w:r w:rsidR="00BE6CF0">
        <w:t>exclusion</w:t>
      </w:r>
      <w:r w:rsidR="00C172A0">
        <w:t xml:space="preserve"> </w:t>
      </w:r>
      <w:r w:rsidR="004F16B6">
        <w:t xml:space="preserve">itself </w:t>
      </w:r>
      <w:r w:rsidR="00C172A0">
        <w:t>was</w:t>
      </w:r>
      <w:r w:rsidR="00BE6CF0">
        <w:t xml:space="preserve"> unreasonable. The</w:t>
      </w:r>
      <w:r w:rsidR="004F16B6">
        <w:t xml:space="preserve"> </w:t>
      </w:r>
      <w:r w:rsidR="00BE6CF0">
        <w:t xml:space="preserve">Ombudsman recommended the Board improve the </w:t>
      </w:r>
      <w:r w:rsidR="00F769CF">
        <w:t xml:space="preserve">School’s </w:t>
      </w:r>
      <w:r w:rsidR="00BE6CF0">
        <w:t xml:space="preserve">suspension and exclusion policy and practice, to ensure that it </w:t>
      </w:r>
      <w:r w:rsidR="00C172A0">
        <w:t>specifically</w:t>
      </w:r>
      <w:r w:rsidR="00BE6CF0">
        <w:t xml:space="preserve"> examines the support offered to students</w:t>
      </w:r>
      <w:r w:rsidR="00C13BD3">
        <w:t xml:space="preserve"> before making a decision</w:t>
      </w:r>
      <w:r w:rsidR="00BE6CF0">
        <w:t xml:space="preserve">. </w:t>
      </w:r>
    </w:p>
    <w:p w14:paraId="1E204580" w14:textId="77777777" w:rsidR="00E77A82" w:rsidRDefault="00E77A82" w:rsidP="00E77A82">
      <w:pPr>
        <w:pStyle w:val="Heading1"/>
      </w:pPr>
      <w:r>
        <w:lastRenderedPageBreak/>
        <w:t>Background</w:t>
      </w:r>
    </w:p>
    <w:p w14:paraId="5716FED0" w14:textId="16AE45A0" w:rsidR="00A70B47" w:rsidRDefault="0026651F" w:rsidP="00A70B47">
      <w:pPr>
        <w:pStyle w:val="BodyText"/>
      </w:pPr>
      <w:r>
        <w:t>T</w:t>
      </w:r>
      <w:r w:rsidR="00A70B47">
        <w:t xml:space="preserve">he student’s behaviour had been an issue at the </w:t>
      </w:r>
      <w:r w:rsidR="00F769CF">
        <w:t xml:space="preserve">School </w:t>
      </w:r>
      <w:r w:rsidR="00A70B47">
        <w:t xml:space="preserve">since the start of the </w:t>
      </w:r>
      <w:r>
        <w:t xml:space="preserve">school </w:t>
      </w:r>
      <w:r w:rsidR="00A70B47">
        <w:t>year. Th</w:t>
      </w:r>
      <w:r w:rsidR="005B45C7">
        <w:t>e student’s pastoral records contained</w:t>
      </w:r>
      <w:r w:rsidR="00AA5E0C">
        <w:t xml:space="preserve"> </w:t>
      </w:r>
      <w:r w:rsidR="00A70B47">
        <w:t>multiple entries each month</w:t>
      </w:r>
      <w:r w:rsidR="00A70B47" w:rsidRPr="00CA5ECA">
        <w:t xml:space="preserve"> </w:t>
      </w:r>
      <w:r w:rsidR="005B45C7">
        <w:t>regrading behavioural</w:t>
      </w:r>
      <w:r w:rsidR="00AA5E0C">
        <w:t xml:space="preserve"> concerns</w:t>
      </w:r>
      <w:r w:rsidR="001D5708">
        <w:t>,</w:t>
      </w:r>
      <w:r w:rsidR="00AA5E0C">
        <w:t xml:space="preserve"> </w:t>
      </w:r>
      <w:r w:rsidR="00C172A0">
        <w:t>including</w:t>
      </w:r>
      <w:r w:rsidR="00A70B47" w:rsidRPr="00CA5ECA">
        <w:t xml:space="preserve"> not doing homework, acting up in class, disrespecting teachers, </w:t>
      </w:r>
      <w:r w:rsidR="00501733">
        <w:t xml:space="preserve">being involved in </w:t>
      </w:r>
      <w:r w:rsidR="00AA5E0C">
        <w:t>vaping</w:t>
      </w:r>
      <w:r w:rsidR="00651509">
        <w:t>,</w:t>
      </w:r>
      <w:r w:rsidR="00AA5E0C">
        <w:t xml:space="preserve"> </w:t>
      </w:r>
      <w:r w:rsidR="00A70B47" w:rsidRPr="00CA5ECA">
        <w:t xml:space="preserve">and not bringing </w:t>
      </w:r>
      <w:r w:rsidR="001D5708">
        <w:t>required</w:t>
      </w:r>
      <w:r w:rsidR="00A70B47">
        <w:t xml:space="preserve"> gear to school. The student had received multiple detentions for these behaviours, a</w:t>
      </w:r>
      <w:r w:rsidR="00C172A0">
        <w:t>nd there had also been</w:t>
      </w:r>
      <w:r w:rsidR="00A70B47">
        <w:t xml:space="preserve"> a </w:t>
      </w:r>
      <w:r w:rsidR="00A70B47" w:rsidRPr="00CA5ECA">
        <w:t xml:space="preserve">number of </w:t>
      </w:r>
      <w:r w:rsidR="00AA5E0C">
        <w:t xml:space="preserve">unexplained </w:t>
      </w:r>
      <w:r w:rsidR="00A70B47" w:rsidRPr="00CA5ECA">
        <w:t>absences</w:t>
      </w:r>
      <w:r w:rsidR="00AA5E0C">
        <w:t>.</w:t>
      </w:r>
      <w:r w:rsidR="00A70B47">
        <w:t xml:space="preserve"> </w:t>
      </w:r>
    </w:p>
    <w:p w14:paraId="283A5E0F" w14:textId="4C58F0A0" w:rsidR="00A70B47" w:rsidRDefault="005B45C7" w:rsidP="00A70B47">
      <w:pPr>
        <w:pStyle w:val="BodyText"/>
        <w:spacing w:after="120"/>
      </w:pPr>
      <w:r>
        <w:t>Senior staff c</w:t>
      </w:r>
      <w:r w:rsidR="00A70B47">
        <w:t xml:space="preserve">alled and spoke to the student’s parent several </w:t>
      </w:r>
      <w:r>
        <w:t xml:space="preserve">times about </w:t>
      </w:r>
      <w:r w:rsidR="001D5708">
        <w:t xml:space="preserve">the </w:t>
      </w:r>
      <w:r>
        <w:t>behaviour. The S</w:t>
      </w:r>
      <w:r w:rsidR="00A70B47">
        <w:t xml:space="preserve">chool also sent several letters </w:t>
      </w:r>
      <w:r w:rsidR="005C163C">
        <w:t>home about the behaviour</w:t>
      </w:r>
      <w:r w:rsidR="00AA5E0C">
        <w:t xml:space="preserve">. </w:t>
      </w:r>
      <w:r w:rsidR="00A70B47">
        <w:t xml:space="preserve">After one particular incident, the </w:t>
      </w:r>
      <w:r w:rsidR="00F769CF">
        <w:t xml:space="preserve">School </w:t>
      </w:r>
      <w:r w:rsidR="00A70B47">
        <w:t xml:space="preserve">gave the student </w:t>
      </w:r>
      <w:r w:rsidR="006830C4">
        <w:t xml:space="preserve">and his parent </w:t>
      </w:r>
      <w:r w:rsidR="00A70B47">
        <w:t xml:space="preserve">a </w:t>
      </w:r>
      <w:r w:rsidR="00AA5E0C">
        <w:t>‘</w:t>
      </w:r>
      <w:r w:rsidR="00A70B47">
        <w:t>Final Warning</w:t>
      </w:r>
      <w:r w:rsidR="00AA5E0C">
        <w:t>’</w:t>
      </w:r>
      <w:r w:rsidR="00A70B47">
        <w:t xml:space="preserve"> letter</w:t>
      </w:r>
      <w:r w:rsidR="00AA5E0C">
        <w:t xml:space="preserve"> stating</w:t>
      </w:r>
      <w:r w:rsidR="00A70B47">
        <w:t>:</w:t>
      </w:r>
    </w:p>
    <w:p w14:paraId="62373FE3" w14:textId="6A0BAC2C" w:rsidR="00A70B47" w:rsidRPr="00CA5ECA" w:rsidRDefault="00A70B47" w:rsidP="004F673D">
      <w:pPr>
        <w:pStyle w:val="Quotationseparateparagraph"/>
      </w:pPr>
      <w:r w:rsidRPr="00CA5ECA">
        <w:t>In relation to matters such as smoking and truancy and repeated disobedience or non-adherence to school rules the policy of the</w:t>
      </w:r>
      <w:r w:rsidR="004F673D">
        <w:t xml:space="preserve"> [School] </w:t>
      </w:r>
      <w:r w:rsidRPr="00CA5ECA">
        <w:t>is, on the first occasion, for a senior staff member to interview the student concerned and provide a final warning. If there is a further breach of the school rules following the final warn</w:t>
      </w:r>
      <w:r>
        <w:t>ing it is likely that the [Principal]</w:t>
      </w:r>
      <w:r w:rsidRPr="00CA5ECA">
        <w:t xml:space="preserve"> would consider suspension as a disciplinary option.</w:t>
      </w:r>
    </w:p>
    <w:p w14:paraId="7C9ACA84" w14:textId="3F9ECBB2" w:rsidR="00A70B47" w:rsidRDefault="00A70B47" w:rsidP="00BE6CF0">
      <w:pPr>
        <w:pStyle w:val="BodyText"/>
      </w:pPr>
      <w:r>
        <w:t xml:space="preserve">Several weeks after receiving the Final Warning, the student was caught vaping by a school staff member. The Principal suspended </w:t>
      </w:r>
      <w:r w:rsidR="00B06740">
        <w:t xml:space="preserve">the student </w:t>
      </w:r>
      <w:r>
        <w:t>on the grounds of ‘</w:t>
      </w:r>
      <w:r w:rsidRPr="005539D8">
        <w:rPr>
          <w:rStyle w:val="Quotationwithinthesentence"/>
        </w:rPr>
        <w:t>continual disobedience</w:t>
      </w:r>
      <w:r>
        <w:t xml:space="preserve">’ after meeting with the student and </w:t>
      </w:r>
      <w:r w:rsidR="001D5708">
        <w:t xml:space="preserve">their </w:t>
      </w:r>
      <w:r>
        <w:t xml:space="preserve">parents. </w:t>
      </w:r>
      <w:r w:rsidR="00B06740">
        <w:t>As required by the</w:t>
      </w:r>
      <w:r w:rsidR="0018198F">
        <w:t xml:space="preserve"> Act, the</w:t>
      </w:r>
      <w:r>
        <w:t xml:space="preserve"> Board met to consider the suspension</w:t>
      </w:r>
      <w:r w:rsidR="001D5708">
        <w:t xml:space="preserve"> (the suspension hearing)</w:t>
      </w:r>
      <w:r w:rsidR="0018198F">
        <w:t xml:space="preserve">. The Board then </w:t>
      </w:r>
      <w:r>
        <w:t xml:space="preserve">decided to exclude </w:t>
      </w:r>
      <w:r w:rsidR="00B06740">
        <w:t>the student</w:t>
      </w:r>
      <w:r>
        <w:t xml:space="preserve"> from the </w:t>
      </w:r>
      <w:r w:rsidR="00F769CF">
        <w:t>School</w:t>
      </w:r>
      <w:r>
        <w:t xml:space="preserve">. </w:t>
      </w:r>
    </w:p>
    <w:p w14:paraId="59582F19" w14:textId="77777777" w:rsidR="00B06740" w:rsidRDefault="00BA03B5" w:rsidP="00CA5ECA">
      <w:pPr>
        <w:pStyle w:val="Heading1"/>
      </w:pPr>
      <w:r>
        <w:t>T</w:t>
      </w:r>
      <w:r w:rsidR="00262BB3">
        <w:t xml:space="preserve">he </w:t>
      </w:r>
      <w:r w:rsidR="00B06740">
        <w:t xml:space="preserve">Education and Training Act 2020 </w:t>
      </w:r>
    </w:p>
    <w:p w14:paraId="2713C9BF" w14:textId="77777777" w:rsidR="00C2241F" w:rsidRDefault="00D53EC8" w:rsidP="005539D8">
      <w:pPr>
        <w:pStyle w:val="BodyText"/>
      </w:pPr>
      <w:r w:rsidRPr="00D53EC8">
        <w:t xml:space="preserve">The </w:t>
      </w:r>
      <w:r w:rsidR="005620CB">
        <w:t>Education and Training Act 2020</w:t>
      </w:r>
      <w:r w:rsidR="009A5A2E">
        <w:t xml:space="preserve"> </w:t>
      </w:r>
      <w:r w:rsidRPr="00D53EC8">
        <w:t>came into effect on 1 August 2020. </w:t>
      </w:r>
      <w:r w:rsidRPr="005539D8">
        <w:t>It incorporates and replaces the Education Acts 1964 and 1989. It also incorporates the Education (Pastoral Care) Amendment Act 2019, the Education (Vocational Education and Training Reform) Amendment Act 2020</w:t>
      </w:r>
      <w:r w:rsidR="00651509">
        <w:t>,</w:t>
      </w:r>
      <w:r w:rsidRPr="005539D8">
        <w:t xml:space="preserve"> and parts 7, 7A and 7B of the State Sector Act 1988.</w:t>
      </w:r>
      <w:r w:rsidR="009A5A2E">
        <w:t xml:space="preserve"> The Act retains large parts of existing education legislation, subject to various updates, including those that relate to school discipline. </w:t>
      </w:r>
    </w:p>
    <w:p w14:paraId="3D2F5AEF" w14:textId="77777777" w:rsidR="00262BB3" w:rsidRDefault="00262BB3" w:rsidP="005539D8">
      <w:pPr>
        <w:pStyle w:val="BodyText"/>
      </w:pPr>
      <w:r w:rsidRPr="00262BB3">
        <w:t>Sections 78-88 of the</w:t>
      </w:r>
      <w:r w:rsidR="005620CB">
        <w:t xml:space="preserve"> Act</w:t>
      </w:r>
      <w:r w:rsidRPr="00262BB3">
        <w:t xml:space="preserve"> cover stand-downs, suspensions, exclusions and expulsions. The </w:t>
      </w:r>
      <w:r w:rsidRPr="0026651F">
        <w:rPr>
          <w:i/>
        </w:rPr>
        <w:t>Education (Stand-Down, Suspension, Exclusion and Expulsion) Rules 1999</w:t>
      </w:r>
      <w:r w:rsidRPr="00262BB3">
        <w:t xml:space="preserve"> (updated on </w:t>
      </w:r>
      <w:r w:rsidR="00651509">
        <w:br/>
      </w:r>
      <w:r w:rsidRPr="00262BB3">
        <w:t>1 December 2020) regulate the practice and process to be followed by boards, principals, students</w:t>
      </w:r>
      <w:r w:rsidR="00651509">
        <w:t>,</w:t>
      </w:r>
      <w:r w:rsidRPr="00262BB3">
        <w:t xml:space="preserve"> and parents (and other persons) concerning school discipline. </w:t>
      </w:r>
    </w:p>
    <w:p w14:paraId="5CC065A7" w14:textId="67AA2A02" w:rsidR="00B06740" w:rsidRDefault="005620CB" w:rsidP="005539D8">
      <w:pPr>
        <w:pStyle w:val="BodyText"/>
      </w:pPr>
      <w:r>
        <w:t>Section 80(1)(a) of the Act</w:t>
      </w:r>
      <w:r w:rsidR="00B06740">
        <w:t xml:space="preserve"> </w:t>
      </w:r>
      <w:r w:rsidR="00B06740" w:rsidRPr="00B06740">
        <w:t xml:space="preserve">states that a </w:t>
      </w:r>
      <w:r w:rsidR="00651509">
        <w:t>p</w:t>
      </w:r>
      <w:r w:rsidR="00651509" w:rsidRPr="00B06740">
        <w:t xml:space="preserve">rincipal </w:t>
      </w:r>
      <w:r w:rsidR="00B06740" w:rsidRPr="00B06740">
        <w:t>can suspend a student if they are satisfied on reasonable grounds that the student</w:t>
      </w:r>
      <w:r w:rsidR="00B06740">
        <w:t>’</w:t>
      </w:r>
      <w:r w:rsidR="00B06740" w:rsidRPr="00B06740">
        <w:t xml:space="preserve">s continual disobedience is a harmful or dangerous example to other students at the school. The </w:t>
      </w:r>
      <w:r w:rsidR="00651509">
        <w:t>b</w:t>
      </w:r>
      <w:r w:rsidR="00651509" w:rsidRPr="00B06740">
        <w:t xml:space="preserve">oard </w:t>
      </w:r>
      <w:r w:rsidR="00B06740" w:rsidRPr="00B06740">
        <w:t xml:space="preserve">must then meet </w:t>
      </w:r>
      <w:r w:rsidR="00B06740">
        <w:t>with</w:t>
      </w:r>
      <w:r w:rsidR="0026651F">
        <w:t xml:space="preserve">in </w:t>
      </w:r>
      <w:r w:rsidR="00B06740">
        <w:t xml:space="preserve">a seven day period </w:t>
      </w:r>
      <w:r w:rsidR="00B06740" w:rsidRPr="00B06740">
        <w:t>to consider the suspension</w:t>
      </w:r>
      <w:r w:rsidR="00B06740">
        <w:t xml:space="preserve"> (section 81</w:t>
      </w:r>
      <w:r w:rsidR="00C2241F">
        <w:t>(5) of the Act). Under s</w:t>
      </w:r>
      <w:r w:rsidR="00B06740" w:rsidRPr="00B06740">
        <w:t>ecti</w:t>
      </w:r>
      <w:r w:rsidR="00C2241F">
        <w:t>on 81(1)(c) of the Act</w:t>
      </w:r>
      <w:r w:rsidR="00B06740" w:rsidRPr="00B06740">
        <w:t xml:space="preserve">, if the circumstances of the case </w:t>
      </w:r>
      <w:r w:rsidR="00C2241F">
        <w:t>‘</w:t>
      </w:r>
      <w:r w:rsidR="00B06740" w:rsidRPr="005539D8">
        <w:rPr>
          <w:rStyle w:val="Quotationwithinthesentence"/>
        </w:rPr>
        <w:t>justify the most serious response</w:t>
      </w:r>
      <w:r w:rsidR="00C2241F">
        <w:t>’</w:t>
      </w:r>
      <w:r w:rsidR="00B06740" w:rsidRPr="00B06740">
        <w:t xml:space="preserve">, then the </w:t>
      </w:r>
      <w:r w:rsidR="00F769CF">
        <w:t>b</w:t>
      </w:r>
      <w:r w:rsidR="00F769CF" w:rsidRPr="00B06740">
        <w:t xml:space="preserve">oard </w:t>
      </w:r>
      <w:r w:rsidR="00B06740" w:rsidRPr="00B06740">
        <w:t>may exclude the student from the school</w:t>
      </w:r>
      <w:r w:rsidR="00C2241F">
        <w:t>, thus requiring the student to enrol at another school</w:t>
      </w:r>
      <w:r w:rsidR="00B06740" w:rsidRPr="00B06740">
        <w:t>.</w:t>
      </w:r>
    </w:p>
    <w:p w14:paraId="5C08A7E9" w14:textId="77777777" w:rsidR="004E6E01" w:rsidRDefault="00BE6CF0" w:rsidP="00CA5ECA">
      <w:pPr>
        <w:pStyle w:val="Heading1"/>
      </w:pPr>
      <w:r>
        <w:t xml:space="preserve">Investigation </w:t>
      </w:r>
    </w:p>
    <w:p w14:paraId="531E733B" w14:textId="2651FCD9" w:rsidR="00FD1FD1" w:rsidRPr="00FD1FD1" w:rsidRDefault="00F34525" w:rsidP="004E6E01">
      <w:pPr>
        <w:pStyle w:val="BodyText"/>
      </w:pPr>
      <w:r>
        <w:t>The</w:t>
      </w:r>
      <w:r w:rsidR="00FD1FD1" w:rsidRPr="00FD1FD1">
        <w:t xml:space="preserve"> Ombudsman investigated whether the Board followed a reasonable process in relation to the suspension hearing a</w:t>
      </w:r>
      <w:r w:rsidR="00FD1FD1">
        <w:t xml:space="preserve">nd whether the decision to exclude </w:t>
      </w:r>
      <w:r w:rsidR="00F769CF">
        <w:t xml:space="preserve">the student </w:t>
      </w:r>
      <w:r w:rsidR="00FD1FD1">
        <w:t xml:space="preserve">was sound. </w:t>
      </w:r>
      <w:r w:rsidR="005620CB">
        <w:t>This included</w:t>
      </w:r>
      <w:r>
        <w:t xml:space="preserve"> </w:t>
      </w:r>
      <w:r w:rsidR="00FD1FD1" w:rsidRPr="00FD1FD1">
        <w:t>the level of support provide</w:t>
      </w:r>
      <w:r w:rsidR="005B45C7">
        <w:t>d</w:t>
      </w:r>
      <w:r w:rsidR="00FD1FD1" w:rsidRPr="00FD1FD1">
        <w:t xml:space="preserve"> by the </w:t>
      </w:r>
      <w:r w:rsidR="00F769CF">
        <w:t>S</w:t>
      </w:r>
      <w:r w:rsidR="00F769CF" w:rsidRPr="00FD1FD1">
        <w:t xml:space="preserve">chool </w:t>
      </w:r>
      <w:r w:rsidR="00FD1FD1" w:rsidRPr="00FD1FD1">
        <w:t xml:space="preserve">to the student in the months leading up to the suspension and exclusion. </w:t>
      </w:r>
    </w:p>
    <w:p w14:paraId="52377340" w14:textId="77777777" w:rsidR="00583CE2" w:rsidRDefault="00583CE2" w:rsidP="005539D8">
      <w:pPr>
        <w:pStyle w:val="Heading2"/>
      </w:pPr>
      <w:r>
        <w:t xml:space="preserve">Decision to suspend and exclude </w:t>
      </w:r>
    </w:p>
    <w:p w14:paraId="759A2E08" w14:textId="60F26183" w:rsidR="00C84291" w:rsidRDefault="00000BE2" w:rsidP="00A70B47">
      <w:pPr>
        <w:pStyle w:val="BodyText"/>
      </w:pPr>
      <w:r>
        <w:t xml:space="preserve">As noted above, the student’s pastoral record showed </w:t>
      </w:r>
      <w:r w:rsidR="001D5708">
        <w:t xml:space="preserve">their </w:t>
      </w:r>
      <w:r>
        <w:t>behaviour had been an i</w:t>
      </w:r>
      <w:r w:rsidR="00DD1416">
        <w:t>ssue since the first term</w:t>
      </w:r>
      <w:r>
        <w:t>. The student had</w:t>
      </w:r>
      <w:r w:rsidRPr="00A70B47">
        <w:t xml:space="preserve"> received repeated warnings about behaviour</w:t>
      </w:r>
      <w:r w:rsidR="00FD1FD1">
        <w:t xml:space="preserve">, </w:t>
      </w:r>
      <w:r w:rsidR="005C163C">
        <w:t xml:space="preserve">and there was contact several times with his parent, </w:t>
      </w:r>
      <w:r w:rsidR="00FD1FD1">
        <w:t>including a</w:t>
      </w:r>
      <w:r w:rsidR="00EC607E">
        <w:t xml:space="preserve"> Final Warning</w:t>
      </w:r>
      <w:r w:rsidR="0075631C">
        <w:t xml:space="preserve"> letter </w:t>
      </w:r>
      <w:r w:rsidR="005C163C">
        <w:t>(</w:t>
      </w:r>
      <w:r w:rsidR="00F769CF">
        <w:t xml:space="preserve">in keeping with the School’s </w:t>
      </w:r>
      <w:r w:rsidR="0075631C">
        <w:t>policy</w:t>
      </w:r>
      <w:r w:rsidR="005C163C">
        <w:t>)</w:t>
      </w:r>
      <w:r w:rsidRPr="00A70B47">
        <w:t>.</w:t>
      </w:r>
      <w:r w:rsidR="0075631C">
        <w:t xml:space="preserve"> The</w:t>
      </w:r>
      <w:r w:rsidRPr="00A70B47">
        <w:t xml:space="preserve"> </w:t>
      </w:r>
      <w:r w:rsidR="00F769CF">
        <w:t>S</w:t>
      </w:r>
      <w:r w:rsidR="00F769CF" w:rsidRPr="00A70B47">
        <w:t xml:space="preserve">chool </w:t>
      </w:r>
      <w:r w:rsidR="00EC607E">
        <w:t>had made it clear that</w:t>
      </w:r>
      <w:r w:rsidR="00DC260E">
        <w:t xml:space="preserve"> </w:t>
      </w:r>
      <w:r w:rsidR="00EC607E">
        <w:t xml:space="preserve">repeated disobedience and further non-adherence with the required standard of behaviour </w:t>
      </w:r>
      <w:r w:rsidR="0075631C">
        <w:t xml:space="preserve">may result in </w:t>
      </w:r>
      <w:r w:rsidR="00EC607E">
        <w:t>suspension</w:t>
      </w:r>
      <w:r w:rsidR="0075631C">
        <w:t xml:space="preserve"> being considered</w:t>
      </w:r>
      <w:r w:rsidR="00EC607E">
        <w:t xml:space="preserve">. </w:t>
      </w:r>
      <w:r w:rsidR="00C84291">
        <w:t>(</w:t>
      </w:r>
      <w:r w:rsidR="00296245" w:rsidRPr="00296245">
        <w:t>It is important to bear in mind that a breach of school rule or policy is not in itself grounds fo</w:t>
      </w:r>
      <w:r w:rsidR="00C84291">
        <w:t>r suspending a student, but rather a relevant factor to take into consideration)</w:t>
      </w:r>
      <w:r w:rsidR="00CA551F">
        <w:t>.</w:t>
      </w:r>
      <w:r w:rsidR="00C84291">
        <w:t xml:space="preserve"> H</w:t>
      </w:r>
      <w:r w:rsidR="00EC607E">
        <w:t xml:space="preserve">owever, </w:t>
      </w:r>
      <w:r w:rsidR="00296245">
        <w:t xml:space="preserve">the student was </w:t>
      </w:r>
      <w:r w:rsidR="000978AD">
        <w:t xml:space="preserve">then </w:t>
      </w:r>
      <w:r w:rsidR="00296245">
        <w:t>caught vaping</w:t>
      </w:r>
      <w:r w:rsidR="00501733">
        <w:t xml:space="preserve"> </w:t>
      </w:r>
      <w:r w:rsidR="00B659A7">
        <w:t>despite a Final Warning letter about this type of behaviour</w:t>
      </w:r>
      <w:r w:rsidR="00501733">
        <w:t>.</w:t>
      </w:r>
      <w:r w:rsidR="00296245">
        <w:t xml:space="preserve"> </w:t>
      </w:r>
      <w:r w:rsidR="00583CE2">
        <w:t>Overall</w:t>
      </w:r>
      <w:r w:rsidR="00380E4E">
        <w:t xml:space="preserve">, </w:t>
      </w:r>
      <w:r w:rsidR="00EC607E">
        <w:t>t</w:t>
      </w:r>
      <w:r w:rsidR="00EC607E" w:rsidRPr="00EC607E">
        <w:t>he</w:t>
      </w:r>
      <w:r w:rsidR="00EC607E">
        <w:t xml:space="preserve"> </w:t>
      </w:r>
      <w:r w:rsidR="00EC607E" w:rsidRPr="00EC607E">
        <w:t>Ombudsman was satisfied that this was a case of ‘</w:t>
      </w:r>
      <w:r w:rsidR="00EC607E" w:rsidRPr="00EC607E">
        <w:rPr>
          <w:i/>
        </w:rPr>
        <w:t>continual disobedience</w:t>
      </w:r>
      <w:r w:rsidR="00EC607E" w:rsidRPr="00EC607E">
        <w:t>’</w:t>
      </w:r>
      <w:r w:rsidR="00C84291">
        <w:t>, consistent with</w:t>
      </w:r>
      <w:r w:rsidR="005631D0">
        <w:t xml:space="preserve"> section 80</w:t>
      </w:r>
      <w:r w:rsidR="00C84291">
        <w:t xml:space="preserve"> of the Act. </w:t>
      </w:r>
      <w:r w:rsidR="00EC607E" w:rsidRPr="00EC607E">
        <w:t xml:space="preserve"> </w:t>
      </w:r>
    </w:p>
    <w:p w14:paraId="53F24762" w14:textId="4E718F7B" w:rsidR="00583CE2" w:rsidRDefault="00DA39F1" w:rsidP="00A70B47">
      <w:pPr>
        <w:pStyle w:val="BodyText"/>
      </w:pPr>
      <w:r>
        <w:t xml:space="preserve">Having considered </w:t>
      </w:r>
      <w:r w:rsidR="0075631C">
        <w:t xml:space="preserve">all the circumstances, </w:t>
      </w:r>
      <w:r w:rsidR="00583CE2">
        <w:t>t</w:t>
      </w:r>
      <w:r w:rsidR="00000BE2">
        <w:t>he Ombudsman formed the opinion that the</w:t>
      </w:r>
      <w:r w:rsidR="00000BE2" w:rsidRPr="00A70B47">
        <w:t xml:space="preserve"> </w:t>
      </w:r>
      <w:r>
        <w:t xml:space="preserve">Board’s </w:t>
      </w:r>
      <w:r w:rsidR="00000BE2" w:rsidRPr="00A70B47">
        <w:t xml:space="preserve">decision to </w:t>
      </w:r>
      <w:r w:rsidR="00511306">
        <w:t>suspend</w:t>
      </w:r>
      <w:r>
        <w:t>,</w:t>
      </w:r>
      <w:r w:rsidR="00511306">
        <w:t xml:space="preserve"> then </w:t>
      </w:r>
      <w:r w:rsidR="00000BE2" w:rsidRPr="00A70B47">
        <w:t>exclude</w:t>
      </w:r>
      <w:r>
        <w:t>,</w:t>
      </w:r>
      <w:r w:rsidR="00000BE2" w:rsidRPr="00A70B47">
        <w:t xml:space="preserve"> </w:t>
      </w:r>
      <w:r w:rsidR="00EC607E">
        <w:t>the student</w:t>
      </w:r>
      <w:r w:rsidR="00000BE2" w:rsidRPr="00A70B47">
        <w:t xml:space="preserve"> was</w:t>
      </w:r>
      <w:r w:rsidR="00000BE2">
        <w:t xml:space="preserve"> not unreasonable</w:t>
      </w:r>
      <w:r w:rsidR="00DC260E">
        <w:t xml:space="preserve">. </w:t>
      </w:r>
    </w:p>
    <w:p w14:paraId="10A94C20" w14:textId="77777777" w:rsidR="00583CE2" w:rsidRDefault="00583CE2" w:rsidP="005539D8">
      <w:pPr>
        <w:pStyle w:val="Heading2"/>
      </w:pPr>
      <w:r>
        <w:t>Board’s consideration of support provide</w:t>
      </w:r>
      <w:r w:rsidR="00DA39F1">
        <w:t>d</w:t>
      </w:r>
      <w:r>
        <w:t xml:space="preserve"> to student</w:t>
      </w:r>
    </w:p>
    <w:p w14:paraId="49DA3314" w14:textId="4BDF1538" w:rsidR="00DA39F1" w:rsidRDefault="00583CE2" w:rsidP="00583CE2">
      <w:pPr>
        <w:pStyle w:val="BodyText"/>
      </w:pPr>
      <w:r w:rsidRPr="00511306">
        <w:t>T</w:t>
      </w:r>
      <w:r w:rsidR="004E6E01" w:rsidRPr="00511306">
        <w:t xml:space="preserve">he </w:t>
      </w:r>
      <w:r w:rsidR="00000BE2" w:rsidRPr="00511306">
        <w:t xml:space="preserve">Ombudsman </w:t>
      </w:r>
      <w:r w:rsidRPr="00511306">
        <w:t>was</w:t>
      </w:r>
      <w:r w:rsidR="00DA39F1">
        <w:t xml:space="preserve"> however</w:t>
      </w:r>
      <w:r w:rsidRPr="00511306">
        <w:t xml:space="preserve"> concerned about</w:t>
      </w:r>
      <w:r w:rsidR="00D53BDA" w:rsidRPr="00511306">
        <w:t xml:space="preserve"> </w:t>
      </w:r>
      <w:r w:rsidR="00000BE2" w:rsidRPr="00511306">
        <w:t xml:space="preserve">the lack of evidence in the pastoral record that </w:t>
      </w:r>
      <w:r w:rsidR="00262BB3" w:rsidRPr="00511306">
        <w:t>t</w:t>
      </w:r>
      <w:r w:rsidR="00000BE2" w:rsidRPr="00511306">
        <w:t xml:space="preserve">he </w:t>
      </w:r>
      <w:r w:rsidR="00DA39F1">
        <w:t>S</w:t>
      </w:r>
      <w:r w:rsidR="00DA39F1" w:rsidRPr="00511306">
        <w:t xml:space="preserve">chool </w:t>
      </w:r>
      <w:r w:rsidR="00000BE2" w:rsidRPr="00511306">
        <w:t xml:space="preserve">tried to proactively engage with the student and </w:t>
      </w:r>
      <w:r w:rsidR="001D5708">
        <w:t>their</w:t>
      </w:r>
      <w:r w:rsidR="001D5708" w:rsidRPr="00511306">
        <w:t xml:space="preserve"> </w:t>
      </w:r>
      <w:r w:rsidR="00000BE2" w:rsidRPr="00511306">
        <w:t xml:space="preserve">family about </w:t>
      </w:r>
      <w:r w:rsidR="00511306">
        <w:t>the student’s</w:t>
      </w:r>
      <w:r w:rsidR="00000BE2" w:rsidRPr="00511306">
        <w:t xml:space="preserve"> </w:t>
      </w:r>
      <w:r w:rsidR="00511306">
        <w:t>behaviour before the suspension – and the extent to which the Board had turned its mind to this issue</w:t>
      </w:r>
      <w:r w:rsidR="00DA5757">
        <w:t xml:space="preserve"> before making its decision</w:t>
      </w:r>
      <w:r w:rsidR="00511306">
        <w:t xml:space="preserve">. </w:t>
      </w:r>
    </w:p>
    <w:p w14:paraId="52E65CBB" w14:textId="5644BD1E" w:rsidR="00511306" w:rsidRDefault="00511306" w:rsidP="00583CE2">
      <w:pPr>
        <w:pStyle w:val="BodyText"/>
      </w:pPr>
      <w:r w:rsidRPr="00511306">
        <w:t>The legislative</w:t>
      </w:r>
      <w:r>
        <w:t xml:space="preserve"> and policy</w:t>
      </w:r>
      <w:r w:rsidRPr="00511306">
        <w:t xml:space="preserve"> framework makes it clear that </w:t>
      </w:r>
      <w:r w:rsidR="005620CB">
        <w:t xml:space="preserve">schools are under a positive obligation to </w:t>
      </w:r>
      <w:r w:rsidR="00B81597">
        <w:t xml:space="preserve">actively </w:t>
      </w:r>
      <w:r w:rsidR="005620CB">
        <w:t xml:space="preserve">support students, and that </w:t>
      </w:r>
      <w:r w:rsidRPr="00511306">
        <w:t>exclusion (</w:t>
      </w:r>
      <w:r w:rsidR="005620CB">
        <w:t>or</w:t>
      </w:r>
      <w:r w:rsidRPr="00511306">
        <w:t xml:space="preserve"> expulsion</w:t>
      </w:r>
      <w:r w:rsidR="00B81597">
        <w:t xml:space="preserve"> in the case of a student over 16</w:t>
      </w:r>
      <w:r w:rsidRPr="00511306">
        <w:t>)</w:t>
      </w:r>
      <w:r w:rsidR="005620CB">
        <w:t xml:space="preserve"> </w:t>
      </w:r>
      <w:r w:rsidR="00DA5757">
        <w:t>is</w:t>
      </w:r>
      <w:r w:rsidR="00DA5757" w:rsidRPr="00511306">
        <w:t xml:space="preserve"> </w:t>
      </w:r>
      <w:r w:rsidRPr="00511306">
        <w:t>a last resort</w:t>
      </w:r>
      <w:r>
        <w:t xml:space="preserve">. For example: </w:t>
      </w:r>
    </w:p>
    <w:p w14:paraId="6A80634C" w14:textId="339DDC86" w:rsidR="00511306" w:rsidRPr="00535191" w:rsidRDefault="00583CE2" w:rsidP="00535191">
      <w:pPr>
        <w:pStyle w:val="Bullet1"/>
        <w:rPr>
          <w:i/>
        </w:rPr>
      </w:pPr>
      <w:r w:rsidRPr="00583CE2">
        <w:t>Section 103 of the Act</w:t>
      </w:r>
      <w:r w:rsidR="00535191">
        <w:t xml:space="preserve"> </w:t>
      </w:r>
      <w:r w:rsidRPr="00583CE2">
        <w:t xml:space="preserve">states that </w:t>
      </w:r>
      <w:r w:rsidR="00DA5757">
        <w:t>p</w:t>
      </w:r>
      <w:r w:rsidR="00DA5757" w:rsidRPr="00583CE2">
        <w:t xml:space="preserve">rincipals </w:t>
      </w:r>
      <w:r w:rsidRPr="00583CE2">
        <w:t>must take ‘all reasonable st</w:t>
      </w:r>
      <w:r w:rsidR="00535191">
        <w:t>eps’ to ensure that students receive</w:t>
      </w:r>
      <w:r w:rsidRPr="00583CE2">
        <w:t xml:space="preserve"> ‘good guidance and counselling’</w:t>
      </w:r>
      <w:r w:rsidR="00DA5757">
        <w:t>.</w:t>
      </w:r>
      <w:r w:rsidRPr="00583CE2">
        <w:rPr>
          <w:vertAlign w:val="superscript"/>
        </w:rPr>
        <w:footnoteReference w:id="3"/>
      </w:r>
    </w:p>
    <w:p w14:paraId="5A6E53FE" w14:textId="62165C65" w:rsidR="00511306" w:rsidRPr="00511306" w:rsidRDefault="00511306" w:rsidP="005539D8">
      <w:pPr>
        <w:pStyle w:val="Bullet1"/>
        <w:rPr>
          <w:i/>
        </w:rPr>
      </w:pPr>
      <w:r>
        <w:t>Ministry of Education</w:t>
      </w:r>
      <w:r w:rsidRPr="005539D8">
        <w:t xml:space="preserve"> </w:t>
      </w:r>
      <w:r w:rsidRPr="005539D8">
        <w:rPr>
          <w:rStyle w:val="Italics"/>
        </w:rPr>
        <w:t>Guidelines for principals and boards of trustees on stand-downs, suspensions, exclusions and expulsions</w:t>
      </w:r>
      <w:r>
        <w:t xml:space="preserve"> advise</w:t>
      </w:r>
      <w:r w:rsidRPr="005539D8">
        <w:t xml:space="preserve"> </w:t>
      </w:r>
      <w:r w:rsidR="00DA5757">
        <w:t>p</w:t>
      </w:r>
      <w:r w:rsidR="00DA5757" w:rsidRPr="005539D8">
        <w:t xml:space="preserve">rincipals </w:t>
      </w:r>
      <w:r w:rsidRPr="005539D8">
        <w:t xml:space="preserve">and </w:t>
      </w:r>
      <w:r w:rsidR="00DA5757">
        <w:t>b</w:t>
      </w:r>
      <w:r w:rsidR="00DA5757" w:rsidRPr="005539D8">
        <w:t xml:space="preserve">oards </w:t>
      </w:r>
      <w:r w:rsidRPr="005539D8">
        <w:t>to explore any pastoral concerns or mitigating factors when considering a suspension, as well as trying to identify why the student is behaving in the manner they are.</w:t>
      </w:r>
      <w:r w:rsidRPr="00511306">
        <w:rPr>
          <w:vertAlign w:val="superscript"/>
        </w:rPr>
        <w:footnoteReference w:id="4"/>
      </w:r>
      <w:r w:rsidRPr="005539D8">
        <w:t xml:space="preserve"> </w:t>
      </w:r>
    </w:p>
    <w:p w14:paraId="55991B01" w14:textId="38C98794" w:rsidR="00632CA8" w:rsidRDefault="00632CA8" w:rsidP="006A61A4">
      <w:pPr>
        <w:pStyle w:val="BodyText"/>
      </w:pPr>
      <w:r>
        <w:t>In addition, t</w:t>
      </w:r>
      <w:r w:rsidRPr="00632CA8">
        <w:t xml:space="preserve">he </w:t>
      </w:r>
      <w:r w:rsidRPr="00DA5757">
        <w:rPr>
          <w:i/>
        </w:rPr>
        <w:t>Education (Stand-Down, Suspension, Exclusion and Expulsion</w:t>
      </w:r>
      <w:r w:rsidR="005620CB" w:rsidRPr="00DA5757">
        <w:rPr>
          <w:i/>
        </w:rPr>
        <w:t>) Rules 1999</w:t>
      </w:r>
      <w:r w:rsidR="005620CB">
        <w:t xml:space="preserve"> requires</w:t>
      </w:r>
      <w:r w:rsidRPr="00632CA8">
        <w:t xml:space="preserve"> </w:t>
      </w:r>
      <w:r w:rsidR="00DA5757">
        <w:t>b</w:t>
      </w:r>
      <w:r w:rsidR="00DA5757" w:rsidRPr="00632CA8">
        <w:t>oard</w:t>
      </w:r>
      <w:r w:rsidR="00DA5757">
        <w:t>s</w:t>
      </w:r>
      <w:r w:rsidR="00DA5757" w:rsidRPr="00632CA8">
        <w:t xml:space="preserve"> </w:t>
      </w:r>
      <w:r w:rsidRPr="00632CA8">
        <w:t>to have ‘</w:t>
      </w:r>
      <w:r w:rsidRPr="002019F7">
        <w:rPr>
          <w:rStyle w:val="Quotationwithinthesentence"/>
        </w:rPr>
        <w:t>due regard</w:t>
      </w:r>
      <w:r w:rsidRPr="00632CA8">
        <w:t>’ for each circumstance relevant to the suspension and to consider each statutory option available.</w:t>
      </w:r>
      <w:r w:rsidRPr="00632CA8">
        <w:rPr>
          <w:vertAlign w:val="superscript"/>
        </w:rPr>
        <w:footnoteReference w:id="5"/>
      </w:r>
      <w:r w:rsidRPr="00632CA8">
        <w:t xml:space="preserve"> </w:t>
      </w:r>
    </w:p>
    <w:p w14:paraId="6DADC622" w14:textId="082BF201" w:rsidR="00000BE2" w:rsidRDefault="00DA5757" w:rsidP="006A61A4">
      <w:pPr>
        <w:pStyle w:val="BodyText"/>
      </w:pPr>
      <w:r>
        <w:t>The records showed that, d</w:t>
      </w:r>
      <w:r w:rsidRPr="006A61A4">
        <w:t xml:space="preserve">espite </w:t>
      </w:r>
      <w:r w:rsidR="00000BE2" w:rsidRPr="006A61A4">
        <w:t>being repeatedly in trouble</w:t>
      </w:r>
      <w:r>
        <w:t xml:space="preserve"> over several months</w:t>
      </w:r>
      <w:r w:rsidR="00000BE2" w:rsidRPr="006A61A4">
        <w:t xml:space="preserve">, </w:t>
      </w:r>
      <w:r w:rsidR="00000BE2">
        <w:t xml:space="preserve">the student was </w:t>
      </w:r>
      <w:r w:rsidR="00262BB3">
        <w:t xml:space="preserve">only </w:t>
      </w:r>
      <w:r w:rsidR="00000BE2" w:rsidRPr="006A61A4">
        <w:t xml:space="preserve">referred to the guidance </w:t>
      </w:r>
      <w:r w:rsidR="00000BE2">
        <w:t xml:space="preserve">counsellor </w:t>
      </w:r>
      <w:r w:rsidR="00262BB3">
        <w:t>shortly</w:t>
      </w:r>
      <w:r w:rsidR="00000BE2">
        <w:t xml:space="preserve"> before </w:t>
      </w:r>
      <w:r w:rsidR="001D5708">
        <w:t xml:space="preserve">the </w:t>
      </w:r>
      <w:r w:rsidR="00000BE2">
        <w:t>suspension</w:t>
      </w:r>
      <w:r w:rsidR="00000BE2" w:rsidRPr="006A61A4">
        <w:t xml:space="preserve">. None of the </w:t>
      </w:r>
      <w:r w:rsidR="000623FC">
        <w:t>S</w:t>
      </w:r>
      <w:r w:rsidR="000623FC" w:rsidRPr="006A61A4">
        <w:t xml:space="preserve">chool’s </w:t>
      </w:r>
      <w:r w:rsidR="00000BE2" w:rsidRPr="006A61A4">
        <w:t xml:space="preserve">disciplinary letters </w:t>
      </w:r>
      <w:r w:rsidR="000623FC">
        <w:t xml:space="preserve">sent to the student and </w:t>
      </w:r>
      <w:r w:rsidR="001D5708">
        <w:t xml:space="preserve">their </w:t>
      </w:r>
      <w:r w:rsidR="000623FC">
        <w:t>parents</w:t>
      </w:r>
      <w:r w:rsidR="000623FC" w:rsidRPr="006A61A4">
        <w:t xml:space="preserve"> </w:t>
      </w:r>
      <w:r w:rsidR="00000BE2" w:rsidRPr="006A61A4">
        <w:t xml:space="preserve">suggest that it </w:t>
      </w:r>
      <w:r w:rsidR="00583CE2">
        <w:t xml:space="preserve">was prepared </w:t>
      </w:r>
      <w:r w:rsidR="00000BE2" w:rsidRPr="006A61A4">
        <w:t xml:space="preserve">to work with </w:t>
      </w:r>
      <w:r w:rsidR="00000BE2">
        <w:t>the family</w:t>
      </w:r>
      <w:r w:rsidR="00000BE2" w:rsidRPr="006A61A4">
        <w:t xml:space="preserve"> on a behaviour management plan or </w:t>
      </w:r>
      <w:r w:rsidR="00000BE2">
        <w:t>some other strategy to address the student</w:t>
      </w:r>
      <w:r w:rsidR="00262BB3">
        <w:t>’</w:t>
      </w:r>
      <w:r w:rsidR="00000BE2">
        <w:t xml:space="preserve">s </w:t>
      </w:r>
      <w:r w:rsidR="00000BE2" w:rsidRPr="006A61A4">
        <w:t xml:space="preserve">behaviour at school. </w:t>
      </w:r>
      <w:r w:rsidR="00583CE2">
        <w:t>For example, t</w:t>
      </w:r>
      <w:r w:rsidR="00000BE2">
        <w:t>here was</w:t>
      </w:r>
      <w:r w:rsidR="00000BE2" w:rsidRPr="006A61A4">
        <w:t xml:space="preserve"> nothing to suggest the </w:t>
      </w:r>
      <w:r w:rsidR="000623FC">
        <w:t>S</w:t>
      </w:r>
      <w:r w:rsidR="000623FC" w:rsidRPr="006A61A4">
        <w:t xml:space="preserve">chool </w:t>
      </w:r>
      <w:r w:rsidR="00000BE2" w:rsidRPr="006A61A4">
        <w:t xml:space="preserve">considered </w:t>
      </w:r>
      <w:r w:rsidR="00000BE2">
        <w:t xml:space="preserve">the option of a referral to the </w:t>
      </w:r>
      <w:r w:rsidR="000623FC">
        <w:t>School’s</w:t>
      </w:r>
      <w:r w:rsidR="000623FC" w:rsidRPr="006A61A4">
        <w:t xml:space="preserve"> </w:t>
      </w:r>
      <w:r w:rsidR="00000BE2" w:rsidRPr="006A61A4">
        <w:t xml:space="preserve">Resource </w:t>
      </w:r>
      <w:r w:rsidR="000623FC">
        <w:t>t</w:t>
      </w:r>
      <w:r w:rsidR="000623FC" w:rsidRPr="006A61A4">
        <w:t xml:space="preserve">eacher </w:t>
      </w:r>
      <w:r w:rsidR="00000BE2" w:rsidRPr="006A61A4">
        <w:t>o</w:t>
      </w:r>
      <w:r w:rsidR="00262BB3">
        <w:t>r</w:t>
      </w:r>
      <w:r w:rsidR="00000BE2" w:rsidRPr="006A61A4">
        <w:t xml:space="preserve"> </w:t>
      </w:r>
      <w:r w:rsidR="000623FC">
        <w:t xml:space="preserve">its </w:t>
      </w:r>
      <w:r w:rsidR="00000BE2" w:rsidRPr="006A61A4">
        <w:t>Learning and Behaviour teacher.</w:t>
      </w:r>
    </w:p>
    <w:p w14:paraId="3E96FF36" w14:textId="1A6746CA" w:rsidR="00511306" w:rsidRPr="00511306" w:rsidRDefault="000623FC" w:rsidP="00511306">
      <w:pPr>
        <w:pStyle w:val="BodyText"/>
      </w:pPr>
      <w:r>
        <w:t>S</w:t>
      </w:r>
      <w:r w:rsidRPr="00511306">
        <w:t xml:space="preserve">chool </w:t>
      </w:r>
      <w:r w:rsidR="00511306" w:rsidRPr="00511306">
        <w:t xml:space="preserve">staff provided information </w:t>
      </w:r>
      <w:r>
        <w:t xml:space="preserve">to the Ombudsman during his investigation </w:t>
      </w:r>
      <w:r w:rsidR="00511306" w:rsidRPr="00511306">
        <w:t xml:space="preserve">about </w:t>
      </w:r>
      <w:r>
        <w:t xml:space="preserve">the </w:t>
      </w:r>
      <w:r w:rsidR="00511306" w:rsidRPr="00511306">
        <w:t xml:space="preserve">support </w:t>
      </w:r>
      <w:r w:rsidR="00B71039">
        <w:t xml:space="preserve">that was </w:t>
      </w:r>
      <w:r>
        <w:t>provided</w:t>
      </w:r>
      <w:r w:rsidR="00B71039">
        <w:t>,</w:t>
      </w:r>
      <w:r>
        <w:t xml:space="preserve"> but </w:t>
      </w:r>
      <w:r w:rsidR="00CA551F">
        <w:t xml:space="preserve">which was </w:t>
      </w:r>
      <w:r w:rsidR="00511306" w:rsidRPr="00511306">
        <w:t xml:space="preserve">not noted in the student’s pastoral record. </w:t>
      </w:r>
      <w:r>
        <w:t>In his final opinion, t</w:t>
      </w:r>
      <w:r w:rsidR="00511306" w:rsidRPr="00511306">
        <w:t xml:space="preserve">he Ombudsman said it was perhaps understandable that not every instance of support was recorded, given the expectations and pressures on teachers. </w:t>
      </w:r>
      <w:r w:rsidR="007F62AB">
        <w:t>The Ombudsman did not reach a conclusion</w:t>
      </w:r>
      <w:r w:rsidR="00D23261">
        <w:t xml:space="preserve"> </w:t>
      </w:r>
      <w:r w:rsidR="007F62AB">
        <w:t xml:space="preserve">about whether the School </w:t>
      </w:r>
      <w:r w:rsidR="00D23261">
        <w:t xml:space="preserve">took reasonable steps to support the student. </w:t>
      </w:r>
      <w:r w:rsidR="00594C83">
        <w:t>However, he noted that the Board would not have been in a good position from the available documentation to understand how</w:t>
      </w:r>
      <w:r>
        <w:t xml:space="preserve"> </w:t>
      </w:r>
      <w:r w:rsidR="00511306" w:rsidRPr="00511306">
        <w:t xml:space="preserve">the </w:t>
      </w:r>
      <w:r>
        <w:t>S</w:t>
      </w:r>
      <w:r w:rsidRPr="00511306">
        <w:t xml:space="preserve">chool </w:t>
      </w:r>
      <w:r w:rsidR="00511306" w:rsidRPr="00511306">
        <w:t xml:space="preserve">had tried to support the student in the lead-up to </w:t>
      </w:r>
      <w:r w:rsidR="00B71039">
        <w:t>their</w:t>
      </w:r>
      <w:r w:rsidR="00B71039" w:rsidRPr="00511306">
        <w:t xml:space="preserve"> </w:t>
      </w:r>
      <w:r w:rsidR="00511306" w:rsidRPr="00511306">
        <w:t>suspension</w:t>
      </w:r>
      <w:r w:rsidR="00594C83">
        <w:t>.</w:t>
      </w:r>
    </w:p>
    <w:p w14:paraId="582FEC7B" w14:textId="0713770C" w:rsidR="00820026" w:rsidRDefault="00583CE2" w:rsidP="006A61A4">
      <w:pPr>
        <w:pStyle w:val="BodyText"/>
      </w:pPr>
      <w:r w:rsidRPr="00583CE2">
        <w:t xml:space="preserve">The Principal’s records </w:t>
      </w:r>
      <w:r w:rsidR="000623FC">
        <w:t>of</w:t>
      </w:r>
      <w:r w:rsidR="000623FC" w:rsidRPr="00583CE2">
        <w:t xml:space="preserve"> </w:t>
      </w:r>
      <w:r w:rsidRPr="00583CE2">
        <w:t xml:space="preserve">his suspension decision were brief, and contained no indication he had considered </w:t>
      </w:r>
      <w:r w:rsidR="00B71039">
        <w:t>what</w:t>
      </w:r>
      <w:r w:rsidRPr="00583CE2">
        <w:t xml:space="preserve"> the </w:t>
      </w:r>
      <w:r w:rsidR="000623FC">
        <w:t>S</w:t>
      </w:r>
      <w:r w:rsidR="000623FC" w:rsidRPr="00583CE2">
        <w:t xml:space="preserve">chool </w:t>
      </w:r>
      <w:r w:rsidR="00B71039">
        <w:t>had</w:t>
      </w:r>
      <w:r w:rsidRPr="00583CE2">
        <w:t xml:space="preserve"> done to support the student. </w:t>
      </w:r>
      <w:r>
        <w:t>Regrettably, the Principal</w:t>
      </w:r>
      <w:r w:rsidRPr="00583CE2">
        <w:t xml:space="preserve"> omitted to provide the Board with a written suspension report</w:t>
      </w:r>
      <w:r w:rsidR="00820026">
        <w:t xml:space="preserve"> that contai</w:t>
      </w:r>
      <w:r w:rsidR="007F62AB">
        <w:t>ns all the relevant information, as</w:t>
      </w:r>
      <w:r w:rsidR="00820026">
        <w:t xml:space="preserve"> required by </w:t>
      </w:r>
      <w:r w:rsidR="00820026" w:rsidRPr="00820026">
        <w:t xml:space="preserve">Section 14 of the </w:t>
      </w:r>
      <w:r w:rsidR="00820026" w:rsidRPr="00820026">
        <w:rPr>
          <w:i/>
        </w:rPr>
        <w:t>Education (Stand-down, Suspension, Exclusion, and Expulsion) Rules 1999</w:t>
      </w:r>
      <w:r w:rsidRPr="00583CE2">
        <w:t>.</w:t>
      </w:r>
    </w:p>
    <w:p w14:paraId="6D3FDEF3" w14:textId="0C85DE84" w:rsidR="00583CE2" w:rsidRDefault="00327FBC" w:rsidP="006A61A4">
      <w:pPr>
        <w:pStyle w:val="BodyText"/>
      </w:pPr>
      <w:r>
        <w:t>Although t</w:t>
      </w:r>
      <w:r w:rsidR="00583CE2" w:rsidRPr="00583CE2">
        <w:t xml:space="preserve">he minutes from the Board’s exclusion decision were </w:t>
      </w:r>
      <w:r w:rsidR="00583CE2">
        <w:t xml:space="preserve">relatively </w:t>
      </w:r>
      <w:r w:rsidR="00583CE2" w:rsidRPr="00583CE2">
        <w:t>comprehensive</w:t>
      </w:r>
      <w:r>
        <w:t>,</w:t>
      </w:r>
      <w:r w:rsidR="00583CE2" w:rsidRPr="00583CE2">
        <w:t xml:space="preserve"> the Board did not </w:t>
      </w:r>
      <w:r w:rsidR="00583CE2">
        <w:t xml:space="preserve">specifically </w:t>
      </w:r>
      <w:r w:rsidR="00583CE2" w:rsidRPr="00583CE2">
        <w:t>examine th</w:t>
      </w:r>
      <w:r>
        <w:t xml:space="preserve">e </w:t>
      </w:r>
      <w:r w:rsidR="00583CE2" w:rsidRPr="00583CE2">
        <w:t>support offered to the student before</w:t>
      </w:r>
      <w:r>
        <w:t xml:space="preserve"> it made</w:t>
      </w:r>
      <w:r w:rsidR="00583CE2" w:rsidRPr="00583CE2">
        <w:t xml:space="preserve"> the decision to exclude </w:t>
      </w:r>
      <w:r w:rsidR="00B71039">
        <w:t>the student</w:t>
      </w:r>
      <w:r w:rsidR="00583CE2" w:rsidRPr="00583CE2">
        <w:t xml:space="preserve">. </w:t>
      </w:r>
      <w:r w:rsidR="00420054">
        <w:t xml:space="preserve">As there was no written suspension report, </w:t>
      </w:r>
      <w:r w:rsidR="00435FD1">
        <w:t xml:space="preserve">in terms of </w:t>
      </w:r>
      <w:r>
        <w:t xml:space="preserve">the background </w:t>
      </w:r>
      <w:r w:rsidR="00435FD1">
        <w:t xml:space="preserve">documentation, </w:t>
      </w:r>
      <w:r w:rsidR="00420054">
        <w:t xml:space="preserve">the </w:t>
      </w:r>
      <w:r w:rsidR="00435FD1">
        <w:t xml:space="preserve">Board were </w:t>
      </w:r>
      <w:r w:rsidR="00420054">
        <w:t>reliant on the</w:t>
      </w:r>
      <w:r w:rsidR="00435FD1">
        <w:t xml:space="preserve"> pastoral records </w:t>
      </w:r>
      <w:r w:rsidR="00420054">
        <w:t xml:space="preserve">and the Principal’s letter of suspension. </w:t>
      </w:r>
      <w:r>
        <w:t>However</w:t>
      </w:r>
      <w:r w:rsidR="00632CA8">
        <w:t>, it appears that the pastoral record</w:t>
      </w:r>
      <w:r w:rsidR="005620CB">
        <w:t>s</w:t>
      </w:r>
      <w:r>
        <w:t xml:space="preserve"> provided an</w:t>
      </w:r>
      <w:r w:rsidR="00632CA8">
        <w:t xml:space="preserve"> incomplete </w:t>
      </w:r>
      <w:r>
        <w:t>record of the level of support provided by the School.</w:t>
      </w:r>
      <w:r w:rsidR="00632CA8">
        <w:t xml:space="preserve"> </w:t>
      </w:r>
      <w:r w:rsidR="00583CE2" w:rsidRPr="00583CE2">
        <w:t>The Board could potentially have sought more information on this issue before making its decision</w:t>
      </w:r>
      <w:r w:rsidR="00B71039">
        <w:t>,</w:t>
      </w:r>
      <w:r w:rsidR="00583CE2" w:rsidRPr="00583CE2">
        <w:t xml:space="preserve"> but did not.</w:t>
      </w:r>
      <w:r w:rsidR="00583CE2" w:rsidRPr="00583CE2">
        <w:rPr>
          <w:vertAlign w:val="superscript"/>
        </w:rPr>
        <w:footnoteReference w:id="6"/>
      </w:r>
      <w:r w:rsidR="00632CA8">
        <w:t xml:space="preserve">  </w:t>
      </w:r>
    </w:p>
    <w:p w14:paraId="46590265" w14:textId="5B7BAD20" w:rsidR="0075631C" w:rsidRDefault="00632CA8" w:rsidP="006A61A4">
      <w:pPr>
        <w:pStyle w:val="BodyText"/>
        <w:rPr>
          <w:rFonts w:eastAsia="Calibri" w:cs="Times New Roman"/>
        </w:rPr>
      </w:pPr>
      <w:r>
        <w:rPr>
          <w:rFonts w:eastAsia="Calibri" w:cs="Times New Roman"/>
        </w:rPr>
        <w:t>Overall, t</w:t>
      </w:r>
      <w:r w:rsidR="00583CE2" w:rsidRPr="00583CE2">
        <w:rPr>
          <w:rFonts w:eastAsia="Calibri" w:cs="Times New Roman"/>
        </w:rPr>
        <w:t xml:space="preserve">he Ombudsman concluded that the Board failed to </w:t>
      </w:r>
      <w:r w:rsidR="000F0806">
        <w:rPr>
          <w:rFonts w:eastAsia="Calibri" w:cs="Times New Roman"/>
        </w:rPr>
        <w:t xml:space="preserve">identify the support </w:t>
      </w:r>
      <w:r w:rsidR="00583CE2" w:rsidRPr="00583CE2">
        <w:rPr>
          <w:rFonts w:eastAsia="Calibri" w:cs="Times New Roman"/>
        </w:rPr>
        <w:t xml:space="preserve">the student received from the </w:t>
      </w:r>
      <w:r w:rsidR="000623FC">
        <w:rPr>
          <w:rFonts w:eastAsia="Calibri" w:cs="Times New Roman"/>
        </w:rPr>
        <w:t>S</w:t>
      </w:r>
      <w:r w:rsidR="000623FC" w:rsidRPr="00583CE2">
        <w:rPr>
          <w:rFonts w:eastAsia="Calibri" w:cs="Times New Roman"/>
        </w:rPr>
        <w:t xml:space="preserve">chool </w:t>
      </w:r>
      <w:r w:rsidR="000F0806">
        <w:rPr>
          <w:rFonts w:eastAsia="Calibri" w:cs="Times New Roman"/>
        </w:rPr>
        <w:t xml:space="preserve">as a relevant factor </w:t>
      </w:r>
      <w:r w:rsidR="00583CE2" w:rsidRPr="00583CE2">
        <w:rPr>
          <w:rFonts w:eastAsia="Calibri" w:cs="Times New Roman"/>
        </w:rPr>
        <w:t xml:space="preserve">before deciding to exclude </w:t>
      </w:r>
      <w:r w:rsidR="00B71039">
        <w:rPr>
          <w:rFonts w:eastAsia="Calibri" w:cs="Times New Roman"/>
        </w:rPr>
        <w:t>the student</w:t>
      </w:r>
      <w:r w:rsidR="00583CE2" w:rsidRPr="00583CE2">
        <w:rPr>
          <w:rFonts w:eastAsia="Calibri" w:cs="Times New Roman"/>
        </w:rPr>
        <w:t xml:space="preserve">. </w:t>
      </w:r>
      <w:r>
        <w:rPr>
          <w:rFonts w:eastAsia="Calibri" w:cs="Times New Roman"/>
        </w:rPr>
        <w:t>The level of support shou</w:t>
      </w:r>
      <w:r w:rsidR="005620CB">
        <w:rPr>
          <w:rFonts w:eastAsia="Calibri" w:cs="Times New Roman"/>
        </w:rPr>
        <w:t>ld have been evaluated</w:t>
      </w:r>
      <w:r>
        <w:rPr>
          <w:rFonts w:eastAsia="Calibri" w:cs="Times New Roman"/>
        </w:rPr>
        <w:t xml:space="preserve"> alongside the concerns abou</w:t>
      </w:r>
      <w:r w:rsidR="005620CB">
        <w:rPr>
          <w:rFonts w:eastAsia="Calibri" w:cs="Times New Roman"/>
        </w:rPr>
        <w:t>t</w:t>
      </w:r>
      <w:r>
        <w:rPr>
          <w:rFonts w:eastAsia="Calibri" w:cs="Times New Roman"/>
        </w:rPr>
        <w:t xml:space="preserve"> ongoing disobedience. This constituted a circumstance relevant to the exclusion, in terms of </w:t>
      </w:r>
      <w:r w:rsidRPr="00632CA8">
        <w:rPr>
          <w:rFonts w:eastAsia="Calibri" w:cs="Times New Roman"/>
        </w:rPr>
        <w:t xml:space="preserve">the </w:t>
      </w:r>
      <w:r w:rsidRPr="00B81597">
        <w:rPr>
          <w:rFonts w:eastAsia="Calibri" w:cs="Times New Roman"/>
          <w:i/>
        </w:rPr>
        <w:t>Education (Stand-Down, Suspension, Exclusion and Expulsion) Rules 1999</w:t>
      </w:r>
      <w:r w:rsidR="000623FC">
        <w:rPr>
          <w:rFonts w:eastAsia="Calibri" w:cs="Times New Roman"/>
        </w:rPr>
        <w:t>,</w:t>
      </w:r>
      <w:r w:rsidR="005620CB">
        <w:rPr>
          <w:rFonts w:eastAsia="Calibri" w:cs="Times New Roman"/>
        </w:rPr>
        <w:t xml:space="preserve"> and </w:t>
      </w:r>
      <w:r w:rsidR="00253F5F">
        <w:rPr>
          <w:rFonts w:eastAsia="Calibri" w:cs="Times New Roman"/>
        </w:rPr>
        <w:t xml:space="preserve">inclusion </w:t>
      </w:r>
      <w:r w:rsidR="005620CB">
        <w:rPr>
          <w:rFonts w:eastAsia="Calibri" w:cs="Times New Roman"/>
        </w:rPr>
        <w:t>would have made the</w:t>
      </w:r>
      <w:r w:rsidR="000623FC">
        <w:rPr>
          <w:rFonts w:eastAsia="Calibri" w:cs="Times New Roman"/>
        </w:rPr>
        <w:t xml:space="preserve"> Board’s</w:t>
      </w:r>
      <w:r w:rsidR="005620CB">
        <w:rPr>
          <w:rFonts w:eastAsia="Calibri" w:cs="Times New Roman"/>
        </w:rPr>
        <w:t xml:space="preserve"> decision more robust. </w:t>
      </w:r>
      <w:r w:rsidR="00583CE2">
        <w:rPr>
          <w:rFonts w:eastAsia="Calibri" w:cs="Times New Roman"/>
        </w:rPr>
        <w:t>To that extent, the Ombudsman consider</w:t>
      </w:r>
      <w:r w:rsidR="000F0806">
        <w:rPr>
          <w:rFonts w:eastAsia="Calibri" w:cs="Times New Roman"/>
        </w:rPr>
        <w:t>ed</w:t>
      </w:r>
      <w:r w:rsidR="00583CE2">
        <w:rPr>
          <w:rFonts w:eastAsia="Calibri" w:cs="Times New Roman"/>
        </w:rPr>
        <w:t xml:space="preserve"> that the Board acted unreasonably. </w:t>
      </w:r>
      <w:r w:rsidR="00435FD1">
        <w:rPr>
          <w:rFonts w:eastAsia="Calibri" w:cs="Times New Roman"/>
        </w:rPr>
        <w:t>However, as noted above, the Ombudsman consider</w:t>
      </w:r>
      <w:r w:rsidR="00CA551F">
        <w:rPr>
          <w:rFonts w:eastAsia="Calibri" w:cs="Times New Roman"/>
        </w:rPr>
        <w:t>ed</w:t>
      </w:r>
      <w:r w:rsidR="00435FD1">
        <w:rPr>
          <w:rFonts w:eastAsia="Calibri" w:cs="Times New Roman"/>
        </w:rPr>
        <w:t xml:space="preserve"> that the decision to exclude the student was justified in all the circumstances, and not unreasonable. </w:t>
      </w:r>
    </w:p>
    <w:p w14:paraId="5FBDA8BE" w14:textId="77777777" w:rsidR="00E77A82" w:rsidRDefault="00E77A82" w:rsidP="00516F2F">
      <w:pPr>
        <w:pStyle w:val="Heading1"/>
        <w:numPr>
          <w:ilvl w:val="0"/>
          <w:numId w:val="0"/>
        </w:numPr>
      </w:pPr>
      <w:r>
        <w:t>Outcome</w:t>
      </w:r>
    </w:p>
    <w:p w14:paraId="09FF68E1" w14:textId="6900924F" w:rsidR="00950583" w:rsidRDefault="00516F2F" w:rsidP="00950583">
      <w:pPr>
        <w:pStyle w:val="BodyText"/>
      </w:pPr>
      <w:r>
        <w:t>The Ombudsman formed the final opinion that:</w:t>
      </w:r>
    </w:p>
    <w:p w14:paraId="266729C6" w14:textId="77777777" w:rsidR="00516F2F" w:rsidRPr="0020569E" w:rsidRDefault="00516F2F" w:rsidP="00516F2F">
      <w:pPr>
        <w:pStyle w:val="BodyText"/>
        <w:numPr>
          <w:ilvl w:val="0"/>
          <w:numId w:val="11"/>
        </w:numPr>
      </w:pPr>
      <w:r w:rsidRPr="0020569E">
        <w:t>The Board’s decision to exclud</w:t>
      </w:r>
      <w:r>
        <w:t>e the student was not unreasonable; but</w:t>
      </w:r>
      <w:r w:rsidRPr="0020569E">
        <w:t xml:space="preserve"> </w:t>
      </w:r>
    </w:p>
    <w:p w14:paraId="5EBA66F2" w14:textId="77777777" w:rsidR="00516F2F" w:rsidRPr="008A0BBC" w:rsidRDefault="00516F2F" w:rsidP="00516F2F">
      <w:pPr>
        <w:pStyle w:val="Bullet1"/>
      </w:pPr>
      <w:r w:rsidRPr="0020569E">
        <w:t>The Board’s omi</w:t>
      </w:r>
      <w:r w:rsidR="000F0806">
        <w:t>ssion</w:t>
      </w:r>
      <w:r w:rsidRPr="0020569E">
        <w:t xml:space="preserve"> to </w:t>
      </w:r>
      <w:r w:rsidR="000F0806">
        <w:t>examine</w:t>
      </w:r>
      <w:r w:rsidRPr="0020569E">
        <w:t xml:space="preserve"> whether </w:t>
      </w:r>
      <w:r>
        <w:t xml:space="preserve">the </w:t>
      </w:r>
      <w:r w:rsidR="000F0806">
        <w:t>student</w:t>
      </w:r>
      <w:r w:rsidRPr="0020569E">
        <w:t xml:space="preserve"> had </w:t>
      </w:r>
      <w:r w:rsidR="000F0806">
        <w:t>been provided with adequate</w:t>
      </w:r>
      <w:r w:rsidR="00632CA8">
        <w:t xml:space="preserve"> support in relation to the behavioural concerns</w:t>
      </w:r>
      <w:r w:rsidR="000F0806">
        <w:t xml:space="preserve"> </w:t>
      </w:r>
      <w:r w:rsidRPr="0020569E">
        <w:t>was unreasonable</w:t>
      </w:r>
      <w:r>
        <w:t>.</w:t>
      </w:r>
    </w:p>
    <w:p w14:paraId="300C3FD6" w14:textId="1D5FB614" w:rsidR="00516F2F" w:rsidRPr="0020569E" w:rsidRDefault="00516F2F" w:rsidP="00516F2F">
      <w:pPr>
        <w:pStyle w:val="BodyText"/>
        <w:rPr>
          <w:rFonts w:eastAsia="Calibri" w:cs="Times New Roman"/>
        </w:rPr>
      </w:pPr>
      <w:r>
        <w:rPr>
          <w:rFonts w:eastAsia="Calibri" w:cs="Times New Roman"/>
        </w:rPr>
        <w:t>The Ombudsman recommended that</w:t>
      </w:r>
      <w:r w:rsidRPr="004E6E99">
        <w:t xml:space="preserve"> </w:t>
      </w:r>
      <w:r>
        <w:t>the Board amend</w:t>
      </w:r>
      <w:r w:rsidRPr="001B3E2D">
        <w:t xml:space="preserve"> the </w:t>
      </w:r>
      <w:r w:rsidR="000623FC">
        <w:t>S</w:t>
      </w:r>
      <w:r w:rsidR="000623FC" w:rsidRPr="001B3E2D">
        <w:t>chool</w:t>
      </w:r>
      <w:r w:rsidR="000623FC">
        <w:t>’</w:t>
      </w:r>
      <w:r w:rsidR="00081823">
        <w:t>s</w:t>
      </w:r>
      <w:r w:rsidRPr="001B3E2D">
        <w:t xml:space="preserve"> practices</w:t>
      </w:r>
      <w:r w:rsidR="000623FC">
        <w:t xml:space="preserve">, </w:t>
      </w:r>
      <w:r w:rsidRPr="001B3E2D">
        <w:t>policies</w:t>
      </w:r>
      <w:r w:rsidR="00081823">
        <w:t>, and</w:t>
      </w:r>
      <w:r w:rsidR="000623FC">
        <w:t xml:space="preserve"> </w:t>
      </w:r>
      <w:r>
        <w:t>guidelines</w:t>
      </w:r>
      <w:r w:rsidR="000623FC">
        <w:t>,</w:t>
      </w:r>
      <w:r>
        <w:t xml:space="preserve"> to ensure that the Principal and the Board</w:t>
      </w:r>
      <w:r w:rsidRPr="001B3E2D">
        <w:t xml:space="preserve"> </w:t>
      </w:r>
      <w:r w:rsidR="0043147A">
        <w:t xml:space="preserve">expressly examine the </w:t>
      </w:r>
      <w:r w:rsidR="0043147A" w:rsidRPr="001B3E2D">
        <w:t>support provided to a student</w:t>
      </w:r>
      <w:r w:rsidR="0043147A">
        <w:t xml:space="preserve"> by the School </w:t>
      </w:r>
      <w:r w:rsidR="00081823">
        <w:t>when considering</w:t>
      </w:r>
      <w:r w:rsidR="0043147A">
        <w:t xml:space="preserve"> </w:t>
      </w:r>
      <w:r w:rsidRPr="001B3E2D">
        <w:t>suspension</w:t>
      </w:r>
      <w:r w:rsidR="0043147A">
        <w:t>s and exclusions</w:t>
      </w:r>
      <w:r>
        <w:t xml:space="preserve">. </w:t>
      </w:r>
      <w:r w:rsidRPr="00A32492">
        <w:t xml:space="preserve"> </w:t>
      </w:r>
    </w:p>
    <w:p w14:paraId="60F9BA20" w14:textId="383E7E5C" w:rsidR="00516F2F" w:rsidRDefault="00516F2F" w:rsidP="00950583">
      <w:pPr>
        <w:pStyle w:val="BodyText"/>
      </w:pPr>
      <w:r>
        <w:t>The Board accepted the opinion and made the changes the Ombudsman recommended. The</w:t>
      </w:r>
      <w:r w:rsidR="00BD5255">
        <w:t xml:space="preserve"> Board also reviewed its processes in relation to the provision of a written suspension report by the Principal.</w:t>
      </w:r>
      <w:r>
        <w:t xml:space="preserve"> Board advis</w:t>
      </w:r>
      <w:r w:rsidR="00253F5F">
        <w:t xml:space="preserve">ed that </w:t>
      </w:r>
      <w:r>
        <w:t xml:space="preserve">in a recent suspension the Principal explicitly examined the support offered to the student when suspending </w:t>
      </w:r>
      <w:r w:rsidR="00B71039">
        <w:t xml:space="preserve">them </w:t>
      </w:r>
      <w:r>
        <w:t>for ‘</w:t>
      </w:r>
      <w:r w:rsidRPr="005539D8">
        <w:rPr>
          <w:rStyle w:val="Quotationwithinthesentence"/>
        </w:rPr>
        <w:t>continual disobedience</w:t>
      </w:r>
      <w:r>
        <w:t>’</w:t>
      </w:r>
      <w:r w:rsidR="00B71039">
        <w:t>, and</w:t>
      </w:r>
      <w:r>
        <w:t xml:space="preserve"> noted this information in the report for the Board. </w:t>
      </w:r>
    </w:p>
    <w:p w14:paraId="67663F1B" w14:textId="77777777" w:rsidR="00950583" w:rsidRPr="00950583" w:rsidRDefault="00950583" w:rsidP="00950583">
      <w:pPr>
        <w:pStyle w:val="Heading1"/>
        <w:rPr>
          <w:sz w:val="28"/>
        </w:rPr>
      </w:pPr>
      <w:r>
        <w:rPr>
          <w:sz w:val="28"/>
        </w:rPr>
        <w:t>Disclaimer</w:t>
      </w:r>
    </w:p>
    <w:p w14:paraId="588FD4B6" w14:textId="77777777" w:rsidR="00950583" w:rsidRPr="00950583" w:rsidRDefault="00950583" w:rsidP="00950583">
      <w:pPr>
        <w:pStyle w:val="Heading1"/>
        <w:spacing w:before="120"/>
        <w:rPr>
          <w:i/>
          <w:color w:val="auto"/>
          <w:sz w:val="24"/>
          <w:szCs w:val="24"/>
        </w:rPr>
      </w:pPr>
      <w:r w:rsidRPr="00950583">
        <w:rPr>
          <w:i/>
          <w:color w:val="auto"/>
          <w:sz w:val="24"/>
          <w:szCs w:val="24"/>
        </w:rPr>
        <w:t xml:space="preserve">This case note is published under the authority of the </w:t>
      </w:r>
      <w:hyperlink r:id="rId8" w:history="1">
        <w:r w:rsidRPr="00E759C9">
          <w:rPr>
            <w:rStyle w:val="Hyperlink"/>
            <w:i/>
            <w:iCs/>
            <w:color w:val="0070C0"/>
            <w:sz w:val="24"/>
            <w:szCs w:val="24"/>
          </w:rPr>
          <w:t>Ombudsmen Rules 1989</w:t>
        </w:r>
      </w:hyperlink>
      <w:r w:rsidRPr="00E759C9">
        <w:rPr>
          <w:i/>
          <w:color w:val="0070C0"/>
          <w:sz w:val="24"/>
          <w:szCs w:val="24"/>
        </w:rPr>
        <w:t xml:space="preserve">. </w:t>
      </w:r>
      <w:r w:rsidRPr="00950583">
        <w:rPr>
          <w:i/>
          <w:color w:val="auto"/>
          <w:sz w:val="24"/>
          <w:szCs w:val="24"/>
        </w:rPr>
        <w:t>It sets out an Ombudsman’s view on the facts of a particular case. It should not be taken as establishing any legal precedent that would bind an Ombudsman in future.</w:t>
      </w:r>
    </w:p>
    <w:p w14:paraId="20E02528" w14:textId="77777777" w:rsidR="00E77A82" w:rsidRPr="00950583" w:rsidRDefault="00E77A82" w:rsidP="00E77A82">
      <w:pPr>
        <w:pStyle w:val="BodyText"/>
        <w:rPr>
          <w:i/>
        </w:rPr>
      </w:pPr>
    </w:p>
    <w:sectPr w:rsidR="00E77A82" w:rsidRPr="00950583" w:rsidSect="00F417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B8209" w14:textId="77777777" w:rsidR="00AA6820" w:rsidRPr="00D45126" w:rsidRDefault="00AA6820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endnote>
  <w:endnote w:type="continuationSeparator" w:id="0">
    <w:p w14:paraId="75BDF4F4" w14:textId="77777777" w:rsidR="00AA6820" w:rsidRPr="00D45126" w:rsidRDefault="00AA6820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continuationSeparator/>
      </w:r>
    </w:p>
  </w:endnote>
  <w:endnote w:type="continuationNotice" w:id="1">
    <w:p w14:paraId="0F9859AB" w14:textId="77777777" w:rsidR="00AA6820" w:rsidRDefault="00AA68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DE590" w14:textId="77777777" w:rsidR="004F72DE" w:rsidRDefault="004F72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1C01A" w14:textId="77777777" w:rsidR="00E36FA7" w:rsidRPr="0059155D" w:rsidRDefault="00E36FA7" w:rsidP="00B81F45">
    <w:pPr>
      <w:pStyle w:val="Footerline"/>
    </w:pPr>
  </w:p>
  <w:p w14:paraId="1C8371CD" w14:textId="77777777" w:rsidR="00E36FA7" w:rsidRPr="0059155D" w:rsidRDefault="00E36FA7" w:rsidP="00B81F45">
    <w:pPr>
      <w:pStyle w:val="Footerline"/>
    </w:pPr>
  </w:p>
  <w:p w14:paraId="79B17C78" w14:textId="3137C7C5" w:rsidR="00E36FA7" w:rsidRPr="005533D8" w:rsidRDefault="00AA6820" w:rsidP="00B81F45">
    <w:pPr>
      <w:pStyle w:val="Footer"/>
    </w:pPr>
    <w:r>
      <w:fldChar w:fldCharType="begin"/>
    </w:r>
    <w:r>
      <w:instrText xml:space="preserve"> DOCVARIABLE  dvShortText </w:instrText>
    </w:r>
    <w:r>
      <w:fldChar w:fldCharType="separate"/>
    </w:r>
    <w:r w:rsidR="009F7156">
      <w:t>Case note |</w:t>
    </w:r>
    <w:r>
      <w:fldChar w:fldCharType="end"/>
    </w:r>
    <w:r w:rsidR="00E36FA7">
      <w:t xml:space="preserve"> Page </w:t>
    </w:r>
    <w:r w:rsidR="00E36FA7" w:rsidRPr="00A32286">
      <w:rPr>
        <w:rStyle w:val="PageNumber"/>
      </w:rPr>
      <w:fldChar w:fldCharType="begin"/>
    </w:r>
    <w:r w:rsidR="00E36FA7" w:rsidRPr="00A32286">
      <w:rPr>
        <w:rStyle w:val="PageNumber"/>
      </w:rPr>
      <w:instrText xml:space="preserve"> PAGE   \* MERGEFORMAT </w:instrText>
    </w:r>
    <w:r w:rsidR="00E36FA7" w:rsidRPr="00A32286">
      <w:rPr>
        <w:rStyle w:val="PageNumber"/>
      </w:rPr>
      <w:fldChar w:fldCharType="separate"/>
    </w:r>
    <w:r w:rsidR="00524E13">
      <w:rPr>
        <w:rStyle w:val="PageNumber"/>
        <w:noProof/>
      </w:rPr>
      <w:t>5</w:t>
    </w:r>
    <w:r w:rsidR="00E36FA7" w:rsidRPr="00A32286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FC651" w14:textId="77777777" w:rsidR="00E36FA7" w:rsidRPr="0059155D" w:rsidRDefault="00E36FA7" w:rsidP="00AA3322">
    <w:pPr>
      <w:pStyle w:val="Footerline"/>
    </w:pPr>
  </w:p>
  <w:p w14:paraId="11B7FAC7" w14:textId="77777777" w:rsidR="00E36FA7" w:rsidRPr="0059155D" w:rsidRDefault="00E36FA7" w:rsidP="00AA3322">
    <w:pPr>
      <w:pStyle w:val="Footerline"/>
    </w:pPr>
  </w:p>
  <w:p w14:paraId="5A1C669A" w14:textId="0AE4968D" w:rsidR="00E36FA7" w:rsidRPr="005533D8" w:rsidRDefault="00AA6820" w:rsidP="00AA3322">
    <w:pPr>
      <w:pStyle w:val="Footer"/>
    </w:pPr>
    <w:r>
      <w:fldChar w:fldCharType="begin"/>
    </w:r>
    <w:r>
      <w:instrText xml:space="preserve"> DOCVARIABLE  dvShortText </w:instrText>
    </w:r>
    <w:r>
      <w:fldChar w:fldCharType="separate"/>
    </w:r>
    <w:r w:rsidR="009F7156">
      <w:t>Case note |</w:t>
    </w:r>
    <w:r>
      <w:fldChar w:fldCharType="end"/>
    </w:r>
    <w:r w:rsidR="00E36FA7">
      <w:t xml:space="preserve"> Page </w:t>
    </w:r>
    <w:r w:rsidR="00E36FA7" w:rsidRPr="00A32286">
      <w:rPr>
        <w:rStyle w:val="PageNumber"/>
      </w:rPr>
      <w:fldChar w:fldCharType="begin"/>
    </w:r>
    <w:r w:rsidR="00E36FA7" w:rsidRPr="00A32286">
      <w:rPr>
        <w:rStyle w:val="PageNumber"/>
      </w:rPr>
      <w:instrText xml:space="preserve"> PAGE   \* MERGEFORMAT </w:instrText>
    </w:r>
    <w:r w:rsidR="00E36FA7" w:rsidRPr="00A32286">
      <w:rPr>
        <w:rStyle w:val="PageNumber"/>
      </w:rPr>
      <w:fldChar w:fldCharType="separate"/>
    </w:r>
    <w:r>
      <w:rPr>
        <w:rStyle w:val="PageNumber"/>
        <w:noProof/>
      </w:rPr>
      <w:t>1</w:t>
    </w:r>
    <w:r w:rsidR="00E36FA7"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5E57C" w14:textId="77777777" w:rsidR="00AA6820" w:rsidRPr="00D45126" w:rsidRDefault="00AA6820" w:rsidP="00257DA0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footnote>
  <w:footnote w:type="continuationSeparator" w:id="0">
    <w:p w14:paraId="0B0DA179" w14:textId="77777777" w:rsidR="00AA6820" w:rsidRPr="00C14083" w:rsidRDefault="00AA6820" w:rsidP="00554FCD">
      <w:pPr>
        <w:spacing w:after="0" w:line="240" w:lineRule="auto"/>
        <w:rPr>
          <w:color w:val="4D4D4D"/>
        </w:rPr>
      </w:pPr>
      <w:r w:rsidRPr="00C14083">
        <w:rPr>
          <w:color w:val="4D4D4D"/>
        </w:rPr>
        <w:continuationSeparator/>
      </w:r>
    </w:p>
  </w:footnote>
  <w:footnote w:type="continuationNotice" w:id="1">
    <w:p w14:paraId="67650823" w14:textId="77777777" w:rsidR="00AA6820" w:rsidRDefault="00AA6820">
      <w:pPr>
        <w:spacing w:after="0" w:line="240" w:lineRule="auto"/>
      </w:pPr>
    </w:p>
  </w:footnote>
  <w:footnote w:id="2">
    <w:p w14:paraId="460BA1DC" w14:textId="2F695B65" w:rsidR="00E36FA7" w:rsidRDefault="00E36FA7" w:rsidP="00A70B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Sections 80 and 81 of the Education and Training Act 2020. The authority to suspend then exclude a student under 16 years of age was previously found in sections 14 and 15 of the Education </w:t>
      </w:r>
      <w:r w:rsidR="00731D7C">
        <w:t>Act 1989.</w:t>
      </w:r>
    </w:p>
  </w:footnote>
  <w:footnote w:id="3">
    <w:p w14:paraId="474D4911" w14:textId="5BD13CE8" w:rsidR="00583CE2" w:rsidRDefault="00583CE2" w:rsidP="00583C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Section 17A of the Education Act 1989 required the </w:t>
      </w:r>
      <w:r w:rsidR="00860DCD">
        <w:t xml:space="preserve">principal </w:t>
      </w:r>
      <w:r>
        <w:t xml:space="preserve">to take of reasonable steps to ensure the student had guidance and counselling in relation to the stand-down or suspension.  </w:t>
      </w:r>
    </w:p>
  </w:footnote>
  <w:footnote w:id="4">
    <w:p w14:paraId="7AF8EA56" w14:textId="77777777" w:rsidR="00511306" w:rsidRDefault="00511306" w:rsidP="005113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Ministry of Education 2009 G</w:t>
      </w:r>
      <w:r w:rsidRPr="006979B1">
        <w:rPr>
          <w:i/>
        </w:rPr>
        <w:t>uidelines: for principals and boards of trustees on stand-downs, suspensions, exclusions and expulsions, Part I: Legal options and duties</w:t>
      </w:r>
      <w:r>
        <w:t xml:space="preserve">, point 34. (References to the Education Act 1989 in the guidance have yet to be replaced with the relevant sections in the Education and Training Act 2020.) </w:t>
      </w:r>
    </w:p>
  </w:footnote>
  <w:footnote w:id="5">
    <w:p w14:paraId="3A42EB4A" w14:textId="07619DA1" w:rsidR="00632CA8" w:rsidRDefault="00632CA8" w:rsidP="00632C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Section 17(1)(a) of the </w:t>
      </w:r>
      <w:r w:rsidRPr="00B81597">
        <w:rPr>
          <w:i/>
        </w:rPr>
        <w:t>Education (Stand-down, Suspension, Exclusion, and Expulsion) Rules 1999</w:t>
      </w:r>
      <w:r>
        <w:t xml:space="preserve">. </w:t>
      </w:r>
    </w:p>
  </w:footnote>
  <w:footnote w:id="6">
    <w:p w14:paraId="7B4500B9" w14:textId="407D8B01" w:rsidR="00583CE2" w:rsidRDefault="00583CE2" w:rsidP="00583C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Section 16 of the </w:t>
      </w:r>
      <w:r w:rsidR="000623FC" w:rsidRPr="00417E92">
        <w:rPr>
          <w:i/>
        </w:rPr>
        <w:t>Education (Stand-down, Suspension, Exclusion, and Expulsion) Rules 1999</w:t>
      </w:r>
      <w:r w:rsidR="000623FC">
        <w:t xml:space="preserve"> </w:t>
      </w:r>
      <w:r>
        <w:t xml:space="preserve">allow the </w:t>
      </w:r>
      <w:r w:rsidR="000623FC">
        <w:t xml:space="preserve">board </w:t>
      </w:r>
      <w:r>
        <w:t>to adjourn the meeting if it needs time to consider new information, such as the school</w:t>
      </w:r>
      <w:r w:rsidR="000623FC">
        <w:t>’</w:t>
      </w:r>
      <w:r>
        <w:t xml:space="preserve">s efforts to support the student if this is not evident from the documentary record and/or the </w:t>
      </w:r>
      <w:r w:rsidR="000623FC">
        <w:t xml:space="preserve">principal’s </w:t>
      </w:r>
      <w:r>
        <w:t>report</w:t>
      </w:r>
      <w:r w:rsidRPr="00803622"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6402B" w14:textId="77777777" w:rsidR="004F72DE" w:rsidRDefault="004F72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300B2" w14:textId="77777777" w:rsidR="00E36FA7" w:rsidRDefault="00E36FA7" w:rsidP="00B81F45">
    <w:pPr>
      <w:pStyle w:val="Header"/>
      <w:tabs>
        <w:tab w:val="clear" w:pos="9299"/>
        <w:tab w:val="right" w:pos="9321"/>
      </w:tabs>
      <w:rPr>
        <w:rStyle w:val="PageNumber"/>
      </w:rPr>
    </w:pPr>
    <w:r>
      <w:t xml:space="preserve">Office of the Ombudsman | </w:t>
    </w:r>
    <w:r w:rsidRPr="00DD54DF">
      <w:t>Tari o te Kaitiaki Mana Tangata</w:t>
    </w:r>
  </w:p>
  <w:p w14:paraId="106E5068" w14:textId="77777777" w:rsidR="00E36FA7" w:rsidRPr="00661EC9" w:rsidRDefault="00E36FA7" w:rsidP="00B81F45">
    <w:pPr>
      <w:pStyle w:val="Headerline"/>
      <w:rPr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25B9B" w14:textId="77777777" w:rsidR="00E36FA7" w:rsidRDefault="00E36FA7">
    <w:pPr>
      <w:pStyle w:val="Header"/>
    </w:pPr>
    <w:r w:rsidRPr="00F417FD"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5DB1E298" wp14:editId="0C4ECC98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0" t="0" r="1905" b="0"/>
          <wp:wrapNone/>
          <wp:docPr id="2" name="Picture 3" title="The Ombudsman Case note logo—features the word Ombudsman in bold font with the text ‘Fairness for all’ in a smaller font-size below. A graphic of a fern furls into the ‘O’ helping to form the first letter of the word Ombudsman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e_Note-AW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2416F2"/>
    <w:multiLevelType w:val="multilevel"/>
    <w:tmpl w:val="75FE143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4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6" w15:restartNumberingAfterBreak="0">
    <w:nsid w:val="2BBA4A02"/>
    <w:multiLevelType w:val="multilevel"/>
    <w:tmpl w:val="F536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InsertPictureLeft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0" w15:restartNumberingAfterBreak="0">
    <w:nsid w:val="377C497E"/>
    <w:multiLevelType w:val="multilevel"/>
    <w:tmpl w:val="D4D4899C"/>
    <w:lvl w:ilvl="0">
      <w:start w:val="1"/>
      <w:numFmt w:val="decimal"/>
      <w:pStyle w:val="Listoutline1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istoutline2-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outline3-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istoutline4-a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Listoutline5-i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42353CF5"/>
    <w:multiLevelType w:val="hybridMultilevel"/>
    <w:tmpl w:val="640E07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45B0454E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7" w15:restartNumberingAfterBreak="0">
    <w:nsid w:val="5F465289"/>
    <w:multiLevelType w:val="multilevel"/>
    <w:tmpl w:val="6AB2BB48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9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1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3" w15:restartNumberingAfterBreak="0">
    <w:nsid w:val="777216FA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7746DE0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1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3"/>
  </w:num>
  <w:num w:numId="8">
    <w:abstractNumId w:val="15"/>
  </w:num>
  <w:num w:numId="9">
    <w:abstractNumId w:val="5"/>
  </w:num>
  <w:num w:numId="10">
    <w:abstractNumId w:val="8"/>
  </w:num>
  <w:num w:numId="11">
    <w:abstractNumId w:val="22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  <w:num w:numId="16">
    <w:abstractNumId w:val="20"/>
  </w:num>
  <w:num w:numId="17">
    <w:abstractNumId w:val="16"/>
  </w:num>
  <w:num w:numId="18">
    <w:abstractNumId w:val="21"/>
  </w:num>
  <w:num w:numId="19">
    <w:abstractNumId w:val="12"/>
  </w:num>
  <w:num w:numId="20">
    <w:abstractNumId w:val="25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11"/>
  </w:num>
  <w:num w:numId="25">
    <w:abstractNumId w:val="14"/>
  </w:num>
  <w:num w:numId="26">
    <w:abstractNumId w:val="4"/>
  </w:num>
  <w:num w:numId="27">
    <w:abstractNumId w:val="7"/>
  </w:num>
  <w:num w:numId="28">
    <w:abstractNumId w:val="14"/>
  </w:num>
  <w:num w:numId="29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ShortText" w:val="Case note |"/>
    <w:docVar w:name="dvShortTextFrm" w:val="Case note"/>
    <w:docVar w:name="IsfirstTb" w:val="True"/>
    <w:docVar w:name="IsInTable" w:val="True"/>
    <w:docVar w:name="OOTOTemplate" w:val="OOTO General\Case note.dotm"/>
  </w:docVars>
  <w:rsids>
    <w:rsidRoot w:val="00950583"/>
    <w:rsid w:val="00000AEE"/>
    <w:rsid w:val="00000BE2"/>
    <w:rsid w:val="0000164C"/>
    <w:rsid w:val="00002E2B"/>
    <w:rsid w:val="000048D2"/>
    <w:rsid w:val="0000771B"/>
    <w:rsid w:val="00011074"/>
    <w:rsid w:val="00013791"/>
    <w:rsid w:val="000205AD"/>
    <w:rsid w:val="00021382"/>
    <w:rsid w:val="00024F53"/>
    <w:rsid w:val="00026A3B"/>
    <w:rsid w:val="000273F0"/>
    <w:rsid w:val="000328E9"/>
    <w:rsid w:val="00032A75"/>
    <w:rsid w:val="00035821"/>
    <w:rsid w:val="00040F52"/>
    <w:rsid w:val="00041615"/>
    <w:rsid w:val="000419C3"/>
    <w:rsid w:val="00045FD7"/>
    <w:rsid w:val="00046B63"/>
    <w:rsid w:val="00050123"/>
    <w:rsid w:val="00053114"/>
    <w:rsid w:val="00057C4D"/>
    <w:rsid w:val="000623FC"/>
    <w:rsid w:val="00064CFD"/>
    <w:rsid w:val="00065881"/>
    <w:rsid w:val="00081823"/>
    <w:rsid w:val="000822C8"/>
    <w:rsid w:val="00084FC2"/>
    <w:rsid w:val="000929F9"/>
    <w:rsid w:val="00093C9D"/>
    <w:rsid w:val="0009569A"/>
    <w:rsid w:val="000965D2"/>
    <w:rsid w:val="00097211"/>
    <w:rsid w:val="000978AD"/>
    <w:rsid w:val="00097E3A"/>
    <w:rsid w:val="000A084B"/>
    <w:rsid w:val="000A18DA"/>
    <w:rsid w:val="000A2D3D"/>
    <w:rsid w:val="000A39DB"/>
    <w:rsid w:val="000A4639"/>
    <w:rsid w:val="000A56A9"/>
    <w:rsid w:val="000B18D8"/>
    <w:rsid w:val="000B43C3"/>
    <w:rsid w:val="000B5160"/>
    <w:rsid w:val="000B60ED"/>
    <w:rsid w:val="000C2A01"/>
    <w:rsid w:val="000C487C"/>
    <w:rsid w:val="000D3B26"/>
    <w:rsid w:val="000D4757"/>
    <w:rsid w:val="000D5790"/>
    <w:rsid w:val="000D6DA5"/>
    <w:rsid w:val="000D6FA6"/>
    <w:rsid w:val="000E2563"/>
    <w:rsid w:val="000E2C2F"/>
    <w:rsid w:val="000E357E"/>
    <w:rsid w:val="000E36A8"/>
    <w:rsid w:val="000E48F3"/>
    <w:rsid w:val="000F0806"/>
    <w:rsid w:val="000F09B0"/>
    <w:rsid w:val="000F11B5"/>
    <w:rsid w:val="000F27A2"/>
    <w:rsid w:val="000F32C4"/>
    <w:rsid w:val="000F358E"/>
    <w:rsid w:val="000F496B"/>
    <w:rsid w:val="000F4A8C"/>
    <w:rsid w:val="000F5D79"/>
    <w:rsid w:val="00100392"/>
    <w:rsid w:val="001110B8"/>
    <w:rsid w:val="0011146D"/>
    <w:rsid w:val="00114C6B"/>
    <w:rsid w:val="00114C7F"/>
    <w:rsid w:val="00123968"/>
    <w:rsid w:val="00134987"/>
    <w:rsid w:val="00140996"/>
    <w:rsid w:val="00140DAC"/>
    <w:rsid w:val="00144C1B"/>
    <w:rsid w:val="00150AD4"/>
    <w:rsid w:val="00151F5B"/>
    <w:rsid w:val="00157E61"/>
    <w:rsid w:val="001602AB"/>
    <w:rsid w:val="00160E82"/>
    <w:rsid w:val="001643FB"/>
    <w:rsid w:val="001646FB"/>
    <w:rsid w:val="00166C30"/>
    <w:rsid w:val="00167506"/>
    <w:rsid w:val="0017216A"/>
    <w:rsid w:val="001753BE"/>
    <w:rsid w:val="001760FC"/>
    <w:rsid w:val="00177807"/>
    <w:rsid w:val="0018198F"/>
    <w:rsid w:val="001822E3"/>
    <w:rsid w:val="00182E17"/>
    <w:rsid w:val="00184B58"/>
    <w:rsid w:val="00186A52"/>
    <w:rsid w:val="001872A2"/>
    <w:rsid w:val="00187D74"/>
    <w:rsid w:val="00190A34"/>
    <w:rsid w:val="00191044"/>
    <w:rsid w:val="001922D6"/>
    <w:rsid w:val="00193B7F"/>
    <w:rsid w:val="00194237"/>
    <w:rsid w:val="00194280"/>
    <w:rsid w:val="001944D8"/>
    <w:rsid w:val="001954BF"/>
    <w:rsid w:val="00197401"/>
    <w:rsid w:val="001A265F"/>
    <w:rsid w:val="001A415D"/>
    <w:rsid w:val="001A4C19"/>
    <w:rsid w:val="001B1DCE"/>
    <w:rsid w:val="001B2F94"/>
    <w:rsid w:val="001B31CF"/>
    <w:rsid w:val="001B688C"/>
    <w:rsid w:val="001B7EC1"/>
    <w:rsid w:val="001C12AF"/>
    <w:rsid w:val="001C7F14"/>
    <w:rsid w:val="001D5708"/>
    <w:rsid w:val="001E067E"/>
    <w:rsid w:val="001E16D0"/>
    <w:rsid w:val="001E795E"/>
    <w:rsid w:val="001F08E5"/>
    <w:rsid w:val="001F0C1C"/>
    <w:rsid w:val="001F0E26"/>
    <w:rsid w:val="001F14C5"/>
    <w:rsid w:val="001F20AE"/>
    <w:rsid w:val="001F6FC1"/>
    <w:rsid w:val="00200C37"/>
    <w:rsid w:val="002019F7"/>
    <w:rsid w:val="00204247"/>
    <w:rsid w:val="00210377"/>
    <w:rsid w:val="0021064F"/>
    <w:rsid w:val="002127D9"/>
    <w:rsid w:val="002151BC"/>
    <w:rsid w:val="00217F95"/>
    <w:rsid w:val="00220309"/>
    <w:rsid w:val="00221110"/>
    <w:rsid w:val="00221D0F"/>
    <w:rsid w:val="00222EA0"/>
    <w:rsid w:val="00224421"/>
    <w:rsid w:val="0023071A"/>
    <w:rsid w:val="00230FF4"/>
    <w:rsid w:val="00237679"/>
    <w:rsid w:val="00240D47"/>
    <w:rsid w:val="00244E13"/>
    <w:rsid w:val="00245ACC"/>
    <w:rsid w:val="00251056"/>
    <w:rsid w:val="00251456"/>
    <w:rsid w:val="00253466"/>
    <w:rsid w:val="002539A9"/>
    <w:rsid w:val="00253F5F"/>
    <w:rsid w:val="00257DA0"/>
    <w:rsid w:val="00262294"/>
    <w:rsid w:val="00262BB3"/>
    <w:rsid w:val="00263B2F"/>
    <w:rsid w:val="0026651F"/>
    <w:rsid w:val="00270EC8"/>
    <w:rsid w:val="0027214C"/>
    <w:rsid w:val="00272307"/>
    <w:rsid w:val="00272886"/>
    <w:rsid w:val="00272EB5"/>
    <w:rsid w:val="00274E49"/>
    <w:rsid w:val="002819FD"/>
    <w:rsid w:val="00283493"/>
    <w:rsid w:val="00283CAD"/>
    <w:rsid w:val="00283D4E"/>
    <w:rsid w:val="00283F3B"/>
    <w:rsid w:val="002841A8"/>
    <w:rsid w:val="00284C51"/>
    <w:rsid w:val="002917E8"/>
    <w:rsid w:val="00292161"/>
    <w:rsid w:val="00295101"/>
    <w:rsid w:val="00296245"/>
    <w:rsid w:val="00296ED4"/>
    <w:rsid w:val="002A1D84"/>
    <w:rsid w:val="002A3379"/>
    <w:rsid w:val="002A67F4"/>
    <w:rsid w:val="002A7B22"/>
    <w:rsid w:val="002B0221"/>
    <w:rsid w:val="002B0E1C"/>
    <w:rsid w:val="002B319F"/>
    <w:rsid w:val="002B48BA"/>
    <w:rsid w:val="002B5274"/>
    <w:rsid w:val="002B5D4E"/>
    <w:rsid w:val="002B6A20"/>
    <w:rsid w:val="002B6A6C"/>
    <w:rsid w:val="002B7379"/>
    <w:rsid w:val="002B782E"/>
    <w:rsid w:val="002C0241"/>
    <w:rsid w:val="002C03DC"/>
    <w:rsid w:val="002C4624"/>
    <w:rsid w:val="002C54BA"/>
    <w:rsid w:val="002D00DA"/>
    <w:rsid w:val="002D09E7"/>
    <w:rsid w:val="002D4A7A"/>
    <w:rsid w:val="002D6610"/>
    <w:rsid w:val="002D6E92"/>
    <w:rsid w:val="002D707B"/>
    <w:rsid w:val="002E1AEB"/>
    <w:rsid w:val="002E617A"/>
    <w:rsid w:val="002E6678"/>
    <w:rsid w:val="002E6923"/>
    <w:rsid w:val="002F1071"/>
    <w:rsid w:val="002F2103"/>
    <w:rsid w:val="002F2702"/>
    <w:rsid w:val="002F510A"/>
    <w:rsid w:val="002F7D54"/>
    <w:rsid w:val="003002CA"/>
    <w:rsid w:val="0030460D"/>
    <w:rsid w:val="00307592"/>
    <w:rsid w:val="00313ABD"/>
    <w:rsid w:val="00316CF6"/>
    <w:rsid w:val="00317D8B"/>
    <w:rsid w:val="00320E2B"/>
    <w:rsid w:val="00321801"/>
    <w:rsid w:val="00321D36"/>
    <w:rsid w:val="00327FBC"/>
    <w:rsid w:val="003374ED"/>
    <w:rsid w:val="00342CEE"/>
    <w:rsid w:val="00343813"/>
    <w:rsid w:val="003516B6"/>
    <w:rsid w:val="0035756E"/>
    <w:rsid w:val="0036078D"/>
    <w:rsid w:val="003612FC"/>
    <w:rsid w:val="00363187"/>
    <w:rsid w:val="003636DB"/>
    <w:rsid w:val="00367A88"/>
    <w:rsid w:val="00371B5E"/>
    <w:rsid w:val="003723B3"/>
    <w:rsid w:val="00373DCE"/>
    <w:rsid w:val="0037732A"/>
    <w:rsid w:val="0037742F"/>
    <w:rsid w:val="00377D53"/>
    <w:rsid w:val="003808C4"/>
    <w:rsid w:val="00380E4E"/>
    <w:rsid w:val="00381FBC"/>
    <w:rsid w:val="00382244"/>
    <w:rsid w:val="003832EA"/>
    <w:rsid w:val="00383460"/>
    <w:rsid w:val="00385BCC"/>
    <w:rsid w:val="00385F42"/>
    <w:rsid w:val="00396770"/>
    <w:rsid w:val="003967AB"/>
    <w:rsid w:val="003A1465"/>
    <w:rsid w:val="003A1A2B"/>
    <w:rsid w:val="003A4539"/>
    <w:rsid w:val="003A4EB3"/>
    <w:rsid w:val="003B46E7"/>
    <w:rsid w:val="003C1714"/>
    <w:rsid w:val="003C2059"/>
    <w:rsid w:val="003D02D4"/>
    <w:rsid w:val="003D139D"/>
    <w:rsid w:val="003D6A2B"/>
    <w:rsid w:val="003D7060"/>
    <w:rsid w:val="003D7D3A"/>
    <w:rsid w:val="003E19E9"/>
    <w:rsid w:val="003E433B"/>
    <w:rsid w:val="003E4400"/>
    <w:rsid w:val="003E51DA"/>
    <w:rsid w:val="003E5BC8"/>
    <w:rsid w:val="003E6107"/>
    <w:rsid w:val="003E7D56"/>
    <w:rsid w:val="003F0032"/>
    <w:rsid w:val="003F0E79"/>
    <w:rsid w:val="003F3280"/>
    <w:rsid w:val="003F7B31"/>
    <w:rsid w:val="00400410"/>
    <w:rsid w:val="00402218"/>
    <w:rsid w:val="00404C91"/>
    <w:rsid w:val="00405E1E"/>
    <w:rsid w:val="00406000"/>
    <w:rsid w:val="004061BA"/>
    <w:rsid w:val="00410181"/>
    <w:rsid w:val="004118FD"/>
    <w:rsid w:val="00411A78"/>
    <w:rsid w:val="00420054"/>
    <w:rsid w:val="004213E5"/>
    <w:rsid w:val="00424DBC"/>
    <w:rsid w:val="004302DE"/>
    <w:rsid w:val="0043147A"/>
    <w:rsid w:val="00431860"/>
    <w:rsid w:val="00433038"/>
    <w:rsid w:val="00433F89"/>
    <w:rsid w:val="00435FD1"/>
    <w:rsid w:val="00442610"/>
    <w:rsid w:val="004426B5"/>
    <w:rsid w:val="00444754"/>
    <w:rsid w:val="00445896"/>
    <w:rsid w:val="00452CEF"/>
    <w:rsid w:val="00462213"/>
    <w:rsid w:val="00464DEF"/>
    <w:rsid w:val="00465438"/>
    <w:rsid w:val="00467645"/>
    <w:rsid w:val="00472580"/>
    <w:rsid w:val="004752AF"/>
    <w:rsid w:val="00476136"/>
    <w:rsid w:val="004873B4"/>
    <w:rsid w:val="004903E8"/>
    <w:rsid w:val="00491852"/>
    <w:rsid w:val="0049294C"/>
    <w:rsid w:val="004938CA"/>
    <w:rsid w:val="00493EE8"/>
    <w:rsid w:val="00494124"/>
    <w:rsid w:val="004978CE"/>
    <w:rsid w:val="004A2B8E"/>
    <w:rsid w:val="004A3DD0"/>
    <w:rsid w:val="004A5E3E"/>
    <w:rsid w:val="004A60D8"/>
    <w:rsid w:val="004A717A"/>
    <w:rsid w:val="004B1CFB"/>
    <w:rsid w:val="004B3108"/>
    <w:rsid w:val="004B5B00"/>
    <w:rsid w:val="004B6762"/>
    <w:rsid w:val="004B6DF7"/>
    <w:rsid w:val="004C0178"/>
    <w:rsid w:val="004C748E"/>
    <w:rsid w:val="004D11E7"/>
    <w:rsid w:val="004D3A9D"/>
    <w:rsid w:val="004D4947"/>
    <w:rsid w:val="004D4CCB"/>
    <w:rsid w:val="004D6360"/>
    <w:rsid w:val="004E37DF"/>
    <w:rsid w:val="004E4498"/>
    <w:rsid w:val="004E6E01"/>
    <w:rsid w:val="004F143B"/>
    <w:rsid w:val="004F16B6"/>
    <w:rsid w:val="004F5787"/>
    <w:rsid w:val="004F673D"/>
    <w:rsid w:val="004F72DE"/>
    <w:rsid w:val="00501733"/>
    <w:rsid w:val="0050347A"/>
    <w:rsid w:val="00503E51"/>
    <w:rsid w:val="005054E0"/>
    <w:rsid w:val="005102D8"/>
    <w:rsid w:val="00511306"/>
    <w:rsid w:val="00512CAE"/>
    <w:rsid w:val="00512D27"/>
    <w:rsid w:val="00515585"/>
    <w:rsid w:val="00515C43"/>
    <w:rsid w:val="00516F2F"/>
    <w:rsid w:val="00517AD4"/>
    <w:rsid w:val="00520431"/>
    <w:rsid w:val="0052262C"/>
    <w:rsid w:val="00524E13"/>
    <w:rsid w:val="00531CEF"/>
    <w:rsid w:val="0053285B"/>
    <w:rsid w:val="0053394E"/>
    <w:rsid w:val="00535191"/>
    <w:rsid w:val="005409E7"/>
    <w:rsid w:val="00541023"/>
    <w:rsid w:val="00546792"/>
    <w:rsid w:val="0055346A"/>
    <w:rsid w:val="005539D8"/>
    <w:rsid w:val="00554E50"/>
    <w:rsid w:val="00554FCD"/>
    <w:rsid w:val="00561DA3"/>
    <w:rsid w:val="005620CB"/>
    <w:rsid w:val="005631D0"/>
    <w:rsid w:val="005661BE"/>
    <w:rsid w:val="005671A5"/>
    <w:rsid w:val="00570439"/>
    <w:rsid w:val="00570CA3"/>
    <w:rsid w:val="005719C4"/>
    <w:rsid w:val="00573D48"/>
    <w:rsid w:val="005740AC"/>
    <w:rsid w:val="005758E8"/>
    <w:rsid w:val="005772F4"/>
    <w:rsid w:val="005777E2"/>
    <w:rsid w:val="005804D9"/>
    <w:rsid w:val="005805BA"/>
    <w:rsid w:val="005820EE"/>
    <w:rsid w:val="005830DE"/>
    <w:rsid w:val="00583A5C"/>
    <w:rsid w:val="00583CE2"/>
    <w:rsid w:val="00585B6A"/>
    <w:rsid w:val="00590C6E"/>
    <w:rsid w:val="005910D7"/>
    <w:rsid w:val="005935A5"/>
    <w:rsid w:val="00594C83"/>
    <w:rsid w:val="00594D41"/>
    <w:rsid w:val="00595347"/>
    <w:rsid w:val="00596025"/>
    <w:rsid w:val="005975D0"/>
    <w:rsid w:val="005A1D8F"/>
    <w:rsid w:val="005A2E1B"/>
    <w:rsid w:val="005B1169"/>
    <w:rsid w:val="005B45C7"/>
    <w:rsid w:val="005B6E2F"/>
    <w:rsid w:val="005B7F25"/>
    <w:rsid w:val="005C163C"/>
    <w:rsid w:val="005C4DB4"/>
    <w:rsid w:val="005C76DD"/>
    <w:rsid w:val="005C7BA2"/>
    <w:rsid w:val="005D03D0"/>
    <w:rsid w:val="005D525E"/>
    <w:rsid w:val="005E1DEC"/>
    <w:rsid w:val="005E1F34"/>
    <w:rsid w:val="005E2932"/>
    <w:rsid w:val="005E4F3A"/>
    <w:rsid w:val="005E50C7"/>
    <w:rsid w:val="005F1945"/>
    <w:rsid w:val="005F3344"/>
    <w:rsid w:val="005F4281"/>
    <w:rsid w:val="005F43B4"/>
    <w:rsid w:val="005F70F0"/>
    <w:rsid w:val="00604BDC"/>
    <w:rsid w:val="0060547F"/>
    <w:rsid w:val="00605D55"/>
    <w:rsid w:val="00606871"/>
    <w:rsid w:val="006077BF"/>
    <w:rsid w:val="00607EC0"/>
    <w:rsid w:val="0061020F"/>
    <w:rsid w:val="00610FD3"/>
    <w:rsid w:val="00611625"/>
    <w:rsid w:val="006120A8"/>
    <w:rsid w:val="00615CE0"/>
    <w:rsid w:val="00616CEE"/>
    <w:rsid w:val="00617F04"/>
    <w:rsid w:val="00621FD1"/>
    <w:rsid w:val="0062506B"/>
    <w:rsid w:val="006279D4"/>
    <w:rsid w:val="00627E11"/>
    <w:rsid w:val="00631B80"/>
    <w:rsid w:val="00632CA8"/>
    <w:rsid w:val="00640FA7"/>
    <w:rsid w:val="00644A97"/>
    <w:rsid w:val="00644B46"/>
    <w:rsid w:val="0064708D"/>
    <w:rsid w:val="006473DE"/>
    <w:rsid w:val="00651509"/>
    <w:rsid w:val="00655FF5"/>
    <w:rsid w:val="0066078A"/>
    <w:rsid w:val="00661FBB"/>
    <w:rsid w:val="0067015F"/>
    <w:rsid w:val="0067318E"/>
    <w:rsid w:val="006741F1"/>
    <w:rsid w:val="006744C4"/>
    <w:rsid w:val="0067485E"/>
    <w:rsid w:val="00681279"/>
    <w:rsid w:val="006820B3"/>
    <w:rsid w:val="006830C4"/>
    <w:rsid w:val="006842AB"/>
    <w:rsid w:val="00684E32"/>
    <w:rsid w:val="00685B6A"/>
    <w:rsid w:val="00687159"/>
    <w:rsid w:val="00691335"/>
    <w:rsid w:val="006920D5"/>
    <w:rsid w:val="00697F10"/>
    <w:rsid w:val="006A05F7"/>
    <w:rsid w:val="006A12AA"/>
    <w:rsid w:val="006A5545"/>
    <w:rsid w:val="006A5CB2"/>
    <w:rsid w:val="006A61A4"/>
    <w:rsid w:val="006B2725"/>
    <w:rsid w:val="006B4123"/>
    <w:rsid w:val="006B72A6"/>
    <w:rsid w:val="006C3811"/>
    <w:rsid w:val="006C3851"/>
    <w:rsid w:val="006C3FF6"/>
    <w:rsid w:val="006D1417"/>
    <w:rsid w:val="006D1717"/>
    <w:rsid w:val="006D17A0"/>
    <w:rsid w:val="006D2120"/>
    <w:rsid w:val="006D78E8"/>
    <w:rsid w:val="006E05C4"/>
    <w:rsid w:val="006E190D"/>
    <w:rsid w:val="006E1BFE"/>
    <w:rsid w:val="006E5E11"/>
    <w:rsid w:val="006F1C9F"/>
    <w:rsid w:val="006F2DED"/>
    <w:rsid w:val="006F51DC"/>
    <w:rsid w:val="007012C8"/>
    <w:rsid w:val="00703C65"/>
    <w:rsid w:val="00710CB9"/>
    <w:rsid w:val="00712C05"/>
    <w:rsid w:val="00714679"/>
    <w:rsid w:val="00715819"/>
    <w:rsid w:val="00717711"/>
    <w:rsid w:val="00717A58"/>
    <w:rsid w:val="00717B0B"/>
    <w:rsid w:val="0072077B"/>
    <w:rsid w:val="007251D7"/>
    <w:rsid w:val="0072665E"/>
    <w:rsid w:val="0073150C"/>
    <w:rsid w:val="0073197D"/>
    <w:rsid w:val="00731D7C"/>
    <w:rsid w:val="00733DAC"/>
    <w:rsid w:val="00734E9C"/>
    <w:rsid w:val="007370C8"/>
    <w:rsid w:val="0073772C"/>
    <w:rsid w:val="00743E91"/>
    <w:rsid w:val="00751327"/>
    <w:rsid w:val="00753648"/>
    <w:rsid w:val="007539DA"/>
    <w:rsid w:val="0075631C"/>
    <w:rsid w:val="00757050"/>
    <w:rsid w:val="00760461"/>
    <w:rsid w:val="00763D2B"/>
    <w:rsid w:val="00764619"/>
    <w:rsid w:val="007705ED"/>
    <w:rsid w:val="00773694"/>
    <w:rsid w:val="0077590F"/>
    <w:rsid w:val="00776236"/>
    <w:rsid w:val="00776A46"/>
    <w:rsid w:val="00777829"/>
    <w:rsid w:val="0078036A"/>
    <w:rsid w:val="00780D07"/>
    <w:rsid w:val="007846B5"/>
    <w:rsid w:val="0079659E"/>
    <w:rsid w:val="007A0E41"/>
    <w:rsid w:val="007A395C"/>
    <w:rsid w:val="007A6586"/>
    <w:rsid w:val="007A6F0A"/>
    <w:rsid w:val="007A7020"/>
    <w:rsid w:val="007A74A0"/>
    <w:rsid w:val="007B4F3B"/>
    <w:rsid w:val="007B755F"/>
    <w:rsid w:val="007C3BDA"/>
    <w:rsid w:val="007C5CD4"/>
    <w:rsid w:val="007C679B"/>
    <w:rsid w:val="007C6963"/>
    <w:rsid w:val="007C7995"/>
    <w:rsid w:val="007D3C1B"/>
    <w:rsid w:val="007D4081"/>
    <w:rsid w:val="007D5753"/>
    <w:rsid w:val="007D76FD"/>
    <w:rsid w:val="007E01D2"/>
    <w:rsid w:val="007E1397"/>
    <w:rsid w:val="007E5462"/>
    <w:rsid w:val="007E58A0"/>
    <w:rsid w:val="007F62AB"/>
    <w:rsid w:val="007F760D"/>
    <w:rsid w:val="00800219"/>
    <w:rsid w:val="0080047F"/>
    <w:rsid w:val="0080145D"/>
    <w:rsid w:val="00802414"/>
    <w:rsid w:val="00803CA9"/>
    <w:rsid w:val="00812748"/>
    <w:rsid w:val="00813A70"/>
    <w:rsid w:val="00820026"/>
    <w:rsid w:val="00820C9C"/>
    <w:rsid w:val="008242EE"/>
    <w:rsid w:val="00825420"/>
    <w:rsid w:val="00825D06"/>
    <w:rsid w:val="00830680"/>
    <w:rsid w:val="00831A4E"/>
    <w:rsid w:val="00831EBB"/>
    <w:rsid w:val="00833247"/>
    <w:rsid w:val="00834DBD"/>
    <w:rsid w:val="00837EA6"/>
    <w:rsid w:val="008429D3"/>
    <w:rsid w:val="00844F64"/>
    <w:rsid w:val="0084562C"/>
    <w:rsid w:val="00846794"/>
    <w:rsid w:val="00846D79"/>
    <w:rsid w:val="00860B01"/>
    <w:rsid w:val="00860DCD"/>
    <w:rsid w:val="00860DF0"/>
    <w:rsid w:val="00861C91"/>
    <w:rsid w:val="00872924"/>
    <w:rsid w:val="008841B5"/>
    <w:rsid w:val="00884716"/>
    <w:rsid w:val="00887AA8"/>
    <w:rsid w:val="0089080C"/>
    <w:rsid w:val="00892DF8"/>
    <w:rsid w:val="00893A27"/>
    <w:rsid w:val="00896D19"/>
    <w:rsid w:val="008A593E"/>
    <w:rsid w:val="008B0D20"/>
    <w:rsid w:val="008B0F15"/>
    <w:rsid w:val="008B1687"/>
    <w:rsid w:val="008B1A1F"/>
    <w:rsid w:val="008B3D95"/>
    <w:rsid w:val="008B3DAA"/>
    <w:rsid w:val="008B4AAA"/>
    <w:rsid w:val="008B76D2"/>
    <w:rsid w:val="008C3437"/>
    <w:rsid w:val="008C7455"/>
    <w:rsid w:val="008D2D01"/>
    <w:rsid w:val="008D349D"/>
    <w:rsid w:val="008D7744"/>
    <w:rsid w:val="008E0636"/>
    <w:rsid w:val="008E0999"/>
    <w:rsid w:val="008E0CD9"/>
    <w:rsid w:val="008E186D"/>
    <w:rsid w:val="008E1EF0"/>
    <w:rsid w:val="008E6C86"/>
    <w:rsid w:val="008F17E0"/>
    <w:rsid w:val="008F2893"/>
    <w:rsid w:val="008F614F"/>
    <w:rsid w:val="008F746D"/>
    <w:rsid w:val="00903FCC"/>
    <w:rsid w:val="009135B5"/>
    <w:rsid w:val="0092033B"/>
    <w:rsid w:val="009203C6"/>
    <w:rsid w:val="00923ED7"/>
    <w:rsid w:val="0092445C"/>
    <w:rsid w:val="009300E6"/>
    <w:rsid w:val="009319DE"/>
    <w:rsid w:val="00934224"/>
    <w:rsid w:val="00934443"/>
    <w:rsid w:val="0093534C"/>
    <w:rsid w:val="00935540"/>
    <w:rsid w:val="00936C1D"/>
    <w:rsid w:val="009401E4"/>
    <w:rsid w:val="00942420"/>
    <w:rsid w:val="009438B5"/>
    <w:rsid w:val="0094461F"/>
    <w:rsid w:val="00944B48"/>
    <w:rsid w:val="00946D1C"/>
    <w:rsid w:val="00950583"/>
    <w:rsid w:val="009639D4"/>
    <w:rsid w:val="009673FC"/>
    <w:rsid w:val="00967959"/>
    <w:rsid w:val="00967D11"/>
    <w:rsid w:val="00970955"/>
    <w:rsid w:val="00971749"/>
    <w:rsid w:val="00971D0C"/>
    <w:rsid w:val="00974718"/>
    <w:rsid w:val="00974ABE"/>
    <w:rsid w:val="009779D9"/>
    <w:rsid w:val="009826E4"/>
    <w:rsid w:val="009843E4"/>
    <w:rsid w:val="009909DF"/>
    <w:rsid w:val="0099196C"/>
    <w:rsid w:val="0099197D"/>
    <w:rsid w:val="00991F34"/>
    <w:rsid w:val="00994CBB"/>
    <w:rsid w:val="009954CB"/>
    <w:rsid w:val="00995755"/>
    <w:rsid w:val="00996ACE"/>
    <w:rsid w:val="009A5A2E"/>
    <w:rsid w:val="009A66D4"/>
    <w:rsid w:val="009B47B9"/>
    <w:rsid w:val="009C1083"/>
    <w:rsid w:val="009C1890"/>
    <w:rsid w:val="009C3499"/>
    <w:rsid w:val="009C375B"/>
    <w:rsid w:val="009C4723"/>
    <w:rsid w:val="009D6259"/>
    <w:rsid w:val="009E2446"/>
    <w:rsid w:val="009E3199"/>
    <w:rsid w:val="009E78E3"/>
    <w:rsid w:val="009F0996"/>
    <w:rsid w:val="009F261A"/>
    <w:rsid w:val="009F4E72"/>
    <w:rsid w:val="009F5C3C"/>
    <w:rsid w:val="009F68AD"/>
    <w:rsid w:val="009F7156"/>
    <w:rsid w:val="00A004F0"/>
    <w:rsid w:val="00A007F3"/>
    <w:rsid w:val="00A0089C"/>
    <w:rsid w:val="00A01B68"/>
    <w:rsid w:val="00A1091A"/>
    <w:rsid w:val="00A13DA1"/>
    <w:rsid w:val="00A14DEB"/>
    <w:rsid w:val="00A23242"/>
    <w:rsid w:val="00A30994"/>
    <w:rsid w:val="00A31D26"/>
    <w:rsid w:val="00A333DF"/>
    <w:rsid w:val="00A34057"/>
    <w:rsid w:val="00A34706"/>
    <w:rsid w:val="00A366ED"/>
    <w:rsid w:val="00A4087E"/>
    <w:rsid w:val="00A442D7"/>
    <w:rsid w:val="00A47666"/>
    <w:rsid w:val="00A47F79"/>
    <w:rsid w:val="00A511A1"/>
    <w:rsid w:val="00A52EBD"/>
    <w:rsid w:val="00A5469F"/>
    <w:rsid w:val="00A60F61"/>
    <w:rsid w:val="00A6506D"/>
    <w:rsid w:val="00A66569"/>
    <w:rsid w:val="00A7093F"/>
    <w:rsid w:val="00A70B47"/>
    <w:rsid w:val="00A76E5D"/>
    <w:rsid w:val="00A800F7"/>
    <w:rsid w:val="00A80669"/>
    <w:rsid w:val="00A818A6"/>
    <w:rsid w:val="00A83F11"/>
    <w:rsid w:val="00A86138"/>
    <w:rsid w:val="00A86F4E"/>
    <w:rsid w:val="00A92148"/>
    <w:rsid w:val="00A92165"/>
    <w:rsid w:val="00A93383"/>
    <w:rsid w:val="00AA188D"/>
    <w:rsid w:val="00AA3322"/>
    <w:rsid w:val="00AA4FC3"/>
    <w:rsid w:val="00AA5E0C"/>
    <w:rsid w:val="00AA6820"/>
    <w:rsid w:val="00AA6D42"/>
    <w:rsid w:val="00AA7176"/>
    <w:rsid w:val="00AA73B6"/>
    <w:rsid w:val="00AB2618"/>
    <w:rsid w:val="00AB3608"/>
    <w:rsid w:val="00AB5978"/>
    <w:rsid w:val="00AB6894"/>
    <w:rsid w:val="00AC0259"/>
    <w:rsid w:val="00AC5726"/>
    <w:rsid w:val="00AC7F7D"/>
    <w:rsid w:val="00AD230F"/>
    <w:rsid w:val="00AD27AE"/>
    <w:rsid w:val="00AD2CF5"/>
    <w:rsid w:val="00AD6A30"/>
    <w:rsid w:val="00AE4AA9"/>
    <w:rsid w:val="00AE4F25"/>
    <w:rsid w:val="00AF00EA"/>
    <w:rsid w:val="00B0060F"/>
    <w:rsid w:val="00B03939"/>
    <w:rsid w:val="00B06260"/>
    <w:rsid w:val="00B06740"/>
    <w:rsid w:val="00B07607"/>
    <w:rsid w:val="00B11D76"/>
    <w:rsid w:val="00B12CFF"/>
    <w:rsid w:val="00B12F2E"/>
    <w:rsid w:val="00B137A7"/>
    <w:rsid w:val="00B13DC3"/>
    <w:rsid w:val="00B15375"/>
    <w:rsid w:val="00B163F1"/>
    <w:rsid w:val="00B170E0"/>
    <w:rsid w:val="00B175AA"/>
    <w:rsid w:val="00B17D95"/>
    <w:rsid w:val="00B2480C"/>
    <w:rsid w:val="00B3033C"/>
    <w:rsid w:val="00B31C12"/>
    <w:rsid w:val="00B32513"/>
    <w:rsid w:val="00B331A2"/>
    <w:rsid w:val="00B3509C"/>
    <w:rsid w:val="00B35C03"/>
    <w:rsid w:val="00B40B34"/>
    <w:rsid w:val="00B40E8C"/>
    <w:rsid w:val="00B41235"/>
    <w:rsid w:val="00B47034"/>
    <w:rsid w:val="00B47E06"/>
    <w:rsid w:val="00B52654"/>
    <w:rsid w:val="00B52EA2"/>
    <w:rsid w:val="00B54EDA"/>
    <w:rsid w:val="00B55687"/>
    <w:rsid w:val="00B55CBE"/>
    <w:rsid w:val="00B57902"/>
    <w:rsid w:val="00B62B24"/>
    <w:rsid w:val="00B634ED"/>
    <w:rsid w:val="00B641D2"/>
    <w:rsid w:val="00B659A7"/>
    <w:rsid w:val="00B66DA1"/>
    <w:rsid w:val="00B66DB1"/>
    <w:rsid w:val="00B7053B"/>
    <w:rsid w:val="00B71039"/>
    <w:rsid w:val="00B732D1"/>
    <w:rsid w:val="00B73CB0"/>
    <w:rsid w:val="00B7575F"/>
    <w:rsid w:val="00B76433"/>
    <w:rsid w:val="00B81597"/>
    <w:rsid w:val="00B816FB"/>
    <w:rsid w:val="00B81F45"/>
    <w:rsid w:val="00B820D3"/>
    <w:rsid w:val="00B8255E"/>
    <w:rsid w:val="00B84178"/>
    <w:rsid w:val="00B923C1"/>
    <w:rsid w:val="00B92D10"/>
    <w:rsid w:val="00B943B4"/>
    <w:rsid w:val="00B9569C"/>
    <w:rsid w:val="00B96F41"/>
    <w:rsid w:val="00BA03B5"/>
    <w:rsid w:val="00BA1724"/>
    <w:rsid w:val="00BA1A63"/>
    <w:rsid w:val="00BA755A"/>
    <w:rsid w:val="00BB0529"/>
    <w:rsid w:val="00BB1A2F"/>
    <w:rsid w:val="00BB2E43"/>
    <w:rsid w:val="00BB31A4"/>
    <w:rsid w:val="00BB5F7D"/>
    <w:rsid w:val="00BB7C00"/>
    <w:rsid w:val="00BC1291"/>
    <w:rsid w:val="00BC1DB0"/>
    <w:rsid w:val="00BC467C"/>
    <w:rsid w:val="00BD191C"/>
    <w:rsid w:val="00BD5255"/>
    <w:rsid w:val="00BD58DE"/>
    <w:rsid w:val="00BD5CAD"/>
    <w:rsid w:val="00BD777E"/>
    <w:rsid w:val="00BE1C17"/>
    <w:rsid w:val="00BE3150"/>
    <w:rsid w:val="00BE35FD"/>
    <w:rsid w:val="00BE6576"/>
    <w:rsid w:val="00BE6CF0"/>
    <w:rsid w:val="00BE7B8B"/>
    <w:rsid w:val="00BE7E64"/>
    <w:rsid w:val="00BF11EB"/>
    <w:rsid w:val="00BF1B2F"/>
    <w:rsid w:val="00BF2754"/>
    <w:rsid w:val="00C01F2E"/>
    <w:rsid w:val="00C12935"/>
    <w:rsid w:val="00C13BD3"/>
    <w:rsid w:val="00C14083"/>
    <w:rsid w:val="00C172A0"/>
    <w:rsid w:val="00C1755D"/>
    <w:rsid w:val="00C217A8"/>
    <w:rsid w:val="00C21D0B"/>
    <w:rsid w:val="00C21F16"/>
    <w:rsid w:val="00C2241F"/>
    <w:rsid w:val="00C22E38"/>
    <w:rsid w:val="00C25130"/>
    <w:rsid w:val="00C261B9"/>
    <w:rsid w:val="00C3029B"/>
    <w:rsid w:val="00C33861"/>
    <w:rsid w:val="00C35659"/>
    <w:rsid w:val="00C4007B"/>
    <w:rsid w:val="00C4225E"/>
    <w:rsid w:val="00C45B15"/>
    <w:rsid w:val="00C46E1D"/>
    <w:rsid w:val="00C521E5"/>
    <w:rsid w:val="00C56640"/>
    <w:rsid w:val="00C57D9E"/>
    <w:rsid w:val="00C60934"/>
    <w:rsid w:val="00C617E9"/>
    <w:rsid w:val="00C635CF"/>
    <w:rsid w:val="00C67C99"/>
    <w:rsid w:val="00C7291C"/>
    <w:rsid w:val="00C72B74"/>
    <w:rsid w:val="00C72DEC"/>
    <w:rsid w:val="00C731DE"/>
    <w:rsid w:val="00C73C41"/>
    <w:rsid w:val="00C7438C"/>
    <w:rsid w:val="00C7744C"/>
    <w:rsid w:val="00C80876"/>
    <w:rsid w:val="00C81873"/>
    <w:rsid w:val="00C8417E"/>
    <w:rsid w:val="00C84291"/>
    <w:rsid w:val="00C87D78"/>
    <w:rsid w:val="00C90823"/>
    <w:rsid w:val="00C91EA8"/>
    <w:rsid w:val="00CA4D71"/>
    <w:rsid w:val="00CA551F"/>
    <w:rsid w:val="00CA5ECA"/>
    <w:rsid w:val="00CA6C0F"/>
    <w:rsid w:val="00CB40CA"/>
    <w:rsid w:val="00CC0EDA"/>
    <w:rsid w:val="00CC2157"/>
    <w:rsid w:val="00CC2369"/>
    <w:rsid w:val="00CC642D"/>
    <w:rsid w:val="00CC6CF0"/>
    <w:rsid w:val="00CC6CFD"/>
    <w:rsid w:val="00CC712E"/>
    <w:rsid w:val="00CD04FF"/>
    <w:rsid w:val="00CD23A0"/>
    <w:rsid w:val="00CD5BC4"/>
    <w:rsid w:val="00CD5F4F"/>
    <w:rsid w:val="00CD6DCF"/>
    <w:rsid w:val="00CD7106"/>
    <w:rsid w:val="00CD7F6E"/>
    <w:rsid w:val="00CE300A"/>
    <w:rsid w:val="00CE4A63"/>
    <w:rsid w:val="00CE5BDF"/>
    <w:rsid w:val="00CE70D9"/>
    <w:rsid w:val="00CE7ABA"/>
    <w:rsid w:val="00CF0EA3"/>
    <w:rsid w:val="00CF14EE"/>
    <w:rsid w:val="00CF4230"/>
    <w:rsid w:val="00CF6208"/>
    <w:rsid w:val="00D02730"/>
    <w:rsid w:val="00D034B7"/>
    <w:rsid w:val="00D044F7"/>
    <w:rsid w:val="00D045CA"/>
    <w:rsid w:val="00D05C0E"/>
    <w:rsid w:val="00D11117"/>
    <w:rsid w:val="00D12F64"/>
    <w:rsid w:val="00D137EC"/>
    <w:rsid w:val="00D15616"/>
    <w:rsid w:val="00D15AA4"/>
    <w:rsid w:val="00D15AB8"/>
    <w:rsid w:val="00D175DC"/>
    <w:rsid w:val="00D17F1C"/>
    <w:rsid w:val="00D207DB"/>
    <w:rsid w:val="00D20B4B"/>
    <w:rsid w:val="00D23261"/>
    <w:rsid w:val="00D23927"/>
    <w:rsid w:val="00D266C4"/>
    <w:rsid w:val="00D268E7"/>
    <w:rsid w:val="00D271D3"/>
    <w:rsid w:val="00D31D2A"/>
    <w:rsid w:val="00D37304"/>
    <w:rsid w:val="00D37EAB"/>
    <w:rsid w:val="00D41127"/>
    <w:rsid w:val="00D41EBB"/>
    <w:rsid w:val="00D44537"/>
    <w:rsid w:val="00D44CB1"/>
    <w:rsid w:val="00D45126"/>
    <w:rsid w:val="00D53BDA"/>
    <w:rsid w:val="00D53EC8"/>
    <w:rsid w:val="00D54F06"/>
    <w:rsid w:val="00D5554C"/>
    <w:rsid w:val="00D61F80"/>
    <w:rsid w:val="00D663CA"/>
    <w:rsid w:val="00D674E8"/>
    <w:rsid w:val="00D72D4B"/>
    <w:rsid w:val="00D73B0A"/>
    <w:rsid w:val="00D75233"/>
    <w:rsid w:val="00D82A56"/>
    <w:rsid w:val="00D82DAE"/>
    <w:rsid w:val="00D855F4"/>
    <w:rsid w:val="00D877DB"/>
    <w:rsid w:val="00D9081A"/>
    <w:rsid w:val="00D91F07"/>
    <w:rsid w:val="00D933EF"/>
    <w:rsid w:val="00D94920"/>
    <w:rsid w:val="00D96EE7"/>
    <w:rsid w:val="00DA1B9D"/>
    <w:rsid w:val="00DA39F1"/>
    <w:rsid w:val="00DA45D8"/>
    <w:rsid w:val="00DA5757"/>
    <w:rsid w:val="00DA57CD"/>
    <w:rsid w:val="00DB191E"/>
    <w:rsid w:val="00DB3266"/>
    <w:rsid w:val="00DB4ABD"/>
    <w:rsid w:val="00DB4B68"/>
    <w:rsid w:val="00DC0572"/>
    <w:rsid w:val="00DC260E"/>
    <w:rsid w:val="00DC47AB"/>
    <w:rsid w:val="00DC5336"/>
    <w:rsid w:val="00DD1416"/>
    <w:rsid w:val="00DD242D"/>
    <w:rsid w:val="00DD25BC"/>
    <w:rsid w:val="00DD2DE8"/>
    <w:rsid w:val="00DD3B93"/>
    <w:rsid w:val="00DD54DF"/>
    <w:rsid w:val="00DE17A1"/>
    <w:rsid w:val="00DE1F5C"/>
    <w:rsid w:val="00DE28BA"/>
    <w:rsid w:val="00DE3BC8"/>
    <w:rsid w:val="00DF3F06"/>
    <w:rsid w:val="00DF430D"/>
    <w:rsid w:val="00DF5A28"/>
    <w:rsid w:val="00E06DD9"/>
    <w:rsid w:val="00E10C64"/>
    <w:rsid w:val="00E11C35"/>
    <w:rsid w:val="00E16FC1"/>
    <w:rsid w:val="00E30785"/>
    <w:rsid w:val="00E324A7"/>
    <w:rsid w:val="00E34AE0"/>
    <w:rsid w:val="00E3581D"/>
    <w:rsid w:val="00E36FA7"/>
    <w:rsid w:val="00E378A9"/>
    <w:rsid w:val="00E43E20"/>
    <w:rsid w:val="00E552A8"/>
    <w:rsid w:val="00E55601"/>
    <w:rsid w:val="00E70C42"/>
    <w:rsid w:val="00E71F94"/>
    <w:rsid w:val="00E7384F"/>
    <w:rsid w:val="00E7532C"/>
    <w:rsid w:val="00E759C9"/>
    <w:rsid w:val="00E76B7C"/>
    <w:rsid w:val="00E77A82"/>
    <w:rsid w:val="00E77C38"/>
    <w:rsid w:val="00E80BDD"/>
    <w:rsid w:val="00E80C10"/>
    <w:rsid w:val="00E80FB8"/>
    <w:rsid w:val="00E81675"/>
    <w:rsid w:val="00E83E7F"/>
    <w:rsid w:val="00E84EFF"/>
    <w:rsid w:val="00E850BC"/>
    <w:rsid w:val="00E85A54"/>
    <w:rsid w:val="00E86A30"/>
    <w:rsid w:val="00E87096"/>
    <w:rsid w:val="00E87D2B"/>
    <w:rsid w:val="00E93E11"/>
    <w:rsid w:val="00E94844"/>
    <w:rsid w:val="00E9499F"/>
    <w:rsid w:val="00E96424"/>
    <w:rsid w:val="00E97FD1"/>
    <w:rsid w:val="00EA01C2"/>
    <w:rsid w:val="00EA14B1"/>
    <w:rsid w:val="00EA18B8"/>
    <w:rsid w:val="00EA216C"/>
    <w:rsid w:val="00EA3585"/>
    <w:rsid w:val="00EA36BA"/>
    <w:rsid w:val="00EA424F"/>
    <w:rsid w:val="00EA468B"/>
    <w:rsid w:val="00EA5AA7"/>
    <w:rsid w:val="00EA67E8"/>
    <w:rsid w:val="00EA6F27"/>
    <w:rsid w:val="00EA7157"/>
    <w:rsid w:val="00EB4832"/>
    <w:rsid w:val="00EB50CB"/>
    <w:rsid w:val="00EC0268"/>
    <w:rsid w:val="00EC2BAC"/>
    <w:rsid w:val="00EC3642"/>
    <w:rsid w:val="00EC607E"/>
    <w:rsid w:val="00EC622D"/>
    <w:rsid w:val="00EC70DD"/>
    <w:rsid w:val="00ED0181"/>
    <w:rsid w:val="00ED06D1"/>
    <w:rsid w:val="00EE15A1"/>
    <w:rsid w:val="00EE15AF"/>
    <w:rsid w:val="00EE5FF3"/>
    <w:rsid w:val="00EF0BE7"/>
    <w:rsid w:val="00EF13A7"/>
    <w:rsid w:val="00EF1DF3"/>
    <w:rsid w:val="00EF446F"/>
    <w:rsid w:val="00EF4786"/>
    <w:rsid w:val="00EF4E61"/>
    <w:rsid w:val="00F03E2F"/>
    <w:rsid w:val="00F04A11"/>
    <w:rsid w:val="00F05438"/>
    <w:rsid w:val="00F11373"/>
    <w:rsid w:val="00F12913"/>
    <w:rsid w:val="00F14418"/>
    <w:rsid w:val="00F148B2"/>
    <w:rsid w:val="00F15F18"/>
    <w:rsid w:val="00F16C09"/>
    <w:rsid w:val="00F24404"/>
    <w:rsid w:val="00F247BC"/>
    <w:rsid w:val="00F315AB"/>
    <w:rsid w:val="00F3226B"/>
    <w:rsid w:val="00F331AC"/>
    <w:rsid w:val="00F342C7"/>
    <w:rsid w:val="00F34525"/>
    <w:rsid w:val="00F35C53"/>
    <w:rsid w:val="00F36627"/>
    <w:rsid w:val="00F417FD"/>
    <w:rsid w:val="00F45C25"/>
    <w:rsid w:val="00F4637E"/>
    <w:rsid w:val="00F46FF8"/>
    <w:rsid w:val="00F47A93"/>
    <w:rsid w:val="00F51502"/>
    <w:rsid w:val="00F55965"/>
    <w:rsid w:val="00F56FAE"/>
    <w:rsid w:val="00F57DBF"/>
    <w:rsid w:val="00F63084"/>
    <w:rsid w:val="00F64EEE"/>
    <w:rsid w:val="00F720D6"/>
    <w:rsid w:val="00F75E07"/>
    <w:rsid w:val="00F769CF"/>
    <w:rsid w:val="00F77137"/>
    <w:rsid w:val="00F777C7"/>
    <w:rsid w:val="00F8132B"/>
    <w:rsid w:val="00F90E72"/>
    <w:rsid w:val="00F922BB"/>
    <w:rsid w:val="00F93B23"/>
    <w:rsid w:val="00F95E8E"/>
    <w:rsid w:val="00F96393"/>
    <w:rsid w:val="00F96FEC"/>
    <w:rsid w:val="00FA206A"/>
    <w:rsid w:val="00FA3979"/>
    <w:rsid w:val="00FA59D2"/>
    <w:rsid w:val="00FB1F52"/>
    <w:rsid w:val="00FB23DD"/>
    <w:rsid w:val="00FB37A9"/>
    <w:rsid w:val="00FB41D2"/>
    <w:rsid w:val="00FC07DB"/>
    <w:rsid w:val="00FC61E0"/>
    <w:rsid w:val="00FC7D97"/>
    <w:rsid w:val="00FC7E58"/>
    <w:rsid w:val="00FD1FD1"/>
    <w:rsid w:val="00FD3DA7"/>
    <w:rsid w:val="00FD662A"/>
    <w:rsid w:val="00FE0312"/>
    <w:rsid w:val="00FE4B3F"/>
    <w:rsid w:val="00FE72DD"/>
    <w:rsid w:val="00FE788D"/>
    <w:rsid w:val="00FE7F31"/>
    <w:rsid w:val="00FF306C"/>
    <w:rsid w:val="00FF5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2E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7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2"/>
    <w:lsdException w:name="Strong" w:semiHidden="1" w:uiPriority="22" w:qFormat="1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semiHidden/>
    <w:qFormat/>
    <w:rsid w:val="008B0F15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995755"/>
    <w:pPr>
      <w:keepNext/>
      <w:keepLines/>
      <w:numPr>
        <w:numId w:val="25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63B2F"/>
    <w:pPr>
      <w:keepNext/>
      <w:keepLines/>
      <w:numPr>
        <w:ilvl w:val="1"/>
        <w:numId w:val="25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EB50CB"/>
    <w:pPr>
      <w:keepNext/>
      <w:keepLines/>
      <w:numPr>
        <w:ilvl w:val="2"/>
        <w:numId w:val="25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EB50CB"/>
    <w:pPr>
      <w:keepNext/>
      <w:keepLines/>
      <w:numPr>
        <w:ilvl w:val="3"/>
        <w:numId w:val="25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semiHidden/>
    <w:rsid w:val="00EB50CB"/>
    <w:pPr>
      <w:keepNext/>
      <w:keepLines/>
      <w:numPr>
        <w:ilvl w:val="4"/>
        <w:numId w:val="25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C70DD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C70DD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C70DD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C70DD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AA188D"/>
    <w:rPr>
      <w:vertAlign w:val="superscript"/>
    </w:rPr>
  </w:style>
  <w:style w:type="paragraph" w:styleId="ListBullet">
    <w:name w:val="List Bullet"/>
    <w:basedOn w:val="Normal"/>
    <w:uiPriority w:val="3"/>
    <w:semiHidden/>
    <w:rsid w:val="00EC70DD"/>
    <w:pPr>
      <w:numPr>
        <w:numId w:val="2"/>
      </w:numPr>
    </w:pPr>
  </w:style>
  <w:style w:type="paragraph" w:styleId="ListNumber">
    <w:name w:val="List Number"/>
    <w:basedOn w:val="Normal"/>
    <w:uiPriority w:val="5"/>
    <w:semiHidden/>
    <w:rsid w:val="00EC70D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8"/>
    <w:semiHidden/>
    <w:unhideWhenUsed/>
    <w:rsid w:val="00971D0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933EF"/>
    <w:rPr>
      <w:rFonts w:ascii="Calibri" w:hAnsi="Calibri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95755"/>
    <w:rPr>
      <w:rFonts w:ascii="Calibri" w:eastAsiaTheme="majorEastAsia" w:hAnsi="Calibri" w:cstheme="majorBidi"/>
      <w:bCs/>
      <w:color w:val="939905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63B2F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7F7D"/>
    <w:rPr>
      <w:rFonts w:ascii="Calibri" w:eastAsiaTheme="majorEastAsia" w:hAnsi="Calibri" w:cstheme="majorBidi"/>
      <w:bCs/>
      <w:color w:val="1E1E1E"/>
      <w:sz w:val="29"/>
    </w:rPr>
  </w:style>
  <w:style w:type="character" w:customStyle="1" w:styleId="Heading4Char">
    <w:name w:val="Heading 4 Char"/>
    <w:basedOn w:val="DefaultParagraphFont"/>
    <w:link w:val="Heading4"/>
    <w:uiPriority w:val="1"/>
    <w:rsid w:val="00DC47AB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E72DD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268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2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Quotationseparateparagraph">
    <w:name w:val="Quotation (separate paragraph)"/>
    <w:basedOn w:val="Normal"/>
    <w:uiPriority w:val="6"/>
    <w:rsid w:val="00F922BB"/>
    <w:pPr>
      <w:ind w:left="567" w:right="567"/>
    </w:pPr>
    <w:rPr>
      <w:i/>
      <w:color w:val="4D4D4D"/>
    </w:rPr>
  </w:style>
  <w:style w:type="paragraph" w:styleId="Caption">
    <w:name w:val="caption"/>
    <w:basedOn w:val="Normal"/>
    <w:next w:val="BodyText"/>
    <w:uiPriority w:val="2"/>
    <w:rsid w:val="004F143B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semiHidden/>
    <w:rsid w:val="00971D0C"/>
  </w:style>
  <w:style w:type="paragraph" w:styleId="TOC1">
    <w:name w:val="toc 1"/>
    <w:basedOn w:val="Normalcolour"/>
    <w:next w:val="Normal"/>
    <w:uiPriority w:val="39"/>
    <w:rsid w:val="00EB50CB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A60F61"/>
    <w:pPr>
      <w:tabs>
        <w:tab w:val="right" w:leader="underscore" w:pos="9299"/>
      </w:tabs>
      <w:spacing w:after="0"/>
      <w:ind w:left="567" w:right="425"/>
    </w:pPr>
  </w:style>
  <w:style w:type="paragraph" w:styleId="TOC5">
    <w:name w:val="toc 5"/>
    <w:basedOn w:val="Normal"/>
    <w:next w:val="Normal"/>
    <w:uiPriority w:val="39"/>
    <w:semiHidden/>
    <w:rsid w:val="00EB50CB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EC70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EC70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EC70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EC70DD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E83E7F"/>
    <w:pPr>
      <w:spacing w:before="0"/>
      <w:outlineLvl w:val="9"/>
    </w:pPr>
  </w:style>
  <w:style w:type="paragraph" w:styleId="BodyText">
    <w:name w:val="Body Text"/>
    <w:basedOn w:val="Normal"/>
    <w:link w:val="BodyTextChar"/>
    <w:uiPriority w:val="2"/>
    <w:rsid w:val="00A333DF"/>
  </w:style>
  <w:style w:type="character" w:customStyle="1" w:styleId="BodyTextChar">
    <w:name w:val="Body Text Char"/>
    <w:basedOn w:val="DefaultParagraphFont"/>
    <w:link w:val="BodyText"/>
    <w:uiPriority w:val="2"/>
    <w:rsid w:val="00A333DF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12"/>
    <w:semiHidden/>
    <w:rsid w:val="00002E2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2"/>
    <w:semiHidden/>
    <w:rsid w:val="00002E2B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2"/>
    <w:semiHidden/>
    <w:rsid w:val="00EC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2"/>
    <w:semiHidden/>
    <w:rsid w:val="00D933EF"/>
    <w:rPr>
      <w:rFonts w:ascii="Calibri" w:hAnsi="Calibri"/>
      <w:b/>
      <w:bCs/>
      <w:color w:val="1E1E1E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EC70DD"/>
  </w:style>
  <w:style w:type="character" w:customStyle="1" w:styleId="DateChar">
    <w:name w:val="Date Char"/>
    <w:basedOn w:val="DefaultParagraphFont"/>
    <w:link w:val="Date"/>
    <w:uiPriority w:val="99"/>
    <w:semiHidden/>
    <w:rsid w:val="00971D0C"/>
    <w:rPr>
      <w:rFonts w:ascii="Calibri" w:hAnsi="Calibri"/>
      <w:color w:val="1E1E1E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0268"/>
    <w:rPr>
      <w:lang w:val="en-US"/>
    </w:rPr>
  </w:style>
  <w:style w:type="paragraph" w:styleId="EndnoteText">
    <w:name w:val="endnote text"/>
    <w:basedOn w:val="Normal"/>
    <w:link w:val="End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9954CB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9D6259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9D6259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B175AA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307592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687159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87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7"/>
    <w:semiHidden/>
    <w:rsid w:val="00D933EF"/>
    <w:rPr>
      <w:rFonts w:ascii="Calibri" w:hAnsi="Calibri"/>
      <w:i/>
      <w:iCs/>
      <w:color w:val="1E1E1E"/>
    </w:rPr>
  </w:style>
  <w:style w:type="paragraph" w:styleId="HTMLPreformatted">
    <w:name w:val="HTML Preformatted"/>
    <w:basedOn w:val="Normal"/>
    <w:link w:val="HTMLPreformattedChar"/>
    <w:uiPriority w:val="87"/>
    <w:semiHidden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87"/>
    <w:semiHidden/>
    <w:rsid w:val="00D933EF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semiHidden/>
    <w:rsid w:val="002F210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semiHidden/>
    <w:rsid w:val="002F210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semiHidden/>
    <w:rsid w:val="002F2103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semiHidden/>
    <w:rsid w:val="002F210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semiHidden/>
    <w:rsid w:val="002F210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semiHidden/>
    <w:rsid w:val="002F210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semiHidden/>
    <w:rsid w:val="002F210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semiHidden/>
    <w:rsid w:val="002F210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semiHidden/>
    <w:rsid w:val="002F210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"/>
    <w:next w:val="Index1"/>
    <w:uiPriority w:val="1"/>
    <w:semiHidden/>
    <w:rsid w:val="002F2103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color w:val="2BB673"/>
      <w:sz w:val="26"/>
    </w:rPr>
  </w:style>
  <w:style w:type="paragraph" w:styleId="ListBullet2">
    <w:name w:val="List Bullet 2"/>
    <w:basedOn w:val="Normal"/>
    <w:uiPriority w:val="3"/>
    <w:semiHidden/>
    <w:rsid w:val="00EC70DD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3"/>
    <w:semiHidden/>
    <w:rsid w:val="00EC70DD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3"/>
    <w:semiHidden/>
    <w:rsid w:val="00EC70DD"/>
    <w:pPr>
      <w:numPr>
        <w:ilvl w:val="3"/>
        <w:numId w:val="2"/>
      </w:numPr>
    </w:pPr>
  </w:style>
  <w:style w:type="paragraph" w:styleId="ListContinue">
    <w:name w:val="List Continue"/>
    <w:basedOn w:val="Normal"/>
    <w:uiPriority w:val="4"/>
    <w:semiHidden/>
    <w:rsid w:val="00EC70DD"/>
    <w:pPr>
      <w:ind w:left="567"/>
    </w:pPr>
  </w:style>
  <w:style w:type="paragraph" w:styleId="ListContinue2">
    <w:name w:val="List Continue 2"/>
    <w:basedOn w:val="Normal"/>
    <w:uiPriority w:val="4"/>
    <w:semiHidden/>
    <w:rsid w:val="00EC70DD"/>
    <w:pPr>
      <w:ind w:left="1134"/>
    </w:pPr>
  </w:style>
  <w:style w:type="paragraph" w:styleId="ListContinue3">
    <w:name w:val="List Continue 3"/>
    <w:basedOn w:val="Normal"/>
    <w:uiPriority w:val="4"/>
    <w:semiHidden/>
    <w:rsid w:val="00EC70DD"/>
    <w:pPr>
      <w:ind w:left="1701"/>
    </w:pPr>
  </w:style>
  <w:style w:type="paragraph" w:styleId="ListContinue4">
    <w:name w:val="List Continue 4"/>
    <w:basedOn w:val="Normal"/>
    <w:uiPriority w:val="4"/>
    <w:semiHidden/>
    <w:rsid w:val="00EC70DD"/>
    <w:pPr>
      <w:ind w:left="2268"/>
    </w:pPr>
  </w:style>
  <w:style w:type="paragraph" w:styleId="ListContinue5">
    <w:name w:val="List Continue 5"/>
    <w:basedOn w:val="Normal"/>
    <w:uiPriority w:val="99"/>
    <w:semiHidden/>
    <w:rsid w:val="00EC70D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5"/>
    <w:semiHidden/>
    <w:rsid w:val="00EC70DD"/>
    <w:pPr>
      <w:numPr>
        <w:ilvl w:val="1"/>
        <w:numId w:val="1"/>
      </w:numPr>
    </w:pPr>
  </w:style>
  <w:style w:type="paragraph" w:styleId="ListNumber3">
    <w:name w:val="List Number 3"/>
    <w:basedOn w:val="Normal"/>
    <w:uiPriority w:val="5"/>
    <w:semiHidden/>
    <w:rsid w:val="00E9499F"/>
    <w:pPr>
      <w:numPr>
        <w:ilvl w:val="2"/>
        <w:numId w:val="1"/>
      </w:numPr>
    </w:pPr>
  </w:style>
  <w:style w:type="paragraph" w:styleId="NormalWeb">
    <w:name w:val="Normal (Web)"/>
    <w:basedOn w:val="Normal"/>
    <w:uiPriority w:val="97"/>
    <w:semiHidden/>
    <w:rsid w:val="00B52654"/>
    <w:rPr>
      <w:rFonts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semiHidden/>
    <w:rsid w:val="00D75233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2"/>
    <w:rsid w:val="00F63084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semiHidden/>
    <w:rsid w:val="005777E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semiHidden/>
    <w:qFormat/>
    <w:rsid w:val="00E3581D"/>
    <w:rPr>
      <w:color w:val="9561CC"/>
    </w:rPr>
  </w:style>
  <w:style w:type="character" w:styleId="PageNumber">
    <w:name w:val="page number"/>
    <w:basedOn w:val="DefaultParagraphFont"/>
    <w:rsid w:val="00EB50CB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EB50CB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892DF8"/>
    <w:pPr>
      <w:spacing w:line="24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D75233"/>
    <w:pPr>
      <w:keepNext/>
      <w:spacing w:before="60" w:after="60" w:line="240" w:lineRule="auto"/>
    </w:pPr>
    <w:rPr>
      <w:color w:val="FFFFFF" w:themeColor="background1"/>
    </w:rPr>
  </w:style>
  <w:style w:type="paragraph" w:customStyle="1" w:styleId="Listoutline1-1">
    <w:name w:val="List outline 1 - 1."/>
    <w:basedOn w:val="BodyText"/>
    <w:uiPriority w:val="5"/>
    <w:semiHidden/>
    <w:rsid w:val="00E43E20"/>
    <w:pPr>
      <w:numPr>
        <w:numId w:val="3"/>
      </w:numPr>
    </w:pPr>
  </w:style>
  <w:style w:type="paragraph" w:customStyle="1" w:styleId="Listoutline2-11">
    <w:name w:val="List outline 2 - 1.1"/>
    <w:basedOn w:val="Normal"/>
    <w:uiPriority w:val="5"/>
    <w:semiHidden/>
    <w:rsid w:val="00EC70DD"/>
    <w:pPr>
      <w:numPr>
        <w:ilvl w:val="1"/>
        <w:numId w:val="3"/>
      </w:numPr>
    </w:pPr>
  </w:style>
  <w:style w:type="paragraph" w:customStyle="1" w:styleId="Listoutline3-111">
    <w:name w:val="List outline 3 - 1.1.1"/>
    <w:basedOn w:val="Normal"/>
    <w:uiPriority w:val="5"/>
    <w:semiHidden/>
    <w:rsid w:val="00EC70DD"/>
    <w:pPr>
      <w:numPr>
        <w:ilvl w:val="2"/>
        <w:numId w:val="3"/>
      </w:numPr>
    </w:pPr>
  </w:style>
  <w:style w:type="paragraph" w:customStyle="1" w:styleId="Listoutline4-a">
    <w:name w:val="List outline 4 - a."/>
    <w:basedOn w:val="Normal"/>
    <w:uiPriority w:val="5"/>
    <w:semiHidden/>
    <w:rsid w:val="00EC70DD"/>
    <w:pPr>
      <w:numPr>
        <w:ilvl w:val="3"/>
        <w:numId w:val="3"/>
      </w:numPr>
    </w:pPr>
  </w:style>
  <w:style w:type="character" w:styleId="Hyperlink">
    <w:name w:val="Hyperlink"/>
    <w:basedOn w:val="DefaultParagraphFont"/>
    <w:uiPriority w:val="99"/>
    <w:rsid w:val="00EB50CB"/>
    <w:rPr>
      <w:color w:val="0D6AB8"/>
      <w:u w:val="single"/>
    </w:rPr>
  </w:style>
  <w:style w:type="paragraph" w:customStyle="1" w:styleId="Heading2-Start">
    <w:name w:val="Heading 2 - Start"/>
    <w:basedOn w:val="Heading2"/>
    <w:next w:val="BodyText"/>
    <w:uiPriority w:val="1"/>
    <w:rsid w:val="00EB50CB"/>
    <w:pPr>
      <w:spacing w:before="200"/>
    </w:p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922BB"/>
    <w:pPr>
      <w:spacing w:after="120"/>
    </w:pPr>
  </w:style>
  <w:style w:type="character" w:styleId="Emphasis">
    <w:name w:val="Emphasis"/>
    <w:uiPriority w:val="2"/>
    <w:rsid w:val="002F2103"/>
    <w:rPr>
      <w:rFonts w:ascii="Calibri" w:hAnsi="Calibri"/>
      <w:b/>
      <w:bCs/>
      <w:iCs/>
      <w:spacing w:val="0"/>
      <w:lang w:val="en-NZ"/>
    </w:rPr>
  </w:style>
  <w:style w:type="paragraph" w:customStyle="1" w:styleId="Listcheckbox">
    <w:name w:val="List check box"/>
    <w:basedOn w:val="BodyText"/>
    <w:uiPriority w:val="3"/>
    <w:semiHidden/>
    <w:rsid w:val="00DE17A1"/>
  </w:style>
  <w:style w:type="paragraph" w:customStyle="1" w:styleId="Boxsmalltext">
    <w:name w:val="Box small text"/>
    <w:basedOn w:val="Normalcolour"/>
    <w:uiPriority w:val="2"/>
    <w:qFormat/>
    <w:rsid w:val="00EB50CB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F510A"/>
    <w:pPr>
      <w:spacing w:line="320" w:lineRule="atLeast"/>
    </w:pPr>
    <w:rPr>
      <w:sz w:val="26"/>
    </w:rPr>
  </w:style>
  <w:style w:type="paragraph" w:customStyle="1" w:styleId="Listoutline5-i">
    <w:name w:val="List outline 5 - i."/>
    <w:basedOn w:val="Normal"/>
    <w:uiPriority w:val="5"/>
    <w:semiHidden/>
    <w:rsid w:val="00411A78"/>
    <w:pPr>
      <w:numPr>
        <w:ilvl w:val="4"/>
        <w:numId w:val="3"/>
      </w:numPr>
    </w:pPr>
  </w:style>
  <w:style w:type="character" w:styleId="EndnoteReference">
    <w:name w:val="endnote reference"/>
    <w:basedOn w:val="DefaultParagraphFont"/>
    <w:uiPriority w:val="7"/>
    <w:rsid w:val="00AA188D"/>
    <w:rPr>
      <w:vertAlign w:val="superscript"/>
    </w:rPr>
  </w:style>
  <w:style w:type="paragraph" w:customStyle="1" w:styleId="HeadingAppendix">
    <w:name w:val="Heading Appendix"/>
    <w:basedOn w:val="Heading1"/>
    <w:next w:val="BodyText"/>
    <w:uiPriority w:val="1"/>
    <w:rsid w:val="002F2103"/>
    <w:pPr>
      <w:pageBreakBefore/>
      <w:numPr>
        <w:numId w:val="4"/>
      </w:numPr>
      <w:spacing w:before="0"/>
    </w:pPr>
  </w:style>
  <w:style w:type="table" w:customStyle="1" w:styleId="TableGridnoborders">
    <w:name w:val="Table Grid (no borders)"/>
    <w:basedOn w:val="TableNormal"/>
    <w:uiPriority w:val="99"/>
    <w:rsid w:val="00FE4B3F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auto"/>
    </w:tcPr>
  </w:style>
  <w:style w:type="character" w:customStyle="1" w:styleId="Heading1-Sub">
    <w:name w:val="Heading 1 - Sub"/>
    <w:basedOn w:val="DefaultParagraphFont"/>
    <w:uiPriority w:val="1"/>
    <w:rsid w:val="002F2103"/>
    <w:rPr>
      <w:b/>
    </w:rPr>
  </w:style>
  <w:style w:type="paragraph" w:customStyle="1" w:styleId="Whitespace">
    <w:name w:val="White space"/>
    <w:basedOn w:val="BodyText"/>
    <w:uiPriority w:val="2"/>
    <w:rsid w:val="00644B46"/>
    <w:pPr>
      <w:spacing w:after="0" w:line="240" w:lineRule="auto"/>
    </w:pPr>
    <w:rPr>
      <w:sz w:val="16"/>
    </w:rPr>
  </w:style>
  <w:style w:type="character" w:customStyle="1" w:styleId="Quotationwithinthesentence">
    <w:name w:val="Quotation (within the sentence)"/>
    <w:basedOn w:val="DefaultParagraphFont"/>
    <w:uiPriority w:val="6"/>
    <w:rsid w:val="00F922BB"/>
    <w:rPr>
      <w:i/>
    </w:rPr>
  </w:style>
  <w:style w:type="paragraph" w:customStyle="1" w:styleId="Heading1-Subnonboldtext">
    <w:name w:val="Heading 1 - Sub (non bold text)"/>
    <w:basedOn w:val="BodyText"/>
    <w:uiPriority w:val="1"/>
    <w:rsid w:val="002F2103"/>
    <w:pPr>
      <w:tabs>
        <w:tab w:val="left" w:pos="2552"/>
      </w:tabs>
      <w:spacing w:after="0"/>
      <w:ind w:left="2552" w:hanging="2552"/>
    </w:pPr>
  </w:style>
  <w:style w:type="paragraph" w:customStyle="1" w:styleId="Tablebodytext">
    <w:name w:val="Table body text"/>
    <w:basedOn w:val="BodyText"/>
    <w:uiPriority w:val="2"/>
    <w:rsid w:val="00011074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D75233"/>
    <w:pPr>
      <w:spacing w:after="0"/>
    </w:pPr>
  </w:style>
  <w:style w:type="table" w:customStyle="1" w:styleId="TableBox">
    <w:name w:val="Table Box"/>
    <w:basedOn w:val="TableNormal"/>
    <w:uiPriority w:val="99"/>
    <w:rsid w:val="00A60F61"/>
    <w:pPr>
      <w:spacing w:line="240" w:lineRule="atLeast"/>
    </w:pPr>
    <w:rPr>
      <w:rFonts w:ascii="Calibri" w:hAnsi="Calibri"/>
      <w:sz w:val="24"/>
    </w:rPr>
    <w:tblPr>
      <w:tblCellMar>
        <w:top w:w="142" w:type="dxa"/>
        <w:left w:w="284" w:type="dxa"/>
        <w:bottom w:w="142" w:type="dxa"/>
        <w:right w:w="284" w:type="dxa"/>
      </w:tblCellMar>
    </w:tblPr>
    <w:tcPr>
      <w:shd w:val="clear" w:color="auto" w:fill="D3D3D3"/>
    </w:tcPr>
  </w:style>
  <w:style w:type="character" w:styleId="FollowedHyperlink">
    <w:name w:val="FollowedHyperlink"/>
    <w:basedOn w:val="DefaultParagraphFont"/>
    <w:uiPriority w:val="2"/>
    <w:rsid w:val="00C91EA8"/>
    <w:rPr>
      <w:color w:val="3C98E7"/>
      <w:u w:val="single"/>
    </w:rPr>
  </w:style>
  <w:style w:type="paragraph" w:customStyle="1" w:styleId="Headingboxtextinbody">
    <w:name w:val="Heading box text (in body)"/>
    <w:basedOn w:val="Normalcolour"/>
    <w:uiPriority w:val="1"/>
    <w:rsid w:val="00EB50CB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EB50CB"/>
    <w:pPr>
      <w:spacing w:after="60" w:line="320" w:lineRule="atLeast"/>
    </w:pPr>
    <w:rPr>
      <w:b/>
      <w:sz w:val="26"/>
    </w:rPr>
  </w:style>
  <w:style w:type="paragraph" w:customStyle="1" w:styleId="Singlespacedparagraph">
    <w:name w:val="Single spaced paragraph"/>
    <w:basedOn w:val="BodyText"/>
    <w:uiPriority w:val="2"/>
    <w:rsid w:val="00191044"/>
    <w:pPr>
      <w:spacing w:after="0"/>
    </w:pPr>
  </w:style>
  <w:style w:type="paragraph" w:customStyle="1" w:styleId="Footerline">
    <w:name w:val="Footer line"/>
    <w:basedOn w:val="Footer"/>
    <w:next w:val="Footer"/>
    <w:uiPriority w:val="10"/>
    <w:rsid w:val="00272307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272307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QLegindent1">
    <w:name w:val="QLeg indent 1"/>
    <w:basedOn w:val="Normal"/>
    <w:uiPriority w:val="2"/>
    <w:semiHidden/>
    <w:rsid w:val="00064CFD"/>
    <w:pPr>
      <w:ind w:left="1985" w:right="567"/>
    </w:pPr>
    <w:rPr>
      <w:i/>
      <w:color w:val="4D4D4D"/>
    </w:rPr>
  </w:style>
  <w:style w:type="paragraph" w:customStyle="1" w:styleId="QLegindent2">
    <w:name w:val="QLeg indent 2"/>
    <w:basedOn w:val="Normal"/>
    <w:uiPriority w:val="2"/>
    <w:semiHidden/>
    <w:rsid w:val="00064CFD"/>
    <w:pPr>
      <w:ind w:left="2693" w:right="567"/>
    </w:pPr>
    <w:rPr>
      <w:i/>
      <w:color w:val="4D4D4D"/>
    </w:rPr>
  </w:style>
  <w:style w:type="paragraph" w:customStyle="1" w:styleId="QLegindent3">
    <w:name w:val="QLeg indent 3"/>
    <w:basedOn w:val="Normal"/>
    <w:uiPriority w:val="2"/>
    <w:semiHidden/>
    <w:rsid w:val="00064CFD"/>
    <w:pPr>
      <w:ind w:left="3402" w:right="567"/>
    </w:pPr>
    <w:rPr>
      <w:i/>
      <w:color w:val="4D4D4D"/>
    </w:rPr>
  </w:style>
  <w:style w:type="paragraph" w:customStyle="1" w:styleId="QLegstyle-1">
    <w:name w:val="QLeg style - (1)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QLegstyle-a">
    <w:name w:val="QLeg style - (a)"/>
    <w:basedOn w:val="Normal"/>
    <w:uiPriority w:val="2"/>
    <w:semiHidden/>
    <w:rsid w:val="00064CFD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QLegstyle-i">
    <w:name w:val="QLeg style - (i)"/>
    <w:basedOn w:val="Normal"/>
    <w:uiPriority w:val="2"/>
    <w:semiHidden/>
    <w:rsid w:val="00064CFD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QLegstyle-10">
    <w:name w:val="QLeg style - 1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Legindent1">
    <w:name w:val="Leg indent 1"/>
    <w:basedOn w:val="Normal"/>
    <w:uiPriority w:val="9"/>
    <w:semiHidden/>
    <w:rsid w:val="00064CFD"/>
    <w:pPr>
      <w:ind w:left="851"/>
    </w:pPr>
  </w:style>
  <w:style w:type="paragraph" w:customStyle="1" w:styleId="Legindent2">
    <w:name w:val="Leg indent 2"/>
    <w:basedOn w:val="Normal"/>
    <w:uiPriority w:val="9"/>
    <w:semiHidden/>
    <w:rsid w:val="00064CFD"/>
    <w:pPr>
      <w:ind w:left="1559"/>
    </w:pPr>
  </w:style>
  <w:style w:type="paragraph" w:customStyle="1" w:styleId="Legindent3">
    <w:name w:val="Leg indent 3"/>
    <w:basedOn w:val="Normal"/>
    <w:uiPriority w:val="9"/>
    <w:semiHidden/>
    <w:rsid w:val="00064CFD"/>
    <w:pPr>
      <w:ind w:left="2268"/>
    </w:pPr>
  </w:style>
  <w:style w:type="paragraph" w:customStyle="1" w:styleId="Legstyle-1">
    <w:name w:val="Leg style - (1)"/>
    <w:basedOn w:val="Normal"/>
    <w:uiPriority w:val="9"/>
    <w:semiHidden/>
    <w:rsid w:val="00064CFD"/>
    <w:pPr>
      <w:tabs>
        <w:tab w:val="left" w:pos="851"/>
      </w:tabs>
      <w:ind w:left="851" w:hanging="851"/>
    </w:pPr>
  </w:style>
  <w:style w:type="paragraph" w:customStyle="1" w:styleId="Legstyle-a">
    <w:name w:val="Leg style - (a)"/>
    <w:basedOn w:val="Normal"/>
    <w:uiPriority w:val="9"/>
    <w:semiHidden/>
    <w:rsid w:val="00064CFD"/>
    <w:pPr>
      <w:tabs>
        <w:tab w:val="left" w:pos="1559"/>
      </w:tabs>
      <w:ind w:left="1560" w:hanging="709"/>
    </w:pPr>
  </w:style>
  <w:style w:type="paragraph" w:customStyle="1" w:styleId="Legstyle-i">
    <w:name w:val="Leg style - (i)"/>
    <w:basedOn w:val="Normal"/>
    <w:uiPriority w:val="9"/>
    <w:semiHidden/>
    <w:rsid w:val="00064CFD"/>
    <w:pPr>
      <w:tabs>
        <w:tab w:val="left" w:pos="2268"/>
      </w:tabs>
      <w:ind w:left="2268" w:hanging="709"/>
    </w:pPr>
  </w:style>
  <w:style w:type="paragraph" w:customStyle="1" w:styleId="Legstyle-10">
    <w:name w:val="Leg style - 1"/>
    <w:basedOn w:val="Normal"/>
    <w:uiPriority w:val="9"/>
    <w:semiHidden/>
    <w:rsid w:val="00064CFD"/>
    <w:pPr>
      <w:tabs>
        <w:tab w:val="left" w:pos="851"/>
      </w:tabs>
      <w:ind w:left="851" w:hanging="851"/>
    </w:pPr>
    <w:rPr>
      <w:b/>
    </w:rPr>
  </w:style>
  <w:style w:type="paragraph" w:customStyle="1" w:styleId="Guidelines">
    <w:name w:val="Guidelines"/>
    <w:basedOn w:val="Normal"/>
    <w:next w:val="BodyText"/>
    <w:uiPriority w:val="2"/>
    <w:rsid w:val="00561DA3"/>
    <w:rPr>
      <w:color w:val="00B050"/>
    </w:rPr>
  </w:style>
  <w:style w:type="paragraph" w:customStyle="1" w:styleId="Heading1-Start">
    <w:name w:val="Heading 1 - Start"/>
    <w:basedOn w:val="Heading1"/>
    <w:next w:val="BodyText"/>
    <w:uiPriority w:val="1"/>
    <w:rsid w:val="00EB50CB"/>
    <w:pPr>
      <w:spacing w:before="200"/>
    </w:pPr>
  </w:style>
  <w:style w:type="paragraph" w:styleId="Title">
    <w:name w:val="Title"/>
    <w:basedOn w:val="Normalcolour"/>
    <w:next w:val="BodyText"/>
    <w:link w:val="TitleChar"/>
    <w:uiPriority w:val="1"/>
    <w:rsid w:val="00E83E7F"/>
    <w:pPr>
      <w:spacing w:after="24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83E7F"/>
    <w:rPr>
      <w:rFonts w:ascii="Calibri" w:eastAsiaTheme="majorEastAsia" w:hAnsi="Calibri" w:cstheme="majorBidi"/>
      <w:color w:val="939905"/>
      <w:spacing w:val="5"/>
      <w:kern w:val="28"/>
      <w:sz w:val="48"/>
      <w:szCs w:val="52"/>
    </w:rPr>
  </w:style>
  <w:style w:type="paragraph" w:customStyle="1" w:styleId="QIndent1">
    <w:name w:val="QIndent 1"/>
    <w:basedOn w:val="Normal"/>
    <w:uiPriority w:val="6"/>
    <w:rsid w:val="002F2103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F2103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2F2103"/>
    <w:pPr>
      <w:numPr>
        <w:numId w:val="18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2F2103"/>
    <w:pPr>
      <w:numPr>
        <w:numId w:val="19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2F2103"/>
    <w:pPr>
      <w:numPr>
        <w:numId w:val="20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2F2103"/>
    <w:pPr>
      <w:numPr>
        <w:numId w:val="21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2F2103"/>
    <w:pPr>
      <w:numPr>
        <w:numId w:val="11"/>
      </w:numPr>
    </w:pPr>
  </w:style>
  <w:style w:type="paragraph" w:customStyle="1" w:styleId="Bullet2">
    <w:name w:val="Bullet 2"/>
    <w:basedOn w:val="Normal"/>
    <w:uiPriority w:val="2"/>
    <w:rsid w:val="002F2103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2"/>
    <w:rsid w:val="002F2103"/>
    <w:pPr>
      <w:numPr>
        <w:ilvl w:val="2"/>
        <w:numId w:val="11"/>
      </w:numPr>
    </w:pPr>
  </w:style>
  <w:style w:type="paragraph" w:customStyle="1" w:styleId="Bullet4">
    <w:name w:val="Bullet 4"/>
    <w:basedOn w:val="Normal"/>
    <w:uiPriority w:val="2"/>
    <w:rsid w:val="002F2103"/>
    <w:pPr>
      <w:numPr>
        <w:ilvl w:val="3"/>
        <w:numId w:val="11"/>
      </w:numPr>
    </w:pPr>
  </w:style>
  <w:style w:type="paragraph" w:customStyle="1" w:styleId="InsertPictureLeft">
    <w:name w:val="InsertPictureLeft"/>
    <w:rsid w:val="009D6259"/>
    <w:pPr>
      <w:numPr>
        <w:ilvl w:val="3"/>
        <w:numId w:val="5"/>
      </w:numPr>
      <w:tabs>
        <w:tab w:val="clear" w:pos="2880"/>
        <w:tab w:val="num" w:pos="2268"/>
      </w:tabs>
      <w:spacing w:after="160" w:line="300" w:lineRule="atLeast"/>
      <w:ind w:left="2268" w:hanging="567"/>
    </w:pPr>
    <w:rPr>
      <w:rFonts w:ascii="Calibri" w:hAnsi="Calibri"/>
      <w:color w:val="1E1E1E"/>
      <w:sz w:val="24"/>
    </w:rPr>
  </w:style>
  <w:style w:type="paragraph" w:customStyle="1" w:styleId="Indent1">
    <w:name w:val="Indent 1"/>
    <w:basedOn w:val="Normal"/>
    <w:uiPriority w:val="4"/>
    <w:rsid w:val="002F2103"/>
    <w:pPr>
      <w:ind w:left="567"/>
    </w:pPr>
  </w:style>
  <w:style w:type="paragraph" w:customStyle="1" w:styleId="Indent2">
    <w:name w:val="Indent 2"/>
    <w:basedOn w:val="Normal"/>
    <w:uiPriority w:val="4"/>
    <w:rsid w:val="002F2103"/>
    <w:pPr>
      <w:ind w:left="1134"/>
    </w:pPr>
  </w:style>
  <w:style w:type="paragraph" w:customStyle="1" w:styleId="Indent3">
    <w:name w:val="Indent 3"/>
    <w:basedOn w:val="Normal"/>
    <w:uiPriority w:val="4"/>
    <w:rsid w:val="002F2103"/>
    <w:pPr>
      <w:ind w:left="1701"/>
    </w:pPr>
  </w:style>
  <w:style w:type="paragraph" w:customStyle="1" w:styleId="Indent4">
    <w:name w:val="Indent 4"/>
    <w:basedOn w:val="Normal"/>
    <w:uiPriority w:val="4"/>
    <w:rsid w:val="002F2103"/>
    <w:pPr>
      <w:ind w:left="2268"/>
    </w:pPr>
  </w:style>
  <w:style w:type="paragraph" w:customStyle="1" w:styleId="Number-1">
    <w:name w:val="Number - 1."/>
    <w:basedOn w:val="BodyText"/>
    <w:uiPriority w:val="5"/>
    <w:rsid w:val="002F2103"/>
    <w:pPr>
      <w:numPr>
        <w:numId w:val="15"/>
      </w:numPr>
    </w:pPr>
  </w:style>
  <w:style w:type="paragraph" w:customStyle="1" w:styleId="Number-11">
    <w:name w:val="Number - 1.1"/>
    <w:basedOn w:val="Normal"/>
    <w:uiPriority w:val="5"/>
    <w:rsid w:val="002F2103"/>
    <w:pPr>
      <w:numPr>
        <w:ilvl w:val="1"/>
        <w:numId w:val="15"/>
      </w:numPr>
    </w:pPr>
  </w:style>
  <w:style w:type="paragraph" w:customStyle="1" w:styleId="Number-111">
    <w:name w:val="Number - 1.1.1"/>
    <w:basedOn w:val="Normal"/>
    <w:uiPriority w:val="5"/>
    <w:rsid w:val="002F2103"/>
    <w:pPr>
      <w:numPr>
        <w:ilvl w:val="2"/>
        <w:numId w:val="15"/>
      </w:numPr>
    </w:pPr>
  </w:style>
  <w:style w:type="paragraph" w:customStyle="1" w:styleId="Number-a">
    <w:name w:val="Number - a."/>
    <w:basedOn w:val="Normal"/>
    <w:uiPriority w:val="5"/>
    <w:rsid w:val="002F2103"/>
    <w:pPr>
      <w:numPr>
        <w:numId w:val="16"/>
      </w:numPr>
    </w:pPr>
  </w:style>
  <w:style w:type="paragraph" w:customStyle="1" w:styleId="Number-i">
    <w:name w:val="Number - i."/>
    <w:basedOn w:val="Normal"/>
    <w:uiPriority w:val="5"/>
    <w:rsid w:val="002F2103"/>
    <w:pPr>
      <w:numPr>
        <w:ilvl w:val="1"/>
        <w:numId w:val="16"/>
      </w:numPr>
    </w:pPr>
  </w:style>
  <w:style w:type="paragraph" w:customStyle="1" w:styleId="Number1">
    <w:name w:val="Number 1"/>
    <w:basedOn w:val="Normal"/>
    <w:uiPriority w:val="5"/>
    <w:rsid w:val="002F2103"/>
    <w:pPr>
      <w:numPr>
        <w:numId w:val="17"/>
      </w:numPr>
    </w:pPr>
  </w:style>
  <w:style w:type="paragraph" w:customStyle="1" w:styleId="Number2">
    <w:name w:val="Number 2"/>
    <w:basedOn w:val="Normal"/>
    <w:uiPriority w:val="5"/>
    <w:rsid w:val="002F2103"/>
    <w:pPr>
      <w:numPr>
        <w:ilvl w:val="1"/>
        <w:numId w:val="17"/>
      </w:numPr>
    </w:pPr>
  </w:style>
  <w:style w:type="paragraph" w:customStyle="1" w:styleId="Number3">
    <w:name w:val="Number 3"/>
    <w:basedOn w:val="Normal"/>
    <w:uiPriority w:val="5"/>
    <w:rsid w:val="002F2103"/>
    <w:pPr>
      <w:numPr>
        <w:ilvl w:val="2"/>
        <w:numId w:val="17"/>
      </w:numPr>
    </w:pPr>
  </w:style>
  <w:style w:type="paragraph" w:customStyle="1" w:styleId="TableBullet1">
    <w:name w:val="Table Bullet 1"/>
    <w:basedOn w:val="Normal"/>
    <w:uiPriority w:val="2"/>
    <w:rsid w:val="002F2103"/>
    <w:pPr>
      <w:numPr>
        <w:numId w:val="22"/>
      </w:numPr>
      <w:spacing w:before="120" w:after="120"/>
    </w:pPr>
    <w:rPr>
      <w:sz w:val="22"/>
    </w:rPr>
  </w:style>
  <w:style w:type="paragraph" w:customStyle="1" w:styleId="TableBullet2">
    <w:name w:val="Table Bullet 2"/>
    <w:basedOn w:val="Normal"/>
    <w:uiPriority w:val="2"/>
    <w:rsid w:val="002F2103"/>
    <w:pPr>
      <w:numPr>
        <w:ilvl w:val="1"/>
        <w:numId w:val="22"/>
      </w:numPr>
      <w:spacing w:before="120" w:after="120"/>
    </w:pPr>
    <w:rPr>
      <w:sz w:val="22"/>
    </w:rPr>
  </w:style>
  <w:style w:type="paragraph" w:customStyle="1" w:styleId="TableBullet3">
    <w:name w:val="Table Bullet 3"/>
    <w:basedOn w:val="Normal"/>
    <w:uiPriority w:val="2"/>
    <w:rsid w:val="002F2103"/>
    <w:pPr>
      <w:numPr>
        <w:ilvl w:val="2"/>
        <w:numId w:val="22"/>
      </w:numPr>
      <w:spacing w:before="120" w:after="120"/>
    </w:pPr>
    <w:rPr>
      <w:sz w:val="22"/>
    </w:rPr>
  </w:style>
  <w:style w:type="paragraph" w:customStyle="1" w:styleId="Tableheading">
    <w:name w:val="Table heading"/>
    <w:basedOn w:val="Tablebodytext"/>
    <w:next w:val="Tablebodytext"/>
    <w:uiPriority w:val="2"/>
    <w:rsid w:val="000D3B26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2F2103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2F2103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2F2103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Normal"/>
    <w:uiPriority w:val="2"/>
    <w:rsid w:val="002F2103"/>
    <w:pPr>
      <w:numPr>
        <w:numId w:val="24"/>
      </w:numPr>
      <w:spacing w:before="120" w:after="120"/>
    </w:pPr>
    <w:rPr>
      <w:sz w:val="22"/>
    </w:rPr>
  </w:style>
  <w:style w:type="paragraph" w:customStyle="1" w:styleId="TableNumbera">
    <w:name w:val="Table Number a."/>
    <w:basedOn w:val="Normal"/>
    <w:uiPriority w:val="2"/>
    <w:rsid w:val="002F2103"/>
    <w:pPr>
      <w:numPr>
        <w:ilvl w:val="1"/>
        <w:numId w:val="24"/>
      </w:numPr>
      <w:spacing w:before="120" w:after="120"/>
    </w:pPr>
    <w:rPr>
      <w:sz w:val="22"/>
    </w:rPr>
  </w:style>
  <w:style w:type="paragraph" w:customStyle="1" w:styleId="TableNumberi">
    <w:name w:val="Table Number i."/>
    <w:basedOn w:val="Normal"/>
    <w:uiPriority w:val="2"/>
    <w:rsid w:val="002F2103"/>
    <w:pPr>
      <w:numPr>
        <w:ilvl w:val="2"/>
        <w:numId w:val="24"/>
      </w:numPr>
      <w:spacing w:before="120" w:after="120"/>
    </w:pPr>
    <w:rPr>
      <w:sz w:val="22"/>
    </w:rPr>
  </w:style>
  <w:style w:type="paragraph" w:customStyle="1" w:styleId="TableQuotationseparateparagraph">
    <w:name w:val="Table Quotation (separate paragraph)"/>
    <w:basedOn w:val="Quotationseparateparagraph"/>
    <w:uiPriority w:val="2"/>
    <w:rsid w:val="00D75233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011074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D75233"/>
  </w:style>
  <w:style w:type="character" w:styleId="CommentReference">
    <w:name w:val="annotation reference"/>
    <w:basedOn w:val="DefaultParagraphFont"/>
    <w:uiPriority w:val="99"/>
    <w:semiHidden/>
    <w:unhideWhenUsed/>
    <w:rsid w:val="008841B5"/>
    <w:rPr>
      <w:sz w:val="16"/>
      <w:szCs w:val="16"/>
    </w:rPr>
  </w:style>
  <w:style w:type="paragraph" w:customStyle="1" w:styleId="Tablecaption">
    <w:name w:val="Table caption"/>
    <w:basedOn w:val="Normal"/>
    <w:next w:val="BodyText"/>
    <w:uiPriority w:val="98"/>
    <w:rsid w:val="002F2103"/>
    <w:pPr>
      <w:keepNext/>
      <w:spacing w:before="360" w:after="60" w:line="260" w:lineRule="atLeast"/>
    </w:pPr>
    <w:rPr>
      <w:b/>
      <w:sz w:val="26"/>
    </w:rPr>
  </w:style>
  <w:style w:type="paragraph" w:customStyle="1" w:styleId="Footerlandscape">
    <w:name w:val="Footer landscape"/>
    <w:basedOn w:val="Footer"/>
    <w:uiPriority w:val="10"/>
    <w:rsid w:val="009D6259"/>
  </w:style>
  <w:style w:type="paragraph" w:customStyle="1" w:styleId="Headerlandscape">
    <w:name w:val="Header landscape"/>
    <w:basedOn w:val="Header"/>
    <w:rsid w:val="00307592"/>
    <w:pPr>
      <w:tabs>
        <w:tab w:val="clear" w:pos="9299"/>
        <w:tab w:val="right" w:pos="14232"/>
      </w:tabs>
    </w:pPr>
  </w:style>
  <w:style w:type="paragraph" w:customStyle="1" w:styleId="FigureCaption">
    <w:name w:val="Figure Caption"/>
    <w:basedOn w:val="Normal"/>
    <w:next w:val="BodyText"/>
    <w:uiPriority w:val="2"/>
    <w:rsid w:val="00D75233"/>
    <w:pPr>
      <w:spacing w:line="240" w:lineRule="auto"/>
    </w:pPr>
    <w:rPr>
      <w:i/>
    </w:rPr>
  </w:style>
  <w:style w:type="character" w:customStyle="1" w:styleId="Italics">
    <w:name w:val="Italics"/>
    <w:basedOn w:val="DefaultParagraphFont"/>
    <w:uiPriority w:val="2"/>
    <w:rsid w:val="009909DF"/>
    <w:rPr>
      <w:i/>
    </w:rPr>
  </w:style>
  <w:style w:type="character" w:customStyle="1" w:styleId="Bluetext">
    <w:name w:val="Blue text"/>
    <w:basedOn w:val="DefaultParagraphFont"/>
    <w:uiPriority w:val="2"/>
    <w:rsid w:val="000A4639"/>
    <w:rPr>
      <w:color w:val="0070C0"/>
    </w:rPr>
  </w:style>
  <w:style w:type="paragraph" w:customStyle="1" w:styleId="Boxsmallbullet1">
    <w:name w:val="Box small bullet 1"/>
    <w:basedOn w:val="Normal"/>
    <w:uiPriority w:val="2"/>
    <w:rsid w:val="002F2103"/>
    <w:pPr>
      <w:numPr>
        <w:numId w:val="9"/>
      </w:numPr>
    </w:pPr>
  </w:style>
  <w:style w:type="paragraph" w:customStyle="1" w:styleId="Boxsmallbullet2">
    <w:name w:val="Box small bullet 2"/>
    <w:basedOn w:val="Normal"/>
    <w:uiPriority w:val="2"/>
    <w:rsid w:val="002F2103"/>
    <w:pPr>
      <w:numPr>
        <w:ilvl w:val="1"/>
        <w:numId w:val="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100392"/>
    <w:rPr>
      <w:color w:val="0D6AB8"/>
      <w:u w:val="single"/>
    </w:rPr>
  </w:style>
  <w:style w:type="paragraph" w:customStyle="1" w:styleId="Pictureindent">
    <w:name w:val="Picture indent"/>
    <w:basedOn w:val="Indent1"/>
    <w:uiPriority w:val="98"/>
    <w:rsid w:val="002539A9"/>
    <w:pPr>
      <w:ind w:left="-28"/>
    </w:pPr>
  </w:style>
  <w:style w:type="numbering" w:styleId="111111">
    <w:name w:val="Outline List 2"/>
    <w:basedOn w:val="NoList"/>
    <w:uiPriority w:val="99"/>
    <w:semiHidden/>
    <w:unhideWhenUsed/>
    <w:rsid w:val="002F2103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2F2103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2F2103"/>
    <w:pPr>
      <w:numPr>
        <w:numId w:val="8"/>
      </w:numPr>
    </w:pPr>
  </w:style>
  <w:style w:type="paragraph" w:customStyle="1" w:styleId="Boxsmallnumber-1">
    <w:name w:val="Box small number - 1."/>
    <w:basedOn w:val="Normal"/>
    <w:uiPriority w:val="2"/>
    <w:rsid w:val="002F2103"/>
    <w:pPr>
      <w:numPr>
        <w:numId w:val="10"/>
      </w:numPr>
    </w:pPr>
  </w:style>
  <w:style w:type="paragraph" w:customStyle="1" w:styleId="Boxsmallnumber-a">
    <w:name w:val="Box small number - a."/>
    <w:basedOn w:val="Normal"/>
    <w:uiPriority w:val="2"/>
    <w:rsid w:val="002F2103"/>
    <w:pPr>
      <w:numPr>
        <w:ilvl w:val="1"/>
        <w:numId w:val="10"/>
      </w:numPr>
    </w:pPr>
  </w:style>
  <w:style w:type="paragraph" w:customStyle="1" w:styleId="Boxsmallnumber-i">
    <w:name w:val="Box small number - i."/>
    <w:basedOn w:val="Normal"/>
    <w:uiPriority w:val="2"/>
    <w:rsid w:val="002F2103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1643FB"/>
    <w:pPr>
      <w:numPr>
        <w:numId w:val="27"/>
      </w:numPr>
      <w:tabs>
        <w:tab w:val="clear" w:pos="284"/>
      </w:tabs>
    </w:pPr>
  </w:style>
  <w:style w:type="paragraph" w:customStyle="1" w:styleId="Introduction">
    <w:name w:val="Introduction"/>
    <w:basedOn w:val="Normal"/>
    <w:uiPriority w:val="2"/>
    <w:rsid w:val="002F2103"/>
    <w:rPr>
      <w:color w:val="4D4D4D"/>
      <w:sz w:val="28"/>
    </w:rPr>
  </w:style>
  <w:style w:type="paragraph" w:customStyle="1" w:styleId="Checkbox1">
    <w:name w:val="Check box 1"/>
    <w:basedOn w:val="BodyText"/>
    <w:uiPriority w:val="3"/>
    <w:rsid w:val="002F2103"/>
    <w:pPr>
      <w:numPr>
        <w:numId w:val="12"/>
      </w:numPr>
    </w:pPr>
  </w:style>
  <w:style w:type="paragraph" w:customStyle="1" w:styleId="Checkbox2">
    <w:name w:val="Check box 2"/>
    <w:basedOn w:val="Checkbox1"/>
    <w:uiPriority w:val="3"/>
    <w:rsid w:val="002F2103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2F2103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2F2103"/>
    <w:pPr>
      <w:numPr>
        <w:ilvl w:val="3"/>
      </w:numPr>
    </w:pPr>
  </w:style>
  <w:style w:type="paragraph" w:customStyle="1" w:styleId="Tablecheckbox1">
    <w:name w:val="Table check box 1"/>
    <w:basedOn w:val="Normal"/>
    <w:uiPriority w:val="2"/>
    <w:rsid w:val="002F2103"/>
    <w:pPr>
      <w:numPr>
        <w:numId w:val="23"/>
      </w:numPr>
      <w:spacing w:before="120" w:after="120"/>
    </w:pPr>
    <w:rPr>
      <w:sz w:val="22"/>
    </w:rPr>
  </w:style>
  <w:style w:type="paragraph" w:customStyle="1" w:styleId="Tablecheckbox2">
    <w:name w:val="Table check box 2"/>
    <w:basedOn w:val="Tablecheckbox1"/>
    <w:uiPriority w:val="2"/>
    <w:rsid w:val="002F2103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2F2103"/>
    <w:pPr>
      <w:numPr>
        <w:ilvl w:val="2"/>
      </w:numPr>
    </w:pPr>
  </w:style>
  <w:style w:type="paragraph" w:customStyle="1" w:styleId="EndnoteBullet">
    <w:name w:val="Endnote Bullet"/>
    <w:uiPriority w:val="7"/>
    <w:rsid w:val="003E5BC8"/>
    <w:pPr>
      <w:numPr>
        <w:numId w:val="26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2F2103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2F2103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2F2103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2F2103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2F2103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1B2F94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2F2103"/>
    <w:pPr>
      <w:ind w:left="851"/>
    </w:pPr>
  </w:style>
  <w:style w:type="paragraph" w:customStyle="1" w:styleId="ALegindent2">
    <w:name w:val="ALeg indent 2"/>
    <w:basedOn w:val="Normal"/>
    <w:uiPriority w:val="6"/>
    <w:rsid w:val="002F2103"/>
    <w:pPr>
      <w:ind w:left="1559"/>
    </w:pPr>
  </w:style>
  <w:style w:type="paragraph" w:customStyle="1" w:styleId="ALegindent3">
    <w:name w:val="ALeg indent 3"/>
    <w:basedOn w:val="Normal"/>
    <w:uiPriority w:val="6"/>
    <w:rsid w:val="002F2103"/>
    <w:pPr>
      <w:ind w:left="2268"/>
    </w:pPr>
  </w:style>
  <w:style w:type="paragraph" w:customStyle="1" w:styleId="ALegstyle-1">
    <w:name w:val="ALeg style - (1)"/>
    <w:basedOn w:val="Normal"/>
    <w:uiPriority w:val="6"/>
    <w:rsid w:val="002F2103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2F2103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2F2103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1B2F94"/>
    <w:pPr>
      <w:keepNext/>
      <w:tabs>
        <w:tab w:val="left" w:pos="851"/>
      </w:tabs>
      <w:ind w:left="851" w:hanging="851"/>
    </w:pPr>
    <w:rPr>
      <w:b/>
    </w:rPr>
  </w:style>
  <w:style w:type="paragraph" w:customStyle="1" w:styleId="BQLegindent1">
    <w:name w:val="BQLeg indent 1"/>
    <w:basedOn w:val="Normal"/>
    <w:uiPriority w:val="6"/>
    <w:rsid w:val="00780D07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80D07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80D07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80D07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80D07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80D07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80D07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SQLegindent1">
    <w:name w:val="SQLeg indent 1"/>
    <w:basedOn w:val="Normal"/>
    <w:uiPriority w:val="6"/>
    <w:rsid w:val="002F2103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2F2103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2F2103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2F2103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2F2103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2F2103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1B2F94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Subheading">
    <w:name w:val="Subheading"/>
    <w:basedOn w:val="Normal"/>
    <w:uiPriority w:val="1"/>
    <w:rsid w:val="00E83E7F"/>
    <w:pPr>
      <w:spacing w:after="0" w:line="240" w:lineRule="auto"/>
    </w:pPr>
    <w:rPr>
      <w:sz w:val="32"/>
    </w:rPr>
  </w:style>
  <w:style w:type="paragraph" w:customStyle="1" w:styleId="BodyText1">
    <w:name w:val="Body Text1"/>
    <w:basedOn w:val="Normal"/>
    <w:uiPriority w:val="2"/>
    <w:rsid w:val="00263B2F"/>
  </w:style>
  <w:style w:type="paragraph" w:customStyle="1" w:styleId="Tableoffiguresheading">
    <w:name w:val="Table of figures heading"/>
    <w:basedOn w:val="Heading4"/>
    <w:next w:val="TableofFigures"/>
    <w:uiPriority w:val="1"/>
    <w:rsid w:val="002F2103"/>
    <w:pPr>
      <w:numPr>
        <w:ilvl w:val="0"/>
        <w:numId w:val="0"/>
      </w:numPr>
      <w:outlineLvl w:val="9"/>
    </w:pPr>
  </w:style>
  <w:style w:type="character" w:customStyle="1" w:styleId="EmphasisItalics">
    <w:name w:val="Emphasis Italics"/>
    <w:basedOn w:val="DefaultParagraphFont"/>
    <w:uiPriority w:val="2"/>
    <w:rsid w:val="00A86138"/>
    <w:rPr>
      <w:b/>
      <w:i/>
    </w:rPr>
  </w:style>
  <w:style w:type="paragraph" w:styleId="ListParagraph">
    <w:name w:val="List Paragraph"/>
    <w:basedOn w:val="Normal"/>
    <w:uiPriority w:val="34"/>
    <w:semiHidden/>
    <w:qFormat/>
    <w:rsid w:val="00A60F61"/>
    <w:pPr>
      <w:ind w:left="720"/>
      <w:contextualSpacing/>
    </w:pPr>
  </w:style>
  <w:style w:type="paragraph" w:customStyle="1" w:styleId="BodyText2">
    <w:name w:val="Body Text2"/>
    <w:basedOn w:val="Normal"/>
    <w:uiPriority w:val="2"/>
    <w:rsid w:val="00950583"/>
    <w:pPr>
      <w:spacing w:after="200" w:line="240" w:lineRule="atLeast"/>
      <w:jc w:val="both"/>
    </w:pPr>
    <w:rPr>
      <w:rFonts w:cs="Calibri"/>
      <w:szCs w:val="24"/>
      <w:lang w:eastAsia="en-NZ"/>
    </w:rPr>
  </w:style>
  <w:style w:type="paragraph" w:styleId="Revision">
    <w:name w:val="Revision"/>
    <w:hidden/>
    <w:uiPriority w:val="99"/>
    <w:semiHidden/>
    <w:rsid w:val="00CA551F"/>
    <w:pPr>
      <w:spacing w:after="0" w:line="240" w:lineRule="auto"/>
    </w:pPr>
    <w:rPr>
      <w:rFonts w:ascii="Calibri" w:hAnsi="Calibri"/>
      <w:color w:val="1E1E1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on.govt.nz/regulation/public/1989/0064/latest/DLM129834.html?src=q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75F48-3AAC-499A-A701-866E90E9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1662</Words>
  <Characters>9480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Summary</vt:lpstr>
      <vt:lpstr>Background</vt:lpstr>
      <vt:lpstr>The Education and Training Act 2020 </vt:lpstr>
      <vt:lpstr>Investigation </vt:lpstr>
      <vt:lpstr>    Decision to suspend and exclude </vt:lpstr>
      <vt:lpstr>    Board’s consideration of support provided to student</vt:lpstr>
      <vt:lpstr>Outcome</vt:lpstr>
      <vt:lpstr>Disclaimer</vt:lpstr>
      <vt:lpstr>This case note is published under the authority of the Ombudsmen Rules 1989. It </vt:lpstr>
    </vt:vector>
  </TitlesOfParts>
  <Company/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2022-09-14T22:51:00Z</dcterms:created>
  <dcterms:modified xsi:type="dcterms:W3CDTF">2022-09-14T22:51:00Z</dcterms:modified>
  <cp:contentStatus/>
</cp:coreProperties>
</file>