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283F3B">
      <w:pPr>
        <w:pStyle w:val="BodyText1"/>
      </w:pPr>
    </w:p>
    <w:tbl>
      <w:tblPr>
        <w:tblStyle w:val="TableGridnoborders"/>
        <w:tblW w:w="9576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576"/>
      </w:tblGrid>
      <w:tr w:rsidR="00ED0181" w:rsidTr="00F37A76">
        <w:trPr>
          <w:trHeight w:hRule="exact" w:val="3456"/>
        </w:trPr>
        <w:tc>
          <w:tcPr>
            <w:tcW w:w="9576" w:type="dxa"/>
            <w:tcMar>
              <w:top w:w="794" w:type="dxa"/>
            </w:tcMar>
            <w:vAlign w:val="bottom"/>
          </w:tcPr>
          <w:p w:rsidR="00166C30" w:rsidRPr="000E36A8" w:rsidRDefault="00F76700" w:rsidP="000A16D9">
            <w:pPr>
              <w:pStyle w:val="Title"/>
            </w:pPr>
            <w:bookmarkStart w:id="0" w:name="_GoBack"/>
            <w:r>
              <w:t xml:space="preserve">Delay in responding to request for information about transferrals </w:t>
            </w:r>
            <w:r w:rsidR="000A16D9">
              <w:t>between hospitals</w:t>
            </w:r>
            <w:bookmarkEnd w:id="0"/>
          </w:p>
        </w:tc>
      </w:tr>
      <w:tr w:rsidR="00C87D78" w:rsidTr="00094D1D">
        <w:trPr>
          <w:trHeight w:hRule="exact" w:val="340"/>
        </w:trPr>
        <w:tc>
          <w:tcPr>
            <w:tcW w:w="9576" w:type="dxa"/>
            <w:vAlign w:val="bottom"/>
          </w:tcPr>
          <w:p w:rsidR="00C87D78" w:rsidRDefault="00C87D78" w:rsidP="00C731DE"/>
        </w:tc>
      </w:tr>
      <w:tr w:rsidR="00F417FD" w:rsidTr="00094D1D">
        <w:trPr>
          <w:trHeight w:val="2098"/>
        </w:trPr>
        <w:tc>
          <w:tcPr>
            <w:tcW w:w="9576" w:type="dxa"/>
          </w:tcPr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 w:rsidR="00F76700">
              <w:t>Official Information Act 1982</w:t>
            </w:r>
            <w:r w:rsidR="00CD1025">
              <w:t>, ss 15(1), 28(1)(a), 30(1)(b); Ombudsmen Act 1975, ss 22(1)(a)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 w:rsidR="00F76700">
              <w:t>Southern District Health Board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 w:rsidR="00F37A76">
              <w:t>Peter Boshier</w:t>
            </w:r>
          </w:p>
          <w:p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r w:rsidR="00F37A76">
              <w:t>5</w:t>
            </w:r>
            <w:r w:rsidR="00F76700">
              <w:t>63420</w:t>
            </w:r>
          </w:p>
          <w:p w:rsidR="00F417FD" w:rsidRPr="00F417FD" w:rsidRDefault="00F417FD" w:rsidP="004D417F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 w:rsidR="00F76700">
              <w:t>March 2022</w:t>
            </w:r>
          </w:p>
        </w:tc>
      </w:tr>
    </w:tbl>
    <w:p w:rsidR="00094D1D" w:rsidRPr="00094D1D" w:rsidRDefault="00094D1D" w:rsidP="00094D1D">
      <w:pPr>
        <w:pStyle w:val="Guidelines"/>
        <w:rPr>
          <w:color w:val="auto"/>
        </w:rPr>
      </w:pPr>
    </w:p>
    <w:p w:rsidR="00F37A76" w:rsidRPr="00F37A76" w:rsidRDefault="00F76700" w:rsidP="00F37A76">
      <w:pPr>
        <w:pStyle w:val="Guidelines"/>
        <w:rPr>
          <w:rStyle w:val="Italics"/>
          <w:color w:val="auto"/>
        </w:rPr>
      </w:pPr>
      <w:r>
        <w:rPr>
          <w:rStyle w:val="Italics"/>
          <w:color w:val="auto"/>
        </w:rPr>
        <w:t>Failure by the Southern District Health Board to make and communicate its decision on a request for official information – this appeared to be contrary to law – deemed to be a refusal under s 28(1)(a) OIA – investigation of deemed refusal commenced</w:t>
      </w:r>
    </w:p>
    <w:p w:rsidR="00E77A82" w:rsidRDefault="00E77A82" w:rsidP="00E77A82">
      <w:pPr>
        <w:pStyle w:val="Heading1"/>
      </w:pPr>
      <w:r>
        <w:t>Background</w:t>
      </w:r>
    </w:p>
    <w:p w:rsidR="00490F12" w:rsidRDefault="008C569D" w:rsidP="008C569D">
      <w:pPr>
        <w:pStyle w:val="BodyText"/>
      </w:pPr>
      <w:r>
        <w:t xml:space="preserve">On 18 February 2021, the Ministry of Health </w:t>
      </w:r>
      <w:r w:rsidR="00A42ADC">
        <w:t xml:space="preserve">(the Ministry) </w:t>
      </w:r>
      <w:r>
        <w:t xml:space="preserve">received a request for </w:t>
      </w:r>
      <w:r w:rsidR="00E9395B">
        <w:t xml:space="preserve">official </w:t>
      </w:r>
      <w:r>
        <w:t xml:space="preserve">information </w:t>
      </w:r>
      <w:r w:rsidR="00E9395B">
        <w:t xml:space="preserve">under the Official Information Act 1982 (OIA), </w:t>
      </w:r>
      <w:r>
        <w:t xml:space="preserve">relating to transferrals from Southland Hospital to Dunedin Hospital </w:t>
      </w:r>
      <w:r w:rsidR="0089241F">
        <w:t xml:space="preserve">between </w:t>
      </w:r>
      <w:r>
        <w:t>2016</w:t>
      </w:r>
      <w:r w:rsidR="0089241F">
        <w:t xml:space="preserve"> and </w:t>
      </w:r>
      <w:r>
        <w:t>2020.</w:t>
      </w:r>
      <w:r w:rsidR="004D417F">
        <w:t xml:space="preserve"> The next day</w:t>
      </w:r>
      <w:r>
        <w:t>, the Ministry</w:t>
      </w:r>
      <w:r w:rsidR="00CD1025">
        <w:t xml:space="preserve"> </w:t>
      </w:r>
      <w:r w:rsidR="00CB5B96">
        <w:t xml:space="preserve">confirmed </w:t>
      </w:r>
      <w:r w:rsidR="00CD1025">
        <w:t xml:space="preserve">with the Southern District Health Board (the Board) </w:t>
      </w:r>
      <w:r w:rsidR="00490F12">
        <w:t xml:space="preserve">that the requested information was held by the Board. </w:t>
      </w:r>
      <w:r w:rsidR="00CB5B96">
        <w:t>O</w:t>
      </w:r>
      <w:r w:rsidR="00490F12">
        <w:t xml:space="preserve">n the same day, the Ministry transferred the request to the Board and advised the </w:t>
      </w:r>
      <w:r w:rsidR="00F02EC2">
        <w:t xml:space="preserve">requester </w:t>
      </w:r>
      <w:r w:rsidR="00490F12">
        <w:t>of the transfer</w:t>
      </w:r>
      <w:r w:rsidR="0089241F">
        <w:t xml:space="preserve"> decision</w:t>
      </w:r>
      <w:r w:rsidR="00490F12">
        <w:t>.</w:t>
      </w:r>
    </w:p>
    <w:p w:rsidR="007B5289" w:rsidRDefault="008C569D" w:rsidP="008C569D">
      <w:pPr>
        <w:pStyle w:val="BodyText"/>
      </w:pPr>
      <w:r>
        <w:t xml:space="preserve">On 28 September 2021, the </w:t>
      </w:r>
      <w:r w:rsidR="00F02EC2">
        <w:t xml:space="preserve">requester </w:t>
      </w:r>
      <w:r w:rsidR="00A00805">
        <w:t>emailed</w:t>
      </w:r>
      <w:r>
        <w:t xml:space="preserve"> the Board </w:t>
      </w:r>
      <w:r w:rsidR="00714EBA">
        <w:t>about the lack of response</w:t>
      </w:r>
      <w:r w:rsidR="00490F12">
        <w:t xml:space="preserve"> to her request</w:t>
      </w:r>
      <w:r w:rsidR="00714EBA">
        <w:t>.</w:t>
      </w:r>
      <w:r w:rsidR="00CD1025">
        <w:t xml:space="preserve"> </w:t>
      </w:r>
      <w:r w:rsidR="00714EBA">
        <w:t>The requestor</w:t>
      </w:r>
      <w:r w:rsidR="00F02EC2">
        <w:t>, now complainant,</w:t>
      </w:r>
      <w:r w:rsidR="00714EBA">
        <w:t xml:space="preserve"> made a complaint to the </w:t>
      </w:r>
      <w:r w:rsidR="004D417F">
        <w:t xml:space="preserve">Chief </w:t>
      </w:r>
      <w:r w:rsidR="00714EBA">
        <w:t>Ombu</w:t>
      </w:r>
      <w:r w:rsidR="00A42ADC">
        <w:t>dsman on the same day.</w:t>
      </w:r>
      <w:r w:rsidR="00E37069">
        <w:t xml:space="preserve"> </w:t>
      </w:r>
      <w:r w:rsidR="007B5289">
        <w:t>On</w:t>
      </w:r>
      <w:r w:rsidR="00E9395B">
        <w:t> </w:t>
      </w:r>
      <w:r w:rsidR="007B5289">
        <w:t>30</w:t>
      </w:r>
      <w:r w:rsidR="00E9395B">
        <w:t> </w:t>
      </w:r>
      <w:r w:rsidR="007B5289">
        <w:t xml:space="preserve">September 2021, the </w:t>
      </w:r>
      <w:r w:rsidR="0089241F">
        <w:t xml:space="preserve">complainant </w:t>
      </w:r>
      <w:r w:rsidR="007B5289">
        <w:t xml:space="preserve">advised </w:t>
      </w:r>
      <w:r w:rsidR="00CD1025">
        <w:t>the Ombudsman</w:t>
      </w:r>
      <w:r w:rsidR="00E151E7">
        <w:t xml:space="preserve"> she had received an acknowledgement from the Board </w:t>
      </w:r>
      <w:r w:rsidR="00CD1025">
        <w:t>that</w:t>
      </w:r>
      <w:r w:rsidR="00E151E7">
        <w:t xml:space="preserve"> indicated she </w:t>
      </w:r>
      <w:r w:rsidR="00E151E7" w:rsidRPr="00CD1025">
        <w:t>would</w:t>
      </w:r>
      <w:r w:rsidR="00E151E7">
        <w:t xml:space="preserve"> receive a decision on her request by 28 October 2021 at the latest.</w:t>
      </w:r>
    </w:p>
    <w:p w:rsidR="00893E45" w:rsidRDefault="00A42ADC" w:rsidP="00893E45">
      <w:pPr>
        <w:pStyle w:val="Heading1"/>
      </w:pPr>
      <w:r>
        <w:lastRenderedPageBreak/>
        <w:t xml:space="preserve">Preliminary inquiries and </w:t>
      </w:r>
      <w:r w:rsidR="00CD1025">
        <w:t>i</w:t>
      </w:r>
      <w:r w:rsidR="00714EBA">
        <w:t>nvestigation</w:t>
      </w:r>
    </w:p>
    <w:p w:rsidR="007B5289" w:rsidRDefault="00714EBA" w:rsidP="00647399">
      <w:pPr>
        <w:pStyle w:val="BodyText"/>
      </w:pPr>
      <w:r>
        <w:t xml:space="preserve">The Board </w:t>
      </w:r>
      <w:r w:rsidR="00A42ADC">
        <w:t xml:space="preserve">confirmed that </w:t>
      </w:r>
      <w:r w:rsidR="0089241F">
        <w:t xml:space="preserve">it had received </w:t>
      </w:r>
      <w:r w:rsidR="00A42ADC">
        <w:t>the transfer</w:t>
      </w:r>
      <w:r w:rsidR="00E151E7">
        <w:t>red request</w:t>
      </w:r>
      <w:r w:rsidR="00A42ADC">
        <w:t xml:space="preserve"> on 19</w:t>
      </w:r>
      <w:r w:rsidR="003C4525">
        <w:t> </w:t>
      </w:r>
      <w:r w:rsidR="00A42ADC">
        <w:t xml:space="preserve">February 2021, and </w:t>
      </w:r>
      <w:r>
        <w:t>accepted there had been a delay in communic</w:t>
      </w:r>
      <w:r w:rsidR="00A42ADC">
        <w:t xml:space="preserve">ating a decision to the </w:t>
      </w:r>
      <w:r w:rsidR="0089241F">
        <w:t>complainant</w:t>
      </w:r>
      <w:r w:rsidR="00A42ADC">
        <w:t>. The Board</w:t>
      </w:r>
      <w:r>
        <w:t xml:space="preserve"> explained </w:t>
      </w:r>
      <w:r w:rsidR="0089241F">
        <w:t xml:space="preserve">to the Ombudsman </w:t>
      </w:r>
      <w:r w:rsidR="00A42ADC">
        <w:t>that the request had not been logged into its OIA processing system until receiving the</w:t>
      </w:r>
      <w:r w:rsidR="00900818">
        <w:t xml:space="preserve"> complainant</w:t>
      </w:r>
      <w:r w:rsidR="0089241F">
        <w:t>’s</w:t>
      </w:r>
      <w:r w:rsidR="00A42ADC">
        <w:t xml:space="preserve"> 28 September 2021</w:t>
      </w:r>
      <w:r w:rsidR="0089241F">
        <w:t xml:space="preserve"> email</w:t>
      </w:r>
      <w:r w:rsidR="00A42ADC">
        <w:t xml:space="preserve">. The Board </w:t>
      </w:r>
      <w:r w:rsidR="00E9395B">
        <w:t xml:space="preserve">had </w:t>
      </w:r>
      <w:r w:rsidR="00A42ADC">
        <w:t xml:space="preserve">also </w:t>
      </w:r>
      <w:r w:rsidR="00E9395B">
        <w:t xml:space="preserve">communicated </w:t>
      </w:r>
      <w:r w:rsidR="00A42ADC">
        <w:t xml:space="preserve">a decision on the request </w:t>
      </w:r>
      <w:r w:rsidR="007502EC">
        <w:t xml:space="preserve">to the </w:t>
      </w:r>
      <w:r w:rsidR="00A00805">
        <w:t xml:space="preserve">complainant </w:t>
      </w:r>
      <w:r w:rsidR="00A42ADC">
        <w:t>on 9</w:t>
      </w:r>
      <w:r w:rsidR="00E9395B">
        <w:t> </w:t>
      </w:r>
      <w:r w:rsidR="00A42ADC">
        <w:t>November</w:t>
      </w:r>
      <w:r w:rsidR="00E9395B">
        <w:t> </w:t>
      </w:r>
      <w:r w:rsidR="00A42ADC">
        <w:t>2021</w:t>
      </w:r>
      <w:r w:rsidR="007B5289">
        <w:t>.</w:t>
      </w:r>
    </w:p>
    <w:p w:rsidR="00714EBA" w:rsidRDefault="003C4525" w:rsidP="00647399">
      <w:pPr>
        <w:pStyle w:val="BodyText"/>
      </w:pPr>
      <w:r>
        <w:t>T</w:t>
      </w:r>
      <w:r w:rsidR="007B5289">
        <w:t xml:space="preserve">he Board </w:t>
      </w:r>
      <w:r w:rsidR="0089241F">
        <w:t>apologised to the complainant</w:t>
      </w:r>
      <w:r w:rsidR="007B5289">
        <w:t xml:space="preserve"> for the delay, but did not offer any explanation as to </w:t>
      </w:r>
      <w:r w:rsidR="00B95283">
        <w:t xml:space="preserve">the circumstances </w:t>
      </w:r>
      <w:r w:rsidR="0089241F">
        <w:t xml:space="preserve">of </w:t>
      </w:r>
      <w:r w:rsidR="00B95283">
        <w:t>the delay</w:t>
      </w:r>
      <w:r w:rsidR="007B5289">
        <w:t>.</w:t>
      </w:r>
      <w:r w:rsidR="00C5188C">
        <w:t xml:space="preserve"> The </w:t>
      </w:r>
      <w:r w:rsidR="00352F57">
        <w:t>Board also</w:t>
      </w:r>
      <w:r w:rsidR="00C5188C">
        <w:t xml:space="preserve"> indicated </w:t>
      </w:r>
      <w:r w:rsidR="0089241F">
        <w:t xml:space="preserve">to the complainant </w:t>
      </w:r>
      <w:r w:rsidR="00C5188C">
        <w:t>that the request had been received on 30</w:t>
      </w:r>
      <w:r w:rsidR="00E37069">
        <w:t> </w:t>
      </w:r>
      <w:r w:rsidR="00C5188C">
        <w:t>September</w:t>
      </w:r>
      <w:r w:rsidR="00E37069">
        <w:t> </w:t>
      </w:r>
      <w:r w:rsidR="00C5188C">
        <w:t>2021, despite the Board having confir</w:t>
      </w:r>
      <w:r w:rsidR="00B95283">
        <w:t>med</w:t>
      </w:r>
      <w:r w:rsidR="00C5188C">
        <w:t xml:space="preserve"> </w:t>
      </w:r>
      <w:r w:rsidR="000A16D9">
        <w:t xml:space="preserve">to the Ombudsman </w:t>
      </w:r>
      <w:r w:rsidR="00C5188C">
        <w:t>that the request was received on 19</w:t>
      </w:r>
      <w:r w:rsidR="00E37069">
        <w:t> </w:t>
      </w:r>
      <w:r w:rsidR="00C5188C">
        <w:t>February 2021.</w:t>
      </w:r>
    </w:p>
    <w:p w:rsidR="00CD1025" w:rsidRDefault="00CD1025" w:rsidP="00647399">
      <w:pPr>
        <w:pStyle w:val="BodyText"/>
      </w:pPr>
      <w:r>
        <w:t>Under section 15(1) of the OIA, agencies must make and communicate the decision on a</w:t>
      </w:r>
      <w:r w:rsidR="00E37069">
        <w:t>n official information</w:t>
      </w:r>
      <w:r>
        <w:t xml:space="preserve"> request as soon as reasonably practicable and no later than 20 working days after it was received, unless that time limit is extended in accordance with section 15A</w:t>
      </w:r>
      <w:r w:rsidR="00352F57">
        <w:t xml:space="preserve"> of the OIA</w:t>
      </w:r>
      <w:r>
        <w:t>.</w:t>
      </w:r>
    </w:p>
    <w:p w:rsidR="00945EC3" w:rsidRDefault="007502EC" w:rsidP="00647399">
      <w:pPr>
        <w:pStyle w:val="BodyText"/>
      </w:pPr>
      <w:r>
        <w:t xml:space="preserve">The Ombudsman asked </w:t>
      </w:r>
      <w:r w:rsidR="003C4525">
        <w:t>the Board</w:t>
      </w:r>
      <w:r w:rsidR="00900818">
        <w:t xml:space="preserve"> w</w:t>
      </w:r>
      <w:r>
        <w:t xml:space="preserve">hy it had taken a further 30 working days from the day that the </w:t>
      </w:r>
      <w:r w:rsidR="00A00805">
        <w:t xml:space="preserve">complainant </w:t>
      </w:r>
      <w:r>
        <w:t>had contacted the Board for a decision to be</w:t>
      </w:r>
      <w:r w:rsidR="007B5289">
        <w:t xml:space="preserve"> made and</w:t>
      </w:r>
      <w:r>
        <w:t xml:space="preserve"> communicated</w:t>
      </w:r>
      <w:r w:rsidR="007B5289">
        <w:t xml:space="preserve"> to the </w:t>
      </w:r>
      <w:r w:rsidR="00A00805">
        <w:t>complainant</w:t>
      </w:r>
      <w:r>
        <w:t xml:space="preserve">, and </w:t>
      </w:r>
      <w:r w:rsidR="003C4525">
        <w:t xml:space="preserve">whether </w:t>
      </w:r>
      <w:r>
        <w:t>the Board w</w:t>
      </w:r>
      <w:r w:rsidR="007B5289">
        <w:t>as</w:t>
      </w:r>
      <w:r w:rsidR="00B95283">
        <w:t xml:space="preserve"> intending to provide a full </w:t>
      </w:r>
      <w:r>
        <w:t xml:space="preserve">explanation </w:t>
      </w:r>
      <w:r w:rsidR="007B5289">
        <w:t xml:space="preserve">for the delay to the </w:t>
      </w:r>
      <w:r w:rsidR="00A00805">
        <w:t>complainant</w:t>
      </w:r>
      <w:r w:rsidR="007B5289">
        <w:t>.</w:t>
      </w:r>
      <w:r w:rsidR="00E151E7">
        <w:t xml:space="preserve"> </w:t>
      </w:r>
    </w:p>
    <w:p w:rsidR="00E151E7" w:rsidRDefault="003C4525" w:rsidP="00647399">
      <w:pPr>
        <w:pStyle w:val="BodyText"/>
      </w:pPr>
      <w:r>
        <w:t>T</w:t>
      </w:r>
      <w:r w:rsidR="00E151E7">
        <w:t xml:space="preserve">he Board confirmed that upon receiving the </w:t>
      </w:r>
      <w:r w:rsidR="00900818">
        <w:t xml:space="preserve">September 2021 </w:t>
      </w:r>
      <w:r w:rsidR="00E151E7">
        <w:t>email from the</w:t>
      </w:r>
      <w:r w:rsidR="00A00805">
        <w:t xml:space="preserve"> complainant</w:t>
      </w:r>
      <w:r w:rsidR="00E151E7">
        <w:t xml:space="preserve">, the request was logged and added to the OIA processing queue without priority. The Board offered </w:t>
      </w:r>
      <w:r w:rsidR="009D25BD">
        <w:t xml:space="preserve">the Ombudsman </w:t>
      </w:r>
      <w:r w:rsidR="00E151E7">
        <w:t>a further explan</w:t>
      </w:r>
      <w:r w:rsidR="00B95283">
        <w:t>ation as to the circumstances that led to</w:t>
      </w:r>
      <w:r w:rsidR="00E151E7">
        <w:t xml:space="preserve"> the delay, but did not provide </w:t>
      </w:r>
      <w:r w:rsidR="00B95283">
        <w:t>the same explanation</w:t>
      </w:r>
      <w:r w:rsidR="00E151E7">
        <w:t xml:space="preserve"> to the </w:t>
      </w:r>
      <w:r w:rsidR="00A00805">
        <w:t>complainant</w:t>
      </w:r>
      <w:r w:rsidR="00E151E7">
        <w:t>.</w:t>
      </w:r>
    </w:p>
    <w:p w:rsidR="00E77A82" w:rsidRDefault="00E77A82" w:rsidP="00E77A82">
      <w:pPr>
        <w:pStyle w:val="Heading1"/>
      </w:pPr>
      <w:r>
        <w:t>Outcome</w:t>
      </w:r>
    </w:p>
    <w:p w:rsidR="006F1DCC" w:rsidRDefault="000A16D9" w:rsidP="006F1DCC">
      <w:pPr>
        <w:pStyle w:val="BodyText"/>
      </w:pPr>
      <w:r>
        <w:t>Noting</w:t>
      </w:r>
      <w:r w:rsidR="006F1DCC">
        <w:t xml:space="preserve"> a significant delay in making and communicating a decision to the complainant, t</w:t>
      </w:r>
      <w:r w:rsidR="00746774">
        <w:t xml:space="preserve">he Ombudsman </w:t>
      </w:r>
      <w:r w:rsidR="006D7DE1">
        <w:t xml:space="preserve">formed </w:t>
      </w:r>
      <w:r w:rsidR="000634C5">
        <w:t xml:space="preserve">the </w:t>
      </w:r>
      <w:r w:rsidR="00746774">
        <w:t>opinion that the Board acted ‘</w:t>
      </w:r>
      <w:r w:rsidR="00746774" w:rsidRPr="000634C5">
        <w:rPr>
          <w:rStyle w:val="Quotationwithinthesentence"/>
        </w:rPr>
        <w:t>contrary to law</w:t>
      </w:r>
      <w:r w:rsidR="00746774">
        <w:t>’</w:t>
      </w:r>
      <w:r w:rsidR="003C4525" w:rsidRPr="003C4525">
        <w:rPr>
          <w:rStyle w:val="FootnoteReference"/>
        </w:rPr>
        <w:footnoteReference w:id="2"/>
      </w:r>
      <w:r w:rsidR="00746774">
        <w:t xml:space="preserve"> by failing to comply with section 15(1) of the OIA within the </w:t>
      </w:r>
      <w:r w:rsidR="003C4525">
        <w:t>20 working</w:t>
      </w:r>
      <w:r w:rsidR="00A457A7">
        <w:t>-</w:t>
      </w:r>
      <w:r w:rsidR="003C4525">
        <w:t xml:space="preserve">day statutory </w:t>
      </w:r>
      <w:r w:rsidR="00746774">
        <w:t>time</w:t>
      </w:r>
      <w:r w:rsidR="003C4525">
        <w:t>frame</w:t>
      </w:r>
      <w:r w:rsidR="006F1DCC">
        <w:t>.</w:t>
      </w:r>
    </w:p>
    <w:p w:rsidR="00C5188C" w:rsidRDefault="006F1DCC" w:rsidP="00900818">
      <w:pPr>
        <w:pStyle w:val="BodyText"/>
      </w:pPr>
      <w:r>
        <w:t>Also</w:t>
      </w:r>
      <w:r w:rsidR="000634C5">
        <w:t>,</w:t>
      </w:r>
      <w:r>
        <w:t xml:space="preserve"> given </w:t>
      </w:r>
      <w:r w:rsidR="0000018A">
        <w:t>the</w:t>
      </w:r>
      <w:r w:rsidR="00C5188C">
        <w:t xml:space="preserve"> </w:t>
      </w:r>
      <w:r>
        <w:t xml:space="preserve">Board’s </w:t>
      </w:r>
      <w:r w:rsidR="000A16D9">
        <w:t xml:space="preserve">advice to the complainant </w:t>
      </w:r>
      <w:r w:rsidR="0000018A">
        <w:t>as to when the request was received</w:t>
      </w:r>
      <w:r>
        <w:t>,</w:t>
      </w:r>
      <w:r w:rsidR="0000018A">
        <w:t xml:space="preserve"> the </w:t>
      </w:r>
      <w:r>
        <w:t xml:space="preserve">Board </w:t>
      </w:r>
      <w:r w:rsidR="0000018A">
        <w:t>not afford</w:t>
      </w:r>
      <w:r>
        <w:t>ing</w:t>
      </w:r>
      <w:r w:rsidR="0000018A">
        <w:t xml:space="preserve"> the outstanding </w:t>
      </w:r>
      <w:r>
        <w:t xml:space="preserve">request </w:t>
      </w:r>
      <w:r w:rsidR="0000018A">
        <w:t>priority</w:t>
      </w:r>
      <w:r w:rsidR="00CD1025">
        <w:t xml:space="preserve"> in </w:t>
      </w:r>
      <w:r>
        <w:t>its</w:t>
      </w:r>
      <w:r w:rsidR="00CD1025">
        <w:t xml:space="preserve"> workload queue</w:t>
      </w:r>
      <w:r w:rsidR="0000018A">
        <w:t xml:space="preserve">, and the </w:t>
      </w:r>
      <w:r w:rsidR="000634C5">
        <w:t xml:space="preserve">Board’s </w:t>
      </w:r>
      <w:r w:rsidR="0000018A">
        <w:t>lack of a proper explanation given to the</w:t>
      </w:r>
      <w:r>
        <w:t xml:space="preserve"> complainant, </w:t>
      </w:r>
      <w:r w:rsidR="0000018A">
        <w:t>the Ombudsman recommended that the Board:</w:t>
      </w:r>
    </w:p>
    <w:p w:rsidR="00C5188C" w:rsidRDefault="000634C5" w:rsidP="00900818">
      <w:pPr>
        <w:pStyle w:val="Number1"/>
      </w:pPr>
      <w:r>
        <w:t>P</w:t>
      </w:r>
      <w:r w:rsidR="00C5188C">
        <w:t>rovide</w:t>
      </w:r>
      <w:r>
        <w:t xml:space="preserve"> </w:t>
      </w:r>
      <w:r w:rsidR="00C5188C">
        <w:t xml:space="preserve">the </w:t>
      </w:r>
      <w:r>
        <w:t xml:space="preserve">complainant </w:t>
      </w:r>
      <w:r w:rsidR="00C5188C">
        <w:t xml:space="preserve">with a full explanation as to </w:t>
      </w:r>
      <w:r w:rsidR="0000018A">
        <w:t>the circumstances that resulted in the delay in responding to her request; and</w:t>
      </w:r>
    </w:p>
    <w:p w:rsidR="0000018A" w:rsidRDefault="000A16D9" w:rsidP="00900818">
      <w:pPr>
        <w:pStyle w:val="Number1"/>
      </w:pPr>
      <w:r>
        <w:t>I</w:t>
      </w:r>
      <w:r w:rsidR="00CD1025">
        <w:t xml:space="preserve">n future </w:t>
      </w:r>
      <w:r w:rsidR="0000018A">
        <w:t>prioritise</w:t>
      </w:r>
      <w:r w:rsidR="00F34F33">
        <w:t xml:space="preserve"> its</w:t>
      </w:r>
      <w:r w:rsidR="0000018A">
        <w:t xml:space="preserve"> response to</w:t>
      </w:r>
      <w:r w:rsidR="00F34F33">
        <w:t xml:space="preserve"> any</w:t>
      </w:r>
      <w:r w:rsidR="0000018A">
        <w:t xml:space="preserve"> </w:t>
      </w:r>
      <w:r w:rsidR="00F34F33">
        <w:t xml:space="preserve">additional outstanding </w:t>
      </w:r>
      <w:r w:rsidR="000634C5">
        <w:t xml:space="preserve">OIA </w:t>
      </w:r>
      <w:r w:rsidR="0000018A">
        <w:t>requests not</w:t>
      </w:r>
      <w:r w:rsidR="00F34F33">
        <w:t xml:space="preserve"> initially</w:t>
      </w:r>
      <w:r w:rsidR="0000018A">
        <w:t xml:space="preserve"> </w:t>
      </w:r>
      <w:r w:rsidR="00F34F33">
        <w:t>logged or actioned appropriately.</w:t>
      </w:r>
    </w:p>
    <w:p w:rsidR="00B95283" w:rsidRDefault="006D7DE1" w:rsidP="003160E5">
      <w:pPr>
        <w:pStyle w:val="BodyText"/>
      </w:pPr>
      <w:r>
        <w:t>Subsequent to the Ombudsman’s opinion, t</w:t>
      </w:r>
      <w:r w:rsidR="00CD1025">
        <w:t xml:space="preserve">he Board </w:t>
      </w:r>
      <w:r w:rsidR="00F34F33">
        <w:t xml:space="preserve">wrote to the </w:t>
      </w:r>
      <w:r w:rsidR="006F1DCC">
        <w:t xml:space="preserve">complainant </w:t>
      </w:r>
      <w:r w:rsidR="00F34F33">
        <w:t xml:space="preserve">with a full explanation as to the circumstances that resulted in the delay in responding to her request. </w:t>
      </w:r>
    </w:p>
    <w:p w:rsidR="00F34F33" w:rsidRDefault="009D25BD" w:rsidP="003160E5">
      <w:pPr>
        <w:pStyle w:val="BodyText"/>
      </w:pPr>
      <w:r>
        <w:t>T</w:t>
      </w:r>
      <w:r w:rsidR="00F34F33">
        <w:t xml:space="preserve">he Board </w:t>
      </w:r>
      <w:r>
        <w:t xml:space="preserve">also </w:t>
      </w:r>
      <w:r w:rsidR="00B95283">
        <w:t xml:space="preserve">temporarily </w:t>
      </w:r>
      <w:r w:rsidR="00F34F33">
        <w:t xml:space="preserve">allocated an additional two staff members to work alongside its OIA </w:t>
      </w:r>
      <w:r w:rsidR="006F1DCC">
        <w:t>c</w:t>
      </w:r>
      <w:r w:rsidR="00F34F33">
        <w:t xml:space="preserve">oordinator to ensure that any outstanding requests </w:t>
      </w:r>
      <w:r w:rsidR="000634C5">
        <w:t>were</w:t>
      </w:r>
      <w:r w:rsidR="00B775C4">
        <w:t xml:space="preserve"> addressed and</w:t>
      </w:r>
      <w:r w:rsidR="00B95283">
        <w:t xml:space="preserve"> treated with priority while maintaining the capacity to respond to any new requests as per the statutory obligations of the OIA.</w:t>
      </w:r>
    </w:p>
    <w:p w:rsidR="003160E5" w:rsidRPr="003160E5" w:rsidRDefault="003160E5" w:rsidP="003160E5">
      <w:pPr>
        <w:pStyle w:val="BodyText"/>
        <w:rPr>
          <w:rStyle w:val="Italics"/>
        </w:rPr>
      </w:pPr>
      <w:r w:rsidRPr="003160E5">
        <w:rPr>
          <w:rStyle w:val="Italics"/>
        </w:rPr>
        <w:t xml:space="preserve">This case note is published under the authority of the </w:t>
      </w:r>
      <w:hyperlink r:id="rId8" w:history="1">
        <w:r w:rsidRPr="003160E5">
          <w:rPr>
            <w:rStyle w:val="HyperlinkSourceTextReference"/>
            <w:i/>
          </w:rPr>
          <w:t>Ombudsmen Rules 1989</w:t>
        </w:r>
      </w:hyperlink>
      <w:r w:rsidRPr="003160E5">
        <w:rPr>
          <w:rStyle w:val="Italics"/>
        </w:rPr>
        <w:t>.</w:t>
      </w:r>
      <w:r>
        <w:rPr>
          <w:rStyle w:val="Italics"/>
        </w:rPr>
        <w:t xml:space="preserve"> </w:t>
      </w:r>
      <w:r w:rsidRPr="003160E5">
        <w:rPr>
          <w:rStyle w:val="Italics"/>
        </w:rPr>
        <w:t>It sets out an Ombudsman’s view on the facts of a particular case. It should not be taken as establishing any legal precedent that would bind an Ombudsman in future.</w:t>
      </w:r>
    </w:p>
    <w:sectPr w:rsidR="003160E5" w:rsidRPr="003160E5" w:rsidSect="006D7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701" w:right="1304" w:bottom="1134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33" w:rsidRPr="00D45126" w:rsidRDefault="00764C33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764C33" w:rsidRPr="00D45126" w:rsidRDefault="00764C33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764C33" w:rsidRDefault="00764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DD" w:rsidRDefault="002B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Pr="0059155D" w:rsidRDefault="008A593E" w:rsidP="00B81F45">
    <w:pPr>
      <w:pStyle w:val="Footerline"/>
    </w:pPr>
  </w:p>
  <w:p w:rsidR="008A593E" w:rsidRPr="0059155D" w:rsidRDefault="008A593E" w:rsidP="00B81F45">
    <w:pPr>
      <w:pStyle w:val="Footerline"/>
    </w:pPr>
  </w:p>
  <w:p w:rsidR="008A593E" w:rsidRPr="005533D8" w:rsidRDefault="00036341" w:rsidP="00B81F45">
    <w:pPr>
      <w:pStyle w:val="Footer"/>
    </w:pPr>
    <w:fldSimple w:instr=" DOCVARIABLE  dvShortText ">
      <w:r w:rsidR="000A16D9">
        <w:t>Case note |</w:t>
      </w:r>
    </w:fldSimple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6D4512">
      <w:rPr>
        <w:rStyle w:val="PageNumber"/>
        <w:noProof/>
      </w:rPr>
      <w:t>2</w:t>
    </w:r>
    <w:r w:rsidR="008A593E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Pr="0059155D" w:rsidRDefault="008A593E" w:rsidP="00AA3322">
    <w:pPr>
      <w:pStyle w:val="Footerline"/>
    </w:pPr>
  </w:p>
  <w:p w:rsidR="008A593E" w:rsidRPr="0059155D" w:rsidRDefault="008A593E" w:rsidP="00AA3322">
    <w:pPr>
      <w:pStyle w:val="Footerline"/>
    </w:pPr>
  </w:p>
  <w:p w:rsidR="008A593E" w:rsidRPr="005533D8" w:rsidRDefault="00036341" w:rsidP="00AA3322">
    <w:pPr>
      <w:pStyle w:val="Footer"/>
    </w:pPr>
    <w:fldSimple w:instr=" DOCVARIABLE  dvShortText ">
      <w:r w:rsidR="000A16D9">
        <w:t>Case note |</w:t>
      </w:r>
    </w:fldSimple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764C33">
      <w:rPr>
        <w:rStyle w:val="PageNumber"/>
        <w:noProof/>
      </w:rPr>
      <w:t>1</w:t>
    </w:r>
    <w:r w:rsidR="008A593E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33" w:rsidRPr="00D45126" w:rsidRDefault="00764C33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764C33" w:rsidRPr="00C14083" w:rsidRDefault="00764C33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764C33" w:rsidRDefault="00764C33">
      <w:pPr>
        <w:spacing w:after="0" w:line="240" w:lineRule="auto"/>
      </w:pPr>
    </w:p>
  </w:footnote>
  <w:footnote w:id="2">
    <w:p w:rsidR="003C4525" w:rsidRDefault="003C4525" w:rsidP="003C45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See s 30(1)(b) OIA and s 22(1)(a) Ombudsmen Act</w:t>
      </w:r>
      <w:r w:rsidR="00DC0FF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DD" w:rsidRDefault="002B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Default="008A593E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8A593E" w:rsidRPr="00661EC9" w:rsidRDefault="008A593E" w:rsidP="00B81F45">
    <w:pPr>
      <w:pStyle w:val="Headerlin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Default="008A593E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9EC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88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DD47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4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7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9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5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6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9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1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3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17"/>
  </w:num>
  <w:num w:numId="9">
    <w:abstractNumId w:val="8"/>
  </w:num>
  <w:num w:numId="10">
    <w:abstractNumId w:val="11"/>
  </w:num>
  <w:num w:numId="11">
    <w:abstractNumId w:val="24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22"/>
  </w:num>
  <w:num w:numId="17">
    <w:abstractNumId w:val="18"/>
  </w:num>
  <w:num w:numId="18">
    <w:abstractNumId w:val="23"/>
  </w:num>
  <w:num w:numId="19">
    <w:abstractNumId w:val="15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4"/>
  </w:num>
  <w:num w:numId="25">
    <w:abstractNumId w:val="16"/>
  </w:num>
  <w:num w:numId="26">
    <w:abstractNumId w:val="7"/>
  </w:num>
  <w:num w:numId="27">
    <w:abstractNumId w:val="10"/>
  </w:num>
  <w:num w:numId="28">
    <w:abstractNumId w:val="2"/>
  </w:num>
  <w:num w:numId="29">
    <w:abstractNumId w:val="1"/>
  </w:num>
  <w:num w:numId="3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|"/>
    <w:docVar w:name="dvShortTextFrm" w:val="Case note"/>
    <w:docVar w:name="IsfirstTb" w:val="True"/>
    <w:docVar w:name="IsInTable" w:val="False"/>
    <w:docVar w:name="OOTOTemplate" w:val="OOTO General\Case note.dotm"/>
  </w:docVars>
  <w:rsids>
    <w:rsidRoot w:val="00F37A76"/>
    <w:rsid w:val="0000018A"/>
    <w:rsid w:val="00000AEE"/>
    <w:rsid w:val="0000164C"/>
    <w:rsid w:val="00002E2B"/>
    <w:rsid w:val="000048D2"/>
    <w:rsid w:val="0000771B"/>
    <w:rsid w:val="00011074"/>
    <w:rsid w:val="00013791"/>
    <w:rsid w:val="00021382"/>
    <w:rsid w:val="00024F53"/>
    <w:rsid w:val="00026A3B"/>
    <w:rsid w:val="000273F0"/>
    <w:rsid w:val="000328E9"/>
    <w:rsid w:val="00032A75"/>
    <w:rsid w:val="00035821"/>
    <w:rsid w:val="00036341"/>
    <w:rsid w:val="00040F52"/>
    <w:rsid w:val="00041615"/>
    <w:rsid w:val="000419C3"/>
    <w:rsid w:val="00045FD7"/>
    <w:rsid w:val="00046B63"/>
    <w:rsid w:val="00050123"/>
    <w:rsid w:val="00053114"/>
    <w:rsid w:val="00057C4D"/>
    <w:rsid w:val="000634C5"/>
    <w:rsid w:val="00064CFD"/>
    <w:rsid w:val="00065881"/>
    <w:rsid w:val="000822C8"/>
    <w:rsid w:val="00084FC2"/>
    <w:rsid w:val="000929F9"/>
    <w:rsid w:val="00093C9D"/>
    <w:rsid w:val="00094D1D"/>
    <w:rsid w:val="0009569A"/>
    <w:rsid w:val="000965D2"/>
    <w:rsid w:val="00097211"/>
    <w:rsid w:val="00097E3A"/>
    <w:rsid w:val="000A084B"/>
    <w:rsid w:val="000A16D9"/>
    <w:rsid w:val="000A18DA"/>
    <w:rsid w:val="000A39DB"/>
    <w:rsid w:val="000A4639"/>
    <w:rsid w:val="000A56A9"/>
    <w:rsid w:val="000B43C3"/>
    <w:rsid w:val="000B60ED"/>
    <w:rsid w:val="000C2A01"/>
    <w:rsid w:val="000C487C"/>
    <w:rsid w:val="000D3B26"/>
    <w:rsid w:val="000D4757"/>
    <w:rsid w:val="000D5790"/>
    <w:rsid w:val="000D6DA5"/>
    <w:rsid w:val="000D6FA6"/>
    <w:rsid w:val="000E04C0"/>
    <w:rsid w:val="000E2563"/>
    <w:rsid w:val="000E2C2F"/>
    <w:rsid w:val="000E357E"/>
    <w:rsid w:val="000E36A8"/>
    <w:rsid w:val="000E48F3"/>
    <w:rsid w:val="000F09B0"/>
    <w:rsid w:val="000F27A2"/>
    <w:rsid w:val="000F32C4"/>
    <w:rsid w:val="000F358E"/>
    <w:rsid w:val="000F496B"/>
    <w:rsid w:val="000F4A8C"/>
    <w:rsid w:val="000F5D79"/>
    <w:rsid w:val="00100392"/>
    <w:rsid w:val="00106403"/>
    <w:rsid w:val="001110B8"/>
    <w:rsid w:val="0011146D"/>
    <w:rsid w:val="00114C6B"/>
    <w:rsid w:val="00114C7F"/>
    <w:rsid w:val="00123968"/>
    <w:rsid w:val="001244A8"/>
    <w:rsid w:val="00134987"/>
    <w:rsid w:val="00140996"/>
    <w:rsid w:val="00140DAC"/>
    <w:rsid w:val="00144C1B"/>
    <w:rsid w:val="00150AD4"/>
    <w:rsid w:val="00151F5B"/>
    <w:rsid w:val="00157E61"/>
    <w:rsid w:val="001602AB"/>
    <w:rsid w:val="00160E82"/>
    <w:rsid w:val="001643FB"/>
    <w:rsid w:val="00166C30"/>
    <w:rsid w:val="00167506"/>
    <w:rsid w:val="0017216A"/>
    <w:rsid w:val="001753BE"/>
    <w:rsid w:val="001760FC"/>
    <w:rsid w:val="00177807"/>
    <w:rsid w:val="001822E3"/>
    <w:rsid w:val="00184B58"/>
    <w:rsid w:val="00186A52"/>
    <w:rsid w:val="001872A2"/>
    <w:rsid w:val="00187D74"/>
    <w:rsid w:val="00190A34"/>
    <w:rsid w:val="00191044"/>
    <w:rsid w:val="001922D6"/>
    <w:rsid w:val="00193B7F"/>
    <w:rsid w:val="00194237"/>
    <w:rsid w:val="00194280"/>
    <w:rsid w:val="001944D8"/>
    <w:rsid w:val="001954BF"/>
    <w:rsid w:val="001968B6"/>
    <w:rsid w:val="00197401"/>
    <w:rsid w:val="001A265F"/>
    <w:rsid w:val="001A415D"/>
    <w:rsid w:val="001A4C19"/>
    <w:rsid w:val="001B1DCE"/>
    <w:rsid w:val="001B2F94"/>
    <w:rsid w:val="001B31CF"/>
    <w:rsid w:val="001B688C"/>
    <w:rsid w:val="001B7EC1"/>
    <w:rsid w:val="001C12AF"/>
    <w:rsid w:val="001C7F14"/>
    <w:rsid w:val="001E067E"/>
    <w:rsid w:val="001E16D0"/>
    <w:rsid w:val="001E4F78"/>
    <w:rsid w:val="001E795E"/>
    <w:rsid w:val="001F08E5"/>
    <w:rsid w:val="001F0C1C"/>
    <w:rsid w:val="001F0E26"/>
    <w:rsid w:val="001F14C5"/>
    <w:rsid w:val="001F20AE"/>
    <w:rsid w:val="001F6FC1"/>
    <w:rsid w:val="00200C37"/>
    <w:rsid w:val="00204247"/>
    <w:rsid w:val="00210377"/>
    <w:rsid w:val="0021064F"/>
    <w:rsid w:val="002151BC"/>
    <w:rsid w:val="00217F95"/>
    <w:rsid w:val="00220309"/>
    <w:rsid w:val="00221110"/>
    <w:rsid w:val="00221D0F"/>
    <w:rsid w:val="00222EA0"/>
    <w:rsid w:val="00224421"/>
    <w:rsid w:val="0023071A"/>
    <w:rsid w:val="00230FF4"/>
    <w:rsid w:val="00237679"/>
    <w:rsid w:val="00245ACC"/>
    <w:rsid w:val="00251056"/>
    <w:rsid w:val="00251456"/>
    <w:rsid w:val="00253466"/>
    <w:rsid w:val="002539A9"/>
    <w:rsid w:val="00257DA0"/>
    <w:rsid w:val="00262294"/>
    <w:rsid w:val="00263B2F"/>
    <w:rsid w:val="00270EC8"/>
    <w:rsid w:val="0027214C"/>
    <w:rsid w:val="00272307"/>
    <w:rsid w:val="00272886"/>
    <w:rsid w:val="00272EB5"/>
    <w:rsid w:val="00274E49"/>
    <w:rsid w:val="002819FD"/>
    <w:rsid w:val="00283493"/>
    <w:rsid w:val="00283CAD"/>
    <w:rsid w:val="00283D4E"/>
    <w:rsid w:val="00283F3B"/>
    <w:rsid w:val="002841A8"/>
    <w:rsid w:val="00284C51"/>
    <w:rsid w:val="002917E8"/>
    <w:rsid w:val="00292161"/>
    <w:rsid w:val="00295101"/>
    <w:rsid w:val="002A029F"/>
    <w:rsid w:val="002A1D84"/>
    <w:rsid w:val="002A67F4"/>
    <w:rsid w:val="002A7B22"/>
    <w:rsid w:val="002B0E1C"/>
    <w:rsid w:val="002B319F"/>
    <w:rsid w:val="002B48BA"/>
    <w:rsid w:val="002B5274"/>
    <w:rsid w:val="002B5D4E"/>
    <w:rsid w:val="002B60DD"/>
    <w:rsid w:val="002B6A20"/>
    <w:rsid w:val="002B6A6C"/>
    <w:rsid w:val="002B7379"/>
    <w:rsid w:val="002C0241"/>
    <w:rsid w:val="002C03DC"/>
    <w:rsid w:val="002C4624"/>
    <w:rsid w:val="002C54BA"/>
    <w:rsid w:val="002D00DA"/>
    <w:rsid w:val="002D09E7"/>
    <w:rsid w:val="002D4A7A"/>
    <w:rsid w:val="002D6610"/>
    <w:rsid w:val="002D6E92"/>
    <w:rsid w:val="002D707B"/>
    <w:rsid w:val="002E1AEB"/>
    <w:rsid w:val="002E617A"/>
    <w:rsid w:val="002E6678"/>
    <w:rsid w:val="002E6923"/>
    <w:rsid w:val="002F1071"/>
    <w:rsid w:val="002F2103"/>
    <w:rsid w:val="002F2702"/>
    <w:rsid w:val="002F510A"/>
    <w:rsid w:val="002F7D54"/>
    <w:rsid w:val="003002CA"/>
    <w:rsid w:val="0030460D"/>
    <w:rsid w:val="00307592"/>
    <w:rsid w:val="00313ABD"/>
    <w:rsid w:val="003160E5"/>
    <w:rsid w:val="00316CF6"/>
    <w:rsid w:val="00317D8B"/>
    <w:rsid w:val="00320E2B"/>
    <w:rsid w:val="00321801"/>
    <w:rsid w:val="00321D36"/>
    <w:rsid w:val="003374ED"/>
    <w:rsid w:val="00342CEE"/>
    <w:rsid w:val="003516B6"/>
    <w:rsid w:val="00352F57"/>
    <w:rsid w:val="0035756E"/>
    <w:rsid w:val="0036078D"/>
    <w:rsid w:val="003612FC"/>
    <w:rsid w:val="00363187"/>
    <w:rsid w:val="003636DB"/>
    <w:rsid w:val="00365CA6"/>
    <w:rsid w:val="00367A88"/>
    <w:rsid w:val="00371B5E"/>
    <w:rsid w:val="003723B3"/>
    <w:rsid w:val="00373DCE"/>
    <w:rsid w:val="0037732A"/>
    <w:rsid w:val="0037742F"/>
    <w:rsid w:val="00377D53"/>
    <w:rsid w:val="003808C4"/>
    <w:rsid w:val="00381FBC"/>
    <w:rsid w:val="00382244"/>
    <w:rsid w:val="003832EA"/>
    <w:rsid w:val="00383460"/>
    <w:rsid w:val="00385BCC"/>
    <w:rsid w:val="00385F42"/>
    <w:rsid w:val="00396770"/>
    <w:rsid w:val="003967AB"/>
    <w:rsid w:val="003A1465"/>
    <w:rsid w:val="003A4539"/>
    <w:rsid w:val="003A4EB3"/>
    <w:rsid w:val="003B46E7"/>
    <w:rsid w:val="003C1714"/>
    <w:rsid w:val="003C2059"/>
    <w:rsid w:val="003C4525"/>
    <w:rsid w:val="003C5070"/>
    <w:rsid w:val="003D02D4"/>
    <w:rsid w:val="003D139D"/>
    <w:rsid w:val="003D6A2B"/>
    <w:rsid w:val="003D7D3A"/>
    <w:rsid w:val="003E19E9"/>
    <w:rsid w:val="003E433B"/>
    <w:rsid w:val="003E4400"/>
    <w:rsid w:val="003E51DA"/>
    <w:rsid w:val="003E5BC8"/>
    <w:rsid w:val="003E6107"/>
    <w:rsid w:val="003E7D56"/>
    <w:rsid w:val="003F0032"/>
    <w:rsid w:val="003F0E79"/>
    <w:rsid w:val="003F3280"/>
    <w:rsid w:val="003F7B31"/>
    <w:rsid w:val="00400410"/>
    <w:rsid w:val="00404C91"/>
    <w:rsid w:val="00405E1E"/>
    <w:rsid w:val="00406000"/>
    <w:rsid w:val="004061BA"/>
    <w:rsid w:val="00410181"/>
    <w:rsid w:val="004118FD"/>
    <w:rsid w:val="00411A78"/>
    <w:rsid w:val="004213E5"/>
    <w:rsid w:val="00424DBC"/>
    <w:rsid w:val="004302DE"/>
    <w:rsid w:val="00431860"/>
    <w:rsid w:val="00433038"/>
    <w:rsid w:val="00433F89"/>
    <w:rsid w:val="00442610"/>
    <w:rsid w:val="004426B5"/>
    <w:rsid w:val="00444754"/>
    <w:rsid w:val="00452CEF"/>
    <w:rsid w:val="00462213"/>
    <w:rsid w:val="00464DEF"/>
    <w:rsid w:val="00465438"/>
    <w:rsid w:val="00467645"/>
    <w:rsid w:val="004752AF"/>
    <w:rsid w:val="00485E2C"/>
    <w:rsid w:val="004873B4"/>
    <w:rsid w:val="004903E8"/>
    <w:rsid w:val="00490F12"/>
    <w:rsid w:val="00491852"/>
    <w:rsid w:val="0049294C"/>
    <w:rsid w:val="004938CA"/>
    <w:rsid w:val="00493EE8"/>
    <w:rsid w:val="00494124"/>
    <w:rsid w:val="004978CE"/>
    <w:rsid w:val="004A2B8E"/>
    <w:rsid w:val="004A3DD0"/>
    <w:rsid w:val="004A5E3E"/>
    <w:rsid w:val="004A60D8"/>
    <w:rsid w:val="004A717A"/>
    <w:rsid w:val="004B1CFB"/>
    <w:rsid w:val="004B3108"/>
    <w:rsid w:val="004B5B00"/>
    <w:rsid w:val="004B6762"/>
    <w:rsid w:val="004B6DF7"/>
    <w:rsid w:val="004C748E"/>
    <w:rsid w:val="004D3A9D"/>
    <w:rsid w:val="004D417F"/>
    <w:rsid w:val="004D4947"/>
    <w:rsid w:val="004D4CCB"/>
    <w:rsid w:val="004D6360"/>
    <w:rsid w:val="004E37DF"/>
    <w:rsid w:val="004E4498"/>
    <w:rsid w:val="004F143B"/>
    <w:rsid w:val="004F5787"/>
    <w:rsid w:val="0050347A"/>
    <w:rsid w:val="00503E51"/>
    <w:rsid w:val="005054E0"/>
    <w:rsid w:val="005102D8"/>
    <w:rsid w:val="00512CAE"/>
    <w:rsid w:val="00512D27"/>
    <w:rsid w:val="00515585"/>
    <w:rsid w:val="00515C43"/>
    <w:rsid w:val="00517AD4"/>
    <w:rsid w:val="00520431"/>
    <w:rsid w:val="0052262C"/>
    <w:rsid w:val="0053285B"/>
    <w:rsid w:val="0053394E"/>
    <w:rsid w:val="005409E7"/>
    <w:rsid w:val="00541023"/>
    <w:rsid w:val="00546792"/>
    <w:rsid w:val="00554E50"/>
    <w:rsid w:val="00554FCD"/>
    <w:rsid w:val="00561DA3"/>
    <w:rsid w:val="005661BE"/>
    <w:rsid w:val="005671A5"/>
    <w:rsid w:val="00570439"/>
    <w:rsid w:val="00570CA3"/>
    <w:rsid w:val="005719C4"/>
    <w:rsid w:val="00573D48"/>
    <w:rsid w:val="005758E8"/>
    <w:rsid w:val="005772F4"/>
    <w:rsid w:val="005777E2"/>
    <w:rsid w:val="005804D9"/>
    <w:rsid w:val="005805BA"/>
    <w:rsid w:val="005820EE"/>
    <w:rsid w:val="005830DE"/>
    <w:rsid w:val="00585315"/>
    <w:rsid w:val="00585B6A"/>
    <w:rsid w:val="00590C6E"/>
    <w:rsid w:val="005910D7"/>
    <w:rsid w:val="005935A5"/>
    <w:rsid w:val="00595347"/>
    <w:rsid w:val="00596025"/>
    <w:rsid w:val="005975D0"/>
    <w:rsid w:val="005A1D8F"/>
    <w:rsid w:val="005A2E1B"/>
    <w:rsid w:val="005B1169"/>
    <w:rsid w:val="005B6E2F"/>
    <w:rsid w:val="005B7F25"/>
    <w:rsid w:val="005C4DB4"/>
    <w:rsid w:val="005C76DD"/>
    <w:rsid w:val="005C7BA2"/>
    <w:rsid w:val="005D03D0"/>
    <w:rsid w:val="005D053D"/>
    <w:rsid w:val="005D525E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70F0"/>
    <w:rsid w:val="00600603"/>
    <w:rsid w:val="00604BDC"/>
    <w:rsid w:val="00606871"/>
    <w:rsid w:val="006077BF"/>
    <w:rsid w:val="00607EC0"/>
    <w:rsid w:val="0061020F"/>
    <w:rsid w:val="00610FD3"/>
    <w:rsid w:val="00611625"/>
    <w:rsid w:val="006120A8"/>
    <w:rsid w:val="00615CE0"/>
    <w:rsid w:val="00616CEE"/>
    <w:rsid w:val="00617F04"/>
    <w:rsid w:val="00621FD1"/>
    <w:rsid w:val="0062506B"/>
    <w:rsid w:val="006279D4"/>
    <w:rsid w:val="00627E11"/>
    <w:rsid w:val="00631B80"/>
    <w:rsid w:val="00640FA7"/>
    <w:rsid w:val="006442C9"/>
    <w:rsid w:val="00644A97"/>
    <w:rsid w:val="00644B46"/>
    <w:rsid w:val="0064708D"/>
    <w:rsid w:val="00647399"/>
    <w:rsid w:val="006473DE"/>
    <w:rsid w:val="00655FF5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42AB"/>
    <w:rsid w:val="00684E32"/>
    <w:rsid w:val="00685B6A"/>
    <w:rsid w:val="00687159"/>
    <w:rsid w:val="00691335"/>
    <w:rsid w:val="006920D5"/>
    <w:rsid w:val="006942F3"/>
    <w:rsid w:val="00697F10"/>
    <w:rsid w:val="006A05F7"/>
    <w:rsid w:val="006A12AA"/>
    <w:rsid w:val="006A5545"/>
    <w:rsid w:val="006A5CB2"/>
    <w:rsid w:val="006B2725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4512"/>
    <w:rsid w:val="006D78E8"/>
    <w:rsid w:val="006D7DE1"/>
    <w:rsid w:val="006E05C4"/>
    <w:rsid w:val="006E190D"/>
    <w:rsid w:val="006E1BFE"/>
    <w:rsid w:val="006E5E11"/>
    <w:rsid w:val="006F1C9F"/>
    <w:rsid w:val="006F1DCC"/>
    <w:rsid w:val="006F2DED"/>
    <w:rsid w:val="006F51DC"/>
    <w:rsid w:val="007012C8"/>
    <w:rsid w:val="00703C65"/>
    <w:rsid w:val="00710CB9"/>
    <w:rsid w:val="00712C05"/>
    <w:rsid w:val="00714679"/>
    <w:rsid w:val="00714EBA"/>
    <w:rsid w:val="00715819"/>
    <w:rsid w:val="00717711"/>
    <w:rsid w:val="00717A58"/>
    <w:rsid w:val="00717B0B"/>
    <w:rsid w:val="0072077B"/>
    <w:rsid w:val="007251D7"/>
    <w:rsid w:val="0072665E"/>
    <w:rsid w:val="0073150C"/>
    <w:rsid w:val="0073197D"/>
    <w:rsid w:val="00733DAC"/>
    <w:rsid w:val="00734E9C"/>
    <w:rsid w:val="007370C8"/>
    <w:rsid w:val="0073772C"/>
    <w:rsid w:val="00743E91"/>
    <w:rsid w:val="00746774"/>
    <w:rsid w:val="007502EC"/>
    <w:rsid w:val="00753648"/>
    <w:rsid w:val="007539DA"/>
    <w:rsid w:val="00760461"/>
    <w:rsid w:val="00763D2B"/>
    <w:rsid w:val="00764619"/>
    <w:rsid w:val="00764C33"/>
    <w:rsid w:val="00773694"/>
    <w:rsid w:val="007742E0"/>
    <w:rsid w:val="0077590F"/>
    <w:rsid w:val="00776236"/>
    <w:rsid w:val="00776A46"/>
    <w:rsid w:val="00777829"/>
    <w:rsid w:val="0078036A"/>
    <w:rsid w:val="00780970"/>
    <w:rsid w:val="00780D07"/>
    <w:rsid w:val="007842BB"/>
    <w:rsid w:val="0079659E"/>
    <w:rsid w:val="007A0E41"/>
    <w:rsid w:val="007A395C"/>
    <w:rsid w:val="007A6586"/>
    <w:rsid w:val="007A6F0A"/>
    <w:rsid w:val="007A7020"/>
    <w:rsid w:val="007A74A0"/>
    <w:rsid w:val="007B4F3B"/>
    <w:rsid w:val="007B5289"/>
    <w:rsid w:val="007B755F"/>
    <w:rsid w:val="007C3BDA"/>
    <w:rsid w:val="007C5CD4"/>
    <w:rsid w:val="007C679B"/>
    <w:rsid w:val="007C7995"/>
    <w:rsid w:val="007D3C1B"/>
    <w:rsid w:val="007D4081"/>
    <w:rsid w:val="007D5753"/>
    <w:rsid w:val="007D76FD"/>
    <w:rsid w:val="007E01D2"/>
    <w:rsid w:val="007E1397"/>
    <w:rsid w:val="007E58A0"/>
    <w:rsid w:val="007F760D"/>
    <w:rsid w:val="00800219"/>
    <w:rsid w:val="0080047F"/>
    <w:rsid w:val="0080145D"/>
    <w:rsid w:val="00802414"/>
    <w:rsid w:val="00803CA9"/>
    <w:rsid w:val="00812748"/>
    <w:rsid w:val="00813A70"/>
    <w:rsid w:val="00820C9C"/>
    <w:rsid w:val="008242EE"/>
    <w:rsid w:val="00825420"/>
    <w:rsid w:val="00825D06"/>
    <w:rsid w:val="00830680"/>
    <w:rsid w:val="00831A4E"/>
    <w:rsid w:val="00831EBB"/>
    <w:rsid w:val="00833247"/>
    <w:rsid w:val="00837EA6"/>
    <w:rsid w:val="008429D3"/>
    <w:rsid w:val="00844F64"/>
    <w:rsid w:val="00846794"/>
    <w:rsid w:val="00846D79"/>
    <w:rsid w:val="00856DF0"/>
    <w:rsid w:val="00860B01"/>
    <w:rsid w:val="00861C91"/>
    <w:rsid w:val="00872924"/>
    <w:rsid w:val="008841B5"/>
    <w:rsid w:val="00884716"/>
    <w:rsid w:val="00887AA8"/>
    <w:rsid w:val="0089080C"/>
    <w:rsid w:val="0089241F"/>
    <w:rsid w:val="00892DF8"/>
    <w:rsid w:val="00893A27"/>
    <w:rsid w:val="00893E45"/>
    <w:rsid w:val="00896D19"/>
    <w:rsid w:val="008A593E"/>
    <w:rsid w:val="008B0D20"/>
    <w:rsid w:val="008B0F15"/>
    <w:rsid w:val="008B1687"/>
    <w:rsid w:val="008B1A1F"/>
    <w:rsid w:val="008B3D95"/>
    <w:rsid w:val="008B3DAA"/>
    <w:rsid w:val="008B4AAA"/>
    <w:rsid w:val="008B76D2"/>
    <w:rsid w:val="008C3437"/>
    <w:rsid w:val="008C569D"/>
    <w:rsid w:val="008C7455"/>
    <w:rsid w:val="008D2D01"/>
    <w:rsid w:val="008D349D"/>
    <w:rsid w:val="008D7744"/>
    <w:rsid w:val="008E0636"/>
    <w:rsid w:val="008E0999"/>
    <w:rsid w:val="008E186D"/>
    <w:rsid w:val="008E1EF0"/>
    <w:rsid w:val="008E6C86"/>
    <w:rsid w:val="008F17E0"/>
    <w:rsid w:val="008F2893"/>
    <w:rsid w:val="008F614F"/>
    <w:rsid w:val="008F746D"/>
    <w:rsid w:val="00900818"/>
    <w:rsid w:val="00903FCC"/>
    <w:rsid w:val="009135B5"/>
    <w:rsid w:val="0092033B"/>
    <w:rsid w:val="009203C6"/>
    <w:rsid w:val="00923ED7"/>
    <w:rsid w:val="0092445C"/>
    <w:rsid w:val="009300E6"/>
    <w:rsid w:val="009319DE"/>
    <w:rsid w:val="00934224"/>
    <w:rsid w:val="00934443"/>
    <w:rsid w:val="0093534C"/>
    <w:rsid w:val="00935540"/>
    <w:rsid w:val="00936C1D"/>
    <w:rsid w:val="009401E4"/>
    <w:rsid w:val="00942420"/>
    <w:rsid w:val="009438B5"/>
    <w:rsid w:val="0094461F"/>
    <w:rsid w:val="00944B48"/>
    <w:rsid w:val="00945EC3"/>
    <w:rsid w:val="00946D1C"/>
    <w:rsid w:val="009639D4"/>
    <w:rsid w:val="009673FC"/>
    <w:rsid w:val="00967D11"/>
    <w:rsid w:val="00970955"/>
    <w:rsid w:val="00971749"/>
    <w:rsid w:val="00971D0C"/>
    <w:rsid w:val="00974ABE"/>
    <w:rsid w:val="009779D9"/>
    <w:rsid w:val="00981DFE"/>
    <w:rsid w:val="009826E4"/>
    <w:rsid w:val="009909DF"/>
    <w:rsid w:val="0099196C"/>
    <w:rsid w:val="0099197D"/>
    <w:rsid w:val="00991F34"/>
    <w:rsid w:val="00994CBB"/>
    <w:rsid w:val="009954CB"/>
    <w:rsid w:val="00995755"/>
    <w:rsid w:val="009A66D4"/>
    <w:rsid w:val="009B47B9"/>
    <w:rsid w:val="009C1083"/>
    <w:rsid w:val="009C1890"/>
    <w:rsid w:val="009C3499"/>
    <w:rsid w:val="009C375B"/>
    <w:rsid w:val="009C4723"/>
    <w:rsid w:val="009D25BD"/>
    <w:rsid w:val="009D6259"/>
    <w:rsid w:val="009E2446"/>
    <w:rsid w:val="009E3199"/>
    <w:rsid w:val="009E78E3"/>
    <w:rsid w:val="009F0996"/>
    <w:rsid w:val="009F261A"/>
    <w:rsid w:val="009F4E72"/>
    <w:rsid w:val="009F5C3C"/>
    <w:rsid w:val="009F68AD"/>
    <w:rsid w:val="00A004F0"/>
    <w:rsid w:val="00A00805"/>
    <w:rsid w:val="00A0089C"/>
    <w:rsid w:val="00A01B68"/>
    <w:rsid w:val="00A1091A"/>
    <w:rsid w:val="00A13DA1"/>
    <w:rsid w:val="00A14DEB"/>
    <w:rsid w:val="00A23242"/>
    <w:rsid w:val="00A30994"/>
    <w:rsid w:val="00A31D26"/>
    <w:rsid w:val="00A333DF"/>
    <w:rsid w:val="00A34057"/>
    <w:rsid w:val="00A34706"/>
    <w:rsid w:val="00A366ED"/>
    <w:rsid w:val="00A4087E"/>
    <w:rsid w:val="00A42ADC"/>
    <w:rsid w:val="00A442D7"/>
    <w:rsid w:val="00A457A7"/>
    <w:rsid w:val="00A47F79"/>
    <w:rsid w:val="00A511A1"/>
    <w:rsid w:val="00A52EBD"/>
    <w:rsid w:val="00A5469F"/>
    <w:rsid w:val="00A60F61"/>
    <w:rsid w:val="00A6506D"/>
    <w:rsid w:val="00A6655D"/>
    <w:rsid w:val="00A66569"/>
    <w:rsid w:val="00A7093F"/>
    <w:rsid w:val="00A76E5D"/>
    <w:rsid w:val="00A800F7"/>
    <w:rsid w:val="00A80669"/>
    <w:rsid w:val="00A818A6"/>
    <w:rsid w:val="00A83F11"/>
    <w:rsid w:val="00A86138"/>
    <w:rsid w:val="00A86F4E"/>
    <w:rsid w:val="00A92148"/>
    <w:rsid w:val="00A92165"/>
    <w:rsid w:val="00AA188D"/>
    <w:rsid w:val="00AA3322"/>
    <w:rsid w:val="00AA4FC3"/>
    <w:rsid w:val="00AA6D42"/>
    <w:rsid w:val="00AA7176"/>
    <w:rsid w:val="00AA73B6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E4AA9"/>
    <w:rsid w:val="00AE4F25"/>
    <w:rsid w:val="00AF00EA"/>
    <w:rsid w:val="00B0060F"/>
    <w:rsid w:val="00B03939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480C"/>
    <w:rsid w:val="00B3033C"/>
    <w:rsid w:val="00B31C12"/>
    <w:rsid w:val="00B32513"/>
    <w:rsid w:val="00B331A2"/>
    <w:rsid w:val="00B3509C"/>
    <w:rsid w:val="00B35C03"/>
    <w:rsid w:val="00B40B34"/>
    <w:rsid w:val="00B40E8C"/>
    <w:rsid w:val="00B41235"/>
    <w:rsid w:val="00B47034"/>
    <w:rsid w:val="00B47E06"/>
    <w:rsid w:val="00B52654"/>
    <w:rsid w:val="00B52EA2"/>
    <w:rsid w:val="00B54EDA"/>
    <w:rsid w:val="00B55CBE"/>
    <w:rsid w:val="00B57902"/>
    <w:rsid w:val="00B62B24"/>
    <w:rsid w:val="00B634ED"/>
    <w:rsid w:val="00B641D2"/>
    <w:rsid w:val="00B66DA1"/>
    <w:rsid w:val="00B66DB1"/>
    <w:rsid w:val="00B7053B"/>
    <w:rsid w:val="00B732D1"/>
    <w:rsid w:val="00B73CB0"/>
    <w:rsid w:val="00B7575F"/>
    <w:rsid w:val="00B76433"/>
    <w:rsid w:val="00B775C4"/>
    <w:rsid w:val="00B816FB"/>
    <w:rsid w:val="00B81F45"/>
    <w:rsid w:val="00B820D3"/>
    <w:rsid w:val="00B8255E"/>
    <w:rsid w:val="00B84178"/>
    <w:rsid w:val="00B923C1"/>
    <w:rsid w:val="00B92D10"/>
    <w:rsid w:val="00B943B4"/>
    <w:rsid w:val="00B95283"/>
    <w:rsid w:val="00B9569C"/>
    <w:rsid w:val="00B96F41"/>
    <w:rsid w:val="00BA1724"/>
    <w:rsid w:val="00BA1A63"/>
    <w:rsid w:val="00BA755A"/>
    <w:rsid w:val="00BB0529"/>
    <w:rsid w:val="00BB1A2F"/>
    <w:rsid w:val="00BB2E43"/>
    <w:rsid w:val="00BB31A4"/>
    <w:rsid w:val="00BB5F7D"/>
    <w:rsid w:val="00BB7C00"/>
    <w:rsid w:val="00BC1291"/>
    <w:rsid w:val="00BC467C"/>
    <w:rsid w:val="00BD191C"/>
    <w:rsid w:val="00BD58DE"/>
    <w:rsid w:val="00BD5CAD"/>
    <w:rsid w:val="00BD777E"/>
    <w:rsid w:val="00BE1C17"/>
    <w:rsid w:val="00BE3150"/>
    <w:rsid w:val="00BE35FD"/>
    <w:rsid w:val="00BE6576"/>
    <w:rsid w:val="00BE7B8B"/>
    <w:rsid w:val="00BE7E64"/>
    <w:rsid w:val="00BF11EB"/>
    <w:rsid w:val="00BF1B2F"/>
    <w:rsid w:val="00BF2754"/>
    <w:rsid w:val="00C01F2E"/>
    <w:rsid w:val="00C12935"/>
    <w:rsid w:val="00C14083"/>
    <w:rsid w:val="00C1755D"/>
    <w:rsid w:val="00C217A8"/>
    <w:rsid w:val="00C21D0B"/>
    <w:rsid w:val="00C21F16"/>
    <w:rsid w:val="00C25130"/>
    <w:rsid w:val="00C261B9"/>
    <w:rsid w:val="00C3029B"/>
    <w:rsid w:val="00C33861"/>
    <w:rsid w:val="00C35659"/>
    <w:rsid w:val="00C4007B"/>
    <w:rsid w:val="00C4225E"/>
    <w:rsid w:val="00C45B15"/>
    <w:rsid w:val="00C46E1D"/>
    <w:rsid w:val="00C5188C"/>
    <w:rsid w:val="00C521E5"/>
    <w:rsid w:val="00C56640"/>
    <w:rsid w:val="00C56705"/>
    <w:rsid w:val="00C57D9E"/>
    <w:rsid w:val="00C60934"/>
    <w:rsid w:val="00C617E9"/>
    <w:rsid w:val="00C635CF"/>
    <w:rsid w:val="00C67C99"/>
    <w:rsid w:val="00C7291C"/>
    <w:rsid w:val="00C72B74"/>
    <w:rsid w:val="00C72DEC"/>
    <w:rsid w:val="00C731DE"/>
    <w:rsid w:val="00C73C41"/>
    <w:rsid w:val="00C7438C"/>
    <w:rsid w:val="00C7744C"/>
    <w:rsid w:val="00C80876"/>
    <w:rsid w:val="00C81873"/>
    <w:rsid w:val="00C8417E"/>
    <w:rsid w:val="00C87D78"/>
    <w:rsid w:val="00C90823"/>
    <w:rsid w:val="00C91EA8"/>
    <w:rsid w:val="00CA4D71"/>
    <w:rsid w:val="00CA6C0F"/>
    <w:rsid w:val="00CB40CA"/>
    <w:rsid w:val="00CB5B96"/>
    <w:rsid w:val="00CC0EDA"/>
    <w:rsid w:val="00CC2157"/>
    <w:rsid w:val="00CC2369"/>
    <w:rsid w:val="00CC642D"/>
    <w:rsid w:val="00CC6CF0"/>
    <w:rsid w:val="00CC6CFD"/>
    <w:rsid w:val="00CC712E"/>
    <w:rsid w:val="00CD04FF"/>
    <w:rsid w:val="00CD1025"/>
    <w:rsid w:val="00CD23A0"/>
    <w:rsid w:val="00CD5BC4"/>
    <w:rsid w:val="00CD5F4F"/>
    <w:rsid w:val="00CD6DCF"/>
    <w:rsid w:val="00CD7106"/>
    <w:rsid w:val="00CD7F6E"/>
    <w:rsid w:val="00CE300A"/>
    <w:rsid w:val="00CE4A63"/>
    <w:rsid w:val="00CE5BDF"/>
    <w:rsid w:val="00CE70D9"/>
    <w:rsid w:val="00CE7ABA"/>
    <w:rsid w:val="00CF0EA3"/>
    <w:rsid w:val="00CF14EE"/>
    <w:rsid w:val="00CF4230"/>
    <w:rsid w:val="00CF6208"/>
    <w:rsid w:val="00D02730"/>
    <w:rsid w:val="00D034B7"/>
    <w:rsid w:val="00D044F7"/>
    <w:rsid w:val="00D045CA"/>
    <w:rsid w:val="00D05C0E"/>
    <w:rsid w:val="00D11117"/>
    <w:rsid w:val="00D12F64"/>
    <w:rsid w:val="00D137EC"/>
    <w:rsid w:val="00D15616"/>
    <w:rsid w:val="00D15AA4"/>
    <w:rsid w:val="00D15AB8"/>
    <w:rsid w:val="00D175DC"/>
    <w:rsid w:val="00D17F1C"/>
    <w:rsid w:val="00D207DB"/>
    <w:rsid w:val="00D20B4B"/>
    <w:rsid w:val="00D23927"/>
    <w:rsid w:val="00D266C4"/>
    <w:rsid w:val="00D268E7"/>
    <w:rsid w:val="00D271D3"/>
    <w:rsid w:val="00D31D2A"/>
    <w:rsid w:val="00D37EAB"/>
    <w:rsid w:val="00D41127"/>
    <w:rsid w:val="00D41EBB"/>
    <w:rsid w:val="00D44537"/>
    <w:rsid w:val="00D44CB1"/>
    <w:rsid w:val="00D45126"/>
    <w:rsid w:val="00D54F06"/>
    <w:rsid w:val="00D5554C"/>
    <w:rsid w:val="00D61F80"/>
    <w:rsid w:val="00D663CA"/>
    <w:rsid w:val="00D674E8"/>
    <w:rsid w:val="00D73B0A"/>
    <w:rsid w:val="00D75233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45D8"/>
    <w:rsid w:val="00DA57CD"/>
    <w:rsid w:val="00DB191E"/>
    <w:rsid w:val="00DB3266"/>
    <w:rsid w:val="00DB4ABD"/>
    <w:rsid w:val="00DB4B68"/>
    <w:rsid w:val="00DC0572"/>
    <w:rsid w:val="00DC0FFA"/>
    <w:rsid w:val="00DC47AB"/>
    <w:rsid w:val="00DC5336"/>
    <w:rsid w:val="00DD242D"/>
    <w:rsid w:val="00DD25BC"/>
    <w:rsid w:val="00DD2DE8"/>
    <w:rsid w:val="00DD3B93"/>
    <w:rsid w:val="00DD54DF"/>
    <w:rsid w:val="00DE17A1"/>
    <w:rsid w:val="00DE1F5C"/>
    <w:rsid w:val="00DE28BA"/>
    <w:rsid w:val="00DF3F06"/>
    <w:rsid w:val="00DF430D"/>
    <w:rsid w:val="00E06DD9"/>
    <w:rsid w:val="00E11C35"/>
    <w:rsid w:val="00E126C8"/>
    <w:rsid w:val="00E151E7"/>
    <w:rsid w:val="00E162D4"/>
    <w:rsid w:val="00E16FC1"/>
    <w:rsid w:val="00E30785"/>
    <w:rsid w:val="00E324A7"/>
    <w:rsid w:val="00E34AE0"/>
    <w:rsid w:val="00E3581D"/>
    <w:rsid w:val="00E37069"/>
    <w:rsid w:val="00E378A9"/>
    <w:rsid w:val="00E43E20"/>
    <w:rsid w:val="00E552A8"/>
    <w:rsid w:val="00E55601"/>
    <w:rsid w:val="00E70C42"/>
    <w:rsid w:val="00E71F94"/>
    <w:rsid w:val="00E7384F"/>
    <w:rsid w:val="00E7532C"/>
    <w:rsid w:val="00E76B7C"/>
    <w:rsid w:val="00E77A82"/>
    <w:rsid w:val="00E77C38"/>
    <w:rsid w:val="00E80BDD"/>
    <w:rsid w:val="00E80FB8"/>
    <w:rsid w:val="00E81675"/>
    <w:rsid w:val="00E83E7F"/>
    <w:rsid w:val="00E84EFF"/>
    <w:rsid w:val="00E850BC"/>
    <w:rsid w:val="00E85A54"/>
    <w:rsid w:val="00E86A30"/>
    <w:rsid w:val="00E87D2B"/>
    <w:rsid w:val="00E9395B"/>
    <w:rsid w:val="00E93E11"/>
    <w:rsid w:val="00E94844"/>
    <w:rsid w:val="00E9499F"/>
    <w:rsid w:val="00E96424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B4832"/>
    <w:rsid w:val="00EB50CB"/>
    <w:rsid w:val="00EC0268"/>
    <w:rsid w:val="00EC2BAC"/>
    <w:rsid w:val="00EC622D"/>
    <w:rsid w:val="00EC70DD"/>
    <w:rsid w:val="00ED0181"/>
    <w:rsid w:val="00ED06D1"/>
    <w:rsid w:val="00EE15A1"/>
    <w:rsid w:val="00EE5FF3"/>
    <w:rsid w:val="00EF0BE7"/>
    <w:rsid w:val="00EF13A7"/>
    <w:rsid w:val="00EF1DF3"/>
    <w:rsid w:val="00EF446F"/>
    <w:rsid w:val="00EF4786"/>
    <w:rsid w:val="00EF4E61"/>
    <w:rsid w:val="00F02EC2"/>
    <w:rsid w:val="00F03E2F"/>
    <w:rsid w:val="00F04A11"/>
    <w:rsid w:val="00F05438"/>
    <w:rsid w:val="00F11373"/>
    <w:rsid w:val="00F12913"/>
    <w:rsid w:val="00F14418"/>
    <w:rsid w:val="00F148B2"/>
    <w:rsid w:val="00F15F18"/>
    <w:rsid w:val="00F169F7"/>
    <w:rsid w:val="00F16C09"/>
    <w:rsid w:val="00F247BC"/>
    <w:rsid w:val="00F315AB"/>
    <w:rsid w:val="00F3226B"/>
    <w:rsid w:val="00F331AC"/>
    <w:rsid w:val="00F342C7"/>
    <w:rsid w:val="00F34F33"/>
    <w:rsid w:val="00F35C53"/>
    <w:rsid w:val="00F36627"/>
    <w:rsid w:val="00F37A76"/>
    <w:rsid w:val="00F417FD"/>
    <w:rsid w:val="00F45C25"/>
    <w:rsid w:val="00F4637E"/>
    <w:rsid w:val="00F46FF8"/>
    <w:rsid w:val="00F47A93"/>
    <w:rsid w:val="00F51502"/>
    <w:rsid w:val="00F55965"/>
    <w:rsid w:val="00F56FAE"/>
    <w:rsid w:val="00F57DBF"/>
    <w:rsid w:val="00F63084"/>
    <w:rsid w:val="00F720D6"/>
    <w:rsid w:val="00F75E07"/>
    <w:rsid w:val="00F76700"/>
    <w:rsid w:val="00F77137"/>
    <w:rsid w:val="00F777C7"/>
    <w:rsid w:val="00F8132B"/>
    <w:rsid w:val="00F84B6D"/>
    <w:rsid w:val="00F90E72"/>
    <w:rsid w:val="00F922BB"/>
    <w:rsid w:val="00F93B23"/>
    <w:rsid w:val="00F95E8E"/>
    <w:rsid w:val="00F96393"/>
    <w:rsid w:val="00F96FEC"/>
    <w:rsid w:val="00FA1072"/>
    <w:rsid w:val="00FA206A"/>
    <w:rsid w:val="00FA3979"/>
    <w:rsid w:val="00FA48B0"/>
    <w:rsid w:val="00FA59D2"/>
    <w:rsid w:val="00FB1F52"/>
    <w:rsid w:val="00FB23DD"/>
    <w:rsid w:val="00FB37A9"/>
    <w:rsid w:val="00FB41D2"/>
    <w:rsid w:val="00FC07DB"/>
    <w:rsid w:val="00FC61E0"/>
    <w:rsid w:val="00FC7E58"/>
    <w:rsid w:val="00FD3DA7"/>
    <w:rsid w:val="00FD662A"/>
    <w:rsid w:val="00FE0312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0F15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3160E5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60E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0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60E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160E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60E5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160E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0E5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160E5"/>
  </w:style>
  <w:style w:type="character" w:styleId="HTMLCite">
    <w:name w:val="HTML Cite"/>
    <w:basedOn w:val="DefaultParagraphFont"/>
    <w:uiPriority w:val="99"/>
    <w:semiHidden/>
    <w:unhideWhenUsed/>
    <w:rsid w:val="003160E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160E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160E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160E5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3160E5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60E5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0E5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3160E5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160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160E5"/>
  </w:style>
  <w:style w:type="paragraph" w:styleId="List">
    <w:name w:val="List"/>
    <w:basedOn w:val="Normal"/>
    <w:uiPriority w:val="99"/>
    <w:semiHidden/>
    <w:unhideWhenUsed/>
    <w:rsid w:val="003160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60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60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60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60E5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3160E5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60E5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rsid w:val="003160E5"/>
    <w:pPr>
      <w:numPr>
        <w:numId w:val="30"/>
      </w:numPr>
      <w:contextualSpacing/>
    </w:pPr>
  </w:style>
  <w:style w:type="table" w:styleId="ListTable1Light">
    <w:name w:val="List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16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60E5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6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60E5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160E5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3160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60E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60E5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3160E5"/>
    <w:rPr>
      <w:color w:val="808080"/>
    </w:rPr>
  </w:style>
  <w:style w:type="table" w:styleId="PlainTable1">
    <w:name w:val="Plain Table 1"/>
    <w:basedOn w:val="TableNormal"/>
    <w:uiPriority w:val="41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16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E5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160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0E5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60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60E5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60E5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qFormat/>
    <w:rsid w:val="003160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160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0E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160E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160E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160E5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60E5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60E5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16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60E5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0BEB-9081-49E7-8CAB-00BBC14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Background</vt:lpstr>
      <vt:lpstr>Preliminary inquiries and investigation</vt:lpstr>
      <vt:lpstr>Outcome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2022-06-14T21:55:00Z</dcterms:created>
  <dcterms:modified xsi:type="dcterms:W3CDTF">2022-06-14T21:55:00Z</dcterms:modified>
  <cp:contentStatus/>
</cp:coreProperties>
</file>