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C0" w:rsidRDefault="00C5354B" w:rsidP="00EA04C0">
      <w:pPr>
        <w:pStyle w:val="Heading1"/>
        <w:numPr>
          <w:ilvl w:val="0"/>
          <w:numId w:val="0"/>
        </w:numPr>
        <w:rPr>
          <w:sz w:val="44"/>
        </w:rPr>
      </w:pPr>
      <w:bookmarkStart w:id="0" w:name="_GoBack"/>
      <w:r>
        <w:rPr>
          <w:sz w:val="44"/>
        </w:rPr>
        <w:t>Work sheet for p</w:t>
      </w:r>
      <w:r w:rsidR="007E00BA" w:rsidRPr="007E00BA">
        <w:rPr>
          <w:sz w:val="44"/>
        </w:rPr>
        <w:t>rocessing requests for names of public sector employees</w:t>
      </w:r>
      <w:bookmarkEnd w:id="0"/>
    </w:p>
    <w:p w:rsidR="007E00BA" w:rsidRPr="007E00BA" w:rsidRDefault="007E00BA" w:rsidP="007E00BA">
      <w:pPr>
        <w:pStyle w:val="BodyText"/>
      </w:pPr>
    </w:p>
    <w:tbl>
      <w:tblPr>
        <w:tblStyle w:val="TableBox"/>
        <w:tblW w:w="9639" w:type="dxa"/>
        <w:tblInd w:w="142" w:type="dxa"/>
        <w:tblLayout w:type="fixed"/>
        <w:tblLook w:val="04A0" w:firstRow="1" w:lastRow="0" w:firstColumn="1" w:lastColumn="0" w:noHBand="0" w:noVBand="1"/>
        <w:tblCaption w:val="Box to emphasise text"/>
      </w:tblPr>
      <w:tblGrid>
        <w:gridCol w:w="9639"/>
      </w:tblGrid>
      <w:tr w:rsidR="00EA04C0" w:rsidTr="007E7D39">
        <w:trPr>
          <w:trHeight w:val="808"/>
        </w:trPr>
        <w:tc>
          <w:tcPr>
            <w:tcW w:w="9639" w:type="dxa"/>
          </w:tcPr>
          <w:p w:rsidR="008B505B" w:rsidRDefault="00B84CFA" w:rsidP="00B84CFA">
            <w:pPr>
              <w:pStyle w:val="Boxsmalltext"/>
            </w:pPr>
            <w:r w:rsidRPr="002A6596">
              <w:t xml:space="preserve">The Ombudsman’s general position is that there is usually no basis for withholding </w:t>
            </w:r>
            <w:r w:rsidRPr="008B505B">
              <w:t>staff names</w:t>
            </w:r>
            <w:r w:rsidRPr="002A6596">
              <w:t xml:space="preserve"> if all that would be revealed is what they did in their official capacity</w:t>
            </w:r>
            <w:r>
              <w:t xml:space="preserve">. </w:t>
            </w:r>
            <w:r w:rsidRPr="002A6596">
              <w:t xml:space="preserve">However, withholding staff names </w:t>
            </w:r>
            <w:r>
              <w:t>may</w:t>
            </w:r>
            <w:r w:rsidRPr="002A6596">
              <w:t xml:space="preserve"> be justified </w:t>
            </w:r>
            <w:r>
              <w:t xml:space="preserve">in particular circumstances. </w:t>
            </w:r>
          </w:p>
          <w:p w:rsidR="00EA04C0" w:rsidRDefault="00EA04C0" w:rsidP="00B84CFA">
            <w:pPr>
              <w:pStyle w:val="Boxsmalltext"/>
            </w:pPr>
            <w:r>
              <w:t xml:space="preserve">This work sheet will help you to decide whether </w:t>
            </w:r>
            <w:r w:rsidR="00B84CFA">
              <w:t>those circumstances</w:t>
            </w:r>
            <w:r w:rsidR="008B505B">
              <w:t xml:space="preserve"> are present </w:t>
            </w:r>
            <w:r w:rsidR="00B84CFA">
              <w:t xml:space="preserve">in a particular case. </w:t>
            </w:r>
            <w:r>
              <w:t xml:space="preserve">It covers the withholding grounds most likely to be relevant in this context. More detailed information is available in our </w:t>
            </w:r>
            <w:hyperlink r:id="rId7" w:history="1">
              <w:r w:rsidRPr="00EA04C0">
                <w:rPr>
                  <w:rStyle w:val="Hyperlink"/>
                  <w:i/>
                </w:rPr>
                <w:t xml:space="preserve">Names and contact details of public sector </w:t>
              </w:r>
              <w:proofErr w:type="gramStart"/>
              <w:r w:rsidRPr="00EA04C0">
                <w:rPr>
                  <w:rStyle w:val="Hyperlink"/>
                  <w:i/>
                </w:rPr>
                <w:t>employees</w:t>
              </w:r>
              <w:proofErr w:type="gramEnd"/>
            </w:hyperlink>
            <w:r>
              <w:t xml:space="preserve"> guide</w:t>
            </w:r>
            <w:r w:rsidR="00760523">
              <w:t>.</w:t>
            </w:r>
            <w:r>
              <w:t xml:space="preserve"> </w:t>
            </w:r>
          </w:p>
        </w:tc>
      </w:tr>
    </w:tbl>
    <w:p w:rsidR="00EA04C0" w:rsidRDefault="00EA04C0" w:rsidP="00EA04C0">
      <w:pPr>
        <w:pStyle w:val="Whitespace"/>
      </w:pPr>
    </w:p>
    <w:tbl>
      <w:tblPr>
        <w:tblStyle w:val="TableGrid"/>
        <w:tblW w:w="9668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2695"/>
        <w:gridCol w:w="6973"/>
      </w:tblGrid>
      <w:tr w:rsidR="00EA04C0" w:rsidRPr="009649B6" w:rsidTr="00EA0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695" w:type="dxa"/>
            <w:tcBorders>
              <w:left w:val="single" w:sz="4" w:space="0" w:color="A6A6A6" w:themeColor="background1" w:themeShade="A6"/>
            </w:tcBorders>
            <w:shd w:val="clear" w:color="auto" w:fill="D3D3D3"/>
          </w:tcPr>
          <w:p w:rsidR="00EA04C0" w:rsidRPr="00686426" w:rsidRDefault="00EA04C0" w:rsidP="00EA04C0">
            <w:pPr>
              <w:pStyle w:val="Boxsmallnumber-1"/>
              <w:widowControl w:val="0"/>
              <w:numPr>
                <w:ilvl w:val="0"/>
                <w:numId w:val="46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Consider whether there would </w:t>
            </w:r>
            <w:r w:rsidRPr="00686426">
              <w:rPr>
                <w:b/>
                <w:szCs w:val="24"/>
              </w:rPr>
              <w:t xml:space="preserve">be a harm </w:t>
            </w:r>
            <w:r>
              <w:rPr>
                <w:b/>
                <w:szCs w:val="24"/>
              </w:rPr>
              <w:t>if the names were released</w:t>
            </w:r>
          </w:p>
        </w:tc>
        <w:tc>
          <w:tcPr>
            <w:tcW w:w="697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EA04C0" w:rsidRPr="00686426" w:rsidRDefault="00EA04C0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>These factors can be considered in deciding whether there would be a harm if the names were released: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r w:rsidRPr="004F0790">
              <w:rPr>
                <w:sz w:val="24"/>
                <w:szCs w:val="24"/>
              </w:rPr>
              <w:t xml:space="preserve">the nature and content of the associated information; 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r w:rsidRPr="004F0790">
              <w:rPr>
                <w:sz w:val="24"/>
                <w:szCs w:val="24"/>
              </w:rPr>
              <w:t xml:space="preserve">whether the names are already known to the requester; 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r w:rsidRPr="004F0790">
              <w:rPr>
                <w:sz w:val="24"/>
                <w:szCs w:val="24"/>
              </w:rPr>
              <w:t xml:space="preserve">whether the names are in the public domain; 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r w:rsidRPr="004F0790">
              <w:rPr>
                <w:sz w:val="24"/>
                <w:szCs w:val="24"/>
              </w:rPr>
              <w:t>the seniority of the staff;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r w:rsidRPr="004F0790">
              <w:rPr>
                <w:sz w:val="24"/>
                <w:szCs w:val="24"/>
              </w:rPr>
              <w:t xml:space="preserve">the degree of their responsibility; 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r w:rsidRPr="004F0790">
              <w:rPr>
                <w:sz w:val="24"/>
                <w:szCs w:val="24"/>
              </w:rPr>
              <w:t xml:space="preserve">the nature of their role; 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r w:rsidRPr="004F0790">
              <w:rPr>
                <w:sz w:val="24"/>
                <w:szCs w:val="24"/>
              </w:rPr>
              <w:t>the</w:t>
            </w:r>
            <w:r w:rsidR="00760523">
              <w:rPr>
                <w:sz w:val="24"/>
                <w:szCs w:val="24"/>
              </w:rPr>
              <w:t>ir</w:t>
            </w:r>
            <w:r w:rsidRPr="004F0790">
              <w:rPr>
                <w:sz w:val="24"/>
                <w:szCs w:val="24"/>
              </w:rPr>
              <w:t xml:space="preserve"> views; 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r w:rsidRPr="004F0790">
              <w:rPr>
                <w:sz w:val="24"/>
                <w:szCs w:val="24"/>
              </w:rPr>
              <w:t xml:space="preserve">the potential for further dissemination; 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r w:rsidRPr="004F0790">
              <w:rPr>
                <w:sz w:val="24"/>
                <w:szCs w:val="24"/>
              </w:rPr>
              <w:t xml:space="preserve">previous conduct by the requester or others to whom there is a reasonable chance the information will be disclosed; and </w:t>
            </w:r>
          </w:p>
          <w:p w:rsidR="00EA04C0" w:rsidRPr="004F0790" w:rsidRDefault="00EA04C0" w:rsidP="007E7D39">
            <w:pPr>
              <w:pStyle w:val="Tablecheckbox2"/>
              <w:rPr>
                <w:sz w:val="24"/>
                <w:szCs w:val="24"/>
              </w:rPr>
            </w:pPr>
            <w:proofErr w:type="gramStart"/>
            <w:r w:rsidRPr="004F0790">
              <w:rPr>
                <w:sz w:val="24"/>
                <w:szCs w:val="24"/>
              </w:rPr>
              <w:t>the</w:t>
            </w:r>
            <w:proofErr w:type="gramEnd"/>
            <w:r w:rsidRPr="004F0790">
              <w:rPr>
                <w:sz w:val="24"/>
                <w:szCs w:val="24"/>
              </w:rPr>
              <w:t xml:space="preserve"> likely use of the information.</w:t>
            </w:r>
          </w:p>
          <w:p w:rsidR="00EA04C0" w:rsidRDefault="00EA04C0" w:rsidP="00EA04C0">
            <w:pPr>
              <w:pStyle w:val="Boxsmallbullet1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 xml:space="preserve">If </w:t>
            </w:r>
            <w:r w:rsidRPr="00686426">
              <w:rPr>
                <w:szCs w:val="24"/>
              </w:rPr>
              <w:t>you think release would</w:t>
            </w:r>
            <w:r>
              <w:rPr>
                <w:szCs w:val="24"/>
              </w:rPr>
              <w:t>:</w:t>
            </w:r>
          </w:p>
          <w:p w:rsidR="00EA04C0" w:rsidRDefault="00EA04C0" w:rsidP="00EA04C0">
            <w:pPr>
              <w:pStyle w:val="Boxsmallbullet2"/>
              <w:numPr>
                <w:ilvl w:val="1"/>
                <w:numId w:val="18"/>
              </w:numPr>
            </w:pPr>
            <w:r w:rsidRPr="00686426">
              <w:t xml:space="preserve">endanger the safety of the staff, go to </w:t>
            </w:r>
            <w:hyperlink w:anchor="safety" w:history="1">
              <w:r w:rsidRPr="00903C2E">
                <w:rPr>
                  <w:rStyle w:val="Hyperlink"/>
                  <w:szCs w:val="24"/>
                </w:rPr>
                <w:t xml:space="preserve">step </w:t>
              </w:r>
              <w:r>
                <w:rPr>
                  <w:rStyle w:val="Hyperlink"/>
                  <w:szCs w:val="24"/>
                </w:rPr>
                <w:t>2</w:t>
              </w:r>
            </w:hyperlink>
            <w:r>
              <w:t>;</w:t>
            </w:r>
          </w:p>
          <w:p w:rsidR="00EA04C0" w:rsidRPr="004F0790" w:rsidRDefault="00EA04C0" w:rsidP="00EA04C0">
            <w:pPr>
              <w:pStyle w:val="Boxsmallbullet2"/>
              <w:numPr>
                <w:ilvl w:val="1"/>
                <w:numId w:val="18"/>
              </w:numPr>
            </w:pPr>
            <w:r w:rsidRPr="004F0790">
              <w:rPr>
                <w:szCs w:val="24"/>
              </w:rPr>
              <w:t xml:space="preserve">lead to improper pressure or harassment, go to </w:t>
            </w:r>
            <w:hyperlink w:anchor="improper_pressure" w:history="1">
              <w:r w:rsidRPr="004F0790">
                <w:rPr>
                  <w:rStyle w:val="Hyperlink"/>
                  <w:szCs w:val="24"/>
                </w:rPr>
                <w:t xml:space="preserve">step </w:t>
              </w:r>
              <w:r>
                <w:rPr>
                  <w:rStyle w:val="Hyperlink"/>
                  <w:szCs w:val="24"/>
                </w:rPr>
                <w:t>3</w:t>
              </w:r>
            </w:hyperlink>
            <w:r>
              <w:rPr>
                <w:szCs w:val="24"/>
              </w:rPr>
              <w:t>;</w:t>
            </w:r>
            <w:r w:rsidR="008B505B">
              <w:rPr>
                <w:szCs w:val="24"/>
              </w:rPr>
              <w:t xml:space="preserve"> </w:t>
            </w:r>
          </w:p>
          <w:p w:rsidR="00EA04C0" w:rsidRPr="00686426" w:rsidRDefault="008B505B" w:rsidP="00EA04C0">
            <w:pPr>
              <w:pStyle w:val="Boxsmallbullet2"/>
              <w:numPr>
                <w:ilvl w:val="1"/>
                <w:numId w:val="18"/>
              </w:numPr>
              <w:rPr>
                <w:szCs w:val="24"/>
              </w:rPr>
            </w:pPr>
            <w:proofErr w:type="gramStart"/>
            <w:r>
              <w:rPr>
                <w:szCs w:val="24"/>
              </w:rPr>
              <w:t>infringe</w:t>
            </w:r>
            <w:proofErr w:type="gramEnd"/>
            <w:r w:rsidR="00EA04C0">
              <w:rPr>
                <w:szCs w:val="24"/>
              </w:rPr>
              <w:t xml:space="preserve"> staff privacy,</w:t>
            </w:r>
            <w:r w:rsidR="00EA04C0" w:rsidRPr="00686426">
              <w:rPr>
                <w:szCs w:val="24"/>
              </w:rPr>
              <w:t xml:space="preserve"> go to </w:t>
            </w:r>
            <w:hyperlink w:anchor="privacy" w:history="1">
              <w:r w:rsidR="00EA04C0" w:rsidRPr="00903C2E">
                <w:rPr>
                  <w:rStyle w:val="Hyperlink"/>
                  <w:szCs w:val="24"/>
                </w:rPr>
                <w:t xml:space="preserve">step </w:t>
              </w:r>
              <w:r w:rsidR="00EA04C0">
                <w:rPr>
                  <w:rStyle w:val="Hyperlink"/>
                  <w:szCs w:val="24"/>
                </w:rPr>
                <w:t>4</w:t>
              </w:r>
            </w:hyperlink>
            <w:r w:rsidR="00EA04C0" w:rsidRPr="00686426">
              <w:rPr>
                <w:szCs w:val="24"/>
              </w:rPr>
              <w:t>.</w:t>
            </w:r>
          </w:p>
        </w:tc>
      </w:tr>
      <w:tr w:rsidR="00EA04C0" w:rsidRPr="009649B6" w:rsidTr="00EA04C0">
        <w:tc>
          <w:tcPr>
            <w:tcW w:w="2695" w:type="dxa"/>
            <w:tcBorders>
              <w:left w:val="single" w:sz="4" w:space="0" w:color="A6A6A6" w:themeColor="background1" w:themeShade="A6"/>
            </w:tcBorders>
            <w:shd w:val="clear" w:color="auto" w:fill="D3D3D3"/>
          </w:tcPr>
          <w:p w:rsidR="00EA04C0" w:rsidRPr="00686426" w:rsidRDefault="00EA04C0" w:rsidP="00EA04C0">
            <w:pPr>
              <w:pStyle w:val="Boxsmallnumber-1"/>
              <w:keepNext/>
              <w:widowControl w:val="0"/>
              <w:numPr>
                <w:ilvl w:val="0"/>
                <w:numId w:val="46"/>
              </w:numPr>
              <w:rPr>
                <w:b/>
                <w:szCs w:val="24"/>
              </w:rPr>
            </w:pPr>
            <w:bookmarkStart w:id="1" w:name="safety"/>
            <w:bookmarkEnd w:id="1"/>
            <w:r w:rsidRPr="00686426">
              <w:rPr>
                <w:b/>
                <w:szCs w:val="24"/>
              </w:rPr>
              <w:lastRenderedPageBreak/>
              <w:t>Safety</w:t>
            </w:r>
            <w:r w:rsidR="00B07F46">
              <w:rPr>
                <w:b/>
                <w:szCs w:val="24"/>
              </w:rPr>
              <w:t>—section 6(d)</w:t>
            </w:r>
          </w:p>
        </w:tc>
        <w:tc>
          <w:tcPr>
            <w:tcW w:w="697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EA04C0" w:rsidRPr="00686426" w:rsidRDefault="00EA04C0" w:rsidP="00EA04C0">
            <w:pPr>
              <w:pStyle w:val="Boxsmallbullet1"/>
              <w:keepNext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 w:rsidRPr="00686426">
              <w:rPr>
                <w:szCs w:val="24"/>
              </w:rPr>
              <w:t xml:space="preserve">Section 6(d) of the OIA </w:t>
            </w:r>
            <w:r>
              <w:rPr>
                <w:szCs w:val="24"/>
              </w:rPr>
              <w:t xml:space="preserve">(section 6(a) of the LGOIMA) </w:t>
            </w:r>
            <w:r w:rsidRPr="00686426">
              <w:rPr>
                <w:szCs w:val="24"/>
              </w:rPr>
              <w:t xml:space="preserve">applies if release </w:t>
            </w:r>
            <w:r w:rsidRPr="00686426">
              <w:rPr>
                <w:i/>
                <w:szCs w:val="24"/>
              </w:rPr>
              <w:t>‘would be likely … to endanger the safety of any person’.</w:t>
            </w:r>
          </w:p>
          <w:p w:rsidR="00EA04C0" w:rsidRDefault="00EA04C0" w:rsidP="00EA04C0">
            <w:pPr>
              <w:pStyle w:val="Boxsmallbullet1"/>
              <w:keepNext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 w:rsidRPr="00686426">
              <w:rPr>
                <w:szCs w:val="24"/>
              </w:rPr>
              <w:t xml:space="preserve">There must be a real and objective risk to a person’s safety, as a result of disclosure of their name to the requester. </w:t>
            </w:r>
          </w:p>
          <w:p w:rsidR="00EA04C0" w:rsidRDefault="00EA04C0" w:rsidP="00EA04C0">
            <w:pPr>
              <w:pStyle w:val="Boxsmallbullet1"/>
              <w:keepNext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 w:rsidRPr="00686426">
              <w:rPr>
                <w:szCs w:val="24"/>
              </w:rPr>
              <w:t>Look for evidence to support the likelihood of harm such as actual threats, or facts supporting a reasonable perception of a threat, like a history of physical violence by the requester, or others to whom there is a reasonable chance the information may be disclosed.</w:t>
            </w:r>
          </w:p>
          <w:p w:rsidR="00EA04C0" w:rsidRDefault="00EA04C0" w:rsidP="00EA04C0">
            <w:pPr>
              <w:pStyle w:val="Boxsmallbullet1"/>
              <w:keepNext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 xml:space="preserve">If section 6(d) applies, </w:t>
            </w:r>
            <w:r w:rsidR="00042B34">
              <w:rPr>
                <w:szCs w:val="24"/>
              </w:rPr>
              <w:t>the request can be refused</w:t>
            </w:r>
            <w:r>
              <w:rPr>
                <w:szCs w:val="24"/>
              </w:rPr>
              <w:t xml:space="preserve">. There is no need to consider the countervailing public interest in release. </w:t>
            </w:r>
          </w:p>
          <w:p w:rsidR="00EA04C0" w:rsidRDefault="00EA04C0" w:rsidP="00EA04C0">
            <w:pPr>
              <w:pStyle w:val="Boxsmallbullet1"/>
              <w:keepNext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 xml:space="preserve">If section 6(d) doesn’t apply, you must release the names </w:t>
            </w:r>
            <w:r w:rsidR="0094615C">
              <w:rPr>
                <w:szCs w:val="24"/>
              </w:rPr>
              <w:t>(</w:t>
            </w:r>
            <w:r>
              <w:rPr>
                <w:szCs w:val="24"/>
              </w:rPr>
              <w:t>or consider whether ano</w:t>
            </w:r>
            <w:r w:rsidR="0094615C">
              <w:rPr>
                <w:szCs w:val="24"/>
              </w:rPr>
              <w:t xml:space="preserve">ther withholding ground applies—see </w:t>
            </w:r>
            <w:hyperlink w:anchor="improper_pressure" w:history="1">
              <w:r w:rsidR="0094615C" w:rsidRPr="0094615C">
                <w:rPr>
                  <w:rStyle w:val="Hyperlink"/>
                  <w:szCs w:val="24"/>
                </w:rPr>
                <w:t>step 3</w:t>
              </w:r>
            </w:hyperlink>
            <w:r w:rsidR="0094615C">
              <w:rPr>
                <w:szCs w:val="24"/>
              </w:rPr>
              <w:t xml:space="preserve"> or </w:t>
            </w:r>
            <w:hyperlink w:anchor="privacy" w:history="1">
              <w:r w:rsidR="0094615C" w:rsidRPr="0094615C">
                <w:rPr>
                  <w:rStyle w:val="Hyperlink"/>
                  <w:szCs w:val="24"/>
                </w:rPr>
                <w:t>step 4</w:t>
              </w:r>
            </w:hyperlink>
            <w:r>
              <w:rPr>
                <w:szCs w:val="24"/>
              </w:rPr>
              <w:t>).</w:t>
            </w:r>
          </w:p>
          <w:p w:rsidR="0094615C" w:rsidRPr="00686426" w:rsidRDefault="0094615C" w:rsidP="00EA04C0">
            <w:pPr>
              <w:pStyle w:val="Boxsmallbullet1"/>
              <w:keepNext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 xml:space="preserve">Go to </w:t>
            </w:r>
            <w:hyperlink w:anchor="decision" w:history="1">
              <w:r w:rsidRPr="0094615C">
                <w:rPr>
                  <w:rStyle w:val="Hyperlink"/>
                  <w:szCs w:val="24"/>
                </w:rPr>
                <w:t>step 6</w:t>
              </w:r>
            </w:hyperlink>
            <w:r>
              <w:rPr>
                <w:szCs w:val="24"/>
              </w:rPr>
              <w:t>.</w:t>
            </w:r>
          </w:p>
        </w:tc>
      </w:tr>
      <w:tr w:rsidR="00EA04C0" w:rsidRPr="009649B6" w:rsidTr="00EA04C0">
        <w:tc>
          <w:tcPr>
            <w:tcW w:w="2695" w:type="dxa"/>
            <w:tcBorders>
              <w:left w:val="single" w:sz="4" w:space="0" w:color="A6A6A6" w:themeColor="background1" w:themeShade="A6"/>
            </w:tcBorders>
            <w:shd w:val="clear" w:color="auto" w:fill="D3D3D3"/>
          </w:tcPr>
          <w:p w:rsidR="00EA04C0" w:rsidRPr="00686426" w:rsidRDefault="00B07F46" w:rsidP="00EA04C0">
            <w:pPr>
              <w:pStyle w:val="Boxsmallnumber-1"/>
              <w:widowControl w:val="0"/>
              <w:numPr>
                <w:ilvl w:val="0"/>
                <w:numId w:val="46"/>
              </w:numPr>
              <w:rPr>
                <w:b/>
                <w:szCs w:val="24"/>
              </w:rPr>
            </w:pPr>
            <w:bookmarkStart w:id="2" w:name="improper_pressure"/>
            <w:bookmarkEnd w:id="2"/>
            <w:r>
              <w:rPr>
                <w:b/>
                <w:szCs w:val="24"/>
              </w:rPr>
              <w:t xml:space="preserve">Improper pressure or harassment—section 9(2)(g)(ii) </w:t>
            </w:r>
          </w:p>
        </w:tc>
        <w:tc>
          <w:tcPr>
            <w:tcW w:w="697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EA04C0" w:rsidRPr="00502054" w:rsidRDefault="00EA04C0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t>Section 9(2</w:t>
            </w:r>
            <w:proofErr w:type="gramStart"/>
            <w:r>
              <w:t>)(</w:t>
            </w:r>
            <w:proofErr w:type="gramEnd"/>
            <w:r>
              <w:t xml:space="preserve">g)(ii) of the OIA (section 7(2)(f)(ii) of the LGOIMA) applies where withholding is </w:t>
            </w:r>
            <w:r w:rsidRPr="00784822">
              <w:rPr>
                <w:i/>
              </w:rPr>
              <w:t>‘necessary to maintain the effective conduct of public affairs … through the protection of [</w:t>
            </w:r>
            <w:r>
              <w:rPr>
                <w:i/>
              </w:rPr>
              <w:t>Ministers, members, officers or employees of agencies</w:t>
            </w:r>
            <w:r w:rsidRPr="00784822">
              <w:rPr>
                <w:i/>
              </w:rPr>
              <w:t>] from improper pressure or harassment’</w:t>
            </w:r>
            <w:r>
              <w:t>.</w:t>
            </w:r>
          </w:p>
          <w:p w:rsidR="00EA04C0" w:rsidRDefault="00EA04C0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 w:rsidRPr="00686426">
              <w:rPr>
                <w:szCs w:val="24"/>
              </w:rPr>
              <w:t xml:space="preserve">There must be a reasonable expectation that disclosing the name would lead to improper pressure or harassment that would have a detrimental impact on the relevant staff, and therefore the agency’s ability to do its job. </w:t>
            </w:r>
          </w:p>
          <w:p w:rsidR="00EA04C0" w:rsidRDefault="00EA04C0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 w:rsidRPr="00686426">
              <w:rPr>
                <w:szCs w:val="24"/>
              </w:rPr>
              <w:t xml:space="preserve">Improper pressure is the use of persuasion or intimidation that is not in accordance with accepted standards of morality or honesty. It may include </w:t>
            </w:r>
            <w:r w:rsidR="00FD2118">
              <w:t>aggressive or abusive language, offensive, derogatory or defamatory remarks, or deliberate misrepresentation of the facts.</w:t>
            </w:r>
          </w:p>
          <w:p w:rsidR="00EA04C0" w:rsidRDefault="00EA04C0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 w:rsidRPr="00686426">
              <w:rPr>
                <w:szCs w:val="24"/>
              </w:rPr>
              <w:t xml:space="preserve">Harassment is a pattern of behaviour directed at a person, which includes things like following them or giving them offensive material, including by publishing it on the internet. </w:t>
            </w:r>
          </w:p>
          <w:p w:rsidR="00EA04C0" w:rsidRDefault="00EA04C0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 w:rsidRPr="00686426">
              <w:rPr>
                <w:szCs w:val="24"/>
              </w:rPr>
              <w:t>Look for evidence to support the expectation of harm, like previous conduct by the requester, or others to whom there is a reasonable chance the information may be disclosed, and personal representations from the staff members concerned.</w:t>
            </w:r>
          </w:p>
          <w:p w:rsidR="00EA04C0" w:rsidRDefault="00EA04C0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>If section 9(2</w:t>
            </w:r>
            <w:proofErr w:type="gramStart"/>
            <w:r>
              <w:rPr>
                <w:szCs w:val="24"/>
              </w:rPr>
              <w:t>)(</w:t>
            </w:r>
            <w:proofErr w:type="gramEnd"/>
            <w:r>
              <w:rPr>
                <w:szCs w:val="24"/>
              </w:rPr>
              <w:t xml:space="preserve">g)(ii) applies, go to </w:t>
            </w:r>
            <w:hyperlink w:anchor="public_interest" w:history="1">
              <w:r w:rsidRPr="00F84E1F">
                <w:rPr>
                  <w:rStyle w:val="Hyperlink"/>
                  <w:szCs w:val="24"/>
                </w:rPr>
                <w:t xml:space="preserve">step </w:t>
              </w:r>
              <w:r w:rsidR="00077373">
                <w:rPr>
                  <w:rStyle w:val="Hyperlink"/>
                  <w:szCs w:val="24"/>
                </w:rPr>
                <w:t>5</w:t>
              </w:r>
            </w:hyperlink>
            <w:r>
              <w:rPr>
                <w:szCs w:val="24"/>
              </w:rPr>
              <w:t>.</w:t>
            </w:r>
          </w:p>
          <w:p w:rsidR="0094615C" w:rsidRPr="0094615C" w:rsidRDefault="00EA04C0" w:rsidP="0094615C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>If section 9(2</w:t>
            </w:r>
            <w:proofErr w:type="gramStart"/>
            <w:r>
              <w:rPr>
                <w:szCs w:val="24"/>
              </w:rPr>
              <w:t>)(</w:t>
            </w:r>
            <w:proofErr w:type="gramEnd"/>
            <w:r>
              <w:rPr>
                <w:szCs w:val="24"/>
              </w:rPr>
              <w:t>g)(ii) doesn’t apply, you must release the names</w:t>
            </w:r>
            <w:r w:rsidR="0094615C">
              <w:rPr>
                <w:szCs w:val="24"/>
              </w:rPr>
              <w:t xml:space="preserve">  (</w:t>
            </w:r>
            <w:r>
              <w:rPr>
                <w:szCs w:val="24"/>
              </w:rPr>
              <w:t>or consider whether another withholding ground applies</w:t>
            </w:r>
            <w:r w:rsidR="0094615C">
              <w:rPr>
                <w:szCs w:val="24"/>
              </w:rPr>
              <w:t xml:space="preserve">—see </w:t>
            </w:r>
            <w:hyperlink w:anchor="safety" w:history="1">
              <w:r w:rsidR="0094615C" w:rsidRPr="0094615C">
                <w:rPr>
                  <w:rStyle w:val="Hyperlink"/>
                  <w:szCs w:val="24"/>
                </w:rPr>
                <w:t>step 2</w:t>
              </w:r>
            </w:hyperlink>
            <w:r w:rsidR="0094615C">
              <w:rPr>
                <w:szCs w:val="24"/>
              </w:rPr>
              <w:t xml:space="preserve"> or </w:t>
            </w:r>
            <w:hyperlink w:anchor="privacy" w:history="1">
              <w:r w:rsidR="0094615C" w:rsidRPr="0094615C">
                <w:rPr>
                  <w:rStyle w:val="Hyperlink"/>
                  <w:szCs w:val="24"/>
                </w:rPr>
                <w:t>step 4</w:t>
              </w:r>
            </w:hyperlink>
            <w:r w:rsidR="0094615C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EA04C0" w:rsidRPr="009649B6" w:rsidTr="00EA04C0">
        <w:tc>
          <w:tcPr>
            <w:tcW w:w="2695" w:type="dxa"/>
            <w:tcBorders>
              <w:left w:val="single" w:sz="4" w:space="0" w:color="A6A6A6" w:themeColor="background1" w:themeShade="A6"/>
            </w:tcBorders>
            <w:shd w:val="clear" w:color="auto" w:fill="D3D3D3"/>
          </w:tcPr>
          <w:p w:rsidR="00EA04C0" w:rsidRPr="00686426" w:rsidRDefault="00EA04C0" w:rsidP="00EA04C0">
            <w:pPr>
              <w:pStyle w:val="Boxsmallnumber-1"/>
              <w:widowControl w:val="0"/>
              <w:numPr>
                <w:ilvl w:val="0"/>
                <w:numId w:val="46"/>
              </w:numPr>
              <w:rPr>
                <w:b/>
                <w:szCs w:val="24"/>
              </w:rPr>
            </w:pPr>
            <w:bookmarkStart w:id="3" w:name="privacy"/>
            <w:bookmarkEnd w:id="3"/>
            <w:r w:rsidRPr="00686426">
              <w:rPr>
                <w:b/>
                <w:szCs w:val="24"/>
              </w:rPr>
              <w:t>P</w:t>
            </w:r>
            <w:r w:rsidR="00B07F46">
              <w:rPr>
                <w:b/>
                <w:szCs w:val="24"/>
              </w:rPr>
              <w:t xml:space="preserve">rivacy—section 9(2)(a) </w:t>
            </w:r>
          </w:p>
        </w:tc>
        <w:tc>
          <w:tcPr>
            <w:tcW w:w="697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EA04C0" w:rsidRPr="00686426" w:rsidRDefault="00EA04C0" w:rsidP="00EA04C0">
            <w:pPr>
              <w:pStyle w:val="Boxsmallbullet1"/>
              <w:numPr>
                <w:ilvl w:val="0"/>
                <w:numId w:val="18"/>
              </w:numPr>
            </w:pPr>
            <w:r w:rsidRPr="00686426">
              <w:t>Section 9(2</w:t>
            </w:r>
            <w:proofErr w:type="gramStart"/>
            <w:r w:rsidRPr="00686426">
              <w:t>)(</w:t>
            </w:r>
            <w:proofErr w:type="gramEnd"/>
            <w:r w:rsidRPr="00686426">
              <w:t xml:space="preserve">a) of the OIA </w:t>
            </w:r>
            <w:r>
              <w:t xml:space="preserve">(section 7(2)(a) of the LGOIMA) </w:t>
            </w:r>
            <w:r w:rsidRPr="00686426">
              <w:t xml:space="preserve">applies if withholding is </w:t>
            </w:r>
            <w:r w:rsidRPr="00597799">
              <w:rPr>
                <w:i/>
              </w:rPr>
              <w:t>‘necessary to protect the privacy of natural persons’.</w:t>
            </w:r>
          </w:p>
          <w:p w:rsidR="00EA04C0" w:rsidRDefault="00EA04C0" w:rsidP="00EA04C0">
            <w:pPr>
              <w:pStyle w:val="Boxsmallbullet1"/>
              <w:numPr>
                <w:ilvl w:val="0"/>
                <w:numId w:val="18"/>
              </w:numPr>
            </w:pPr>
            <w:r w:rsidRPr="00686426">
              <w:t xml:space="preserve">It is not usually necessary to withhold staff names in order to protect their privacy. However, the privacy withholding ground may apply in limited circumstances, where </w:t>
            </w:r>
            <w:r>
              <w:t>release would:</w:t>
            </w:r>
          </w:p>
          <w:p w:rsidR="00EA04C0" w:rsidRDefault="00EA04C0" w:rsidP="00EA04C0">
            <w:pPr>
              <w:pStyle w:val="Boxsmallbullet2"/>
              <w:numPr>
                <w:ilvl w:val="1"/>
                <w:numId w:val="18"/>
              </w:numPr>
            </w:pPr>
            <w:r>
              <w:t xml:space="preserve">reveal something </w:t>
            </w:r>
            <w:r w:rsidRPr="00597799">
              <w:t xml:space="preserve">private or personal </w:t>
            </w:r>
            <w:r>
              <w:t xml:space="preserve">about the staff (like their health, finances or performance in the workplace); or </w:t>
            </w:r>
          </w:p>
          <w:p w:rsidR="00EA04C0" w:rsidRDefault="00EA04C0" w:rsidP="00EA04C0">
            <w:pPr>
              <w:pStyle w:val="Boxsmallbullet2"/>
              <w:numPr>
                <w:ilvl w:val="1"/>
                <w:numId w:val="18"/>
              </w:numPr>
            </w:pPr>
            <w:proofErr w:type="gramStart"/>
            <w:r>
              <w:t>in</w:t>
            </w:r>
            <w:proofErr w:type="gramEnd"/>
            <w:r>
              <w:t xml:space="preserve"> some other way </w:t>
            </w:r>
            <w:r w:rsidRPr="00597799">
              <w:t>intrude</w:t>
            </w:r>
            <w:r>
              <w:t xml:space="preserve"> on their privacy (for example, by </w:t>
            </w:r>
            <w:r w:rsidRPr="00C16A37">
              <w:t>affect</w:t>
            </w:r>
            <w:r>
              <w:t>ing</w:t>
            </w:r>
            <w:r w:rsidRPr="00C16A37">
              <w:t xml:space="preserve"> thei</w:t>
            </w:r>
            <w:r>
              <w:t>r mental or emotional wellbeing or damaging their reputation).</w:t>
            </w:r>
          </w:p>
          <w:p w:rsidR="00EA04C0" w:rsidRDefault="00EA04C0" w:rsidP="007E7D39">
            <w:pPr>
              <w:pStyle w:val="TableBullet1"/>
              <w:rPr>
                <w:sz w:val="24"/>
                <w:szCs w:val="24"/>
              </w:rPr>
            </w:pPr>
            <w:r w:rsidRPr="00C66D4C">
              <w:rPr>
                <w:sz w:val="24"/>
                <w:szCs w:val="24"/>
              </w:rPr>
              <w:t xml:space="preserve">Supporting material might include personal representations from the staff members concerned about the predicted impact on their personal lives. </w:t>
            </w:r>
          </w:p>
          <w:p w:rsidR="00EA04C0" w:rsidRPr="00F84E1F" w:rsidRDefault="00EA04C0" w:rsidP="007E7D39">
            <w:pPr>
              <w:pStyle w:val="TableBulle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section 9(2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a</w:t>
            </w:r>
            <w:r w:rsidRPr="00F84E1F">
              <w:rPr>
                <w:sz w:val="24"/>
                <w:szCs w:val="24"/>
              </w:rPr>
              <w:t xml:space="preserve">) applies, go to </w:t>
            </w:r>
            <w:hyperlink w:anchor="public_interest" w:history="1">
              <w:r w:rsidRPr="00B07F46">
                <w:rPr>
                  <w:rStyle w:val="Hyperlink"/>
                  <w:sz w:val="24"/>
                  <w:szCs w:val="24"/>
                </w:rPr>
                <w:t xml:space="preserve">step </w:t>
              </w:r>
              <w:r w:rsidR="00B07F46" w:rsidRPr="00B07F46">
                <w:rPr>
                  <w:rStyle w:val="Hyperlink"/>
                  <w:sz w:val="24"/>
                  <w:szCs w:val="24"/>
                </w:rPr>
                <w:t>5</w:t>
              </w:r>
            </w:hyperlink>
            <w:r w:rsidRPr="00F84E1F">
              <w:rPr>
                <w:sz w:val="24"/>
                <w:szCs w:val="24"/>
              </w:rPr>
              <w:t>.</w:t>
            </w:r>
          </w:p>
          <w:p w:rsidR="00EA04C0" w:rsidRPr="00C66D4C" w:rsidRDefault="00EA04C0" w:rsidP="0094615C">
            <w:pPr>
              <w:pStyle w:val="TableBullet1"/>
              <w:rPr>
                <w:sz w:val="24"/>
                <w:szCs w:val="24"/>
              </w:rPr>
            </w:pPr>
            <w:r w:rsidRPr="00F84E1F">
              <w:rPr>
                <w:sz w:val="24"/>
                <w:szCs w:val="24"/>
              </w:rPr>
              <w:t>If section 9(2</w:t>
            </w:r>
            <w:proofErr w:type="gramStart"/>
            <w:r w:rsidRPr="00F84E1F"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a</w:t>
            </w:r>
            <w:r w:rsidRPr="00F84E1F">
              <w:rPr>
                <w:sz w:val="24"/>
                <w:szCs w:val="24"/>
              </w:rPr>
              <w:t xml:space="preserve">) doesn’t apply, you must release the names </w:t>
            </w:r>
            <w:r w:rsidR="0094615C">
              <w:rPr>
                <w:sz w:val="24"/>
                <w:szCs w:val="24"/>
              </w:rPr>
              <w:t>(</w:t>
            </w:r>
            <w:r w:rsidRPr="00F84E1F">
              <w:rPr>
                <w:sz w:val="24"/>
                <w:szCs w:val="24"/>
              </w:rPr>
              <w:t>or consider whether anot</w:t>
            </w:r>
            <w:r w:rsidR="0094615C">
              <w:rPr>
                <w:sz w:val="24"/>
                <w:szCs w:val="24"/>
              </w:rPr>
              <w:t xml:space="preserve">her withholding ground applies—see </w:t>
            </w:r>
            <w:hyperlink w:anchor="safety" w:history="1">
              <w:r w:rsidR="00D65D92">
                <w:rPr>
                  <w:rStyle w:val="Hyperlink"/>
                  <w:sz w:val="24"/>
                  <w:szCs w:val="24"/>
                </w:rPr>
                <w:t>st</w:t>
              </w:r>
              <w:r w:rsidR="0094615C" w:rsidRPr="0094615C">
                <w:rPr>
                  <w:rStyle w:val="Hyperlink"/>
                  <w:sz w:val="24"/>
                  <w:szCs w:val="24"/>
                </w:rPr>
                <w:t>ep 2</w:t>
              </w:r>
            </w:hyperlink>
            <w:r w:rsidR="0094615C">
              <w:rPr>
                <w:sz w:val="24"/>
                <w:szCs w:val="24"/>
              </w:rPr>
              <w:t xml:space="preserve"> or </w:t>
            </w:r>
            <w:hyperlink w:anchor="improper_pressure" w:history="1">
              <w:r w:rsidR="0094615C" w:rsidRPr="0094615C">
                <w:rPr>
                  <w:rStyle w:val="Hyperlink"/>
                  <w:sz w:val="24"/>
                  <w:szCs w:val="24"/>
                </w:rPr>
                <w:t>step 3</w:t>
              </w:r>
            </w:hyperlink>
            <w:r w:rsidRPr="00F84E1F">
              <w:rPr>
                <w:sz w:val="24"/>
                <w:szCs w:val="24"/>
              </w:rPr>
              <w:t>).</w:t>
            </w:r>
          </w:p>
        </w:tc>
      </w:tr>
      <w:tr w:rsidR="00EA04C0" w:rsidRPr="009649B6" w:rsidTr="00EA04C0">
        <w:tc>
          <w:tcPr>
            <w:tcW w:w="2695" w:type="dxa"/>
            <w:tcBorders>
              <w:left w:val="single" w:sz="4" w:space="0" w:color="A6A6A6" w:themeColor="background1" w:themeShade="A6"/>
            </w:tcBorders>
            <w:shd w:val="clear" w:color="auto" w:fill="D3D3D3"/>
          </w:tcPr>
          <w:p w:rsidR="00EA04C0" w:rsidRPr="00686426" w:rsidRDefault="00EA04C0" w:rsidP="00EA04C0">
            <w:pPr>
              <w:pStyle w:val="Boxsmallnumber-1"/>
              <w:widowControl w:val="0"/>
              <w:numPr>
                <w:ilvl w:val="0"/>
                <w:numId w:val="46"/>
              </w:numPr>
              <w:rPr>
                <w:b/>
                <w:szCs w:val="24"/>
              </w:rPr>
            </w:pPr>
            <w:bookmarkStart w:id="4" w:name="public_interest"/>
            <w:bookmarkEnd w:id="4"/>
            <w:r w:rsidRPr="00686426">
              <w:rPr>
                <w:b/>
                <w:szCs w:val="24"/>
              </w:rPr>
              <w:t>Apply the public interest test</w:t>
            </w:r>
          </w:p>
        </w:tc>
        <w:tc>
          <w:tcPr>
            <w:tcW w:w="697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EA04C0" w:rsidRDefault="00EA04C0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 w:rsidRPr="00960F30">
              <w:rPr>
                <w:szCs w:val="24"/>
              </w:rPr>
              <w:t xml:space="preserve">Identify any public interest considerations in favour of disclosure, for </w:t>
            </w:r>
            <w:r>
              <w:rPr>
                <w:szCs w:val="24"/>
              </w:rPr>
              <w:t>example,</w:t>
            </w:r>
            <w:r w:rsidRPr="00960F30">
              <w:rPr>
                <w:szCs w:val="24"/>
              </w:rPr>
              <w:t xml:space="preserve"> the public interest in the transparent and accountable conduct of public </w:t>
            </w:r>
            <w:r>
              <w:rPr>
                <w:szCs w:val="24"/>
              </w:rPr>
              <w:t>affairs.</w:t>
            </w:r>
            <w:r w:rsidR="00042B34">
              <w:rPr>
                <w:szCs w:val="24"/>
              </w:rPr>
              <w:t xml:space="preserve"> </w:t>
            </w:r>
          </w:p>
          <w:p w:rsidR="00042B34" w:rsidRDefault="00042B34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 xml:space="preserve">Read our </w:t>
            </w:r>
            <w:hyperlink r:id="rId8" w:history="1">
              <w:r w:rsidRPr="00042B34">
                <w:rPr>
                  <w:rStyle w:val="Hyperlink"/>
                  <w:szCs w:val="24"/>
                </w:rPr>
                <w:t>guide</w:t>
              </w:r>
            </w:hyperlink>
            <w:r>
              <w:rPr>
                <w:szCs w:val="24"/>
              </w:rPr>
              <w:t xml:space="preserve"> if you need more information about the public interest test</w:t>
            </w:r>
            <w:r w:rsidR="00F74EF0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EA04C0" w:rsidRDefault="00042B34" w:rsidP="00EA04C0">
            <w:pPr>
              <w:pStyle w:val="Boxsmallbullet1"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 xml:space="preserve">If the </w:t>
            </w:r>
            <w:r w:rsidR="00EA04C0" w:rsidRPr="00960F30">
              <w:rPr>
                <w:szCs w:val="24"/>
              </w:rPr>
              <w:t xml:space="preserve">public interest in disclosure </w:t>
            </w:r>
            <w:r w:rsidR="00EA04C0">
              <w:rPr>
                <w:szCs w:val="24"/>
              </w:rPr>
              <w:t>outweighs the need to withhold</w:t>
            </w:r>
            <w:r>
              <w:rPr>
                <w:szCs w:val="24"/>
              </w:rPr>
              <w:t>, the names must be released</w:t>
            </w:r>
            <w:r w:rsidR="00EA04C0">
              <w:rPr>
                <w:szCs w:val="24"/>
              </w:rPr>
              <w:t>.</w:t>
            </w:r>
            <w:r>
              <w:rPr>
                <w:szCs w:val="24"/>
              </w:rPr>
              <w:t xml:space="preserve"> If not, the request can be refused.</w:t>
            </w:r>
          </w:p>
          <w:p w:rsidR="00EA04C0" w:rsidRPr="00960F30" w:rsidRDefault="00EA04C0" w:rsidP="00042B34">
            <w:pPr>
              <w:pStyle w:val="Boxsmallbullet1"/>
              <w:numPr>
                <w:ilvl w:val="0"/>
                <w:numId w:val="45"/>
              </w:numPr>
              <w:rPr>
                <w:szCs w:val="24"/>
              </w:rPr>
            </w:pPr>
            <w:r w:rsidRPr="003F2DBA">
              <w:rPr>
                <w:szCs w:val="24"/>
              </w:rPr>
              <w:t xml:space="preserve">Go to </w:t>
            </w:r>
            <w:hyperlink w:anchor="decision" w:history="1">
              <w:r w:rsidRPr="00042B34">
                <w:rPr>
                  <w:rStyle w:val="Hyperlink"/>
                  <w:szCs w:val="24"/>
                </w:rPr>
                <w:t xml:space="preserve">step </w:t>
              </w:r>
              <w:r w:rsidR="00042B34" w:rsidRPr="00042B34">
                <w:rPr>
                  <w:rStyle w:val="Hyperlink"/>
                  <w:szCs w:val="24"/>
                </w:rPr>
                <w:t>6</w:t>
              </w:r>
            </w:hyperlink>
            <w:r w:rsidRPr="003F2DBA">
              <w:rPr>
                <w:szCs w:val="24"/>
              </w:rPr>
              <w:t>.</w:t>
            </w:r>
          </w:p>
        </w:tc>
      </w:tr>
      <w:tr w:rsidR="00EA04C0" w:rsidRPr="009649B6" w:rsidTr="00EA04C0">
        <w:tc>
          <w:tcPr>
            <w:tcW w:w="2695" w:type="dxa"/>
            <w:tcBorders>
              <w:left w:val="single" w:sz="4" w:space="0" w:color="A6A6A6" w:themeColor="background1" w:themeShade="A6"/>
            </w:tcBorders>
            <w:shd w:val="clear" w:color="auto" w:fill="D3D3D3"/>
          </w:tcPr>
          <w:p w:rsidR="00EA04C0" w:rsidRPr="00686426" w:rsidRDefault="0094615C" w:rsidP="00EA04C0">
            <w:pPr>
              <w:pStyle w:val="Boxsmallnumber-1"/>
              <w:widowControl w:val="0"/>
              <w:numPr>
                <w:ilvl w:val="0"/>
                <w:numId w:val="46"/>
              </w:numPr>
              <w:rPr>
                <w:b/>
                <w:szCs w:val="24"/>
              </w:rPr>
            </w:pPr>
            <w:bookmarkStart w:id="5" w:name="decision"/>
            <w:bookmarkEnd w:id="5"/>
            <w:r>
              <w:rPr>
                <w:b/>
                <w:szCs w:val="24"/>
              </w:rPr>
              <w:t xml:space="preserve"> </w:t>
            </w:r>
            <w:r w:rsidR="00EA04C0">
              <w:rPr>
                <w:b/>
                <w:szCs w:val="24"/>
              </w:rPr>
              <w:t>Make a decision on the release of staff names</w:t>
            </w:r>
          </w:p>
        </w:tc>
        <w:tc>
          <w:tcPr>
            <w:tcW w:w="697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EA04C0" w:rsidRPr="00691A13" w:rsidRDefault="00B07F46" w:rsidP="00E73435">
            <w:pPr>
              <w:pStyle w:val="Boxsmallbullet1"/>
              <w:keepNext/>
              <w:widowControl w:val="0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 xml:space="preserve">Make and communicate your decision on release of staff names </w:t>
            </w:r>
            <w:r w:rsidR="00E73435">
              <w:rPr>
                <w:szCs w:val="24"/>
              </w:rPr>
              <w:t xml:space="preserve">to the requester. </w:t>
            </w:r>
            <w:r w:rsidR="00EA04C0" w:rsidRPr="00691A13">
              <w:rPr>
                <w:szCs w:val="24"/>
              </w:rPr>
              <w:t xml:space="preserve">See our </w:t>
            </w:r>
            <w:hyperlink r:id="rId9" w:history="1">
              <w:r w:rsidR="00EA04C0" w:rsidRPr="00691A13">
                <w:rPr>
                  <w:rStyle w:val="Hyperlink"/>
                  <w:szCs w:val="24"/>
                </w:rPr>
                <w:t>Template letter 6: Letter communicating the decision on a request</w:t>
              </w:r>
            </w:hyperlink>
            <w:r w:rsidR="00EA04C0" w:rsidRPr="00691A13">
              <w:rPr>
                <w:szCs w:val="24"/>
              </w:rPr>
              <w:t>.</w:t>
            </w:r>
          </w:p>
        </w:tc>
      </w:tr>
    </w:tbl>
    <w:p w:rsidR="00EA04C0" w:rsidRPr="00EA04C0" w:rsidRDefault="00EA04C0" w:rsidP="00EA04C0">
      <w:pPr>
        <w:pStyle w:val="BodyText"/>
      </w:pPr>
    </w:p>
    <w:sectPr w:rsidR="00EA04C0" w:rsidRPr="00EA04C0" w:rsidSect="00AB50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37" w:rsidRPr="00D45126" w:rsidRDefault="00711137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711137" w:rsidRPr="00D45126" w:rsidRDefault="00711137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711137" w:rsidRDefault="00711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55" w:rsidRDefault="00F5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55" w:rsidRDefault="00F51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55" w:rsidRDefault="00F5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37" w:rsidRPr="00D45126" w:rsidRDefault="00711137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711137" w:rsidRPr="00C14083" w:rsidRDefault="00711137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711137" w:rsidRDefault="00711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55" w:rsidRDefault="00F51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55" w:rsidRDefault="00F51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55" w:rsidRDefault="00F51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EA04C0"/>
    <w:rsid w:val="00001F57"/>
    <w:rsid w:val="00007902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5081"/>
    <w:rsid w:val="00077373"/>
    <w:rsid w:val="00080A86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2F95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7897"/>
    <w:rsid w:val="000F2F29"/>
    <w:rsid w:val="000F32C4"/>
    <w:rsid w:val="000F45AE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08F4"/>
    <w:rsid w:val="001267DC"/>
    <w:rsid w:val="00137F0A"/>
    <w:rsid w:val="00140996"/>
    <w:rsid w:val="00140DAC"/>
    <w:rsid w:val="001452C2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3E9F"/>
    <w:rsid w:val="001751CA"/>
    <w:rsid w:val="00175E56"/>
    <w:rsid w:val="00180B80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71F7"/>
    <w:rsid w:val="001A4C19"/>
    <w:rsid w:val="001B20DF"/>
    <w:rsid w:val="001B56F9"/>
    <w:rsid w:val="001B66AB"/>
    <w:rsid w:val="001C1D18"/>
    <w:rsid w:val="001C1D6F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1F3E75"/>
    <w:rsid w:val="002013FD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97081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1D03"/>
    <w:rsid w:val="002C355D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43B"/>
    <w:rsid w:val="002E6678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22A4"/>
    <w:rsid w:val="00363724"/>
    <w:rsid w:val="00370EBD"/>
    <w:rsid w:val="00372DFB"/>
    <w:rsid w:val="00373DCE"/>
    <w:rsid w:val="00373E9C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4A4D"/>
    <w:rsid w:val="003A6C9C"/>
    <w:rsid w:val="003B04BE"/>
    <w:rsid w:val="003B4059"/>
    <w:rsid w:val="003C6B10"/>
    <w:rsid w:val="003D139D"/>
    <w:rsid w:val="003D1B3B"/>
    <w:rsid w:val="003D5E54"/>
    <w:rsid w:val="003D6476"/>
    <w:rsid w:val="003D73B9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342C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03B"/>
    <w:rsid w:val="0057620B"/>
    <w:rsid w:val="005820EE"/>
    <w:rsid w:val="0058612C"/>
    <w:rsid w:val="0059004E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D11C5"/>
    <w:rsid w:val="005D1463"/>
    <w:rsid w:val="005D2713"/>
    <w:rsid w:val="005D4B72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70F0"/>
    <w:rsid w:val="00600296"/>
    <w:rsid w:val="006063D4"/>
    <w:rsid w:val="006077BF"/>
    <w:rsid w:val="00610FD3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4119F"/>
    <w:rsid w:val="00642945"/>
    <w:rsid w:val="00645EA7"/>
    <w:rsid w:val="0065058B"/>
    <w:rsid w:val="00654DAF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725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701B96"/>
    <w:rsid w:val="00703C65"/>
    <w:rsid w:val="00703CF9"/>
    <w:rsid w:val="00704768"/>
    <w:rsid w:val="00707B00"/>
    <w:rsid w:val="00711137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5713"/>
    <w:rsid w:val="00756CFF"/>
    <w:rsid w:val="00757038"/>
    <w:rsid w:val="00757B70"/>
    <w:rsid w:val="00757E4C"/>
    <w:rsid w:val="00760523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D037D"/>
    <w:rsid w:val="007D3BD1"/>
    <w:rsid w:val="007E00BA"/>
    <w:rsid w:val="007E27BA"/>
    <w:rsid w:val="007E478F"/>
    <w:rsid w:val="007E5C8C"/>
    <w:rsid w:val="007F16B9"/>
    <w:rsid w:val="007F7AFF"/>
    <w:rsid w:val="0080051F"/>
    <w:rsid w:val="008007D1"/>
    <w:rsid w:val="00800911"/>
    <w:rsid w:val="008028DE"/>
    <w:rsid w:val="0080356A"/>
    <w:rsid w:val="008060A0"/>
    <w:rsid w:val="00813B10"/>
    <w:rsid w:val="0082520B"/>
    <w:rsid w:val="00830680"/>
    <w:rsid w:val="0083179E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5145"/>
    <w:rsid w:val="0085724C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7E41"/>
    <w:rsid w:val="008835A1"/>
    <w:rsid w:val="00884716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05B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27B7"/>
    <w:rsid w:val="008E6C86"/>
    <w:rsid w:val="008F2F1C"/>
    <w:rsid w:val="008F614F"/>
    <w:rsid w:val="008F643B"/>
    <w:rsid w:val="00901E73"/>
    <w:rsid w:val="00903FCC"/>
    <w:rsid w:val="00904BF5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615C"/>
    <w:rsid w:val="0094738D"/>
    <w:rsid w:val="00947702"/>
    <w:rsid w:val="0095480A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D35A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DA1"/>
    <w:rsid w:val="00A147A8"/>
    <w:rsid w:val="00A14DEB"/>
    <w:rsid w:val="00A168B9"/>
    <w:rsid w:val="00A22C6D"/>
    <w:rsid w:val="00A23242"/>
    <w:rsid w:val="00A2487E"/>
    <w:rsid w:val="00A3057B"/>
    <w:rsid w:val="00A30994"/>
    <w:rsid w:val="00A32286"/>
    <w:rsid w:val="00A34057"/>
    <w:rsid w:val="00A34706"/>
    <w:rsid w:val="00A34EC7"/>
    <w:rsid w:val="00A36718"/>
    <w:rsid w:val="00A4087E"/>
    <w:rsid w:val="00A42942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F28AF"/>
    <w:rsid w:val="00B009BC"/>
    <w:rsid w:val="00B06476"/>
    <w:rsid w:val="00B07041"/>
    <w:rsid w:val="00B07F46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170"/>
    <w:rsid w:val="00B412CE"/>
    <w:rsid w:val="00B46EC4"/>
    <w:rsid w:val="00B47501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53B"/>
    <w:rsid w:val="00B732D1"/>
    <w:rsid w:val="00B768D6"/>
    <w:rsid w:val="00B84CFA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23D9"/>
    <w:rsid w:val="00BE18A3"/>
    <w:rsid w:val="00BE42F3"/>
    <w:rsid w:val="00BE51BA"/>
    <w:rsid w:val="00BE67D3"/>
    <w:rsid w:val="00BE7E64"/>
    <w:rsid w:val="00BF11EB"/>
    <w:rsid w:val="00BF310E"/>
    <w:rsid w:val="00BF4458"/>
    <w:rsid w:val="00BF6FB5"/>
    <w:rsid w:val="00BF768F"/>
    <w:rsid w:val="00C0107D"/>
    <w:rsid w:val="00C14083"/>
    <w:rsid w:val="00C15B7C"/>
    <w:rsid w:val="00C17717"/>
    <w:rsid w:val="00C261B9"/>
    <w:rsid w:val="00C277A9"/>
    <w:rsid w:val="00C307B9"/>
    <w:rsid w:val="00C33861"/>
    <w:rsid w:val="00C35659"/>
    <w:rsid w:val="00C4103C"/>
    <w:rsid w:val="00C42B38"/>
    <w:rsid w:val="00C50877"/>
    <w:rsid w:val="00C5191F"/>
    <w:rsid w:val="00C51948"/>
    <w:rsid w:val="00C5354B"/>
    <w:rsid w:val="00C55501"/>
    <w:rsid w:val="00C56640"/>
    <w:rsid w:val="00C61DAB"/>
    <w:rsid w:val="00C71656"/>
    <w:rsid w:val="00C71F73"/>
    <w:rsid w:val="00C72B74"/>
    <w:rsid w:val="00C72DEC"/>
    <w:rsid w:val="00C73D2B"/>
    <w:rsid w:val="00C73F20"/>
    <w:rsid w:val="00C764F8"/>
    <w:rsid w:val="00C836CD"/>
    <w:rsid w:val="00C86BDD"/>
    <w:rsid w:val="00C878BF"/>
    <w:rsid w:val="00C954FF"/>
    <w:rsid w:val="00C9605B"/>
    <w:rsid w:val="00CA1A45"/>
    <w:rsid w:val="00CA71F6"/>
    <w:rsid w:val="00CB20FE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D92"/>
    <w:rsid w:val="00D65F90"/>
    <w:rsid w:val="00D663CA"/>
    <w:rsid w:val="00D71A9E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3A2C"/>
    <w:rsid w:val="00E06417"/>
    <w:rsid w:val="00E10A62"/>
    <w:rsid w:val="00E11A93"/>
    <w:rsid w:val="00E175EB"/>
    <w:rsid w:val="00E22D4A"/>
    <w:rsid w:val="00E2375C"/>
    <w:rsid w:val="00E249FF"/>
    <w:rsid w:val="00E27B6E"/>
    <w:rsid w:val="00E30785"/>
    <w:rsid w:val="00E30F41"/>
    <w:rsid w:val="00E315D5"/>
    <w:rsid w:val="00E3172E"/>
    <w:rsid w:val="00E34108"/>
    <w:rsid w:val="00E40594"/>
    <w:rsid w:val="00E40C98"/>
    <w:rsid w:val="00E46E81"/>
    <w:rsid w:val="00E472CF"/>
    <w:rsid w:val="00E52A0C"/>
    <w:rsid w:val="00E52F5A"/>
    <w:rsid w:val="00E6042D"/>
    <w:rsid w:val="00E60972"/>
    <w:rsid w:val="00E66EFF"/>
    <w:rsid w:val="00E67238"/>
    <w:rsid w:val="00E7080D"/>
    <w:rsid w:val="00E72267"/>
    <w:rsid w:val="00E73435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04C0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30D05"/>
    <w:rsid w:val="00F32C2B"/>
    <w:rsid w:val="00F342C7"/>
    <w:rsid w:val="00F36446"/>
    <w:rsid w:val="00F421F8"/>
    <w:rsid w:val="00F44184"/>
    <w:rsid w:val="00F45D14"/>
    <w:rsid w:val="00F4637E"/>
    <w:rsid w:val="00F46E6B"/>
    <w:rsid w:val="00F46F6E"/>
    <w:rsid w:val="00F46FF8"/>
    <w:rsid w:val="00F504BC"/>
    <w:rsid w:val="00F515CE"/>
    <w:rsid w:val="00F51755"/>
    <w:rsid w:val="00F55965"/>
    <w:rsid w:val="00F5733F"/>
    <w:rsid w:val="00F57DBF"/>
    <w:rsid w:val="00F607DC"/>
    <w:rsid w:val="00F6201A"/>
    <w:rsid w:val="00F66414"/>
    <w:rsid w:val="00F72200"/>
    <w:rsid w:val="00F73195"/>
    <w:rsid w:val="00F73A72"/>
    <w:rsid w:val="00F74EF0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61DB"/>
    <w:rsid w:val="00FC7E58"/>
    <w:rsid w:val="00FD0E94"/>
    <w:rsid w:val="00FD12EB"/>
    <w:rsid w:val="00FD2118"/>
    <w:rsid w:val="00FD3EE3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EA04C0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qFormat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qFormat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parliament.nz/resources/public-interest-guide-public-interest-te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mbudsman.parliament.nz/resources/names-and-contact-details-public-sector-employe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mbudsman.parliament.nz/resources/template-letter-6-letter-communicating-decision-reques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 sheet for processing requests for names of public sector employees</vt:lpstr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2022-02-02T00:59:00Z</dcterms:created>
  <dcterms:modified xsi:type="dcterms:W3CDTF">2022-02-02T00:59:00Z</dcterms:modified>
  <cp:contentStatus/>
</cp:coreProperties>
</file>