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95753F" w:rsidP="00E96424">
      <w:bookmarkStart w:id="0" w:name="TemplateGuide"/>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C03814" w:rsidTr="00C11F64">
        <w:trPr>
          <w:trHeight w:hRule="exact" w:val="3686"/>
        </w:trPr>
        <w:tc>
          <w:tcPr>
            <w:tcW w:w="6520" w:type="dxa"/>
            <w:shd w:val="clear" w:color="auto" w:fill="auto"/>
            <w:tcMar>
              <w:top w:w="0" w:type="dxa"/>
              <w:bottom w:w="0" w:type="dxa"/>
            </w:tcMar>
            <w:vAlign w:val="bottom"/>
          </w:tcPr>
          <w:p w:rsidR="00C826F9" w:rsidRPr="00F011BA" w:rsidRDefault="004238B7" w:rsidP="004D56CF">
            <w:pPr>
              <w:pStyle w:val="Title"/>
            </w:pPr>
            <w:bookmarkStart w:id="1" w:name="_GoBack"/>
            <w:r w:rsidRPr="001144A8">
              <w:t>The OIA and school boards of trustees</w:t>
            </w:r>
            <w:bookmarkEnd w:id="1"/>
          </w:p>
        </w:tc>
      </w:tr>
      <w:tr w:rsidR="00C03814" w:rsidTr="00C11F64">
        <w:trPr>
          <w:trHeight w:hRule="exact" w:val="1418"/>
        </w:trPr>
        <w:tc>
          <w:tcPr>
            <w:tcW w:w="6520" w:type="dxa"/>
            <w:tcBorders>
              <w:bottom w:val="nil"/>
            </w:tcBorders>
            <w:shd w:val="clear" w:color="auto" w:fill="auto"/>
          </w:tcPr>
          <w:p w:rsidR="00F011BA" w:rsidRDefault="0095753F" w:rsidP="00F011BA">
            <w:pPr>
              <w:pStyle w:val="Subheading"/>
            </w:pPr>
          </w:p>
        </w:tc>
      </w:tr>
    </w:tbl>
    <w:p w:rsidR="004D56CF" w:rsidRPr="00B57CAC" w:rsidRDefault="004238B7" w:rsidP="004D56CF">
      <w:pPr>
        <w:pStyle w:val="Introduction"/>
      </w:pPr>
      <w:r w:rsidRPr="00B57CAC">
        <w:t xml:space="preserve">This guide sets out the key </w:t>
      </w:r>
      <w:r>
        <w:t>‘</w:t>
      </w:r>
      <w:r w:rsidRPr="00B57CAC">
        <w:t>need to know</w:t>
      </w:r>
      <w:r>
        <w:t>’</w:t>
      </w:r>
      <w:r w:rsidRPr="00B57CAC">
        <w:t xml:space="preserve"> information about the obligations of Boards of Trustees (BOTs) under the Official Information Act (OIA). It also explains the Ombudsman</w:t>
      </w:r>
      <w:r>
        <w:t>’</w:t>
      </w:r>
      <w:r w:rsidRPr="00B57CAC">
        <w:t>s role in relation to complaints about OIA requests.</w:t>
      </w:r>
    </w:p>
    <w:p w:rsidR="004D56CF" w:rsidRDefault="004238B7" w:rsidP="004D56CF">
      <w:pPr>
        <w:pStyle w:val="Introduction"/>
      </w:pPr>
      <w:r w:rsidRPr="00B57CAC">
        <w:t>All BOTs of state and state-integrated schools are subject to the OIA.</w:t>
      </w:r>
      <w:r>
        <w:rPr>
          <w:rStyle w:val="FootnoteReference"/>
          <w:i w:val="0"/>
        </w:rPr>
        <w:footnoteReference w:id="2"/>
      </w:r>
      <w:r w:rsidRPr="004D56CF">
        <w:rPr>
          <w:rStyle w:val="FootnoteReference"/>
          <w:i w:val="0"/>
        </w:rPr>
        <w:t xml:space="preserve"> </w:t>
      </w:r>
      <w:r w:rsidRPr="004D56CF">
        <w:rPr>
          <w:i w:val="0"/>
        </w:rPr>
        <w:t xml:space="preserve"> </w:t>
      </w:r>
      <w:r w:rsidRPr="00B57CAC">
        <w:t xml:space="preserve"> This means that anyone can request information held by a BOT, and the BOT must respond in accordance with the requirements of the OIA. </w:t>
      </w:r>
    </w:p>
    <w:p w:rsidR="00027F11" w:rsidRDefault="0095753F" w:rsidP="00C11F64">
      <w:pPr>
        <w:pStyle w:val="Introduction"/>
      </w:pPr>
    </w:p>
    <w:p w:rsidR="00FE72DD" w:rsidRDefault="004238B7" w:rsidP="00027F11">
      <w:pPr>
        <w:pStyle w:val="TOCHeading"/>
        <w:pageBreakBefore/>
      </w:pPr>
      <w:r>
        <w:lastRenderedPageBreak/>
        <w:t>Contents</w:t>
      </w:r>
    </w:p>
    <w:p w:rsidR="00250EBD" w:rsidRDefault="004238B7">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689025" w:history="1">
        <w:r w:rsidR="00250EBD" w:rsidRPr="005C1B87">
          <w:rPr>
            <w:rStyle w:val="Hyperlink"/>
            <w:noProof/>
          </w:rPr>
          <w:t>What is an OIA request?</w:t>
        </w:r>
        <w:r w:rsidR="00250EBD">
          <w:rPr>
            <w:noProof/>
            <w:webHidden/>
          </w:rPr>
          <w:tab/>
        </w:r>
        <w:r w:rsidR="00250EBD">
          <w:rPr>
            <w:noProof/>
            <w:webHidden/>
          </w:rPr>
          <w:fldChar w:fldCharType="begin"/>
        </w:r>
        <w:r w:rsidR="00250EBD">
          <w:rPr>
            <w:noProof/>
            <w:webHidden/>
          </w:rPr>
          <w:instrText xml:space="preserve"> PAGEREF _Toc16689025 \h </w:instrText>
        </w:r>
        <w:r w:rsidR="00250EBD">
          <w:rPr>
            <w:noProof/>
            <w:webHidden/>
          </w:rPr>
        </w:r>
        <w:r w:rsidR="00250EBD">
          <w:rPr>
            <w:noProof/>
            <w:webHidden/>
          </w:rPr>
          <w:fldChar w:fldCharType="separate"/>
        </w:r>
        <w:r w:rsidR="00250EBD">
          <w:rPr>
            <w:noProof/>
            <w:webHidden/>
          </w:rPr>
          <w:t>2</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26" w:history="1">
        <w:r w:rsidR="00250EBD" w:rsidRPr="005C1B87">
          <w:rPr>
            <w:rStyle w:val="Hyperlink"/>
            <w:noProof/>
          </w:rPr>
          <w:t>Who can make an OIA request?</w:t>
        </w:r>
        <w:r w:rsidR="00250EBD">
          <w:rPr>
            <w:noProof/>
            <w:webHidden/>
          </w:rPr>
          <w:tab/>
        </w:r>
        <w:r w:rsidR="00250EBD">
          <w:rPr>
            <w:noProof/>
            <w:webHidden/>
          </w:rPr>
          <w:fldChar w:fldCharType="begin"/>
        </w:r>
        <w:r w:rsidR="00250EBD">
          <w:rPr>
            <w:noProof/>
            <w:webHidden/>
          </w:rPr>
          <w:instrText xml:space="preserve"> PAGEREF _Toc16689026 \h </w:instrText>
        </w:r>
        <w:r w:rsidR="00250EBD">
          <w:rPr>
            <w:noProof/>
            <w:webHidden/>
          </w:rPr>
        </w:r>
        <w:r w:rsidR="00250EBD">
          <w:rPr>
            <w:noProof/>
            <w:webHidden/>
          </w:rPr>
          <w:fldChar w:fldCharType="separate"/>
        </w:r>
        <w:r w:rsidR="00250EBD">
          <w:rPr>
            <w:noProof/>
            <w:webHidden/>
          </w:rPr>
          <w:t>2</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27" w:history="1">
        <w:r w:rsidR="00250EBD" w:rsidRPr="005C1B87">
          <w:rPr>
            <w:rStyle w:val="Hyperlink"/>
            <w:noProof/>
          </w:rPr>
          <w:t>Why does the requester want the information?</w:t>
        </w:r>
        <w:r w:rsidR="00250EBD">
          <w:rPr>
            <w:noProof/>
            <w:webHidden/>
          </w:rPr>
          <w:tab/>
        </w:r>
        <w:r w:rsidR="00250EBD">
          <w:rPr>
            <w:noProof/>
            <w:webHidden/>
          </w:rPr>
          <w:fldChar w:fldCharType="begin"/>
        </w:r>
        <w:r w:rsidR="00250EBD">
          <w:rPr>
            <w:noProof/>
            <w:webHidden/>
          </w:rPr>
          <w:instrText xml:space="preserve"> PAGEREF _Toc16689027 \h </w:instrText>
        </w:r>
        <w:r w:rsidR="00250EBD">
          <w:rPr>
            <w:noProof/>
            <w:webHidden/>
          </w:rPr>
        </w:r>
        <w:r w:rsidR="00250EBD">
          <w:rPr>
            <w:noProof/>
            <w:webHidden/>
          </w:rPr>
          <w:fldChar w:fldCharType="separate"/>
        </w:r>
        <w:r w:rsidR="00250EBD">
          <w:rPr>
            <w:noProof/>
            <w:webHidden/>
          </w:rPr>
          <w:t>3</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28" w:history="1">
        <w:r w:rsidR="00250EBD" w:rsidRPr="005C1B87">
          <w:rPr>
            <w:rStyle w:val="Hyperlink"/>
            <w:noProof/>
          </w:rPr>
          <w:t>What are the legal obligations?</w:t>
        </w:r>
        <w:r w:rsidR="00250EBD">
          <w:rPr>
            <w:noProof/>
            <w:webHidden/>
          </w:rPr>
          <w:tab/>
        </w:r>
        <w:r w:rsidR="00250EBD">
          <w:rPr>
            <w:noProof/>
            <w:webHidden/>
          </w:rPr>
          <w:fldChar w:fldCharType="begin"/>
        </w:r>
        <w:r w:rsidR="00250EBD">
          <w:rPr>
            <w:noProof/>
            <w:webHidden/>
          </w:rPr>
          <w:instrText xml:space="preserve"> PAGEREF _Toc16689028 \h </w:instrText>
        </w:r>
        <w:r w:rsidR="00250EBD">
          <w:rPr>
            <w:noProof/>
            <w:webHidden/>
          </w:rPr>
        </w:r>
        <w:r w:rsidR="00250EBD">
          <w:rPr>
            <w:noProof/>
            <w:webHidden/>
          </w:rPr>
          <w:fldChar w:fldCharType="separate"/>
        </w:r>
        <w:r w:rsidR="00250EBD">
          <w:rPr>
            <w:noProof/>
            <w:webHidden/>
          </w:rPr>
          <w:t>3</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29" w:history="1">
        <w:r w:rsidR="00250EBD" w:rsidRPr="005C1B87">
          <w:rPr>
            <w:rStyle w:val="Hyperlink"/>
            <w:noProof/>
          </w:rPr>
          <w:t>Special rights of access</w:t>
        </w:r>
        <w:r w:rsidR="00250EBD">
          <w:rPr>
            <w:noProof/>
            <w:webHidden/>
          </w:rPr>
          <w:tab/>
        </w:r>
        <w:r w:rsidR="00250EBD">
          <w:rPr>
            <w:noProof/>
            <w:webHidden/>
          </w:rPr>
          <w:fldChar w:fldCharType="begin"/>
        </w:r>
        <w:r w:rsidR="00250EBD">
          <w:rPr>
            <w:noProof/>
            <w:webHidden/>
          </w:rPr>
          <w:instrText xml:space="preserve"> PAGEREF _Toc16689029 \h </w:instrText>
        </w:r>
        <w:r w:rsidR="00250EBD">
          <w:rPr>
            <w:noProof/>
            <w:webHidden/>
          </w:rPr>
        </w:r>
        <w:r w:rsidR="00250EBD">
          <w:rPr>
            <w:noProof/>
            <w:webHidden/>
          </w:rPr>
          <w:fldChar w:fldCharType="separate"/>
        </w:r>
        <w:r w:rsidR="00250EBD">
          <w:rPr>
            <w:noProof/>
            <w:webHidden/>
          </w:rPr>
          <w:t>4</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30" w:history="1">
        <w:r w:rsidR="00250EBD" w:rsidRPr="005C1B87">
          <w:rPr>
            <w:rStyle w:val="Hyperlink"/>
            <w:noProof/>
          </w:rPr>
          <w:t>Who can you ask for help?</w:t>
        </w:r>
        <w:r w:rsidR="00250EBD">
          <w:rPr>
            <w:noProof/>
            <w:webHidden/>
          </w:rPr>
          <w:tab/>
        </w:r>
        <w:r w:rsidR="00250EBD">
          <w:rPr>
            <w:noProof/>
            <w:webHidden/>
          </w:rPr>
          <w:fldChar w:fldCharType="begin"/>
        </w:r>
        <w:r w:rsidR="00250EBD">
          <w:rPr>
            <w:noProof/>
            <w:webHidden/>
          </w:rPr>
          <w:instrText xml:space="preserve"> PAGEREF _Toc16689030 \h </w:instrText>
        </w:r>
        <w:r w:rsidR="00250EBD">
          <w:rPr>
            <w:noProof/>
            <w:webHidden/>
          </w:rPr>
        </w:r>
        <w:r w:rsidR="00250EBD">
          <w:rPr>
            <w:noProof/>
            <w:webHidden/>
          </w:rPr>
          <w:fldChar w:fldCharType="separate"/>
        </w:r>
        <w:r w:rsidR="00250EBD">
          <w:rPr>
            <w:noProof/>
            <w:webHidden/>
          </w:rPr>
          <w:t>4</w:t>
        </w:r>
        <w:r w:rsidR="00250EBD">
          <w:rPr>
            <w:noProof/>
            <w:webHidden/>
          </w:rPr>
          <w:fldChar w:fldCharType="end"/>
        </w:r>
      </w:hyperlink>
    </w:p>
    <w:p w:rsidR="00250EBD" w:rsidRDefault="0095753F">
      <w:pPr>
        <w:pStyle w:val="TOC1"/>
        <w:rPr>
          <w:rFonts w:asciiTheme="minorHAnsi" w:eastAsiaTheme="minorEastAsia" w:hAnsiTheme="minorHAnsi"/>
          <w:b w:val="0"/>
          <w:noProof/>
          <w:color w:val="auto"/>
          <w:sz w:val="22"/>
          <w:lang w:eastAsia="en-NZ"/>
        </w:rPr>
      </w:pPr>
      <w:hyperlink w:anchor="_Toc16689031" w:history="1">
        <w:r w:rsidR="00250EBD" w:rsidRPr="005C1B87">
          <w:rPr>
            <w:rStyle w:val="Hyperlink"/>
            <w:noProof/>
          </w:rPr>
          <w:t>The Ombudsman’s role</w:t>
        </w:r>
        <w:r w:rsidR="00250EBD">
          <w:rPr>
            <w:noProof/>
            <w:webHidden/>
          </w:rPr>
          <w:tab/>
        </w:r>
        <w:r w:rsidR="00250EBD">
          <w:rPr>
            <w:noProof/>
            <w:webHidden/>
          </w:rPr>
          <w:fldChar w:fldCharType="begin"/>
        </w:r>
        <w:r w:rsidR="00250EBD">
          <w:rPr>
            <w:noProof/>
            <w:webHidden/>
          </w:rPr>
          <w:instrText xml:space="preserve"> PAGEREF _Toc16689031 \h </w:instrText>
        </w:r>
        <w:r w:rsidR="00250EBD">
          <w:rPr>
            <w:noProof/>
            <w:webHidden/>
          </w:rPr>
        </w:r>
        <w:r w:rsidR="00250EBD">
          <w:rPr>
            <w:noProof/>
            <w:webHidden/>
          </w:rPr>
          <w:fldChar w:fldCharType="separate"/>
        </w:r>
        <w:r w:rsidR="00250EBD">
          <w:rPr>
            <w:noProof/>
            <w:webHidden/>
          </w:rPr>
          <w:t>4</w:t>
        </w:r>
        <w:r w:rsidR="00250EBD">
          <w:rPr>
            <w:noProof/>
            <w:webHidden/>
          </w:rPr>
          <w:fldChar w:fldCharType="end"/>
        </w:r>
      </w:hyperlink>
    </w:p>
    <w:p w:rsidR="004D56CF" w:rsidRDefault="004238B7" w:rsidP="003A63ED">
      <w:pPr>
        <w:pStyle w:val="Heading1"/>
      </w:pPr>
      <w:r>
        <w:fldChar w:fldCharType="end"/>
      </w:r>
      <w:bookmarkStart w:id="2" w:name="_Toc16689025"/>
      <w:r>
        <w:t>What is an OIA request?</w:t>
      </w:r>
      <w:bookmarkEnd w:id="2"/>
    </w:p>
    <w:p w:rsidR="004D56CF" w:rsidRDefault="004238B7" w:rsidP="004D56CF">
      <w:pPr>
        <w:pStyle w:val="BodyText"/>
      </w:pPr>
      <w:r>
        <w:t>An OIA request is one for any information held by the BOT. This includes information held by employees and contractors of the BOT, in their capacity as employees and contractors.</w:t>
      </w:r>
      <w:r>
        <w:rPr>
          <w:rStyle w:val="FootnoteReference"/>
        </w:rPr>
        <w:footnoteReference w:id="3"/>
      </w:r>
      <w:r w:rsidRPr="009D5B85">
        <w:rPr>
          <w:rStyle w:val="FootnoteReference"/>
        </w:rPr>
        <w:t xml:space="preserve"> </w:t>
      </w:r>
      <w:r>
        <w:t xml:space="preserve">  There is no set form for making an OIA request, and BOTs cannot insist that requesters follow a particular form in order for their request to be accepted. OIA requests can be made orally or in writing; in hardcopy or in electronic form; and the requester does not need to refer to the OIA when making their request.</w:t>
      </w:r>
      <w:r>
        <w:rPr>
          <w:rStyle w:val="FootnoteReference"/>
        </w:rPr>
        <w:footnoteReference w:id="4"/>
      </w:r>
      <w:r>
        <w:t xml:space="preserve"> Put simply: if the requester is seeking information held by the BOT then it is an OIA request. </w:t>
      </w:r>
    </w:p>
    <w:tbl>
      <w:tblPr>
        <w:tblStyle w:val="TableBox"/>
        <w:tblW w:w="9297" w:type="dxa"/>
        <w:tblLook w:val="04A0" w:firstRow="1" w:lastRow="0" w:firstColumn="1" w:lastColumn="0" w:noHBand="0" w:noVBand="1"/>
      </w:tblPr>
      <w:tblGrid>
        <w:gridCol w:w="9297"/>
      </w:tblGrid>
      <w:tr w:rsidR="00C03814" w:rsidTr="00511D84">
        <w:tc>
          <w:tcPr>
            <w:tcW w:w="9401" w:type="dxa"/>
          </w:tcPr>
          <w:p w:rsidR="004D56CF" w:rsidRPr="007D5753" w:rsidRDefault="004238B7" w:rsidP="00511D84">
            <w:pPr>
              <w:pStyle w:val="Headingboxtexttop"/>
            </w:pPr>
            <w:r>
              <w:t>Personal information and the Privacy Act</w:t>
            </w:r>
          </w:p>
          <w:p w:rsidR="004D56CF" w:rsidRDefault="004238B7" w:rsidP="00511D84">
            <w:pPr>
              <w:pStyle w:val="BodyText"/>
            </w:pPr>
            <w:r w:rsidRPr="001144A8">
              <w:t>A request for official information that is personal information about the requester is considered under the Privacy Act not the OIA. Some requests will seek information that is both personal information about the requester and information about other people or subjects, in which case they must be considered under both the OIA and the Privacy Act.</w:t>
            </w:r>
          </w:p>
        </w:tc>
      </w:tr>
    </w:tbl>
    <w:p w:rsidR="004D56CF" w:rsidRDefault="004238B7" w:rsidP="004D56CF">
      <w:pPr>
        <w:pStyle w:val="Heading1"/>
      </w:pPr>
      <w:bookmarkStart w:id="3" w:name="_Toc16689026"/>
      <w:r>
        <w:t>Who can make an OIA request?</w:t>
      </w:r>
      <w:bookmarkEnd w:id="3"/>
    </w:p>
    <w:p w:rsidR="004D56CF" w:rsidRDefault="004238B7" w:rsidP="004D56CF">
      <w:pPr>
        <w:pStyle w:val="BodyText"/>
      </w:pPr>
      <w:r>
        <w:t>OIA requests can be made by any New Zealand citizens and permanent residents or anyone in New Zealand, as well as companies or incorporated societies that are incorporated or have a place of business in New Zealand</w:t>
      </w:r>
      <w:r>
        <w:rPr>
          <w:rStyle w:val="FootnoteReference"/>
        </w:rPr>
        <w:footnoteReference w:id="5"/>
      </w:r>
      <w:r>
        <w:t xml:space="preserve">—requesters don’t have to be associated with the school. BOTs can ask a requester for information that is necessary to ascertain whether that person is eligible to make an OIA request. However, they should not impose unnecessary or unreasonable requirements. In most cases it should be reasonably clear from the surrounding facts that a request has been made by an eligible person. Even if the OIA doesn’t apply, BOTs should provide a reasonable response to ineligible requesters, as their response could still be investigated under the Ombudsmen Act. </w:t>
      </w:r>
    </w:p>
    <w:p w:rsidR="004D56CF" w:rsidRDefault="004238B7" w:rsidP="004D56CF">
      <w:pPr>
        <w:pStyle w:val="Heading1"/>
      </w:pPr>
      <w:bookmarkStart w:id="4" w:name="_Toc16689027"/>
      <w:r>
        <w:t>Why does the requester want the information?</w:t>
      </w:r>
      <w:bookmarkEnd w:id="4"/>
    </w:p>
    <w:p w:rsidR="004D56CF" w:rsidRDefault="004238B7" w:rsidP="004D56CF">
      <w:pPr>
        <w:pStyle w:val="BodyText"/>
      </w:pPr>
      <w:r>
        <w:t xml:space="preserve">A requester may give reasons for making an OIA request but there is no obligation on them to do so. BOTs can ask for this information if they think it would be helpful in reaching a decision, but they cannot insist that it be provided. BOTs should be careful not to suggest that the supply of reasons by the requester is a prerequisite for getting an answer to their OIA request. If a requester chooses not to state their reasons for making an OIA request the BOT must still fulfil its legal obligations under the OIA. </w:t>
      </w:r>
    </w:p>
    <w:p w:rsidR="004D56CF" w:rsidRDefault="004238B7" w:rsidP="004D56CF">
      <w:pPr>
        <w:pStyle w:val="Heading1"/>
      </w:pPr>
      <w:bookmarkStart w:id="5" w:name="_Toc16689028"/>
      <w:r>
        <w:t>What are the legal obligations?</w:t>
      </w:r>
      <w:bookmarkEnd w:id="5"/>
    </w:p>
    <w:p w:rsidR="004D56CF" w:rsidRDefault="004238B7" w:rsidP="004D56CF">
      <w:pPr>
        <w:pStyle w:val="BodyText"/>
      </w:pPr>
      <w:r>
        <w:t>The key legal obligations on BOTs are:</w:t>
      </w:r>
    </w:p>
    <w:p w:rsidR="004D56CF" w:rsidRDefault="004238B7" w:rsidP="004D56CF">
      <w:pPr>
        <w:pStyle w:val="Bullet1"/>
      </w:pPr>
      <w:r>
        <w:t>To provide reasonable assistance to a requester to make their request.</w:t>
      </w:r>
      <w:r>
        <w:rPr>
          <w:rStyle w:val="FootnoteReference"/>
        </w:rPr>
        <w:footnoteReference w:id="6"/>
      </w:r>
      <w:r w:rsidRPr="00F128D0">
        <w:rPr>
          <w:rStyle w:val="FootnoteReference"/>
        </w:rPr>
        <w:t xml:space="preserve"> </w:t>
      </w:r>
    </w:p>
    <w:p w:rsidR="004D56CF" w:rsidRDefault="004238B7" w:rsidP="004D56CF">
      <w:pPr>
        <w:pStyle w:val="Bullet1"/>
      </w:pPr>
      <w:r>
        <w:t>To tell the requester the decision on their request as soon as reasonably practicable and within 20 working days (unless that time limit is extended).</w:t>
      </w:r>
      <w:r>
        <w:rPr>
          <w:rStyle w:val="FootnoteReference"/>
        </w:rPr>
        <w:footnoteReference w:id="7"/>
      </w:r>
      <w:r w:rsidRPr="00F128D0">
        <w:rPr>
          <w:rStyle w:val="FootnoteReference"/>
        </w:rPr>
        <w:t xml:space="preserve"> </w:t>
      </w:r>
    </w:p>
    <w:p w:rsidR="004D56CF" w:rsidRDefault="004238B7" w:rsidP="004D56CF">
      <w:pPr>
        <w:pStyle w:val="Bullet1"/>
      </w:pPr>
      <w:r>
        <w:t xml:space="preserve">To release information unless there is a </w:t>
      </w:r>
      <w:r>
        <w:rPr>
          <w:rStyle w:val="Quotationwithinthesentence"/>
        </w:rPr>
        <w:t>‘</w:t>
      </w:r>
      <w:r w:rsidRPr="004E21FF">
        <w:rPr>
          <w:rStyle w:val="Quotationwithinthesentence"/>
        </w:rPr>
        <w:t>good reason</w:t>
      </w:r>
      <w:r>
        <w:rPr>
          <w:rStyle w:val="Quotationwithinthesentence"/>
        </w:rPr>
        <w:t>’</w:t>
      </w:r>
      <w:r>
        <w:rPr>
          <w:rStyle w:val="FootnoteReference"/>
        </w:rPr>
        <w:footnoteReference w:id="8"/>
      </w:r>
      <w:r w:rsidRPr="00F128D0">
        <w:rPr>
          <w:rStyle w:val="FootnoteReference"/>
        </w:rPr>
        <w:t xml:space="preserve"> </w:t>
      </w:r>
      <w:r>
        <w:t xml:space="preserve">or an </w:t>
      </w:r>
      <w:r>
        <w:rPr>
          <w:rStyle w:val="Quotationwithinthesentence"/>
        </w:rPr>
        <w:t>‘</w:t>
      </w:r>
      <w:r w:rsidRPr="004E21FF">
        <w:rPr>
          <w:rStyle w:val="Quotationwithinthesentence"/>
        </w:rPr>
        <w:t>administrative reason</w:t>
      </w:r>
      <w:r>
        <w:rPr>
          <w:rStyle w:val="Quotationwithinthesentence"/>
        </w:rPr>
        <w:t>’</w:t>
      </w:r>
      <w:r>
        <w:rPr>
          <w:rStyle w:val="FootnoteReference"/>
        </w:rPr>
        <w:footnoteReference w:id="9"/>
      </w:r>
      <w:r w:rsidRPr="00F128D0">
        <w:rPr>
          <w:rStyle w:val="FootnoteReference"/>
        </w:rPr>
        <w:t xml:space="preserve"> </w:t>
      </w:r>
      <w:r>
        <w:t>under the OIA for refusing to do so.</w:t>
      </w:r>
    </w:p>
    <w:p w:rsidR="004D56CF" w:rsidRDefault="004238B7" w:rsidP="004D56CF">
      <w:pPr>
        <w:pStyle w:val="Bullet1"/>
      </w:pPr>
      <w:r>
        <w:t>To release information without undue delay.</w:t>
      </w:r>
      <w:r>
        <w:rPr>
          <w:rStyle w:val="FootnoteReference"/>
        </w:rPr>
        <w:footnoteReference w:id="10"/>
      </w:r>
      <w:r w:rsidRPr="00F128D0">
        <w:rPr>
          <w:rStyle w:val="FootnoteReference"/>
        </w:rPr>
        <w:t xml:space="preserve"> </w:t>
      </w:r>
    </w:p>
    <w:p w:rsidR="004D56CF" w:rsidRDefault="004238B7" w:rsidP="004D56CF">
      <w:pPr>
        <w:pStyle w:val="Bullet1"/>
      </w:pPr>
      <w:r>
        <w:t>Where a request is refused, to tell the requester the reasons for the refusal, and that they have a right to complain to the Ombudsman about that refusal.</w:t>
      </w:r>
      <w:r>
        <w:rPr>
          <w:rStyle w:val="FootnoteReference"/>
        </w:rPr>
        <w:footnoteReference w:id="11"/>
      </w:r>
      <w:r>
        <w:t xml:space="preserve"> </w:t>
      </w:r>
    </w:p>
    <w:p w:rsidR="004D56CF" w:rsidRDefault="004238B7" w:rsidP="00504ABF">
      <w:pPr>
        <w:pStyle w:val="Heading1"/>
      </w:pPr>
      <w:bookmarkStart w:id="6" w:name="_Toc16689029"/>
      <w:r>
        <w:t>Special rights of access</w:t>
      </w:r>
      <w:bookmarkEnd w:id="6"/>
    </w:p>
    <w:p w:rsidR="004D56CF" w:rsidRDefault="004238B7" w:rsidP="00504ABF">
      <w:pPr>
        <w:pStyle w:val="BodyText"/>
        <w:keepNext/>
        <w:keepLines/>
      </w:pPr>
      <w:r>
        <w:t>The OIA also contains special rights of access to:</w:t>
      </w:r>
    </w:p>
    <w:p w:rsidR="004D56CF" w:rsidRDefault="004238B7" w:rsidP="00504ABF">
      <w:pPr>
        <w:pStyle w:val="Bullet1"/>
        <w:keepNext/>
        <w:keepLines/>
      </w:pPr>
      <w:r>
        <w:t>Policies, principles, rules, or guidelines which affect decisions</w:t>
      </w:r>
      <w:r w:rsidRPr="00F128D0">
        <w:rPr>
          <w:rStyle w:val="BalloonTextChar"/>
          <w:sz w:val="21"/>
          <w:szCs w:val="21"/>
        </w:rPr>
        <w:t xml:space="preserve"> </w:t>
      </w:r>
      <w:r>
        <w:rPr>
          <w:rStyle w:val="FootnoteReference"/>
        </w:rPr>
        <w:footnoteReference w:id="12"/>
      </w:r>
      <w:r>
        <w:t xml:space="preserve"> </w:t>
      </w:r>
    </w:p>
    <w:p w:rsidR="004D56CF" w:rsidRDefault="004238B7" w:rsidP="004D56CF">
      <w:pPr>
        <w:pStyle w:val="Bullet1"/>
      </w:pPr>
      <w:r>
        <w:t>Reasons for decisions that have affected the requester personally.</w:t>
      </w:r>
      <w:r>
        <w:rPr>
          <w:rStyle w:val="FootnoteReference"/>
        </w:rPr>
        <w:footnoteReference w:id="13"/>
      </w:r>
      <w:r>
        <w:t xml:space="preserve">   </w:t>
      </w:r>
    </w:p>
    <w:p w:rsidR="004D56CF" w:rsidRDefault="004238B7" w:rsidP="004D56CF">
      <w:pPr>
        <w:pStyle w:val="BodyText"/>
      </w:pPr>
      <w:r>
        <w:t>The reasons for refusing such requests are more limited. In the school context it is difficult to see that there would be any basis for refusing to provide a requester with details of the policies, principles, rules or guidelines which inform the school’s decisions.</w:t>
      </w:r>
    </w:p>
    <w:p w:rsidR="004D56CF" w:rsidRDefault="004238B7" w:rsidP="004D56CF">
      <w:pPr>
        <w:pStyle w:val="Heading1"/>
      </w:pPr>
      <w:bookmarkStart w:id="7" w:name="_Toc16689030"/>
      <w:r>
        <w:t>Who can you ask for help?</w:t>
      </w:r>
      <w:bookmarkEnd w:id="7"/>
    </w:p>
    <w:p w:rsidR="004D56CF" w:rsidRDefault="004238B7" w:rsidP="004D56CF">
      <w:pPr>
        <w:pStyle w:val="BodyText"/>
      </w:pPr>
      <w:r>
        <w:t xml:space="preserve">If you receive an OIA request and need advice about the processing requirements you can call our office on 0800 802 602. A staff member will be happy to discuss the request with you in general terms, remembering that we cannot tell you what decision to make. You can also access helpful </w:t>
      </w:r>
      <w:hyperlink r:id="rId7" w:history="1">
        <w:r w:rsidRPr="008B48E4">
          <w:rPr>
            <w:rStyle w:val="Hyperlink"/>
          </w:rPr>
          <w:t>guides on our website</w:t>
        </w:r>
      </w:hyperlink>
      <w:r>
        <w:t xml:space="preserve">, as well as a </w:t>
      </w:r>
      <w:hyperlink r:id="rId8" w:history="1">
        <w:r w:rsidRPr="008B48E4">
          <w:rPr>
            <w:rStyle w:val="Hyperlink"/>
          </w:rPr>
          <w:t>response calculator</w:t>
        </w:r>
      </w:hyperlink>
      <w:r>
        <w:t>, to help you work out the date by which you need to respond to an OIA request.</w:t>
      </w:r>
    </w:p>
    <w:p w:rsidR="004D56CF" w:rsidRDefault="004238B7" w:rsidP="004D56CF">
      <w:pPr>
        <w:pStyle w:val="Heading1"/>
      </w:pPr>
      <w:bookmarkStart w:id="8" w:name="_Toc16689031"/>
      <w:r>
        <w:t>The Ombudsman’s role</w:t>
      </w:r>
      <w:bookmarkEnd w:id="8"/>
    </w:p>
    <w:p w:rsidR="00F63084" w:rsidRDefault="004238B7" w:rsidP="00AF4A99">
      <w:pPr>
        <w:pStyle w:val="BodyText"/>
      </w:pPr>
      <w:r>
        <w:t>The Ombudsman considers complaints by requesters who are unhappy with the response or lack of response to their OIA request. When we receive an OIA complaint an investigator assisting the Ombudsman may contact the school to make informal enquiries about the complaint. If the Ombudsman decides to investigate a complaint he or she will write to the Chair of the BOT providing details of the complaint and any response that may be sought. The Ombudsman’s role is to form an opinion on whether the request should have been refused, or whether the decision complained about is otherwise wrong or unreasonable. Before forming an adverse opinion the Ombudsman will give affected parties an opportunity to comment. Where the Ombudsman finds that a complaint has merit, they can make any recommendations they think fit.</w:t>
      </w:r>
    </w:p>
    <w:sectPr w:rsidR="00F63084" w:rsidSect="00FA5B4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3F" w:rsidRDefault="0095753F">
      <w:pPr>
        <w:spacing w:after="0" w:line="240" w:lineRule="auto"/>
      </w:pPr>
      <w:r>
        <w:separator/>
      </w:r>
    </w:p>
  </w:endnote>
  <w:endnote w:type="continuationSeparator" w:id="0">
    <w:p w:rsidR="0095753F" w:rsidRDefault="0095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95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95753F" w:rsidP="00B81F45">
    <w:pPr>
      <w:pStyle w:val="Footerline"/>
    </w:pPr>
  </w:p>
  <w:p w:rsidR="00FA5B4B" w:rsidRPr="0059155D" w:rsidRDefault="0095753F" w:rsidP="00B81F45">
    <w:pPr>
      <w:pStyle w:val="Footerline"/>
    </w:pPr>
  </w:p>
  <w:p w:rsidR="00FA5B4B" w:rsidRPr="005533D8" w:rsidRDefault="004238B7" w:rsidP="00B81F45">
    <w:pPr>
      <w:pStyle w:val="Footer"/>
    </w:pPr>
    <w:fldSimple w:instr=" DOCVARIABLE  dvShortText ">
      <w:r w:rsidR="00250EBD">
        <w:t>Guide: The OIA and school boards of trustees May 2017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82E4F">
      <w:rPr>
        <w:rStyle w:val="PageNumber"/>
        <w:noProof/>
      </w:rPr>
      <w:t>2</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95753F" w:rsidP="00AA3322">
    <w:pPr>
      <w:pStyle w:val="Footerline"/>
    </w:pPr>
  </w:p>
  <w:p w:rsidR="00FA5B4B" w:rsidRPr="0059155D" w:rsidRDefault="0095753F" w:rsidP="00AA3322">
    <w:pPr>
      <w:pStyle w:val="Footerline"/>
    </w:pPr>
  </w:p>
  <w:p w:rsidR="00FA5B4B" w:rsidRPr="005533D8" w:rsidRDefault="004238B7" w:rsidP="00AA3322">
    <w:pPr>
      <w:pStyle w:val="Footer"/>
    </w:pPr>
    <w:fldSimple w:instr=" DOCVARIABLE  dvShortText ">
      <w:r w:rsidR="00250EBD">
        <w:t>Guide: The OIA and school boards of trustees May 2017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95753F">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3F" w:rsidRPr="00D45126" w:rsidRDefault="0095753F" w:rsidP="00257DA0">
      <w:pPr>
        <w:spacing w:after="0" w:line="240" w:lineRule="auto"/>
        <w:rPr>
          <w:color w:val="4D4D4D"/>
        </w:rPr>
      </w:pPr>
      <w:r w:rsidRPr="00D45126">
        <w:rPr>
          <w:color w:val="4D4D4D"/>
        </w:rPr>
        <w:separator/>
      </w:r>
    </w:p>
  </w:footnote>
  <w:footnote w:type="continuationSeparator" w:id="0">
    <w:p w:rsidR="0095753F" w:rsidRPr="00C14083" w:rsidRDefault="0095753F" w:rsidP="00554FCD">
      <w:pPr>
        <w:spacing w:after="0" w:line="240" w:lineRule="auto"/>
        <w:rPr>
          <w:color w:val="4D4D4D"/>
        </w:rPr>
      </w:pPr>
      <w:r w:rsidRPr="00C14083">
        <w:rPr>
          <w:color w:val="4D4D4D"/>
        </w:rPr>
        <w:continuationSeparator/>
      </w:r>
    </w:p>
  </w:footnote>
  <w:footnote w:type="continuationNotice" w:id="1">
    <w:p w:rsidR="0095753F" w:rsidRDefault="0095753F">
      <w:pPr>
        <w:spacing w:after="0" w:line="240" w:lineRule="auto"/>
      </w:pPr>
    </w:p>
  </w:footnote>
  <w:footnote w:id="2">
    <w:p w:rsidR="004D56CF" w:rsidRPr="009701EA" w:rsidRDefault="004238B7" w:rsidP="004D56CF">
      <w:pPr>
        <w:pStyle w:val="FootnoteText"/>
        <w:rPr>
          <w:sz w:val="16"/>
          <w:szCs w:val="16"/>
        </w:rPr>
      </w:pPr>
      <w:r w:rsidRPr="00A44106">
        <w:rPr>
          <w:rStyle w:val="FootnoteReference"/>
        </w:rPr>
        <w:footnoteRef/>
      </w:r>
      <w:r>
        <w:t xml:space="preserve"> </w:t>
      </w:r>
      <w:r>
        <w:tab/>
      </w:r>
      <w:r w:rsidRPr="00A44106">
        <w:t>Boards of Trustees constituted under Part 9 of the Education Act 1989 are listed in Schedule 1 of the Ombudsmen Act</w:t>
      </w:r>
      <w:r>
        <w:t xml:space="preserve"> 1975, which means they are an </w:t>
      </w:r>
      <w:r w:rsidRPr="004D56CF">
        <w:rPr>
          <w:i/>
        </w:rPr>
        <w:t>‘organisation’</w:t>
      </w:r>
      <w:r w:rsidRPr="00A44106">
        <w:t xml:space="preserve"> for the purposes of the OIA (see section 2).</w:t>
      </w:r>
    </w:p>
  </w:footnote>
  <w:footnote w:id="3">
    <w:p w:rsidR="004D56CF" w:rsidRPr="009701EA" w:rsidRDefault="004238B7" w:rsidP="004D56CF">
      <w:pPr>
        <w:pStyle w:val="FootnoteText"/>
        <w:rPr>
          <w:sz w:val="16"/>
          <w:szCs w:val="16"/>
        </w:rPr>
      </w:pPr>
      <w:r w:rsidRPr="009D5B85">
        <w:rPr>
          <w:rStyle w:val="FootnoteReference"/>
        </w:rPr>
        <w:footnoteRef/>
      </w:r>
      <w:r w:rsidRPr="009701EA">
        <w:rPr>
          <w:sz w:val="16"/>
          <w:szCs w:val="16"/>
        </w:rPr>
        <w:t xml:space="preserve"> </w:t>
      </w:r>
      <w:r>
        <w:rPr>
          <w:sz w:val="16"/>
          <w:szCs w:val="16"/>
        </w:rPr>
        <w:tab/>
      </w:r>
      <w:r w:rsidRPr="009D5B85">
        <w:t xml:space="preserve">See </w:t>
      </w:r>
      <w:r>
        <w:t>s</w:t>
      </w:r>
      <w:r w:rsidRPr="009D5B85">
        <w:t xml:space="preserve"> 2(4) and (5).</w:t>
      </w:r>
    </w:p>
  </w:footnote>
  <w:footnote w:id="4">
    <w:p w:rsidR="00504ABF" w:rsidRDefault="004238B7">
      <w:pPr>
        <w:pStyle w:val="FootnoteText"/>
      </w:pPr>
      <w:r>
        <w:rPr>
          <w:rStyle w:val="FootnoteReference"/>
        </w:rPr>
        <w:footnoteRef/>
      </w:r>
      <w:r>
        <w:t xml:space="preserve"> </w:t>
      </w:r>
      <w:r>
        <w:tab/>
        <w:t>See s 12(1AA).</w:t>
      </w:r>
    </w:p>
  </w:footnote>
  <w:footnote w:id="5">
    <w:p w:rsidR="004D56CF" w:rsidRDefault="004238B7" w:rsidP="004D56CF">
      <w:pPr>
        <w:pStyle w:val="FootnoteText"/>
      </w:pPr>
      <w:r w:rsidRPr="00B50C47">
        <w:rPr>
          <w:rStyle w:val="FootnoteReference"/>
        </w:rPr>
        <w:footnoteRef/>
      </w:r>
      <w:r w:rsidRPr="009701EA">
        <w:rPr>
          <w:sz w:val="16"/>
          <w:szCs w:val="16"/>
        </w:rPr>
        <w:t xml:space="preserve"> </w:t>
      </w:r>
      <w:r>
        <w:rPr>
          <w:sz w:val="16"/>
          <w:szCs w:val="16"/>
        </w:rPr>
        <w:tab/>
      </w:r>
      <w:r w:rsidRPr="00B50C47">
        <w:t xml:space="preserve">See </w:t>
      </w:r>
      <w:r>
        <w:t>s</w:t>
      </w:r>
      <w:r w:rsidRPr="00B50C47">
        <w:t xml:space="preserve"> 12(1).</w:t>
      </w:r>
    </w:p>
  </w:footnote>
  <w:footnote w:id="6">
    <w:p w:rsidR="004D56CF" w:rsidRPr="00F128D0" w:rsidRDefault="004238B7" w:rsidP="004D56CF">
      <w:pPr>
        <w:pStyle w:val="FootnoteText"/>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13.</w:t>
      </w:r>
    </w:p>
  </w:footnote>
  <w:footnote w:id="7">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r>
        <w:t>ss</w:t>
      </w:r>
      <w:r w:rsidRPr="00F128D0">
        <w:t xml:space="preserve"> 15 and 15A.</w:t>
      </w:r>
    </w:p>
  </w:footnote>
  <w:footnote w:id="8">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r>
        <w:t>ss</w:t>
      </w:r>
      <w:r w:rsidRPr="00F128D0">
        <w:t xml:space="preserve"> 5, 6 and 9.</w:t>
      </w:r>
    </w:p>
  </w:footnote>
  <w:footnote w:id="9">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r>
        <w:t>s</w:t>
      </w:r>
      <w:r w:rsidRPr="00F128D0">
        <w:t xml:space="preserve"> 18.</w:t>
      </w:r>
    </w:p>
  </w:footnote>
  <w:footnote w:id="10">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r>
        <w:t>s</w:t>
      </w:r>
      <w:r w:rsidRPr="00F128D0">
        <w:t xml:space="preserve"> 28(5).</w:t>
      </w:r>
    </w:p>
  </w:footnote>
  <w:footnote w:id="11">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19.</w:t>
      </w:r>
    </w:p>
  </w:footnote>
  <w:footnote w:id="12">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22.</w:t>
      </w:r>
    </w:p>
  </w:footnote>
  <w:footnote w:id="13">
    <w:p w:rsidR="004D56CF" w:rsidRDefault="004238B7" w:rsidP="004D56CF">
      <w:pPr>
        <w:pStyle w:val="FootnoteText"/>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957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Default="004238B7" w:rsidP="00B81F45">
    <w:pPr>
      <w:pStyle w:val="Header"/>
      <w:tabs>
        <w:tab w:val="clear" w:pos="9299"/>
        <w:tab w:val="right" w:pos="9321"/>
      </w:tabs>
      <w:rPr>
        <w:rStyle w:val="PageNumber"/>
      </w:rPr>
    </w:pPr>
    <w:r>
      <w:t xml:space="preserve">Office of the Ombudsman | </w:t>
    </w:r>
    <w:r w:rsidRPr="00DD54DF">
      <w:t>Tari o te Kaitiaki Mana Tangata</w:t>
    </w:r>
  </w:p>
  <w:p w:rsidR="00FA5B4B" w:rsidRPr="00661EC9" w:rsidRDefault="0095753F"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77590F" w:rsidRDefault="004238B7" w:rsidP="0077590F">
    <w:pPr>
      <w:pStyle w:val="BodyText"/>
    </w:pPr>
    <w:bookmarkStart w:id="9" w:name="BG_Colou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84659"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28C2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FC728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7966D23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4E158FF"/>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8"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9"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BA3415"/>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2"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2"/>
  </w:num>
  <w:num w:numId="2">
    <w:abstractNumId w:val="5"/>
  </w:num>
  <w:num w:numId="3">
    <w:abstractNumId w:val="15"/>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9"/>
  </w:num>
  <w:num w:numId="8">
    <w:abstractNumId w:val="19"/>
  </w:num>
  <w:num w:numId="9">
    <w:abstractNumId w:val="9"/>
  </w:num>
  <w:num w:numId="10">
    <w:abstractNumId w:val="13"/>
  </w:num>
  <w:num w:numId="11">
    <w:abstractNumId w:val="28"/>
  </w:num>
  <w:num w:numId="12">
    <w:abstractNumId w:val="14"/>
  </w:num>
  <w:num w:numId="13">
    <w:abstractNumId w:val="8"/>
  </w:num>
  <w:num w:numId="14">
    <w:abstractNumId w:val="11"/>
  </w:num>
  <w:num w:numId="15">
    <w:abstractNumId w:val="6"/>
  </w:num>
  <w:num w:numId="16">
    <w:abstractNumId w:val="26"/>
  </w:num>
  <w:num w:numId="17">
    <w:abstractNumId w:val="21"/>
  </w:num>
  <w:num w:numId="18">
    <w:abstractNumId w:val="27"/>
  </w:num>
  <w:num w:numId="19">
    <w:abstractNumId w:val="17"/>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16"/>
  </w:num>
  <w:num w:numId="25">
    <w:abstractNumId w:val="18"/>
  </w:num>
  <w:num w:numId="26">
    <w:abstractNumId w:val="8"/>
  </w:num>
  <w:num w:numId="27">
    <w:abstractNumId w:val="11"/>
  </w:num>
  <w:num w:numId="28">
    <w:abstractNumId w:val="11"/>
  </w:num>
  <w:num w:numId="29">
    <w:abstractNumId w:val="11"/>
  </w:num>
  <w:num w:numId="30">
    <w:abstractNumId w:val="29"/>
  </w:num>
  <w:num w:numId="31">
    <w:abstractNumId w:val="7"/>
  </w:num>
  <w:num w:numId="32">
    <w:abstractNumId w:val="20"/>
  </w:num>
  <w:num w:numId="33">
    <w:abstractNumId w:val="12"/>
  </w:num>
  <w:num w:numId="34">
    <w:abstractNumId w:val="2"/>
  </w:num>
  <w:num w:numId="35">
    <w:abstractNumId w:val="1"/>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dvShortText" w:val="Guide: The OIA and school boards of trustees May 2017 |"/>
    <w:docVar w:name="dvShortTextFrm" w:val="Guide: The OIA and school boards of trustees May 2017"/>
    <w:docVar w:name="IsfirstTb" w:val="True"/>
    <w:docVar w:name="IsInTable" w:val="False"/>
    <w:docVar w:name="OOTOTemplate" w:val="OOTO Strategic Services\Guide.dotm"/>
  </w:docVars>
  <w:rsids>
    <w:rsidRoot w:val="00C03814"/>
    <w:rsid w:val="00106F7F"/>
    <w:rsid w:val="00250EBD"/>
    <w:rsid w:val="004238B7"/>
    <w:rsid w:val="00482E4F"/>
    <w:rsid w:val="008B48E4"/>
    <w:rsid w:val="0095753F"/>
    <w:rsid w:val="00C0381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260799"/>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56954"/>
    <w:rPr>
      <w:color w:val="4D4D4D"/>
      <w:sz w:val="24"/>
      <w:vertAlign w:val="superscript"/>
    </w:rPr>
  </w:style>
  <w:style w:type="paragraph" w:styleId="ListBullet">
    <w:name w:val="List Bullet"/>
    <w:basedOn w:val="Normal"/>
    <w:uiPriority w:val="3"/>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4D56CF"/>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rsid w:val="00EC70DD"/>
    <w:pPr>
      <w:numPr>
        <w:ilvl w:val="1"/>
        <w:numId w:val="2"/>
      </w:numPr>
    </w:pPr>
  </w:style>
  <w:style w:type="paragraph" w:styleId="ListBullet3">
    <w:name w:val="List Bullet 3"/>
    <w:basedOn w:val="Normal"/>
    <w:uiPriority w:val="3"/>
    <w:rsid w:val="00EC70DD"/>
    <w:pPr>
      <w:numPr>
        <w:ilvl w:val="2"/>
        <w:numId w:val="2"/>
      </w:numPr>
    </w:pPr>
  </w:style>
  <w:style w:type="paragraph" w:styleId="ListBullet4">
    <w:name w:val="List Bullet 4"/>
    <w:basedOn w:val="Normal"/>
    <w:uiPriority w:val="3"/>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4D56CF"/>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2"/>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2"/>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numbering" w:styleId="111111">
    <w:name w:val="Outline List 2"/>
    <w:basedOn w:val="NoList"/>
    <w:uiPriority w:val="99"/>
    <w:semiHidden/>
    <w:unhideWhenUsed/>
    <w:rsid w:val="004D56CF"/>
    <w:pPr>
      <w:numPr>
        <w:numId w:val="32"/>
      </w:numPr>
    </w:pPr>
  </w:style>
  <w:style w:type="numbering" w:styleId="1ai">
    <w:name w:val="Outline List 1"/>
    <w:basedOn w:val="NoList"/>
    <w:uiPriority w:val="99"/>
    <w:semiHidden/>
    <w:unhideWhenUsed/>
    <w:rsid w:val="004D56CF"/>
    <w:pPr>
      <w:numPr>
        <w:numId w:val="33"/>
      </w:numPr>
    </w:pPr>
  </w:style>
  <w:style w:type="paragraph" w:styleId="BlockText">
    <w:name w:val="Block Text"/>
    <w:basedOn w:val="Normal"/>
    <w:uiPriority w:val="99"/>
    <w:semiHidden/>
    <w:unhideWhenUsed/>
    <w:rsid w:val="004D56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4D56CF"/>
    <w:pPr>
      <w:spacing w:after="120" w:line="480" w:lineRule="auto"/>
    </w:pPr>
  </w:style>
  <w:style w:type="character" w:customStyle="1" w:styleId="BodyText2Char">
    <w:name w:val="Body Text 2 Char"/>
    <w:basedOn w:val="DefaultParagraphFont"/>
    <w:link w:val="BodyText2"/>
    <w:uiPriority w:val="99"/>
    <w:semiHidden/>
    <w:rsid w:val="004D56CF"/>
    <w:rPr>
      <w:rFonts w:ascii="Calibri" w:hAnsi="Calibri"/>
      <w:color w:val="1E1E1E"/>
      <w:sz w:val="24"/>
    </w:rPr>
  </w:style>
  <w:style w:type="paragraph" w:styleId="BodyText3">
    <w:name w:val="Body Text 3"/>
    <w:basedOn w:val="Normal"/>
    <w:link w:val="BodyText3Char"/>
    <w:uiPriority w:val="99"/>
    <w:semiHidden/>
    <w:unhideWhenUsed/>
    <w:rsid w:val="004D56CF"/>
    <w:pPr>
      <w:spacing w:after="120"/>
    </w:pPr>
    <w:rPr>
      <w:sz w:val="16"/>
      <w:szCs w:val="16"/>
    </w:rPr>
  </w:style>
  <w:style w:type="character" w:customStyle="1" w:styleId="BodyText3Char">
    <w:name w:val="Body Text 3 Char"/>
    <w:basedOn w:val="DefaultParagraphFont"/>
    <w:link w:val="BodyText3"/>
    <w:uiPriority w:val="99"/>
    <w:semiHidden/>
    <w:rsid w:val="004D56CF"/>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4D56CF"/>
    <w:pPr>
      <w:ind w:firstLine="360"/>
    </w:pPr>
  </w:style>
  <w:style w:type="character" w:customStyle="1" w:styleId="BodyTextFirstIndentChar">
    <w:name w:val="Body Text First Indent Char"/>
    <w:basedOn w:val="BodyTextChar"/>
    <w:link w:val="BodyTextFirstIndent"/>
    <w:uiPriority w:val="99"/>
    <w:semiHidden/>
    <w:rsid w:val="004D56CF"/>
    <w:rPr>
      <w:rFonts w:ascii="Calibri" w:hAnsi="Calibri"/>
      <w:color w:val="1E1E1E"/>
      <w:sz w:val="24"/>
    </w:rPr>
  </w:style>
  <w:style w:type="paragraph" w:styleId="BodyTextIndent">
    <w:name w:val="Body Text Indent"/>
    <w:basedOn w:val="Normal"/>
    <w:link w:val="BodyTextIndentChar"/>
    <w:uiPriority w:val="99"/>
    <w:semiHidden/>
    <w:unhideWhenUsed/>
    <w:rsid w:val="004D56CF"/>
    <w:pPr>
      <w:spacing w:after="120"/>
      <w:ind w:left="283"/>
    </w:pPr>
  </w:style>
  <w:style w:type="character" w:customStyle="1" w:styleId="BodyTextIndentChar">
    <w:name w:val="Body Text Indent Char"/>
    <w:basedOn w:val="DefaultParagraphFont"/>
    <w:link w:val="BodyTextIndent"/>
    <w:uiPriority w:val="99"/>
    <w:semiHidden/>
    <w:rsid w:val="004D56CF"/>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4D56C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D56CF"/>
    <w:rPr>
      <w:rFonts w:ascii="Calibri" w:hAnsi="Calibri"/>
      <w:color w:val="1E1E1E"/>
      <w:sz w:val="24"/>
    </w:rPr>
  </w:style>
  <w:style w:type="paragraph" w:styleId="BodyTextIndent2">
    <w:name w:val="Body Text Indent 2"/>
    <w:basedOn w:val="Normal"/>
    <w:link w:val="BodyTextIndent2Char"/>
    <w:uiPriority w:val="99"/>
    <w:semiHidden/>
    <w:unhideWhenUsed/>
    <w:rsid w:val="004D56CF"/>
    <w:pPr>
      <w:spacing w:after="120" w:line="480" w:lineRule="auto"/>
      <w:ind w:left="283"/>
    </w:pPr>
  </w:style>
  <w:style w:type="character" w:customStyle="1" w:styleId="BodyTextIndent2Char">
    <w:name w:val="Body Text Indent 2 Char"/>
    <w:basedOn w:val="DefaultParagraphFont"/>
    <w:link w:val="BodyTextIndent2"/>
    <w:uiPriority w:val="99"/>
    <w:semiHidden/>
    <w:rsid w:val="004D56CF"/>
    <w:rPr>
      <w:rFonts w:ascii="Calibri" w:hAnsi="Calibri"/>
      <w:color w:val="1E1E1E"/>
      <w:sz w:val="24"/>
    </w:rPr>
  </w:style>
  <w:style w:type="paragraph" w:styleId="BodyTextIndent3">
    <w:name w:val="Body Text Indent 3"/>
    <w:basedOn w:val="Normal"/>
    <w:link w:val="BodyTextIndent3Char"/>
    <w:uiPriority w:val="99"/>
    <w:semiHidden/>
    <w:unhideWhenUsed/>
    <w:rsid w:val="004D56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56CF"/>
    <w:rPr>
      <w:rFonts w:ascii="Calibri" w:hAnsi="Calibri"/>
      <w:color w:val="1E1E1E"/>
      <w:sz w:val="16"/>
      <w:szCs w:val="16"/>
    </w:rPr>
  </w:style>
  <w:style w:type="character" w:styleId="BookTitle">
    <w:name w:val="Book Title"/>
    <w:basedOn w:val="DefaultParagraphFont"/>
    <w:uiPriority w:val="33"/>
    <w:semiHidden/>
    <w:rsid w:val="004D56CF"/>
    <w:rPr>
      <w:b/>
      <w:bCs/>
      <w:smallCaps/>
      <w:spacing w:val="5"/>
    </w:rPr>
  </w:style>
  <w:style w:type="paragraph" w:styleId="Closing">
    <w:name w:val="Closing"/>
    <w:basedOn w:val="Normal"/>
    <w:link w:val="ClosingChar"/>
    <w:uiPriority w:val="99"/>
    <w:semiHidden/>
    <w:unhideWhenUsed/>
    <w:rsid w:val="004D56CF"/>
    <w:pPr>
      <w:spacing w:after="0" w:line="240" w:lineRule="auto"/>
      <w:ind w:left="4252"/>
    </w:pPr>
  </w:style>
  <w:style w:type="character" w:customStyle="1" w:styleId="ClosingChar">
    <w:name w:val="Closing Char"/>
    <w:basedOn w:val="DefaultParagraphFont"/>
    <w:link w:val="Closing"/>
    <w:uiPriority w:val="99"/>
    <w:semiHidden/>
    <w:rsid w:val="004D56CF"/>
    <w:rPr>
      <w:rFonts w:ascii="Calibri" w:hAnsi="Calibri"/>
      <w:color w:val="1E1E1E"/>
      <w:sz w:val="24"/>
    </w:rPr>
  </w:style>
  <w:style w:type="table" w:styleId="ColorfulGrid">
    <w:name w:val="Colorful Grid"/>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D56C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D56C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D56C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D56C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D56C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D56C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D56C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D56C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D56C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D56C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D56C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D56C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D56C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D56C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D56C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D56C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D56C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D56C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4D56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6CF"/>
    <w:rPr>
      <w:rFonts w:ascii="Tahoma" w:hAnsi="Tahoma" w:cs="Tahoma"/>
      <w:color w:val="1E1E1E"/>
      <w:sz w:val="16"/>
      <w:szCs w:val="16"/>
    </w:rPr>
  </w:style>
  <w:style w:type="character" w:styleId="HTMLAcronym">
    <w:name w:val="HTML Acronym"/>
    <w:basedOn w:val="DefaultParagraphFont"/>
    <w:uiPriority w:val="99"/>
    <w:semiHidden/>
    <w:unhideWhenUsed/>
    <w:rsid w:val="004D56CF"/>
  </w:style>
  <w:style w:type="character" w:styleId="HTMLCite">
    <w:name w:val="HTML Cite"/>
    <w:basedOn w:val="DefaultParagraphFont"/>
    <w:uiPriority w:val="99"/>
    <w:semiHidden/>
    <w:unhideWhenUsed/>
    <w:rsid w:val="004D56CF"/>
    <w:rPr>
      <w:i/>
      <w:iCs/>
    </w:rPr>
  </w:style>
  <w:style w:type="character" w:styleId="HTMLCode">
    <w:name w:val="HTML Code"/>
    <w:basedOn w:val="DefaultParagraphFont"/>
    <w:uiPriority w:val="99"/>
    <w:semiHidden/>
    <w:unhideWhenUsed/>
    <w:rsid w:val="004D56CF"/>
    <w:rPr>
      <w:rFonts w:ascii="Consolas" w:hAnsi="Consolas" w:cs="Consolas"/>
      <w:sz w:val="20"/>
      <w:szCs w:val="20"/>
    </w:rPr>
  </w:style>
  <w:style w:type="character" w:styleId="HTMLDefinition">
    <w:name w:val="HTML Definition"/>
    <w:basedOn w:val="DefaultParagraphFont"/>
    <w:uiPriority w:val="99"/>
    <w:semiHidden/>
    <w:unhideWhenUsed/>
    <w:rsid w:val="004D56CF"/>
    <w:rPr>
      <w:i/>
      <w:iCs/>
    </w:rPr>
  </w:style>
  <w:style w:type="character" w:styleId="HTMLKeyboard">
    <w:name w:val="HTML Keyboard"/>
    <w:basedOn w:val="DefaultParagraphFont"/>
    <w:uiPriority w:val="99"/>
    <w:semiHidden/>
    <w:unhideWhenUsed/>
    <w:rsid w:val="004D56CF"/>
    <w:rPr>
      <w:rFonts w:ascii="Consolas" w:hAnsi="Consolas" w:cs="Consolas"/>
      <w:sz w:val="20"/>
      <w:szCs w:val="20"/>
    </w:rPr>
  </w:style>
  <w:style w:type="character" w:styleId="HTMLSample">
    <w:name w:val="HTML Sample"/>
    <w:basedOn w:val="DefaultParagraphFont"/>
    <w:uiPriority w:val="99"/>
    <w:semiHidden/>
    <w:unhideWhenUsed/>
    <w:rsid w:val="004D56CF"/>
    <w:rPr>
      <w:rFonts w:ascii="Consolas" w:hAnsi="Consolas" w:cs="Consolas"/>
      <w:sz w:val="24"/>
      <w:szCs w:val="24"/>
    </w:rPr>
  </w:style>
  <w:style w:type="character" w:styleId="HTMLTypewriter">
    <w:name w:val="HTML Typewriter"/>
    <w:basedOn w:val="DefaultParagraphFont"/>
    <w:uiPriority w:val="99"/>
    <w:semiHidden/>
    <w:unhideWhenUsed/>
    <w:rsid w:val="004D56CF"/>
    <w:rPr>
      <w:rFonts w:ascii="Consolas" w:hAnsi="Consolas" w:cs="Consolas"/>
      <w:sz w:val="20"/>
      <w:szCs w:val="20"/>
    </w:rPr>
  </w:style>
  <w:style w:type="character" w:styleId="HTMLVariable">
    <w:name w:val="HTML Variable"/>
    <w:basedOn w:val="DefaultParagraphFont"/>
    <w:uiPriority w:val="99"/>
    <w:semiHidden/>
    <w:unhideWhenUsed/>
    <w:rsid w:val="004D56CF"/>
    <w:rPr>
      <w:i/>
      <w:iCs/>
    </w:rPr>
  </w:style>
  <w:style w:type="character" w:styleId="IntenseEmphasis">
    <w:name w:val="Intense Emphasis"/>
    <w:basedOn w:val="DefaultParagraphFont"/>
    <w:uiPriority w:val="21"/>
    <w:semiHidden/>
    <w:rsid w:val="004D56CF"/>
    <w:rPr>
      <w:b/>
      <w:bCs/>
      <w:i/>
      <w:iCs/>
      <w:color w:val="4F81BD" w:themeColor="accent1"/>
    </w:rPr>
  </w:style>
  <w:style w:type="paragraph" w:styleId="IntenseQuote">
    <w:name w:val="Intense Quote"/>
    <w:basedOn w:val="Normal"/>
    <w:next w:val="Normal"/>
    <w:link w:val="IntenseQuoteChar"/>
    <w:uiPriority w:val="30"/>
    <w:semiHidden/>
    <w:rsid w:val="004D56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D56CF"/>
    <w:rPr>
      <w:rFonts w:ascii="Calibri" w:hAnsi="Calibri"/>
      <w:b/>
      <w:bCs/>
      <w:i/>
      <w:iCs/>
      <w:color w:val="4F81BD" w:themeColor="accent1"/>
      <w:sz w:val="24"/>
    </w:rPr>
  </w:style>
  <w:style w:type="character" w:styleId="IntenseReference">
    <w:name w:val="Intense Reference"/>
    <w:basedOn w:val="DefaultParagraphFont"/>
    <w:uiPriority w:val="32"/>
    <w:semiHidden/>
    <w:rsid w:val="004D56CF"/>
    <w:rPr>
      <w:b/>
      <w:bCs/>
      <w:smallCaps/>
      <w:color w:val="C0504D" w:themeColor="accent2"/>
      <w:spacing w:val="5"/>
      <w:u w:val="single"/>
    </w:rPr>
  </w:style>
  <w:style w:type="table" w:styleId="LightGrid">
    <w:name w:val="Light Grid"/>
    <w:basedOn w:val="TableNormal"/>
    <w:uiPriority w:val="62"/>
    <w:rsid w:val="004D5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D5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D5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D5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D5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D5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D5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D5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D5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D5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D5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D5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D5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D5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D56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56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56C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56C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D56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D56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D56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D56CF"/>
  </w:style>
  <w:style w:type="paragraph" w:styleId="List">
    <w:name w:val="List"/>
    <w:basedOn w:val="Normal"/>
    <w:uiPriority w:val="99"/>
    <w:semiHidden/>
    <w:unhideWhenUsed/>
    <w:rsid w:val="004D56CF"/>
    <w:pPr>
      <w:ind w:left="283" w:hanging="283"/>
      <w:contextualSpacing/>
    </w:pPr>
  </w:style>
  <w:style w:type="paragraph" w:styleId="List2">
    <w:name w:val="List 2"/>
    <w:basedOn w:val="Normal"/>
    <w:uiPriority w:val="99"/>
    <w:semiHidden/>
    <w:unhideWhenUsed/>
    <w:rsid w:val="004D56CF"/>
    <w:pPr>
      <w:ind w:left="566" w:hanging="283"/>
      <w:contextualSpacing/>
    </w:pPr>
  </w:style>
  <w:style w:type="paragraph" w:styleId="List3">
    <w:name w:val="List 3"/>
    <w:basedOn w:val="Normal"/>
    <w:uiPriority w:val="99"/>
    <w:semiHidden/>
    <w:unhideWhenUsed/>
    <w:rsid w:val="004D56CF"/>
    <w:pPr>
      <w:ind w:left="849" w:hanging="283"/>
      <w:contextualSpacing/>
    </w:pPr>
  </w:style>
  <w:style w:type="paragraph" w:styleId="List4">
    <w:name w:val="List 4"/>
    <w:basedOn w:val="Normal"/>
    <w:uiPriority w:val="99"/>
    <w:semiHidden/>
    <w:unhideWhenUsed/>
    <w:rsid w:val="004D56CF"/>
    <w:pPr>
      <w:ind w:left="1132" w:hanging="283"/>
      <w:contextualSpacing/>
    </w:pPr>
  </w:style>
  <w:style w:type="paragraph" w:styleId="List5">
    <w:name w:val="List 5"/>
    <w:basedOn w:val="Normal"/>
    <w:uiPriority w:val="99"/>
    <w:semiHidden/>
    <w:unhideWhenUsed/>
    <w:rsid w:val="004D56CF"/>
    <w:pPr>
      <w:ind w:left="1415" w:hanging="283"/>
      <w:contextualSpacing/>
    </w:pPr>
  </w:style>
  <w:style w:type="paragraph" w:styleId="ListBullet5">
    <w:name w:val="List Bullet 5"/>
    <w:basedOn w:val="Normal"/>
    <w:uiPriority w:val="99"/>
    <w:semiHidden/>
    <w:rsid w:val="004D56CF"/>
    <w:pPr>
      <w:numPr>
        <w:numId w:val="34"/>
      </w:numPr>
      <w:contextualSpacing/>
    </w:pPr>
  </w:style>
  <w:style w:type="paragraph" w:styleId="ListNumber4">
    <w:name w:val="List Number 4"/>
    <w:basedOn w:val="Normal"/>
    <w:uiPriority w:val="99"/>
    <w:semiHidden/>
    <w:unhideWhenUsed/>
    <w:rsid w:val="004D56CF"/>
    <w:pPr>
      <w:numPr>
        <w:numId w:val="35"/>
      </w:numPr>
      <w:contextualSpacing/>
    </w:pPr>
  </w:style>
  <w:style w:type="paragraph" w:styleId="ListNumber5">
    <w:name w:val="List Number 5"/>
    <w:basedOn w:val="Normal"/>
    <w:uiPriority w:val="99"/>
    <w:semiHidden/>
    <w:rsid w:val="004D56CF"/>
    <w:pPr>
      <w:numPr>
        <w:numId w:val="36"/>
      </w:numPr>
      <w:contextualSpacing/>
    </w:pPr>
  </w:style>
  <w:style w:type="paragraph" w:styleId="ListParagraph">
    <w:name w:val="List Paragraph"/>
    <w:basedOn w:val="Normal"/>
    <w:uiPriority w:val="34"/>
    <w:semiHidden/>
    <w:qFormat/>
    <w:rsid w:val="004D56CF"/>
    <w:pPr>
      <w:ind w:left="720"/>
      <w:contextualSpacing/>
    </w:pPr>
  </w:style>
  <w:style w:type="paragraph" w:styleId="MacroText">
    <w:name w:val="macro"/>
    <w:link w:val="MacroTextChar"/>
    <w:uiPriority w:val="99"/>
    <w:semiHidden/>
    <w:unhideWhenUsed/>
    <w:rsid w:val="004D56C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4D56CF"/>
    <w:rPr>
      <w:rFonts w:ascii="Consolas" w:hAnsi="Consolas" w:cs="Consolas"/>
      <w:color w:val="1E1E1E"/>
      <w:sz w:val="20"/>
      <w:szCs w:val="20"/>
    </w:rPr>
  </w:style>
  <w:style w:type="table" w:styleId="MediumGrid1">
    <w:name w:val="Medium Grid 1"/>
    <w:basedOn w:val="TableNormal"/>
    <w:uiPriority w:val="67"/>
    <w:rsid w:val="004D5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D5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D5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D5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D5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D5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D5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D56C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D56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D56C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D56C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D56C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D56C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D56C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D5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5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5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5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5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5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5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D56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D56CF"/>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4D56CF"/>
    <w:pPr>
      <w:spacing w:after="0" w:line="240" w:lineRule="auto"/>
    </w:pPr>
    <w:rPr>
      <w:rFonts w:ascii="Calibri" w:hAnsi="Calibri"/>
      <w:color w:val="1E1E1E"/>
      <w:sz w:val="24"/>
    </w:rPr>
  </w:style>
  <w:style w:type="paragraph" w:styleId="NormalIndent">
    <w:name w:val="Normal Indent"/>
    <w:basedOn w:val="Normal"/>
    <w:uiPriority w:val="99"/>
    <w:semiHidden/>
    <w:unhideWhenUsed/>
    <w:rsid w:val="004D56CF"/>
    <w:pPr>
      <w:ind w:left="720"/>
    </w:pPr>
  </w:style>
  <w:style w:type="paragraph" w:customStyle="1" w:styleId="NoteHeading1">
    <w:name w:val="Note Heading1"/>
    <w:basedOn w:val="Normal"/>
    <w:next w:val="Normal"/>
    <w:link w:val="NoteHeadingChar"/>
    <w:uiPriority w:val="99"/>
    <w:semiHidden/>
    <w:unhideWhenUsed/>
    <w:rsid w:val="004D56CF"/>
    <w:pPr>
      <w:spacing w:after="0" w:line="240" w:lineRule="auto"/>
    </w:pPr>
  </w:style>
  <w:style w:type="character" w:customStyle="1" w:styleId="NoteHeadingChar">
    <w:name w:val="Note Heading Char"/>
    <w:basedOn w:val="DefaultParagraphFont"/>
    <w:link w:val="NoteHeading1"/>
    <w:uiPriority w:val="99"/>
    <w:semiHidden/>
    <w:rsid w:val="004D56CF"/>
    <w:rPr>
      <w:rFonts w:ascii="Calibri" w:hAnsi="Calibri"/>
      <w:color w:val="1E1E1E"/>
      <w:sz w:val="24"/>
    </w:rPr>
  </w:style>
  <w:style w:type="character" w:styleId="PlaceholderText">
    <w:name w:val="Placeholder Text"/>
    <w:basedOn w:val="DefaultParagraphFont"/>
    <w:uiPriority w:val="99"/>
    <w:semiHidden/>
    <w:rsid w:val="004D56CF"/>
    <w:rPr>
      <w:color w:val="808080"/>
    </w:rPr>
  </w:style>
  <w:style w:type="paragraph" w:styleId="PlainText">
    <w:name w:val="Plain Text"/>
    <w:basedOn w:val="Normal"/>
    <w:link w:val="PlainTextChar"/>
    <w:uiPriority w:val="99"/>
    <w:semiHidden/>
    <w:unhideWhenUsed/>
    <w:rsid w:val="004D56C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56CF"/>
    <w:rPr>
      <w:rFonts w:ascii="Consolas" w:hAnsi="Consolas" w:cs="Consolas"/>
      <w:color w:val="1E1E1E"/>
      <w:sz w:val="21"/>
      <w:szCs w:val="21"/>
    </w:rPr>
  </w:style>
  <w:style w:type="paragraph" w:styleId="Quote">
    <w:name w:val="Quote"/>
    <w:basedOn w:val="Normal"/>
    <w:next w:val="Normal"/>
    <w:link w:val="QuoteChar"/>
    <w:uiPriority w:val="29"/>
    <w:semiHidden/>
    <w:qFormat/>
    <w:rsid w:val="004D56CF"/>
    <w:rPr>
      <w:i/>
      <w:iCs/>
      <w:color w:val="000000" w:themeColor="text1"/>
    </w:rPr>
  </w:style>
  <w:style w:type="character" w:customStyle="1" w:styleId="QuoteChar">
    <w:name w:val="Quote Char"/>
    <w:basedOn w:val="DefaultParagraphFont"/>
    <w:link w:val="Quote"/>
    <w:uiPriority w:val="29"/>
    <w:semiHidden/>
    <w:rsid w:val="004D56CF"/>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4D56CF"/>
  </w:style>
  <w:style w:type="character" w:customStyle="1" w:styleId="SalutationChar">
    <w:name w:val="Salutation Char"/>
    <w:basedOn w:val="DefaultParagraphFont"/>
    <w:link w:val="Salutation"/>
    <w:uiPriority w:val="99"/>
    <w:semiHidden/>
    <w:rsid w:val="004D56CF"/>
    <w:rPr>
      <w:rFonts w:ascii="Calibri" w:hAnsi="Calibri"/>
      <w:color w:val="1E1E1E"/>
      <w:sz w:val="24"/>
    </w:rPr>
  </w:style>
  <w:style w:type="paragraph" w:styleId="Signature">
    <w:name w:val="Signature"/>
    <w:basedOn w:val="Normal"/>
    <w:link w:val="SignatureChar"/>
    <w:uiPriority w:val="99"/>
    <w:semiHidden/>
    <w:unhideWhenUsed/>
    <w:rsid w:val="004D56CF"/>
    <w:pPr>
      <w:spacing w:after="0" w:line="240" w:lineRule="auto"/>
      <w:ind w:left="4252"/>
    </w:pPr>
  </w:style>
  <w:style w:type="character" w:customStyle="1" w:styleId="SignatureChar">
    <w:name w:val="Signature Char"/>
    <w:basedOn w:val="DefaultParagraphFont"/>
    <w:link w:val="Signature"/>
    <w:uiPriority w:val="99"/>
    <w:semiHidden/>
    <w:rsid w:val="004D56CF"/>
    <w:rPr>
      <w:rFonts w:ascii="Calibri" w:hAnsi="Calibri"/>
      <w:color w:val="1E1E1E"/>
      <w:sz w:val="24"/>
    </w:rPr>
  </w:style>
  <w:style w:type="character" w:styleId="Strong">
    <w:name w:val="Strong"/>
    <w:basedOn w:val="DefaultParagraphFont"/>
    <w:uiPriority w:val="22"/>
    <w:semiHidden/>
    <w:qFormat/>
    <w:rsid w:val="004D56CF"/>
    <w:rPr>
      <w:b/>
      <w:bCs/>
    </w:rPr>
  </w:style>
  <w:style w:type="paragraph" w:styleId="Subtitle">
    <w:name w:val="Subtitle"/>
    <w:basedOn w:val="Normal"/>
    <w:next w:val="Normal"/>
    <w:link w:val="SubtitleChar"/>
    <w:uiPriority w:val="11"/>
    <w:semiHidden/>
    <w:qFormat/>
    <w:rsid w:val="004D56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4D56C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4D56CF"/>
    <w:rPr>
      <w:i/>
      <w:iCs/>
      <w:color w:val="808080" w:themeColor="text1" w:themeTint="7F"/>
    </w:rPr>
  </w:style>
  <w:style w:type="character" w:styleId="SubtleReference">
    <w:name w:val="Subtle Reference"/>
    <w:basedOn w:val="DefaultParagraphFont"/>
    <w:uiPriority w:val="31"/>
    <w:semiHidden/>
    <w:rsid w:val="004D56CF"/>
    <w:rPr>
      <w:smallCaps/>
      <w:color w:val="C0504D" w:themeColor="accent2"/>
      <w:u w:val="single"/>
    </w:rPr>
  </w:style>
  <w:style w:type="table" w:styleId="Table3Deffects1">
    <w:name w:val="Table 3D effects 1"/>
    <w:basedOn w:val="TableNormal"/>
    <w:uiPriority w:val="99"/>
    <w:semiHidden/>
    <w:unhideWhenUsed/>
    <w:rsid w:val="004D56CF"/>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56CF"/>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56CF"/>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56CF"/>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56CF"/>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56CF"/>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56CF"/>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56CF"/>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56CF"/>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56CF"/>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56CF"/>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56CF"/>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56CF"/>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56CF"/>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56CF"/>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56CF"/>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56CF"/>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56CF"/>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56CF"/>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56CF"/>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56CF"/>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56CF"/>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56CF"/>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56CF"/>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56CF"/>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56CF"/>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56CF"/>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56CF"/>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56CF"/>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56CF"/>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56CF"/>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56CF"/>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56CF"/>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56CF"/>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56CF"/>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56CF"/>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man.parliament.nz/agency-assistance/oia-calcula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mbudsman.parliament.nz/resources?f%5B0%5D=category%3A21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2022-02-03T21:57:00Z</dcterms:created>
  <dcterms:modified xsi:type="dcterms:W3CDTF">2022-02-03T21:57:00Z</dcterms:modified>
</cp:coreProperties>
</file>