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0E92" w:rsidRDefault="00D90E92" w:rsidP="00A056A5">
      <w:pPr>
        <w:spacing w:line="276" w:lineRule="auto"/>
      </w:pPr>
    </w:p>
    <w:p w:rsidR="009F62A6" w:rsidRDefault="009F62A6" w:rsidP="009F62A6"/>
    <w:tbl>
      <w:tblPr>
        <w:tblStyle w:val="TableGridnoborders"/>
        <w:tblW w:w="9299" w:type="dxa"/>
        <w:tblInd w:w="0" w:type="dxa"/>
        <w:tblBorders>
          <w:bottom w:val="single" w:sz="2" w:space="0" w:color="4D4D4D"/>
        </w:tblBorders>
        <w:tblCellMar>
          <w:left w:w="0" w:type="dxa"/>
          <w:right w:w="0" w:type="dxa"/>
        </w:tblCellMar>
        <w:tblLook w:val="04A0" w:firstRow="1" w:lastRow="0" w:firstColumn="1" w:lastColumn="0" w:noHBand="0" w:noVBand="1"/>
      </w:tblPr>
      <w:tblGrid>
        <w:gridCol w:w="9299"/>
      </w:tblGrid>
      <w:tr w:rsidR="009F62A6" w:rsidTr="000A6222">
        <w:trPr>
          <w:trHeight w:hRule="exact" w:val="2268"/>
        </w:trPr>
        <w:tc>
          <w:tcPr>
            <w:tcW w:w="9299" w:type="dxa"/>
            <w:vAlign w:val="bottom"/>
          </w:tcPr>
          <w:p w:rsidR="009F62A6" w:rsidRPr="00166C30" w:rsidRDefault="000A6222" w:rsidP="00111C75">
            <w:pPr>
              <w:pStyle w:val="Title"/>
            </w:pPr>
            <w:bookmarkStart w:id="0" w:name="_GoBack"/>
            <w:r w:rsidRPr="000A6222">
              <w:t>Request for information concerning Police decision not to lay charge of manslaughter following death from careless discharge of firearm</w:t>
            </w:r>
            <w:bookmarkEnd w:id="0"/>
          </w:p>
        </w:tc>
      </w:tr>
      <w:tr w:rsidR="009F62A6" w:rsidTr="000A6222">
        <w:trPr>
          <w:trHeight w:hRule="exact" w:val="340"/>
        </w:trPr>
        <w:tc>
          <w:tcPr>
            <w:tcW w:w="9299" w:type="dxa"/>
            <w:vAlign w:val="bottom"/>
          </w:tcPr>
          <w:p w:rsidR="009F62A6" w:rsidRDefault="009F62A6" w:rsidP="000A6222"/>
        </w:tc>
      </w:tr>
      <w:tr w:rsidR="009F62A6" w:rsidTr="000A6222">
        <w:tc>
          <w:tcPr>
            <w:tcW w:w="9299" w:type="dxa"/>
            <w:tcMar>
              <w:bottom w:w="454" w:type="dxa"/>
            </w:tcMar>
          </w:tcPr>
          <w:p w:rsidR="009F62A6" w:rsidRDefault="009F62A6" w:rsidP="000A6222">
            <w:pPr>
              <w:pStyle w:val="Heading1-Sub"/>
              <w:rPr>
                <w:rStyle w:val="Heading1-Subnonboldtext"/>
              </w:rPr>
            </w:pPr>
            <w:r>
              <w:t>Legislation:</w:t>
            </w:r>
            <w:r>
              <w:tab/>
            </w:r>
            <w:r w:rsidR="000A6222" w:rsidRPr="00D30055">
              <w:rPr>
                <w:b w:val="0"/>
                <w:sz w:val="22"/>
              </w:rPr>
              <w:t xml:space="preserve">Official Information Act 1982, s </w:t>
            </w:r>
            <w:r w:rsidR="000A6222" w:rsidRPr="00185833">
              <w:rPr>
                <w:rStyle w:val="Heading1-Subnonboldtext"/>
                <w:color w:val="auto"/>
                <w:sz w:val="22"/>
              </w:rPr>
              <w:t>9(1) and 9(2)(h)</w:t>
            </w:r>
            <w:r w:rsidR="000A6222" w:rsidRPr="00D30055">
              <w:rPr>
                <w:rStyle w:val="Heading1-Subnonboldtext"/>
                <w:sz w:val="22"/>
              </w:rPr>
              <w:t xml:space="preserve"> (see appendix for full text)</w:t>
            </w:r>
          </w:p>
          <w:p w:rsidR="009F62A6" w:rsidRDefault="009F62A6" w:rsidP="000A6222">
            <w:pPr>
              <w:pStyle w:val="Heading1-Sub"/>
              <w:rPr>
                <w:b w:val="0"/>
              </w:rPr>
            </w:pPr>
            <w:r>
              <w:t>Agency:</w:t>
            </w:r>
            <w:r>
              <w:tab/>
            </w:r>
            <w:r w:rsidR="000A6222" w:rsidRPr="000A6222">
              <w:rPr>
                <w:b w:val="0"/>
                <w:sz w:val="22"/>
              </w:rPr>
              <w:t>New Zealand Police</w:t>
            </w:r>
          </w:p>
          <w:p w:rsidR="009F62A6" w:rsidRDefault="009F62A6" w:rsidP="000A6222">
            <w:pPr>
              <w:pStyle w:val="Heading1-Sub"/>
              <w:rPr>
                <w:b w:val="0"/>
              </w:rPr>
            </w:pPr>
            <w:r>
              <w:t>Ombudsman:</w:t>
            </w:r>
            <w:r>
              <w:tab/>
            </w:r>
            <w:r w:rsidR="000A6222" w:rsidRPr="00185833">
              <w:rPr>
                <w:b w:val="0"/>
                <w:color w:val="auto"/>
                <w:sz w:val="22"/>
              </w:rPr>
              <w:t>Professor Ron Paterson</w:t>
            </w:r>
            <w:r w:rsidR="000A6222" w:rsidRPr="00D30055">
              <w:rPr>
                <w:b w:val="0"/>
                <w:color w:val="548DD4"/>
                <w:sz w:val="22"/>
              </w:rPr>
              <w:t xml:space="preserve"> </w:t>
            </w:r>
          </w:p>
          <w:p w:rsidR="009F62A6" w:rsidRPr="004B23E4" w:rsidRDefault="009F62A6" w:rsidP="000A6222">
            <w:pPr>
              <w:pStyle w:val="Heading1-Sub"/>
              <w:rPr>
                <w:rStyle w:val="Heading1-Subnonboldtext"/>
              </w:rPr>
            </w:pPr>
            <w:r>
              <w:t>Reference number(s)</w:t>
            </w:r>
            <w:r w:rsidRPr="00B66DB1">
              <w:t>:</w:t>
            </w:r>
            <w:r>
              <w:rPr>
                <w:b w:val="0"/>
              </w:rPr>
              <w:tab/>
            </w:r>
            <w:r w:rsidR="000A6222">
              <w:rPr>
                <w:rStyle w:val="Heading1-Subnonboldtext"/>
                <w:sz w:val="22"/>
              </w:rPr>
              <w:t>340832</w:t>
            </w:r>
          </w:p>
          <w:p w:rsidR="009F62A6" w:rsidRPr="00BD48C3" w:rsidRDefault="009F62A6" w:rsidP="000A6222">
            <w:pPr>
              <w:pStyle w:val="Heading1-Sub"/>
              <w:rPr>
                <w:rStyle w:val="Heading1-Subnonboldtext"/>
                <w:b/>
              </w:rPr>
            </w:pPr>
            <w:r>
              <w:t>D</w:t>
            </w:r>
            <w:r w:rsidRPr="00B66DB1">
              <w:t>ate:</w:t>
            </w:r>
            <w:r>
              <w:rPr>
                <w:b w:val="0"/>
              </w:rPr>
              <w:tab/>
            </w:r>
            <w:r w:rsidR="000A6222">
              <w:rPr>
                <w:b w:val="0"/>
                <w:sz w:val="22"/>
              </w:rPr>
              <w:t>October 2014</w:t>
            </w:r>
          </w:p>
        </w:tc>
      </w:tr>
    </w:tbl>
    <w:p w:rsidR="009F62A6" w:rsidRDefault="009F62A6" w:rsidP="009F62A6">
      <w:pPr>
        <w:pStyle w:val="TOCHeading"/>
      </w:pPr>
      <w:bookmarkStart w:id="1" w:name="_Toc345589872"/>
      <w:bookmarkStart w:id="2" w:name="_Toc389822349"/>
      <w:bookmarkStart w:id="3" w:name="_Toc400966176"/>
      <w:r>
        <w:t>Contents</w:t>
      </w:r>
    </w:p>
    <w:p w:rsidR="00617A53" w:rsidRDefault="005A6A0C">
      <w:pPr>
        <w:pStyle w:val="TOC1"/>
        <w:rPr>
          <w:rFonts w:asciiTheme="minorHAnsi" w:eastAsiaTheme="minorEastAsia" w:hAnsiTheme="minorHAnsi"/>
          <w:b w:val="0"/>
          <w:noProof/>
          <w:color w:val="auto"/>
          <w:sz w:val="22"/>
          <w:lang w:eastAsia="en-NZ"/>
        </w:rPr>
      </w:pPr>
      <w:r>
        <w:rPr>
          <w:color w:val="1E1E1E"/>
          <w:sz w:val="24"/>
        </w:rPr>
        <w:fldChar w:fldCharType="begin"/>
      </w:r>
      <w:r w:rsidR="009F62A6">
        <w:instrText xml:space="preserve"> TOC \o "1-3" \h \z \u </w:instrText>
      </w:r>
      <w:r>
        <w:rPr>
          <w:color w:val="1E1E1E"/>
          <w:sz w:val="24"/>
        </w:rPr>
        <w:fldChar w:fldCharType="separate"/>
      </w:r>
      <w:hyperlink w:anchor="_Toc404332084" w:history="1">
        <w:r w:rsidR="00617A53" w:rsidRPr="002D4655">
          <w:rPr>
            <w:rStyle w:val="Hyperlink"/>
            <w:noProof/>
          </w:rPr>
          <w:t>Summary</w:t>
        </w:r>
        <w:r w:rsidR="00617A53">
          <w:rPr>
            <w:noProof/>
            <w:webHidden/>
          </w:rPr>
          <w:tab/>
        </w:r>
        <w:r w:rsidR="00617A53">
          <w:rPr>
            <w:noProof/>
            <w:webHidden/>
          </w:rPr>
          <w:fldChar w:fldCharType="begin"/>
        </w:r>
        <w:r w:rsidR="00617A53">
          <w:rPr>
            <w:noProof/>
            <w:webHidden/>
          </w:rPr>
          <w:instrText xml:space="preserve"> PAGEREF _Toc404332084 \h </w:instrText>
        </w:r>
        <w:r w:rsidR="00617A53">
          <w:rPr>
            <w:noProof/>
            <w:webHidden/>
          </w:rPr>
        </w:r>
        <w:r w:rsidR="00617A53">
          <w:rPr>
            <w:noProof/>
            <w:webHidden/>
          </w:rPr>
          <w:fldChar w:fldCharType="separate"/>
        </w:r>
        <w:r w:rsidR="00617A53">
          <w:rPr>
            <w:noProof/>
            <w:webHidden/>
          </w:rPr>
          <w:t>2</w:t>
        </w:r>
        <w:r w:rsidR="00617A53">
          <w:rPr>
            <w:noProof/>
            <w:webHidden/>
          </w:rPr>
          <w:fldChar w:fldCharType="end"/>
        </w:r>
      </w:hyperlink>
    </w:p>
    <w:p w:rsidR="00617A53" w:rsidRDefault="006C3616">
      <w:pPr>
        <w:pStyle w:val="TOC1"/>
        <w:rPr>
          <w:rFonts w:asciiTheme="minorHAnsi" w:eastAsiaTheme="minorEastAsia" w:hAnsiTheme="minorHAnsi"/>
          <w:b w:val="0"/>
          <w:noProof/>
          <w:color w:val="auto"/>
          <w:sz w:val="22"/>
          <w:lang w:eastAsia="en-NZ"/>
        </w:rPr>
      </w:pPr>
      <w:hyperlink w:anchor="_Toc404332085" w:history="1">
        <w:r w:rsidR="00617A53" w:rsidRPr="002D4655">
          <w:rPr>
            <w:rStyle w:val="Hyperlink"/>
            <w:noProof/>
          </w:rPr>
          <w:t>My role</w:t>
        </w:r>
        <w:r w:rsidR="00617A53">
          <w:rPr>
            <w:noProof/>
            <w:webHidden/>
          </w:rPr>
          <w:tab/>
        </w:r>
        <w:r w:rsidR="00617A53">
          <w:rPr>
            <w:noProof/>
            <w:webHidden/>
          </w:rPr>
          <w:fldChar w:fldCharType="begin"/>
        </w:r>
        <w:r w:rsidR="00617A53">
          <w:rPr>
            <w:noProof/>
            <w:webHidden/>
          </w:rPr>
          <w:instrText xml:space="preserve"> PAGEREF _Toc404332085 \h </w:instrText>
        </w:r>
        <w:r w:rsidR="00617A53">
          <w:rPr>
            <w:noProof/>
            <w:webHidden/>
          </w:rPr>
        </w:r>
        <w:r w:rsidR="00617A53">
          <w:rPr>
            <w:noProof/>
            <w:webHidden/>
          </w:rPr>
          <w:fldChar w:fldCharType="separate"/>
        </w:r>
        <w:r w:rsidR="00617A53">
          <w:rPr>
            <w:noProof/>
            <w:webHidden/>
          </w:rPr>
          <w:t>2</w:t>
        </w:r>
        <w:r w:rsidR="00617A53">
          <w:rPr>
            <w:noProof/>
            <w:webHidden/>
          </w:rPr>
          <w:fldChar w:fldCharType="end"/>
        </w:r>
      </w:hyperlink>
    </w:p>
    <w:p w:rsidR="00617A53" w:rsidRDefault="006C3616">
      <w:pPr>
        <w:pStyle w:val="TOC1"/>
        <w:rPr>
          <w:rFonts w:asciiTheme="minorHAnsi" w:eastAsiaTheme="minorEastAsia" w:hAnsiTheme="minorHAnsi"/>
          <w:b w:val="0"/>
          <w:noProof/>
          <w:color w:val="auto"/>
          <w:sz w:val="22"/>
          <w:lang w:eastAsia="en-NZ"/>
        </w:rPr>
      </w:pPr>
      <w:hyperlink w:anchor="_Toc404332086" w:history="1">
        <w:r w:rsidR="00617A53" w:rsidRPr="002D4655">
          <w:rPr>
            <w:rStyle w:val="Hyperlink"/>
            <w:noProof/>
          </w:rPr>
          <w:t>Background</w:t>
        </w:r>
        <w:r w:rsidR="00617A53">
          <w:rPr>
            <w:noProof/>
            <w:webHidden/>
          </w:rPr>
          <w:tab/>
        </w:r>
        <w:r w:rsidR="00617A53">
          <w:rPr>
            <w:noProof/>
            <w:webHidden/>
          </w:rPr>
          <w:fldChar w:fldCharType="begin"/>
        </w:r>
        <w:r w:rsidR="00617A53">
          <w:rPr>
            <w:noProof/>
            <w:webHidden/>
          </w:rPr>
          <w:instrText xml:space="preserve"> PAGEREF _Toc404332086 \h </w:instrText>
        </w:r>
        <w:r w:rsidR="00617A53">
          <w:rPr>
            <w:noProof/>
            <w:webHidden/>
          </w:rPr>
        </w:r>
        <w:r w:rsidR="00617A53">
          <w:rPr>
            <w:noProof/>
            <w:webHidden/>
          </w:rPr>
          <w:fldChar w:fldCharType="separate"/>
        </w:r>
        <w:r w:rsidR="00617A53">
          <w:rPr>
            <w:noProof/>
            <w:webHidden/>
          </w:rPr>
          <w:t>2</w:t>
        </w:r>
        <w:r w:rsidR="00617A53">
          <w:rPr>
            <w:noProof/>
            <w:webHidden/>
          </w:rPr>
          <w:fldChar w:fldCharType="end"/>
        </w:r>
      </w:hyperlink>
    </w:p>
    <w:p w:rsidR="00617A53" w:rsidRDefault="006C3616">
      <w:pPr>
        <w:pStyle w:val="TOC2"/>
        <w:rPr>
          <w:rFonts w:asciiTheme="minorHAnsi" w:eastAsiaTheme="minorEastAsia" w:hAnsiTheme="minorHAnsi"/>
          <w:noProof/>
          <w:color w:val="auto"/>
          <w:sz w:val="22"/>
          <w:lang w:eastAsia="en-NZ"/>
        </w:rPr>
      </w:pPr>
      <w:hyperlink w:anchor="_Toc404332087" w:history="1">
        <w:r w:rsidR="00617A53" w:rsidRPr="002D4655">
          <w:rPr>
            <w:rStyle w:val="Hyperlink"/>
            <w:noProof/>
          </w:rPr>
          <w:t>The request</w:t>
        </w:r>
        <w:r w:rsidR="00617A53">
          <w:rPr>
            <w:noProof/>
            <w:webHidden/>
          </w:rPr>
          <w:tab/>
        </w:r>
        <w:r w:rsidR="00617A53">
          <w:rPr>
            <w:noProof/>
            <w:webHidden/>
          </w:rPr>
          <w:fldChar w:fldCharType="begin"/>
        </w:r>
        <w:r w:rsidR="00617A53">
          <w:rPr>
            <w:noProof/>
            <w:webHidden/>
          </w:rPr>
          <w:instrText xml:space="preserve"> PAGEREF _Toc404332087 \h </w:instrText>
        </w:r>
        <w:r w:rsidR="00617A53">
          <w:rPr>
            <w:noProof/>
            <w:webHidden/>
          </w:rPr>
        </w:r>
        <w:r w:rsidR="00617A53">
          <w:rPr>
            <w:noProof/>
            <w:webHidden/>
          </w:rPr>
          <w:fldChar w:fldCharType="separate"/>
        </w:r>
        <w:r w:rsidR="00617A53">
          <w:rPr>
            <w:noProof/>
            <w:webHidden/>
          </w:rPr>
          <w:t>2</w:t>
        </w:r>
        <w:r w:rsidR="00617A53">
          <w:rPr>
            <w:noProof/>
            <w:webHidden/>
          </w:rPr>
          <w:fldChar w:fldCharType="end"/>
        </w:r>
      </w:hyperlink>
    </w:p>
    <w:p w:rsidR="00617A53" w:rsidRDefault="006C3616">
      <w:pPr>
        <w:pStyle w:val="TOC2"/>
        <w:rPr>
          <w:rFonts w:asciiTheme="minorHAnsi" w:eastAsiaTheme="minorEastAsia" w:hAnsiTheme="minorHAnsi"/>
          <w:noProof/>
          <w:color w:val="auto"/>
          <w:sz w:val="22"/>
          <w:lang w:eastAsia="en-NZ"/>
        </w:rPr>
      </w:pPr>
      <w:hyperlink w:anchor="_Toc404332088" w:history="1">
        <w:r w:rsidR="00617A53" w:rsidRPr="002D4655">
          <w:rPr>
            <w:rStyle w:val="Hyperlink"/>
            <w:noProof/>
          </w:rPr>
          <w:t>The complaint</w:t>
        </w:r>
        <w:r w:rsidR="00617A53">
          <w:rPr>
            <w:noProof/>
            <w:webHidden/>
          </w:rPr>
          <w:tab/>
        </w:r>
        <w:r w:rsidR="00617A53">
          <w:rPr>
            <w:noProof/>
            <w:webHidden/>
          </w:rPr>
          <w:fldChar w:fldCharType="begin"/>
        </w:r>
        <w:r w:rsidR="00617A53">
          <w:rPr>
            <w:noProof/>
            <w:webHidden/>
          </w:rPr>
          <w:instrText xml:space="preserve"> PAGEREF _Toc404332088 \h </w:instrText>
        </w:r>
        <w:r w:rsidR="00617A53">
          <w:rPr>
            <w:noProof/>
            <w:webHidden/>
          </w:rPr>
        </w:r>
        <w:r w:rsidR="00617A53">
          <w:rPr>
            <w:noProof/>
            <w:webHidden/>
          </w:rPr>
          <w:fldChar w:fldCharType="separate"/>
        </w:r>
        <w:r w:rsidR="00617A53">
          <w:rPr>
            <w:noProof/>
            <w:webHidden/>
          </w:rPr>
          <w:t>3</w:t>
        </w:r>
        <w:r w:rsidR="00617A53">
          <w:rPr>
            <w:noProof/>
            <w:webHidden/>
          </w:rPr>
          <w:fldChar w:fldCharType="end"/>
        </w:r>
      </w:hyperlink>
    </w:p>
    <w:p w:rsidR="00617A53" w:rsidRDefault="006C3616">
      <w:pPr>
        <w:pStyle w:val="TOC1"/>
        <w:rPr>
          <w:rFonts w:asciiTheme="minorHAnsi" w:eastAsiaTheme="minorEastAsia" w:hAnsiTheme="minorHAnsi"/>
          <w:b w:val="0"/>
          <w:noProof/>
          <w:color w:val="auto"/>
          <w:sz w:val="22"/>
          <w:lang w:eastAsia="en-NZ"/>
        </w:rPr>
      </w:pPr>
      <w:hyperlink w:anchor="_Toc404332089" w:history="1">
        <w:r w:rsidR="00617A53" w:rsidRPr="002D4655">
          <w:rPr>
            <w:rStyle w:val="Hyperlink"/>
            <w:noProof/>
          </w:rPr>
          <w:t>Investigation</w:t>
        </w:r>
        <w:r w:rsidR="00617A53">
          <w:rPr>
            <w:noProof/>
            <w:webHidden/>
          </w:rPr>
          <w:tab/>
        </w:r>
        <w:r w:rsidR="00617A53">
          <w:rPr>
            <w:noProof/>
            <w:webHidden/>
          </w:rPr>
          <w:fldChar w:fldCharType="begin"/>
        </w:r>
        <w:r w:rsidR="00617A53">
          <w:rPr>
            <w:noProof/>
            <w:webHidden/>
          </w:rPr>
          <w:instrText xml:space="preserve"> PAGEREF _Toc404332089 \h </w:instrText>
        </w:r>
        <w:r w:rsidR="00617A53">
          <w:rPr>
            <w:noProof/>
            <w:webHidden/>
          </w:rPr>
        </w:r>
        <w:r w:rsidR="00617A53">
          <w:rPr>
            <w:noProof/>
            <w:webHidden/>
          </w:rPr>
          <w:fldChar w:fldCharType="separate"/>
        </w:r>
        <w:r w:rsidR="00617A53">
          <w:rPr>
            <w:noProof/>
            <w:webHidden/>
          </w:rPr>
          <w:t>3</w:t>
        </w:r>
        <w:r w:rsidR="00617A53">
          <w:rPr>
            <w:noProof/>
            <w:webHidden/>
          </w:rPr>
          <w:fldChar w:fldCharType="end"/>
        </w:r>
      </w:hyperlink>
    </w:p>
    <w:p w:rsidR="00617A53" w:rsidRDefault="006C3616">
      <w:pPr>
        <w:pStyle w:val="TOC1"/>
        <w:rPr>
          <w:rFonts w:asciiTheme="minorHAnsi" w:eastAsiaTheme="minorEastAsia" w:hAnsiTheme="minorHAnsi"/>
          <w:b w:val="0"/>
          <w:noProof/>
          <w:color w:val="auto"/>
          <w:sz w:val="22"/>
          <w:lang w:eastAsia="en-NZ"/>
        </w:rPr>
      </w:pPr>
      <w:hyperlink w:anchor="_Toc404332090" w:history="1">
        <w:r w:rsidR="00617A53" w:rsidRPr="002D4655">
          <w:rPr>
            <w:rStyle w:val="Hyperlink"/>
            <w:noProof/>
          </w:rPr>
          <w:t>Analysis and findings</w:t>
        </w:r>
        <w:r w:rsidR="00617A53">
          <w:rPr>
            <w:noProof/>
            <w:webHidden/>
          </w:rPr>
          <w:tab/>
        </w:r>
        <w:r w:rsidR="00617A53">
          <w:rPr>
            <w:noProof/>
            <w:webHidden/>
          </w:rPr>
          <w:fldChar w:fldCharType="begin"/>
        </w:r>
        <w:r w:rsidR="00617A53">
          <w:rPr>
            <w:noProof/>
            <w:webHidden/>
          </w:rPr>
          <w:instrText xml:space="preserve"> PAGEREF _Toc404332090 \h </w:instrText>
        </w:r>
        <w:r w:rsidR="00617A53">
          <w:rPr>
            <w:noProof/>
            <w:webHidden/>
          </w:rPr>
        </w:r>
        <w:r w:rsidR="00617A53">
          <w:rPr>
            <w:noProof/>
            <w:webHidden/>
          </w:rPr>
          <w:fldChar w:fldCharType="separate"/>
        </w:r>
        <w:r w:rsidR="00617A53">
          <w:rPr>
            <w:noProof/>
            <w:webHidden/>
          </w:rPr>
          <w:t>4</w:t>
        </w:r>
        <w:r w:rsidR="00617A53">
          <w:rPr>
            <w:noProof/>
            <w:webHidden/>
          </w:rPr>
          <w:fldChar w:fldCharType="end"/>
        </w:r>
      </w:hyperlink>
    </w:p>
    <w:p w:rsidR="00617A53" w:rsidRDefault="006C3616">
      <w:pPr>
        <w:pStyle w:val="TOC2"/>
        <w:rPr>
          <w:rFonts w:asciiTheme="minorHAnsi" w:eastAsiaTheme="minorEastAsia" w:hAnsiTheme="minorHAnsi"/>
          <w:noProof/>
          <w:color w:val="auto"/>
          <w:sz w:val="22"/>
          <w:lang w:eastAsia="en-NZ"/>
        </w:rPr>
      </w:pPr>
      <w:hyperlink w:anchor="_Toc404332091" w:history="1">
        <w:r w:rsidR="00617A53" w:rsidRPr="002D4655">
          <w:rPr>
            <w:rStyle w:val="Hyperlink"/>
            <w:noProof/>
          </w:rPr>
          <w:t>Information at issue</w:t>
        </w:r>
        <w:r w:rsidR="00617A53">
          <w:rPr>
            <w:noProof/>
            <w:webHidden/>
          </w:rPr>
          <w:tab/>
        </w:r>
        <w:r w:rsidR="00617A53">
          <w:rPr>
            <w:noProof/>
            <w:webHidden/>
          </w:rPr>
          <w:fldChar w:fldCharType="begin"/>
        </w:r>
        <w:r w:rsidR="00617A53">
          <w:rPr>
            <w:noProof/>
            <w:webHidden/>
          </w:rPr>
          <w:instrText xml:space="preserve"> PAGEREF _Toc404332091 \h </w:instrText>
        </w:r>
        <w:r w:rsidR="00617A53">
          <w:rPr>
            <w:noProof/>
            <w:webHidden/>
          </w:rPr>
        </w:r>
        <w:r w:rsidR="00617A53">
          <w:rPr>
            <w:noProof/>
            <w:webHidden/>
          </w:rPr>
          <w:fldChar w:fldCharType="separate"/>
        </w:r>
        <w:r w:rsidR="00617A53">
          <w:rPr>
            <w:noProof/>
            <w:webHidden/>
          </w:rPr>
          <w:t>4</w:t>
        </w:r>
        <w:r w:rsidR="00617A53">
          <w:rPr>
            <w:noProof/>
            <w:webHidden/>
          </w:rPr>
          <w:fldChar w:fldCharType="end"/>
        </w:r>
      </w:hyperlink>
    </w:p>
    <w:p w:rsidR="00617A53" w:rsidRDefault="006C3616">
      <w:pPr>
        <w:pStyle w:val="TOC2"/>
        <w:rPr>
          <w:rFonts w:asciiTheme="minorHAnsi" w:eastAsiaTheme="minorEastAsia" w:hAnsiTheme="minorHAnsi"/>
          <w:noProof/>
          <w:color w:val="auto"/>
          <w:sz w:val="22"/>
          <w:lang w:eastAsia="en-NZ"/>
        </w:rPr>
      </w:pPr>
      <w:hyperlink w:anchor="_Toc404332092" w:history="1">
        <w:r w:rsidR="00617A53" w:rsidRPr="002D4655">
          <w:rPr>
            <w:rStyle w:val="Hyperlink"/>
            <w:noProof/>
          </w:rPr>
          <w:t>Section 9(2)(h) Official Information Act 1982</w:t>
        </w:r>
        <w:r w:rsidR="00617A53">
          <w:rPr>
            <w:noProof/>
            <w:webHidden/>
          </w:rPr>
          <w:tab/>
        </w:r>
        <w:r w:rsidR="00617A53">
          <w:rPr>
            <w:noProof/>
            <w:webHidden/>
          </w:rPr>
          <w:fldChar w:fldCharType="begin"/>
        </w:r>
        <w:r w:rsidR="00617A53">
          <w:rPr>
            <w:noProof/>
            <w:webHidden/>
          </w:rPr>
          <w:instrText xml:space="preserve"> PAGEREF _Toc404332092 \h </w:instrText>
        </w:r>
        <w:r w:rsidR="00617A53">
          <w:rPr>
            <w:noProof/>
            <w:webHidden/>
          </w:rPr>
        </w:r>
        <w:r w:rsidR="00617A53">
          <w:rPr>
            <w:noProof/>
            <w:webHidden/>
          </w:rPr>
          <w:fldChar w:fldCharType="separate"/>
        </w:r>
        <w:r w:rsidR="00617A53">
          <w:rPr>
            <w:noProof/>
            <w:webHidden/>
          </w:rPr>
          <w:t>4</w:t>
        </w:r>
        <w:r w:rsidR="00617A53">
          <w:rPr>
            <w:noProof/>
            <w:webHidden/>
          </w:rPr>
          <w:fldChar w:fldCharType="end"/>
        </w:r>
      </w:hyperlink>
    </w:p>
    <w:p w:rsidR="00617A53" w:rsidRDefault="006C3616">
      <w:pPr>
        <w:pStyle w:val="TOC1"/>
        <w:rPr>
          <w:rFonts w:asciiTheme="minorHAnsi" w:eastAsiaTheme="minorEastAsia" w:hAnsiTheme="minorHAnsi"/>
          <w:b w:val="0"/>
          <w:noProof/>
          <w:color w:val="auto"/>
          <w:sz w:val="22"/>
          <w:lang w:eastAsia="en-NZ"/>
        </w:rPr>
      </w:pPr>
      <w:hyperlink w:anchor="_Toc404332093" w:history="1">
        <w:r w:rsidR="00617A53" w:rsidRPr="002D4655">
          <w:rPr>
            <w:rStyle w:val="Hyperlink"/>
            <w:noProof/>
          </w:rPr>
          <w:t>Ombudsman’s opinion</w:t>
        </w:r>
        <w:r w:rsidR="00617A53">
          <w:rPr>
            <w:noProof/>
            <w:webHidden/>
          </w:rPr>
          <w:tab/>
        </w:r>
        <w:r w:rsidR="00617A53">
          <w:rPr>
            <w:noProof/>
            <w:webHidden/>
          </w:rPr>
          <w:fldChar w:fldCharType="begin"/>
        </w:r>
        <w:r w:rsidR="00617A53">
          <w:rPr>
            <w:noProof/>
            <w:webHidden/>
          </w:rPr>
          <w:instrText xml:space="preserve"> PAGEREF _Toc404332093 \h </w:instrText>
        </w:r>
        <w:r w:rsidR="00617A53">
          <w:rPr>
            <w:noProof/>
            <w:webHidden/>
          </w:rPr>
        </w:r>
        <w:r w:rsidR="00617A53">
          <w:rPr>
            <w:noProof/>
            <w:webHidden/>
          </w:rPr>
          <w:fldChar w:fldCharType="separate"/>
        </w:r>
        <w:r w:rsidR="00617A53">
          <w:rPr>
            <w:noProof/>
            <w:webHidden/>
          </w:rPr>
          <w:t>7</w:t>
        </w:r>
        <w:r w:rsidR="00617A53">
          <w:rPr>
            <w:noProof/>
            <w:webHidden/>
          </w:rPr>
          <w:fldChar w:fldCharType="end"/>
        </w:r>
      </w:hyperlink>
    </w:p>
    <w:p w:rsidR="00617A53" w:rsidRDefault="006C3616">
      <w:pPr>
        <w:pStyle w:val="TOC1"/>
        <w:rPr>
          <w:rFonts w:asciiTheme="minorHAnsi" w:eastAsiaTheme="minorEastAsia" w:hAnsiTheme="minorHAnsi"/>
          <w:b w:val="0"/>
          <w:noProof/>
          <w:color w:val="auto"/>
          <w:sz w:val="22"/>
          <w:lang w:eastAsia="en-NZ"/>
        </w:rPr>
      </w:pPr>
      <w:hyperlink w:anchor="_Toc404332094" w:history="1">
        <w:r w:rsidR="00617A53" w:rsidRPr="002D4655">
          <w:rPr>
            <w:rStyle w:val="Hyperlink"/>
            <w:noProof/>
          </w:rPr>
          <w:t>Appendix 1. Relevant statutory provisions</w:t>
        </w:r>
        <w:r w:rsidR="00617A53">
          <w:rPr>
            <w:noProof/>
            <w:webHidden/>
          </w:rPr>
          <w:tab/>
        </w:r>
        <w:r w:rsidR="00617A53">
          <w:rPr>
            <w:noProof/>
            <w:webHidden/>
          </w:rPr>
          <w:fldChar w:fldCharType="begin"/>
        </w:r>
        <w:r w:rsidR="00617A53">
          <w:rPr>
            <w:noProof/>
            <w:webHidden/>
          </w:rPr>
          <w:instrText xml:space="preserve"> PAGEREF _Toc404332094 \h </w:instrText>
        </w:r>
        <w:r w:rsidR="00617A53">
          <w:rPr>
            <w:noProof/>
            <w:webHidden/>
          </w:rPr>
        </w:r>
        <w:r w:rsidR="00617A53">
          <w:rPr>
            <w:noProof/>
            <w:webHidden/>
          </w:rPr>
          <w:fldChar w:fldCharType="separate"/>
        </w:r>
        <w:r w:rsidR="00617A53">
          <w:rPr>
            <w:noProof/>
            <w:webHidden/>
          </w:rPr>
          <w:t>8</w:t>
        </w:r>
        <w:r w:rsidR="00617A53">
          <w:rPr>
            <w:noProof/>
            <w:webHidden/>
          </w:rPr>
          <w:fldChar w:fldCharType="end"/>
        </w:r>
      </w:hyperlink>
    </w:p>
    <w:p w:rsidR="00617A53" w:rsidRDefault="006C3616">
      <w:pPr>
        <w:pStyle w:val="TOC1"/>
        <w:rPr>
          <w:rFonts w:asciiTheme="minorHAnsi" w:eastAsiaTheme="minorEastAsia" w:hAnsiTheme="minorHAnsi"/>
          <w:b w:val="0"/>
          <w:noProof/>
          <w:color w:val="auto"/>
          <w:sz w:val="22"/>
          <w:lang w:eastAsia="en-NZ"/>
        </w:rPr>
      </w:pPr>
      <w:hyperlink w:anchor="_Toc404332095" w:history="1">
        <w:r w:rsidR="00617A53" w:rsidRPr="002D4655">
          <w:rPr>
            <w:rStyle w:val="Hyperlink"/>
            <w:noProof/>
          </w:rPr>
          <w:t>Appendix 2. Letter of 18 June 2014 to the complainant</w:t>
        </w:r>
        <w:r w:rsidR="00617A53">
          <w:rPr>
            <w:noProof/>
            <w:webHidden/>
          </w:rPr>
          <w:tab/>
        </w:r>
        <w:r w:rsidR="00617A53">
          <w:rPr>
            <w:noProof/>
            <w:webHidden/>
          </w:rPr>
          <w:fldChar w:fldCharType="begin"/>
        </w:r>
        <w:r w:rsidR="00617A53">
          <w:rPr>
            <w:noProof/>
            <w:webHidden/>
          </w:rPr>
          <w:instrText xml:space="preserve"> PAGEREF _Toc404332095 \h </w:instrText>
        </w:r>
        <w:r w:rsidR="00617A53">
          <w:rPr>
            <w:noProof/>
            <w:webHidden/>
          </w:rPr>
        </w:r>
        <w:r w:rsidR="00617A53">
          <w:rPr>
            <w:noProof/>
            <w:webHidden/>
          </w:rPr>
          <w:fldChar w:fldCharType="separate"/>
        </w:r>
        <w:r w:rsidR="00617A53">
          <w:rPr>
            <w:noProof/>
            <w:webHidden/>
          </w:rPr>
          <w:t>9</w:t>
        </w:r>
        <w:r w:rsidR="00617A53">
          <w:rPr>
            <w:noProof/>
            <w:webHidden/>
          </w:rPr>
          <w:fldChar w:fldCharType="end"/>
        </w:r>
      </w:hyperlink>
    </w:p>
    <w:p w:rsidR="009F62A6" w:rsidRPr="0035394C" w:rsidRDefault="005A6A0C" w:rsidP="009F62A6">
      <w:pPr>
        <w:pStyle w:val="Heading1"/>
      </w:pPr>
      <w:r>
        <w:lastRenderedPageBreak/>
        <w:fldChar w:fldCharType="end"/>
      </w:r>
      <w:bookmarkStart w:id="4" w:name="_Toc404332084"/>
      <w:r w:rsidR="009F62A6" w:rsidRPr="0035394C">
        <w:t>Summary</w:t>
      </w:r>
      <w:bookmarkEnd w:id="1"/>
      <w:bookmarkEnd w:id="2"/>
      <w:bookmarkEnd w:id="3"/>
      <w:bookmarkEnd w:id="4"/>
    </w:p>
    <w:p w:rsidR="009F62A6" w:rsidRDefault="009F62A6" w:rsidP="009F62A6">
      <w:pPr>
        <w:pStyle w:val="ListNumber"/>
        <w:numPr>
          <w:ilvl w:val="0"/>
          <w:numId w:val="0"/>
        </w:numPr>
        <w:spacing w:line="240" w:lineRule="auto"/>
        <w:rPr>
          <w:szCs w:val="24"/>
        </w:rPr>
      </w:pPr>
      <w:r>
        <w:rPr>
          <w:szCs w:val="24"/>
        </w:rPr>
        <w:t xml:space="preserve">On 7 April 2012 Christopher Dummer was hunting in the Aorangi Forest Park, South Wairarapa, when he fatally shot Alexander Cameron McDonald. Mr Dummer pleaded guilty to a charge of carelessly using a firearm causing death under section 53(1) of the Arms Act 1983. He was convicted of that charge on 24 August 2012 and sentenced to nine months imprisonment. The complainant requested from the Police information regarding the decision to charge Mr Dummer with careless use of a firearm causing death, rather than manslaughter. The Police withheld the information under section 9(2)(h) of the Official Information Act 1982 (OIA) in order to </w:t>
      </w:r>
      <w:r>
        <w:rPr>
          <w:i/>
          <w:szCs w:val="24"/>
        </w:rPr>
        <w:t>“maintain legal professional privilege”</w:t>
      </w:r>
      <w:r>
        <w:rPr>
          <w:szCs w:val="24"/>
        </w:rPr>
        <w:t xml:space="preserve">. </w:t>
      </w:r>
    </w:p>
    <w:p w:rsidR="009F62A6" w:rsidRPr="00670370" w:rsidRDefault="009F62A6" w:rsidP="009F62A6">
      <w:pPr>
        <w:pStyle w:val="ListNumber"/>
        <w:numPr>
          <w:ilvl w:val="0"/>
          <w:numId w:val="0"/>
        </w:numPr>
        <w:spacing w:line="240" w:lineRule="auto"/>
        <w:rPr>
          <w:szCs w:val="24"/>
        </w:rPr>
      </w:pPr>
      <w:r>
        <w:rPr>
          <w:szCs w:val="24"/>
        </w:rPr>
        <w:t>I accept that the legal professional privilege ground applies, but consider that the overall public interest made it desirable for the Police to provide the complainant with a summary of the reasons for the decision to lay the lesser criminal charge.</w:t>
      </w:r>
      <w:r w:rsidRPr="008B5BB7">
        <w:rPr>
          <w:szCs w:val="24"/>
        </w:rPr>
        <w:t xml:space="preserve"> </w:t>
      </w:r>
      <w:r>
        <w:rPr>
          <w:szCs w:val="24"/>
        </w:rPr>
        <w:t xml:space="preserve">The complainant was entitled, as is the public, to a fuller explanation from the Police about why they decided to charge Mr Dummer with the lesser charge of carelessly using a firearm causing death. Disclosure of a summary of reasons for this decision serves to increase the transparency of the decision-making process and to promote the accountability of the Police for their decision. The Police have now provided the complainant with the summary of reasons. </w:t>
      </w:r>
    </w:p>
    <w:p w:rsidR="009F62A6" w:rsidRPr="0035394C" w:rsidRDefault="009F62A6" w:rsidP="009F62A6">
      <w:pPr>
        <w:pStyle w:val="Heading1"/>
      </w:pPr>
      <w:bookmarkStart w:id="5" w:name="_Toc345589873"/>
      <w:bookmarkStart w:id="6" w:name="_Toc389822350"/>
      <w:bookmarkStart w:id="7" w:name="_Toc400966177"/>
      <w:bookmarkStart w:id="8" w:name="_Toc404332085"/>
      <w:r w:rsidRPr="0035394C">
        <w:t>My role</w:t>
      </w:r>
      <w:bookmarkEnd w:id="5"/>
      <w:bookmarkEnd w:id="6"/>
      <w:bookmarkEnd w:id="7"/>
      <w:bookmarkEnd w:id="8"/>
    </w:p>
    <w:p w:rsidR="009F62A6" w:rsidRPr="001178B6" w:rsidRDefault="009F62A6" w:rsidP="00A048C2">
      <w:pPr>
        <w:pStyle w:val="ListNumber"/>
        <w:spacing w:after="200" w:line="240" w:lineRule="auto"/>
        <w:rPr>
          <w:szCs w:val="24"/>
        </w:rPr>
      </w:pPr>
      <w:r w:rsidRPr="001178B6">
        <w:rPr>
          <w:szCs w:val="24"/>
        </w:rPr>
        <w:t xml:space="preserve">As an Ombudsman, I am authorised to investigate and review, on complaint, any decision by which an agency subject to the OIA refuses to make official information available when requested. The Police are subject to the OIA. My role in undertaking an investigation is to form an independent opinion on whether the request was properly refused. </w:t>
      </w:r>
    </w:p>
    <w:p w:rsidR="009F62A6" w:rsidRPr="0035394C" w:rsidRDefault="009F62A6" w:rsidP="009F62A6">
      <w:pPr>
        <w:pStyle w:val="Heading1"/>
      </w:pPr>
      <w:bookmarkStart w:id="9" w:name="_Toc345589874"/>
      <w:bookmarkStart w:id="10" w:name="_Toc389822351"/>
      <w:bookmarkStart w:id="11" w:name="_Toc400966178"/>
      <w:bookmarkStart w:id="12" w:name="_Toc404332086"/>
      <w:r w:rsidRPr="0035394C">
        <w:t>Background</w:t>
      </w:r>
      <w:bookmarkEnd w:id="9"/>
      <w:bookmarkEnd w:id="10"/>
      <w:bookmarkEnd w:id="11"/>
      <w:bookmarkEnd w:id="12"/>
    </w:p>
    <w:p w:rsidR="009F62A6" w:rsidRPr="00BD5EBE" w:rsidRDefault="009F62A6" w:rsidP="009F62A6">
      <w:pPr>
        <w:pStyle w:val="Heading2"/>
      </w:pPr>
      <w:bookmarkStart w:id="13" w:name="_Toc389822352"/>
      <w:bookmarkStart w:id="14" w:name="_Toc400966179"/>
      <w:bookmarkStart w:id="15" w:name="_Toc404332087"/>
      <w:r>
        <w:t>The request</w:t>
      </w:r>
      <w:bookmarkEnd w:id="13"/>
      <w:bookmarkEnd w:id="14"/>
      <w:bookmarkEnd w:id="15"/>
    </w:p>
    <w:p w:rsidR="009F62A6" w:rsidRDefault="009F62A6" w:rsidP="005B4283">
      <w:pPr>
        <w:pStyle w:val="ListNumber"/>
        <w:spacing w:after="120" w:line="240" w:lineRule="auto"/>
        <w:jc w:val="both"/>
      </w:pPr>
      <w:r>
        <w:t>On 31 July 2012, the complainant wrote to the Police and requested the following information:</w:t>
      </w:r>
    </w:p>
    <w:p w:rsidR="009F62A6" w:rsidRPr="00267CE6" w:rsidRDefault="009F62A6" w:rsidP="005B4283">
      <w:pPr>
        <w:pStyle w:val="Quotationseparateparagraph"/>
        <w:ind w:left="1134"/>
      </w:pPr>
      <w:r w:rsidRPr="00267CE6">
        <w:t>“</w:t>
      </w:r>
      <w:r>
        <w:t xml:space="preserve"> </w:t>
      </w:r>
      <w:r w:rsidRPr="00267CE6">
        <w:t xml:space="preserve">... all information on this case relevant to how and why </w:t>
      </w:r>
      <w:r>
        <w:t xml:space="preserve">the </w:t>
      </w:r>
      <w:r w:rsidRPr="00267CE6">
        <w:t>Police made the decision to</w:t>
      </w:r>
      <w:r w:rsidR="0010683C">
        <w:t xml:space="preserve"> only charge Mr C. Dummer with ‘</w:t>
      </w:r>
      <w:r w:rsidRPr="00267CE6">
        <w:t>careless use</w:t>
      </w:r>
      <w:r w:rsidR="0010683C">
        <w:t>’</w:t>
      </w:r>
      <w:r w:rsidRPr="00267CE6">
        <w:t xml:space="preserve"> of a firearm, rather than charge him with ‘manslaughter’</w:t>
      </w:r>
      <w:r>
        <w:t>.”</w:t>
      </w:r>
    </w:p>
    <w:p w:rsidR="009F62A6" w:rsidRPr="00C47350" w:rsidRDefault="009F62A6" w:rsidP="005B4283">
      <w:pPr>
        <w:pStyle w:val="ListNumber"/>
        <w:spacing w:after="120" w:line="240" w:lineRule="auto"/>
        <w:jc w:val="both"/>
      </w:pPr>
      <w:r>
        <w:t xml:space="preserve">By letter dated </w:t>
      </w:r>
      <w:r w:rsidRPr="00C47350">
        <w:t>17 August 2012</w:t>
      </w:r>
      <w:r>
        <w:t xml:space="preserve">, Inspector Sean </w:t>
      </w:r>
      <w:r w:rsidRPr="00C47350">
        <w:t xml:space="preserve">Hansen </w:t>
      </w:r>
      <w:r>
        <w:t>refused the complainant</w:t>
      </w:r>
      <w:r w:rsidRPr="00C47350">
        <w:t>’</w:t>
      </w:r>
      <w:r>
        <w:t>s</w:t>
      </w:r>
      <w:r w:rsidRPr="00C47350">
        <w:t xml:space="preserve"> request, </w:t>
      </w:r>
      <w:r>
        <w:t xml:space="preserve">and advised </w:t>
      </w:r>
      <w:r w:rsidRPr="00C47350">
        <w:t>him:</w:t>
      </w:r>
    </w:p>
    <w:p w:rsidR="009F62A6" w:rsidRPr="00267CE6" w:rsidRDefault="009F62A6" w:rsidP="005B4283">
      <w:pPr>
        <w:pStyle w:val="Quotationseparateparagraph"/>
        <w:ind w:left="1134"/>
      </w:pPr>
      <w:r w:rsidRPr="00267CE6">
        <w:t>“As the officer in charge of the investigation, I can advise you that a thorough criminal investigation was completed by Police</w:t>
      </w:r>
      <w:r>
        <w:t xml:space="preserve">. </w:t>
      </w:r>
      <w:r w:rsidRPr="00267CE6">
        <w:t>Following this, a legal opinion was sought through our Legal Adviser</w:t>
      </w:r>
      <w:r>
        <w:t xml:space="preserve">. </w:t>
      </w:r>
      <w:r w:rsidRPr="00267CE6">
        <w:t xml:space="preserve">In </w:t>
      </w:r>
      <w:r>
        <w:t>addition to this, prior to Mr D</w:t>
      </w:r>
      <w:r w:rsidRPr="00267CE6">
        <w:t>ummer being charged, I discussed the matter with the Wellington Crown Solicitor.</w:t>
      </w:r>
    </w:p>
    <w:p w:rsidR="009F62A6" w:rsidRPr="00267CE6" w:rsidRDefault="009F62A6" w:rsidP="005B4283">
      <w:pPr>
        <w:pStyle w:val="Quotationseparateparagraph"/>
        <w:ind w:left="1134"/>
      </w:pPr>
      <w:r w:rsidRPr="00267CE6">
        <w:t>The written legal opinion provided is privileged and accordingly not subject to release pursuant to Section 9(2)(h) of the Official Information Act 1982.”</w:t>
      </w:r>
    </w:p>
    <w:p w:rsidR="009F62A6" w:rsidRDefault="009F62A6" w:rsidP="009F62A6">
      <w:pPr>
        <w:pStyle w:val="Heading2"/>
      </w:pPr>
      <w:bookmarkStart w:id="16" w:name="_Toc389822353"/>
      <w:bookmarkStart w:id="17" w:name="_Toc400966180"/>
      <w:bookmarkStart w:id="18" w:name="_Toc404332088"/>
      <w:r>
        <w:t>The complaint</w:t>
      </w:r>
      <w:bookmarkEnd w:id="16"/>
      <w:bookmarkEnd w:id="17"/>
      <w:bookmarkEnd w:id="18"/>
    </w:p>
    <w:p w:rsidR="009F62A6" w:rsidRDefault="009F62A6" w:rsidP="009F62A6">
      <w:pPr>
        <w:pStyle w:val="ListNumber"/>
        <w:spacing w:after="200" w:line="240" w:lineRule="auto"/>
        <w:jc w:val="both"/>
      </w:pPr>
      <w:r>
        <w:t xml:space="preserve">In September 2012, the Ombudsman received a complaint about the Police’s withholding of the information at issue. </w:t>
      </w:r>
    </w:p>
    <w:p w:rsidR="009F62A6" w:rsidRDefault="009F62A6" w:rsidP="005B4283">
      <w:pPr>
        <w:pStyle w:val="ListNumber"/>
        <w:spacing w:after="120" w:line="240" w:lineRule="auto"/>
        <w:jc w:val="both"/>
      </w:pPr>
      <w:r>
        <w:t xml:space="preserve">In his letter of complaint, the complainant commented: </w:t>
      </w:r>
    </w:p>
    <w:p w:rsidR="009F62A6" w:rsidRPr="00267CE6" w:rsidRDefault="009F62A6" w:rsidP="005B4283">
      <w:pPr>
        <w:pStyle w:val="Quotationseparateparagraph"/>
        <w:ind w:left="1134"/>
      </w:pPr>
      <w:r w:rsidRPr="00267CE6">
        <w:t>“This case is in my view a matter of significant public interest and ongoing importance</w:t>
      </w:r>
      <w:r>
        <w:t xml:space="preserve">. </w:t>
      </w:r>
      <w:r w:rsidRPr="00267CE6">
        <w:t>I am a hunter myself and I believe there is a systemic miscalculation and misapplication of NZ law by the Police re such shootings</w:t>
      </w:r>
      <w:r>
        <w:t xml:space="preserve">. </w:t>
      </w:r>
    </w:p>
    <w:p w:rsidR="009F62A6" w:rsidRPr="00267CE6" w:rsidRDefault="009F62A6" w:rsidP="0010683C">
      <w:pPr>
        <w:pStyle w:val="Quotationseparateparagraph"/>
        <w:ind w:left="1134"/>
      </w:pPr>
      <w:r w:rsidRPr="00267CE6">
        <w:t>...</w:t>
      </w:r>
    </w:p>
    <w:p w:rsidR="009F62A6" w:rsidRPr="00267CE6" w:rsidRDefault="009F62A6" w:rsidP="0010683C">
      <w:pPr>
        <w:pStyle w:val="Quotationseparateparagraph"/>
        <w:ind w:left="1134"/>
      </w:pPr>
      <w:r w:rsidRPr="00267CE6">
        <w:t xml:space="preserve">Surely there is some information that can be released to explain </w:t>
      </w:r>
      <w:r w:rsidRPr="005C1FE1">
        <w:t>[the Police]</w:t>
      </w:r>
      <w:r w:rsidRPr="00267CE6">
        <w:t xml:space="preserve"> decision for the much lesser charge.</w:t>
      </w:r>
    </w:p>
    <w:p w:rsidR="009F62A6" w:rsidRPr="00267CE6" w:rsidRDefault="009F62A6" w:rsidP="0010683C">
      <w:pPr>
        <w:pStyle w:val="Quotationseparateparagraph"/>
        <w:ind w:left="1134"/>
      </w:pPr>
      <w:r w:rsidRPr="00267CE6">
        <w:t>..</w:t>
      </w:r>
      <w:r>
        <w:t xml:space="preserve">. </w:t>
      </w:r>
      <w:r w:rsidRPr="0010683C">
        <w:rPr>
          <w:i w:val="0"/>
        </w:rPr>
        <w:t>[T]</w:t>
      </w:r>
      <w:r w:rsidRPr="00267CE6">
        <w:t xml:space="preserve">here is a serious risk that the Police are significantly misapplying NZ law and being seen to create an injustice in so doing and to some degree endangering public safety in future by inadequately penalising such misbehaviour and the public need to know the basis for a case such as this being a charge of </w:t>
      </w:r>
      <w:r>
        <w:t>C</w:t>
      </w:r>
      <w:r w:rsidRPr="00267CE6">
        <w:t>areless-use rather than of manslaughter.”</w:t>
      </w:r>
    </w:p>
    <w:p w:rsidR="009F62A6" w:rsidRPr="0035394C" w:rsidRDefault="009F62A6" w:rsidP="009F62A6">
      <w:pPr>
        <w:pStyle w:val="Heading1"/>
      </w:pPr>
      <w:bookmarkStart w:id="19" w:name="_Toc345589875"/>
      <w:bookmarkStart w:id="20" w:name="_Toc389822354"/>
      <w:bookmarkStart w:id="21" w:name="_Toc400966181"/>
      <w:bookmarkStart w:id="22" w:name="_Toc404332089"/>
      <w:r w:rsidRPr="0035394C">
        <w:t>Investigation</w:t>
      </w:r>
      <w:bookmarkEnd w:id="19"/>
      <w:bookmarkEnd w:id="20"/>
      <w:bookmarkEnd w:id="21"/>
      <w:bookmarkEnd w:id="22"/>
    </w:p>
    <w:p w:rsidR="009F62A6" w:rsidRDefault="009F62A6" w:rsidP="0046058D">
      <w:pPr>
        <w:pStyle w:val="ListNumber"/>
        <w:spacing w:after="200" w:line="240" w:lineRule="auto"/>
        <w:rPr>
          <w:szCs w:val="24"/>
        </w:rPr>
      </w:pPr>
      <w:r>
        <w:rPr>
          <w:color w:val="auto"/>
        </w:rPr>
        <w:t xml:space="preserve">In May </w:t>
      </w:r>
      <w:r>
        <w:rPr>
          <w:szCs w:val="24"/>
        </w:rPr>
        <w:t xml:space="preserve">2013, the Ombudsman notified his investigation of the complaint to the Police and requested copies of the information at issue. </w:t>
      </w:r>
    </w:p>
    <w:p w:rsidR="009F62A6" w:rsidRPr="00CE1E26" w:rsidRDefault="009F62A6" w:rsidP="0046058D">
      <w:pPr>
        <w:pStyle w:val="ListNumber"/>
        <w:spacing w:after="200" w:line="240" w:lineRule="auto"/>
        <w:rPr>
          <w:szCs w:val="24"/>
        </w:rPr>
      </w:pPr>
      <w:r>
        <w:rPr>
          <w:szCs w:val="24"/>
        </w:rPr>
        <w:t xml:space="preserve">By letter of 9 May 2013, the Police provided a report and copies of the information at issue. </w:t>
      </w:r>
    </w:p>
    <w:p w:rsidR="009F62A6" w:rsidRDefault="009F62A6" w:rsidP="0046058D">
      <w:pPr>
        <w:pStyle w:val="ListNumber"/>
        <w:spacing w:after="200" w:line="240" w:lineRule="auto"/>
      </w:pPr>
      <w:r>
        <w:t xml:space="preserve">In November 2013, in response to the Ombudsman’s request, the Police provided a copy of their entire file relating to Mr Dummer’s prosecution. </w:t>
      </w:r>
    </w:p>
    <w:p w:rsidR="009F62A6" w:rsidRDefault="009F62A6" w:rsidP="0046058D">
      <w:pPr>
        <w:pStyle w:val="ListNumber"/>
        <w:spacing w:after="200" w:line="240" w:lineRule="auto"/>
      </w:pPr>
      <w:r>
        <w:t xml:space="preserve">In June 2014, after considering the information at issue, the Police reasons for withholding it, and the complainant’s views, I formed a provisional opinion on the complaint and provided it to the Police and the complainant for comment. </w:t>
      </w:r>
    </w:p>
    <w:p w:rsidR="009F62A6" w:rsidRDefault="009F62A6" w:rsidP="0046058D">
      <w:pPr>
        <w:pStyle w:val="ListNumber"/>
        <w:spacing w:after="200" w:line="240" w:lineRule="auto"/>
      </w:pPr>
      <w:r>
        <w:t>In June 2014, the Police provided advice to the effect that they accepted my provisional opinion.</w:t>
      </w:r>
    </w:p>
    <w:p w:rsidR="009F62A6" w:rsidRDefault="009F62A6" w:rsidP="0046058D">
      <w:pPr>
        <w:pStyle w:val="ListNumber"/>
        <w:spacing w:after="200" w:line="240" w:lineRule="auto"/>
      </w:pPr>
      <w:r>
        <w:t xml:space="preserve">In October 2014, the complainant provided comments on my provisional opinion. </w:t>
      </w:r>
      <w:bookmarkStart w:id="23" w:name="_Toc345589877"/>
      <w:bookmarkStart w:id="24" w:name="_Toc389822355"/>
    </w:p>
    <w:p w:rsidR="009F62A6" w:rsidRDefault="009F62A6" w:rsidP="009F62A6">
      <w:pPr>
        <w:pStyle w:val="Heading1"/>
      </w:pPr>
      <w:bookmarkStart w:id="25" w:name="_Toc400966182"/>
      <w:bookmarkStart w:id="26" w:name="_Toc404332090"/>
      <w:r w:rsidRPr="0035394C">
        <w:t>Analysis and findings</w:t>
      </w:r>
      <w:bookmarkEnd w:id="23"/>
      <w:bookmarkEnd w:id="24"/>
      <w:bookmarkEnd w:id="25"/>
      <w:bookmarkEnd w:id="26"/>
    </w:p>
    <w:p w:rsidR="009F62A6" w:rsidRDefault="009F62A6" w:rsidP="009F62A6">
      <w:pPr>
        <w:pStyle w:val="Heading2"/>
      </w:pPr>
      <w:bookmarkStart w:id="27" w:name="_Toc400966183"/>
      <w:bookmarkStart w:id="28" w:name="_Toc404332091"/>
      <w:r>
        <w:t>Information at issue</w:t>
      </w:r>
      <w:bookmarkEnd w:id="27"/>
      <w:bookmarkEnd w:id="28"/>
    </w:p>
    <w:p w:rsidR="009F62A6" w:rsidRDefault="009F62A6" w:rsidP="009F62A6">
      <w:pPr>
        <w:pStyle w:val="ListNumber"/>
        <w:spacing w:after="200" w:line="240" w:lineRule="auto"/>
        <w:jc w:val="both"/>
        <w:rPr>
          <w:szCs w:val="24"/>
        </w:rPr>
      </w:pPr>
      <w:r>
        <w:rPr>
          <w:szCs w:val="24"/>
        </w:rPr>
        <w:t>The information at issue consists of:</w:t>
      </w:r>
    </w:p>
    <w:p w:rsidR="009F62A6" w:rsidRDefault="009F62A6" w:rsidP="0010683C">
      <w:pPr>
        <w:pStyle w:val="Number2"/>
      </w:pPr>
      <w:r>
        <w:t xml:space="preserve">Three legal opinions: </w:t>
      </w:r>
    </w:p>
    <w:p w:rsidR="009F62A6" w:rsidRDefault="009F62A6" w:rsidP="0010683C">
      <w:pPr>
        <w:pStyle w:val="Number3"/>
      </w:pPr>
      <w:r>
        <w:t xml:space="preserve">a legal opinion of 8 July 2012 from a Police solicitor to the officer in charge of the Police investigation; </w:t>
      </w:r>
    </w:p>
    <w:p w:rsidR="009F62A6" w:rsidRDefault="009F62A6" w:rsidP="0010683C">
      <w:pPr>
        <w:pStyle w:val="Number3"/>
      </w:pPr>
      <w:r>
        <w:t>a legal opinion of 17 April 2008 of the Crown Solicitor, New Plymouth, relating to another prosecution arising from the death of a person from the discharge of a firearm; and</w:t>
      </w:r>
    </w:p>
    <w:p w:rsidR="009F62A6" w:rsidRDefault="009F62A6" w:rsidP="0010683C">
      <w:pPr>
        <w:pStyle w:val="Number3"/>
      </w:pPr>
      <w:r>
        <w:t>a legal opinion of 16 November 2010 of the Crown Solicitor, Rotorua, arising from the death of a person from the discharge of a firearm.</w:t>
      </w:r>
    </w:p>
    <w:p w:rsidR="009F62A6" w:rsidRDefault="009F62A6" w:rsidP="0010683C">
      <w:pPr>
        <w:pStyle w:val="Number2"/>
      </w:pPr>
      <w:r>
        <w:t>Two reports of May 2012, from the officer in charge of the Police prosecution and an assisting officer, which had been submitted to Police Legal Services for legal advice relating to the charge to be laid against Mr Dummer.</w:t>
      </w:r>
    </w:p>
    <w:p w:rsidR="009F62A6" w:rsidRDefault="009F62A6" w:rsidP="009F62A6">
      <w:pPr>
        <w:pStyle w:val="Heading2"/>
      </w:pPr>
      <w:bookmarkStart w:id="29" w:name="_Toc400966184"/>
      <w:bookmarkStart w:id="30" w:name="_Toc404332092"/>
      <w:r>
        <w:t>Section 9(2)(h) Official Information Act 1982</w:t>
      </w:r>
      <w:bookmarkEnd w:id="29"/>
      <w:bookmarkEnd w:id="30"/>
    </w:p>
    <w:p w:rsidR="009F62A6" w:rsidRDefault="009F62A6" w:rsidP="00A048C2">
      <w:pPr>
        <w:pStyle w:val="ListNumber"/>
        <w:spacing w:after="200" w:line="240" w:lineRule="auto"/>
        <w:rPr>
          <w:szCs w:val="24"/>
        </w:rPr>
      </w:pPr>
      <w:r>
        <w:rPr>
          <w:szCs w:val="24"/>
        </w:rPr>
        <w:t xml:space="preserve">Section 9(2)(h) of the OIA provides </w:t>
      </w:r>
      <w:r w:rsidRPr="00E97937">
        <w:rPr>
          <w:rStyle w:val="Quotationwithinthesentence"/>
        </w:rPr>
        <w:t>“good reason”</w:t>
      </w:r>
      <w:r>
        <w:rPr>
          <w:szCs w:val="24"/>
        </w:rPr>
        <w:t xml:space="preserve"> to withhold information </w:t>
      </w:r>
      <w:r w:rsidRPr="00E97937">
        <w:rPr>
          <w:rStyle w:val="Quotationwithinthesentence"/>
        </w:rPr>
        <w:t>“if, and only if, the withholding of the information is necessary to ... maintain legal professional privilege”.</w:t>
      </w:r>
    </w:p>
    <w:p w:rsidR="009F62A6" w:rsidRDefault="009F62A6" w:rsidP="0046058D">
      <w:pPr>
        <w:pStyle w:val="ListNumber"/>
        <w:spacing w:after="120" w:line="240" w:lineRule="auto"/>
        <w:rPr>
          <w:szCs w:val="24"/>
        </w:rPr>
      </w:pPr>
      <w:r>
        <w:rPr>
          <w:szCs w:val="24"/>
        </w:rPr>
        <w:t>Reliance on the section 9(2)(h) withholding ground is subject to the section 9(1) public interest override, where:</w:t>
      </w:r>
    </w:p>
    <w:p w:rsidR="009F62A6" w:rsidRPr="00267CE6" w:rsidRDefault="009F62A6" w:rsidP="0010683C">
      <w:pPr>
        <w:pStyle w:val="Quotationseparateparagraph"/>
        <w:ind w:left="1134"/>
      </w:pPr>
      <w:r w:rsidRPr="00267CE6">
        <w:t>“in the circumstances of the particular case, the withholding of that information is outweighed by other considerations which render it desirable, in the public interest, to make that information available.”</w:t>
      </w:r>
    </w:p>
    <w:p w:rsidR="009F62A6" w:rsidRDefault="009F62A6" w:rsidP="0046058D">
      <w:pPr>
        <w:pStyle w:val="ListNumber"/>
        <w:spacing w:after="120" w:line="240" w:lineRule="auto"/>
        <w:rPr>
          <w:szCs w:val="24"/>
        </w:rPr>
      </w:pPr>
      <w:r>
        <w:rPr>
          <w:szCs w:val="24"/>
        </w:rPr>
        <w:t>The Police relied on section 9(2)(h) of the OIA to withhold the information at issue. In a letter of 22 November 2013, the Police commented:</w:t>
      </w:r>
    </w:p>
    <w:p w:rsidR="009F62A6" w:rsidRDefault="009F62A6" w:rsidP="0010683C">
      <w:pPr>
        <w:pStyle w:val="Quotationseparateparagraph"/>
        <w:ind w:left="1134"/>
      </w:pPr>
      <w:r w:rsidRPr="00267CE6">
        <w:t>“The prosecutorial discretion of the Police in relation to charging decisions is well recognised in law</w:t>
      </w:r>
      <w:r>
        <w:t xml:space="preserve">. </w:t>
      </w:r>
      <w:r w:rsidRPr="00267CE6">
        <w:t>The Courts have shown a marked reluctance to entertain any review of the Police discretion to either prosecute or not prosecute</w:t>
      </w:r>
      <w:r>
        <w:t xml:space="preserve">. </w:t>
      </w:r>
      <w:r w:rsidRPr="00267CE6">
        <w:t>For instance, Randerson J</w:t>
      </w:r>
      <w:r>
        <w:t xml:space="preserve">. </w:t>
      </w:r>
      <w:r w:rsidRPr="00267CE6">
        <w:t xml:space="preserve">traversed the topic in his decision in </w:t>
      </w:r>
      <w:r w:rsidRPr="00E97937">
        <w:rPr>
          <w:i w:val="0"/>
        </w:rPr>
        <w:t>Polynesian Spa Ltd v Osborne</w:t>
      </w:r>
      <w:r w:rsidRPr="00267CE6">
        <w:t xml:space="preserve"> [2005] NZAR 408, particularly in paragraphs 61 and 62</w:t>
      </w:r>
      <w:r>
        <w:t xml:space="preserve">. </w:t>
      </w:r>
    </w:p>
    <w:p w:rsidR="009F62A6" w:rsidRPr="00267CE6" w:rsidRDefault="009F62A6" w:rsidP="0010683C">
      <w:pPr>
        <w:pStyle w:val="Quotationseparateparagraph"/>
        <w:ind w:left="1134"/>
      </w:pPr>
      <w:r w:rsidRPr="00267CE6">
        <w:t>…</w:t>
      </w:r>
    </w:p>
    <w:p w:rsidR="009F62A6" w:rsidRDefault="009F62A6" w:rsidP="0010683C">
      <w:pPr>
        <w:pStyle w:val="Quotationseparateparagraph"/>
        <w:ind w:left="1134"/>
      </w:pPr>
      <w:r w:rsidRPr="00267CE6">
        <w:t xml:space="preserve">In relation to </w:t>
      </w:r>
      <w:r w:rsidRPr="005C1FE1">
        <w:t>[the complainant’s]</w:t>
      </w:r>
      <w:r w:rsidRPr="00267CE6">
        <w:t xml:space="preserve"> information request, </w:t>
      </w:r>
      <w:r>
        <w:t xml:space="preserve">… </w:t>
      </w:r>
      <w:r w:rsidRPr="00E97937">
        <w:rPr>
          <w:i w:val="0"/>
        </w:rPr>
        <w:t>[p]</w:t>
      </w:r>
      <w:r w:rsidRPr="00267CE6">
        <w:t>rivileged information has already been withheld under section 9(2)(h)</w:t>
      </w:r>
      <w:r>
        <w:t xml:space="preserve">. </w:t>
      </w:r>
      <w:r w:rsidRPr="00267CE6">
        <w:t>There does not appear to be any countervailing public interest</w:t>
      </w:r>
      <w:r>
        <w:t xml:space="preserve"> grounds in terms of subsection </w:t>
      </w:r>
      <w:r w:rsidRPr="00267CE6">
        <w:t>(1) that would outweigh the withholding grounds provided in subsection (2)</w:t>
      </w:r>
      <w:r>
        <w:t xml:space="preserve">. </w:t>
      </w:r>
      <w:r w:rsidRPr="00E97937">
        <w:rPr>
          <w:i w:val="0"/>
        </w:rPr>
        <w:t>[The complainant’s]</w:t>
      </w:r>
      <w:r w:rsidRPr="00267CE6">
        <w:t xml:space="preserve"> request appears to be based on private interest rather than any clear public interest.” </w:t>
      </w:r>
    </w:p>
    <w:p w:rsidR="009F62A6" w:rsidRPr="001178B6" w:rsidRDefault="009F62A6" w:rsidP="0046058D">
      <w:pPr>
        <w:pStyle w:val="ListNumber"/>
        <w:spacing w:after="200" w:line="240" w:lineRule="auto"/>
        <w:rPr>
          <w:szCs w:val="24"/>
        </w:rPr>
      </w:pPr>
      <w:r w:rsidRPr="001178B6">
        <w:rPr>
          <w:szCs w:val="24"/>
        </w:rPr>
        <w:t xml:space="preserve">I have no authority to investigate the exercise of prosecutorial discretion by the Police. </w:t>
      </w:r>
    </w:p>
    <w:p w:rsidR="009F62A6" w:rsidRDefault="009F62A6" w:rsidP="0046058D">
      <w:pPr>
        <w:pStyle w:val="ListNumber"/>
        <w:spacing w:after="200" w:line="240" w:lineRule="atLeast"/>
        <w:rPr>
          <w:color w:val="auto"/>
        </w:rPr>
      </w:pPr>
      <w:r w:rsidRPr="003446B6">
        <w:t>I accept that all the relevant material falls properly within the protection afforded by the legal professional privilege withholding ground.</w:t>
      </w:r>
      <w:r>
        <w:t xml:space="preserve"> </w:t>
      </w:r>
    </w:p>
    <w:p w:rsidR="009F62A6" w:rsidRPr="00451E95" w:rsidRDefault="009F62A6" w:rsidP="0046058D">
      <w:pPr>
        <w:pStyle w:val="ListNumber"/>
        <w:spacing w:after="120" w:line="240" w:lineRule="atLeast"/>
        <w:rPr>
          <w:color w:val="auto"/>
        </w:rPr>
      </w:pPr>
      <w:r w:rsidRPr="001178B6">
        <w:t xml:space="preserve">The strength of legal professional privilege has often been recognised by the courts and its principles are well settled. Glazebrook J, in delivering the judgment of the Court of Appeal in </w:t>
      </w:r>
      <w:r w:rsidRPr="00451E95">
        <w:rPr>
          <w:i/>
        </w:rPr>
        <w:t>Shannon v Shannon</w:t>
      </w:r>
      <w:r w:rsidRPr="001178B6">
        <w:rPr>
          <w:vertAlign w:val="superscript"/>
        </w:rPr>
        <w:footnoteReference w:id="2"/>
      </w:r>
      <w:r w:rsidRPr="001178B6">
        <w:t xml:space="preserve"> referred to the Privy Council’s advice in </w:t>
      </w:r>
      <w:r w:rsidRPr="00451E95">
        <w:rPr>
          <w:i/>
        </w:rPr>
        <w:t>B v Auckland District Law Society</w:t>
      </w:r>
      <w:r w:rsidRPr="001178B6">
        <w:rPr>
          <w:vertAlign w:val="superscript"/>
        </w:rPr>
        <w:footnoteReference w:id="3"/>
      </w:r>
      <w:r>
        <w:t xml:space="preserve"> and stated:</w:t>
      </w:r>
      <w:r w:rsidRPr="00111C75">
        <w:rPr>
          <w:rStyle w:val="FootnoteReference"/>
          <w:sz w:val="24"/>
          <w:szCs w:val="24"/>
        </w:rPr>
        <w:footnoteReference w:id="4"/>
      </w:r>
      <w:r w:rsidRPr="00111C75">
        <w:rPr>
          <w:szCs w:val="24"/>
        </w:rPr>
        <w:t xml:space="preserve"> </w:t>
      </w:r>
      <w:r>
        <w:t xml:space="preserve"> </w:t>
      </w:r>
    </w:p>
    <w:p w:rsidR="009F62A6" w:rsidRPr="00267CE6" w:rsidRDefault="00E97937" w:rsidP="0010683C">
      <w:pPr>
        <w:pStyle w:val="Quotationseparateparagraph"/>
        <w:ind w:left="1134"/>
      </w:pPr>
      <w:r>
        <w:t>“</w:t>
      </w:r>
      <w:r w:rsidR="009F62A6" w:rsidRPr="00267CE6">
        <w:t xml:space="preserve">[36] … </w:t>
      </w:r>
      <w:r w:rsidR="009F62A6" w:rsidRPr="00E97937">
        <w:rPr>
          <w:i w:val="0"/>
        </w:rPr>
        <w:t>[L]</w:t>
      </w:r>
      <w:r w:rsidR="009F62A6" w:rsidRPr="00267CE6">
        <w:t>egal professional privilege is more than an ordinary rule of evidence</w:t>
      </w:r>
      <w:r w:rsidR="009F62A6">
        <w:t xml:space="preserve">. </w:t>
      </w:r>
      <w:r w:rsidR="009F62A6" w:rsidRPr="00267CE6">
        <w:t>It is a fundamental condition on which the administration of justice as a whole rests and is not for the benefit of any particular client but in the wider interests of all those who might otherwise be deterred from telling the whole truth to their solicitors.</w:t>
      </w:r>
    </w:p>
    <w:p w:rsidR="009F62A6" w:rsidRDefault="009F62A6" w:rsidP="0010683C">
      <w:pPr>
        <w:pStyle w:val="Quotationseparateparagraph"/>
        <w:ind w:left="1134"/>
      </w:pPr>
      <w:r w:rsidRPr="00267CE6">
        <w:t>[37] The Privy Council rejected any suggestion that there should be a balancing exercise when considering the admissibility of privileged material … legal profession</w:t>
      </w:r>
      <w:r>
        <w:t>al</w:t>
      </w:r>
      <w:r w:rsidRPr="00267CE6">
        <w:t xml:space="preserve"> privilege is itself the product of a balancing exercise between </w:t>
      </w:r>
      <w:r>
        <w:t xml:space="preserve">competing </w:t>
      </w:r>
      <w:r w:rsidRPr="00267CE6">
        <w:t>public interests whereby, subject to the well-recognised crime or fraud exception, the public interest in the perfect administration of justice is accorded paramountcy over the public interest that requires, in the interests of a fair trial, the admission in evidence of all relevant evidence</w:t>
      </w:r>
      <w:r>
        <w:t xml:space="preserve">. </w:t>
      </w:r>
      <w:r w:rsidRPr="00267CE6">
        <w:t>… The rationale is that a lawyer has to be able to give a client an absolute and unqualified assurance that whatever a client reveals in confidence will never be disclosed without the client's consent</w:t>
      </w:r>
      <w:r>
        <w:t xml:space="preserve">. </w:t>
      </w:r>
      <w:r w:rsidRPr="00267CE6">
        <w:t>Such an assurance is inconsistent with the exi</w:t>
      </w:r>
      <w:r w:rsidR="00E97937">
        <w:t>stence of a balancing exercise.”</w:t>
      </w:r>
    </w:p>
    <w:p w:rsidR="009F62A6" w:rsidRPr="005C1FE1" w:rsidRDefault="009F62A6" w:rsidP="0046058D">
      <w:pPr>
        <w:pStyle w:val="ListNumber"/>
        <w:spacing w:after="200" w:line="240" w:lineRule="atLeast"/>
      </w:pPr>
      <w:r w:rsidRPr="005C1FE1">
        <w:t>Whether the legal opinions were internal or external legal opinions makes no difference to the strength of the public interest in the maintenance of legal professional privilege.</w:t>
      </w:r>
    </w:p>
    <w:p w:rsidR="009F62A6" w:rsidRDefault="009F62A6" w:rsidP="0046058D">
      <w:pPr>
        <w:pStyle w:val="ListNumber"/>
        <w:keepNext/>
        <w:tabs>
          <w:tab w:val="clear" w:pos="567"/>
        </w:tabs>
        <w:spacing w:after="120" w:line="240" w:lineRule="atLeast"/>
        <w:rPr>
          <w:color w:val="auto"/>
        </w:rPr>
      </w:pPr>
      <w:r>
        <w:rPr>
          <w:color w:val="auto"/>
        </w:rPr>
        <w:t xml:space="preserve">A further consideration is whether the Police waived privilege in the advice by </w:t>
      </w:r>
      <w:r w:rsidR="00111C75">
        <w:rPr>
          <w:color w:val="auto"/>
        </w:rPr>
        <w:t>their</w:t>
      </w:r>
      <w:r>
        <w:rPr>
          <w:color w:val="auto"/>
        </w:rPr>
        <w:t xml:space="preserve"> use of the opinions. In </w:t>
      </w:r>
      <w:r>
        <w:rPr>
          <w:i/>
          <w:color w:val="auto"/>
        </w:rPr>
        <w:t>Shannon v Shannon</w:t>
      </w:r>
      <w:r>
        <w:rPr>
          <w:color w:val="auto"/>
        </w:rPr>
        <w:t xml:space="preserve">, with reference to its decision in </w:t>
      </w:r>
      <w:r>
        <w:rPr>
          <w:i/>
          <w:color w:val="auto"/>
        </w:rPr>
        <w:t>Ophthalmological Society of New Zealand Inc v Commerce Commission,</w:t>
      </w:r>
      <w:r>
        <w:rPr>
          <w:rStyle w:val="FootnoteReference"/>
          <w:color w:val="auto"/>
        </w:rPr>
        <w:footnoteReference w:id="5"/>
      </w:r>
      <w:r>
        <w:rPr>
          <w:color w:val="auto"/>
        </w:rPr>
        <w:t xml:space="preserve"> the Court of Appeal stated:</w:t>
      </w:r>
      <w:r>
        <w:rPr>
          <w:rStyle w:val="FootnoteReference"/>
          <w:color w:val="auto"/>
        </w:rPr>
        <w:footnoteReference w:id="6"/>
      </w:r>
    </w:p>
    <w:p w:rsidR="009F62A6" w:rsidRDefault="009F62A6" w:rsidP="0010683C">
      <w:pPr>
        <w:pStyle w:val="Quotationseparateparagraph"/>
        <w:ind w:left="1134"/>
      </w:pPr>
      <w:r>
        <w:t>“[55] … The test is that set out by this Court in Ophthalmological Society … and involves an assessment of whether a party’s use of privileged material has destroyed confidentiality.</w:t>
      </w:r>
    </w:p>
    <w:p w:rsidR="009F62A6" w:rsidRPr="0056615D" w:rsidRDefault="009F62A6" w:rsidP="0010683C">
      <w:pPr>
        <w:pStyle w:val="Quotationseparateparagraph"/>
        <w:ind w:left="1134"/>
      </w:pPr>
      <w:r w:rsidRPr="0056615D">
        <w:t xml:space="preserve">[56] … The Court </w:t>
      </w:r>
      <w:r w:rsidRPr="00E70216">
        <w:t>[in the Ophthalmological Society case]</w:t>
      </w:r>
      <w:r>
        <w:t xml:space="preserve"> </w:t>
      </w:r>
      <w:r w:rsidRPr="0056615D">
        <w:t>recognised that the fairness factor can be important in cases where there has been partial disclosure of legal advice and the consideration is whether natural justice requires disclosure of the whole advice. What must be assessed objectively in all cases, however, is the consistency of the conduct with maintaining the privilege. That requires close analysis of the particular context, what the issue is in relation to the privilege, how the evidence relates to that issue, and the question of whether there is inconsistency that could lead to injustice if the privilege is upheld. The weight to be given to fairness will depend on the circumstances, including the character of the privilege said to have been waived.”</w:t>
      </w:r>
    </w:p>
    <w:p w:rsidR="009F62A6" w:rsidRDefault="009F62A6" w:rsidP="0046058D">
      <w:pPr>
        <w:pStyle w:val="ListNumber"/>
        <w:spacing w:after="200" w:line="240" w:lineRule="auto"/>
        <w:rPr>
          <w:szCs w:val="24"/>
        </w:rPr>
      </w:pPr>
      <w:r>
        <w:rPr>
          <w:szCs w:val="24"/>
        </w:rPr>
        <w:t xml:space="preserve">There is no evidence that the Police waived the privilege or </w:t>
      </w:r>
      <w:r>
        <w:rPr>
          <w:i/>
          <w:szCs w:val="24"/>
        </w:rPr>
        <w:t>“destroyed confidentiality”</w:t>
      </w:r>
      <w:r>
        <w:rPr>
          <w:szCs w:val="24"/>
        </w:rPr>
        <w:t xml:space="preserve"> in the privileged material by the manner in which they have used or referred to the advice given in the legal opinions.</w:t>
      </w:r>
    </w:p>
    <w:p w:rsidR="009F62A6" w:rsidRDefault="009F62A6" w:rsidP="0046058D">
      <w:pPr>
        <w:pStyle w:val="ListNumber"/>
        <w:spacing w:after="200" w:line="240" w:lineRule="auto"/>
        <w:rPr>
          <w:szCs w:val="24"/>
        </w:rPr>
      </w:pPr>
      <w:r>
        <w:rPr>
          <w:szCs w:val="24"/>
        </w:rPr>
        <w:t>In considering whether the section 9(1) public interest override applies, I took into account that there were significant public interest considerations favouring the disclosure of further information to the complainant. The complainant was entitled, as is the public, to a fuller explanation from the Police about why they decided to charge Mr Dummer with the lesser charge of carelessly using a firearm causing death. Disclosure of a summary of reasons for this decision serves to increase the transparency of the decision-making process and to promote the accountability of the Police for their decision.</w:t>
      </w:r>
    </w:p>
    <w:p w:rsidR="009F62A6" w:rsidRDefault="009F62A6" w:rsidP="0046058D">
      <w:pPr>
        <w:pStyle w:val="ListNumber"/>
        <w:spacing w:after="200" w:line="240" w:lineRule="auto"/>
        <w:rPr>
          <w:szCs w:val="24"/>
        </w:rPr>
      </w:pPr>
      <w:r>
        <w:rPr>
          <w:szCs w:val="24"/>
        </w:rPr>
        <w:t>In a letter of 18 June 2014 to the complainant, the text of which is set out in appendix 2, the Police provided a summary of reasons for the decision to lay the lesser charge of carelessly using a firearm causing death.</w:t>
      </w:r>
    </w:p>
    <w:p w:rsidR="009F62A6" w:rsidRDefault="009F62A6" w:rsidP="0046058D">
      <w:pPr>
        <w:pStyle w:val="ListNumber"/>
        <w:spacing w:after="200" w:line="240" w:lineRule="auto"/>
        <w:rPr>
          <w:szCs w:val="24"/>
        </w:rPr>
      </w:pPr>
      <w:r>
        <w:rPr>
          <w:szCs w:val="24"/>
        </w:rPr>
        <w:t xml:space="preserve">In my opinion, the provision by the Police of the summary of reasons for laying the lesser charge satisfies the public interest considerations under section 9(1) of the OIA, and appropriately reflects the balance between: </w:t>
      </w:r>
    </w:p>
    <w:p w:rsidR="009F62A6" w:rsidRPr="0010683C" w:rsidRDefault="009F62A6" w:rsidP="0010683C">
      <w:pPr>
        <w:pStyle w:val="Number2"/>
        <w:numPr>
          <w:ilvl w:val="1"/>
          <w:numId w:val="22"/>
        </w:numPr>
        <w:rPr>
          <w:b/>
        </w:rPr>
      </w:pPr>
      <w:r>
        <w:t>the interest in maintaining legal professional privilege; and</w:t>
      </w:r>
    </w:p>
    <w:p w:rsidR="009F62A6" w:rsidRPr="00982B6B" w:rsidRDefault="009F62A6" w:rsidP="0010683C">
      <w:pPr>
        <w:pStyle w:val="Number2"/>
        <w:rPr>
          <w:b/>
        </w:rPr>
      </w:pPr>
      <w:r>
        <w:t>the public interest in the Police providing the public with an appropriate explanation for the decision to lay the lesser charge.</w:t>
      </w:r>
    </w:p>
    <w:p w:rsidR="009F62A6" w:rsidRPr="0035394C" w:rsidRDefault="009F62A6" w:rsidP="009F62A6">
      <w:pPr>
        <w:pStyle w:val="Heading1"/>
      </w:pPr>
      <w:bookmarkStart w:id="31" w:name="_Toc345589878"/>
      <w:bookmarkStart w:id="32" w:name="_Toc389822357"/>
      <w:bookmarkStart w:id="33" w:name="_Toc400966185"/>
      <w:bookmarkStart w:id="34" w:name="_Toc404332093"/>
      <w:r w:rsidRPr="0035394C">
        <w:t>Ombudsman’s opinion</w:t>
      </w:r>
      <w:bookmarkEnd w:id="31"/>
      <w:bookmarkEnd w:id="32"/>
      <w:bookmarkEnd w:id="33"/>
      <w:bookmarkEnd w:id="34"/>
    </w:p>
    <w:p w:rsidR="009F62A6" w:rsidRDefault="009F62A6" w:rsidP="009F62A6">
      <w:pPr>
        <w:pStyle w:val="ListNumber"/>
        <w:spacing w:after="200" w:line="240" w:lineRule="auto"/>
        <w:jc w:val="both"/>
      </w:pPr>
      <w:r>
        <w:t>For the reasons set out above, I conclude:</w:t>
      </w:r>
    </w:p>
    <w:p w:rsidR="009F62A6" w:rsidRDefault="00111C75" w:rsidP="0010683C">
      <w:pPr>
        <w:pStyle w:val="Number2"/>
        <w:numPr>
          <w:ilvl w:val="1"/>
          <w:numId w:val="23"/>
        </w:numPr>
      </w:pPr>
      <w:r>
        <w:t>s</w:t>
      </w:r>
      <w:r w:rsidR="009F62A6">
        <w:t>ection 9(2)(h) of the OIA applied to the information at issue; and</w:t>
      </w:r>
    </w:p>
    <w:p w:rsidR="009F62A6" w:rsidRDefault="009F62A6" w:rsidP="0010683C">
      <w:pPr>
        <w:pStyle w:val="Number2"/>
      </w:pPr>
      <w:r>
        <w:t>the provision by the Police of the summary of reasons for deciding to charge Mr Dummer with carelessly using a firearm causing death (under section 53(1) of the Arms Act 1983), rather than with manslaughter (under section 160(2)(b) of the Crimes Act 1961), satisfies the overriding public interest recognised by section 9(1) of the OIA.</w:t>
      </w:r>
    </w:p>
    <w:p w:rsidR="009F62A6" w:rsidRDefault="009F62A6" w:rsidP="009F62A6">
      <w:pPr>
        <w:pStyle w:val="ListNumber"/>
        <w:numPr>
          <w:ilvl w:val="0"/>
          <w:numId w:val="0"/>
        </w:numPr>
        <w:spacing w:after="0" w:line="240" w:lineRule="auto"/>
      </w:pPr>
    </w:p>
    <w:p w:rsidR="009F62A6" w:rsidRPr="0035394C" w:rsidRDefault="009F62A6" w:rsidP="005F2926">
      <w:pPr>
        <w:pStyle w:val="HeadingAppendix"/>
        <w:spacing w:before="240"/>
      </w:pPr>
      <w:bookmarkStart w:id="35" w:name="_Toc335135995"/>
      <w:bookmarkStart w:id="36" w:name="_Toc335135996"/>
      <w:bookmarkStart w:id="37" w:name="_Toc345589880"/>
      <w:bookmarkStart w:id="38" w:name="_Toc389822358"/>
      <w:bookmarkStart w:id="39" w:name="_Toc400966186"/>
      <w:bookmarkStart w:id="40" w:name="_Toc404332094"/>
      <w:bookmarkEnd w:id="35"/>
      <w:bookmarkEnd w:id="36"/>
      <w:r w:rsidRPr="0035394C">
        <w:t>Relevant statutory provisions</w:t>
      </w:r>
      <w:bookmarkEnd w:id="37"/>
      <w:bookmarkEnd w:id="38"/>
      <w:bookmarkEnd w:id="39"/>
      <w:bookmarkEnd w:id="40"/>
    </w:p>
    <w:p w:rsidR="009F62A6" w:rsidRPr="0035394C" w:rsidRDefault="009F62A6" w:rsidP="009F62A6">
      <w:pPr>
        <w:pStyle w:val="Legstyle-10"/>
        <w:spacing w:line="240" w:lineRule="auto"/>
        <w:ind w:left="0" w:firstLine="0"/>
      </w:pPr>
      <w:r w:rsidRPr="0035394C">
        <w:t>Official Information Act 1982</w:t>
      </w:r>
    </w:p>
    <w:p w:rsidR="009F62A6" w:rsidRPr="0035394C" w:rsidRDefault="009F62A6" w:rsidP="009F62A6">
      <w:pPr>
        <w:pStyle w:val="Legstyle-10"/>
        <w:spacing w:line="240" w:lineRule="auto"/>
      </w:pPr>
      <w:r w:rsidRPr="0035394C">
        <w:t>9.</w:t>
      </w:r>
      <w:r w:rsidRPr="0035394C">
        <w:tab/>
        <w:t>Other reasons for withholding official information</w:t>
      </w:r>
    </w:p>
    <w:p w:rsidR="009F62A6" w:rsidRPr="0035394C" w:rsidRDefault="009F62A6" w:rsidP="009F62A6">
      <w:pPr>
        <w:pStyle w:val="Legstyle1-10"/>
        <w:spacing w:line="240" w:lineRule="auto"/>
      </w:pPr>
      <w:r w:rsidRPr="0035394C">
        <w:t>(1)</w:t>
      </w:r>
      <w:r w:rsidRPr="0035394C">
        <w:tab/>
        <w:t>Where this section applies, good reason for withholding official information exists, for the purpose of section 5, unless, in the circumstances of the particular case, the withholding of that information is outweighed by other considerations which render it desirable, in the public interest, to make that information available.</w:t>
      </w:r>
    </w:p>
    <w:p w:rsidR="009F62A6" w:rsidRDefault="009F62A6" w:rsidP="009F62A6">
      <w:pPr>
        <w:pStyle w:val="Legstyle1-10"/>
        <w:spacing w:line="240" w:lineRule="auto"/>
      </w:pPr>
      <w:r w:rsidRPr="0035394C">
        <w:t>(2)</w:t>
      </w:r>
      <w:r w:rsidRPr="0035394C">
        <w:tab/>
        <w:t>Subject to sections 6, 7, 10, and 18, this section applies if, and only if, the withholding of the information is necessary to—</w:t>
      </w:r>
    </w:p>
    <w:p w:rsidR="009F62A6" w:rsidRDefault="009F62A6" w:rsidP="009F62A6">
      <w:pPr>
        <w:pStyle w:val="Legstyle1-10"/>
        <w:spacing w:line="240" w:lineRule="auto"/>
      </w:pPr>
      <w:r>
        <w:tab/>
        <w:t>…</w:t>
      </w:r>
    </w:p>
    <w:p w:rsidR="009F62A6" w:rsidRDefault="009F62A6" w:rsidP="009F62A6">
      <w:pPr>
        <w:pStyle w:val="Legstyle1-a"/>
        <w:spacing w:line="240" w:lineRule="auto"/>
      </w:pPr>
      <w:r w:rsidRPr="0035394C">
        <w:t>(h)</w:t>
      </w:r>
      <w:r w:rsidRPr="0035394C">
        <w:tab/>
        <w:t>maintain legal professional privilege; or</w:t>
      </w:r>
    </w:p>
    <w:p w:rsidR="009F62A6" w:rsidRPr="0035394C" w:rsidRDefault="009F62A6" w:rsidP="009F62A6">
      <w:pPr>
        <w:pStyle w:val="Legstyle1-a"/>
        <w:spacing w:line="240" w:lineRule="auto"/>
      </w:pPr>
      <w:r>
        <w:t>…</w:t>
      </w:r>
    </w:p>
    <w:p w:rsidR="009F62A6" w:rsidRPr="0035394C" w:rsidRDefault="009F62A6" w:rsidP="009F62A6">
      <w:pPr>
        <w:pStyle w:val="Legstyle1-a"/>
        <w:spacing w:line="240" w:lineRule="auto"/>
      </w:pPr>
    </w:p>
    <w:p w:rsidR="009F62A6" w:rsidRDefault="009F62A6" w:rsidP="005F2926">
      <w:pPr>
        <w:pStyle w:val="HeadingAppendix"/>
        <w:spacing w:before="240"/>
      </w:pPr>
      <w:bookmarkStart w:id="41" w:name="_Toc400966187"/>
      <w:bookmarkStart w:id="42" w:name="_Toc404332095"/>
      <w:r>
        <w:t>Letter of 18 June 2014 to the complainant</w:t>
      </w:r>
      <w:bookmarkEnd w:id="41"/>
      <w:bookmarkEnd w:id="42"/>
    </w:p>
    <w:p w:rsidR="009F62A6" w:rsidRDefault="009F62A6" w:rsidP="009F62A6">
      <w:pPr>
        <w:pStyle w:val="BodyText"/>
        <w:spacing w:after="0" w:line="240" w:lineRule="auto"/>
        <w:rPr>
          <w:b/>
          <w:i/>
        </w:rPr>
      </w:pPr>
    </w:p>
    <w:p w:rsidR="009F62A6" w:rsidRDefault="009F62A6" w:rsidP="009F62A6">
      <w:pPr>
        <w:pStyle w:val="BodyText"/>
        <w:spacing w:after="0" w:line="240" w:lineRule="auto"/>
        <w:rPr>
          <w:b/>
          <w:i/>
        </w:rPr>
      </w:pPr>
      <w:r w:rsidRPr="00CC4D9F">
        <w:rPr>
          <w:b/>
          <w:i/>
        </w:rPr>
        <w:t>“Official Information Act request regarding C Dummer</w:t>
      </w:r>
    </w:p>
    <w:p w:rsidR="009F62A6" w:rsidRPr="00CC4D9F" w:rsidRDefault="009F62A6" w:rsidP="009F62A6">
      <w:pPr>
        <w:pStyle w:val="BodyText"/>
        <w:spacing w:after="0" w:line="240" w:lineRule="auto"/>
        <w:rPr>
          <w:b/>
          <w:i/>
        </w:rPr>
      </w:pPr>
    </w:p>
    <w:p w:rsidR="009F62A6" w:rsidRDefault="009F62A6" w:rsidP="009F62A6">
      <w:pPr>
        <w:pStyle w:val="BodyText"/>
        <w:spacing w:after="0" w:line="240" w:lineRule="auto"/>
        <w:rPr>
          <w:i/>
        </w:rPr>
      </w:pPr>
      <w:r w:rsidRPr="00CC4D9F">
        <w:rPr>
          <w:i/>
        </w:rPr>
        <w:t>Your complaint to the Ombudsman has been referred to Police, with a request by the Ombudsman that Police consider providing you with a fuller explanation of the factors taken into account in deciding not to lay a charge of manslaughter against Mr Dummer.</w:t>
      </w:r>
    </w:p>
    <w:p w:rsidR="009F62A6" w:rsidRPr="00CC4D9F" w:rsidRDefault="009F62A6" w:rsidP="009F62A6">
      <w:pPr>
        <w:pStyle w:val="BodyText"/>
        <w:spacing w:after="0" w:line="240" w:lineRule="auto"/>
        <w:rPr>
          <w:i/>
        </w:rPr>
      </w:pPr>
    </w:p>
    <w:p w:rsidR="009F62A6" w:rsidRDefault="009F62A6" w:rsidP="009F62A6">
      <w:pPr>
        <w:pStyle w:val="BodyText"/>
        <w:spacing w:after="0" w:line="240" w:lineRule="auto"/>
        <w:rPr>
          <w:i/>
        </w:rPr>
      </w:pPr>
      <w:r w:rsidRPr="00CC4D9F">
        <w:rPr>
          <w:i/>
        </w:rPr>
        <w:t>Accordingly, the following is a summary of the law and factors taken into account.</w:t>
      </w:r>
    </w:p>
    <w:p w:rsidR="009F62A6" w:rsidRPr="00CC4D9F" w:rsidRDefault="009F62A6" w:rsidP="009F62A6">
      <w:pPr>
        <w:pStyle w:val="BodyText"/>
        <w:spacing w:after="0" w:line="240" w:lineRule="auto"/>
        <w:rPr>
          <w:i/>
        </w:rPr>
      </w:pPr>
    </w:p>
    <w:p w:rsidR="009F62A6" w:rsidRDefault="009F62A6" w:rsidP="009F62A6">
      <w:pPr>
        <w:pStyle w:val="BodyText"/>
        <w:spacing w:after="0" w:line="240" w:lineRule="auto"/>
        <w:rPr>
          <w:i/>
        </w:rPr>
      </w:pPr>
      <w:r w:rsidRPr="00CC4D9F">
        <w:rPr>
          <w:i/>
        </w:rPr>
        <w:t>The Prosecution Guidelines, which Police are obliged to comply with whenever they are considering a prosecution, provide that Police may not pursue a prosecution unless:</w:t>
      </w:r>
    </w:p>
    <w:p w:rsidR="009F62A6" w:rsidRPr="00CC4D9F" w:rsidRDefault="009F62A6" w:rsidP="009F62A6">
      <w:pPr>
        <w:pStyle w:val="BodyText"/>
        <w:spacing w:after="0" w:line="240" w:lineRule="auto"/>
        <w:rPr>
          <w:i/>
        </w:rPr>
      </w:pPr>
    </w:p>
    <w:p w:rsidR="009F62A6" w:rsidRPr="00CC4D9F" w:rsidRDefault="009F62A6" w:rsidP="009F62A6">
      <w:pPr>
        <w:pStyle w:val="BodyText"/>
        <w:spacing w:after="0" w:line="240" w:lineRule="auto"/>
        <w:ind w:left="720" w:hanging="720"/>
        <w:rPr>
          <w:i/>
        </w:rPr>
      </w:pPr>
      <w:r w:rsidRPr="00CC4D9F">
        <w:rPr>
          <w:i/>
        </w:rPr>
        <w:t>1.</w:t>
      </w:r>
      <w:r w:rsidRPr="00CC4D9F">
        <w:rPr>
          <w:i/>
        </w:rPr>
        <w:tab/>
        <w:t>The evidence which can be adduced in Court is sufficient to provide a reasonable prospect of conviction, and</w:t>
      </w:r>
    </w:p>
    <w:p w:rsidR="009F62A6" w:rsidRDefault="009F62A6" w:rsidP="009F62A6">
      <w:pPr>
        <w:pStyle w:val="BodyText"/>
        <w:spacing w:after="0" w:line="240" w:lineRule="auto"/>
        <w:ind w:left="720" w:hanging="720"/>
        <w:rPr>
          <w:i/>
        </w:rPr>
      </w:pPr>
      <w:r w:rsidRPr="00CC4D9F">
        <w:rPr>
          <w:i/>
        </w:rPr>
        <w:t>2.</w:t>
      </w:r>
      <w:r w:rsidRPr="00CC4D9F">
        <w:rPr>
          <w:i/>
        </w:rPr>
        <w:tab/>
        <w:t>Prosecution is required in the public interest. This test cannot be considered unless a prosecutor is first satisfied that the evidential test is satisfied.</w:t>
      </w:r>
    </w:p>
    <w:p w:rsidR="009F62A6" w:rsidRPr="00CC4D9F" w:rsidRDefault="009F62A6" w:rsidP="009F62A6">
      <w:pPr>
        <w:pStyle w:val="BodyText"/>
        <w:spacing w:after="0" w:line="240" w:lineRule="auto"/>
        <w:ind w:left="720" w:hanging="720"/>
        <w:rPr>
          <w:i/>
        </w:rPr>
      </w:pPr>
    </w:p>
    <w:p w:rsidR="009F62A6" w:rsidRDefault="009F62A6" w:rsidP="009F62A6">
      <w:pPr>
        <w:pStyle w:val="BodyText"/>
        <w:spacing w:after="0" w:line="240" w:lineRule="auto"/>
        <w:rPr>
          <w:i/>
        </w:rPr>
      </w:pPr>
      <w:r w:rsidRPr="00CC4D9F">
        <w:rPr>
          <w:i/>
        </w:rPr>
        <w:t>The evidential test is described in the Guidelines as:</w:t>
      </w:r>
    </w:p>
    <w:p w:rsidR="009F62A6" w:rsidRPr="00CC4D9F" w:rsidRDefault="009F62A6" w:rsidP="009F62A6">
      <w:pPr>
        <w:pStyle w:val="BodyText"/>
        <w:spacing w:after="0" w:line="240" w:lineRule="auto"/>
        <w:rPr>
          <w:i/>
        </w:rPr>
      </w:pPr>
    </w:p>
    <w:p w:rsidR="009F62A6" w:rsidRDefault="009F62A6" w:rsidP="009F62A6">
      <w:pPr>
        <w:pStyle w:val="BodyText"/>
        <w:spacing w:after="0" w:line="240" w:lineRule="auto"/>
        <w:ind w:left="720" w:right="509"/>
        <w:rPr>
          <w:i/>
        </w:rPr>
      </w:pPr>
      <w:r>
        <w:rPr>
          <w:i/>
        </w:rPr>
        <w:t>‘</w:t>
      </w:r>
      <w:r w:rsidRPr="00CC4D9F">
        <w:rPr>
          <w:i/>
        </w:rPr>
        <w:t>A reasonable prospect of conviction exists if, in relation to an identifiable individual, there is credible evidence which the prosecution can adduce before a court and upon which evidence an impartial jury (or Judge), properly directed in accordance with the law, could reasonably be expected to be satisfied beyond reasonable doubt that the individual who is prosecuted has committed a criminal offence.</w:t>
      </w:r>
      <w:r>
        <w:rPr>
          <w:i/>
        </w:rPr>
        <w:t>’</w:t>
      </w:r>
    </w:p>
    <w:p w:rsidR="009F62A6" w:rsidRPr="00CC4D9F" w:rsidRDefault="009F62A6" w:rsidP="009F62A6">
      <w:pPr>
        <w:pStyle w:val="BodyText"/>
        <w:spacing w:after="0" w:line="240" w:lineRule="auto"/>
        <w:ind w:left="720" w:right="509"/>
        <w:rPr>
          <w:i/>
        </w:rPr>
      </w:pPr>
    </w:p>
    <w:p w:rsidR="009F62A6" w:rsidRDefault="009F62A6" w:rsidP="009F62A6">
      <w:pPr>
        <w:pStyle w:val="BodyText"/>
        <w:spacing w:after="0" w:line="240" w:lineRule="auto"/>
        <w:rPr>
          <w:i/>
        </w:rPr>
      </w:pPr>
      <w:r w:rsidRPr="00CC4D9F">
        <w:rPr>
          <w:i/>
        </w:rPr>
        <w:t>All hunters carrying a weapon are under the obligation of care imposed by section 156 of the Crimes Act 1961 which states:</w:t>
      </w:r>
    </w:p>
    <w:p w:rsidR="009F62A6" w:rsidRPr="00CC4D9F" w:rsidRDefault="009F62A6" w:rsidP="009F62A6">
      <w:pPr>
        <w:pStyle w:val="BodyText"/>
        <w:spacing w:after="0" w:line="240" w:lineRule="auto"/>
        <w:rPr>
          <w:i/>
        </w:rPr>
      </w:pPr>
    </w:p>
    <w:p w:rsidR="009F62A6" w:rsidRPr="00CC4D9F" w:rsidRDefault="009F62A6" w:rsidP="009F62A6">
      <w:pPr>
        <w:pStyle w:val="BodyText"/>
        <w:spacing w:after="120" w:line="240" w:lineRule="auto"/>
        <w:ind w:left="720" w:right="652"/>
        <w:rPr>
          <w:i/>
        </w:rPr>
      </w:pPr>
      <w:r w:rsidRPr="00CC4D9F">
        <w:rPr>
          <w:i/>
        </w:rPr>
        <w:t>‘156 Duty of persons in charge of dangerous things</w:t>
      </w:r>
    </w:p>
    <w:p w:rsidR="009F62A6" w:rsidRDefault="009F62A6" w:rsidP="009F62A6">
      <w:pPr>
        <w:pStyle w:val="BodyText"/>
        <w:spacing w:after="0" w:line="240" w:lineRule="auto"/>
        <w:ind w:left="720" w:right="651"/>
        <w:rPr>
          <w:i/>
        </w:rPr>
      </w:pPr>
      <w:r w:rsidRPr="00CC4D9F">
        <w:rPr>
          <w:i/>
        </w:rPr>
        <w:t>Every one who has in his charge or under his control anything whatever, whether animate or inanimate, or who erects, makes, operates, or maintains anything whatever, which, in the absence of precaution or care, may endanger human life is under a legal duty to take reasonable precautions against and to use reasonable care to avoid such danger, and is criminally responsible for the consequences of omitting without lawful excuse to discharge that duty.’</w:t>
      </w:r>
    </w:p>
    <w:p w:rsidR="009F62A6" w:rsidRPr="00CC4D9F" w:rsidRDefault="009F62A6" w:rsidP="009F62A6">
      <w:pPr>
        <w:pStyle w:val="BodyText"/>
        <w:spacing w:after="0" w:line="240" w:lineRule="auto"/>
        <w:ind w:left="720" w:right="651"/>
        <w:rPr>
          <w:i/>
        </w:rPr>
      </w:pPr>
    </w:p>
    <w:p w:rsidR="009F62A6" w:rsidRDefault="009F62A6" w:rsidP="007F40C0">
      <w:pPr>
        <w:keepNext/>
        <w:spacing w:after="0" w:line="240" w:lineRule="auto"/>
        <w:rPr>
          <w:i/>
        </w:rPr>
      </w:pPr>
      <w:r w:rsidRPr="00CC4D9F">
        <w:rPr>
          <w:i/>
        </w:rPr>
        <w:t>However, even though a hunter might breach section 156 and accidentally kill another person, this does not necessarily mean that a charge of manslaughter will be available to the prosecution. This is because of section 150A which states:</w:t>
      </w:r>
    </w:p>
    <w:p w:rsidR="009F62A6" w:rsidRPr="00CC4D9F" w:rsidRDefault="009F62A6" w:rsidP="007F40C0">
      <w:pPr>
        <w:keepNext/>
        <w:spacing w:after="0" w:line="240" w:lineRule="auto"/>
        <w:jc w:val="center"/>
        <w:rPr>
          <w:i/>
        </w:rPr>
      </w:pPr>
      <w:r>
        <w:rPr>
          <w:i/>
        </w:rPr>
        <w:br w:type="page"/>
      </w:r>
      <w:r w:rsidRPr="00CC4D9F">
        <w:rPr>
          <w:i/>
          <w:szCs w:val="24"/>
        </w:rPr>
        <w:t>‘</w:t>
      </w:r>
      <w:r w:rsidRPr="00CC4D9F">
        <w:rPr>
          <w:i/>
        </w:rPr>
        <w:t>Part 8</w:t>
      </w:r>
    </w:p>
    <w:p w:rsidR="009F62A6" w:rsidRPr="00CC4D9F" w:rsidRDefault="009F62A6" w:rsidP="007F40C0">
      <w:pPr>
        <w:keepNext/>
        <w:spacing w:after="0" w:line="240" w:lineRule="auto"/>
        <w:ind w:left="720" w:right="509"/>
        <w:jc w:val="center"/>
        <w:rPr>
          <w:i/>
        </w:rPr>
      </w:pPr>
      <w:r w:rsidRPr="00CC4D9F">
        <w:rPr>
          <w:i/>
        </w:rPr>
        <w:t>Crimes against the person</w:t>
      </w:r>
    </w:p>
    <w:p w:rsidR="009F62A6" w:rsidRDefault="009F62A6" w:rsidP="007F40C0">
      <w:pPr>
        <w:keepNext/>
        <w:spacing w:after="0" w:line="240" w:lineRule="auto"/>
        <w:ind w:left="720" w:right="509"/>
        <w:jc w:val="center"/>
        <w:rPr>
          <w:i/>
        </w:rPr>
      </w:pPr>
      <w:r w:rsidRPr="00CC4D9F">
        <w:rPr>
          <w:i/>
        </w:rPr>
        <w:t>Duties tending to the preservation of life</w:t>
      </w:r>
    </w:p>
    <w:p w:rsidR="009F62A6" w:rsidRPr="00CC4D9F" w:rsidRDefault="009F62A6" w:rsidP="009F62A6">
      <w:pPr>
        <w:spacing w:after="0" w:line="240" w:lineRule="auto"/>
        <w:ind w:left="720" w:right="509"/>
        <w:jc w:val="center"/>
        <w:rPr>
          <w:i/>
        </w:rPr>
      </w:pPr>
    </w:p>
    <w:p w:rsidR="009F62A6" w:rsidRDefault="009F62A6" w:rsidP="009F62A6">
      <w:pPr>
        <w:spacing w:after="0" w:line="240" w:lineRule="auto"/>
        <w:ind w:left="1134" w:right="509" w:hanging="567"/>
        <w:rPr>
          <w:i/>
        </w:rPr>
      </w:pPr>
      <w:r w:rsidRPr="00CC4D9F">
        <w:rPr>
          <w:i/>
        </w:rPr>
        <w:t>[150A Standard of care applicable to persons under legal duties or performing unlawful acts</w:t>
      </w:r>
    </w:p>
    <w:p w:rsidR="009F62A6" w:rsidRPr="00CC4D9F" w:rsidRDefault="009F62A6" w:rsidP="009F62A6">
      <w:pPr>
        <w:spacing w:after="0" w:line="240" w:lineRule="auto"/>
        <w:ind w:left="1134" w:right="509" w:hanging="567"/>
        <w:rPr>
          <w:i/>
        </w:rPr>
      </w:pPr>
    </w:p>
    <w:p w:rsidR="009F62A6" w:rsidRDefault="009F62A6" w:rsidP="009F62A6">
      <w:pPr>
        <w:spacing w:after="0" w:line="240" w:lineRule="auto"/>
        <w:ind w:left="993" w:right="509" w:hanging="426"/>
        <w:rPr>
          <w:i/>
        </w:rPr>
      </w:pPr>
      <w:r w:rsidRPr="00CC4D9F">
        <w:rPr>
          <w:i/>
        </w:rPr>
        <w:t>(1)</w:t>
      </w:r>
      <w:r w:rsidRPr="00CC4D9F">
        <w:rPr>
          <w:i/>
        </w:rPr>
        <w:tab/>
        <w:t>This section applies in respect of—</w:t>
      </w:r>
    </w:p>
    <w:p w:rsidR="009F62A6" w:rsidRPr="00CC4D9F" w:rsidRDefault="009F62A6" w:rsidP="009F62A6">
      <w:pPr>
        <w:spacing w:after="0" w:line="240" w:lineRule="auto"/>
        <w:ind w:left="1134" w:right="509" w:hanging="567"/>
        <w:rPr>
          <w:i/>
        </w:rPr>
      </w:pPr>
    </w:p>
    <w:p w:rsidR="009F62A6" w:rsidRPr="00CC4D9F" w:rsidRDefault="009F62A6" w:rsidP="009F62A6">
      <w:pPr>
        <w:spacing w:after="0" w:line="240" w:lineRule="auto"/>
        <w:ind w:left="1560" w:right="509" w:hanging="567"/>
        <w:rPr>
          <w:i/>
        </w:rPr>
      </w:pPr>
      <w:r w:rsidRPr="00CC4D9F">
        <w:rPr>
          <w:i/>
        </w:rPr>
        <w:t>(a)</w:t>
      </w:r>
      <w:r w:rsidRPr="00CC4D9F">
        <w:rPr>
          <w:i/>
        </w:rPr>
        <w:tab/>
        <w:t>the legal duties specified in any of sections 151, 152, 153, 155, 156, and 157; and</w:t>
      </w:r>
    </w:p>
    <w:p w:rsidR="009F62A6" w:rsidRDefault="009F62A6" w:rsidP="009F62A6">
      <w:pPr>
        <w:spacing w:after="0" w:line="240" w:lineRule="auto"/>
        <w:ind w:left="1560" w:right="509" w:hanging="567"/>
        <w:rPr>
          <w:i/>
        </w:rPr>
      </w:pPr>
      <w:r w:rsidRPr="00CC4D9F">
        <w:rPr>
          <w:i/>
        </w:rPr>
        <w:t>(b)</w:t>
      </w:r>
      <w:r w:rsidRPr="00CC4D9F">
        <w:rPr>
          <w:i/>
        </w:rPr>
        <w:tab/>
        <w:t>an unlawful act referred to in section 160 where the unlawful act relied on requires proof of negligence or is a strict or absolute liability offence.</w:t>
      </w:r>
    </w:p>
    <w:p w:rsidR="009F62A6" w:rsidRPr="00CC4D9F" w:rsidRDefault="009F62A6" w:rsidP="009F62A6">
      <w:pPr>
        <w:spacing w:after="0" w:line="240" w:lineRule="auto"/>
        <w:ind w:left="1134" w:right="509" w:hanging="567"/>
        <w:rPr>
          <w:i/>
        </w:rPr>
      </w:pPr>
    </w:p>
    <w:p w:rsidR="009F62A6" w:rsidRDefault="009F62A6" w:rsidP="009F62A6">
      <w:pPr>
        <w:spacing w:after="0" w:line="240" w:lineRule="auto"/>
        <w:ind w:left="993" w:right="509" w:hanging="426"/>
        <w:rPr>
          <w:i/>
        </w:rPr>
      </w:pPr>
      <w:r w:rsidRPr="00CC4D9F">
        <w:rPr>
          <w:i/>
        </w:rPr>
        <w:t>(2)</w:t>
      </w:r>
      <w:r w:rsidRPr="00CC4D9F">
        <w:rPr>
          <w:i/>
        </w:rPr>
        <w:tab/>
        <w:t>For the purposes of this Part, a person is criminally responsible for omitting to discharge or perform a legal duty, or performing an unlawful act, to which this section applies only if, in the circumstances, the omission or unlawful act is a major departure from the standard of care expected of a reasonable person to whom that legal duty applies or who performs that unlawful act.]’</w:t>
      </w:r>
    </w:p>
    <w:p w:rsidR="009F62A6" w:rsidRPr="00CC4D9F" w:rsidRDefault="009F62A6" w:rsidP="009F62A6">
      <w:pPr>
        <w:spacing w:after="0" w:line="240" w:lineRule="auto"/>
        <w:ind w:left="993" w:right="509" w:hanging="426"/>
        <w:rPr>
          <w:i/>
        </w:rPr>
      </w:pPr>
    </w:p>
    <w:p w:rsidR="009F62A6" w:rsidRDefault="009F62A6" w:rsidP="009F62A6">
      <w:pPr>
        <w:spacing w:after="0" w:line="240" w:lineRule="auto"/>
        <w:rPr>
          <w:i/>
        </w:rPr>
      </w:pPr>
      <w:r w:rsidRPr="00CC4D9F">
        <w:rPr>
          <w:i/>
        </w:rPr>
        <w:t>The offence of manslaughter is established in Part 8 of the Crimes Act. Therefore, the provisions of section 150A(2) above apply to it, meaning that if a person is killed by another person who has omitted to perform a legal duty, criminal responsibility for a Part 8 offence will only attach to the offender if the omission is a “major departure” from the standard of care expected of a reasonable person. In other words, mere negligence will not suffice; the conduct needs to have been grossly negligent.</w:t>
      </w:r>
    </w:p>
    <w:p w:rsidR="009F62A6" w:rsidRPr="00CC4D9F" w:rsidRDefault="009F62A6" w:rsidP="009F62A6">
      <w:pPr>
        <w:spacing w:after="0" w:line="240" w:lineRule="auto"/>
        <w:rPr>
          <w:i/>
        </w:rPr>
      </w:pPr>
    </w:p>
    <w:p w:rsidR="009F62A6" w:rsidRDefault="009F62A6" w:rsidP="009F62A6">
      <w:pPr>
        <w:spacing w:after="0" w:line="240" w:lineRule="auto"/>
        <w:rPr>
          <w:i/>
        </w:rPr>
      </w:pPr>
      <w:r w:rsidRPr="00CC4D9F">
        <w:rPr>
          <w:i/>
        </w:rPr>
        <w:t>The police investigating a hunting death will look at all the surrounding circumstances to try to determine whether the conduct of the offender can fairly be described as grossly negligent. Important to that exercise is a comparison of the conduct with previous hunting deaths, including what charges those offenders have faced and any commentary by the Courts.</w:t>
      </w:r>
    </w:p>
    <w:p w:rsidR="009F62A6" w:rsidRPr="00CC4D9F" w:rsidRDefault="009F62A6" w:rsidP="009F62A6">
      <w:pPr>
        <w:spacing w:after="0" w:line="240" w:lineRule="auto"/>
        <w:rPr>
          <w:i/>
        </w:rPr>
      </w:pPr>
    </w:p>
    <w:p w:rsidR="009F62A6" w:rsidRDefault="009F62A6" w:rsidP="009F62A6">
      <w:pPr>
        <w:spacing w:after="0" w:line="240" w:lineRule="auto"/>
        <w:rPr>
          <w:i/>
        </w:rPr>
      </w:pPr>
      <w:r w:rsidRPr="00CC4D9F">
        <w:rPr>
          <w:i/>
        </w:rPr>
        <w:t>There have only been two reported cases in New Zealand of a hunter being charged with manslaughter; namely the 2011 decision of the High Court in Mears and the 2012 decision in Davidson. In all other instances of hunters causing the death of a person through not carefully identifying their target the charge has typically been under section 53 of the Arms Act 1983 for careless use of a firearm, causing death. This offence carries a maximum term of imprisonment of 3 years.</w:t>
      </w:r>
    </w:p>
    <w:p w:rsidR="009F62A6" w:rsidRPr="00CC4D9F" w:rsidRDefault="009F62A6" w:rsidP="009F62A6">
      <w:pPr>
        <w:spacing w:after="0" w:line="240" w:lineRule="auto"/>
        <w:rPr>
          <w:i/>
        </w:rPr>
      </w:pPr>
    </w:p>
    <w:p w:rsidR="009F62A6" w:rsidRDefault="009F62A6" w:rsidP="009F62A6">
      <w:pPr>
        <w:spacing w:line="240" w:lineRule="auto"/>
        <w:rPr>
          <w:i/>
        </w:rPr>
      </w:pPr>
      <w:r w:rsidRPr="00CC4D9F">
        <w:rPr>
          <w:i/>
        </w:rPr>
        <w:t>In applying the Test for Prosecution under the Prosecution Guidelines, Police compared the evidence relating to Mr Dummer’s case with a range of previous hunter shooting cases.</w:t>
      </w:r>
    </w:p>
    <w:p w:rsidR="009F62A6" w:rsidRDefault="009F62A6" w:rsidP="009F62A6">
      <w:pPr>
        <w:spacing w:after="0" w:line="240" w:lineRule="auto"/>
        <w:rPr>
          <w:i/>
        </w:rPr>
      </w:pPr>
      <w:r w:rsidRPr="00CC4D9F">
        <w:rPr>
          <w:i/>
        </w:rPr>
        <w:t>In terms of the Prosecution Guidelines, the investigators in this instance reached the view that the evidential test for manslaughter could not be satisfied; that is, it could not be said that there was a reasonable prospect of conviction for the offence of manslaughter. That view was reached after taking account of legal advice.</w:t>
      </w:r>
    </w:p>
    <w:p w:rsidR="009F62A6" w:rsidRPr="00CC4D9F" w:rsidRDefault="009F62A6" w:rsidP="009F62A6">
      <w:pPr>
        <w:spacing w:after="0" w:line="240" w:lineRule="auto"/>
        <w:rPr>
          <w:i/>
        </w:rPr>
      </w:pPr>
    </w:p>
    <w:p w:rsidR="009F62A6" w:rsidRDefault="009F62A6" w:rsidP="009F62A6">
      <w:pPr>
        <w:spacing w:after="0" w:line="240" w:lineRule="auto"/>
        <w:rPr>
          <w:i/>
        </w:rPr>
      </w:pPr>
      <w:r w:rsidRPr="00CC4D9F">
        <w:rPr>
          <w:i/>
        </w:rPr>
        <w:t>It is desirable that the law is applied consistently. In the case of sentencing, section 8 of the Sentencing Act 2002 requires that the court</w:t>
      </w:r>
    </w:p>
    <w:p w:rsidR="009F62A6" w:rsidRPr="00CC4D9F" w:rsidRDefault="009F62A6" w:rsidP="009F62A6">
      <w:pPr>
        <w:spacing w:after="0" w:line="240" w:lineRule="auto"/>
        <w:rPr>
          <w:i/>
        </w:rPr>
      </w:pPr>
    </w:p>
    <w:p w:rsidR="009F62A6" w:rsidRDefault="009F62A6" w:rsidP="009F62A6">
      <w:pPr>
        <w:spacing w:after="0" w:line="240" w:lineRule="auto"/>
        <w:ind w:left="1134" w:right="509" w:hanging="567"/>
        <w:rPr>
          <w:i/>
        </w:rPr>
      </w:pPr>
      <w:r w:rsidRPr="00CC4D9F">
        <w:rPr>
          <w:i/>
        </w:rPr>
        <w:t>‘(e)</w:t>
      </w:r>
      <w:r w:rsidRPr="00CC4D9F">
        <w:rPr>
          <w:i/>
        </w:rPr>
        <w:tab/>
        <w:t>must take into account the general desirability of consistency with appropriate sentencing levels and other means of dealing with offenders in respect of similar offenders committing similar offences in similar circumstances;’</w:t>
      </w:r>
    </w:p>
    <w:p w:rsidR="009F62A6" w:rsidRPr="00CC4D9F" w:rsidRDefault="009F62A6" w:rsidP="009F62A6">
      <w:pPr>
        <w:spacing w:after="0" w:line="240" w:lineRule="auto"/>
        <w:ind w:left="1440" w:right="509" w:hanging="720"/>
        <w:rPr>
          <w:i/>
        </w:rPr>
      </w:pPr>
    </w:p>
    <w:p w:rsidR="009F62A6" w:rsidRDefault="009F62A6" w:rsidP="009F62A6">
      <w:pPr>
        <w:spacing w:after="0" w:line="240" w:lineRule="auto"/>
        <w:rPr>
          <w:i/>
        </w:rPr>
      </w:pPr>
      <w:r w:rsidRPr="00CC4D9F">
        <w:rPr>
          <w:i/>
        </w:rPr>
        <w:t>Although sentencing is the preserve of the courts, the desirability of consistency in respect of the police charging similar offenders committing similar offences in similar circumstances, is equally apposite.</w:t>
      </w:r>
    </w:p>
    <w:p w:rsidR="009F62A6" w:rsidRPr="00CC4D9F" w:rsidRDefault="009F62A6" w:rsidP="009F62A6">
      <w:pPr>
        <w:spacing w:after="0" w:line="240" w:lineRule="auto"/>
        <w:rPr>
          <w:i/>
        </w:rPr>
      </w:pPr>
    </w:p>
    <w:p w:rsidR="007F40C0" w:rsidRPr="00CC4D9F" w:rsidRDefault="007F40C0" w:rsidP="007F40C0">
      <w:pPr>
        <w:spacing w:after="0" w:line="240" w:lineRule="auto"/>
        <w:rPr>
          <w:i/>
        </w:rPr>
      </w:pPr>
      <w:r>
        <w:rPr>
          <w:i/>
        </w:rPr>
        <w:t xml:space="preserve">I </w:t>
      </w:r>
      <w:r w:rsidRPr="00CC4D9F">
        <w:rPr>
          <w:i/>
        </w:rPr>
        <w:t>trust that this summary helps to explain the background reasoning that supports police charging decisions in relation to hunting accidents in which a person has been injured or killed.</w:t>
      </w:r>
      <w:r>
        <w:rPr>
          <w:i/>
        </w:rPr>
        <w:t>”</w:t>
      </w:r>
    </w:p>
    <w:p w:rsidR="00A8396B" w:rsidRDefault="00A8396B" w:rsidP="007F40C0">
      <w:pPr>
        <w:spacing w:line="276" w:lineRule="auto"/>
      </w:pPr>
    </w:p>
    <w:sectPr w:rsidR="00A8396B" w:rsidSect="00D90E92">
      <w:headerReference w:type="even" r:id="rId7"/>
      <w:headerReference w:type="default" r:id="rId8"/>
      <w:footerReference w:type="even" r:id="rId9"/>
      <w:footerReference w:type="default" r:id="rId10"/>
      <w:headerReference w:type="first" r:id="rId11"/>
      <w:footerReference w:type="first" r:id="rId12"/>
      <w:endnotePr>
        <w:numFmt w:val="decimal"/>
      </w:endnotePr>
      <w:pgSz w:w="11906" w:h="16838" w:code="9"/>
      <w:pgMar w:top="1701" w:right="1304" w:bottom="1701" w:left="1304" w:header="680" w:footer="68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3616" w:rsidRPr="00D45126" w:rsidRDefault="006C3616" w:rsidP="00554FCD">
      <w:pPr>
        <w:spacing w:after="0" w:line="240" w:lineRule="auto"/>
        <w:rPr>
          <w:color w:val="4D4D4D"/>
        </w:rPr>
      </w:pPr>
      <w:r w:rsidRPr="00D45126">
        <w:rPr>
          <w:color w:val="4D4D4D"/>
        </w:rPr>
        <w:separator/>
      </w:r>
    </w:p>
  </w:endnote>
  <w:endnote w:type="continuationSeparator" w:id="0">
    <w:p w:rsidR="006C3616" w:rsidRPr="00D45126" w:rsidRDefault="006C3616" w:rsidP="00554FCD">
      <w:pPr>
        <w:spacing w:after="0" w:line="240" w:lineRule="auto"/>
        <w:rPr>
          <w:color w:val="4D4D4D"/>
        </w:rPr>
      </w:pPr>
      <w:r w:rsidRPr="00D45126">
        <w:rPr>
          <w:color w:val="4D4D4D"/>
        </w:rPr>
        <w:continuationSeparator/>
      </w:r>
    </w:p>
  </w:endnote>
  <w:endnote w:type="continuationNotice" w:id="1">
    <w:p w:rsidR="006C3616" w:rsidRDefault="006C361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73EF" w:rsidRDefault="007673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73EF" w:rsidRDefault="007673E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73EF" w:rsidRDefault="007673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3616" w:rsidRPr="00D45126" w:rsidRDefault="006C3616" w:rsidP="00DB26C1">
      <w:pPr>
        <w:spacing w:after="0" w:line="240" w:lineRule="auto"/>
        <w:rPr>
          <w:color w:val="4D4D4D"/>
        </w:rPr>
      </w:pPr>
      <w:r w:rsidRPr="00D45126">
        <w:rPr>
          <w:color w:val="4D4D4D"/>
        </w:rPr>
        <w:separator/>
      </w:r>
    </w:p>
  </w:footnote>
  <w:footnote w:type="continuationSeparator" w:id="0">
    <w:p w:rsidR="006C3616" w:rsidRPr="00C14083" w:rsidRDefault="006C3616" w:rsidP="00554FCD">
      <w:pPr>
        <w:spacing w:after="0" w:line="240" w:lineRule="auto"/>
        <w:rPr>
          <w:color w:val="4D4D4D"/>
        </w:rPr>
      </w:pPr>
      <w:r w:rsidRPr="00C14083">
        <w:rPr>
          <w:color w:val="4D4D4D"/>
        </w:rPr>
        <w:continuationSeparator/>
      </w:r>
    </w:p>
  </w:footnote>
  <w:footnote w:type="continuationNotice" w:id="1">
    <w:p w:rsidR="006C3616" w:rsidRDefault="006C3616">
      <w:pPr>
        <w:spacing w:after="0" w:line="240" w:lineRule="auto"/>
      </w:pPr>
    </w:p>
  </w:footnote>
  <w:footnote w:id="2">
    <w:p w:rsidR="00A048C2" w:rsidRPr="003762A2" w:rsidRDefault="00A048C2" w:rsidP="009F62A6">
      <w:pPr>
        <w:pStyle w:val="FootnoteText"/>
        <w:spacing w:after="0" w:line="240" w:lineRule="auto"/>
        <w:rPr>
          <w:rFonts w:cs="Calibri"/>
        </w:rPr>
      </w:pPr>
      <w:r w:rsidRPr="003762A2">
        <w:rPr>
          <w:rStyle w:val="FootnoteReference"/>
          <w:rFonts w:cs="Calibri"/>
        </w:rPr>
        <w:footnoteRef/>
      </w:r>
      <w:r w:rsidRPr="003762A2">
        <w:rPr>
          <w:rFonts w:cs="Calibri"/>
        </w:rPr>
        <w:t xml:space="preserve"> [2005] 3 NZLR 757</w:t>
      </w:r>
      <w:r>
        <w:rPr>
          <w:rFonts w:cs="Calibri"/>
        </w:rPr>
        <w:t>.</w:t>
      </w:r>
    </w:p>
  </w:footnote>
  <w:footnote w:id="3">
    <w:p w:rsidR="00A048C2" w:rsidRPr="003762A2" w:rsidRDefault="00A048C2" w:rsidP="009F62A6">
      <w:pPr>
        <w:pStyle w:val="FootnoteText"/>
        <w:spacing w:after="0" w:line="240" w:lineRule="auto"/>
        <w:rPr>
          <w:rFonts w:cs="Calibri"/>
        </w:rPr>
      </w:pPr>
      <w:r w:rsidRPr="003762A2">
        <w:rPr>
          <w:rStyle w:val="FootnoteReference"/>
          <w:rFonts w:cs="Calibri"/>
        </w:rPr>
        <w:footnoteRef/>
      </w:r>
      <w:r w:rsidRPr="003762A2">
        <w:rPr>
          <w:rFonts w:cs="Calibri"/>
        </w:rPr>
        <w:t xml:space="preserve"> [2004] 1 NZLR 326</w:t>
      </w:r>
      <w:r>
        <w:rPr>
          <w:rFonts w:cs="Calibri"/>
        </w:rPr>
        <w:t>.</w:t>
      </w:r>
    </w:p>
  </w:footnote>
  <w:footnote w:id="4">
    <w:p w:rsidR="00A048C2" w:rsidRDefault="00A048C2" w:rsidP="009F62A6">
      <w:pPr>
        <w:pStyle w:val="FootnoteText"/>
        <w:spacing w:after="0"/>
      </w:pPr>
      <w:r>
        <w:rPr>
          <w:rStyle w:val="FootnoteReference"/>
        </w:rPr>
        <w:footnoteRef/>
      </w:r>
      <w:r>
        <w:t xml:space="preserve"> Footnote 1 at 766.</w:t>
      </w:r>
    </w:p>
  </w:footnote>
  <w:footnote w:id="5">
    <w:p w:rsidR="00A048C2" w:rsidRDefault="00A048C2" w:rsidP="009F62A6">
      <w:pPr>
        <w:pStyle w:val="FootnoteText"/>
        <w:spacing w:after="0"/>
      </w:pPr>
      <w:r>
        <w:rPr>
          <w:rStyle w:val="FootnoteReference"/>
        </w:rPr>
        <w:footnoteRef/>
      </w:r>
      <w:r>
        <w:t xml:space="preserve"> [2003] 2 NZLR 145.</w:t>
      </w:r>
    </w:p>
  </w:footnote>
  <w:footnote w:id="6">
    <w:p w:rsidR="00A048C2" w:rsidRDefault="00A048C2" w:rsidP="009F62A6">
      <w:pPr>
        <w:pStyle w:val="FootnoteText"/>
        <w:spacing w:after="0"/>
      </w:pPr>
      <w:r>
        <w:rPr>
          <w:rStyle w:val="FootnoteReference"/>
        </w:rPr>
        <w:footnoteRef/>
      </w:r>
      <w:r>
        <w:t xml:space="preserve"> Footnote 1 at 770.</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73EF" w:rsidRDefault="007673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48C2" w:rsidRDefault="00A048C2" w:rsidP="000A6222">
    <w:pPr>
      <w:pStyle w:val="Headerportraitopinion"/>
      <w:rPr>
        <w:rStyle w:val="PageNumber"/>
      </w:rPr>
    </w:pPr>
    <w:r>
      <w:t xml:space="preserve">Office of the Ombudsman | </w:t>
    </w:r>
    <w:r w:rsidRPr="00DD54DF">
      <w:t>Tari o teKaitiakiManaTangata</w:t>
    </w:r>
    <w:r>
      <w:tab/>
      <w:t xml:space="preserve">Final Opinion, Reference: 340832 | Page </w:t>
    </w:r>
    <w:r w:rsidRPr="001753BE">
      <w:rPr>
        <w:rStyle w:val="PageNumber"/>
      </w:rPr>
      <w:fldChar w:fldCharType="begin"/>
    </w:r>
    <w:r w:rsidRPr="001753BE">
      <w:rPr>
        <w:rStyle w:val="PageNumber"/>
      </w:rPr>
      <w:instrText xml:space="preserve"> PAGE   \* MERGEFORMAT </w:instrText>
    </w:r>
    <w:r w:rsidRPr="001753BE">
      <w:rPr>
        <w:rStyle w:val="PageNumber"/>
      </w:rPr>
      <w:fldChar w:fldCharType="separate"/>
    </w:r>
    <w:r w:rsidR="007673EF">
      <w:rPr>
        <w:rStyle w:val="PageNumber"/>
        <w:noProof/>
      </w:rPr>
      <w:t>2</w:t>
    </w:r>
    <w:r w:rsidRPr="001753BE">
      <w:rPr>
        <w:rStyle w:val="PageNumber"/>
      </w:rPr>
      <w:fldChar w:fldCharType="end"/>
    </w:r>
  </w:p>
  <w:p w:rsidR="00A048C2" w:rsidRDefault="00A048C2" w:rsidP="005E12E6">
    <w:pPr>
      <w:pStyle w:val="Headerlin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48C2" w:rsidRPr="0000771B" w:rsidRDefault="00A048C2" w:rsidP="007C679B">
    <w:r>
      <w:rPr>
        <w:noProof/>
        <w:lang w:eastAsia="en-NZ"/>
      </w:rPr>
      <w:drawing>
        <wp:anchor distT="0" distB="0" distL="114300" distR="114300" simplePos="0" relativeHeight="251658240" behindDoc="1" locked="0" layoutInCell="1" allowOverlap="1">
          <wp:simplePos x="0" y="0"/>
          <wp:positionH relativeFrom="column">
            <wp:posOffset>-53975</wp:posOffset>
          </wp:positionH>
          <wp:positionV relativeFrom="page">
            <wp:posOffset>431800</wp:posOffset>
          </wp:positionV>
          <wp:extent cx="5960745" cy="1371600"/>
          <wp:effectExtent l="19050" t="0" r="1905" b="0"/>
          <wp:wrapNone/>
          <wp:docPr id="1" name="Picture 0" descr="Opinion-AW.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inion-AW.bmp"/>
                  <pic:cNvPicPr/>
                </pic:nvPicPr>
                <pic:blipFill>
                  <a:blip r:embed="rId1"/>
                  <a:stretch>
                    <a:fillRect/>
                  </a:stretch>
                </pic:blipFill>
                <pic:spPr>
                  <a:xfrm>
                    <a:off x="0" y="0"/>
                    <a:ext cx="5960745" cy="13716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5B4838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0F25F3E"/>
    <w:lvl w:ilvl="0">
      <w:start w:val="1"/>
      <w:numFmt w:val="decimal"/>
      <w:lvlText w:val="%1."/>
      <w:lvlJc w:val="left"/>
      <w:pPr>
        <w:tabs>
          <w:tab w:val="num" w:pos="1209"/>
        </w:tabs>
        <w:ind w:left="1209" w:hanging="360"/>
      </w:pPr>
    </w:lvl>
  </w:abstractNum>
  <w:abstractNum w:abstractNumId="2" w15:restartNumberingAfterBreak="0">
    <w:nsid w:val="FFFFFF80"/>
    <w:multiLevelType w:val="singleLevel"/>
    <w:tmpl w:val="95C08498"/>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0237325B"/>
    <w:multiLevelType w:val="multilevel"/>
    <w:tmpl w:val="26CE3888"/>
    <w:lvl w:ilvl="0">
      <w:start w:val="1"/>
      <w:numFmt w:val="bullet"/>
      <w:pStyle w:val="Tablecheckbox"/>
      <w:lvlText w:val="☐"/>
      <w:lvlJc w:val="left"/>
      <w:pPr>
        <w:tabs>
          <w:tab w:val="num" w:pos="357"/>
        </w:tabs>
        <w:ind w:left="357" w:hanging="357"/>
      </w:pPr>
      <w:rPr>
        <w:rFonts w:ascii="Arial Unicode MS" w:eastAsia="Arial Unicode MS" w:hAnsi="Arial Unicode MS" w:hint="eastAsia"/>
        <w:u w:color="696969"/>
      </w:rPr>
    </w:lvl>
    <w:lvl w:ilvl="1">
      <w:start w:val="1"/>
      <w:numFmt w:val="none"/>
      <w:lvlText w:val=""/>
      <w:lvlJc w:val="left"/>
      <w:pPr>
        <w:tabs>
          <w:tab w:val="num" w:pos="714"/>
        </w:tabs>
        <w:ind w:left="714" w:hanging="357"/>
      </w:pPr>
      <w:rPr>
        <w:rFonts w:hint="default"/>
      </w:rPr>
    </w:lvl>
    <w:lvl w:ilvl="2">
      <w:start w:val="1"/>
      <w:numFmt w:val="none"/>
      <w:lvlText w:val=""/>
      <w:lvlJc w:val="left"/>
      <w:pPr>
        <w:tabs>
          <w:tab w:val="num" w:pos="1134"/>
        </w:tabs>
        <w:ind w:left="851" w:hanging="284"/>
      </w:pPr>
      <w:rPr>
        <w:rFonts w:hint="default"/>
      </w:rPr>
    </w:lvl>
    <w:lvl w:ilvl="3">
      <w:start w:val="1"/>
      <w:numFmt w:val="none"/>
      <w:suff w:val="nothing"/>
      <w:lvlText w:val=""/>
      <w:lvlJc w:val="left"/>
      <w:pPr>
        <w:ind w:left="851" w:firstLine="0"/>
      </w:pPr>
      <w:rPr>
        <w:rFonts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E266A35"/>
    <w:multiLevelType w:val="multilevel"/>
    <w:tmpl w:val="132E5168"/>
    <w:lvl w:ilvl="0">
      <w:start w:val="1"/>
      <w:numFmt w:val="lowerRoman"/>
      <w:pStyle w:val="QListroman"/>
      <w:lvlText w:val="%1."/>
      <w:lvlJc w:val="left"/>
      <w:pPr>
        <w:tabs>
          <w:tab w:val="num" w:pos="1134"/>
        </w:tabs>
        <w:ind w:left="1134" w:hanging="567"/>
      </w:pPr>
      <w:rPr>
        <w:rFonts w:hint="default"/>
        <w:i/>
        <w:color w:val="4D4D4D"/>
      </w:rPr>
    </w:lvl>
    <w:lvl w:ilvl="1">
      <w:start w:val="1"/>
      <w:numFmt w:val="none"/>
      <w:suff w:val="nothing"/>
      <w:lvlText w:val=""/>
      <w:lvlJc w:val="left"/>
      <w:pPr>
        <w:ind w:left="1134"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0F2416F2"/>
    <w:multiLevelType w:val="multilevel"/>
    <w:tmpl w:val="7DEC49D8"/>
    <w:lvl w:ilvl="0">
      <w:start w:val="1"/>
      <w:numFmt w:val="bullet"/>
      <w:pStyle w:val="ListBullet"/>
      <w:lvlText w:val=""/>
      <w:lvlJc w:val="left"/>
      <w:pPr>
        <w:tabs>
          <w:tab w:val="num" w:pos="567"/>
        </w:tabs>
        <w:ind w:left="567" w:hanging="567"/>
      </w:pPr>
      <w:rPr>
        <w:rFonts w:ascii="Symbol" w:hAnsi="Symbol" w:hint="default"/>
      </w:rPr>
    </w:lvl>
    <w:lvl w:ilvl="1">
      <w:start w:val="1"/>
      <w:numFmt w:val="bullet"/>
      <w:pStyle w:val="ListBullet2"/>
      <w:lvlText w:val="-"/>
      <w:lvlJc w:val="left"/>
      <w:pPr>
        <w:tabs>
          <w:tab w:val="num" w:pos="1134"/>
        </w:tabs>
        <w:ind w:left="1134" w:hanging="567"/>
      </w:pPr>
      <w:rPr>
        <w:rFonts w:ascii="Calibri" w:hAnsi="Calibri" w:hint="default"/>
      </w:rPr>
    </w:lvl>
    <w:lvl w:ilvl="2">
      <w:start w:val="1"/>
      <w:numFmt w:val="bullet"/>
      <w:pStyle w:val="ListBullet3"/>
      <w:lvlText w:val="›"/>
      <w:lvlJc w:val="left"/>
      <w:pPr>
        <w:tabs>
          <w:tab w:val="num" w:pos="1701"/>
        </w:tabs>
        <w:ind w:left="1701" w:hanging="567"/>
      </w:pPr>
      <w:rPr>
        <w:rFonts w:ascii="Calibri" w:hAnsi="Calibri" w:hint="default"/>
      </w:rPr>
    </w:lvl>
    <w:lvl w:ilvl="3">
      <w:start w:val="1"/>
      <w:numFmt w:val="bullet"/>
      <w:pStyle w:val="ListBullet4"/>
      <w:lvlText w:val="»"/>
      <w:lvlJc w:val="left"/>
      <w:pPr>
        <w:tabs>
          <w:tab w:val="num" w:pos="2268"/>
        </w:tabs>
        <w:ind w:left="2268" w:hanging="567"/>
      </w:pPr>
      <w:rPr>
        <w:rFonts w:ascii="Calibri" w:hAnsi="Calibri" w:hint="default"/>
      </w:rPr>
    </w:lvl>
    <w:lvl w:ilvl="4">
      <w:start w:val="1"/>
      <w:numFmt w:val="none"/>
      <w:suff w:val="nothing"/>
      <w:lvlText w:val=""/>
      <w:lvlJc w:val="left"/>
      <w:pPr>
        <w:ind w:left="2268"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6E03F8C"/>
    <w:multiLevelType w:val="multilevel"/>
    <w:tmpl w:val="6114DB7A"/>
    <w:lvl w:ilvl="0">
      <w:start w:val="1"/>
      <w:numFmt w:val="decimal"/>
      <w:pStyle w:val="Number-1"/>
      <w:lvlText w:val="%1."/>
      <w:lvlJc w:val="left"/>
      <w:pPr>
        <w:tabs>
          <w:tab w:val="num" w:pos="851"/>
        </w:tabs>
        <w:ind w:left="851" w:hanging="851"/>
      </w:pPr>
      <w:rPr>
        <w:rFonts w:hint="default"/>
      </w:rPr>
    </w:lvl>
    <w:lvl w:ilvl="1">
      <w:start w:val="1"/>
      <w:numFmt w:val="decimal"/>
      <w:pStyle w:val="Number-11"/>
      <w:lvlText w:val="%1.%2"/>
      <w:lvlJc w:val="left"/>
      <w:pPr>
        <w:tabs>
          <w:tab w:val="num" w:pos="851"/>
        </w:tabs>
        <w:ind w:left="851" w:hanging="851"/>
      </w:pPr>
      <w:rPr>
        <w:rFonts w:hint="default"/>
      </w:rPr>
    </w:lvl>
    <w:lvl w:ilvl="2">
      <w:start w:val="1"/>
      <w:numFmt w:val="decimal"/>
      <w:pStyle w:val="Number-111"/>
      <w:lvlText w:val="%1.%2.%3"/>
      <w:lvlJc w:val="left"/>
      <w:pPr>
        <w:tabs>
          <w:tab w:val="num" w:pos="851"/>
        </w:tabs>
        <w:ind w:left="851" w:hanging="851"/>
      </w:pPr>
      <w:rPr>
        <w:rFonts w:hint="default"/>
      </w:rPr>
    </w:lvl>
    <w:lvl w:ilvl="3">
      <w:start w:val="1"/>
      <w:numFmt w:val="lowerLetter"/>
      <w:pStyle w:val="Number-a"/>
      <w:lvlText w:val="%4."/>
      <w:lvlJc w:val="left"/>
      <w:pPr>
        <w:tabs>
          <w:tab w:val="num" w:pos="1418"/>
        </w:tabs>
        <w:ind w:left="1418" w:hanging="567"/>
      </w:pPr>
      <w:rPr>
        <w:rFonts w:hint="default"/>
        <w:u w:color="4D4D4D"/>
      </w:rPr>
    </w:lvl>
    <w:lvl w:ilvl="4">
      <w:start w:val="1"/>
      <w:numFmt w:val="lowerRoman"/>
      <w:lvlRestart w:val="0"/>
      <w:pStyle w:val="Number-i"/>
      <w:lvlText w:val="%5."/>
      <w:lvlJc w:val="left"/>
      <w:pPr>
        <w:ind w:left="1985" w:hanging="567"/>
      </w:pPr>
      <w:rPr>
        <w:rFonts w:hint="default"/>
      </w:rPr>
    </w:lvl>
    <w:lvl w:ilvl="5">
      <w:start w:val="1"/>
      <w:numFmt w:val="none"/>
      <w:suff w:val="nothing"/>
      <w:lvlText w:val=""/>
      <w:lvlJc w:val="left"/>
      <w:pPr>
        <w:ind w:left="1985" w:firstLine="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1C51343"/>
    <w:multiLevelType w:val="hybridMultilevel"/>
    <w:tmpl w:val="554214D2"/>
    <w:lvl w:ilvl="0" w:tplc="574206E2">
      <w:numFmt w:val="bullet"/>
      <w:lvlText w:val="-"/>
      <w:lvlJc w:val="left"/>
      <w:pPr>
        <w:ind w:left="1440" w:hanging="360"/>
      </w:pPr>
      <w:rPr>
        <w:rFonts w:ascii="Calibri" w:eastAsia="Calibri" w:hAnsi="Calibri" w:cs="Times New Roman"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8" w15:restartNumberingAfterBreak="0">
    <w:nsid w:val="36BD306A"/>
    <w:multiLevelType w:val="multilevel"/>
    <w:tmpl w:val="FA22AFAA"/>
    <w:lvl w:ilvl="0">
      <w:start w:val="1"/>
      <w:numFmt w:val="bullet"/>
      <w:pStyle w:val="Checkbox"/>
      <w:lvlText w:val="☐"/>
      <w:lvlJc w:val="left"/>
      <w:pPr>
        <w:tabs>
          <w:tab w:val="num" w:pos="567"/>
        </w:tabs>
        <w:ind w:left="567" w:hanging="567"/>
      </w:pPr>
      <w:rPr>
        <w:rFonts w:ascii="Arial Unicode MS" w:eastAsia="Arial Unicode MS" w:hAnsi="Arial Unicode MS" w:hint="eastAsia"/>
        <w:u w:color="696969"/>
      </w:rPr>
    </w:lvl>
    <w:lvl w:ilvl="1">
      <w:start w:val="1"/>
      <w:numFmt w:val="none"/>
      <w:suff w:val="nothing"/>
      <w:lvlText w:val=""/>
      <w:lvlJc w:val="left"/>
      <w:pPr>
        <w:ind w:left="567" w:firstLine="0"/>
      </w:pPr>
      <w:rPr>
        <w:rFont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377C497E"/>
    <w:multiLevelType w:val="multilevel"/>
    <w:tmpl w:val="D4D4899C"/>
    <w:lvl w:ilvl="0">
      <w:start w:val="1"/>
      <w:numFmt w:val="decimal"/>
      <w:pStyle w:val="Listoutline1-1"/>
      <w:lvlText w:val="%1."/>
      <w:lvlJc w:val="left"/>
      <w:pPr>
        <w:tabs>
          <w:tab w:val="num" w:pos="851"/>
        </w:tabs>
        <w:ind w:left="851" w:hanging="851"/>
      </w:pPr>
      <w:rPr>
        <w:rFonts w:hint="default"/>
      </w:rPr>
    </w:lvl>
    <w:lvl w:ilvl="1">
      <w:start w:val="1"/>
      <w:numFmt w:val="decimal"/>
      <w:pStyle w:val="Listoutline2-11"/>
      <w:lvlText w:val="%1.%2."/>
      <w:lvlJc w:val="left"/>
      <w:pPr>
        <w:tabs>
          <w:tab w:val="num" w:pos="851"/>
        </w:tabs>
        <w:ind w:left="851" w:hanging="851"/>
      </w:pPr>
      <w:rPr>
        <w:rFonts w:hint="default"/>
      </w:rPr>
    </w:lvl>
    <w:lvl w:ilvl="2">
      <w:start w:val="1"/>
      <w:numFmt w:val="decimal"/>
      <w:pStyle w:val="Listoutline3-111"/>
      <w:lvlText w:val="%1.%2.%3."/>
      <w:lvlJc w:val="left"/>
      <w:pPr>
        <w:tabs>
          <w:tab w:val="num" w:pos="851"/>
        </w:tabs>
        <w:ind w:left="851" w:hanging="851"/>
      </w:pPr>
      <w:rPr>
        <w:rFonts w:hint="default"/>
      </w:rPr>
    </w:lvl>
    <w:lvl w:ilvl="3">
      <w:start w:val="1"/>
      <w:numFmt w:val="lowerLetter"/>
      <w:pStyle w:val="Listoutline4-a"/>
      <w:lvlText w:val="%4."/>
      <w:lvlJc w:val="left"/>
      <w:pPr>
        <w:tabs>
          <w:tab w:val="num" w:pos="1418"/>
        </w:tabs>
        <w:ind w:left="1418" w:hanging="567"/>
      </w:pPr>
      <w:rPr>
        <w:rFonts w:hint="default"/>
      </w:rPr>
    </w:lvl>
    <w:lvl w:ilvl="4">
      <w:start w:val="1"/>
      <w:numFmt w:val="lowerRoman"/>
      <w:pStyle w:val="Listoutline5-i"/>
      <w:lvlText w:val="%5."/>
      <w:lvlJc w:val="left"/>
      <w:pPr>
        <w:tabs>
          <w:tab w:val="num" w:pos="1985"/>
        </w:tabs>
        <w:ind w:left="1985" w:hanging="567"/>
      </w:pPr>
      <w:rPr>
        <w:rFonts w:hint="default"/>
      </w:rPr>
    </w:lvl>
    <w:lvl w:ilvl="5">
      <w:start w:val="1"/>
      <w:numFmt w:val="none"/>
      <w:suff w:val="nothing"/>
      <w:lvlText w:val=""/>
      <w:lvlJc w:val="left"/>
      <w:pPr>
        <w:ind w:left="1985" w:firstLine="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81D5E25"/>
    <w:multiLevelType w:val="multilevel"/>
    <w:tmpl w:val="B51EB6E0"/>
    <w:lvl w:ilvl="0">
      <w:start w:val="1"/>
      <w:numFmt w:val="decimal"/>
      <w:pStyle w:val="TableNumber1"/>
      <w:lvlText w:val="%1."/>
      <w:lvlJc w:val="left"/>
      <w:pPr>
        <w:tabs>
          <w:tab w:val="num" w:pos="357"/>
        </w:tabs>
        <w:ind w:left="357" w:hanging="357"/>
      </w:pPr>
      <w:rPr>
        <w:rFonts w:hint="eastAsia"/>
        <w:u w:color="696969"/>
      </w:rPr>
    </w:lvl>
    <w:lvl w:ilvl="1">
      <w:start w:val="1"/>
      <w:numFmt w:val="lowerLetter"/>
      <w:pStyle w:val="TableNumbera"/>
      <w:lvlText w:val="%2."/>
      <w:lvlJc w:val="left"/>
      <w:pPr>
        <w:tabs>
          <w:tab w:val="num" w:pos="714"/>
        </w:tabs>
        <w:ind w:left="714" w:hanging="357"/>
      </w:pPr>
      <w:rPr>
        <w:rFonts w:hint="default"/>
      </w:rPr>
    </w:lvl>
    <w:lvl w:ilvl="2">
      <w:start w:val="1"/>
      <w:numFmt w:val="lowerRoman"/>
      <w:pStyle w:val="TableNumberi"/>
      <w:lvlText w:val="%3."/>
      <w:lvlJc w:val="left"/>
      <w:pPr>
        <w:tabs>
          <w:tab w:val="num" w:pos="1072"/>
        </w:tabs>
        <w:ind w:left="1072" w:hanging="358"/>
      </w:pPr>
      <w:rPr>
        <w:rFonts w:hint="default"/>
      </w:rPr>
    </w:lvl>
    <w:lvl w:ilvl="3">
      <w:start w:val="1"/>
      <w:numFmt w:val="none"/>
      <w:suff w:val="nothing"/>
      <w:lvlText w:val=""/>
      <w:lvlJc w:val="left"/>
      <w:pPr>
        <w:ind w:left="1072" w:firstLine="0"/>
      </w:pPr>
      <w:rPr>
        <w:rFonts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39744B21"/>
    <w:multiLevelType w:val="multilevel"/>
    <w:tmpl w:val="2E12F43A"/>
    <w:lvl w:ilvl="0">
      <w:start w:val="1"/>
      <w:numFmt w:val="bullet"/>
      <w:pStyle w:val="QListbullet"/>
      <w:lvlText w:val=""/>
      <w:lvlJc w:val="left"/>
      <w:pPr>
        <w:tabs>
          <w:tab w:val="num" w:pos="1134"/>
        </w:tabs>
        <w:ind w:left="1134" w:hanging="567"/>
      </w:pPr>
      <w:rPr>
        <w:rFonts w:ascii="Symbol" w:hAnsi="Symbol" w:hint="default"/>
      </w:rPr>
    </w:lvl>
    <w:lvl w:ilvl="1">
      <w:start w:val="1"/>
      <w:numFmt w:val="bullet"/>
      <w:lvlText w:val="-"/>
      <w:lvlJc w:val="left"/>
      <w:pPr>
        <w:tabs>
          <w:tab w:val="num" w:pos="1701"/>
        </w:tabs>
        <w:ind w:left="1701" w:hanging="567"/>
      </w:pPr>
      <w:rPr>
        <w:rFonts w:ascii="Calibri" w:hAnsi="Calibri" w:hint="default"/>
      </w:rPr>
    </w:lvl>
    <w:lvl w:ilvl="2">
      <w:start w:val="1"/>
      <w:numFmt w:val="bullet"/>
      <w:lvlText w:val="›"/>
      <w:lvlJc w:val="left"/>
      <w:pPr>
        <w:tabs>
          <w:tab w:val="num" w:pos="2268"/>
        </w:tabs>
        <w:ind w:left="2268" w:hanging="567"/>
      </w:pPr>
      <w:rPr>
        <w:rFonts w:ascii="Calibri" w:hAnsi="Calibri" w:hint="default"/>
      </w:rPr>
    </w:lvl>
    <w:lvl w:ilvl="3">
      <w:start w:val="1"/>
      <w:numFmt w:val="bullet"/>
      <w:lvlText w:val="»"/>
      <w:lvlJc w:val="left"/>
      <w:pPr>
        <w:tabs>
          <w:tab w:val="num" w:pos="2835"/>
        </w:tabs>
        <w:ind w:left="2835" w:hanging="567"/>
      </w:pPr>
      <w:rPr>
        <w:rFonts w:ascii="Calibri" w:hAnsi="Calibri" w:hint="default"/>
      </w:rPr>
    </w:lvl>
    <w:lvl w:ilvl="4">
      <w:start w:val="1"/>
      <w:numFmt w:val="none"/>
      <w:lvlText w:val=""/>
      <w:lvlJc w:val="left"/>
      <w:pPr>
        <w:tabs>
          <w:tab w:val="num" w:pos="2835"/>
        </w:tabs>
        <w:ind w:left="2835" w:firstLine="0"/>
      </w:pPr>
      <w:rPr>
        <w:rFonts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15:restartNumberingAfterBreak="0">
    <w:nsid w:val="4FC32322"/>
    <w:multiLevelType w:val="multilevel"/>
    <w:tmpl w:val="00F05C50"/>
    <w:lvl w:ilvl="0">
      <w:start w:val="1"/>
      <w:numFmt w:val="decimal"/>
      <w:pStyle w:val="Number1"/>
      <w:lvlText w:val="%1."/>
      <w:lvlJc w:val="left"/>
      <w:pPr>
        <w:tabs>
          <w:tab w:val="num" w:pos="567"/>
        </w:tabs>
        <w:ind w:left="567" w:hanging="567"/>
      </w:pPr>
      <w:rPr>
        <w:rFonts w:hint="eastAsia"/>
        <w:u w:color="696969"/>
      </w:rPr>
    </w:lvl>
    <w:lvl w:ilvl="1">
      <w:start w:val="1"/>
      <w:numFmt w:val="lowerLetter"/>
      <w:pStyle w:val="Number2"/>
      <w:lvlText w:val="%2."/>
      <w:lvlJc w:val="left"/>
      <w:pPr>
        <w:tabs>
          <w:tab w:val="num" w:pos="1134"/>
        </w:tabs>
        <w:ind w:left="1134" w:hanging="567"/>
      </w:pPr>
      <w:rPr>
        <w:rFonts w:hint="default"/>
        <w:b w:val="0"/>
      </w:rPr>
    </w:lvl>
    <w:lvl w:ilvl="2">
      <w:start w:val="1"/>
      <w:numFmt w:val="lowerRoman"/>
      <w:pStyle w:val="Number3"/>
      <w:lvlText w:val="%3."/>
      <w:lvlJc w:val="left"/>
      <w:pPr>
        <w:tabs>
          <w:tab w:val="num" w:pos="1701"/>
        </w:tabs>
        <w:ind w:left="1701" w:hanging="567"/>
      </w:pPr>
      <w:rPr>
        <w:rFonts w:hint="default"/>
      </w:rPr>
    </w:lvl>
    <w:lvl w:ilvl="3">
      <w:start w:val="1"/>
      <w:numFmt w:val="none"/>
      <w:suff w:val="nothing"/>
      <w:lvlText w:val=""/>
      <w:lvlJc w:val="left"/>
      <w:pPr>
        <w:ind w:left="1701" w:firstLine="0"/>
      </w:pPr>
      <w:rPr>
        <w:rFonts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59BD68EE"/>
    <w:multiLevelType w:val="hybridMultilevel"/>
    <w:tmpl w:val="5C9672E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5F465289"/>
    <w:multiLevelType w:val="multilevel"/>
    <w:tmpl w:val="906E30B8"/>
    <w:lvl w:ilvl="0">
      <w:start w:val="1"/>
      <w:numFmt w:val="decimal"/>
      <w:pStyle w:val="ListNumber"/>
      <w:lvlText w:val="%1."/>
      <w:lvlJc w:val="left"/>
      <w:pPr>
        <w:tabs>
          <w:tab w:val="num" w:pos="567"/>
        </w:tabs>
        <w:ind w:left="567" w:hanging="567"/>
      </w:pPr>
      <w:rPr>
        <w:rFonts w:hint="default"/>
      </w:rPr>
    </w:lvl>
    <w:lvl w:ilvl="1">
      <w:start w:val="1"/>
      <w:numFmt w:val="lowerLetter"/>
      <w:pStyle w:val="ListNumber2"/>
      <w:lvlText w:val="%2."/>
      <w:lvlJc w:val="left"/>
      <w:pPr>
        <w:tabs>
          <w:tab w:val="num" w:pos="1134"/>
        </w:tabs>
        <w:ind w:left="1134" w:hanging="567"/>
      </w:pPr>
      <w:rPr>
        <w:rFonts w:hint="default"/>
      </w:rPr>
    </w:lvl>
    <w:lvl w:ilvl="2">
      <w:start w:val="1"/>
      <w:numFmt w:val="lowerRoman"/>
      <w:pStyle w:val="ListNumber3"/>
      <w:lvlText w:val="%3."/>
      <w:lvlJc w:val="left"/>
      <w:pPr>
        <w:tabs>
          <w:tab w:val="num" w:pos="1701"/>
        </w:tabs>
        <w:ind w:left="1701" w:hanging="567"/>
      </w:pPr>
      <w:rPr>
        <w:rFonts w:hint="default"/>
      </w:rPr>
    </w:lvl>
    <w:lvl w:ilvl="3">
      <w:start w:val="1"/>
      <w:numFmt w:val="none"/>
      <w:suff w:val="nothing"/>
      <w:lvlText w:val=""/>
      <w:lvlJc w:val="left"/>
      <w:pPr>
        <w:ind w:left="1701"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639818B9"/>
    <w:multiLevelType w:val="multilevel"/>
    <w:tmpl w:val="EFE2355E"/>
    <w:lvl w:ilvl="0">
      <w:start w:val="1"/>
      <w:numFmt w:val="bullet"/>
      <w:pStyle w:val="TableBullet1"/>
      <w:lvlText w:val=""/>
      <w:lvlJc w:val="left"/>
      <w:pPr>
        <w:tabs>
          <w:tab w:val="num" w:pos="357"/>
        </w:tabs>
        <w:ind w:left="357" w:hanging="357"/>
      </w:pPr>
      <w:rPr>
        <w:rFonts w:ascii="Symbol" w:hAnsi="Symbol" w:hint="default"/>
        <w:u w:color="696969"/>
      </w:rPr>
    </w:lvl>
    <w:lvl w:ilvl="1">
      <w:start w:val="1"/>
      <w:numFmt w:val="bullet"/>
      <w:pStyle w:val="TableBullet2"/>
      <w:lvlText w:val="-"/>
      <w:lvlJc w:val="left"/>
      <w:pPr>
        <w:tabs>
          <w:tab w:val="num" w:pos="714"/>
        </w:tabs>
        <w:ind w:left="714" w:hanging="357"/>
      </w:pPr>
      <w:rPr>
        <w:rFonts w:ascii="Calibri" w:hAnsi="Calibri" w:hint="default"/>
      </w:rPr>
    </w:lvl>
    <w:lvl w:ilvl="2">
      <w:start w:val="1"/>
      <w:numFmt w:val="bullet"/>
      <w:pStyle w:val="TableBullet3"/>
      <w:lvlText w:val="›"/>
      <w:lvlJc w:val="left"/>
      <w:pPr>
        <w:tabs>
          <w:tab w:val="num" w:pos="1072"/>
        </w:tabs>
        <w:ind w:left="1072" w:hanging="358"/>
      </w:pPr>
      <w:rPr>
        <w:rFonts w:ascii="Calibri" w:hAnsi="Calibri" w:hint="default"/>
      </w:rPr>
    </w:lvl>
    <w:lvl w:ilvl="3">
      <w:start w:val="1"/>
      <w:numFmt w:val="none"/>
      <w:suff w:val="nothing"/>
      <w:lvlText w:val=""/>
      <w:lvlJc w:val="left"/>
      <w:pPr>
        <w:ind w:left="1072" w:firstLine="0"/>
      </w:pPr>
      <w:rPr>
        <w:rFonts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688B6577"/>
    <w:multiLevelType w:val="multilevel"/>
    <w:tmpl w:val="BA4EF786"/>
    <w:lvl w:ilvl="0">
      <w:start w:val="1"/>
      <w:numFmt w:val="decimal"/>
      <w:pStyle w:val="HeadingAppendix"/>
      <w:suff w:val="space"/>
      <w:lvlText w:val="Appendix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6EB01AD9"/>
    <w:multiLevelType w:val="multilevel"/>
    <w:tmpl w:val="5E14BAB2"/>
    <w:lvl w:ilvl="0">
      <w:start w:val="1"/>
      <w:numFmt w:val="lowerLetter"/>
      <w:pStyle w:val="QListalpha"/>
      <w:lvlText w:val="%1."/>
      <w:lvlJc w:val="left"/>
      <w:pPr>
        <w:tabs>
          <w:tab w:val="num" w:pos="1134"/>
        </w:tabs>
        <w:ind w:left="1134" w:hanging="567"/>
      </w:pPr>
      <w:rPr>
        <w:rFonts w:hint="default"/>
      </w:rPr>
    </w:lvl>
    <w:lvl w:ilvl="1">
      <w:start w:val="1"/>
      <w:numFmt w:val="none"/>
      <w:suff w:val="nothing"/>
      <w:lvlText w:val=""/>
      <w:lvlJc w:val="left"/>
      <w:pPr>
        <w:ind w:left="1134"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76A26424"/>
    <w:multiLevelType w:val="multilevel"/>
    <w:tmpl w:val="608C34F8"/>
    <w:lvl w:ilvl="0">
      <w:start w:val="1"/>
      <w:numFmt w:val="bullet"/>
      <w:pStyle w:val="Bullet1"/>
      <w:lvlText w:val=""/>
      <w:lvlJc w:val="left"/>
      <w:pPr>
        <w:tabs>
          <w:tab w:val="num" w:pos="567"/>
        </w:tabs>
        <w:ind w:left="567" w:hanging="567"/>
      </w:pPr>
      <w:rPr>
        <w:rFonts w:ascii="Symbol" w:hAnsi="Symbol" w:hint="default"/>
      </w:rPr>
    </w:lvl>
    <w:lvl w:ilvl="1">
      <w:start w:val="1"/>
      <w:numFmt w:val="bullet"/>
      <w:pStyle w:val="Bullet2"/>
      <w:lvlText w:val="-"/>
      <w:lvlJc w:val="left"/>
      <w:pPr>
        <w:tabs>
          <w:tab w:val="num" w:pos="1134"/>
        </w:tabs>
        <w:ind w:left="1134" w:hanging="567"/>
      </w:pPr>
      <w:rPr>
        <w:rFonts w:ascii="Calibri" w:hAnsi="Calibri" w:hint="default"/>
      </w:rPr>
    </w:lvl>
    <w:lvl w:ilvl="2">
      <w:start w:val="1"/>
      <w:numFmt w:val="bullet"/>
      <w:pStyle w:val="Bullet3"/>
      <w:lvlText w:val="›"/>
      <w:lvlJc w:val="left"/>
      <w:pPr>
        <w:tabs>
          <w:tab w:val="num" w:pos="1701"/>
        </w:tabs>
        <w:ind w:left="1701" w:hanging="567"/>
      </w:pPr>
      <w:rPr>
        <w:rFonts w:ascii="Calibri" w:hAnsi="Calibri" w:hint="default"/>
      </w:rPr>
    </w:lvl>
    <w:lvl w:ilvl="3">
      <w:start w:val="1"/>
      <w:numFmt w:val="bullet"/>
      <w:pStyle w:val="Bullet4"/>
      <w:lvlText w:val="»"/>
      <w:lvlJc w:val="left"/>
      <w:pPr>
        <w:tabs>
          <w:tab w:val="num" w:pos="2268"/>
        </w:tabs>
        <w:ind w:left="2268" w:hanging="567"/>
      </w:pPr>
      <w:rPr>
        <w:rFonts w:ascii="Calibri" w:hAnsi="Calibri" w:hint="default"/>
      </w:rPr>
    </w:lvl>
    <w:lvl w:ilvl="4">
      <w:start w:val="1"/>
      <w:numFmt w:val="none"/>
      <w:suff w:val="nothing"/>
      <w:lvlText w:val=""/>
      <w:lvlJc w:val="left"/>
      <w:pPr>
        <w:ind w:left="2268"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7B247774"/>
    <w:multiLevelType w:val="multilevel"/>
    <w:tmpl w:val="D7A8D3AE"/>
    <w:lvl w:ilvl="0">
      <w:start w:val="1"/>
      <w:numFmt w:val="decimal"/>
      <w:pStyle w:val="QListnumber"/>
      <w:lvlText w:val="%1."/>
      <w:lvlJc w:val="left"/>
      <w:pPr>
        <w:tabs>
          <w:tab w:val="num" w:pos="1134"/>
        </w:tabs>
        <w:ind w:left="1134" w:hanging="567"/>
      </w:pPr>
      <w:rPr>
        <w:rFonts w:hint="default"/>
      </w:rPr>
    </w:lvl>
    <w:lvl w:ilvl="1">
      <w:start w:val="1"/>
      <w:numFmt w:val="lowerLetter"/>
      <w:lvlText w:val="%2."/>
      <w:lvlJc w:val="left"/>
      <w:pPr>
        <w:tabs>
          <w:tab w:val="num" w:pos="1701"/>
        </w:tabs>
        <w:ind w:left="1701" w:hanging="567"/>
      </w:pPr>
      <w:rPr>
        <w:rFonts w:hint="default"/>
      </w:rPr>
    </w:lvl>
    <w:lvl w:ilvl="2">
      <w:start w:val="1"/>
      <w:numFmt w:val="lowerRoman"/>
      <w:lvlText w:val="%3."/>
      <w:lvlJc w:val="left"/>
      <w:pPr>
        <w:tabs>
          <w:tab w:val="num" w:pos="2268"/>
        </w:tabs>
        <w:ind w:left="2268" w:hanging="567"/>
      </w:pPr>
      <w:rPr>
        <w:rFonts w:hint="default"/>
      </w:rPr>
    </w:lvl>
    <w:lvl w:ilvl="3">
      <w:start w:val="1"/>
      <w:numFmt w:val="none"/>
      <w:suff w:val="nothing"/>
      <w:lvlText w:val=""/>
      <w:lvlJc w:val="left"/>
      <w:pPr>
        <w:ind w:left="2268" w:firstLine="0"/>
      </w:pPr>
      <w:rPr>
        <w:rFonts w:hint="default"/>
      </w:rPr>
    </w:lvl>
    <w:lvl w:ilvl="4">
      <w:start w:val="1"/>
      <w:numFmt w:val="lowerLetter"/>
      <w:lvlText w:val="(%5)"/>
      <w:lvlJc w:val="left"/>
      <w:pPr>
        <w:ind w:left="2367" w:hanging="360"/>
      </w:pPr>
      <w:rPr>
        <w:rFonts w:hint="default"/>
      </w:rPr>
    </w:lvl>
    <w:lvl w:ilvl="5">
      <w:start w:val="1"/>
      <w:numFmt w:val="lowerRoman"/>
      <w:lvlText w:val="(%6)"/>
      <w:lvlJc w:val="left"/>
      <w:pPr>
        <w:ind w:left="2727" w:hanging="360"/>
      </w:pPr>
      <w:rPr>
        <w:rFonts w:hint="default"/>
      </w:rPr>
    </w:lvl>
    <w:lvl w:ilvl="6">
      <w:start w:val="1"/>
      <w:numFmt w:val="decimal"/>
      <w:lvlText w:val="%7."/>
      <w:lvlJc w:val="left"/>
      <w:pPr>
        <w:ind w:left="3087" w:hanging="360"/>
      </w:pPr>
      <w:rPr>
        <w:rFonts w:hint="default"/>
      </w:rPr>
    </w:lvl>
    <w:lvl w:ilvl="7">
      <w:start w:val="1"/>
      <w:numFmt w:val="lowerLetter"/>
      <w:lvlText w:val="%8."/>
      <w:lvlJc w:val="left"/>
      <w:pPr>
        <w:ind w:left="3447" w:hanging="360"/>
      </w:pPr>
      <w:rPr>
        <w:rFonts w:hint="default"/>
      </w:rPr>
    </w:lvl>
    <w:lvl w:ilvl="8">
      <w:start w:val="1"/>
      <w:numFmt w:val="lowerRoman"/>
      <w:lvlText w:val="%9."/>
      <w:lvlJc w:val="left"/>
      <w:pPr>
        <w:ind w:left="3807" w:hanging="360"/>
      </w:pPr>
      <w:rPr>
        <w:rFonts w:hint="default"/>
      </w:rPr>
    </w:lvl>
  </w:abstractNum>
  <w:num w:numId="1">
    <w:abstractNumId w:val="16"/>
  </w:num>
  <w:num w:numId="2">
    <w:abstractNumId w:val="18"/>
  </w:num>
  <w:num w:numId="3">
    <w:abstractNumId w:val="8"/>
  </w:num>
  <w:num w:numId="4">
    <w:abstractNumId w:val="5"/>
  </w:num>
  <w:num w:numId="5">
    <w:abstractNumId w:val="14"/>
  </w:num>
  <w:num w:numId="6">
    <w:abstractNumId w:val="9"/>
  </w:num>
  <w:num w:numId="7">
    <w:abstractNumId w:val="6"/>
  </w:num>
  <w:num w:numId="8">
    <w:abstractNumId w:val="12"/>
  </w:num>
  <w:num w:numId="9">
    <w:abstractNumId w:val="17"/>
  </w:num>
  <w:num w:numId="10">
    <w:abstractNumId w:val="11"/>
  </w:num>
  <w:num w:numId="11">
    <w:abstractNumId w:val="19"/>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3"/>
  </w:num>
  <w:num w:numId="15">
    <w:abstractNumId w:val="10"/>
  </w:num>
  <w:num w:numId="16">
    <w:abstractNumId w:val="2"/>
  </w:num>
  <w:num w:numId="17">
    <w:abstractNumId w:val="1"/>
  </w:num>
  <w:num w:numId="18">
    <w:abstractNumId w:val="0"/>
  </w:num>
  <w:num w:numId="19">
    <w:abstractNumId w:val="16"/>
  </w:num>
  <w:num w:numId="20">
    <w:abstractNumId w:val="13"/>
  </w:num>
  <w:num w:numId="21">
    <w:abstractNumId w:val="7"/>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removePersonalInformation/>
  <w:removeDateAndTime/>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567"/>
  <w:characterSpacingControl w:val="doNotCompress"/>
  <w:savePreviewPicture/>
  <w:hdrShapeDefaults>
    <o:shapedefaults v:ext="edit" spidmax="2049"/>
  </w:hdrShapeDefaults>
  <w:footnotePr>
    <w:footnote w:id="-1"/>
    <w:footnote w:id="0"/>
    <w:footnote w:id="1"/>
  </w:footnotePr>
  <w:endnotePr>
    <w:pos w:val="sectEnd"/>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IsfirstTb" w:val="True"/>
    <w:docVar w:name="IsInTable" w:val="False"/>
    <w:docVar w:name="IsLetter" w:val="False"/>
  </w:docVars>
  <w:rsids>
    <w:rsidRoot w:val="002C6E58"/>
    <w:rsid w:val="00002E2B"/>
    <w:rsid w:val="0000771B"/>
    <w:rsid w:val="000123E7"/>
    <w:rsid w:val="00013791"/>
    <w:rsid w:val="00015C4E"/>
    <w:rsid w:val="00021382"/>
    <w:rsid w:val="00024F53"/>
    <w:rsid w:val="000253FE"/>
    <w:rsid w:val="00026A3B"/>
    <w:rsid w:val="000328E9"/>
    <w:rsid w:val="00032A75"/>
    <w:rsid w:val="00035821"/>
    <w:rsid w:val="00036426"/>
    <w:rsid w:val="00041615"/>
    <w:rsid w:val="000455F7"/>
    <w:rsid w:val="00045FD7"/>
    <w:rsid w:val="0004753C"/>
    <w:rsid w:val="0005011F"/>
    <w:rsid w:val="00050123"/>
    <w:rsid w:val="000503C0"/>
    <w:rsid w:val="000519CE"/>
    <w:rsid w:val="00053114"/>
    <w:rsid w:val="00054478"/>
    <w:rsid w:val="00056790"/>
    <w:rsid w:val="00057C4D"/>
    <w:rsid w:val="0006163B"/>
    <w:rsid w:val="000633B2"/>
    <w:rsid w:val="00065881"/>
    <w:rsid w:val="00075590"/>
    <w:rsid w:val="000822C8"/>
    <w:rsid w:val="0008407D"/>
    <w:rsid w:val="000844CF"/>
    <w:rsid w:val="000929F9"/>
    <w:rsid w:val="00093C9D"/>
    <w:rsid w:val="00095E34"/>
    <w:rsid w:val="0009655D"/>
    <w:rsid w:val="0009725E"/>
    <w:rsid w:val="00097B46"/>
    <w:rsid w:val="00097E3A"/>
    <w:rsid w:val="000A151A"/>
    <w:rsid w:val="000A56A9"/>
    <w:rsid w:val="000A6222"/>
    <w:rsid w:val="000B1E37"/>
    <w:rsid w:val="000B20AE"/>
    <w:rsid w:val="000B2B83"/>
    <w:rsid w:val="000B43C3"/>
    <w:rsid w:val="000B5CE1"/>
    <w:rsid w:val="000C487C"/>
    <w:rsid w:val="000D12EF"/>
    <w:rsid w:val="000D3D97"/>
    <w:rsid w:val="000D4757"/>
    <w:rsid w:val="000D50F7"/>
    <w:rsid w:val="000D5D85"/>
    <w:rsid w:val="000D6DA5"/>
    <w:rsid w:val="000D6FA6"/>
    <w:rsid w:val="000E06E5"/>
    <w:rsid w:val="000E077E"/>
    <w:rsid w:val="000E2563"/>
    <w:rsid w:val="000E2C2F"/>
    <w:rsid w:val="000F32C4"/>
    <w:rsid w:val="000F454C"/>
    <w:rsid w:val="000F4A8C"/>
    <w:rsid w:val="000F5D79"/>
    <w:rsid w:val="000F6DA6"/>
    <w:rsid w:val="000F6ECD"/>
    <w:rsid w:val="001055E8"/>
    <w:rsid w:val="0010683C"/>
    <w:rsid w:val="00111C75"/>
    <w:rsid w:val="00114C6B"/>
    <w:rsid w:val="001170E3"/>
    <w:rsid w:val="001339E3"/>
    <w:rsid w:val="00134987"/>
    <w:rsid w:val="00140996"/>
    <w:rsid w:val="00140DAC"/>
    <w:rsid w:val="00146443"/>
    <w:rsid w:val="00150AD4"/>
    <w:rsid w:val="001516A5"/>
    <w:rsid w:val="00151F5B"/>
    <w:rsid w:val="001527A7"/>
    <w:rsid w:val="001535C0"/>
    <w:rsid w:val="00157E61"/>
    <w:rsid w:val="00160E82"/>
    <w:rsid w:val="00164708"/>
    <w:rsid w:val="00166C30"/>
    <w:rsid w:val="00166F78"/>
    <w:rsid w:val="001728E7"/>
    <w:rsid w:val="001753BE"/>
    <w:rsid w:val="0017697D"/>
    <w:rsid w:val="00181E25"/>
    <w:rsid w:val="001822E3"/>
    <w:rsid w:val="00186A52"/>
    <w:rsid w:val="00186B0F"/>
    <w:rsid w:val="001870AA"/>
    <w:rsid w:val="001872A2"/>
    <w:rsid w:val="00190A34"/>
    <w:rsid w:val="00191914"/>
    <w:rsid w:val="001922D6"/>
    <w:rsid w:val="00194280"/>
    <w:rsid w:val="001944D8"/>
    <w:rsid w:val="00195707"/>
    <w:rsid w:val="001976DE"/>
    <w:rsid w:val="001A4C19"/>
    <w:rsid w:val="001A7580"/>
    <w:rsid w:val="001D0121"/>
    <w:rsid w:val="001D1D80"/>
    <w:rsid w:val="001D36D5"/>
    <w:rsid w:val="001D5022"/>
    <w:rsid w:val="001D5EFC"/>
    <w:rsid w:val="001D7718"/>
    <w:rsid w:val="001E067E"/>
    <w:rsid w:val="001E16D0"/>
    <w:rsid w:val="001E346B"/>
    <w:rsid w:val="001E44D3"/>
    <w:rsid w:val="001E615D"/>
    <w:rsid w:val="001F0B73"/>
    <w:rsid w:val="001F0C1C"/>
    <w:rsid w:val="001F14C5"/>
    <w:rsid w:val="001F20AE"/>
    <w:rsid w:val="001F2317"/>
    <w:rsid w:val="001F5B67"/>
    <w:rsid w:val="002041DD"/>
    <w:rsid w:val="00204A55"/>
    <w:rsid w:val="0020532E"/>
    <w:rsid w:val="00205F3A"/>
    <w:rsid w:val="002060B9"/>
    <w:rsid w:val="002063C3"/>
    <w:rsid w:val="00206EDA"/>
    <w:rsid w:val="00210648"/>
    <w:rsid w:val="0021064F"/>
    <w:rsid w:val="002107C6"/>
    <w:rsid w:val="00213291"/>
    <w:rsid w:val="002172EF"/>
    <w:rsid w:val="00217F95"/>
    <w:rsid w:val="00220455"/>
    <w:rsid w:val="0022246B"/>
    <w:rsid w:val="00222EA0"/>
    <w:rsid w:val="00224421"/>
    <w:rsid w:val="002253FE"/>
    <w:rsid w:val="00230544"/>
    <w:rsid w:val="0023071A"/>
    <w:rsid w:val="00230FF4"/>
    <w:rsid w:val="00242003"/>
    <w:rsid w:val="00242675"/>
    <w:rsid w:val="00245ACC"/>
    <w:rsid w:val="00251456"/>
    <w:rsid w:val="00253466"/>
    <w:rsid w:val="0025406A"/>
    <w:rsid w:val="00261FF0"/>
    <w:rsid w:val="002622E4"/>
    <w:rsid w:val="00263C16"/>
    <w:rsid w:val="00266067"/>
    <w:rsid w:val="002669EB"/>
    <w:rsid w:val="002672AE"/>
    <w:rsid w:val="0027214C"/>
    <w:rsid w:val="00275989"/>
    <w:rsid w:val="00276122"/>
    <w:rsid w:val="00277E87"/>
    <w:rsid w:val="002819FD"/>
    <w:rsid w:val="00281BD9"/>
    <w:rsid w:val="00283493"/>
    <w:rsid w:val="00283CAD"/>
    <w:rsid w:val="002841A8"/>
    <w:rsid w:val="002851CC"/>
    <w:rsid w:val="00285438"/>
    <w:rsid w:val="002879A5"/>
    <w:rsid w:val="0029459C"/>
    <w:rsid w:val="00295101"/>
    <w:rsid w:val="002A13D3"/>
    <w:rsid w:val="002A1D84"/>
    <w:rsid w:val="002A5DEB"/>
    <w:rsid w:val="002A6877"/>
    <w:rsid w:val="002B0E1C"/>
    <w:rsid w:val="002B319F"/>
    <w:rsid w:val="002B5274"/>
    <w:rsid w:val="002B5352"/>
    <w:rsid w:val="002B5F42"/>
    <w:rsid w:val="002B6A20"/>
    <w:rsid w:val="002C4624"/>
    <w:rsid w:val="002C6E58"/>
    <w:rsid w:val="002D00DA"/>
    <w:rsid w:val="002D09E7"/>
    <w:rsid w:val="002D2AE9"/>
    <w:rsid w:val="002D4A7A"/>
    <w:rsid w:val="002D6E92"/>
    <w:rsid w:val="002E286D"/>
    <w:rsid w:val="002E5E14"/>
    <w:rsid w:val="002E6678"/>
    <w:rsid w:val="002E6845"/>
    <w:rsid w:val="002F5F1E"/>
    <w:rsid w:val="003002CA"/>
    <w:rsid w:val="00300EBB"/>
    <w:rsid w:val="00301CC6"/>
    <w:rsid w:val="00305C3D"/>
    <w:rsid w:val="0030671B"/>
    <w:rsid w:val="00310D7C"/>
    <w:rsid w:val="003173B4"/>
    <w:rsid w:val="00317D8B"/>
    <w:rsid w:val="00321D36"/>
    <w:rsid w:val="00324B0F"/>
    <w:rsid w:val="00327CC8"/>
    <w:rsid w:val="003347CD"/>
    <w:rsid w:val="00334EED"/>
    <w:rsid w:val="003374ED"/>
    <w:rsid w:val="00344794"/>
    <w:rsid w:val="0034646F"/>
    <w:rsid w:val="003516B6"/>
    <w:rsid w:val="003550A3"/>
    <w:rsid w:val="003573FF"/>
    <w:rsid w:val="0036078D"/>
    <w:rsid w:val="00360FBD"/>
    <w:rsid w:val="003612FC"/>
    <w:rsid w:val="003639A5"/>
    <w:rsid w:val="00365DD8"/>
    <w:rsid w:val="00371B5E"/>
    <w:rsid w:val="00372946"/>
    <w:rsid w:val="00373DCE"/>
    <w:rsid w:val="0037671D"/>
    <w:rsid w:val="0037745A"/>
    <w:rsid w:val="00381FBC"/>
    <w:rsid w:val="00383460"/>
    <w:rsid w:val="00385BCC"/>
    <w:rsid w:val="00385F42"/>
    <w:rsid w:val="00396770"/>
    <w:rsid w:val="003A1465"/>
    <w:rsid w:val="003A2CBD"/>
    <w:rsid w:val="003A333E"/>
    <w:rsid w:val="003A4539"/>
    <w:rsid w:val="003A4EB3"/>
    <w:rsid w:val="003A66CC"/>
    <w:rsid w:val="003B1772"/>
    <w:rsid w:val="003B3DFC"/>
    <w:rsid w:val="003B46E7"/>
    <w:rsid w:val="003C2059"/>
    <w:rsid w:val="003C25D3"/>
    <w:rsid w:val="003C6A07"/>
    <w:rsid w:val="003D139D"/>
    <w:rsid w:val="003D3692"/>
    <w:rsid w:val="003D4E8B"/>
    <w:rsid w:val="003D6F8C"/>
    <w:rsid w:val="003E1804"/>
    <w:rsid w:val="003E433B"/>
    <w:rsid w:val="003E4400"/>
    <w:rsid w:val="003E51DA"/>
    <w:rsid w:val="003E6107"/>
    <w:rsid w:val="003F0032"/>
    <w:rsid w:val="003F3280"/>
    <w:rsid w:val="003F51A1"/>
    <w:rsid w:val="003F545E"/>
    <w:rsid w:val="003F7B31"/>
    <w:rsid w:val="0040142C"/>
    <w:rsid w:val="00401D66"/>
    <w:rsid w:val="0040258A"/>
    <w:rsid w:val="00403475"/>
    <w:rsid w:val="00404C91"/>
    <w:rsid w:val="00405E1E"/>
    <w:rsid w:val="00406000"/>
    <w:rsid w:val="004061BA"/>
    <w:rsid w:val="00410181"/>
    <w:rsid w:val="00411A78"/>
    <w:rsid w:val="00412919"/>
    <w:rsid w:val="00412CBA"/>
    <w:rsid w:val="00412FA7"/>
    <w:rsid w:val="00415696"/>
    <w:rsid w:val="004213E5"/>
    <w:rsid w:val="004217A6"/>
    <w:rsid w:val="00424DBC"/>
    <w:rsid w:val="004273B5"/>
    <w:rsid w:val="004302DE"/>
    <w:rsid w:val="004308E5"/>
    <w:rsid w:val="00431860"/>
    <w:rsid w:val="0043267C"/>
    <w:rsid w:val="00433038"/>
    <w:rsid w:val="00433F89"/>
    <w:rsid w:val="00436D7E"/>
    <w:rsid w:val="004378C0"/>
    <w:rsid w:val="0043790E"/>
    <w:rsid w:val="0044184E"/>
    <w:rsid w:val="00442610"/>
    <w:rsid w:val="0045513C"/>
    <w:rsid w:val="00457A60"/>
    <w:rsid w:val="0046058D"/>
    <w:rsid w:val="00470C10"/>
    <w:rsid w:val="00473905"/>
    <w:rsid w:val="00476879"/>
    <w:rsid w:val="0048238C"/>
    <w:rsid w:val="00483D96"/>
    <w:rsid w:val="00490410"/>
    <w:rsid w:val="0049307E"/>
    <w:rsid w:val="004A2B8E"/>
    <w:rsid w:val="004A3DD0"/>
    <w:rsid w:val="004A5E3E"/>
    <w:rsid w:val="004A60D8"/>
    <w:rsid w:val="004A717A"/>
    <w:rsid w:val="004B23E4"/>
    <w:rsid w:val="004B3108"/>
    <w:rsid w:val="004B6762"/>
    <w:rsid w:val="004C748E"/>
    <w:rsid w:val="004D1A6E"/>
    <w:rsid w:val="004D389E"/>
    <w:rsid w:val="004D5A1C"/>
    <w:rsid w:val="004D6360"/>
    <w:rsid w:val="004E37DF"/>
    <w:rsid w:val="004F143B"/>
    <w:rsid w:val="004F3E10"/>
    <w:rsid w:val="004F6D2D"/>
    <w:rsid w:val="004F7365"/>
    <w:rsid w:val="004F7ED0"/>
    <w:rsid w:val="0050076D"/>
    <w:rsid w:val="005039BB"/>
    <w:rsid w:val="00503E51"/>
    <w:rsid w:val="0050401D"/>
    <w:rsid w:val="005102D8"/>
    <w:rsid w:val="00510A54"/>
    <w:rsid w:val="00512CFD"/>
    <w:rsid w:val="00515585"/>
    <w:rsid w:val="00515C43"/>
    <w:rsid w:val="00517AD4"/>
    <w:rsid w:val="00520134"/>
    <w:rsid w:val="00520BEA"/>
    <w:rsid w:val="005221CD"/>
    <w:rsid w:val="005224C5"/>
    <w:rsid w:val="00523F16"/>
    <w:rsid w:val="00533D6F"/>
    <w:rsid w:val="005409E7"/>
    <w:rsid w:val="00540C66"/>
    <w:rsid w:val="005422DA"/>
    <w:rsid w:val="00554FCD"/>
    <w:rsid w:val="00555824"/>
    <w:rsid w:val="005646D6"/>
    <w:rsid w:val="005661BE"/>
    <w:rsid w:val="005671A5"/>
    <w:rsid w:val="00570439"/>
    <w:rsid w:val="00570CA3"/>
    <w:rsid w:val="005758E8"/>
    <w:rsid w:val="005766D2"/>
    <w:rsid w:val="005772F4"/>
    <w:rsid w:val="005804D9"/>
    <w:rsid w:val="005820EE"/>
    <w:rsid w:val="005830DE"/>
    <w:rsid w:val="00584050"/>
    <w:rsid w:val="00585B6A"/>
    <w:rsid w:val="0058607A"/>
    <w:rsid w:val="00591387"/>
    <w:rsid w:val="00597043"/>
    <w:rsid w:val="005A0714"/>
    <w:rsid w:val="005A1D8F"/>
    <w:rsid w:val="005A2E1B"/>
    <w:rsid w:val="005A6666"/>
    <w:rsid w:val="005A6A0C"/>
    <w:rsid w:val="005A7BC5"/>
    <w:rsid w:val="005B002C"/>
    <w:rsid w:val="005B1169"/>
    <w:rsid w:val="005B4283"/>
    <w:rsid w:val="005B6756"/>
    <w:rsid w:val="005B7079"/>
    <w:rsid w:val="005C3EEE"/>
    <w:rsid w:val="005C4E90"/>
    <w:rsid w:val="005C4ED7"/>
    <w:rsid w:val="005D1742"/>
    <w:rsid w:val="005D2353"/>
    <w:rsid w:val="005D30E7"/>
    <w:rsid w:val="005D4B7D"/>
    <w:rsid w:val="005D525E"/>
    <w:rsid w:val="005E12E6"/>
    <w:rsid w:val="005E1832"/>
    <w:rsid w:val="005E2932"/>
    <w:rsid w:val="005E388A"/>
    <w:rsid w:val="005E5810"/>
    <w:rsid w:val="005F1945"/>
    <w:rsid w:val="005F2926"/>
    <w:rsid w:val="005F3842"/>
    <w:rsid w:val="005F43B4"/>
    <w:rsid w:val="005F6FCA"/>
    <w:rsid w:val="005F70F0"/>
    <w:rsid w:val="0060081D"/>
    <w:rsid w:val="006022BB"/>
    <w:rsid w:val="00604BDC"/>
    <w:rsid w:val="006077BF"/>
    <w:rsid w:val="00610FD3"/>
    <w:rsid w:val="00611199"/>
    <w:rsid w:val="00611625"/>
    <w:rsid w:val="00616CEE"/>
    <w:rsid w:val="00617A53"/>
    <w:rsid w:val="0062506B"/>
    <w:rsid w:val="00625DAC"/>
    <w:rsid w:val="00625ED5"/>
    <w:rsid w:val="00626016"/>
    <w:rsid w:val="006272AA"/>
    <w:rsid w:val="00635C2F"/>
    <w:rsid w:val="00644B46"/>
    <w:rsid w:val="0064708D"/>
    <w:rsid w:val="00654469"/>
    <w:rsid w:val="00660CB1"/>
    <w:rsid w:val="0067015F"/>
    <w:rsid w:val="0067253D"/>
    <w:rsid w:val="0067318E"/>
    <w:rsid w:val="006747F0"/>
    <w:rsid w:val="00674C53"/>
    <w:rsid w:val="00681279"/>
    <w:rsid w:val="006820B3"/>
    <w:rsid w:val="00684E29"/>
    <w:rsid w:val="00685C26"/>
    <w:rsid w:val="0068637E"/>
    <w:rsid w:val="00691335"/>
    <w:rsid w:val="006A12AA"/>
    <w:rsid w:val="006A5545"/>
    <w:rsid w:val="006A5CB2"/>
    <w:rsid w:val="006B1CD6"/>
    <w:rsid w:val="006B2725"/>
    <w:rsid w:val="006B44FF"/>
    <w:rsid w:val="006B5FF2"/>
    <w:rsid w:val="006B72A6"/>
    <w:rsid w:val="006C0456"/>
    <w:rsid w:val="006C3524"/>
    <w:rsid w:val="006C3616"/>
    <w:rsid w:val="006C3811"/>
    <w:rsid w:val="006C4AE6"/>
    <w:rsid w:val="006C6D82"/>
    <w:rsid w:val="006D1417"/>
    <w:rsid w:val="006D17A0"/>
    <w:rsid w:val="006D2120"/>
    <w:rsid w:val="006D508D"/>
    <w:rsid w:val="006D6399"/>
    <w:rsid w:val="006E47E1"/>
    <w:rsid w:val="006E5E11"/>
    <w:rsid w:val="006F1C9F"/>
    <w:rsid w:val="006F1D94"/>
    <w:rsid w:val="006F211B"/>
    <w:rsid w:val="007012C8"/>
    <w:rsid w:val="00703C65"/>
    <w:rsid w:val="00707451"/>
    <w:rsid w:val="00710CB9"/>
    <w:rsid w:val="00712C05"/>
    <w:rsid w:val="00713A64"/>
    <w:rsid w:val="00714679"/>
    <w:rsid w:val="00717A58"/>
    <w:rsid w:val="00724156"/>
    <w:rsid w:val="00725A6F"/>
    <w:rsid w:val="0072665E"/>
    <w:rsid w:val="0073197D"/>
    <w:rsid w:val="00733501"/>
    <w:rsid w:val="00733DAC"/>
    <w:rsid w:val="00733F97"/>
    <w:rsid w:val="00734E9C"/>
    <w:rsid w:val="00735E07"/>
    <w:rsid w:val="00736F2F"/>
    <w:rsid w:val="0073772C"/>
    <w:rsid w:val="00737B41"/>
    <w:rsid w:val="0074080E"/>
    <w:rsid w:val="00741C70"/>
    <w:rsid w:val="00743E91"/>
    <w:rsid w:val="00746DB8"/>
    <w:rsid w:val="0074774E"/>
    <w:rsid w:val="00747B5E"/>
    <w:rsid w:val="007539DA"/>
    <w:rsid w:val="00763D2B"/>
    <w:rsid w:val="00764C65"/>
    <w:rsid w:val="0076589F"/>
    <w:rsid w:val="007673EF"/>
    <w:rsid w:val="00773694"/>
    <w:rsid w:val="0077539A"/>
    <w:rsid w:val="00777829"/>
    <w:rsid w:val="0078036A"/>
    <w:rsid w:val="00780E27"/>
    <w:rsid w:val="00785FE6"/>
    <w:rsid w:val="00797B9F"/>
    <w:rsid w:val="007A2720"/>
    <w:rsid w:val="007A6586"/>
    <w:rsid w:val="007A74A0"/>
    <w:rsid w:val="007B1BA2"/>
    <w:rsid w:val="007B2558"/>
    <w:rsid w:val="007B3468"/>
    <w:rsid w:val="007B4F3B"/>
    <w:rsid w:val="007B7C76"/>
    <w:rsid w:val="007B7CA3"/>
    <w:rsid w:val="007C0209"/>
    <w:rsid w:val="007C0448"/>
    <w:rsid w:val="007C0F4C"/>
    <w:rsid w:val="007C111E"/>
    <w:rsid w:val="007C3BDA"/>
    <w:rsid w:val="007C679B"/>
    <w:rsid w:val="007D1BF8"/>
    <w:rsid w:val="007D2115"/>
    <w:rsid w:val="007D3CC1"/>
    <w:rsid w:val="007D7F49"/>
    <w:rsid w:val="007F40C0"/>
    <w:rsid w:val="007F6F1F"/>
    <w:rsid w:val="00800219"/>
    <w:rsid w:val="00800429"/>
    <w:rsid w:val="00802414"/>
    <w:rsid w:val="00812748"/>
    <w:rsid w:val="00817C28"/>
    <w:rsid w:val="00820131"/>
    <w:rsid w:val="00825420"/>
    <w:rsid w:val="00825D06"/>
    <w:rsid w:val="00827743"/>
    <w:rsid w:val="00830680"/>
    <w:rsid w:val="0083482B"/>
    <w:rsid w:val="008351A9"/>
    <w:rsid w:val="008351E6"/>
    <w:rsid w:val="00837EA6"/>
    <w:rsid w:val="008429D3"/>
    <w:rsid w:val="00843B31"/>
    <w:rsid w:val="0084415A"/>
    <w:rsid w:val="00844EE2"/>
    <w:rsid w:val="00846D79"/>
    <w:rsid w:val="008471F0"/>
    <w:rsid w:val="00852BD0"/>
    <w:rsid w:val="00853802"/>
    <w:rsid w:val="00854501"/>
    <w:rsid w:val="00856063"/>
    <w:rsid w:val="00860B01"/>
    <w:rsid w:val="008651E0"/>
    <w:rsid w:val="00865287"/>
    <w:rsid w:val="0088391A"/>
    <w:rsid w:val="008845EF"/>
    <w:rsid w:val="00884716"/>
    <w:rsid w:val="00884F71"/>
    <w:rsid w:val="0088754A"/>
    <w:rsid w:val="00891512"/>
    <w:rsid w:val="00891CE3"/>
    <w:rsid w:val="0089256C"/>
    <w:rsid w:val="008B050C"/>
    <w:rsid w:val="008B0D20"/>
    <w:rsid w:val="008B1687"/>
    <w:rsid w:val="008B1A1F"/>
    <w:rsid w:val="008B4AAA"/>
    <w:rsid w:val="008B61B7"/>
    <w:rsid w:val="008B76D2"/>
    <w:rsid w:val="008C08A0"/>
    <w:rsid w:val="008C1555"/>
    <w:rsid w:val="008C3437"/>
    <w:rsid w:val="008D0005"/>
    <w:rsid w:val="008D2544"/>
    <w:rsid w:val="008D2D01"/>
    <w:rsid w:val="008D40CE"/>
    <w:rsid w:val="008D45C8"/>
    <w:rsid w:val="008D58AF"/>
    <w:rsid w:val="008D5E10"/>
    <w:rsid w:val="008D65A0"/>
    <w:rsid w:val="008E0636"/>
    <w:rsid w:val="008E1959"/>
    <w:rsid w:val="008E1EF0"/>
    <w:rsid w:val="008E549A"/>
    <w:rsid w:val="008E6C86"/>
    <w:rsid w:val="008F169B"/>
    <w:rsid w:val="008F17E0"/>
    <w:rsid w:val="008F51E2"/>
    <w:rsid w:val="008F614F"/>
    <w:rsid w:val="008F6ED2"/>
    <w:rsid w:val="008F71EE"/>
    <w:rsid w:val="008F746D"/>
    <w:rsid w:val="008F7732"/>
    <w:rsid w:val="008F7BD1"/>
    <w:rsid w:val="00903FCC"/>
    <w:rsid w:val="00906303"/>
    <w:rsid w:val="009135B5"/>
    <w:rsid w:val="00915103"/>
    <w:rsid w:val="009159CE"/>
    <w:rsid w:val="00917B47"/>
    <w:rsid w:val="009203C6"/>
    <w:rsid w:val="00921E03"/>
    <w:rsid w:val="00923ED7"/>
    <w:rsid w:val="00924238"/>
    <w:rsid w:val="0092445C"/>
    <w:rsid w:val="00924B07"/>
    <w:rsid w:val="009313B0"/>
    <w:rsid w:val="0093534C"/>
    <w:rsid w:val="00935540"/>
    <w:rsid w:val="00942397"/>
    <w:rsid w:val="009438B5"/>
    <w:rsid w:val="00944B48"/>
    <w:rsid w:val="00946D1C"/>
    <w:rsid w:val="00947AB1"/>
    <w:rsid w:val="00947C30"/>
    <w:rsid w:val="009568F2"/>
    <w:rsid w:val="009612F4"/>
    <w:rsid w:val="00961627"/>
    <w:rsid w:val="009630A9"/>
    <w:rsid w:val="009639D4"/>
    <w:rsid w:val="00964095"/>
    <w:rsid w:val="00971D0C"/>
    <w:rsid w:val="009779D9"/>
    <w:rsid w:val="00991F34"/>
    <w:rsid w:val="00994393"/>
    <w:rsid w:val="00994CBB"/>
    <w:rsid w:val="009951D0"/>
    <w:rsid w:val="009A649F"/>
    <w:rsid w:val="009B0F63"/>
    <w:rsid w:val="009B267B"/>
    <w:rsid w:val="009B3A5A"/>
    <w:rsid w:val="009B485F"/>
    <w:rsid w:val="009B49D2"/>
    <w:rsid w:val="009C1083"/>
    <w:rsid w:val="009C1890"/>
    <w:rsid w:val="009C2296"/>
    <w:rsid w:val="009C375B"/>
    <w:rsid w:val="009C3F08"/>
    <w:rsid w:val="009C4723"/>
    <w:rsid w:val="009D1384"/>
    <w:rsid w:val="009D1B7E"/>
    <w:rsid w:val="009D1F84"/>
    <w:rsid w:val="009D21D9"/>
    <w:rsid w:val="009D3EF8"/>
    <w:rsid w:val="009E1285"/>
    <w:rsid w:val="009E4A24"/>
    <w:rsid w:val="009E54F3"/>
    <w:rsid w:val="009E5AA5"/>
    <w:rsid w:val="009E6716"/>
    <w:rsid w:val="009E78E3"/>
    <w:rsid w:val="009E7F73"/>
    <w:rsid w:val="009F000F"/>
    <w:rsid w:val="009F0237"/>
    <w:rsid w:val="009F40BC"/>
    <w:rsid w:val="009F62A6"/>
    <w:rsid w:val="009F68AD"/>
    <w:rsid w:val="00A017A4"/>
    <w:rsid w:val="00A01A6C"/>
    <w:rsid w:val="00A01B68"/>
    <w:rsid w:val="00A01D53"/>
    <w:rsid w:val="00A01DA4"/>
    <w:rsid w:val="00A0341C"/>
    <w:rsid w:val="00A048C2"/>
    <w:rsid w:val="00A056A5"/>
    <w:rsid w:val="00A07234"/>
    <w:rsid w:val="00A13DA1"/>
    <w:rsid w:val="00A14DEB"/>
    <w:rsid w:val="00A230DE"/>
    <w:rsid w:val="00A23242"/>
    <w:rsid w:val="00A233C2"/>
    <w:rsid w:val="00A30994"/>
    <w:rsid w:val="00A33C5A"/>
    <w:rsid w:val="00A34057"/>
    <w:rsid w:val="00A34706"/>
    <w:rsid w:val="00A34EE9"/>
    <w:rsid w:val="00A36CD0"/>
    <w:rsid w:val="00A372A2"/>
    <w:rsid w:val="00A4087E"/>
    <w:rsid w:val="00A42729"/>
    <w:rsid w:val="00A4404F"/>
    <w:rsid w:val="00A442D7"/>
    <w:rsid w:val="00A44690"/>
    <w:rsid w:val="00A47F79"/>
    <w:rsid w:val="00A5469F"/>
    <w:rsid w:val="00A567AD"/>
    <w:rsid w:val="00A57255"/>
    <w:rsid w:val="00A62D46"/>
    <w:rsid w:val="00A6506D"/>
    <w:rsid w:val="00A660DB"/>
    <w:rsid w:val="00A66569"/>
    <w:rsid w:val="00A7093F"/>
    <w:rsid w:val="00A70FA3"/>
    <w:rsid w:val="00A729BE"/>
    <w:rsid w:val="00A76991"/>
    <w:rsid w:val="00A77D9D"/>
    <w:rsid w:val="00A800F7"/>
    <w:rsid w:val="00A80669"/>
    <w:rsid w:val="00A80F21"/>
    <w:rsid w:val="00A81ADF"/>
    <w:rsid w:val="00A8396B"/>
    <w:rsid w:val="00A83F11"/>
    <w:rsid w:val="00A855F0"/>
    <w:rsid w:val="00A862AB"/>
    <w:rsid w:val="00A9019D"/>
    <w:rsid w:val="00A908FB"/>
    <w:rsid w:val="00A9274A"/>
    <w:rsid w:val="00AA2A32"/>
    <w:rsid w:val="00AA3D81"/>
    <w:rsid w:val="00AA7176"/>
    <w:rsid w:val="00AA73B6"/>
    <w:rsid w:val="00AB3608"/>
    <w:rsid w:val="00AB611E"/>
    <w:rsid w:val="00AB6894"/>
    <w:rsid w:val="00AC0259"/>
    <w:rsid w:val="00AC0A48"/>
    <w:rsid w:val="00AC1429"/>
    <w:rsid w:val="00AC16EC"/>
    <w:rsid w:val="00AC7F7D"/>
    <w:rsid w:val="00AD12FC"/>
    <w:rsid w:val="00AD230F"/>
    <w:rsid w:val="00AD27AE"/>
    <w:rsid w:val="00AD2A3D"/>
    <w:rsid w:val="00AD2CF5"/>
    <w:rsid w:val="00AD323F"/>
    <w:rsid w:val="00AD68C1"/>
    <w:rsid w:val="00AD6A30"/>
    <w:rsid w:val="00AE0074"/>
    <w:rsid w:val="00AE0E7B"/>
    <w:rsid w:val="00AE312C"/>
    <w:rsid w:val="00AE4F25"/>
    <w:rsid w:val="00AE5F31"/>
    <w:rsid w:val="00AE63C3"/>
    <w:rsid w:val="00AE66EE"/>
    <w:rsid w:val="00AF175A"/>
    <w:rsid w:val="00AF288C"/>
    <w:rsid w:val="00AF2E47"/>
    <w:rsid w:val="00B11D76"/>
    <w:rsid w:val="00B12F2E"/>
    <w:rsid w:val="00B15375"/>
    <w:rsid w:val="00B163F1"/>
    <w:rsid w:val="00B170E0"/>
    <w:rsid w:val="00B2207A"/>
    <w:rsid w:val="00B25479"/>
    <w:rsid w:val="00B27BFA"/>
    <w:rsid w:val="00B3033C"/>
    <w:rsid w:val="00B31C12"/>
    <w:rsid w:val="00B331A2"/>
    <w:rsid w:val="00B337D0"/>
    <w:rsid w:val="00B35C03"/>
    <w:rsid w:val="00B35CC4"/>
    <w:rsid w:val="00B37579"/>
    <w:rsid w:val="00B40B34"/>
    <w:rsid w:val="00B40E8C"/>
    <w:rsid w:val="00B4685E"/>
    <w:rsid w:val="00B52654"/>
    <w:rsid w:val="00B54EDA"/>
    <w:rsid w:val="00B57902"/>
    <w:rsid w:val="00B63803"/>
    <w:rsid w:val="00B641D2"/>
    <w:rsid w:val="00B66DA1"/>
    <w:rsid w:val="00B66DB1"/>
    <w:rsid w:val="00B7053B"/>
    <w:rsid w:val="00B732D1"/>
    <w:rsid w:val="00B73950"/>
    <w:rsid w:val="00B7465C"/>
    <w:rsid w:val="00B76433"/>
    <w:rsid w:val="00B84178"/>
    <w:rsid w:val="00B8777C"/>
    <w:rsid w:val="00B877C9"/>
    <w:rsid w:val="00B903B0"/>
    <w:rsid w:val="00B9084D"/>
    <w:rsid w:val="00B92FD1"/>
    <w:rsid w:val="00B943B4"/>
    <w:rsid w:val="00B95A26"/>
    <w:rsid w:val="00B95F85"/>
    <w:rsid w:val="00BA3E67"/>
    <w:rsid w:val="00BA755A"/>
    <w:rsid w:val="00BB0868"/>
    <w:rsid w:val="00BB1A2F"/>
    <w:rsid w:val="00BB208B"/>
    <w:rsid w:val="00BB7C00"/>
    <w:rsid w:val="00BC1291"/>
    <w:rsid w:val="00BC57E2"/>
    <w:rsid w:val="00BD1185"/>
    <w:rsid w:val="00BD3C79"/>
    <w:rsid w:val="00BD4193"/>
    <w:rsid w:val="00BD48C3"/>
    <w:rsid w:val="00BE2B37"/>
    <w:rsid w:val="00BE4654"/>
    <w:rsid w:val="00BE7E64"/>
    <w:rsid w:val="00BF11EB"/>
    <w:rsid w:val="00BF387C"/>
    <w:rsid w:val="00C1126E"/>
    <w:rsid w:val="00C1154E"/>
    <w:rsid w:val="00C12935"/>
    <w:rsid w:val="00C14083"/>
    <w:rsid w:val="00C1755D"/>
    <w:rsid w:val="00C217A8"/>
    <w:rsid w:val="00C24A86"/>
    <w:rsid w:val="00C25130"/>
    <w:rsid w:val="00C261B9"/>
    <w:rsid w:val="00C261EC"/>
    <w:rsid w:val="00C267A6"/>
    <w:rsid w:val="00C26826"/>
    <w:rsid w:val="00C30C3E"/>
    <w:rsid w:val="00C33861"/>
    <w:rsid w:val="00C35659"/>
    <w:rsid w:val="00C4225E"/>
    <w:rsid w:val="00C45B15"/>
    <w:rsid w:val="00C46579"/>
    <w:rsid w:val="00C56640"/>
    <w:rsid w:val="00C57D9E"/>
    <w:rsid w:val="00C60A0F"/>
    <w:rsid w:val="00C6149F"/>
    <w:rsid w:val="00C61BA9"/>
    <w:rsid w:val="00C635B6"/>
    <w:rsid w:val="00C663CA"/>
    <w:rsid w:val="00C72B74"/>
    <w:rsid w:val="00C72DEC"/>
    <w:rsid w:val="00C731DE"/>
    <w:rsid w:val="00C7744C"/>
    <w:rsid w:val="00C80039"/>
    <w:rsid w:val="00C80876"/>
    <w:rsid w:val="00C84442"/>
    <w:rsid w:val="00C87D78"/>
    <w:rsid w:val="00C90919"/>
    <w:rsid w:val="00C9276F"/>
    <w:rsid w:val="00CA1775"/>
    <w:rsid w:val="00CA23BD"/>
    <w:rsid w:val="00CA3E5A"/>
    <w:rsid w:val="00CA4D71"/>
    <w:rsid w:val="00CB0CD3"/>
    <w:rsid w:val="00CB15F8"/>
    <w:rsid w:val="00CB3FC4"/>
    <w:rsid w:val="00CB7E44"/>
    <w:rsid w:val="00CC0009"/>
    <w:rsid w:val="00CC2369"/>
    <w:rsid w:val="00CC42CD"/>
    <w:rsid w:val="00CC54BB"/>
    <w:rsid w:val="00CC5FDB"/>
    <w:rsid w:val="00CC642D"/>
    <w:rsid w:val="00CC712E"/>
    <w:rsid w:val="00CD5BC4"/>
    <w:rsid w:val="00CD7106"/>
    <w:rsid w:val="00CD7F6E"/>
    <w:rsid w:val="00CE0652"/>
    <w:rsid w:val="00CE4A63"/>
    <w:rsid w:val="00CE5816"/>
    <w:rsid w:val="00CE5BDF"/>
    <w:rsid w:val="00CF0933"/>
    <w:rsid w:val="00CF2E79"/>
    <w:rsid w:val="00CF470E"/>
    <w:rsid w:val="00D02730"/>
    <w:rsid w:val="00D034B7"/>
    <w:rsid w:val="00D044F7"/>
    <w:rsid w:val="00D05C0E"/>
    <w:rsid w:val="00D06902"/>
    <w:rsid w:val="00D101A7"/>
    <w:rsid w:val="00D12F64"/>
    <w:rsid w:val="00D12FDD"/>
    <w:rsid w:val="00D137EC"/>
    <w:rsid w:val="00D15AA4"/>
    <w:rsid w:val="00D167E6"/>
    <w:rsid w:val="00D23057"/>
    <w:rsid w:val="00D23927"/>
    <w:rsid w:val="00D2674D"/>
    <w:rsid w:val="00D268E7"/>
    <w:rsid w:val="00D271D3"/>
    <w:rsid w:val="00D31116"/>
    <w:rsid w:val="00D31D2A"/>
    <w:rsid w:val="00D34380"/>
    <w:rsid w:val="00D41465"/>
    <w:rsid w:val="00D419D2"/>
    <w:rsid w:val="00D41B20"/>
    <w:rsid w:val="00D4240D"/>
    <w:rsid w:val="00D44CB1"/>
    <w:rsid w:val="00D44E43"/>
    <w:rsid w:val="00D45126"/>
    <w:rsid w:val="00D45841"/>
    <w:rsid w:val="00D47C14"/>
    <w:rsid w:val="00D47D11"/>
    <w:rsid w:val="00D538FF"/>
    <w:rsid w:val="00D54BF4"/>
    <w:rsid w:val="00D61F80"/>
    <w:rsid w:val="00D663CA"/>
    <w:rsid w:val="00D73868"/>
    <w:rsid w:val="00D738DC"/>
    <w:rsid w:val="00D76CDE"/>
    <w:rsid w:val="00D82A56"/>
    <w:rsid w:val="00D82DAE"/>
    <w:rsid w:val="00D877DB"/>
    <w:rsid w:val="00D90E92"/>
    <w:rsid w:val="00D91F07"/>
    <w:rsid w:val="00D933EF"/>
    <w:rsid w:val="00D96747"/>
    <w:rsid w:val="00DA0C11"/>
    <w:rsid w:val="00DA1214"/>
    <w:rsid w:val="00DA1B9D"/>
    <w:rsid w:val="00DA45D8"/>
    <w:rsid w:val="00DA531F"/>
    <w:rsid w:val="00DB13A7"/>
    <w:rsid w:val="00DB15AD"/>
    <w:rsid w:val="00DB191E"/>
    <w:rsid w:val="00DB26C1"/>
    <w:rsid w:val="00DB4A8D"/>
    <w:rsid w:val="00DB4ABD"/>
    <w:rsid w:val="00DC0572"/>
    <w:rsid w:val="00DC0BDA"/>
    <w:rsid w:val="00DC50C1"/>
    <w:rsid w:val="00DC571F"/>
    <w:rsid w:val="00DC5C7C"/>
    <w:rsid w:val="00DC785D"/>
    <w:rsid w:val="00DD25BC"/>
    <w:rsid w:val="00DD2DE8"/>
    <w:rsid w:val="00DD3B93"/>
    <w:rsid w:val="00DD54DF"/>
    <w:rsid w:val="00DE17A1"/>
    <w:rsid w:val="00DE1F5C"/>
    <w:rsid w:val="00DE28BA"/>
    <w:rsid w:val="00DF430D"/>
    <w:rsid w:val="00E04D09"/>
    <w:rsid w:val="00E10D04"/>
    <w:rsid w:val="00E16735"/>
    <w:rsid w:val="00E16ED5"/>
    <w:rsid w:val="00E21D35"/>
    <w:rsid w:val="00E2465E"/>
    <w:rsid w:val="00E262EC"/>
    <w:rsid w:val="00E266FC"/>
    <w:rsid w:val="00E27BB9"/>
    <w:rsid w:val="00E30785"/>
    <w:rsid w:val="00E3663E"/>
    <w:rsid w:val="00E3698A"/>
    <w:rsid w:val="00E37131"/>
    <w:rsid w:val="00E378A9"/>
    <w:rsid w:val="00E423ED"/>
    <w:rsid w:val="00E47F46"/>
    <w:rsid w:val="00E5245E"/>
    <w:rsid w:val="00E52D68"/>
    <w:rsid w:val="00E64464"/>
    <w:rsid w:val="00E644A9"/>
    <w:rsid w:val="00E70337"/>
    <w:rsid w:val="00E7060D"/>
    <w:rsid w:val="00E70C42"/>
    <w:rsid w:val="00E73FBD"/>
    <w:rsid w:val="00E77C38"/>
    <w:rsid w:val="00E81198"/>
    <w:rsid w:val="00E84AA1"/>
    <w:rsid w:val="00E850BC"/>
    <w:rsid w:val="00E85579"/>
    <w:rsid w:val="00E85A54"/>
    <w:rsid w:val="00E86A30"/>
    <w:rsid w:val="00E91DA8"/>
    <w:rsid w:val="00E93700"/>
    <w:rsid w:val="00E93E11"/>
    <w:rsid w:val="00E94080"/>
    <w:rsid w:val="00E94844"/>
    <w:rsid w:val="00E9499F"/>
    <w:rsid w:val="00E96424"/>
    <w:rsid w:val="00E97937"/>
    <w:rsid w:val="00E97FD1"/>
    <w:rsid w:val="00EA01C2"/>
    <w:rsid w:val="00EA07FB"/>
    <w:rsid w:val="00EA14B1"/>
    <w:rsid w:val="00EA216C"/>
    <w:rsid w:val="00EA3585"/>
    <w:rsid w:val="00EA36BA"/>
    <w:rsid w:val="00EA3A23"/>
    <w:rsid w:val="00EA5AA7"/>
    <w:rsid w:val="00EA67E8"/>
    <w:rsid w:val="00EA6F27"/>
    <w:rsid w:val="00EB4832"/>
    <w:rsid w:val="00EB75C2"/>
    <w:rsid w:val="00EC0268"/>
    <w:rsid w:val="00EC2BAC"/>
    <w:rsid w:val="00EC622D"/>
    <w:rsid w:val="00EC70DD"/>
    <w:rsid w:val="00EC79E0"/>
    <w:rsid w:val="00ED0181"/>
    <w:rsid w:val="00ED2358"/>
    <w:rsid w:val="00ED3648"/>
    <w:rsid w:val="00EE15A1"/>
    <w:rsid w:val="00EE282B"/>
    <w:rsid w:val="00EE611D"/>
    <w:rsid w:val="00EE740D"/>
    <w:rsid w:val="00EF13A7"/>
    <w:rsid w:val="00EF1DF3"/>
    <w:rsid w:val="00EF3BBE"/>
    <w:rsid w:val="00EF4786"/>
    <w:rsid w:val="00EF4E61"/>
    <w:rsid w:val="00EF55B3"/>
    <w:rsid w:val="00F01199"/>
    <w:rsid w:val="00F04A11"/>
    <w:rsid w:val="00F0509A"/>
    <w:rsid w:val="00F06AD9"/>
    <w:rsid w:val="00F11373"/>
    <w:rsid w:val="00F12913"/>
    <w:rsid w:val="00F14418"/>
    <w:rsid w:val="00F148B2"/>
    <w:rsid w:val="00F15F18"/>
    <w:rsid w:val="00F1602A"/>
    <w:rsid w:val="00F16AA7"/>
    <w:rsid w:val="00F16C09"/>
    <w:rsid w:val="00F23238"/>
    <w:rsid w:val="00F247BC"/>
    <w:rsid w:val="00F277AA"/>
    <w:rsid w:val="00F30CD3"/>
    <w:rsid w:val="00F329C5"/>
    <w:rsid w:val="00F342C7"/>
    <w:rsid w:val="00F37CEF"/>
    <w:rsid w:val="00F4637E"/>
    <w:rsid w:val="00F46FF8"/>
    <w:rsid w:val="00F511E7"/>
    <w:rsid w:val="00F51275"/>
    <w:rsid w:val="00F522CB"/>
    <w:rsid w:val="00F55835"/>
    <w:rsid w:val="00F55965"/>
    <w:rsid w:val="00F55EF8"/>
    <w:rsid w:val="00F57DBF"/>
    <w:rsid w:val="00F61FC6"/>
    <w:rsid w:val="00F635C4"/>
    <w:rsid w:val="00F71398"/>
    <w:rsid w:val="00F75025"/>
    <w:rsid w:val="00F75E07"/>
    <w:rsid w:val="00F77137"/>
    <w:rsid w:val="00F7784D"/>
    <w:rsid w:val="00F80684"/>
    <w:rsid w:val="00F8132B"/>
    <w:rsid w:val="00F81A95"/>
    <w:rsid w:val="00F8446C"/>
    <w:rsid w:val="00F85509"/>
    <w:rsid w:val="00F87A0D"/>
    <w:rsid w:val="00F90E72"/>
    <w:rsid w:val="00F95E8E"/>
    <w:rsid w:val="00F96FEC"/>
    <w:rsid w:val="00FA0734"/>
    <w:rsid w:val="00FA206A"/>
    <w:rsid w:val="00FA3979"/>
    <w:rsid w:val="00FA59D2"/>
    <w:rsid w:val="00FA6616"/>
    <w:rsid w:val="00FA7226"/>
    <w:rsid w:val="00FB0C44"/>
    <w:rsid w:val="00FB1D35"/>
    <w:rsid w:val="00FB41D2"/>
    <w:rsid w:val="00FB4BF2"/>
    <w:rsid w:val="00FC07DB"/>
    <w:rsid w:val="00FC25CB"/>
    <w:rsid w:val="00FC3268"/>
    <w:rsid w:val="00FC3BE9"/>
    <w:rsid w:val="00FC412C"/>
    <w:rsid w:val="00FC47FF"/>
    <w:rsid w:val="00FC4F91"/>
    <w:rsid w:val="00FC7E58"/>
    <w:rsid w:val="00FD662A"/>
    <w:rsid w:val="00FE0942"/>
    <w:rsid w:val="00FE42BF"/>
    <w:rsid w:val="00FE6943"/>
    <w:rsid w:val="00FF306C"/>
    <w:rsid w:val="00FF584F"/>
    <w:rsid w:val="00FF6000"/>
    <w:rsid w:val="00FF627E"/>
  </w:rsids>
  <m:mathPr>
    <m:mathFont m:val="Cambria Math"/>
    <m:brkBin m:val="before"/>
    <m:brkBinSub m:val="--"/>
    <m:smallFrac/>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98" w:qFormat="1"/>
    <w:lsdException w:name="heading 1" w:uiPriority="1" w:qFormat="1"/>
    <w:lsdException w:name="heading 2" w:semiHidden="1" w:uiPriority="9"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8"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10" w:unhideWhenUsed="1"/>
    <w:lsdException w:name="index heading" w:semiHidden="1" w:uiPriority="1" w:unhideWhenUsed="1"/>
    <w:lsdException w:name="caption" w:semiHidden="1" w:uiPriority="35" w:unhideWhenUsed="1"/>
    <w:lsdException w:name="table of figures" w:semiHidden="1" w:uiPriority="8" w:unhideWhenUsed="1"/>
    <w:lsdException w:name="envelope address" w:semiHidden="1" w:unhideWhenUsed="1"/>
    <w:lsdException w:name="envelope return" w:semiHidden="1" w:unhideWhenUsed="1"/>
    <w:lsdException w:name="footnote reference" w:uiPriority="0"/>
    <w:lsdException w:name="annotation reference" w:semiHidden="1" w:unhideWhenUsed="1"/>
    <w:lsdException w:name="line number" w:semiHidden="1" w:unhideWhenUsed="1"/>
    <w:lsdException w:name="page number" w:semiHidden="1" w:uiPriority="0" w:unhideWhenUsed="1"/>
    <w:lsdException w:name="endnote reference" w:semiHidden="1" w:uiPriority="7" w:unhideWhenUsed="1"/>
    <w:lsdException w:name="endnote text" w:semiHidden="1" w:uiPriority="7" w:unhideWhenUsed="1"/>
    <w:lsdException w:name="table of authorities" w:semiHidden="1" w:uiPriority="9" w:unhideWhenUsed="1"/>
    <w:lsdException w:name="macro" w:semiHidden="1" w:unhideWhenUsed="1"/>
    <w:lsdException w:name="toa heading" w:semiHidden="1" w:unhideWhenUsed="1"/>
    <w:lsdException w:name="List" w:semiHidden="1" w:unhideWhenUsed="1"/>
    <w:lsdException w:name="List Bullet" w:semiHidden="1" w:uiPriority="3" w:unhideWhenUsed="1"/>
    <w:lsdException w:name="List Number" w:semiHidden="1" w:uiPriority="5"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 w:unhideWhenUsed="1"/>
    <w:lsdException w:name="List Bullet 3" w:semiHidden="1" w:uiPriority="3" w:unhideWhenUsed="1"/>
    <w:lsdException w:name="List Bullet 4" w:semiHidden="1" w:uiPriority="3" w:unhideWhenUsed="1"/>
    <w:lsdException w:name="List Bullet 5" w:semiHidden="1"/>
    <w:lsdException w:name="List Number 2" w:semiHidden="1" w:uiPriority="5" w:unhideWhenUsed="1"/>
    <w:lsdException w:name="List Number 3" w:semiHidden="1" w:uiPriority="5" w:unhideWhenUsed="1"/>
    <w:lsdException w:name="List Number 4" w:semiHidden="1" w:unhideWhenUsed="1"/>
    <w:lsdException w:name="List Number 5" w:semiHidden="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4" w:unhideWhenUsed="1"/>
    <w:lsdException w:name="List Continue 2" w:semiHidden="1" w:uiPriority="4" w:unhideWhenUsed="1"/>
    <w:lsdException w:name="List Continue 3" w:semiHidden="1" w:uiPriority="4" w:unhideWhenUsed="1"/>
    <w:lsdException w:name="List Continue 4" w:semiHidden="1" w:uiPriority="4"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2" w:unhideWhenUsed="1"/>
    <w:lsdException w:name="Strong" w:uiPriority="22" w:qFormat="1"/>
    <w:lsdException w:name="Emphasis" w:uiPriority="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8"/>
    <w:qFormat/>
    <w:rsid w:val="009F62A6"/>
    <w:pPr>
      <w:spacing w:after="160" w:line="300" w:lineRule="atLeast"/>
    </w:pPr>
    <w:rPr>
      <w:rFonts w:ascii="Calibri" w:hAnsi="Calibri"/>
      <w:color w:val="1E1E1E"/>
      <w:sz w:val="24"/>
    </w:rPr>
  </w:style>
  <w:style w:type="paragraph" w:styleId="Heading1">
    <w:name w:val="heading 1"/>
    <w:basedOn w:val="Normalcolour"/>
    <w:next w:val="BodyText"/>
    <w:link w:val="Heading1Char"/>
    <w:uiPriority w:val="1"/>
    <w:qFormat/>
    <w:rsid w:val="00A81ADF"/>
    <w:pPr>
      <w:keepNext/>
      <w:keepLines/>
      <w:spacing w:before="600" w:after="140" w:line="240" w:lineRule="auto"/>
      <w:ind w:right="284"/>
      <w:outlineLvl w:val="0"/>
    </w:pPr>
    <w:rPr>
      <w:rFonts w:eastAsiaTheme="majorEastAsia" w:cstheme="majorBidi"/>
      <w:bCs/>
      <w:sz w:val="38"/>
      <w:szCs w:val="28"/>
    </w:rPr>
  </w:style>
  <w:style w:type="paragraph" w:styleId="Heading2">
    <w:name w:val="heading 2"/>
    <w:basedOn w:val="Normal"/>
    <w:next w:val="BodyText"/>
    <w:link w:val="Heading2Char"/>
    <w:uiPriority w:val="9"/>
    <w:qFormat/>
    <w:rsid w:val="00A81ADF"/>
    <w:pPr>
      <w:keepNext/>
      <w:keepLines/>
      <w:spacing w:before="360" w:after="140" w:line="240" w:lineRule="auto"/>
      <w:ind w:right="284"/>
      <w:outlineLvl w:val="1"/>
    </w:pPr>
    <w:rPr>
      <w:rFonts w:eastAsiaTheme="majorEastAsia" w:cstheme="majorBidi"/>
      <w:b/>
      <w:bCs/>
      <w:sz w:val="30"/>
      <w:szCs w:val="26"/>
    </w:rPr>
  </w:style>
  <w:style w:type="paragraph" w:styleId="Heading3">
    <w:name w:val="heading 3"/>
    <w:basedOn w:val="Normalcolour"/>
    <w:next w:val="BodyText"/>
    <w:link w:val="Heading3Char"/>
    <w:uiPriority w:val="1"/>
    <w:qFormat/>
    <w:rsid w:val="00A81ADF"/>
    <w:pPr>
      <w:keepNext/>
      <w:keepLines/>
      <w:spacing w:before="360" w:after="60" w:line="240" w:lineRule="auto"/>
      <w:ind w:right="284"/>
      <w:outlineLvl w:val="2"/>
    </w:pPr>
    <w:rPr>
      <w:rFonts w:eastAsiaTheme="majorEastAsia" w:cstheme="majorBidi"/>
      <w:bCs/>
      <w:color w:val="1E1E1E"/>
      <w:sz w:val="29"/>
    </w:rPr>
  </w:style>
  <w:style w:type="paragraph" w:styleId="Heading4">
    <w:name w:val="heading 4"/>
    <w:basedOn w:val="Normal"/>
    <w:next w:val="BodyText"/>
    <w:link w:val="Heading4Char"/>
    <w:uiPriority w:val="1"/>
    <w:qFormat/>
    <w:rsid w:val="00A81ADF"/>
    <w:pPr>
      <w:keepNext/>
      <w:keepLines/>
      <w:spacing w:before="280" w:after="60" w:line="240" w:lineRule="auto"/>
      <w:ind w:right="284"/>
      <w:outlineLvl w:val="3"/>
    </w:pPr>
    <w:rPr>
      <w:rFonts w:eastAsiaTheme="majorEastAsia" w:cstheme="majorBidi"/>
      <w:b/>
      <w:bCs/>
      <w:iCs/>
      <w:sz w:val="26"/>
    </w:rPr>
  </w:style>
  <w:style w:type="paragraph" w:styleId="Heading5">
    <w:name w:val="heading 5"/>
    <w:basedOn w:val="Normal"/>
    <w:next w:val="BodyText"/>
    <w:link w:val="Heading5Char"/>
    <w:uiPriority w:val="1"/>
    <w:semiHidden/>
    <w:rsid w:val="00A81ADF"/>
    <w:pPr>
      <w:keepNext/>
      <w:keepLines/>
      <w:spacing w:before="360" w:after="60"/>
      <w:ind w:right="284"/>
      <w:outlineLvl w:val="4"/>
    </w:pPr>
    <w:rPr>
      <w:rFonts w:eastAsiaTheme="majorEastAsia" w:cstheme="majorBidi"/>
      <w:b/>
      <w:caps/>
      <w:sz w:val="22"/>
    </w:rPr>
  </w:style>
  <w:style w:type="paragraph" w:styleId="Heading6">
    <w:name w:val="heading 6"/>
    <w:basedOn w:val="Normal"/>
    <w:next w:val="Normal"/>
    <w:link w:val="Heading6Char"/>
    <w:uiPriority w:val="9"/>
    <w:semiHidden/>
    <w:qFormat/>
    <w:rsid w:val="00EC70DD"/>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qFormat/>
    <w:rsid w:val="00EC70DD"/>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qFormat/>
    <w:rsid w:val="00EC70DD"/>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qFormat/>
    <w:rsid w:val="00EC70DD"/>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rsid w:val="00DB13A7"/>
    <w:rPr>
      <w:color w:val="4D4D4D"/>
      <w:sz w:val="20"/>
      <w:vertAlign w:val="superscript"/>
    </w:rPr>
  </w:style>
  <w:style w:type="paragraph" w:styleId="ListBullet">
    <w:name w:val="List Bullet"/>
    <w:basedOn w:val="Normal"/>
    <w:uiPriority w:val="3"/>
    <w:rsid w:val="00DB13A7"/>
    <w:pPr>
      <w:numPr>
        <w:numId w:val="4"/>
      </w:numPr>
    </w:pPr>
  </w:style>
  <w:style w:type="paragraph" w:styleId="ListNumber">
    <w:name w:val="List Number"/>
    <w:basedOn w:val="Normal"/>
    <w:uiPriority w:val="5"/>
    <w:rsid w:val="00DB13A7"/>
    <w:pPr>
      <w:numPr>
        <w:numId w:val="5"/>
      </w:numPr>
    </w:pPr>
  </w:style>
  <w:style w:type="paragraph" w:styleId="BalloonText">
    <w:name w:val="Balloon Text"/>
    <w:basedOn w:val="Normal"/>
    <w:link w:val="BalloonTextChar"/>
    <w:uiPriority w:val="98"/>
    <w:semiHidden/>
    <w:unhideWhenUsed/>
    <w:rsid w:val="00971D0C"/>
    <w:pPr>
      <w:spacing w:after="0" w:line="240" w:lineRule="auto"/>
    </w:pPr>
    <w:rPr>
      <w:rFonts w:cs="Tahoma"/>
      <w:sz w:val="16"/>
      <w:szCs w:val="16"/>
    </w:rPr>
  </w:style>
  <w:style w:type="character" w:customStyle="1" w:styleId="BalloonTextChar">
    <w:name w:val="Balloon Text Char"/>
    <w:basedOn w:val="DefaultParagraphFont"/>
    <w:link w:val="BalloonText"/>
    <w:uiPriority w:val="98"/>
    <w:semiHidden/>
    <w:rsid w:val="00D933EF"/>
    <w:rPr>
      <w:rFonts w:ascii="Calibri" w:hAnsi="Calibri" w:cs="Tahoma"/>
      <w:color w:val="1E1E1E"/>
      <w:sz w:val="16"/>
      <w:szCs w:val="16"/>
    </w:rPr>
  </w:style>
  <w:style w:type="character" w:customStyle="1" w:styleId="Heading1Char">
    <w:name w:val="Heading 1 Char"/>
    <w:basedOn w:val="DefaultParagraphFont"/>
    <w:link w:val="Heading1"/>
    <w:uiPriority w:val="1"/>
    <w:rsid w:val="00A81ADF"/>
    <w:rPr>
      <w:rFonts w:ascii="Calibri" w:eastAsiaTheme="majorEastAsia" w:hAnsi="Calibri" w:cstheme="majorBidi"/>
      <w:bCs/>
      <w:color w:val="00ADC6"/>
      <w:sz w:val="38"/>
      <w:szCs w:val="28"/>
    </w:rPr>
  </w:style>
  <w:style w:type="character" w:customStyle="1" w:styleId="Heading2Char">
    <w:name w:val="Heading 2 Char"/>
    <w:basedOn w:val="DefaultParagraphFont"/>
    <w:link w:val="Heading2"/>
    <w:uiPriority w:val="9"/>
    <w:rsid w:val="00AC7F7D"/>
    <w:rPr>
      <w:rFonts w:ascii="Calibri" w:eastAsiaTheme="majorEastAsia" w:hAnsi="Calibri" w:cstheme="majorBidi"/>
      <w:b/>
      <w:bCs/>
      <w:color w:val="1E1E1E"/>
      <w:sz w:val="30"/>
      <w:szCs w:val="26"/>
    </w:rPr>
  </w:style>
  <w:style w:type="character" w:customStyle="1" w:styleId="Heading3Char">
    <w:name w:val="Heading 3 Char"/>
    <w:basedOn w:val="DefaultParagraphFont"/>
    <w:link w:val="Heading3"/>
    <w:uiPriority w:val="1"/>
    <w:rsid w:val="00AC7F7D"/>
    <w:rPr>
      <w:rFonts w:ascii="Calibri" w:eastAsiaTheme="majorEastAsia" w:hAnsi="Calibri" w:cstheme="majorBidi"/>
      <w:bCs/>
      <w:color w:val="1E1E1E"/>
      <w:sz w:val="29"/>
    </w:rPr>
  </w:style>
  <w:style w:type="character" w:customStyle="1" w:styleId="Heading4Char">
    <w:name w:val="Heading 4 Char"/>
    <w:basedOn w:val="DefaultParagraphFont"/>
    <w:link w:val="Heading4"/>
    <w:uiPriority w:val="1"/>
    <w:rsid w:val="0037745A"/>
    <w:rPr>
      <w:rFonts w:ascii="Calibri" w:eastAsiaTheme="majorEastAsia" w:hAnsi="Calibri" w:cstheme="majorBidi"/>
      <w:b/>
      <w:bCs/>
      <w:iCs/>
      <w:color w:val="1E1E1E"/>
      <w:sz w:val="26"/>
    </w:rPr>
  </w:style>
  <w:style w:type="character" w:customStyle="1" w:styleId="Heading5Char">
    <w:name w:val="Heading 5 Char"/>
    <w:basedOn w:val="DefaultParagraphFont"/>
    <w:link w:val="Heading5"/>
    <w:uiPriority w:val="1"/>
    <w:semiHidden/>
    <w:rsid w:val="0037745A"/>
    <w:rPr>
      <w:rFonts w:ascii="Calibri" w:eastAsiaTheme="majorEastAsia" w:hAnsi="Calibri" w:cstheme="majorBidi"/>
      <w:b/>
      <w:caps/>
      <w:color w:val="1E1E1E"/>
    </w:rPr>
  </w:style>
  <w:style w:type="character" w:customStyle="1" w:styleId="Heading6Char">
    <w:name w:val="Heading 6 Char"/>
    <w:basedOn w:val="DefaultParagraphFont"/>
    <w:link w:val="Heading6"/>
    <w:uiPriority w:val="9"/>
    <w:semiHidden/>
    <w:rsid w:val="00EC0268"/>
    <w:rPr>
      <w:rFonts w:asciiTheme="majorHAnsi" w:eastAsiaTheme="majorEastAsia" w:hAnsiTheme="majorHAnsi" w:cstheme="majorBidi"/>
      <w:i/>
      <w:iCs/>
      <w:color w:val="243F60" w:themeColor="accent1" w:themeShade="7F"/>
      <w:lang w:val="en-US"/>
    </w:rPr>
  </w:style>
  <w:style w:type="character" w:customStyle="1" w:styleId="Heading7Char">
    <w:name w:val="Heading 7 Char"/>
    <w:basedOn w:val="DefaultParagraphFont"/>
    <w:link w:val="Heading7"/>
    <w:uiPriority w:val="9"/>
    <w:semiHidden/>
    <w:rsid w:val="00EC0268"/>
    <w:rPr>
      <w:rFonts w:asciiTheme="majorHAnsi" w:eastAsiaTheme="majorEastAsia" w:hAnsiTheme="majorHAnsi" w:cstheme="majorBidi"/>
      <w:i/>
      <w:iCs/>
      <w:color w:val="404040" w:themeColor="text1" w:themeTint="BF"/>
      <w:lang w:val="en-US"/>
    </w:rPr>
  </w:style>
  <w:style w:type="character" w:customStyle="1" w:styleId="Heading8Char">
    <w:name w:val="Heading 8 Char"/>
    <w:basedOn w:val="DefaultParagraphFont"/>
    <w:link w:val="Heading8"/>
    <w:uiPriority w:val="9"/>
    <w:semiHidden/>
    <w:rsid w:val="00EC0268"/>
    <w:rPr>
      <w:rFonts w:asciiTheme="majorHAnsi" w:eastAsiaTheme="majorEastAsia" w:hAnsiTheme="majorHAnsi" w:cstheme="majorBidi"/>
      <w:color w:val="404040" w:themeColor="text1" w:themeTint="BF"/>
      <w:sz w:val="20"/>
      <w:szCs w:val="20"/>
      <w:lang w:val="en-US"/>
    </w:rPr>
  </w:style>
  <w:style w:type="character" w:customStyle="1" w:styleId="Heading9Char">
    <w:name w:val="Heading 9 Char"/>
    <w:basedOn w:val="DefaultParagraphFont"/>
    <w:link w:val="Heading9"/>
    <w:uiPriority w:val="9"/>
    <w:semiHidden/>
    <w:rsid w:val="00EC0268"/>
    <w:rPr>
      <w:rFonts w:asciiTheme="majorHAnsi" w:eastAsiaTheme="majorEastAsia" w:hAnsiTheme="majorHAnsi" w:cstheme="majorBidi"/>
      <w:i/>
      <w:iCs/>
      <w:color w:val="404040" w:themeColor="text1" w:themeTint="BF"/>
      <w:sz w:val="20"/>
      <w:szCs w:val="20"/>
      <w:lang w:val="en-US"/>
    </w:rPr>
  </w:style>
  <w:style w:type="paragraph" w:customStyle="1" w:styleId="Quotationseparateparagraph">
    <w:name w:val="Quotation (separate paragraph)"/>
    <w:basedOn w:val="Normal"/>
    <w:uiPriority w:val="2"/>
    <w:rsid w:val="00DB13A7"/>
    <w:pPr>
      <w:ind w:left="567" w:right="567"/>
    </w:pPr>
    <w:rPr>
      <w:i/>
      <w:color w:val="4D4D4D"/>
    </w:rPr>
  </w:style>
  <w:style w:type="paragraph" w:styleId="Caption">
    <w:name w:val="caption"/>
    <w:basedOn w:val="Normal"/>
    <w:next w:val="BodyText"/>
    <w:uiPriority w:val="2"/>
    <w:semiHidden/>
    <w:rsid w:val="004F143B"/>
    <w:pPr>
      <w:keepNext/>
      <w:spacing w:before="200" w:after="140"/>
    </w:pPr>
    <w:rPr>
      <w:b/>
      <w:bCs/>
      <w:szCs w:val="18"/>
    </w:rPr>
  </w:style>
  <w:style w:type="paragraph" w:styleId="Bibliography">
    <w:name w:val="Bibliography"/>
    <w:basedOn w:val="Normal"/>
    <w:next w:val="Normal"/>
    <w:uiPriority w:val="7"/>
    <w:semiHidden/>
    <w:rsid w:val="00971D0C"/>
  </w:style>
  <w:style w:type="paragraph" w:styleId="TOC1">
    <w:name w:val="toc 1"/>
    <w:basedOn w:val="Normalcolour"/>
    <w:next w:val="Normal"/>
    <w:uiPriority w:val="39"/>
    <w:rsid w:val="00A81ADF"/>
    <w:pPr>
      <w:tabs>
        <w:tab w:val="right" w:leader="underscore" w:pos="9299"/>
      </w:tabs>
      <w:spacing w:before="200" w:after="0"/>
      <w:ind w:right="425"/>
    </w:pPr>
    <w:rPr>
      <w:b/>
      <w:sz w:val="26"/>
    </w:rPr>
  </w:style>
  <w:style w:type="paragraph" w:styleId="TOC2">
    <w:name w:val="toc 2"/>
    <w:basedOn w:val="Normal"/>
    <w:next w:val="Normal"/>
    <w:uiPriority w:val="39"/>
    <w:rsid w:val="00A81ADF"/>
    <w:pPr>
      <w:tabs>
        <w:tab w:val="right" w:leader="underscore" w:pos="9299"/>
      </w:tabs>
      <w:spacing w:after="0"/>
      <w:ind w:right="425"/>
    </w:pPr>
  </w:style>
  <w:style w:type="paragraph" w:styleId="TOC3">
    <w:name w:val="toc 3"/>
    <w:basedOn w:val="Normal"/>
    <w:next w:val="Normal"/>
    <w:uiPriority w:val="39"/>
    <w:rsid w:val="00A81ADF"/>
    <w:pPr>
      <w:tabs>
        <w:tab w:val="right" w:leader="underscore" w:pos="9299"/>
      </w:tabs>
      <w:spacing w:after="0"/>
      <w:ind w:left="284" w:right="425"/>
    </w:pPr>
  </w:style>
  <w:style w:type="paragraph" w:styleId="TOC4">
    <w:name w:val="toc 4"/>
    <w:basedOn w:val="Normal"/>
    <w:next w:val="Normal"/>
    <w:uiPriority w:val="39"/>
    <w:rsid w:val="00A81ADF"/>
    <w:pPr>
      <w:tabs>
        <w:tab w:val="right" w:leader="underscore" w:pos="9299"/>
      </w:tabs>
      <w:spacing w:after="0"/>
      <w:ind w:left="567" w:right="425"/>
    </w:pPr>
    <w:rPr>
      <w:sz w:val="22"/>
    </w:rPr>
  </w:style>
  <w:style w:type="paragraph" w:styleId="TOC5">
    <w:name w:val="toc 5"/>
    <w:basedOn w:val="Normal"/>
    <w:next w:val="Normal"/>
    <w:autoRedefine/>
    <w:uiPriority w:val="8"/>
    <w:rsid w:val="00A81ADF"/>
    <w:pPr>
      <w:tabs>
        <w:tab w:val="right" w:leader="dot" w:pos="9299"/>
      </w:tabs>
      <w:spacing w:after="0" w:line="260" w:lineRule="atLeast"/>
      <w:ind w:left="851" w:right="425"/>
    </w:pPr>
  </w:style>
  <w:style w:type="paragraph" w:styleId="TOC6">
    <w:name w:val="toc 6"/>
    <w:basedOn w:val="Normal"/>
    <w:next w:val="Normal"/>
    <w:autoRedefine/>
    <w:uiPriority w:val="39"/>
    <w:semiHidden/>
    <w:rsid w:val="00EC70DD"/>
    <w:pPr>
      <w:spacing w:after="100"/>
      <w:ind w:left="1100"/>
    </w:pPr>
  </w:style>
  <w:style w:type="paragraph" w:styleId="TOC7">
    <w:name w:val="toc 7"/>
    <w:basedOn w:val="Normal"/>
    <w:next w:val="Normal"/>
    <w:autoRedefine/>
    <w:uiPriority w:val="39"/>
    <w:semiHidden/>
    <w:rsid w:val="00EC70DD"/>
    <w:pPr>
      <w:spacing w:after="100"/>
      <w:ind w:left="1320"/>
    </w:pPr>
  </w:style>
  <w:style w:type="paragraph" w:styleId="TOC8">
    <w:name w:val="toc 8"/>
    <w:basedOn w:val="Normal"/>
    <w:next w:val="Normal"/>
    <w:autoRedefine/>
    <w:uiPriority w:val="39"/>
    <w:semiHidden/>
    <w:rsid w:val="00EC70DD"/>
    <w:pPr>
      <w:spacing w:after="100"/>
      <w:ind w:left="1540"/>
    </w:pPr>
  </w:style>
  <w:style w:type="paragraph" w:styleId="TOC9">
    <w:name w:val="toc 9"/>
    <w:basedOn w:val="Normal"/>
    <w:next w:val="Normal"/>
    <w:autoRedefine/>
    <w:uiPriority w:val="39"/>
    <w:semiHidden/>
    <w:rsid w:val="00EC70DD"/>
    <w:pPr>
      <w:spacing w:after="100"/>
      <w:ind w:left="1760"/>
    </w:pPr>
  </w:style>
  <w:style w:type="paragraph" w:styleId="TOCHeading">
    <w:name w:val="TOC Heading"/>
    <w:basedOn w:val="Heading1"/>
    <w:next w:val="BodyText"/>
    <w:uiPriority w:val="1"/>
    <w:rsid w:val="00A81ADF"/>
    <w:pPr>
      <w:outlineLvl w:val="9"/>
    </w:pPr>
  </w:style>
  <w:style w:type="paragraph" w:styleId="BodyText">
    <w:name w:val="Body Text"/>
    <w:basedOn w:val="Normal"/>
    <w:link w:val="BodyTextChar"/>
    <w:rsid w:val="00C7744C"/>
  </w:style>
  <w:style w:type="character" w:customStyle="1" w:styleId="BodyTextChar">
    <w:name w:val="Body Text Char"/>
    <w:basedOn w:val="DefaultParagraphFont"/>
    <w:link w:val="BodyText"/>
    <w:rsid w:val="005804D9"/>
    <w:rPr>
      <w:rFonts w:ascii="Calibri" w:hAnsi="Calibri"/>
      <w:color w:val="1E1E1E"/>
      <w:sz w:val="24"/>
    </w:rPr>
  </w:style>
  <w:style w:type="paragraph" w:styleId="CommentText">
    <w:name w:val="annotation text"/>
    <w:basedOn w:val="Normal"/>
    <w:link w:val="CommentTextChar"/>
    <w:uiPriority w:val="12"/>
    <w:semiHidden/>
    <w:rsid w:val="00002E2B"/>
    <w:pPr>
      <w:spacing w:line="240" w:lineRule="auto"/>
    </w:pPr>
    <w:rPr>
      <w:sz w:val="22"/>
      <w:szCs w:val="20"/>
    </w:rPr>
  </w:style>
  <w:style w:type="character" w:customStyle="1" w:styleId="CommentTextChar">
    <w:name w:val="Comment Text Char"/>
    <w:basedOn w:val="DefaultParagraphFont"/>
    <w:link w:val="CommentText"/>
    <w:uiPriority w:val="12"/>
    <w:semiHidden/>
    <w:rsid w:val="00002E2B"/>
    <w:rPr>
      <w:rFonts w:ascii="Calibri" w:hAnsi="Calibri"/>
      <w:color w:val="1E1E1E"/>
      <w:szCs w:val="20"/>
    </w:rPr>
  </w:style>
  <w:style w:type="paragraph" w:styleId="CommentSubject">
    <w:name w:val="annotation subject"/>
    <w:basedOn w:val="CommentText"/>
    <w:next w:val="CommentText"/>
    <w:link w:val="CommentSubjectChar"/>
    <w:uiPriority w:val="12"/>
    <w:semiHidden/>
    <w:rsid w:val="00EC70DD"/>
    <w:rPr>
      <w:b/>
      <w:bCs/>
    </w:rPr>
  </w:style>
  <w:style w:type="character" w:customStyle="1" w:styleId="CommentSubjectChar">
    <w:name w:val="Comment Subject Char"/>
    <w:basedOn w:val="CommentTextChar"/>
    <w:link w:val="CommentSubject"/>
    <w:uiPriority w:val="12"/>
    <w:semiHidden/>
    <w:rsid w:val="00D933EF"/>
    <w:rPr>
      <w:rFonts w:ascii="Calibri" w:hAnsi="Calibri"/>
      <w:b/>
      <w:bCs/>
      <w:color w:val="1E1E1E"/>
      <w:sz w:val="20"/>
      <w:szCs w:val="20"/>
    </w:rPr>
  </w:style>
  <w:style w:type="paragraph" w:styleId="Date">
    <w:name w:val="Date"/>
    <w:basedOn w:val="Normal"/>
    <w:next w:val="Normal"/>
    <w:link w:val="DateChar"/>
    <w:uiPriority w:val="99"/>
    <w:semiHidden/>
    <w:rsid w:val="00EC70DD"/>
  </w:style>
  <w:style w:type="character" w:customStyle="1" w:styleId="DateChar">
    <w:name w:val="Date Char"/>
    <w:basedOn w:val="DefaultParagraphFont"/>
    <w:link w:val="Date"/>
    <w:uiPriority w:val="99"/>
    <w:semiHidden/>
    <w:rsid w:val="00971D0C"/>
    <w:rPr>
      <w:rFonts w:ascii="Calibri" w:hAnsi="Calibri"/>
      <w:color w:val="1E1E1E"/>
    </w:rPr>
  </w:style>
  <w:style w:type="paragraph" w:styleId="E-mailSignature">
    <w:name w:val="E-mail Signature"/>
    <w:basedOn w:val="Normal"/>
    <w:link w:val="E-mailSignatureChar"/>
    <w:uiPriority w:val="99"/>
    <w:semiHidden/>
    <w:rsid w:val="00EC70DD"/>
    <w:pPr>
      <w:spacing w:after="0" w:line="240" w:lineRule="auto"/>
    </w:pPr>
  </w:style>
  <w:style w:type="character" w:customStyle="1" w:styleId="E-mailSignatureChar">
    <w:name w:val="E-mail Signature Char"/>
    <w:basedOn w:val="DefaultParagraphFont"/>
    <w:link w:val="E-mailSignature"/>
    <w:uiPriority w:val="99"/>
    <w:semiHidden/>
    <w:rsid w:val="00EC0268"/>
    <w:rPr>
      <w:lang w:val="en-US"/>
    </w:rPr>
  </w:style>
  <w:style w:type="paragraph" w:styleId="EndnoteText">
    <w:name w:val="endnote text"/>
    <w:basedOn w:val="Normal"/>
    <w:link w:val="EndnoteTextChar"/>
    <w:uiPriority w:val="7"/>
    <w:rsid w:val="00DB13A7"/>
    <w:pPr>
      <w:tabs>
        <w:tab w:val="left" w:pos="284"/>
      </w:tabs>
      <w:spacing w:after="80" w:line="230" w:lineRule="atLeast"/>
      <w:ind w:left="284" w:hanging="284"/>
    </w:pPr>
    <w:rPr>
      <w:color w:val="4D4D4D"/>
      <w:sz w:val="20"/>
      <w:szCs w:val="20"/>
    </w:rPr>
  </w:style>
  <w:style w:type="character" w:customStyle="1" w:styleId="EndnoteTextChar">
    <w:name w:val="Endnote Text Char"/>
    <w:basedOn w:val="DefaultParagraphFont"/>
    <w:link w:val="EndnoteText"/>
    <w:uiPriority w:val="7"/>
    <w:rsid w:val="0008407D"/>
    <w:rPr>
      <w:rFonts w:ascii="Calibri" w:hAnsi="Calibri"/>
      <w:color w:val="4D4D4D"/>
      <w:sz w:val="20"/>
      <w:szCs w:val="20"/>
    </w:rPr>
  </w:style>
  <w:style w:type="paragraph" w:styleId="EnvelopeAddress">
    <w:name w:val="envelope address"/>
    <w:basedOn w:val="Normal"/>
    <w:uiPriority w:val="99"/>
    <w:semiHidden/>
    <w:rsid w:val="00EC70DD"/>
    <w:pPr>
      <w:framePr w:w="7920" w:h="1980" w:hRule="exact" w:hSpace="180" w:wrap="auto" w:hAnchor="page" w:xAlign="center" w:yAlign="bottom"/>
      <w:spacing w:after="0" w:line="240" w:lineRule="auto"/>
      <w:ind w:left="2880"/>
    </w:pPr>
    <w:rPr>
      <w:rFonts w:asciiTheme="majorHAnsi" w:eastAsiaTheme="majorEastAsia" w:hAnsiTheme="majorHAnsi" w:cstheme="majorBidi"/>
      <w:szCs w:val="24"/>
    </w:rPr>
  </w:style>
  <w:style w:type="paragraph" w:styleId="EnvelopeReturn">
    <w:name w:val="envelope return"/>
    <w:basedOn w:val="Normal"/>
    <w:uiPriority w:val="99"/>
    <w:semiHidden/>
    <w:rsid w:val="00EC70DD"/>
    <w:pPr>
      <w:spacing w:after="0" w:line="240" w:lineRule="auto"/>
    </w:pPr>
    <w:rPr>
      <w:rFonts w:asciiTheme="majorHAnsi" w:eastAsiaTheme="majorEastAsia" w:hAnsiTheme="majorHAnsi" w:cstheme="majorBidi"/>
      <w:sz w:val="20"/>
      <w:szCs w:val="20"/>
    </w:rPr>
  </w:style>
  <w:style w:type="paragraph" w:styleId="Footer">
    <w:name w:val="footer"/>
    <w:basedOn w:val="Normal"/>
    <w:link w:val="FooterChar"/>
    <w:uiPriority w:val="10"/>
    <w:rsid w:val="00AD2A3D"/>
    <w:pPr>
      <w:tabs>
        <w:tab w:val="right" w:pos="14232"/>
      </w:tabs>
      <w:spacing w:after="0" w:line="240" w:lineRule="auto"/>
    </w:pPr>
    <w:rPr>
      <w:color w:val="696969"/>
      <w:sz w:val="20"/>
    </w:rPr>
  </w:style>
  <w:style w:type="character" w:customStyle="1" w:styleId="FooterChar">
    <w:name w:val="Footer Char"/>
    <w:basedOn w:val="DefaultParagraphFont"/>
    <w:link w:val="Footer"/>
    <w:uiPriority w:val="10"/>
    <w:rsid w:val="00E37131"/>
    <w:rPr>
      <w:rFonts w:ascii="Calibri" w:hAnsi="Calibri"/>
      <w:color w:val="696969"/>
      <w:sz w:val="20"/>
    </w:rPr>
  </w:style>
  <w:style w:type="paragraph" w:styleId="FootnoteText">
    <w:name w:val="footnote text"/>
    <w:basedOn w:val="Normal"/>
    <w:link w:val="FootnoteTextChar"/>
    <w:rsid w:val="00DB13A7"/>
    <w:pPr>
      <w:tabs>
        <w:tab w:val="left" w:pos="284"/>
      </w:tabs>
      <w:spacing w:after="80" w:line="230" w:lineRule="atLeast"/>
      <w:ind w:left="284" w:hanging="284"/>
    </w:pPr>
    <w:rPr>
      <w:color w:val="4D4D4D"/>
      <w:sz w:val="20"/>
      <w:szCs w:val="20"/>
    </w:rPr>
  </w:style>
  <w:style w:type="character" w:customStyle="1" w:styleId="FootnoteTextChar">
    <w:name w:val="Footnote Text Char"/>
    <w:basedOn w:val="DefaultParagraphFont"/>
    <w:link w:val="FootnoteText"/>
    <w:rsid w:val="00DA1214"/>
    <w:rPr>
      <w:rFonts w:ascii="Calibri" w:hAnsi="Calibri"/>
      <w:color w:val="4D4D4D"/>
      <w:sz w:val="20"/>
      <w:szCs w:val="20"/>
    </w:rPr>
  </w:style>
  <w:style w:type="paragraph" w:styleId="Header">
    <w:name w:val="header"/>
    <w:basedOn w:val="Normal"/>
    <w:link w:val="HeaderChar"/>
    <w:rsid w:val="00AD2A3D"/>
    <w:pPr>
      <w:tabs>
        <w:tab w:val="right" w:pos="9299"/>
      </w:tabs>
      <w:spacing w:after="0" w:line="240" w:lineRule="auto"/>
    </w:pPr>
    <w:rPr>
      <w:color w:val="696969"/>
      <w:sz w:val="20"/>
    </w:rPr>
  </w:style>
  <w:style w:type="character" w:customStyle="1" w:styleId="HeaderChar">
    <w:name w:val="Header Char"/>
    <w:basedOn w:val="DefaultParagraphFont"/>
    <w:link w:val="Header"/>
    <w:rsid w:val="00002E2B"/>
    <w:rPr>
      <w:rFonts w:ascii="Calibri" w:hAnsi="Calibri"/>
      <w:color w:val="696969"/>
      <w:sz w:val="20"/>
    </w:rPr>
  </w:style>
  <w:style w:type="paragraph" w:styleId="HTMLAddress">
    <w:name w:val="HTML Address"/>
    <w:basedOn w:val="Normal"/>
    <w:link w:val="HTMLAddressChar"/>
    <w:uiPriority w:val="87"/>
    <w:semiHidden/>
    <w:rsid w:val="00EC70DD"/>
    <w:pPr>
      <w:spacing w:after="0" w:line="240" w:lineRule="auto"/>
    </w:pPr>
    <w:rPr>
      <w:i/>
      <w:iCs/>
    </w:rPr>
  </w:style>
  <w:style w:type="character" w:customStyle="1" w:styleId="HTMLAddressChar">
    <w:name w:val="HTML Address Char"/>
    <w:basedOn w:val="DefaultParagraphFont"/>
    <w:link w:val="HTMLAddress"/>
    <w:uiPriority w:val="87"/>
    <w:semiHidden/>
    <w:rsid w:val="00D933EF"/>
    <w:rPr>
      <w:rFonts w:ascii="Calibri" w:hAnsi="Calibri"/>
      <w:i/>
      <w:iCs/>
      <w:color w:val="1E1E1E"/>
    </w:rPr>
  </w:style>
  <w:style w:type="paragraph" w:styleId="HTMLPreformatted">
    <w:name w:val="HTML Preformatted"/>
    <w:basedOn w:val="Normal"/>
    <w:link w:val="HTMLPreformattedChar"/>
    <w:uiPriority w:val="87"/>
    <w:semiHidden/>
    <w:rsid w:val="00EC70DD"/>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87"/>
    <w:semiHidden/>
    <w:rsid w:val="00D933EF"/>
    <w:rPr>
      <w:rFonts w:ascii="Consolas" w:hAnsi="Consolas"/>
      <w:color w:val="1E1E1E"/>
      <w:sz w:val="20"/>
      <w:szCs w:val="20"/>
    </w:rPr>
  </w:style>
  <w:style w:type="paragraph" w:styleId="Index1">
    <w:name w:val="index 1"/>
    <w:basedOn w:val="Normal"/>
    <w:next w:val="Normal"/>
    <w:autoRedefine/>
    <w:uiPriority w:val="11"/>
    <w:semiHidden/>
    <w:rsid w:val="00002E2B"/>
    <w:pPr>
      <w:spacing w:after="0"/>
      <w:ind w:left="220" w:hanging="220"/>
    </w:pPr>
    <w:rPr>
      <w:szCs w:val="18"/>
    </w:rPr>
  </w:style>
  <w:style w:type="paragraph" w:styleId="Index2">
    <w:name w:val="index 2"/>
    <w:basedOn w:val="Normal"/>
    <w:next w:val="Normal"/>
    <w:autoRedefine/>
    <w:uiPriority w:val="11"/>
    <w:semiHidden/>
    <w:rsid w:val="00002E2B"/>
    <w:pPr>
      <w:spacing w:after="0"/>
      <w:ind w:left="440" w:hanging="220"/>
    </w:pPr>
    <w:rPr>
      <w:szCs w:val="18"/>
    </w:rPr>
  </w:style>
  <w:style w:type="paragraph" w:styleId="Index3">
    <w:name w:val="index 3"/>
    <w:basedOn w:val="Normal"/>
    <w:next w:val="Normal"/>
    <w:autoRedefine/>
    <w:uiPriority w:val="11"/>
    <w:semiHidden/>
    <w:rsid w:val="00002E2B"/>
    <w:pPr>
      <w:spacing w:after="0"/>
      <w:ind w:left="660" w:hanging="220"/>
    </w:pPr>
    <w:rPr>
      <w:szCs w:val="18"/>
    </w:rPr>
  </w:style>
  <w:style w:type="paragraph" w:styleId="Index4">
    <w:name w:val="index 4"/>
    <w:basedOn w:val="Normal"/>
    <w:next w:val="Normal"/>
    <w:autoRedefine/>
    <w:uiPriority w:val="11"/>
    <w:semiHidden/>
    <w:rsid w:val="00002E2B"/>
    <w:pPr>
      <w:spacing w:after="0"/>
      <w:ind w:left="880" w:hanging="220"/>
    </w:pPr>
    <w:rPr>
      <w:szCs w:val="18"/>
    </w:rPr>
  </w:style>
  <w:style w:type="paragraph" w:styleId="Index5">
    <w:name w:val="index 5"/>
    <w:basedOn w:val="Normal"/>
    <w:next w:val="Normal"/>
    <w:autoRedefine/>
    <w:uiPriority w:val="11"/>
    <w:semiHidden/>
    <w:rsid w:val="00002E2B"/>
    <w:pPr>
      <w:spacing w:after="0"/>
      <w:ind w:left="1100" w:hanging="220"/>
    </w:pPr>
    <w:rPr>
      <w:szCs w:val="18"/>
    </w:rPr>
  </w:style>
  <w:style w:type="paragraph" w:styleId="Index6">
    <w:name w:val="index 6"/>
    <w:basedOn w:val="Normal"/>
    <w:next w:val="Normal"/>
    <w:autoRedefine/>
    <w:uiPriority w:val="11"/>
    <w:semiHidden/>
    <w:rsid w:val="00002E2B"/>
    <w:pPr>
      <w:spacing w:after="0"/>
      <w:ind w:left="1320" w:hanging="220"/>
    </w:pPr>
    <w:rPr>
      <w:szCs w:val="18"/>
    </w:rPr>
  </w:style>
  <w:style w:type="paragraph" w:styleId="Index7">
    <w:name w:val="index 7"/>
    <w:basedOn w:val="Normal"/>
    <w:next w:val="Normal"/>
    <w:autoRedefine/>
    <w:uiPriority w:val="11"/>
    <w:semiHidden/>
    <w:rsid w:val="00002E2B"/>
    <w:pPr>
      <w:spacing w:after="0"/>
      <w:ind w:left="1540" w:hanging="220"/>
    </w:pPr>
    <w:rPr>
      <w:szCs w:val="18"/>
    </w:rPr>
  </w:style>
  <w:style w:type="paragraph" w:styleId="Index8">
    <w:name w:val="index 8"/>
    <w:basedOn w:val="Normal"/>
    <w:next w:val="Normal"/>
    <w:autoRedefine/>
    <w:uiPriority w:val="11"/>
    <w:semiHidden/>
    <w:rsid w:val="00002E2B"/>
    <w:pPr>
      <w:spacing w:after="0"/>
      <w:ind w:left="1760" w:hanging="220"/>
    </w:pPr>
    <w:rPr>
      <w:szCs w:val="18"/>
    </w:rPr>
  </w:style>
  <w:style w:type="paragraph" w:styleId="Index9">
    <w:name w:val="index 9"/>
    <w:basedOn w:val="Normal"/>
    <w:next w:val="Normal"/>
    <w:autoRedefine/>
    <w:uiPriority w:val="11"/>
    <w:semiHidden/>
    <w:rsid w:val="00002E2B"/>
    <w:pPr>
      <w:spacing w:after="0"/>
      <w:ind w:left="1980" w:hanging="220"/>
    </w:pPr>
    <w:rPr>
      <w:szCs w:val="18"/>
    </w:rPr>
  </w:style>
  <w:style w:type="paragraph" w:styleId="IndexHeading">
    <w:name w:val="index heading"/>
    <w:basedOn w:val="Normalcolour"/>
    <w:next w:val="Index1"/>
    <w:uiPriority w:val="1"/>
    <w:semiHidden/>
    <w:rsid w:val="00A81ADF"/>
    <w:pPr>
      <w:pBdr>
        <w:bottom w:val="single" w:sz="8" w:space="1" w:color="00ADC6"/>
      </w:pBdr>
      <w:spacing w:before="200" w:after="60"/>
    </w:pPr>
    <w:rPr>
      <w:rFonts w:eastAsiaTheme="majorEastAsia" w:cstheme="majorBidi"/>
      <w:b/>
      <w:bCs/>
      <w:sz w:val="26"/>
    </w:rPr>
  </w:style>
  <w:style w:type="paragraph" w:styleId="ListBullet2">
    <w:name w:val="List Bullet 2"/>
    <w:basedOn w:val="Normal"/>
    <w:uiPriority w:val="3"/>
    <w:rsid w:val="00DB13A7"/>
    <w:pPr>
      <w:numPr>
        <w:ilvl w:val="1"/>
        <w:numId w:val="4"/>
      </w:numPr>
    </w:pPr>
  </w:style>
  <w:style w:type="paragraph" w:styleId="ListBullet3">
    <w:name w:val="List Bullet 3"/>
    <w:basedOn w:val="Normal"/>
    <w:uiPriority w:val="3"/>
    <w:rsid w:val="00DB13A7"/>
    <w:pPr>
      <w:numPr>
        <w:ilvl w:val="2"/>
        <w:numId w:val="4"/>
      </w:numPr>
    </w:pPr>
  </w:style>
  <w:style w:type="paragraph" w:styleId="ListBullet4">
    <w:name w:val="List Bullet 4"/>
    <w:basedOn w:val="Normal"/>
    <w:uiPriority w:val="3"/>
    <w:rsid w:val="00DB13A7"/>
    <w:pPr>
      <w:numPr>
        <w:ilvl w:val="3"/>
        <w:numId w:val="4"/>
      </w:numPr>
    </w:pPr>
  </w:style>
  <w:style w:type="paragraph" w:styleId="ListContinue">
    <w:name w:val="List Continue"/>
    <w:basedOn w:val="Normal"/>
    <w:uiPriority w:val="4"/>
    <w:rsid w:val="00DB13A7"/>
    <w:pPr>
      <w:ind w:left="567"/>
    </w:pPr>
  </w:style>
  <w:style w:type="paragraph" w:styleId="ListContinue2">
    <w:name w:val="List Continue 2"/>
    <w:basedOn w:val="Normal"/>
    <w:uiPriority w:val="4"/>
    <w:rsid w:val="00DB13A7"/>
    <w:pPr>
      <w:ind w:left="1134"/>
    </w:pPr>
  </w:style>
  <w:style w:type="paragraph" w:styleId="ListContinue3">
    <w:name w:val="List Continue 3"/>
    <w:basedOn w:val="Normal"/>
    <w:uiPriority w:val="4"/>
    <w:rsid w:val="00DB13A7"/>
    <w:pPr>
      <w:ind w:left="1701"/>
    </w:pPr>
  </w:style>
  <w:style w:type="paragraph" w:styleId="ListContinue4">
    <w:name w:val="List Continue 4"/>
    <w:basedOn w:val="Normal"/>
    <w:uiPriority w:val="4"/>
    <w:rsid w:val="00DB13A7"/>
    <w:pPr>
      <w:ind w:left="2268"/>
    </w:pPr>
  </w:style>
  <w:style w:type="paragraph" w:styleId="ListContinue5">
    <w:name w:val="List Continue 5"/>
    <w:basedOn w:val="Normal"/>
    <w:uiPriority w:val="99"/>
    <w:semiHidden/>
    <w:rsid w:val="00DB13A7"/>
    <w:pPr>
      <w:spacing w:after="120"/>
      <w:ind w:left="1415"/>
      <w:contextualSpacing/>
    </w:pPr>
  </w:style>
  <w:style w:type="paragraph" w:styleId="ListNumber2">
    <w:name w:val="List Number 2"/>
    <w:basedOn w:val="Normal"/>
    <w:uiPriority w:val="5"/>
    <w:rsid w:val="00DB13A7"/>
    <w:pPr>
      <w:numPr>
        <w:ilvl w:val="1"/>
        <w:numId w:val="5"/>
      </w:numPr>
    </w:pPr>
  </w:style>
  <w:style w:type="paragraph" w:styleId="ListNumber3">
    <w:name w:val="List Number 3"/>
    <w:basedOn w:val="Normal"/>
    <w:uiPriority w:val="5"/>
    <w:rsid w:val="00DB13A7"/>
    <w:pPr>
      <w:numPr>
        <w:ilvl w:val="2"/>
        <w:numId w:val="5"/>
      </w:numPr>
    </w:pPr>
  </w:style>
  <w:style w:type="paragraph" w:styleId="NormalWeb">
    <w:name w:val="Normal (Web)"/>
    <w:basedOn w:val="Normal"/>
    <w:uiPriority w:val="97"/>
    <w:semiHidden/>
    <w:rsid w:val="00B52654"/>
    <w:rPr>
      <w:rFonts w:cs="Times New Roman"/>
      <w:szCs w:val="24"/>
    </w:rPr>
  </w:style>
  <w:style w:type="paragraph" w:styleId="TableofAuthorities">
    <w:name w:val="table of authorities"/>
    <w:basedOn w:val="Normal"/>
    <w:next w:val="Normal"/>
    <w:uiPriority w:val="9"/>
    <w:semiHidden/>
    <w:rsid w:val="00DB13A7"/>
    <w:pPr>
      <w:spacing w:after="0"/>
      <w:ind w:left="220" w:hanging="220"/>
    </w:pPr>
  </w:style>
  <w:style w:type="paragraph" w:styleId="TableofFigures">
    <w:name w:val="table of figures"/>
    <w:basedOn w:val="Normal"/>
    <w:next w:val="BodyText"/>
    <w:uiPriority w:val="8"/>
    <w:semiHidden/>
    <w:rsid w:val="00DB13A7"/>
    <w:pPr>
      <w:spacing w:after="0"/>
    </w:pPr>
  </w:style>
  <w:style w:type="paragraph" w:styleId="TOAHeading">
    <w:name w:val="toa heading"/>
    <w:basedOn w:val="Normal"/>
    <w:next w:val="Normal"/>
    <w:uiPriority w:val="9"/>
    <w:semiHidden/>
    <w:rsid w:val="00EC70DD"/>
    <w:pPr>
      <w:spacing w:before="120"/>
    </w:pPr>
    <w:rPr>
      <w:rFonts w:asciiTheme="majorHAnsi" w:eastAsiaTheme="majorEastAsia" w:hAnsiTheme="majorHAnsi" w:cstheme="majorBidi"/>
      <w:b/>
      <w:bCs/>
      <w:szCs w:val="24"/>
    </w:rPr>
  </w:style>
  <w:style w:type="paragraph" w:customStyle="1" w:styleId="Normalcolour">
    <w:name w:val="Normal colour"/>
    <w:basedOn w:val="Normal"/>
    <w:uiPriority w:val="98"/>
    <w:semiHidden/>
    <w:qFormat/>
    <w:rsid w:val="00A81ADF"/>
    <w:rPr>
      <w:color w:val="00ADC6"/>
    </w:rPr>
  </w:style>
  <w:style w:type="character" w:styleId="PageNumber">
    <w:name w:val="page number"/>
    <w:basedOn w:val="DefaultParagraphFont"/>
    <w:rsid w:val="00A81ADF"/>
    <w:rPr>
      <w:b/>
      <w:color w:val="1E1E1E"/>
      <w:sz w:val="20"/>
    </w:rPr>
  </w:style>
  <w:style w:type="paragraph" w:customStyle="1" w:styleId="Heading1line">
    <w:name w:val="Heading 1 line"/>
    <w:basedOn w:val="Normal"/>
    <w:next w:val="BodyText"/>
    <w:uiPriority w:val="1"/>
    <w:rsid w:val="00A81ADF"/>
    <w:pPr>
      <w:pBdr>
        <w:bottom w:val="single" w:sz="4" w:space="1" w:color="696969"/>
      </w:pBdr>
      <w:spacing w:before="200" w:line="240" w:lineRule="auto"/>
    </w:pPr>
    <w:rPr>
      <w:color w:val="696969"/>
    </w:rPr>
  </w:style>
  <w:style w:type="table" w:styleId="TableGrid">
    <w:name w:val="Table Grid"/>
    <w:basedOn w:val="TableNormal"/>
    <w:uiPriority w:val="59"/>
    <w:rsid w:val="00DB13A7"/>
    <w:pPr>
      <w:spacing w:line="240" w:lineRule="atLeast"/>
    </w:pPr>
    <w:rPr>
      <w:rFonts w:ascii="Calibri" w:hAnsi="Calibri"/>
    </w:rPr>
    <w:tblPr>
      <w:tblStyleRowBandSize w:val="1"/>
      <w:tblStyleColBandSize w:val="1"/>
      <w:tblInd w:w="113"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
    <w:tblStylePr w:type="firstRow">
      <w:tblPr/>
      <w:trPr>
        <w:tblHeader/>
      </w:trPr>
      <w:tcPr>
        <w:tcBorders>
          <w:top w:val="single" w:sz="4" w:space="0" w:color="A6A6A6" w:themeColor="background1" w:themeShade="A6"/>
          <w:left w:val="single" w:sz="4" w:space="0" w:color="595959"/>
          <w:bottom w:val="single" w:sz="4" w:space="0" w:color="A6A6A6" w:themeColor="background1" w:themeShade="A6"/>
          <w:right w:val="single" w:sz="4" w:space="0" w:color="595959"/>
          <w:insideH w:val="single" w:sz="4" w:space="0" w:color="A6A6A6" w:themeColor="background1" w:themeShade="A6"/>
          <w:insideV w:val="single" w:sz="4" w:space="0" w:color="A6A6A6" w:themeColor="background1" w:themeShade="A6"/>
          <w:tl2br w:val="nil"/>
          <w:tr2bl w:val="nil"/>
        </w:tcBorders>
        <w:shd w:val="clear" w:color="auto" w:fill="595959"/>
      </w:tcPr>
    </w:tblStylePr>
    <w:tblStylePr w:type="lastRow">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D3D3D3"/>
      </w:tcPr>
    </w:tblStylePr>
    <w:tblStylePr w:type="firstCol">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D3D3D3"/>
      </w:tcPr>
    </w:tblStylePr>
    <w:tblStylePr w:type="lastCol">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D3D3D3"/>
      </w:tcPr>
    </w:tblStylePr>
    <w:tblStylePr w:type="band1Vert">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E9E9E9"/>
      </w:tcPr>
    </w:tblStylePr>
    <w:tblStylePr w:type="band2Vert">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tcPr>
    </w:tblStylePr>
    <w:tblStylePr w:type="band1Horz">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E9E9E9"/>
      </w:tcPr>
    </w:tblStylePr>
    <w:tblStylePr w:type="band2Horz">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tcPr>
    </w:tblStylePr>
  </w:style>
  <w:style w:type="paragraph" w:customStyle="1" w:styleId="Tableheadingrow1">
    <w:name w:val="Table heading row 1"/>
    <w:basedOn w:val="Normal"/>
    <w:uiPriority w:val="1"/>
    <w:qFormat/>
    <w:rsid w:val="00DB13A7"/>
    <w:pPr>
      <w:keepNext/>
      <w:spacing w:before="60" w:after="60" w:line="240" w:lineRule="auto"/>
    </w:pPr>
    <w:rPr>
      <w:color w:val="FFFFFF" w:themeColor="background1"/>
    </w:rPr>
  </w:style>
  <w:style w:type="paragraph" w:customStyle="1" w:styleId="Listoutline1-1">
    <w:name w:val="List outline 1 - 1."/>
    <w:basedOn w:val="BodyText"/>
    <w:uiPriority w:val="6"/>
    <w:semiHidden/>
    <w:rsid w:val="00DB13A7"/>
    <w:pPr>
      <w:numPr>
        <w:numId w:val="6"/>
      </w:numPr>
    </w:pPr>
  </w:style>
  <w:style w:type="paragraph" w:customStyle="1" w:styleId="Listoutline2-11">
    <w:name w:val="List outline 2 - 1.1"/>
    <w:basedOn w:val="Normal"/>
    <w:uiPriority w:val="6"/>
    <w:semiHidden/>
    <w:rsid w:val="00DB13A7"/>
    <w:pPr>
      <w:numPr>
        <w:ilvl w:val="1"/>
        <w:numId w:val="6"/>
      </w:numPr>
    </w:pPr>
  </w:style>
  <w:style w:type="paragraph" w:customStyle="1" w:styleId="Listoutline3-111">
    <w:name w:val="List outline 3 - 1.1.1"/>
    <w:basedOn w:val="Normal"/>
    <w:uiPriority w:val="6"/>
    <w:semiHidden/>
    <w:rsid w:val="00DB13A7"/>
    <w:pPr>
      <w:numPr>
        <w:ilvl w:val="2"/>
        <w:numId w:val="6"/>
      </w:numPr>
    </w:pPr>
  </w:style>
  <w:style w:type="paragraph" w:customStyle="1" w:styleId="Listoutline4-a">
    <w:name w:val="List outline 4 - a."/>
    <w:basedOn w:val="Normal"/>
    <w:uiPriority w:val="6"/>
    <w:semiHidden/>
    <w:rsid w:val="00DB13A7"/>
    <w:pPr>
      <w:numPr>
        <w:ilvl w:val="3"/>
        <w:numId w:val="6"/>
      </w:numPr>
    </w:pPr>
  </w:style>
  <w:style w:type="character" w:styleId="Hyperlink">
    <w:name w:val="Hyperlink"/>
    <w:basedOn w:val="DefaultParagraphFont"/>
    <w:uiPriority w:val="99"/>
    <w:rsid w:val="00A81ADF"/>
    <w:rPr>
      <w:color w:val="0D6AB8"/>
      <w:u w:val="single"/>
    </w:rPr>
  </w:style>
  <w:style w:type="paragraph" w:customStyle="1" w:styleId="Heading2-Start">
    <w:name w:val="Heading 2 - Start"/>
    <w:basedOn w:val="Heading2"/>
    <w:next w:val="BodyText"/>
    <w:uiPriority w:val="1"/>
    <w:qFormat/>
    <w:rsid w:val="00A81ADF"/>
    <w:pPr>
      <w:spacing w:before="200"/>
    </w:pPr>
  </w:style>
  <w:style w:type="paragraph" w:customStyle="1" w:styleId="Quotationparagraphbefore">
    <w:name w:val="Quotation (paragraph before)"/>
    <w:basedOn w:val="Normal"/>
    <w:next w:val="Quotationseparateparagraph"/>
    <w:uiPriority w:val="2"/>
    <w:rsid w:val="00DB13A7"/>
    <w:pPr>
      <w:spacing w:after="120"/>
    </w:pPr>
  </w:style>
  <w:style w:type="character" w:styleId="Emphasis">
    <w:name w:val="Emphasis"/>
    <w:basedOn w:val="DefaultParagraphFont"/>
    <w:uiPriority w:val="2"/>
    <w:rsid w:val="00A81ADF"/>
    <w:rPr>
      <w:b/>
      <w:iCs/>
      <w:color w:val="1E1E1E"/>
    </w:rPr>
  </w:style>
  <w:style w:type="paragraph" w:customStyle="1" w:styleId="Listcheckbox">
    <w:name w:val="List check box"/>
    <w:basedOn w:val="BodyText"/>
    <w:uiPriority w:val="3"/>
    <w:rsid w:val="00DE17A1"/>
  </w:style>
  <w:style w:type="paragraph" w:customStyle="1" w:styleId="Boxsmalltext">
    <w:name w:val="Box small text"/>
    <w:basedOn w:val="Normalcolour"/>
    <w:uiPriority w:val="2"/>
    <w:rsid w:val="00A81ADF"/>
    <w:rPr>
      <w:color w:val="1E1E1E"/>
    </w:rPr>
  </w:style>
  <w:style w:type="paragraph" w:customStyle="1" w:styleId="Boxlargetext">
    <w:name w:val="Box large text"/>
    <w:basedOn w:val="Normalcolour"/>
    <w:uiPriority w:val="2"/>
    <w:rsid w:val="00A81ADF"/>
    <w:pPr>
      <w:spacing w:line="320" w:lineRule="atLeast"/>
    </w:pPr>
    <w:rPr>
      <w:sz w:val="26"/>
    </w:rPr>
  </w:style>
  <w:style w:type="paragraph" w:customStyle="1" w:styleId="Listoutline5-i">
    <w:name w:val="List outline 5 - i."/>
    <w:basedOn w:val="Normal"/>
    <w:uiPriority w:val="6"/>
    <w:semiHidden/>
    <w:rsid w:val="00DB13A7"/>
    <w:pPr>
      <w:numPr>
        <w:ilvl w:val="4"/>
        <w:numId w:val="6"/>
      </w:numPr>
    </w:pPr>
  </w:style>
  <w:style w:type="character" w:styleId="EndnoteReference">
    <w:name w:val="endnote reference"/>
    <w:basedOn w:val="DefaultParagraphFont"/>
    <w:uiPriority w:val="7"/>
    <w:rsid w:val="00DB13A7"/>
    <w:rPr>
      <w:color w:val="4D4D4D"/>
      <w:sz w:val="20"/>
      <w:vertAlign w:val="superscript"/>
    </w:rPr>
  </w:style>
  <w:style w:type="paragraph" w:customStyle="1" w:styleId="HeadingAppendix">
    <w:name w:val="Heading Appendix"/>
    <w:basedOn w:val="Heading1"/>
    <w:next w:val="BodyText"/>
    <w:uiPriority w:val="1"/>
    <w:qFormat/>
    <w:rsid w:val="00A81ADF"/>
    <w:pPr>
      <w:pageBreakBefore/>
      <w:numPr>
        <w:numId w:val="19"/>
      </w:numPr>
    </w:pPr>
  </w:style>
  <w:style w:type="table" w:customStyle="1" w:styleId="TableGridnoborders">
    <w:name w:val="Table Grid (no borders)"/>
    <w:basedOn w:val="TableNormal"/>
    <w:uiPriority w:val="99"/>
    <w:rsid w:val="00A81ADF"/>
    <w:pPr>
      <w:spacing w:line="240" w:lineRule="atLeast"/>
    </w:pPr>
    <w:rPr>
      <w:rFonts w:ascii="Calibri" w:hAnsi="Calibri"/>
      <w:sz w:val="24"/>
    </w:rPr>
    <w:tblPr>
      <w:tblInd w:w="113" w:type="dxa"/>
      <w:tblCellMar>
        <w:top w:w="28" w:type="dxa"/>
        <w:bottom w:w="28" w:type="dxa"/>
      </w:tblCellMar>
    </w:tblPr>
    <w:tcPr>
      <w:shd w:val="clear" w:color="auto" w:fill="FFFFFF" w:themeFill="background1"/>
    </w:tcPr>
  </w:style>
  <w:style w:type="paragraph" w:customStyle="1" w:styleId="Heading1-Sub">
    <w:name w:val="Heading 1 - Sub"/>
    <w:basedOn w:val="Normal"/>
    <w:uiPriority w:val="1"/>
    <w:rsid w:val="00BD48C3"/>
    <w:pPr>
      <w:tabs>
        <w:tab w:val="left" w:pos="2552"/>
      </w:tabs>
      <w:spacing w:after="0"/>
      <w:ind w:left="2552" w:hanging="2552"/>
    </w:pPr>
    <w:rPr>
      <w:b/>
    </w:rPr>
  </w:style>
  <w:style w:type="paragraph" w:customStyle="1" w:styleId="Whitespace">
    <w:name w:val="White space"/>
    <w:basedOn w:val="BodyText"/>
    <w:uiPriority w:val="2"/>
    <w:rsid w:val="00DB13A7"/>
    <w:pPr>
      <w:spacing w:after="0" w:line="240" w:lineRule="auto"/>
    </w:pPr>
    <w:rPr>
      <w:sz w:val="16"/>
    </w:rPr>
  </w:style>
  <w:style w:type="character" w:customStyle="1" w:styleId="Quotationwithinthesentence">
    <w:name w:val="Quotation (within the sentence)"/>
    <w:basedOn w:val="DefaultParagraphFont"/>
    <w:uiPriority w:val="2"/>
    <w:rsid w:val="00DB13A7"/>
    <w:rPr>
      <w:i/>
    </w:rPr>
  </w:style>
  <w:style w:type="character" w:customStyle="1" w:styleId="Heading1-Subnonboldtext">
    <w:name w:val="Heading 1 - Sub (non bold text)"/>
    <w:basedOn w:val="DefaultParagraphFont"/>
    <w:uiPriority w:val="1"/>
    <w:rsid w:val="00AE66EE"/>
    <w:rPr>
      <w:b/>
    </w:rPr>
  </w:style>
  <w:style w:type="paragraph" w:customStyle="1" w:styleId="Tablebodytext">
    <w:name w:val="Table body text"/>
    <w:basedOn w:val="BodyText"/>
    <w:uiPriority w:val="2"/>
    <w:rsid w:val="00DB13A7"/>
    <w:pPr>
      <w:spacing w:before="120" w:after="120"/>
    </w:pPr>
    <w:rPr>
      <w:sz w:val="22"/>
    </w:rPr>
  </w:style>
  <w:style w:type="paragraph" w:customStyle="1" w:styleId="Tablebodytextnospaceafter">
    <w:name w:val="Table body text (no space after)"/>
    <w:basedOn w:val="BodyText"/>
    <w:uiPriority w:val="2"/>
    <w:rsid w:val="00DB13A7"/>
    <w:pPr>
      <w:spacing w:after="0"/>
    </w:pPr>
    <w:rPr>
      <w:sz w:val="22"/>
    </w:rPr>
  </w:style>
  <w:style w:type="table" w:customStyle="1" w:styleId="TableBox">
    <w:name w:val="Table Box"/>
    <w:basedOn w:val="TableNormal"/>
    <w:uiPriority w:val="99"/>
    <w:rsid w:val="00A81ADF"/>
    <w:pPr>
      <w:spacing w:line="240" w:lineRule="atLeast"/>
    </w:pPr>
    <w:rPr>
      <w:rFonts w:ascii="Calibri" w:hAnsi="Calibri"/>
      <w:sz w:val="24"/>
    </w:rPr>
    <w:tblPr>
      <w:tblInd w:w="284" w:type="dxa"/>
      <w:tblCellMar>
        <w:top w:w="142" w:type="dxa"/>
        <w:left w:w="284" w:type="dxa"/>
        <w:right w:w="284" w:type="dxa"/>
      </w:tblCellMar>
    </w:tblPr>
    <w:tcPr>
      <w:shd w:val="clear" w:color="auto" w:fill="EBEBEB"/>
    </w:tcPr>
  </w:style>
  <w:style w:type="character" w:styleId="FollowedHyperlink">
    <w:name w:val="FollowedHyperlink"/>
    <w:basedOn w:val="DefaultParagraphFont"/>
    <w:uiPriority w:val="2"/>
    <w:rsid w:val="00DB13A7"/>
    <w:rPr>
      <w:color w:val="3C98E7"/>
      <w:u w:val="single"/>
    </w:rPr>
  </w:style>
  <w:style w:type="paragraph" w:customStyle="1" w:styleId="Headingboxtextinbody">
    <w:name w:val="Heading box text (in body)"/>
    <w:basedOn w:val="Normalcolour"/>
    <w:uiPriority w:val="1"/>
    <w:qFormat/>
    <w:rsid w:val="00A81ADF"/>
    <w:pPr>
      <w:keepNext/>
      <w:spacing w:before="360" w:after="60" w:line="320" w:lineRule="atLeast"/>
    </w:pPr>
    <w:rPr>
      <w:b/>
      <w:sz w:val="26"/>
    </w:rPr>
  </w:style>
  <w:style w:type="paragraph" w:customStyle="1" w:styleId="Headingboxtexttop">
    <w:name w:val="Heading box text (top)"/>
    <w:basedOn w:val="Normalcolour"/>
    <w:uiPriority w:val="1"/>
    <w:rsid w:val="00A81ADF"/>
    <w:pPr>
      <w:spacing w:after="60" w:line="320" w:lineRule="atLeast"/>
    </w:pPr>
    <w:rPr>
      <w:b/>
      <w:sz w:val="26"/>
    </w:rPr>
  </w:style>
  <w:style w:type="paragraph" w:customStyle="1" w:styleId="Singlespacedparagraph">
    <w:name w:val="Single spaced paragraph"/>
    <w:basedOn w:val="BodyText"/>
    <w:uiPriority w:val="2"/>
    <w:rsid w:val="00DB13A7"/>
    <w:pPr>
      <w:spacing w:after="0"/>
    </w:pPr>
  </w:style>
  <w:style w:type="paragraph" w:customStyle="1" w:styleId="Footerline">
    <w:name w:val="Footer line"/>
    <w:basedOn w:val="Footer"/>
    <w:next w:val="Footer"/>
    <w:uiPriority w:val="10"/>
    <w:rsid w:val="005E12E6"/>
    <w:pPr>
      <w:pBdr>
        <w:top w:val="single" w:sz="4" w:space="5" w:color="696969"/>
      </w:pBdr>
      <w:ind w:left="23" w:right="23"/>
    </w:pPr>
    <w:rPr>
      <w:sz w:val="2"/>
    </w:rPr>
  </w:style>
  <w:style w:type="paragraph" w:customStyle="1" w:styleId="Headerline">
    <w:name w:val="Header line"/>
    <w:basedOn w:val="Header"/>
    <w:rsid w:val="005E12E6"/>
    <w:pPr>
      <w:pBdr>
        <w:bottom w:val="single" w:sz="4" w:space="5" w:color="696969"/>
      </w:pBdr>
      <w:ind w:left="23" w:right="23"/>
    </w:pPr>
    <w:rPr>
      <w:sz w:val="2"/>
    </w:rPr>
  </w:style>
  <w:style w:type="paragraph" w:customStyle="1" w:styleId="Legindent1">
    <w:name w:val="Leg indent 1"/>
    <w:basedOn w:val="Normal"/>
    <w:uiPriority w:val="9"/>
    <w:rsid w:val="00DB13A7"/>
    <w:pPr>
      <w:ind w:left="567"/>
    </w:pPr>
  </w:style>
  <w:style w:type="paragraph" w:customStyle="1" w:styleId="Legindent2">
    <w:name w:val="Leg indent 2"/>
    <w:basedOn w:val="Normal"/>
    <w:uiPriority w:val="9"/>
    <w:rsid w:val="00DB13A7"/>
    <w:pPr>
      <w:ind w:left="1134"/>
    </w:pPr>
  </w:style>
  <w:style w:type="paragraph" w:customStyle="1" w:styleId="Legindent3">
    <w:name w:val="Leg indent 3"/>
    <w:basedOn w:val="Normal"/>
    <w:uiPriority w:val="9"/>
    <w:rsid w:val="00DB13A7"/>
    <w:pPr>
      <w:ind w:left="1701"/>
    </w:pPr>
  </w:style>
  <w:style w:type="paragraph" w:customStyle="1" w:styleId="Legstyle-1">
    <w:name w:val="Leg style - (1)"/>
    <w:basedOn w:val="Normal"/>
    <w:uiPriority w:val="9"/>
    <w:rsid w:val="00DB13A7"/>
    <w:pPr>
      <w:tabs>
        <w:tab w:val="left" w:pos="567"/>
      </w:tabs>
      <w:ind w:left="567" w:hanging="567"/>
    </w:pPr>
  </w:style>
  <w:style w:type="paragraph" w:customStyle="1" w:styleId="Legstyle-a">
    <w:name w:val="Leg style - (a)"/>
    <w:basedOn w:val="Normal"/>
    <w:uiPriority w:val="9"/>
    <w:rsid w:val="00DB13A7"/>
    <w:pPr>
      <w:tabs>
        <w:tab w:val="left" w:pos="1134"/>
      </w:tabs>
      <w:ind w:left="1134" w:hanging="567"/>
    </w:pPr>
  </w:style>
  <w:style w:type="paragraph" w:customStyle="1" w:styleId="Legstyle-i">
    <w:name w:val="Leg style - (i)"/>
    <w:basedOn w:val="Normal"/>
    <w:uiPriority w:val="9"/>
    <w:rsid w:val="00DB13A7"/>
    <w:pPr>
      <w:tabs>
        <w:tab w:val="left" w:pos="1701"/>
      </w:tabs>
      <w:ind w:left="1701" w:hanging="567"/>
    </w:pPr>
  </w:style>
  <w:style w:type="paragraph" w:customStyle="1" w:styleId="Legstyle-10">
    <w:name w:val="Leg style - 1"/>
    <w:basedOn w:val="Normal"/>
    <w:uiPriority w:val="9"/>
    <w:rsid w:val="00D73868"/>
    <w:pPr>
      <w:tabs>
        <w:tab w:val="left" w:pos="567"/>
      </w:tabs>
      <w:ind w:left="567" w:hanging="567"/>
    </w:pPr>
    <w:rPr>
      <w:b/>
    </w:rPr>
  </w:style>
  <w:style w:type="paragraph" w:customStyle="1" w:styleId="QLegindent1">
    <w:name w:val="QLeg indent 1"/>
    <w:basedOn w:val="Normal"/>
    <w:uiPriority w:val="2"/>
    <w:rsid w:val="00DB13A7"/>
    <w:pPr>
      <w:ind w:left="1134" w:right="567"/>
    </w:pPr>
    <w:rPr>
      <w:i/>
      <w:color w:val="4D4D4D"/>
    </w:rPr>
  </w:style>
  <w:style w:type="paragraph" w:customStyle="1" w:styleId="QLegindent2">
    <w:name w:val="QLeg indent 2"/>
    <w:basedOn w:val="Normal"/>
    <w:uiPriority w:val="2"/>
    <w:rsid w:val="00DB13A7"/>
    <w:pPr>
      <w:ind w:left="1701" w:right="567"/>
    </w:pPr>
    <w:rPr>
      <w:i/>
      <w:color w:val="4D4D4D"/>
    </w:rPr>
  </w:style>
  <w:style w:type="paragraph" w:customStyle="1" w:styleId="QLegindent3">
    <w:name w:val="QLeg indent 3"/>
    <w:basedOn w:val="Normal"/>
    <w:uiPriority w:val="2"/>
    <w:rsid w:val="00DB13A7"/>
    <w:pPr>
      <w:ind w:left="2268" w:right="567"/>
    </w:pPr>
    <w:rPr>
      <w:i/>
      <w:color w:val="4D4D4D"/>
    </w:rPr>
  </w:style>
  <w:style w:type="paragraph" w:customStyle="1" w:styleId="QLegstyle-1">
    <w:name w:val="QLeg style - (1)"/>
    <w:basedOn w:val="Normal"/>
    <w:uiPriority w:val="2"/>
    <w:rsid w:val="00DB13A7"/>
    <w:pPr>
      <w:tabs>
        <w:tab w:val="left" w:pos="1134"/>
      </w:tabs>
      <w:ind w:left="1134" w:right="567" w:hanging="567"/>
    </w:pPr>
    <w:rPr>
      <w:i/>
      <w:color w:val="4D4D4D"/>
    </w:rPr>
  </w:style>
  <w:style w:type="paragraph" w:customStyle="1" w:styleId="QLegstyle-a">
    <w:name w:val="QLeg style - (a)"/>
    <w:basedOn w:val="Normal"/>
    <w:uiPriority w:val="2"/>
    <w:rsid w:val="00DB13A7"/>
    <w:pPr>
      <w:tabs>
        <w:tab w:val="left" w:pos="1701"/>
      </w:tabs>
      <w:ind w:left="1701" w:right="567" w:hanging="567"/>
    </w:pPr>
    <w:rPr>
      <w:i/>
      <w:color w:val="4D4D4D"/>
    </w:rPr>
  </w:style>
  <w:style w:type="paragraph" w:customStyle="1" w:styleId="QLegstyle-i">
    <w:name w:val="QLeg style - (i)"/>
    <w:basedOn w:val="Normal"/>
    <w:uiPriority w:val="2"/>
    <w:rsid w:val="00DB13A7"/>
    <w:pPr>
      <w:tabs>
        <w:tab w:val="left" w:pos="2268"/>
      </w:tabs>
      <w:ind w:left="2268" w:right="567" w:hanging="567"/>
    </w:pPr>
    <w:rPr>
      <w:i/>
      <w:color w:val="4D4D4D"/>
    </w:rPr>
  </w:style>
  <w:style w:type="paragraph" w:customStyle="1" w:styleId="QLegstyle-10">
    <w:name w:val="QLeg style - 1"/>
    <w:basedOn w:val="Normal"/>
    <w:uiPriority w:val="2"/>
    <w:rsid w:val="00DB13A7"/>
    <w:pPr>
      <w:tabs>
        <w:tab w:val="left" w:pos="1134"/>
      </w:tabs>
      <w:ind w:left="1134" w:right="567" w:hanging="567"/>
    </w:pPr>
    <w:rPr>
      <w:b/>
      <w:i/>
      <w:color w:val="4D4D4D"/>
    </w:rPr>
  </w:style>
  <w:style w:type="paragraph" w:customStyle="1" w:styleId="DL-ourref">
    <w:name w:val="DL - our ref"/>
    <w:basedOn w:val="Singlespacedparagraph"/>
    <w:next w:val="DL-date"/>
    <w:uiPriority w:val="12"/>
    <w:rsid w:val="00DB13A7"/>
  </w:style>
  <w:style w:type="paragraph" w:customStyle="1" w:styleId="DL-addresslines">
    <w:name w:val="DL - address lines"/>
    <w:basedOn w:val="Singlespacedparagraph"/>
    <w:uiPriority w:val="12"/>
    <w:rsid w:val="00DB13A7"/>
  </w:style>
  <w:style w:type="paragraph" w:customStyle="1" w:styleId="DL-salutation">
    <w:name w:val="DL - salutation"/>
    <w:basedOn w:val="Singlespacedparagraph"/>
    <w:next w:val="Heading1"/>
    <w:uiPriority w:val="12"/>
    <w:rsid w:val="00DB13A7"/>
    <w:pPr>
      <w:spacing w:before="600" w:after="200"/>
    </w:pPr>
  </w:style>
  <w:style w:type="paragraph" w:customStyle="1" w:styleId="DL-closing">
    <w:name w:val="DL - closing"/>
    <w:basedOn w:val="Singlespacedparagraph"/>
    <w:uiPriority w:val="12"/>
    <w:rsid w:val="00DB13A7"/>
    <w:pPr>
      <w:spacing w:before="600"/>
    </w:pPr>
  </w:style>
  <w:style w:type="paragraph" w:customStyle="1" w:styleId="DL-closingname">
    <w:name w:val="DL - closing name"/>
    <w:basedOn w:val="Singlespacedparagraph"/>
    <w:uiPriority w:val="12"/>
    <w:rsid w:val="00DB13A7"/>
  </w:style>
  <w:style w:type="paragraph" w:customStyle="1" w:styleId="DL-closingposition">
    <w:name w:val="DL - closing position"/>
    <w:basedOn w:val="Singlespacedparagraph"/>
    <w:uiPriority w:val="12"/>
    <w:rsid w:val="00DB13A7"/>
    <w:pPr>
      <w:spacing w:after="240"/>
    </w:pPr>
  </w:style>
  <w:style w:type="paragraph" w:customStyle="1" w:styleId="DL-enclosure">
    <w:name w:val="DL - enclosure"/>
    <w:basedOn w:val="Singlespacedparagraph"/>
    <w:uiPriority w:val="12"/>
    <w:rsid w:val="00DB13A7"/>
    <w:pPr>
      <w:tabs>
        <w:tab w:val="left" w:pos="709"/>
      </w:tabs>
    </w:pPr>
  </w:style>
  <w:style w:type="paragraph" w:customStyle="1" w:styleId="DL-date">
    <w:name w:val="DL - date"/>
    <w:basedOn w:val="Singlespacedparagraph"/>
    <w:next w:val="DL-addresslines"/>
    <w:uiPriority w:val="12"/>
    <w:rsid w:val="00DB13A7"/>
    <w:pPr>
      <w:spacing w:before="300" w:after="600"/>
    </w:pPr>
  </w:style>
  <w:style w:type="paragraph" w:customStyle="1" w:styleId="DL-freephonetextline">
    <w:name w:val="DL - freephone text line"/>
    <w:basedOn w:val="Singlespacedparagraph"/>
    <w:uiPriority w:val="98"/>
    <w:rsid w:val="00DB13A7"/>
    <w:pPr>
      <w:spacing w:before="340" w:after="600"/>
      <w:jc w:val="right"/>
    </w:pPr>
    <w:rPr>
      <w:sz w:val="17"/>
    </w:rPr>
  </w:style>
  <w:style w:type="paragraph" w:customStyle="1" w:styleId="Letterheading1">
    <w:name w:val="Letter heading 1"/>
    <w:basedOn w:val="Normal"/>
    <w:next w:val="BodyText"/>
    <w:uiPriority w:val="12"/>
    <w:rsid w:val="00A44690"/>
    <w:pPr>
      <w:spacing w:before="360" w:after="100" w:line="260" w:lineRule="atLeast"/>
      <w:ind w:right="284"/>
    </w:pPr>
    <w:rPr>
      <w:b/>
      <w:sz w:val="26"/>
    </w:rPr>
  </w:style>
  <w:style w:type="paragraph" w:customStyle="1" w:styleId="Letterheading2">
    <w:name w:val="Letter heading 2"/>
    <w:basedOn w:val="Normal"/>
    <w:next w:val="BodyText"/>
    <w:uiPriority w:val="12"/>
    <w:rsid w:val="00A44690"/>
    <w:pPr>
      <w:spacing w:before="320" w:after="80"/>
      <w:ind w:right="284"/>
    </w:pPr>
    <w:rPr>
      <w:b/>
    </w:rPr>
  </w:style>
  <w:style w:type="paragraph" w:customStyle="1" w:styleId="Letterheading3">
    <w:name w:val="Letter heading 3"/>
    <w:basedOn w:val="Normal"/>
    <w:next w:val="BodyText"/>
    <w:uiPriority w:val="12"/>
    <w:rsid w:val="00A44690"/>
    <w:pPr>
      <w:spacing w:before="280" w:after="60"/>
      <w:ind w:right="284"/>
    </w:pPr>
    <w:rPr>
      <w:b/>
      <w:sz w:val="22"/>
    </w:rPr>
  </w:style>
  <w:style w:type="paragraph" w:customStyle="1" w:styleId="Letterheading4">
    <w:name w:val="Letter heading 4"/>
    <w:basedOn w:val="Normal"/>
    <w:next w:val="BodyText"/>
    <w:uiPriority w:val="12"/>
    <w:rsid w:val="00A44690"/>
    <w:pPr>
      <w:spacing w:before="240" w:after="60" w:line="200" w:lineRule="atLeast"/>
      <w:ind w:right="284"/>
    </w:pPr>
    <w:rPr>
      <w:b/>
      <w:caps/>
      <w:sz w:val="20"/>
    </w:rPr>
  </w:style>
  <w:style w:type="paragraph" w:customStyle="1" w:styleId="Guidelines">
    <w:name w:val="Guidelines"/>
    <w:basedOn w:val="BodyText"/>
    <w:next w:val="BodyText"/>
    <w:uiPriority w:val="2"/>
    <w:rsid w:val="00DB13A7"/>
    <w:rPr>
      <w:color w:val="359999"/>
    </w:rPr>
  </w:style>
  <w:style w:type="paragraph" w:customStyle="1" w:styleId="Heading1-Start">
    <w:name w:val="Heading 1 - Start"/>
    <w:basedOn w:val="Heading1"/>
    <w:next w:val="BodyText"/>
    <w:uiPriority w:val="1"/>
    <w:qFormat/>
    <w:rsid w:val="00A81ADF"/>
    <w:pPr>
      <w:spacing w:before="200"/>
    </w:pPr>
  </w:style>
  <w:style w:type="paragraph" w:customStyle="1" w:styleId="Legstyle1-1">
    <w:name w:val="Leg style 1 - 1"/>
    <w:basedOn w:val="Normal"/>
    <w:uiPriority w:val="9"/>
    <w:rsid w:val="00476879"/>
    <w:pPr>
      <w:tabs>
        <w:tab w:val="num" w:pos="567"/>
      </w:tabs>
      <w:spacing w:after="120"/>
      <w:ind w:left="567" w:hanging="567"/>
    </w:pPr>
    <w:rPr>
      <w:b/>
    </w:rPr>
  </w:style>
  <w:style w:type="paragraph" w:customStyle="1" w:styleId="Legstyle1-10">
    <w:name w:val="Leg style 1 - (1)"/>
    <w:basedOn w:val="Normal"/>
    <w:uiPriority w:val="9"/>
    <w:rsid w:val="00476879"/>
    <w:pPr>
      <w:tabs>
        <w:tab w:val="num" w:pos="567"/>
      </w:tabs>
      <w:spacing w:after="120"/>
      <w:ind w:left="567" w:hanging="567"/>
    </w:pPr>
  </w:style>
  <w:style w:type="paragraph" w:customStyle="1" w:styleId="Legstyle1-a">
    <w:name w:val="Leg style 1 - (a)"/>
    <w:basedOn w:val="Normal"/>
    <w:uiPriority w:val="9"/>
    <w:rsid w:val="00476879"/>
    <w:pPr>
      <w:tabs>
        <w:tab w:val="num" w:pos="1134"/>
      </w:tabs>
      <w:spacing w:after="120"/>
      <w:ind w:left="1134" w:hanging="567"/>
    </w:pPr>
  </w:style>
  <w:style w:type="paragraph" w:customStyle="1" w:styleId="Legstyle1-i">
    <w:name w:val="Leg style 1 - (i)"/>
    <w:basedOn w:val="Normal"/>
    <w:uiPriority w:val="9"/>
    <w:rsid w:val="00476879"/>
    <w:pPr>
      <w:tabs>
        <w:tab w:val="num" w:pos="1701"/>
      </w:tabs>
      <w:spacing w:after="120"/>
      <w:ind w:left="1701" w:hanging="567"/>
    </w:pPr>
  </w:style>
  <w:style w:type="paragraph" w:styleId="Title">
    <w:name w:val="Title"/>
    <w:basedOn w:val="Normalcolour"/>
    <w:next w:val="BodyText"/>
    <w:link w:val="TitleChar"/>
    <w:uiPriority w:val="1"/>
    <w:qFormat/>
    <w:rsid w:val="00A81ADF"/>
    <w:pPr>
      <w:spacing w:after="0" w:line="240" w:lineRule="auto"/>
      <w:ind w:right="284"/>
      <w:contextualSpacing/>
    </w:pPr>
    <w:rPr>
      <w:rFonts w:eastAsiaTheme="majorEastAsia" w:cstheme="majorBidi"/>
      <w:spacing w:val="5"/>
      <w:kern w:val="28"/>
      <w:sz w:val="48"/>
      <w:szCs w:val="52"/>
    </w:rPr>
  </w:style>
  <w:style w:type="character" w:customStyle="1" w:styleId="TitleChar">
    <w:name w:val="Title Char"/>
    <w:basedOn w:val="DefaultParagraphFont"/>
    <w:link w:val="Title"/>
    <w:uiPriority w:val="1"/>
    <w:rsid w:val="00A81ADF"/>
    <w:rPr>
      <w:rFonts w:ascii="Calibri" w:eastAsiaTheme="majorEastAsia" w:hAnsi="Calibri" w:cstheme="majorBidi"/>
      <w:color w:val="00ADC6"/>
      <w:spacing w:val="5"/>
      <w:kern w:val="28"/>
      <w:sz w:val="48"/>
      <w:szCs w:val="52"/>
    </w:rPr>
  </w:style>
  <w:style w:type="paragraph" w:customStyle="1" w:styleId="QIndent1">
    <w:name w:val="QIndent 1"/>
    <w:basedOn w:val="Normal"/>
    <w:uiPriority w:val="2"/>
    <w:rsid w:val="00DB13A7"/>
    <w:pPr>
      <w:ind w:left="1134" w:right="567"/>
    </w:pPr>
    <w:rPr>
      <w:i/>
      <w:color w:val="4D4D4D"/>
    </w:rPr>
  </w:style>
  <w:style w:type="paragraph" w:customStyle="1" w:styleId="QIndent2">
    <w:name w:val="QIndent 2"/>
    <w:basedOn w:val="Normal"/>
    <w:uiPriority w:val="2"/>
    <w:rsid w:val="00DB13A7"/>
    <w:pPr>
      <w:ind w:left="1701" w:right="567"/>
    </w:pPr>
    <w:rPr>
      <w:i/>
      <w:color w:val="4D4D4D"/>
    </w:rPr>
  </w:style>
  <w:style w:type="paragraph" w:customStyle="1" w:styleId="QIndent3">
    <w:name w:val="QIndent 3"/>
    <w:basedOn w:val="Normal"/>
    <w:uiPriority w:val="2"/>
    <w:rsid w:val="00DB13A7"/>
    <w:pPr>
      <w:ind w:left="2268" w:right="567"/>
    </w:pPr>
    <w:rPr>
      <w:i/>
      <w:color w:val="4D4D4D"/>
    </w:rPr>
  </w:style>
  <w:style w:type="paragraph" w:customStyle="1" w:styleId="QListalpha">
    <w:name w:val="QList alpha"/>
    <w:basedOn w:val="Normal"/>
    <w:uiPriority w:val="2"/>
    <w:rsid w:val="00DB13A7"/>
    <w:pPr>
      <w:numPr>
        <w:numId w:val="9"/>
      </w:numPr>
      <w:ind w:right="567"/>
    </w:pPr>
    <w:rPr>
      <w:i/>
      <w:color w:val="4D4D4D"/>
    </w:rPr>
  </w:style>
  <w:style w:type="paragraph" w:customStyle="1" w:styleId="QListbullet">
    <w:name w:val="QList bullet"/>
    <w:basedOn w:val="Normal"/>
    <w:uiPriority w:val="2"/>
    <w:rsid w:val="00DB13A7"/>
    <w:pPr>
      <w:numPr>
        <w:numId w:val="10"/>
      </w:numPr>
      <w:ind w:right="567"/>
    </w:pPr>
    <w:rPr>
      <w:i/>
      <w:color w:val="4D4D4D"/>
    </w:rPr>
  </w:style>
  <w:style w:type="paragraph" w:customStyle="1" w:styleId="QListnumber">
    <w:name w:val="QList number"/>
    <w:basedOn w:val="Normal"/>
    <w:uiPriority w:val="2"/>
    <w:rsid w:val="00DB13A7"/>
    <w:pPr>
      <w:numPr>
        <w:numId w:val="11"/>
      </w:numPr>
      <w:ind w:right="567"/>
    </w:pPr>
    <w:rPr>
      <w:i/>
      <w:color w:val="4D4D4D"/>
    </w:rPr>
  </w:style>
  <w:style w:type="paragraph" w:customStyle="1" w:styleId="QListroman">
    <w:name w:val="QList roman"/>
    <w:basedOn w:val="Normal"/>
    <w:uiPriority w:val="2"/>
    <w:rsid w:val="00DB13A7"/>
    <w:pPr>
      <w:numPr>
        <w:numId w:val="12"/>
      </w:numPr>
      <w:ind w:right="567"/>
    </w:pPr>
    <w:rPr>
      <w:rFonts w:eastAsia="Times New Roman" w:cs="Times New Roman"/>
      <w:i/>
      <w:color w:val="4D4D4D"/>
      <w:szCs w:val="20"/>
    </w:rPr>
  </w:style>
  <w:style w:type="paragraph" w:customStyle="1" w:styleId="Bullet1">
    <w:name w:val="Bullet 1"/>
    <w:basedOn w:val="Normal"/>
    <w:uiPriority w:val="3"/>
    <w:rsid w:val="00DB13A7"/>
    <w:pPr>
      <w:numPr>
        <w:numId w:val="2"/>
      </w:numPr>
    </w:pPr>
  </w:style>
  <w:style w:type="paragraph" w:customStyle="1" w:styleId="Bullet2">
    <w:name w:val="Bullet 2"/>
    <w:basedOn w:val="Normal"/>
    <w:uiPriority w:val="3"/>
    <w:rsid w:val="00DB13A7"/>
    <w:pPr>
      <w:numPr>
        <w:ilvl w:val="1"/>
        <w:numId w:val="2"/>
      </w:numPr>
    </w:pPr>
  </w:style>
  <w:style w:type="paragraph" w:customStyle="1" w:styleId="Bullet3">
    <w:name w:val="Bullet 3"/>
    <w:basedOn w:val="Normal"/>
    <w:uiPriority w:val="3"/>
    <w:rsid w:val="00DB13A7"/>
    <w:pPr>
      <w:numPr>
        <w:ilvl w:val="2"/>
        <w:numId w:val="2"/>
      </w:numPr>
    </w:pPr>
  </w:style>
  <w:style w:type="paragraph" w:customStyle="1" w:styleId="Bullet4">
    <w:name w:val="Bullet 4"/>
    <w:basedOn w:val="Normal"/>
    <w:uiPriority w:val="3"/>
    <w:rsid w:val="00DB13A7"/>
    <w:pPr>
      <w:numPr>
        <w:ilvl w:val="3"/>
        <w:numId w:val="2"/>
      </w:numPr>
    </w:pPr>
  </w:style>
  <w:style w:type="paragraph" w:customStyle="1" w:styleId="Checkbox">
    <w:name w:val="Check box"/>
    <w:basedOn w:val="BodyText"/>
    <w:uiPriority w:val="3"/>
    <w:rsid w:val="00DB13A7"/>
    <w:pPr>
      <w:numPr>
        <w:numId w:val="3"/>
      </w:numPr>
    </w:pPr>
  </w:style>
  <w:style w:type="paragraph" w:customStyle="1" w:styleId="Indent1">
    <w:name w:val="Indent 1"/>
    <w:basedOn w:val="Normal"/>
    <w:uiPriority w:val="4"/>
    <w:rsid w:val="00DB13A7"/>
    <w:pPr>
      <w:ind w:left="567"/>
    </w:pPr>
  </w:style>
  <w:style w:type="paragraph" w:customStyle="1" w:styleId="Indent2">
    <w:name w:val="Indent 2"/>
    <w:basedOn w:val="Normal"/>
    <w:uiPriority w:val="4"/>
    <w:rsid w:val="00DB13A7"/>
    <w:pPr>
      <w:ind w:left="1134"/>
    </w:pPr>
  </w:style>
  <w:style w:type="paragraph" w:customStyle="1" w:styleId="Indent3">
    <w:name w:val="Indent 3"/>
    <w:basedOn w:val="Normal"/>
    <w:uiPriority w:val="4"/>
    <w:rsid w:val="00DB13A7"/>
    <w:pPr>
      <w:ind w:left="1701"/>
    </w:pPr>
  </w:style>
  <w:style w:type="paragraph" w:customStyle="1" w:styleId="Indent4">
    <w:name w:val="Indent 4"/>
    <w:basedOn w:val="Normal"/>
    <w:uiPriority w:val="4"/>
    <w:rsid w:val="00DB13A7"/>
    <w:pPr>
      <w:ind w:left="2268"/>
    </w:pPr>
  </w:style>
  <w:style w:type="paragraph" w:customStyle="1" w:styleId="Number-1">
    <w:name w:val="Number - 1."/>
    <w:basedOn w:val="BodyText"/>
    <w:next w:val="Number-11"/>
    <w:uiPriority w:val="6"/>
    <w:rsid w:val="00DB13A7"/>
    <w:pPr>
      <w:numPr>
        <w:numId w:val="7"/>
      </w:numPr>
    </w:pPr>
  </w:style>
  <w:style w:type="paragraph" w:customStyle="1" w:styleId="Number-11">
    <w:name w:val="Number - 1.1"/>
    <w:basedOn w:val="Normal"/>
    <w:uiPriority w:val="6"/>
    <w:rsid w:val="00DB13A7"/>
    <w:pPr>
      <w:numPr>
        <w:ilvl w:val="1"/>
        <w:numId w:val="7"/>
      </w:numPr>
    </w:pPr>
  </w:style>
  <w:style w:type="paragraph" w:customStyle="1" w:styleId="Number-111">
    <w:name w:val="Number - 1.1.1"/>
    <w:basedOn w:val="Normal"/>
    <w:uiPriority w:val="6"/>
    <w:rsid w:val="00DB13A7"/>
    <w:pPr>
      <w:numPr>
        <w:ilvl w:val="2"/>
        <w:numId w:val="7"/>
      </w:numPr>
    </w:pPr>
  </w:style>
  <w:style w:type="paragraph" w:customStyle="1" w:styleId="Number-a">
    <w:name w:val="Number - a."/>
    <w:basedOn w:val="Normal"/>
    <w:uiPriority w:val="6"/>
    <w:rsid w:val="00DB13A7"/>
    <w:pPr>
      <w:numPr>
        <w:ilvl w:val="3"/>
        <w:numId w:val="7"/>
      </w:numPr>
    </w:pPr>
  </w:style>
  <w:style w:type="paragraph" w:customStyle="1" w:styleId="Number-i">
    <w:name w:val="Number - i."/>
    <w:basedOn w:val="Normal"/>
    <w:uiPriority w:val="6"/>
    <w:rsid w:val="00DB13A7"/>
    <w:pPr>
      <w:numPr>
        <w:ilvl w:val="4"/>
        <w:numId w:val="7"/>
      </w:numPr>
    </w:pPr>
  </w:style>
  <w:style w:type="paragraph" w:customStyle="1" w:styleId="Number1">
    <w:name w:val="Number 1"/>
    <w:basedOn w:val="Normal"/>
    <w:uiPriority w:val="5"/>
    <w:rsid w:val="00DB13A7"/>
    <w:pPr>
      <w:numPr>
        <w:numId w:val="8"/>
      </w:numPr>
    </w:pPr>
  </w:style>
  <w:style w:type="paragraph" w:customStyle="1" w:styleId="Number2">
    <w:name w:val="Number 2"/>
    <w:basedOn w:val="Normal"/>
    <w:uiPriority w:val="5"/>
    <w:rsid w:val="00DB13A7"/>
    <w:pPr>
      <w:numPr>
        <w:ilvl w:val="1"/>
        <w:numId w:val="8"/>
      </w:numPr>
    </w:pPr>
  </w:style>
  <w:style w:type="paragraph" w:customStyle="1" w:styleId="Number3">
    <w:name w:val="Number 3"/>
    <w:basedOn w:val="Normal"/>
    <w:uiPriority w:val="5"/>
    <w:rsid w:val="00DB13A7"/>
    <w:pPr>
      <w:numPr>
        <w:ilvl w:val="2"/>
        <w:numId w:val="8"/>
      </w:numPr>
    </w:pPr>
  </w:style>
  <w:style w:type="paragraph" w:customStyle="1" w:styleId="TableBullet1">
    <w:name w:val="Table Bullet 1"/>
    <w:basedOn w:val="Tablebodytext"/>
    <w:uiPriority w:val="2"/>
    <w:rsid w:val="00DB13A7"/>
    <w:pPr>
      <w:numPr>
        <w:numId w:val="13"/>
      </w:numPr>
    </w:pPr>
  </w:style>
  <w:style w:type="paragraph" w:customStyle="1" w:styleId="TableBullet2">
    <w:name w:val="Table Bullet 2"/>
    <w:basedOn w:val="Tablebodytext"/>
    <w:uiPriority w:val="2"/>
    <w:rsid w:val="00DB13A7"/>
    <w:pPr>
      <w:numPr>
        <w:ilvl w:val="1"/>
        <w:numId w:val="13"/>
      </w:numPr>
    </w:pPr>
  </w:style>
  <w:style w:type="paragraph" w:customStyle="1" w:styleId="TableBullet3">
    <w:name w:val="Table Bullet 3"/>
    <w:basedOn w:val="Tablebodytext"/>
    <w:uiPriority w:val="2"/>
    <w:rsid w:val="00DB13A7"/>
    <w:pPr>
      <w:numPr>
        <w:ilvl w:val="2"/>
        <w:numId w:val="13"/>
      </w:numPr>
    </w:pPr>
  </w:style>
  <w:style w:type="paragraph" w:customStyle="1" w:styleId="Tablecheckbox">
    <w:name w:val="Table check box"/>
    <w:basedOn w:val="Tablebodytext"/>
    <w:uiPriority w:val="2"/>
    <w:rsid w:val="00DB13A7"/>
    <w:pPr>
      <w:numPr>
        <w:numId w:val="14"/>
      </w:numPr>
    </w:pPr>
  </w:style>
  <w:style w:type="paragraph" w:customStyle="1" w:styleId="Tableheading">
    <w:name w:val="Table heading"/>
    <w:basedOn w:val="Tablebodytext"/>
    <w:next w:val="Tablebodytext"/>
    <w:uiPriority w:val="2"/>
    <w:qFormat/>
    <w:rsid w:val="00DB13A7"/>
    <w:pPr>
      <w:keepNext/>
      <w:spacing w:before="280" w:after="60"/>
    </w:pPr>
    <w:rPr>
      <w:b/>
    </w:rPr>
  </w:style>
  <w:style w:type="paragraph" w:customStyle="1" w:styleId="TableIndent1">
    <w:name w:val="Table Indent 1"/>
    <w:basedOn w:val="Tablebodytext"/>
    <w:uiPriority w:val="2"/>
    <w:rsid w:val="00DB13A7"/>
    <w:pPr>
      <w:ind w:left="357"/>
    </w:pPr>
  </w:style>
  <w:style w:type="paragraph" w:customStyle="1" w:styleId="TableIndent2">
    <w:name w:val="Table Indent 2"/>
    <w:basedOn w:val="Tablebodytext"/>
    <w:uiPriority w:val="2"/>
    <w:rsid w:val="00DB13A7"/>
    <w:pPr>
      <w:ind w:left="714"/>
    </w:pPr>
  </w:style>
  <w:style w:type="paragraph" w:customStyle="1" w:styleId="TableIndent3">
    <w:name w:val="Table Indent 3"/>
    <w:basedOn w:val="Tablebodytext"/>
    <w:uiPriority w:val="2"/>
    <w:rsid w:val="00DB13A7"/>
    <w:pPr>
      <w:ind w:left="1072"/>
    </w:pPr>
  </w:style>
  <w:style w:type="paragraph" w:customStyle="1" w:styleId="TableNumber1">
    <w:name w:val="Table Number 1."/>
    <w:basedOn w:val="Tablebodytext"/>
    <w:uiPriority w:val="2"/>
    <w:rsid w:val="00DB13A7"/>
    <w:pPr>
      <w:numPr>
        <w:numId w:val="15"/>
      </w:numPr>
    </w:pPr>
  </w:style>
  <w:style w:type="paragraph" w:customStyle="1" w:styleId="TableNumbera">
    <w:name w:val="Table Number a."/>
    <w:basedOn w:val="Tablebodytext"/>
    <w:uiPriority w:val="2"/>
    <w:rsid w:val="00DB13A7"/>
    <w:pPr>
      <w:numPr>
        <w:ilvl w:val="1"/>
        <w:numId w:val="15"/>
      </w:numPr>
    </w:pPr>
  </w:style>
  <w:style w:type="paragraph" w:customStyle="1" w:styleId="TableNumberi">
    <w:name w:val="Table Number i."/>
    <w:basedOn w:val="Tablebodytext"/>
    <w:uiPriority w:val="2"/>
    <w:rsid w:val="00DB13A7"/>
    <w:pPr>
      <w:numPr>
        <w:ilvl w:val="2"/>
        <w:numId w:val="15"/>
      </w:numPr>
    </w:pPr>
  </w:style>
  <w:style w:type="paragraph" w:customStyle="1" w:styleId="TableQuotationseparateparagraph">
    <w:name w:val="Table Quotation (separate paragraph)"/>
    <w:basedOn w:val="Quotationseparateparagraph"/>
    <w:uiPriority w:val="2"/>
    <w:rsid w:val="00DB13A7"/>
    <w:pPr>
      <w:spacing w:after="120"/>
      <w:ind w:left="357" w:right="357"/>
    </w:pPr>
    <w:rPr>
      <w:sz w:val="22"/>
    </w:rPr>
  </w:style>
  <w:style w:type="paragraph" w:customStyle="1" w:styleId="Tablesinglespacedparagraph">
    <w:name w:val="Table single spaced paragraph"/>
    <w:basedOn w:val="BodyText"/>
    <w:uiPriority w:val="2"/>
    <w:rsid w:val="00DB13A7"/>
    <w:pPr>
      <w:spacing w:before="40" w:after="40"/>
    </w:pPr>
    <w:rPr>
      <w:sz w:val="22"/>
    </w:rPr>
  </w:style>
  <w:style w:type="paragraph" w:customStyle="1" w:styleId="Tablesinglespacedparagraphlast">
    <w:name w:val="Table single spaced paragraph (last)"/>
    <w:basedOn w:val="Tablesinglespacedparagraph"/>
    <w:uiPriority w:val="2"/>
    <w:rsid w:val="00DB13A7"/>
  </w:style>
  <w:style w:type="character" w:styleId="CommentReference">
    <w:name w:val="annotation reference"/>
    <w:basedOn w:val="DefaultParagraphFont"/>
    <w:uiPriority w:val="99"/>
    <w:semiHidden/>
    <w:unhideWhenUsed/>
    <w:rsid w:val="0022246B"/>
    <w:rPr>
      <w:sz w:val="16"/>
      <w:szCs w:val="16"/>
    </w:rPr>
  </w:style>
  <w:style w:type="paragraph" w:customStyle="1" w:styleId="Tablecaption">
    <w:name w:val="Table caption"/>
    <w:basedOn w:val="Normal"/>
    <w:uiPriority w:val="2"/>
    <w:rsid w:val="00A81ADF"/>
    <w:pPr>
      <w:spacing w:before="360" w:after="60" w:line="260" w:lineRule="atLeast"/>
    </w:pPr>
    <w:rPr>
      <w:b/>
      <w:sz w:val="26"/>
    </w:rPr>
  </w:style>
  <w:style w:type="paragraph" w:customStyle="1" w:styleId="FigureCaption">
    <w:name w:val="Figure Caption"/>
    <w:basedOn w:val="Normal"/>
    <w:next w:val="BodyText"/>
    <w:uiPriority w:val="2"/>
    <w:rsid w:val="00DB13A7"/>
    <w:pPr>
      <w:spacing w:line="240" w:lineRule="auto"/>
    </w:pPr>
    <w:rPr>
      <w:i/>
    </w:rPr>
  </w:style>
  <w:style w:type="paragraph" w:customStyle="1" w:styleId="Footerlandscape">
    <w:name w:val="Footer landscape"/>
    <w:basedOn w:val="Footer"/>
    <w:uiPriority w:val="10"/>
    <w:rsid w:val="00BE4654"/>
  </w:style>
  <w:style w:type="paragraph" w:customStyle="1" w:styleId="Headerlandscape">
    <w:name w:val="Header landscape"/>
    <w:basedOn w:val="Header"/>
    <w:rsid w:val="00BE4654"/>
    <w:pPr>
      <w:tabs>
        <w:tab w:val="clear" w:pos="9299"/>
        <w:tab w:val="right" w:pos="14232"/>
      </w:tabs>
    </w:pPr>
  </w:style>
  <w:style w:type="paragraph" w:customStyle="1" w:styleId="Footerportraitletter">
    <w:name w:val="Footer portrait letter"/>
    <w:basedOn w:val="Footer"/>
    <w:uiPriority w:val="10"/>
    <w:qFormat/>
    <w:rsid w:val="00BE4654"/>
    <w:pPr>
      <w:tabs>
        <w:tab w:val="clear" w:pos="14232"/>
        <w:tab w:val="right" w:pos="9526"/>
      </w:tabs>
    </w:pPr>
  </w:style>
  <w:style w:type="paragraph" w:customStyle="1" w:styleId="Headerportraitletter">
    <w:name w:val="Header portrait letter"/>
    <w:basedOn w:val="Header"/>
    <w:qFormat/>
    <w:rsid w:val="00BE4654"/>
    <w:pPr>
      <w:tabs>
        <w:tab w:val="clear" w:pos="9299"/>
        <w:tab w:val="right" w:pos="9526"/>
      </w:tabs>
    </w:pPr>
  </w:style>
  <w:style w:type="paragraph" w:customStyle="1" w:styleId="Headerportraitopinion">
    <w:name w:val="Header portrait opinion"/>
    <w:basedOn w:val="Header"/>
    <w:qFormat/>
    <w:rsid w:val="00BE4654"/>
  </w:style>
  <w:style w:type="paragraph" w:customStyle="1" w:styleId="Footerportraitopinion">
    <w:name w:val="Footer portrait opinion"/>
    <w:basedOn w:val="Footer"/>
    <w:uiPriority w:val="10"/>
    <w:qFormat/>
    <w:rsid w:val="00BE4654"/>
    <w:pPr>
      <w:tabs>
        <w:tab w:val="clear" w:pos="14232"/>
        <w:tab w:val="right" w:pos="9299"/>
      </w:tabs>
    </w:pPr>
  </w:style>
  <w:style w:type="paragraph" w:customStyle="1" w:styleId="DL-contact">
    <w:name w:val="DL - contact"/>
    <w:basedOn w:val="DL-date"/>
    <w:next w:val="DL-date"/>
    <w:uiPriority w:val="12"/>
    <w:rsid w:val="008F71EE"/>
    <w:pPr>
      <w:spacing w:before="0" w:after="0"/>
    </w:pPr>
  </w:style>
  <w:style w:type="character" w:customStyle="1" w:styleId="Italics">
    <w:name w:val="Italics"/>
    <w:basedOn w:val="Emphasis"/>
    <w:uiPriority w:val="2"/>
    <w:rsid w:val="00A81ADF"/>
    <w:rPr>
      <w:b w:val="0"/>
      <w:i/>
      <w:iCs/>
      <w:color w:val="1E1E1E"/>
    </w:rPr>
  </w:style>
  <w:style w:type="paragraph" w:customStyle="1" w:styleId="Footerlandscapeletter">
    <w:name w:val="Footer landscape letter"/>
    <w:basedOn w:val="Footer"/>
    <w:uiPriority w:val="10"/>
    <w:rsid w:val="00BE4654"/>
    <w:pPr>
      <w:tabs>
        <w:tab w:val="clear" w:pos="14232"/>
        <w:tab w:val="right" w:pos="14118"/>
      </w:tabs>
    </w:pPr>
  </w:style>
  <w:style w:type="paragraph" w:customStyle="1" w:styleId="Footerlandscapeopinion">
    <w:name w:val="Footer landscape opinion"/>
    <w:basedOn w:val="Footerlandscape"/>
    <w:uiPriority w:val="10"/>
    <w:rsid w:val="00BE4654"/>
  </w:style>
  <w:style w:type="paragraph" w:customStyle="1" w:styleId="Headerlandscapeletter">
    <w:name w:val="Header landscape letter"/>
    <w:basedOn w:val="Header"/>
    <w:rsid w:val="00BE4654"/>
    <w:pPr>
      <w:tabs>
        <w:tab w:val="clear" w:pos="9299"/>
        <w:tab w:val="right" w:pos="14118"/>
      </w:tabs>
    </w:pPr>
  </w:style>
  <w:style w:type="paragraph" w:customStyle="1" w:styleId="Headerlandscapeopinion">
    <w:name w:val="Header landscape opinion"/>
    <w:basedOn w:val="Header"/>
    <w:rsid w:val="00BE4654"/>
    <w:pPr>
      <w:tabs>
        <w:tab w:val="clear" w:pos="9299"/>
        <w:tab w:val="right" w:pos="14232"/>
      </w:tabs>
    </w:pPr>
  </w:style>
  <w:style w:type="character" w:customStyle="1" w:styleId="Bluetext">
    <w:name w:val="Blue text"/>
    <w:basedOn w:val="DefaultParagraphFont"/>
    <w:uiPriority w:val="2"/>
    <w:rsid w:val="00DB13A7"/>
    <w:rPr>
      <w:color w:val="0070C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2886</Words>
  <Characters>16455</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cp:revision>1</cp:revision>
  <dcterms:created xsi:type="dcterms:W3CDTF">2022-02-10T01:45:00Z</dcterms:created>
  <dcterms:modified xsi:type="dcterms:W3CDTF">2022-02-10T01:45:00Z</dcterms:modified>
</cp:coreProperties>
</file>