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FB" w:rsidRDefault="001B0AEB" w:rsidP="00B841FB">
      <w:pPr>
        <w:pStyle w:val="BodyText1"/>
      </w:pPr>
      <w:bookmarkStart w:id="0" w:name="TemplateGuide"/>
      <w:bookmarkEnd w:id="0"/>
    </w:p>
    <w:tbl>
      <w:tblPr>
        <w:tblStyle w:val="TableGridnoborders"/>
        <w:tblW w:w="9441" w:type="dxa"/>
        <w:tblInd w:w="-142" w:type="dxa"/>
        <w:tblBorders>
          <w:bottom w:val="single" w:sz="4" w:space="0" w:color="4D4D4D"/>
        </w:tblBorders>
        <w:tblCellMar>
          <w:top w:w="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1"/>
      </w:tblGrid>
      <w:tr w:rsidR="00051017" w:rsidTr="004F393F">
        <w:trPr>
          <w:trHeight w:hRule="exact" w:val="3314"/>
        </w:trPr>
        <w:tc>
          <w:tcPr>
            <w:tcW w:w="9441" w:type="dxa"/>
            <w:shd w:val="clear" w:color="auto" w:fill="auto"/>
            <w:tcMar>
              <w:top w:w="794" w:type="dxa"/>
            </w:tcMar>
            <w:vAlign w:val="bottom"/>
          </w:tcPr>
          <w:p w:rsidR="00B841FB" w:rsidRPr="00391E4B" w:rsidRDefault="00391E4B" w:rsidP="00391E4B">
            <w:pPr>
              <w:pStyle w:val="Title"/>
            </w:pPr>
            <w:bookmarkStart w:id="1" w:name="_GoBack"/>
            <w:r w:rsidRPr="00391E4B">
              <w:t>Application of OIA to information held by a Benefit Review Committee</w:t>
            </w:r>
            <w:bookmarkEnd w:id="1"/>
            <w:r w:rsidRPr="00391E4B">
              <w:t xml:space="preserve"> </w:t>
            </w:r>
          </w:p>
        </w:tc>
      </w:tr>
      <w:tr w:rsidR="00051017" w:rsidTr="004F393F">
        <w:trPr>
          <w:trHeight w:hRule="exact" w:val="340"/>
        </w:trPr>
        <w:tc>
          <w:tcPr>
            <w:tcW w:w="9441" w:type="dxa"/>
            <w:shd w:val="clear" w:color="auto" w:fill="auto"/>
            <w:vAlign w:val="bottom"/>
          </w:tcPr>
          <w:p w:rsidR="00B841FB" w:rsidRDefault="001B0AEB" w:rsidP="00B841FB"/>
        </w:tc>
      </w:tr>
      <w:tr w:rsidR="00051017" w:rsidTr="004F393F">
        <w:trPr>
          <w:trHeight w:val="2098"/>
        </w:trPr>
        <w:tc>
          <w:tcPr>
            <w:tcW w:w="9441" w:type="dxa"/>
            <w:shd w:val="clear" w:color="auto" w:fill="auto"/>
          </w:tcPr>
          <w:p w:rsidR="00B841FB" w:rsidRDefault="00830A8D" w:rsidP="009A61CE">
            <w:pPr>
              <w:pStyle w:val="Heading1-Subnonboldtext"/>
            </w:pPr>
            <w:r w:rsidRPr="00F417FD">
              <w:rPr>
                <w:rStyle w:val="Heading1-Sub"/>
              </w:rPr>
              <w:t>Legislation</w:t>
            </w:r>
            <w:r>
              <w:tab/>
            </w:r>
            <w:r w:rsidR="004F22A2">
              <w:t>Official Information Act 1982</w:t>
            </w:r>
            <w:r w:rsidR="00FA70FE">
              <w:t>, ss 2(2), 2(3), 2(6)(b)</w:t>
            </w:r>
            <w:r w:rsidR="004F393F">
              <w:t xml:space="preserve"> </w:t>
            </w:r>
          </w:p>
          <w:p w:rsidR="00E93C7F" w:rsidRPr="009A61CE" w:rsidRDefault="00E93C7F" w:rsidP="009A61CE">
            <w:pPr>
              <w:pStyle w:val="Heading1-Subnonboldtext"/>
              <w:rPr>
                <w:b/>
              </w:rPr>
            </w:pPr>
            <w:r>
              <w:rPr>
                <w:rStyle w:val="Heading1-Sub"/>
              </w:rPr>
              <w:t>Agency</w:t>
            </w:r>
            <w:r>
              <w:tab/>
              <w:t>Department of Work and Income</w:t>
            </w:r>
          </w:p>
          <w:p w:rsidR="0089058E" w:rsidRDefault="00830A8D" w:rsidP="00B841FB">
            <w:pPr>
              <w:pStyle w:val="Heading1-Subnonboldtext"/>
            </w:pPr>
            <w:r w:rsidRPr="00F417FD">
              <w:rPr>
                <w:rStyle w:val="Heading1-Sub"/>
              </w:rPr>
              <w:t>Ombudsman</w:t>
            </w:r>
            <w:r>
              <w:tab/>
            </w:r>
            <w:r w:rsidR="004F22A2">
              <w:t>Anand Satyanand</w:t>
            </w:r>
          </w:p>
          <w:p w:rsidR="000054D7" w:rsidRDefault="00830A8D" w:rsidP="000054D7">
            <w:pPr>
              <w:pStyle w:val="Heading1-Subnonboldtext"/>
            </w:pPr>
            <w:r w:rsidRPr="00F417FD">
              <w:rPr>
                <w:rStyle w:val="Heading1-Sub"/>
              </w:rPr>
              <w:t>Case number(s)</w:t>
            </w:r>
            <w:r>
              <w:tab/>
            </w:r>
            <w:r w:rsidR="004F22A2">
              <w:t>W46821</w:t>
            </w:r>
          </w:p>
          <w:p w:rsidR="00B841FB" w:rsidRPr="00F417FD" w:rsidRDefault="00830A8D" w:rsidP="000054D7">
            <w:pPr>
              <w:pStyle w:val="Heading1-Subnonboldtext"/>
            </w:pPr>
            <w:r w:rsidRPr="00F417FD">
              <w:rPr>
                <w:rStyle w:val="Heading1-Sub"/>
              </w:rPr>
              <w:t>Date</w:t>
            </w:r>
            <w:r>
              <w:tab/>
            </w:r>
            <w:r w:rsidR="004F22A2">
              <w:t>November 2001</w:t>
            </w:r>
          </w:p>
        </w:tc>
      </w:tr>
    </w:tbl>
    <w:p w:rsidR="00DD3808" w:rsidRDefault="00DD3808" w:rsidP="009A61CE">
      <w:pPr>
        <w:pStyle w:val="BodyText"/>
        <w:rPr>
          <w:lang w:eastAsia="en-NZ"/>
        </w:rPr>
      </w:pPr>
    </w:p>
    <w:p w:rsidR="0089058E" w:rsidRPr="007A2EA9" w:rsidRDefault="004F22A2" w:rsidP="0089058E">
      <w:pPr>
        <w:pStyle w:val="NormalWeb"/>
        <w:rPr>
          <w:i/>
        </w:rPr>
      </w:pPr>
      <w:r w:rsidRPr="004F22A2">
        <w:rPr>
          <w:i/>
        </w:rPr>
        <w:t>Application of OIA to information held by a B</w:t>
      </w:r>
      <w:r w:rsidR="007A2EA9">
        <w:rPr>
          <w:i/>
        </w:rPr>
        <w:t>enefit Review Committee (BRC)—</w:t>
      </w:r>
      <w:r w:rsidRPr="004F22A2">
        <w:rPr>
          <w:i/>
        </w:rPr>
        <w:t xml:space="preserve">status of a BRC for the purposes of the </w:t>
      </w:r>
      <w:r w:rsidR="007A2EA9">
        <w:rPr>
          <w:i/>
        </w:rPr>
        <w:t>OIA—</w:t>
      </w:r>
      <w:r w:rsidRPr="004F22A2">
        <w:rPr>
          <w:i/>
        </w:rPr>
        <w:t xml:space="preserve">whether a BRC is </w:t>
      </w:r>
      <w:r w:rsidRPr="00391E4B">
        <w:rPr>
          <w:i/>
        </w:rPr>
        <w:t xml:space="preserve">a </w:t>
      </w:r>
      <w:r w:rsidR="00FB1309">
        <w:rPr>
          <w:i/>
        </w:rPr>
        <w:t>‘</w:t>
      </w:r>
      <w:r w:rsidRPr="00391E4B">
        <w:rPr>
          <w:i/>
        </w:rPr>
        <w:t>Tribunal</w:t>
      </w:r>
      <w:r w:rsidR="00FB1309">
        <w:rPr>
          <w:i/>
        </w:rPr>
        <w:t>’</w:t>
      </w:r>
      <w:r w:rsidR="007A2EA9">
        <w:rPr>
          <w:i/>
        </w:rPr>
        <w:t>—</w:t>
      </w:r>
      <w:r w:rsidRPr="00391E4B">
        <w:rPr>
          <w:i/>
        </w:rPr>
        <w:t>information</w:t>
      </w:r>
      <w:r w:rsidRPr="004F22A2">
        <w:rPr>
          <w:i/>
        </w:rPr>
        <w:t xml:space="preserve"> held by a BRC </w:t>
      </w:r>
      <w:r w:rsidR="00391E4B">
        <w:rPr>
          <w:i/>
        </w:rPr>
        <w:t xml:space="preserve">is </w:t>
      </w:r>
      <w:r w:rsidRPr="004F22A2">
        <w:rPr>
          <w:i/>
        </w:rPr>
        <w:t xml:space="preserve">subject to </w:t>
      </w:r>
      <w:r w:rsidR="00391E4B">
        <w:rPr>
          <w:i/>
        </w:rPr>
        <w:t>OIA</w:t>
      </w:r>
      <w:r w:rsidR="00FB1309">
        <w:rPr>
          <w:i/>
        </w:rPr>
        <w:t xml:space="preserve"> </w:t>
      </w:r>
      <w:r w:rsidR="0089058E" w:rsidRPr="004F22A2">
        <w:rPr>
          <w:i/>
        </w:rPr>
        <w:t>     </w:t>
      </w:r>
    </w:p>
    <w:p w:rsidR="004F22A2" w:rsidRDefault="004F22A2" w:rsidP="007A2EA9">
      <w:pPr>
        <w:pStyle w:val="BodyText"/>
        <w:rPr>
          <w:rFonts w:ascii="Times New Roman" w:hAnsi="Times New Roman"/>
          <w:color w:val="auto"/>
        </w:rPr>
      </w:pPr>
      <w:r>
        <w:t>Two issues of jurisdiction were raised by the then Department of Work and Income (now Ministry of Social Development) in the course of an investigation concerning a Benefit Review Hearing</w:t>
      </w:r>
      <w:r w:rsidR="00FB1309">
        <w:t xml:space="preserve">. </w:t>
      </w:r>
      <w:r>
        <w:t>These were:</w:t>
      </w:r>
    </w:p>
    <w:p w:rsidR="004F22A2" w:rsidRPr="004F22A2" w:rsidRDefault="004F22A2" w:rsidP="007A2EA9">
      <w:pPr>
        <w:pStyle w:val="Bullet1"/>
        <w:rPr>
          <w:rFonts w:ascii="Times New Roman" w:hAnsi="Times New Roman"/>
          <w:color w:val="auto"/>
        </w:rPr>
      </w:pPr>
      <w:r>
        <w:t>whether a Benefit Review Committee (BRC) was an organisation for the purposes of the OIA; and</w:t>
      </w:r>
    </w:p>
    <w:p w:rsidR="004F22A2" w:rsidRDefault="004F22A2" w:rsidP="007A2EA9">
      <w:pPr>
        <w:pStyle w:val="Bullet1"/>
      </w:pPr>
      <w:r>
        <w:t xml:space="preserve">whether a BRC is a </w:t>
      </w:r>
      <w:r w:rsidR="00FB1309">
        <w:rPr>
          <w:i/>
        </w:rPr>
        <w:t>‘</w:t>
      </w:r>
      <w:r w:rsidRPr="004F22A2">
        <w:rPr>
          <w:i/>
        </w:rPr>
        <w:t>Tribunal</w:t>
      </w:r>
      <w:r w:rsidR="00FB1309">
        <w:rPr>
          <w:i/>
        </w:rPr>
        <w:t>’</w:t>
      </w:r>
      <w:r>
        <w:t xml:space="preserve"> for the purposes of section 2(6) of the OIA.</w:t>
      </w:r>
    </w:p>
    <w:p w:rsidR="004F22A2" w:rsidRDefault="004F22A2" w:rsidP="007A2EA9">
      <w:pPr>
        <w:pStyle w:val="BodyText"/>
      </w:pPr>
      <w:r>
        <w:t>B</w:t>
      </w:r>
      <w:r w:rsidR="00161FA9">
        <w:t xml:space="preserve">RCs are not named in either </w:t>
      </w:r>
      <w:r>
        <w:t xml:space="preserve">Schedule </w:t>
      </w:r>
      <w:r w:rsidR="00161FA9">
        <w:t>1 of</w:t>
      </w:r>
      <w:r>
        <w:t xml:space="preserve"> the Ombudsmen Act or the OIA</w:t>
      </w:r>
      <w:r w:rsidR="00FB1309">
        <w:t xml:space="preserve">. </w:t>
      </w:r>
      <w:r>
        <w:t>However, sections 2(2) and 2(3) of the OIA provide:</w:t>
      </w:r>
    </w:p>
    <w:p w:rsidR="007A2EA9" w:rsidRPr="00C027E8" w:rsidRDefault="007A2EA9" w:rsidP="007A2EA9">
      <w:pPr>
        <w:pStyle w:val="BQLegstyle-1"/>
      </w:pPr>
      <w:r w:rsidRPr="00C027E8">
        <w:t>(2</w:t>
      </w:r>
      <w:r>
        <w:t>)</w:t>
      </w:r>
      <w:r>
        <w:tab/>
      </w:r>
      <w:r w:rsidRPr="00C027E8">
        <w:t>Where information is held by an unincorporated body (being a board, council,</w:t>
      </w:r>
      <w:r>
        <w:t xml:space="preserve"> </w:t>
      </w:r>
      <w:r w:rsidRPr="00C027E8">
        <w:t>committee, subcommittee, or other body, but not being a mortality review committee)—</w:t>
      </w:r>
    </w:p>
    <w:p w:rsidR="007A2EA9" w:rsidRPr="00C027E8" w:rsidRDefault="007A2EA9" w:rsidP="007A2EA9">
      <w:pPr>
        <w:pStyle w:val="BQLegstyle-a"/>
      </w:pPr>
      <w:r w:rsidRPr="00C027E8">
        <w:t>(a</w:t>
      </w:r>
      <w:r>
        <w:t>)</w:t>
      </w:r>
      <w:r>
        <w:tab/>
      </w:r>
      <w:r w:rsidRPr="00C027E8">
        <w:t>which is established for the purpose of assisting or advising, or performing</w:t>
      </w:r>
      <w:r>
        <w:t xml:space="preserve"> </w:t>
      </w:r>
      <w:r w:rsidRPr="00C027E8">
        <w:t>functions connected with, any department or Minister of the Crown</w:t>
      </w:r>
      <w:r>
        <w:t xml:space="preserve"> </w:t>
      </w:r>
      <w:r w:rsidRPr="00C027E8">
        <w:t>or organisation; and</w:t>
      </w:r>
    </w:p>
    <w:p w:rsidR="007A2EA9" w:rsidRPr="00C027E8" w:rsidRDefault="007A2EA9" w:rsidP="007A2EA9">
      <w:pPr>
        <w:pStyle w:val="BQLegstyle-a"/>
      </w:pPr>
      <w:r w:rsidRPr="00C027E8">
        <w:lastRenderedPageBreak/>
        <w:t>(b</w:t>
      </w:r>
      <w:r>
        <w:t>)</w:t>
      </w:r>
      <w:r>
        <w:tab/>
      </w:r>
      <w:r w:rsidRPr="00C027E8">
        <w:t>which is so established in accordance with the provisions of any enactment</w:t>
      </w:r>
      <w:r>
        <w:t xml:space="preserve"> </w:t>
      </w:r>
      <w:r w:rsidRPr="00C027E8">
        <w:t>or by any department or Minister of the Crown or organisation,—</w:t>
      </w:r>
    </w:p>
    <w:p w:rsidR="007A2EA9" w:rsidRPr="00C027E8" w:rsidRDefault="007A2EA9" w:rsidP="007A2EA9">
      <w:pPr>
        <w:pStyle w:val="BQLegindent1"/>
      </w:pPr>
      <w:r w:rsidRPr="00C027E8">
        <w:t>that information shall, for the purposes of this Act, be deemed—</w:t>
      </w:r>
    </w:p>
    <w:p w:rsidR="007A2EA9" w:rsidRPr="00C027E8" w:rsidRDefault="007A2EA9" w:rsidP="007A2EA9">
      <w:pPr>
        <w:pStyle w:val="BQLegstyle-a"/>
      </w:pPr>
      <w:r w:rsidRPr="00C027E8">
        <w:t>(c</w:t>
      </w:r>
      <w:r>
        <w:t>)</w:t>
      </w:r>
      <w:r>
        <w:tab/>
      </w:r>
      <w:r w:rsidRPr="00C027E8">
        <w:t>in any case where that body is established in respect of any department</w:t>
      </w:r>
      <w:r>
        <w:t xml:space="preserve"> </w:t>
      </w:r>
      <w:r w:rsidRPr="00C027E8">
        <w:t>or organisation, to be information held by that department or organisation;</w:t>
      </w:r>
      <w:r>
        <w:t xml:space="preserve"> </w:t>
      </w:r>
      <w:r w:rsidRPr="00C027E8">
        <w:t>and</w:t>
      </w:r>
    </w:p>
    <w:p w:rsidR="007A2EA9" w:rsidRPr="00C027E8" w:rsidRDefault="007A2EA9" w:rsidP="007A2EA9">
      <w:pPr>
        <w:pStyle w:val="BQLegstyle-a"/>
      </w:pPr>
      <w:r w:rsidRPr="00C027E8">
        <w:t>(d</w:t>
      </w:r>
      <w:r>
        <w:t>)</w:t>
      </w:r>
      <w:r>
        <w:tab/>
      </w:r>
      <w:r w:rsidRPr="00C027E8">
        <w:t>in any case where that body is established in respect of a Minister of the Crown, to be information held by that Minister.</w:t>
      </w:r>
    </w:p>
    <w:p w:rsidR="007A2EA9" w:rsidRPr="00C027E8" w:rsidRDefault="007A2EA9" w:rsidP="007A2EA9">
      <w:pPr>
        <w:pStyle w:val="BQLegstyle-1"/>
      </w:pPr>
      <w:r w:rsidRPr="00C027E8">
        <w:t>(3</w:t>
      </w:r>
      <w:r>
        <w:t>)</w:t>
      </w:r>
      <w:r>
        <w:tab/>
      </w:r>
      <w:r w:rsidRPr="00C027E8">
        <w:t>Where subsection (2) applies in respect of any unincorporated body and that</w:t>
      </w:r>
      <w:r>
        <w:t xml:space="preserve"> </w:t>
      </w:r>
      <w:r w:rsidRPr="00C027E8">
        <w:t>body is established for the purpose of assisting, advising, or performing functions</w:t>
      </w:r>
      <w:r>
        <w:t xml:space="preserve"> </w:t>
      </w:r>
      <w:r w:rsidRPr="00C027E8">
        <w:t>connected with any department or organisation, that unincorporated body</w:t>
      </w:r>
      <w:r>
        <w:t xml:space="preserve"> </w:t>
      </w:r>
      <w:r w:rsidRPr="00C027E8">
        <w:t>shall, for the purposes of this Act, be deemed to be part of that department or</w:t>
      </w:r>
      <w:r>
        <w:t xml:space="preserve"> </w:t>
      </w:r>
      <w:r w:rsidRPr="00C027E8">
        <w:t>organisation.</w:t>
      </w:r>
    </w:p>
    <w:p w:rsidR="004F22A2" w:rsidRPr="00E84351" w:rsidRDefault="004F22A2" w:rsidP="007A2EA9">
      <w:pPr>
        <w:pStyle w:val="BodyText"/>
        <w:rPr>
          <w:lang w:eastAsia="en-NZ"/>
        </w:rPr>
      </w:pPr>
      <w:r w:rsidRPr="00E84351">
        <w:rPr>
          <w:lang w:eastAsia="en-NZ"/>
        </w:rPr>
        <w:t xml:space="preserve">Because BRCs are unincorporated bodies, </w:t>
      </w:r>
      <w:r w:rsidR="00FB1309">
        <w:rPr>
          <w:i/>
          <w:lang w:eastAsia="en-NZ"/>
        </w:rPr>
        <w:t>‘</w:t>
      </w:r>
      <w:r w:rsidRPr="00E84351">
        <w:rPr>
          <w:i/>
          <w:lang w:eastAsia="en-NZ"/>
        </w:rPr>
        <w:t>committees</w:t>
      </w:r>
      <w:r w:rsidR="00FB1309">
        <w:rPr>
          <w:i/>
          <w:lang w:eastAsia="en-NZ"/>
        </w:rPr>
        <w:t>’</w:t>
      </w:r>
      <w:r w:rsidRPr="00E84351">
        <w:rPr>
          <w:lang w:eastAsia="en-NZ"/>
        </w:rPr>
        <w:t>, and are established pursuant to an Act to perform the function of reviewing departmental decisions on benefit applications, they appear to fulfil the requirements of s</w:t>
      </w:r>
      <w:r w:rsidR="00E84351">
        <w:rPr>
          <w:lang w:eastAsia="en-NZ"/>
        </w:rPr>
        <w:t>ection</w:t>
      </w:r>
      <w:r w:rsidRPr="00E84351">
        <w:rPr>
          <w:lang w:eastAsia="en-NZ"/>
        </w:rPr>
        <w:t xml:space="preserve"> 2(2)</w:t>
      </w:r>
      <w:r w:rsidR="00FB1309">
        <w:rPr>
          <w:lang w:eastAsia="en-NZ"/>
        </w:rPr>
        <w:t xml:space="preserve">. </w:t>
      </w:r>
      <w:r w:rsidRPr="00E84351">
        <w:rPr>
          <w:lang w:eastAsia="en-NZ"/>
        </w:rPr>
        <w:t>Pursuant to s</w:t>
      </w:r>
      <w:r w:rsidR="00E84351">
        <w:rPr>
          <w:lang w:eastAsia="en-NZ"/>
        </w:rPr>
        <w:t>ection</w:t>
      </w:r>
      <w:r w:rsidRPr="00E84351">
        <w:rPr>
          <w:lang w:eastAsia="en-NZ"/>
        </w:rPr>
        <w:t xml:space="preserve"> 2(3), information held by BRCs would be deemed to be held by the Department for the purposes of the</w:t>
      </w:r>
      <w:r w:rsidR="00E84351">
        <w:rPr>
          <w:lang w:eastAsia="en-NZ"/>
        </w:rPr>
        <w:t xml:space="preserve"> OIA</w:t>
      </w:r>
      <w:r w:rsidRPr="00E84351">
        <w:rPr>
          <w:lang w:eastAsia="en-NZ"/>
        </w:rPr>
        <w:t>.</w:t>
      </w:r>
    </w:p>
    <w:p w:rsidR="004F22A2" w:rsidRDefault="004F22A2" w:rsidP="007A2EA9">
      <w:pPr>
        <w:pStyle w:val="BodyText"/>
        <w:rPr>
          <w:lang w:eastAsia="en-NZ"/>
        </w:rPr>
      </w:pPr>
      <w:r w:rsidRPr="004F22A2">
        <w:rPr>
          <w:lang w:eastAsia="en-NZ"/>
        </w:rPr>
        <w:t xml:space="preserve">The second issue for consideration was whether a BRC is a </w:t>
      </w:r>
      <w:r w:rsidR="00FB1309">
        <w:rPr>
          <w:i/>
          <w:lang w:eastAsia="en-NZ"/>
        </w:rPr>
        <w:t>‘</w:t>
      </w:r>
      <w:r w:rsidRPr="004F22A2">
        <w:rPr>
          <w:i/>
          <w:lang w:eastAsia="en-NZ"/>
        </w:rPr>
        <w:t>Tribunal</w:t>
      </w:r>
      <w:r w:rsidR="00FB1309">
        <w:rPr>
          <w:i/>
          <w:lang w:eastAsia="en-NZ"/>
        </w:rPr>
        <w:t>’</w:t>
      </w:r>
      <w:r w:rsidRPr="004F22A2">
        <w:rPr>
          <w:lang w:eastAsia="en-NZ"/>
        </w:rPr>
        <w:t xml:space="preserve"> for the purposes of s</w:t>
      </w:r>
      <w:r w:rsidR="00E84351">
        <w:rPr>
          <w:lang w:eastAsia="en-NZ"/>
        </w:rPr>
        <w:t>ection</w:t>
      </w:r>
      <w:r w:rsidRPr="004F22A2">
        <w:rPr>
          <w:lang w:eastAsia="en-NZ"/>
        </w:rPr>
        <w:t xml:space="preserve"> 2(6) of the </w:t>
      </w:r>
      <w:r w:rsidR="00E84351">
        <w:rPr>
          <w:lang w:eastAsia="en-NZ"/>
        </w:rPr>
        <w:t xml:space="preserve">OIA </w:t>
      </w:r>
      <w:r w:rsidRPr="004F22A2">
        <w:rPr>
          <w:lang w:eastAsia="en-NZ"/>
        </w:rPr>
        <w:t>which states:</w:t>
      </w:r>
    </w:p>
    <w:p w:rsidR="007A2EA9" w:rsidRPr="00C027E8" w:rsidRDefault="007A2EA9" w:rsidP="007A2EA9">
      <w:pPr>
        <w:pStyle w:val="BQLegstyle-1"/>
      </w:pPr>
      <w:r w:rsidRPr="00C027E8">
        <w:t>(6</w:t>
      </w:r>
      <w:r>
        <w:t>)</w:t>
      </w:r>
      <w:r>
        <w:tab/>
      </w:r>
      <w:r w:rsidRPr="00C027E8">
        <w:t xml:space="preserve">For the avoidance of doubt, it is hereby declared that the terms </w:t>
      </w:r>
      <w:r w:rsidRPr="001048F1">
        <w:rPr>
          <w:rStyle w:val="Emphasis"/>
        </w:rPr>
        <w:t>department</w:t>
      </w:r>
      <w:r>
        <w:t xml:space="preserve"> </w:t>
      </w:r>
      <w:r w:rsidRPr="00C027E8">
        <w:t xml:space="preserve">and </w:t>
      </w:r>
      <w:r w:rsidRPr="001048F1">
        <w:rPr>
          <w:rStyle w:val="Emphasis"/>
        </w:rPr>
        <w:t>organisation</w:t>
      </w:r>
      <w:r w:rsidRPr="00C027E8">
        <w:t xml:space="preserve"> do not include—</w:t>
      </w:r>
    </w:p>
    <w:p w:rsidR="007A2EA9" w:rsidRPr="00C027E8" w:rsidRDefault="007A2EA9" w:rsidP="007A2EA9">
      <w:pPr>
        <w:pStyle w:val="BQLegstyle-a"/>
      </w:pPr>
      <w:r w:rsidRPr="00C027E8">
        <w:t>(a</w:t>
      </w:r>
      <w:r>
        <w:t>)</w:t>
      </w:r>
      <w:r>
        <w:tab/>
      </w:r>
      <w:r w:rsidRPr="00C027E8">
        <w:t>a court; or</w:t>
      </w:r>
    </w:p>
    <w:p w:rsidR="007A2EA9" w:rsidRPr="00C027E8" w:rsidRDefault="007A2EA9" w:rsidP="007A2EA9">
      <w:pPr>
        <w:pStyle w:val="BQLegstyle-a"/>
      </w:pPr>
      <w:r w:rsidRPr="00C027E8">
        <w:t>(b</w:t>
      </w:r>
      <w:r>
        <w:t>)</w:t>
      </w:r>
      <w:r>
        <w:tab/>
      </w:r>
      <w:r w:rsidRPr="00C027E8">
        <w:t>in relation to its judicial functions, a tribunal; or</w:t>
      </w:r>
    </w:p>
    <w:p w:rsidR="007A2EA9" w:rsidRDefault="004F22A2" w:rsidP="007A2EA9">
      <w:pPr>
        <w:pStyle w:val="BodyText"/>
        <w:rPr>
          <w:lang w:eastAsia="en-NZ"/>
        </w:rPr>
      </w:pPr>
      <w:r w:rsidRPr="004F22A2">
        <w:rPr>
          <w:lang w:eastAsia="en-NZ"/>
        </w:rPr>
        <w:t xml:space="preserve">The Department contended that a BRC is a </w:t>
      </w:r>
      <w:r w:rsidR="00FB1309">
        <w:rPr>
          <w:i/>
          <w:lang w:eastAsia="en-NZ"/>
        </w:rPr>
        <w:t>‘</w:t>
      </w:r>
      <w:r w:rsidRPr="004F22A2">
        <w:rPr>
          <w:i/>
          <w:lang w:eastAsia="en-NZ"/>
        </w:rPr>
        <w:t>Tribunal</w:t>
      </w:r>
      <w:r w:rsidR="00FB1309">
        <w:rPr>
          <w:i/>
          <w:lang w:eastAsia="en-NZ"/>
        </w:rPr>
        <w:t>’</w:t>
      </w:r>
      <w:r w:rsidRPr="004F22A2">
        <w:rPr>
          <w:lang w:eastAsia="en-NZ"/>
        </w:rPr>
        <w:t xml:space="preserve"> and that accordingly, in relation to its judicial functions, the OIA would not apply to information held in relation to those functions.</w:t>
      </w:r>
    </w:p>
    <w:p w:rsidR="004F22A2" w:rsidRPr="004F22A2" w:rsidRDefault="004F22A2" w:rsidP="007A2EA9">
      <w:pPr>
        <w:pStyle w:val="BodyText"/>
        <w:spacing w:after="120"/>
        <w:rPr>
          <w:lang w:eastAsia="en-NZ"/>
        </w:rPr>
      </w:pPr>
      <w:r w:rsidRPr="004F22A2">
        <w:rPr>
          <w:lang w:eastAsia="en-NZ"/>
        </w:rPr>
        <w:t>Consideration was given to the High Court</w:t>
      </w:r>
      <w:r w:rsidR="00FB1309">
        <w:rPr>
          <w:lang w:eastAsia="en-NZ"/>
        </w:rPr>
        <w:t>’</w:t>
      </w:r>
      <w:r w:rsidRPr="004F22A2">
        <w:rPr>
          <w:lang w:eastAsia="en-NZ"/>
        </w:rPr>
        <w:t xml:space="preserve">s decision in </w:t>
      </w:r>
      <w:r w:rsidRPr="004F22A2">
        <w:rPr>
          <w:i/>
          <w:lang w:eastAsia="en-NZ"/>
        </w:rPr>
        <w:t>Commissioner of Inland Revenue v B</w:t>
      </w:r>
      <w:r w:rsidRPr="004F22A2">
        <w:rPr>
          <w:lang w:eastAsia="en-NZ"/>
        </w:rPr>
        <w:t xml:space="preserve"> [2001] 2 NZLR 566</w:t>
      </w:r>
      <w:r w:rsidR="00FB1309">
        <w:rPr>
          <w:lang w:eastAsia="en-NZ"/>
        </w:rPr>
        <w:t xml:space="preserve">. </w:t>
      </w:r>
      <w:r w:rsidRPr="004F22A2">
        <w:rPr>
          <w:lang w:eastAsia="en-NZ"/>
        </w:rPr>
        <w:t>The presiding Judge, Justice Wild, stated that when considering the matter of whether a person or body is acting as a tribunal, the issue is whether that person or body is acting judicially or administratively</w:t>
      </w:r>
      <w:r w:rsidR="00FB1309">
        <w:rPr>
          <w:lang w:eastAsia="en-NZ"/>
        </w:rPr>
        <w:t xml:space="preserve">. </w:t>
      </w:r>
      <w:r w:rsidRPr="004F22A2">
        <w:rPr>
          <w:lang w:eastAsia="en-NZ"/>
        </w:rPr>
        <w:t xml:space="preserve">Justice Wild then applied the ten tests formulated by Lord Diplock in the House of Lords in </w:t>
      </w:r>
      <w:r w:rsidRPr="004F22A2">
        <w:rPr>
          <w:i/>
          <w:lang w:eastAsia="en-NZ"/>
        </w:rPr>
        <w:t>Trapp v Mackie</w:t>
      </w:r>
      <w:r w:rsidRPr="004F22A2">
        <w:rPr>
          <w:lang w:eastAsia="en-NZ"/>
        </w:rPr>
        <w:t xml:space="preserve"> [1979] 1 All ER 489, stating:</w:t>
      </w:r>
    </w:p>
    <w:p w:rsidR="004F22A2" w:rsidRPr="004F22A2" w:rsidRDefault="004F22A2" w:rsidP="007A2EA9">
      <w:pPr>
        <w:pStyle w:val="Quotationseparateparagraph"/>
        <w:rPr>
          <w:lang w:eastAsia="en-NZ"/>
        </w:rPr>
      </w:pPr>
      <w:r w:rsidRPr="004F22A2">
        <w:rPr>
          <w:lang w:eastAsia="en-NZ"/>
        </w:rPr>
        <w:t>I accept that ... there exists no clear watershed between functions administrative and those judicial</w:t>
      </w:r>
      <w:r w:rsidR="00FB1309">
        <w:rPr>
          <w:lang w:eastAsia="en-NZ"/>
        </w:rPr>
        <w:t xml:space="preserve">. </w:t>
      </w:r>
      <w:r w:rsidRPr="004F22A2">
        <w:rPr>
          <w:lang w:eastAsia="en-NZ"/>
        </w:rPr>
        <w:t xml:space="preserve">Nevertheless, the Trapp tests are all useful </w:t>
      </w:r>
      <w:r w:rsidR="00FB1309">
        <w:rPr>
          <w:lang w:eastAsia="en-NZ"/>
        </w:rPr>
        <w:t>‘</w:t>
      </w:r>
      <w:r w:rsidRPr="004F22A2">
        <w:rPr>
          <w:lang w:eastAsia="en-NZ"/>
        </w:rPr>
        <w:t>touchstones</w:t>
      </w:r>
      <w:r w:rsidR="00FB1309">
        <w:rPr>
          <w:lang w:eastAsia="en-NZ"/>
        </w:rPr>
        <w:t>’</w:t>
      </w:r>
      <w:r w:rsidRPr="004F22A2">
        <w:rPr>
          <w:lang w:eastAsia="en-NZ"/>
        </w:rPr>
        <w:t xml:space="preserve"> (Lord Diplock</w:t>
      </w:r>
      <w:r w:rsidR="00FB1309">
        <w:rPr>
          <w:lang w:eastAsia="en-NZ"/>
        </w:rPr>
        <w:t>’</w:t>
      </w:r>
      <w:r w:rsidRPr="004F22A2">
        <w:rPr>
          <w:lang w:eastAsia="en-NZ"/>
        </w:rPr>
        <w:t>s word at p 492 of Trapp) and their application points convincingly to an administrative function.</w:t>
      </w:r>
    </w:p>
    <w:p w:rsidR="004F22A2" w:rsidRPr="00E84351" w:rsidRDefault="004F22A2" w:rsidP="007A2EA9">
      <w:pPr>
        <w:pStyle w:val="BodyText"/>
        <w:rPr>
          <w:lang w:eastAsia="en-NZ"/>
        </w:rPr>
      </w:pPr>
      <w:r w:rsidRPr="00E84351">
        <w:rPr>
          <w:lang w:eastAsia="en-NZ"/>
        </w:rPr>
        <w:t>The tests can be applied in relation to the BRC as follows.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>Test (1): Is the d</w:t>
      </w:r>
      <w:r w:rsidR="0073358B">
        <w:rPr>
          <w:szCs w:val="24"/>
          <w:lang w:eastAsia="en-NZ"/>
        </w:rPr>
        <w:t>etermination authorised by law—</w:t>
      </w:r>
      <w:r w:rsidRPr="004F22A2">
        <w:rPr>
          <w:szCs w:val="24"/>
          <w:lang w:eastAsia="en-NZ"/>
        </w:rPr>
        <w:t xml:space="preserve">was it constituted pursuant to an Act of Parliament? 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 xml:space="preserve">Answer:  Yes, BRCs are constituted pursuant to the Social Security Act 1964 and are empowered to make decisions that confirm, vary or revoke the decision being reviewed. 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 xml:space="preserve">Test (2): Is the inquiry into an issue in dispute between parties of a kind similar to issues that commonly fall to be </w:t>
      </w:r>
      <w:r w:rsidR="0073358B">
        <w:rPr>
          <w:szCs w:val="24"/>
          <w:lang w:eastAsia="en-NZ"/>
        </w:rPr>
        <w:t>decided by c</w:t>
      </w:r>
      <w:r w:rsidRPr="004F22A2">
        <w:rPr>
          <w:szCs w:val="24"/>
          <w:lang w:eastAsia="en-NZ"/>
        </w:rPr>
        <w:t>ourts of justice?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>Answer:  Only in a limited sense</w:t>
      </w:r>
      <w:r w:rsidR="00FB1309">
        <w:rPr>
          <w:szCs w:val="24"/>
          <w:lang w:eastAsia="en-NZ"/>
        </w:rPr>
        <w:t xml:space="preserve">. </w:t>
      </w:r>
      <w:r w:rsidRPr="004F22A2">
        <w:rPr>
          <w:szCs w:val="24"/>
          <w:lang w:eastAsia="en-NZ"/>
        </w:rPr>
        <w:t xml:space="preserve">The Act appears to contemplate a BRC </w:t>
      </w:r>
      <w:r w:rsidR="00FB1309">
        <w:rPr>
          <w:i/>
          <w:szCs w:val="24"/>
          <w:lang w:eastAsia="en-NZ"/>
        </w:rPr>
        <w:t>‘</w:t>
      </w:r>
      <w:r w:rsidRPr="004F22A2">
        <w:rPr>
          <w:i/>
          <w:szCs w:val="24"/>
          <w:lang w:eastAsia="en-NZ"/>
        </w:rPr>
        <w:t>review</w:t>
      </w:r>
      <w:r w:rsidR="00FB1309">
        <w:rPr>
          <w:i/>
          <w:szCs w:val="24"/>
          <w:lang w:eastAsia="en-NZ"/>
        </w:rPr>
        <w:t>’</w:t>
      </w:r>
      <w:r w:rsidRPr="004F22A2">
        <w:rPr>
          <w:szCs w:val="24"/>
          <w:lang w:eastAsia="en-NZ"/>
        </w:rPr>
        <w:t xml:space="preserve"> as encompassing a general reappraisal of the exercise of an administrative function or power, which may include matters of policy and discretion</w:t>
      </w:r>
      <w:r w:rsidR="00FB1309">
        <w:rPr>
          <w:szCs w:val="24"/>
          <w:lang w:eastAsia="en-NZ"/>
        </w:rPr>
        <w:t xml:space="preserve">. </w:t>
      </w:r>
      <w:r w:rsidRPr="004F22A2">
        <w:rPr>
          <w:szCs w:val="24"/>
          <w:lang w:eastAsia="en-NZ"/>
        </w:rPr>
        <w:t>It does not seem to be confined to the sorts</w:t>
      </w:r>
      <w:r w:rsidR="005E3B9B">
        <w:rPr>
          <w:szCs w:val="24"/>
          <w:lang w:eastAsia="en-NZ"/>
        </w:rPr>
        <w:t xml:space="preserve"> of issues normally decided by c</w:t>
      </w:r>
      <w:r w:rsidRPr="004F22A2">
        <w:rPr>
          <w:szCs w:val="24"/>
          <w:lang w:eastAsia="en-NZ"/>
        </w:rPr>
        <w:t>ourts of justice.</w:t>
      </w:r>
    </w:p>
    <w:p w:rsidR="004F22A2" w:rsidRPr="004F22A2" w:rsidRDefault="005E3B9B" w:rsidP="007A2EA9">
      <w:pPr>
        <w:pStyle w:val="BodyText"/>
        <w:rPr>
          <w:szCs w:val="24"/>
          <w:lang w:eastAsia="en-NZ"/>
        </w:rPr>
      </w:pPr>
      <w:r>
        <w:rPr>
          <w:szCs w:val="24"/>
          <w:lang w:eastAsia="en-NZ"/>
        </w:rPr>
        <w:t>Test (3):</w:t>
      </w:r>
      <w:r w:rsidR="004F22A2" w:rsidRPr="004F22A2">
        <w:rPr>
          <w:szCs w:val="24"/>
          <w:lang w:eastAsia="en-NZ"/>
        </w:rPr>
        <w:t xml:space="preserve"> Is the inquiry held in public?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>Answer:  No.</w:t>
      </w:r>
    </w:p>
    <w:p w:rsidR="004F22A2" w:rsidRPr="004F22A2" w:rsidRDefault="00E84351" w:rsidP="007A2EA9">
      <w:pPr>
        <w:pStyle w:val="BodyText"/>
        <w:rPr>
          <w:szCs w:val="24"/>
          <w:lang w:eastAsia="en-NZ"/>
        </w:rPr>
      </w:pPr>
      <w:r>
        <w:rPr>
          <w:szCs w:val="24"/>
          <w:lang w:eastAsia="en-NZ"/>
        </w:rPr>
        <w:t>T</w:t>
      </w:r>
      <w:r w:rsidR="004F22A2" w:rsidRPr="004F22A2">
        <w:rPr>
          <w:szCs w:val="24"/>
          <w:lang w:eastAsia="en-NZ"/>
        </w:rPr>
        <w:t>est (4): Are decisions as to what oral evidence should be led and what documents should be tendered or their production called for left to the contending parties?</w:t>
      </w:r>
    </w:p>
    <w:p w:rsidR="004F22A2" w:rsidRPr="004F22A2" w:rsidRDefault="004F22A2" w:rsidP="007A2EA9">
      <w:pPr>
        <w:pStyle w:val="BodyText"/>
        <w:rPr>
          <w:szCs w:val="24"/>
          <w:lang w:eastAsia="en-NZ"/>
        </w:rPr>
      </w:pPr>
      <w:r w:rsidRPr="004F22A2">
        <w:rPr>
          <w:szCs w:val="24"/>
          <w:lang w:eastAsia="en-NZ"/>
        </w:rPr>
        <w:t>Answer:  This does not appear to be the case</w:t>
      </w:r>
      <w:r w:rsidR="00FB1309">
        <w:rPr>
          <w:szCs w:val="24"/>
          <w:lang w:eastAsia="en-NZ"/>
        </w:rPr>
        <w:t xml:space="preserve">. </w:t>
      </w:r>
      <w:r w:rsidRPr="004F22A2">
        <w:rPr>
          <w:szCs w:val="24"/>
          <w:lang w:eastAsia="en-NZ"/>
        </w:rPr>
        <w:t>There are no statutory provisions applying to how reviews are to be conducted</w:t>
      </w:r>
      <w:r w:rsidR="00FB1309">
        <w:rPr>
          <w:szCs w:val="24"/>
          <w:lang w:eastAsia="en-NZ"/>
        </w:rPr>
        <w:t xml:space="preserve">. </w:t>
      </w:r>
      <w:r w:rsidRPr="004F22A2">
        <w:rPr>
          <w:szCs w:val="24"/>
          <w:lang w:eastAsia="en-NZ"/>
        </w:rPr>
        <w:t xml:space="preserve">There is no requirement for a </w:t>
      </w:r>
      <w:r w:rsidR="00FB1309">
        <w:rPr>
          <w:i/>
          <w:szCs w:val="24"/>
          <w:lang w:eastAsia="en-NZ"/>
        </w:rPr>
        <w:t>‘</w:t>
      </w:r>
      <w:r w:rsidRPr="004F22A2">
        <w:rPr>
          <w:i/>
          <w:szCs w:val="24"/>
          <w:lang w:eastAsia="en-NZ"/>
        </w:rPr>
        <w:t>hearing</w:t>
      </w:r>
      <w:r w:rsidR="00FB1309">
        <w:rPr>
          <w:i/>
          <w:szCs w:val="24"/>
          <w:lang w:eastAsia="en-NZ"/>
        </w:rPr>
        <w:t>’</w:t>
      </w:r>
      <w:r w:rsidRPr="004F22A2">
        <w:rPr>
          <w:szCs w:val="24"/>
          <w:lang w:eastAsia="en-NZ"/>
        </w:rPr>
        <w:t xml:space="preserve"> and s</w:t>
      </w:r>
      <w:r w:rsidR="00E84351">
        <w:rPr>
          <w:szCs w:val="24"/>
          <w:lang w:eastAsia="en-NZ"/>
        </w:rPr>
        <w:t>ection</w:t>
      </w:r>
      <w:r w:rsidRPr="004F22A2">
        <w:rPr>
          <w:szCs w:val="24"/>
          <w:lang w:eastAsia="en-NZ"/>
        </w:rPr>
        <w:t xml:space="preserve"> 10A(6) of the Social Security Act simply speaks of </w:t>
      </w:r>
      <w:r w:rsidR="00FB1309">
        <w:rPr>
          <w:i/>
          <w:szCs w:val="24"/>
          <w:lang w:eastAsia="en-NZ"/>
        </w:rPr>
        <w:t>‘</w:t>
      </w:r>
      <w:r w:rsidRPr="004F22A2">
        <w:rPr>
          <w:i/>
          <w:szCs w:val="24"/>
          <w:lang w:eastAsia="en-NZ"/>
        </w:rPr>
        <w:t>meetings</w:t>
      </w:r>
      <w:r w:rsidR="00FB1309">
        <w:rPr>
          <w:i/>
          <w:szCs w:val="24"/>
          <w:lang w:eastAsia="en-NZ"/>
        </w:rPr>
        <w:t>’</w:t>
      </w:r>
      <w:r w:rsidRPr="004F22A2">
        <w:rPr>
          <w:szCs w:val="24"/>
          <w:lang w:eastAsia="en-NZ"/>
        </w:rPr>
        <w:t xml:space="preserve"> of a BRC.</w:t>
      </w:r>
    </w:p>
    <w:p w:rsidR="004F22A2" w:rsidRPr="00E84351" w:rsidRDefault="004F22A2" w:rsidP="007A2EA9">
      <w:pPr>
        <w:pStyle w:val="BodyText"/>
        <w:rPr>
          <w:lang w:eastAsia="en-NZ"/>
        </w:rPr>
      </w:pPr>
      <w:r w:rsidRPr="00E84351">
        <w:rPr>
          <w:lang w:eastAsia="en-NZ"/>
        </w:rPr>
        <w:t>Test (5): Are witnesses whom either party wishes to call compellable, under penal sanctions, to give oral evidence or to produce documents; and entitled to the same privilege to refuse to answer a question or produce a d</w:t>
      </w:r>
      <w:r w:rsidR="00842DD6">
        <w:rPr>
          <w:lang w:eastAsia="en-NZ"/>
        </w:rPr>
        <w:t>ocument as would apply if in a c</w:t>
      </w:r>
      <w:r w:rsidRPr="00E84351">
        <w:rPr>
          <w:lang w:eastAsia="en-NZ"/>
        </w:rPr>
        <w:t>ourt of law?</w:t>
      </w:r>
    </w:p>
    <w:p w:rsidR="004F22A2" w:rsidRPr="00E84351" w:rsidRDefault="004F22A2" w:rsidP="007A2EA9">
      <w:pPr>
        <w:pStyle w:val="BodyText"/>
      </w:pPr>
      <w:r w:rsidRPr="00E84351">
        <w:t>Answer:  No.</w:t>
      </w:r>
    </w:p>
    <w:p w:rsidR="004F22A2" w:rsidRPr="00E84351" w:rsidRDefault="004F22A2" w:rsidP="007A2EA9">
      <w:pPr>
        <w:pStyle w:val="BodyText"/>
      </w:pPr>
      <w:r w:rsidRPr="00E84351">
        <w:t>Test (6): Is the oral evidence given on oath; if a witness knowingly gave false evidence would that witness incur criminal liability for perjury?</w:t>
      </w:r>
    </w:p>
    <w:p w:rsidR="004F22A2" w:rsidRPr="00E84351" w:rsidRDefault="004F22A2" w:rsidP="007A2EA9">
      <w:pPr>
        <w:pStyle w:val="BodyText"/>
      </w:pPr>
      <w:r w:rsidRPr="00E84351">
        <w:t>Answer:  No</w:t>
      </w:r>
      <w:r w:rsidR="00FB1309">
        <w:t xml:space="preserve">. </w:t>
      </w:r>
      <w:r w:rsidRPr="00E84351">
        <w:t>BRCs have no power to require evidence to be given on oath.</w:t>
      </w:r>
    </w:p>
    <w:p w:rsidR="004F22A2" w:rsidRPr="00E84351" w:rsidRDefault="004F22A2" w:rsidP="007A2EA9">
      <w:pPr>
        <w:pStyle w:val="BodyText"/>
      </w:pPr>
      <w:r w:rsidRPr="00E84351">
        <w:t xml:space="preserve">Test (7): Are witnesses who give oral evidence subject to examination-in-chief and re-examination by the party calling them and to cross-examination by the adverse party, in accordance with the normal procedure of </w:t>
      </w:r>
      <w:r w:rsidR="00842DD6">
        <w:t>c</w:t>
      </w:r>
      <w:r w:rsidRPr="00E84351">
        <w:t>ourts of law?</w:t>
      </w:r>
    </w:p>
    <w:p w:rsidR="004F22A2" w:rsidRPr="00E84351" w:rsidRDefault="004F22A2" w:rsidP="007A2EA9">
      <w:pPr>
        <w:pStyle w:val="BodyText"/>
      </w:pPr>
      <w:r w:rsidRPr="00E84351">
        <w:t>Answer:  No</w:t>
      </w:r>
      <w:r w:rsidR="00FB1309">
        <w:t xml:space="preserve">. </w:t>
      </w:r>
      <w:r w:rsidRPr="00E84351">
        <w:t>BRCs have no power to compel witnesses to appear.</w:t>
      </w:r>
    </w:p>
    <w:p w:rsidR="004F22A2" w:rsidRPr="00E84351" w:rsidRDefault="00E84351" w:rsidP="007A2EA9">
      <w:pPr>
        <w:pStyle w:val="BodyText"/>
      </w:pPr>
      <w:r>
        <w:t>T</w:t>
      </w:r>
      <w:r w:rsidR="004F22A2" w:rsidRPr="00E84351">
        <w:t>est (8): Are the parties entitled to be represented by legally qualified advocates or solicitors and given the opportunity of addressing the tribunal on the evidence that had been led?</w:t>
      </w:r>
    </w:p>
    <w:p w:rsidR="004F22A2" w:rsidRPr="00E84351" w:rsidRDefault="00E84351" w:rsidP="007A2EA9">
      <w:pPr>
        <w:pStyle w:val="BodyText"/>
      </w:pPr>
      <w:r>
        <w:t>A</w:t>
      </w:r>
      <w:r w:rsidR="004F22A2" w:rsidRPr="00E84351">
        <w:t>nswer:  No.</w:t>
      </w:r>
    </w:p>
    <w:p w:rsidR="004F22A2" w:rsidRPr="00E84351" w:rsidRDefault="004F22A2" w:rsidP="007A2EA9">
      <w:pPr>
        <w:pStyle w:val="BodyText"/>
      </w:pPr>
      <w:r w:rsidRPr="00E84351">
        <w:t>Test (9): Would the determination have a major effect on the parties?</w:t>
      </w:r>
    </w:p>
    <w:p w:rsidR="004F22A2" w:rsidRPr="00E84351" w:rsidRDefault="004F22A2" w:rsidP="007A2EA9">
      <w:pPr>
        <w:pStyle w:val="BodyText"/>
      </w:pPr>
      <w:r w:rsidRPr="00E84351">
        <w:t>Answer:  Yes, subject to an applicant</w:t>
      </w:r>
      <w:r w:rsidR="00FB1309">
        <w:t>’</w:t>
      </w:r>
      <w:r w:rsidRPr="00E84351">
        <w:t>s right to appeal under s</w:t>
      </w:r>
      <w:r w:rsidR="00E84351">
        <w:t>ection</w:t>
      </w:r>
      <w:r w:rsidRPr="00E84351">
        <w:t xml:space="preserve"> 12J of the Social Security Act.</w:t>
      </w:r>
    </w:p>
    <w:p w:rsidR="004F22A2" w:rsidRPr="00E84351" w:rsidRDefault="004F22A2" w:rsidP="007A2EA9">
      <w:pPr>
        <w:pStyle w:val="BodyText"/>
      </w:pPr>
      <w:r w:rsidRPr="00E84351">
        <w:t xml:space="preserve">Test (10): As a result of the determination, can either party be ordered to pay costs or expenses recoverable in the same manner as those awarded by a civil </w:t>
      </w:r>
      <w:r w:rsidR="00842DD6">
        <w:t>c</w:t>
      </w:r>
      <w:r w:rsidRPr="00E84351">
        <w:t>ourt?</w:t>
      </w:r>
    </w:p>
    <w:p w:rsidR="004F22A2" w:rsidRPr="00E84351" w:rsidRDefault="004F22A2" w:rsidP="007A2EA9">
      <w:pPr>
        <w:pStyle w:val="BodyText"/>
      </w:pPr>
      <w:r w:rsidRPr="00E84351">
        <w:t>Answer:  No.</w:t>
      </w:r>
    </w:p>
    <w:p w:rsidR="004F22A2" w:rsidRPr="00E84351" w:rsidRDefault="004F22A2" w:rsidP="007A2EA9">
      <w:pPr>
        <w:pStyle w:val="BodyText"/>
        <w:rPr>
          <w:lang w:eastAsia="en-NZ"/>
        </w:rPr>
      </w:pPr>
      <w:r w:rsidRPr="00E84351">
        <w:t xml:space="preserve">Applying these tests suggests that BRCs are not </w:t>
      </w:r>
      <w:r w:rsidR="00FB1309">
        <w:rPr>
          <w:i/>
        </w:rPr>
        <w:t>‘</w:t>
      </w:r>
      <w:r w:rsidRPr="00391E4B">
        <w:rPr>
          <w:i/>
        </w:rPr>
        <w:t>Tribunals</w:t>
      </w:r>
      <w:r w:rsidR="00FB1309">
        <w:rPr>
          <w:i/>
        </w:rPr>
        <w:t>’</w:t>
      </w:r>
      <w:r w:rsidRPr="00E84351">
        <w:t xml:space="preserve"> performing judicial </w:t>
      </w:r>
      <w:r w:rsidRPr="00E84351">
        <w:rPr>
          <w:lang w:eastAsia="en-NZ"/>
        </w:rPr>
        <w:t>functions but rather administrative committees performing an administrative function</w:t>
      </w:r>
      <w:r w:rsidR="00FB1309">
        <w:rPr>
          <w:lang w:eastAsia="en-NZ"/>
        </w:rPr>
        <w:t xml:space="preserve">. </w:t>
      </w:r>
      <w:r w:rsidRPr="00E84351">
        <w:rPr>
          <w:lang w:eastAsia="en-NZ"/>
        </w:rPr>
        <w:t>Further support for this view is that:</w:t>
      </w:r>
    </w:p>
    <w:p w:rsidR="004F22A2" w:rsidRPr="00391E4B" w:rsidRDefault="00E93C7F" w:rsidP="007A2EA9">
      <w:pPr>
        <w:pStyle w:val="Bullet1"/>
        <w:rPr>
          <w:lang w:eastAsia="en-NZ"/>
        </w:rPr>
      </w:pPr>
      <w:r>
        <w:rPr>
          <w:lang w:eastAsia="en-NZ"/>
        </w:rPr>
        <w:t>T</w:t>
      </w:r>
      <w:r w:rsidR="004F22A2" w:rsidRPr="00391E4B">
        <w:rPr>
          <w:lang w:eastAsia="en-NZ"/>
        </w:rPr>
        <w:t>wo of the three members of each committee must be departmental employees who, on their own, form a quorum for a meeting of a BRC</w:t>
      </w:r>
      <w:r>
        <w:rPr>
          <w:lang w:eastAsia="en-NZ"/>
        </w:rPr>
        <w:t>.</w:t>
      </w:r>
    </w:p>
    <w:p w:rsidR="004F22A2" w:rsidRPr="00391E4B" w:rsidRDefault="00E93C7F" w:rsidP="007A2EA9">
      <w:pPr>
        <w:pStyle w:val="Bullet1"/>
        <w:rPr>
          <w:lang w:eastAsia="en-NZ"/>
        </w:rPr>
      </w:pPr>
      <w:r>
        <w:rPr>
          <w:lang w:eastAsia="en-NZ"/>
        </w:rPr>
        <w:t>T</w:t>
      </w:r>
      <w:r w:rsidR="004F22A2" w:rsidRPr="00391E4B">
        <w:rPr>
          <w:lang w:eastAsia="en-NZ"/>
        </w:rPr>
        <w:t>here is no formal statutory procedure for hearing the parties, the calling of evidence, or the cross examination of witnesses</w:t>
      </w:r>
      <w:r w:rsidR="00FB1309">
        <w:rPr>
          <w:lang w:eastAsia="en-NZ"/>
        </w:rPr>
        <w:t xml:space="preserve">. </w:t>
      </w:r>
      <w:r w:rsidR="004F22A2" w:rsidRPr="00391E4B">
        <w:rPr>
          <w:lang w:eastAsia="en-NZ"/>
        </w:rPr>
        <w:t>Although normal principles of natural justice may apply to BRC reviews, this would not convert an administrative review into a judicial function</w:t>
      </w:r>
      <w:r w:rsidR="00FB1309">
        <w:rPr>
          <w:lang w:eastAsia="en-NZ"/>
        </w:rPr>
        <w:t xml:space="preserve">. </w:t>
      </w:r>
      <w:r w:rsidR="004F22A2" w:rsidRPr="00391E4B">
        <w:rPr>
          <w:lang w:eastAsia="en-NZ"/>
        </w:rPr>
        <w:t>Natural justice applies as much to administrative functions that affect individuals, as it does to judicial ones</w:t>
      </w:r>
      <w:r>
        <w:rPr>
          <w:lang w:eastAsia="en-NZ"/>
        </w:rPr>
        <w:t>.</w:t>
      </w:r>
    </w:p>
    <w:p w:rsidR="004F22A2" w:rsidRPr="00391E4B" w:rsidRDefault="00E93C7F" w:rsidP="007A2EA9">
      <w:pPr>
        <w:pStyle w:val="Bullet1"/>
        <w:rPr>
          <w:lang w:eastAsia="en-NZ"/>
        </w:rPr>
      </w:pPr>
      <w:r>
        <w:rPr>
          <w:lang w:eastAsia="en-NZ"/>
        </w:rPr>
        <w:t>T</w:t>
      </w:r>
      <w:r w:rsidR="004F22A2" w:rsidRPr="00391E4B">
        <w:rPr>
          <w:lang w:eastAsia="en-NZ"/>
        </w:rPr>
        <w:t xml:space="preserve">he departmental members are appointed by the Chief Executive, </w:t>
      </w:r>
      <w:r w:rsidR="00FB1309">
        <w:rPr>
          <w:i/>
          <w:lang w:eastAsia="en-NZ"/>
        </w:rPr>
        <w:t>‘</w:t>
      </w:r>
      <w:r w:rsidR="004F22A2" w:rsidRPr="00391E4B">
        <w:rPr>
          <w:i/>
          <w:lang w:eastAsia="en-NZ"/>
        </w:rPr>
        <w:t>from time to time; or in respect of the particular review</w:t>
      </w:r>
      <w:r w:rsidR="00FB1309">
        <w:rPr>
          <w:i/>
          <w:lang w:eastAsia="en-NZ"/>
        </w:rPr>
        <w:t>’</w:t>
      </w:r>
      <w:r w:rsidR="004F22A2" w:rsidRPr="00391E4B">
        <w:rPr>
          <w:lang w:eastAsia="en-NZ"/>
        </w:rPr>
        <w:t xml:space="preserve">, and the non-departmental member is appointed by the Minister to hold office </w:t>
      </w:r>
      <w:r w:rsidR="00FB1309">
        <w:rPr>
          <w:lang w:eastAsia="en-NZ"/>
        </w:rPr>
        <w:t>‘</w:t>
      </w:r>
      <w:r w:rsidR="004F22A2" w:rsidRPr="00391E4B">
        <w:rPr>
          <w:i/>
          <w:lang w:eastAsia="en-NZ"/>
        </w:rPr>
        <w:t>during the Minister</w:t>
      </w:r>
      <w:r w:rsidR="00FB1309">
        <w:rPr>
          <w:i/>
          <w:lang w:eastAsia="en-NZ"/>
        </w:rPr>
        <w:t>’</w:t>
      </w:r>
      <w:r w:rsidR="004F22A2" w:rsidRPr="00391E4B">
        <w:rPr>
          <w:i/>
          <w:lang w:eastAsia="en-NZ"/>
        </w:rPr>
        <w:t>s pleasure</w:t>
      </w:r>
      <w:r w:rsidR="00FB1309">
        <w:rPr>
          <w:i/>
          <w:lang w:eastAsia="en-NZ"/>
        </w:rPr>
        <w:t>’</w:t>
      </w:r>
      <w:r w:rsidR="00FB1309">
        <w:rPr>
          <w:lang w:eastAsia="en-NZ"/>
        </w:rPr>
        <w:t xml:space="preserve">. </w:t>
      </w:r>
      <w:r w:rsidR="004F22A2" w:rsidRPr="00391E4B">
        <w:rPr>
          <w:lang w:eastAsia="en-NZ"/>
        </w:rPr>
        <w:t>Both these factors detract from the independence required of persons expected to perform a judicial function.</w:t>
      </w:r>
    </w:p>
    <w:p w:rsidR="004F22A2" w:rsidRPr="004F22A2" w:rsidRDefault="00391E4B" w:rsidP="007A2EA9">
      <w:pPr>
        <w:pStyle w:val="BodyText"/>
        <w:rPr>
          <w:lang w:eastAsia="en-NZ"/>
        </w:rPr>
      </w:pPr>
      <w:r>
        <w:rPr>
          <w:lang w:eastAsia="en-NZ"/>
        </w:rPr>
        <w:t>T</w:t>
      </w:r>
      <w:r w:rsidR="004F22A2" w:rsidRPr="004F22A2">
        <w:rPr>
          <w:lang w:eastAsia="en-NZ"/>
        </w:rPr>
        <w:t xml:space="preserve">he Social Security Act makes significant distinctions between the establishment, functions, powers and procedures of the Authority, which are specified in detail, and the broad </w:t>
      </w:r>
      <w:r w:rsidR="00FB1309">
        <w:rPr>
          <w:i/>
          <w:lang w:eastAsia="en-NZ"/>
        </w:rPr>
        <w:t>‘</w:t>
      </w:r>
      <w:r w:rsidR="004F22A2" w:rsidRPr="004F22A2">
        <w:rPr>
          <w:i/>
          <w:lang w:eastAsia="en-NZ"/>
        </w:rPr>
        <w:t>review</w:t>
      </w:r>
      <w:r w:rsidR="00FB1309">
        <w:rPr>
          <w:i/>
          <w:lang w:eastAsia="en-NZ"/>
        </w:rPr>
        <w:t>’</w:t>
      </w:r>
      <w:r w:rsidR="004F22A2" w:rsidRPr="004F22A2">
        <w:rPr>
          <w:lang w:eastAsia="en-NZ"/>
        </w:rPr>
        <w:t xml:space="preserve"> function of the BRCs which also suggests that such committees were not seen by the legislature as performing a judicial function.</w:t>
      </w:r>
    </w:p>
    <w:p w:rsidR="004F22A2" w:rsidRDefault="004F22A2" w:rsidP="007A2EA9">
      <w:pPr>
        <w:pStyle w:val="BodyText"/>
        <w:rPr>
          <w:lang w:eastAsia="en-NZ"/>
        </w:rPr>
      </w:pPr>
      <w:r w:rsidRPr="00E84351">
        <w:rPr>
          <w:lang w:eastAsia="en-NZ"/>
        </w:rPr>
        <w:t xml:space="preserve">It therefore appears that a BRC has administrative not judicial functions, and that, accordingly, it is not a </w:t>
      </w:r>
      <w:r w:rsidR="00FB1309">
        <w:rPr>
          <w:i/>
          <w:lang w:eastAsia="en-NZ"/>
        </w:rPr>
        <w:t>‘</w:t>
      </w:r>
      <w:r w:rsidRPr="00391E4B">
        <w:rPr>
          <w:i/>
          <w:lang w:eastAsia="en-NZ"/>
        </w:rPr>
        <w:t>Tribunal</w:t>
      </w:r>
      <w:r w:rsidR="00FB1309">
        <w:rPr>
          <w:i/>
          <w:lang w:eastAsia="en-NZ"/>
        </w:rPr>
        <w:t>’</w:t>
      </w:r>
      <w:r w:rsidR="00FB1309">
        <w:rPr>
          <w:lang w:eastAsia="en-NZ"/>
        </w:rPr>
        <w:t xml:space="preserve">. </w:t>
      </w:r>
      <w:r w:rsidRPr="00E84351">
        <w:rPr>
          <w:lang w:eastAsia="en-NZ"/>
        </w:rPr>
        <w:t>Consequently, it followed that information held by a BRC is official information deemed to be held by the Ministry of Social Development pursuant to s</w:t>
      </w:r>
      <w:r w:rsidR="00391E4B">
        <w:rPr>
          <w:lang w:eastAsia="en-NZ"/>
        </w:rPr>
        <w:t>ections</w:t>
      </w:r>
      <w:r w:rsidRPr="00E84351">
        <w:rPr>
          <w:lang w:eastAsia="en-NZ"/>
        </w:rPr>
        <w:t xml:space="preserve"> 2(2) and </w:t>
      </w:r>
      <w:r w:rsidR="00391E4B">
        <w:rPr>
          <w:lang w:eastAsia="en-NZ"/>
        </w:rPr>
        <w:t>2</w:t>
      </w:r>
      <w:r w:rsidRPr="00E84351">
        <w:rPr>
          <w:lang w:eastAsia="en-NZ"/>
        </w:rPr>
        <w:t>(3) of the</w:t>
      </w:r>
      <w:r w:rsidR="00391E4B">
        <w:rPr>
          <w:lang w:eastAsia="en-NZ"/>
        </w:rPr>
        <w:t xml:space="preserve"> OIA</w:t>
      </w:r>
      <w:r w:rsidRPr="00E84351">
        <w:rPr>
          <w:lang w:eastAsia="en-NZ"/>
        </w:rPr>
        <w:t>.</w:t>
      </w:r>
    </w:p>
    <w:p w:rsidR="007A2EA9" w:rsidRPr="001312A6" w:rsidRDefault="007A2EA9" w:rsidP="001312A6">
      <w:pPr>
        <w:pStyle w:val="BodyText2"/>
        <w:rPr>
          <w:i/>
          <w:iCs/>
        </w:rPr>
      </w:pPr>
      <w:r w:rsidRPr="001312A6">
        <w:rPr>
          <w:i/>
          <w:iCs/>
        </w:rPr>
        <w:t xml:space="preserve">This case note is published under the authority of the </w:t>
      </w:r>
      <w:hyperlink r:id="rId7" w:history="1">
        <w:r w:rsidRPr="001312A6">
          <w:rPr>
            <w:rStyle w:val="Hyperlink"/>
            <w:i/>
            <w:iCs/>
          </w:rPr>
          <w:t>Ombudsmen Rules 1989</w:t>
        </w:r>
      </w:hyperlink>
      <w:r w:rsidRPr="001312A6">
        <w:rPr>
          <w:i/>
          <w:iCs/>
        </w:rPr>
        <w:t>. It sets out an Ombudsman’s view on the facts of a particular case. It should not be taken as establishing any legal precedent that would bind an Ombudsman in future.</w:t>
      </w:r>
    </w:p>
    <w:p w:rsidR="007A2EA9" w:rsidRPr="00E84351" w:rsidRDefault="007A2EA9" w:rsidP="007A2EA9">
      <w:pPr>
        <w:pStyle w:val="BodyText"/>
      </w:pPr>
      <w:r>
        <w:rPr>
          <w:lang w:eastAsia="en-NZ"/>
        </w:rPr>
        <w:t xml:space="preserve"> </w:t>
      </w:r>
    </w:p>
    <w:sectPr w:rsidR="007A2EA9" w:rsidRPr="00E84351" w:rsidSect="00B84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EB" w:rsidRDefault="001B0AEB">
      <w:pPr>
        <w:spacing w:after="0" w:line="240" w:lineRule="auto"/>
      </w:pPr>
      <w:r>
        <w:separator/>
      </w:r>
    </w:p>
  </w:endnote>
  <w:endnote w:type="continuationSeparator" w:id="0">
    <w:p w:rsidR="001B0AEB" w:rsidRDefault="001B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07" w:rsidRDefault="00636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Pr="0059155D" w:rsidRDefault="001B0AEB" w:rsidP="00B841FB">
    <w:pPr>
      <w:pStyle w:val="Footerline"/>
    </w:pPr>
  </w:p>
  <w:p w:rsidR="00F200AB" w:rsidRPr="0059155D" w:rsidRDefault="001B0AEB" w:rsidP="00B841FB">
    <w:pPr>
      <w:pStyle w:val="Footerline"/>
    </w:pPr>
  </w:p>
  <w:p w:rsidR="00F200AB" w:rsidRPr="005533D8" w:rsidRDefault="00842DD6" w:rsidP="00B841FB">
    <w:pPr>
      <w:pStyle w:val="Footer"/>
    </w:pPr>
    <w:fldSimple w:instr=" DOCVARIABLE  dvShortText ">
      <w:r w:rsidR="00FB1309">
        <w:t>Case note W46821 |</w:t>
      </w:r>
    </w:fldSimple>
    <w:r w:rsidR="00830A8D">
      <w:t xml:space="preserve"> Page </w:t>
    </w:r>
    <w:r w:rsidR="00830A8D" w:rsidRPr="00A32286">
      <w:rPr>
        <w:rStyle w:val="PageNumber"/>
      </w:rPr>
      <w:fldChar w:fldCharType="begin"/>
    </w:r>
    <w:r w:rsidR="00830A8D" w:rsidRPr="00A32286">
      <w:rPr>
        <w:rStyle w:val="PageNumber"/>
      </w:rPr>
      <w:instrText xml:space="preserve"> PAGE   \* MERGEFORMAT </w:instrText>
    </w:r>
    <w:r w:rsidR="00830A8D" w:rsidRPr="00A32286">
      <w:rPr>
        <w:rStyle w:val="PageNumber"/>
      </w:rPr>
      <w:fldChar w:fldCharType="separate"/>
    </w:r>
    <w:r w:rsidR="00636E07">
      <w:rPr>
        <w:rStyle w:val="PageNumber"/>
        <w:noProof/>
      </w:rPr>
      <w:t>4</w:t>
    </w:r>
    <w:r w:rsidR="00830A8D" w:rsidRPr="00A3228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Pr="0059155D" w:rsidRDefault="001B0AEB" w:rsidP="00B841FB">
    <w:pPr>
      <w:pStyle w:val="Footerline"/>
    </w:pPr>
  </w:p>
  <w:p w:rsidR="00F200AB" w:rsidRPr="0059155D" w:rsidRDefault="001B0AEB" w:rsidP="00B841FB">
    <w:pPr>
      <w:pStyle w:val="Footerline"/>
    </w:pPr>
  </w:p>
  <w:p w:rsidR="00F200AB" w:rsidRPr="005533D8" w:rsidRDefault="00842DD6" w:rsidP="00B841FB">
    <w:pPr>
      <w:pStyle w:val="Footer"/>
    </w:pPr>
    <w:fldSimple w:instr=" DOCVARIABLE  dvShortText ">
      <w:r w:rsidR="00FB1309">
        <w:t>Case note W46821 |</w:t>
      </w:r>
    </w:fldSimple>
    <w:r w:rsidR="00830A8D">
      <w:t xml:space="preserve"> Page </w:t>
    </w:r>
    <w:r w:rsidR="00830A8D" w:rsidRPr="00A32286">
      <w:rPr>
        <w:rStyle w:val="PageNumber"/>
      </w:rPr>
      <w:fldChar w:fldCharType="begin"/>
    </w:r>
    <w:r w:rsidR="00830A8D" w:rsidRPr="00A32286">
      <w:rPr>
        <w:rStyle w:val="PageNumber"/>
      </w:rPr>
      <w:instrText xml:space="preserve"> PAGE   \* MERGEFORMAT </w:instrText>
    </w:r>
    <w:r w:rsidR="00830A8D" w:rsidRPr="00A32286">
      <w:rPr>
        <w:rStyle w:val="PageNumber"/>
      </w:rPr>
      <w:fldChar w:fldCharType="separate"/>
    </w:r>
    <w:r w:rsidR="001B0AEB">
      <w:rPr>
        <w:rStyle w:val="PageNumber"/>
        <w:noProof/>
      </w:rPr>
      <w:t>1</w:t>
    </w:r>
    <w:r w:rsidR="00830A8D" w:rsidRPr="00A322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EB" w:rsidRDefault="001B0AEB">
      <w:pPr>
        <w:spacing w:after="0" w:line="240" w:lineRule="auto"/>
      </w:pPr>
      <w:r>
        <w:separator/>
      </w:r>
    </w:p>
  </w:footnote>
  <w:footnote w:type="continuationSeparator" w:id="0">
    <w:p w:rsidR="001B0AEB" w:rsidRDefault="001B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E07" w:rsidRDefault="00636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Default="00830A8D" w:rsidP="00B841FB">
    <w:pPr>
      <w:pStyle w:val="Header"/>
      <w:tabs>
        <w:tab w:val="clear" w:pos="9299"/>
        <w:tab w:val="right" w:pos="9321"/>
      </w:tabs>
      <w:rPr>
        <w:rStyle w:val="PageNumber"/>
      </w:rPr>
    </w:pPr>
    <w:r>
      <w:t xml:space="preserve">Office of the Ombudsman | </w:t>
    </w:r>
    <w:r w:rsidRPr="00DD54DF">
      <w:t>Tari o te Kaitiaki Mana Tangata</w:t>
    </w:r>
  </w:p>
  <w:p w:rsidR="00F200AB" w:rsidRPr="00661EC9" w:rsidRDefault="001B0AEB" w:rsidP="00B841FB">
    <w:pPr>
      <w:pStyle w:val="Headerline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Default="00830A8D">
    <w:pPr>
      <w:pStyle w:val="Header"/>
    </w:pPr>
    <w:r w:rsidRPr="00F417FD">
      <w:rPr>
        <w:noProof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-53975</wp:posOffset>
          </wp:positionH>
          <wp:positionV relativeFrom="page">
            <wp:posOffset>431800</wp:posOffset>
          </wp:positionV>
          <wp:extent cx="5960745" cy="1371600"/>
          <wp:effectExtent l="19050" t="0" r="1905" b="0"/>
          <wp:wrapNone/>
          <wp:docPr id="2" name="Picture 3" descr="Case_Note-A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352220" name="Case_Note-AW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074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EDC266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8FA40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3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F2416F2"/>
    <w:multiLevelType w:val="multilevel"/>
    <w:tmpl w:val="75FE143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List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8" w15:restartNumberingAfterBreak="0">
    <w:nsid w:val="2BBA4A02"/>
    <w:multiLevelType w:val="multilevel"/>
    <w:tmpl w:val="F536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InsertPictureLef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11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377C497E"/>
    <w:multiLevelType w:val="multilevel"/>
    <w:tmpl w:val="D4D4899C"/>
    <w:lvl w:ilvl="0">
      <w:start w:val="1"/>
      <w:numFmt w:val="decimal"/>
      <w:pStyle w:val="Listoutline1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outline2-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outline3-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istoutline4-a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istoutline5-i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4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5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45B0454E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8" w15:restartNumberingAfterBreak="0">
    <w:nsid w:val="52560102"/>
    <w:multiLevelType w:val="hybridMultilevel"/>
    <w:tmpl w:val="D1CCF93A"/>
    <w:lvl w:ilvl="0" w:tplc="14090017">
      <w:start w:val="1"/>
      <w:numFmt w:val="lowerLetter"/>
      <w:lvlText w:val="%1)"/>
      <w:lvlJc w:val="left"/>
      <w:pPr>
        <w:ind w:left="1494" w:hanging="360"/>
      </w:pPr>
    </w:lvl>
    <w:lvl w:ilvl="1" w:tplc="14090019" w:tentative="1">
      <w:start w:val="1"/>
      <w:numFmt w:val="lowerLetter"/>
      <w:lvlText w:val="%2."/>
      <w:lvlJc w:val="left"/>
      <w:pPr>
        <w:ind w:left="2214" w:hanging="360"/>
      </w:pPr>
    </w:lvl>
    <w:lvl w:ilvl="2" w:tplc="1409001B" w:tentative="1">
      <w:start w:val="1"/>
      <w:numFmt w:val="lowerRoman"/>
      <w:lvlText w:val="%3."/>
      <w:lvlJc w:val="right"/>
      <w:pPr>
        <w:ind w:left="2934" w:hanging="180"/>
      </w:pPr>
    </w:lvl>
    <w:lvl w:ilvl="3" w:tplc="1409000F" w:tentative="1">
      <w:start w:val="1"/>
      <w:numFmt w:val="decimal"/>
      <w:lvlText w:val="%4."/>
      <w:lvlJc w:val="left"/>
      <w:pPr>
        <w:ind w:left="3654" w:hanging="360"/>
      </w:pPr>
    </w:lvl>
    <w:lvl w:ilvl="4" w:tplc="14090019" w:tentative="1">
      <w:start w:val="1"/>
      <w:numFmt w:val="lowerLetter"/>
      <w:lvlText w:val="%5."/>
      <w:lvlJc w:val="left"/>
      <w:pPr>
        <w:ind w:left="4374" w:hanging="360"/>
      </w:pPr>
    </w:lvl>
    <w:lvl w:ilvl="5" w:tplc="1409001B" w:tentative="1">
      <w:start w:val="1"/>
      <w:numFmt w:val="lowerRoman"/>
      <w:lvlText w:val="%6."/>
      <w:lvlJc w:val="right"/>
      <w:pPr>
        <w:ind w:left="5094" w:hanging="180"/>
      </w:pPr>
    </w:lvl>
    <w:lvl w:ilvl="6" w:tplc="1409000F" w:tentative="1">
      <w:start w:val="1"/>
      <w:numFmt w:val="decimal"/>
      <w:lvlText w:val="%7."/>
      <w:lvlJc w:val="left"/>
      <w:pPr>
        <w:ind w:left="5814" w:hanging="360"/>
      </w:pPr>
    </w:lvl>
    <w:lvl w:ilvl="7" w:tplc="14090019" w:tentative="1">
      <w:start w:val="1"/>
      <w:numFmt w:val="lowerLetter"/>
      <w:lvlText w:val="%8."/>
      <w:lvlJc w:val="left"/>
      <w:pPr>
        <w:ind w:left="6534" w:hanging="360"/>
      </w:pPr>
    </w:lvl>
    <w:lvl w:ilvl="8" w:tplc="1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F465289"/>
    <w:multiLevelType w:val="multilevel"/>
    <w:tmpl w:val="6AB2BB4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5C18B7"/>
    <w:multiLevelType w:val="hybridMultilevel"/>
    <w:tmpl w:val="DE48293E"/>
    <w:lvl w:ilvl="0" w:tplc="1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 w15:restartNumberingAfterBreak="0">
    <w:nsid w:val="61043263"/>
    <w:multiLevelType w:val="hybridMultilevel"/>
    <w:tmpl w:val="8660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23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B20CC3"/>
    <w:multiLevelType w:val="hybridMultilevel"/>
    <w:tmpl w:val="DCEC03F4"/>
    <w:lvl w:ilvl="0" w:tplc="275ECBC4">
      <w:start w:val="1"/>
      <w:numFmt w:val="lowerLetter"/>
      <w:lvlText w:val="(%1)"/>
      <w:lvlJc w:val="left"/>
      <w:pPr>
        <w:ind w:left="1692" w:hanging="85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917" w:hanging="360"/>
      </w:pPr>
    </w:lvl>
    <w:lvl w:ilvl="2" w:tplc="1409001B" w:tentative="1">
      <w:start w:val="1"/>
      <w:numFmt w:val="lowerRoman"/>
      <w:lvlText w:val="%3."/>
      <w:lvlJc w:val="right"/>
      <w:pPr>
        <w:ind w:left="2637" w:hanging="180"/>
      </w:pPr>
    </w:lvl>
    <w:lvl w:ilvl="3" w:tplc="1409000F" w:tentative="1">
      <w:start w:val="1"/>
      <w:numFmt w:val="decimal"/>
      <w:lvlText w:val="%4."/>
      <w:lvlJc w:val="left"/>
      <w:pPr>
        <w:ind w:left="3357" w:hanging="360"/>
      </w:pPr>
    </w:lvl>
    <w:lvl w:ilvl="4" w:tplc="14090019" w:tentative="1">
      <w:start w:val="1"/>
      <w:numFmt w:val="lowerLetter"/>
      <w:lvlText w:val="%5."/>
      <w:lvlJc w:val="left"/>
      <w:pPr>
        <w:ind w:left="4077" w:hanging="360"/>
      </w:pPr>
    </w:lvl>
    <w:lvl w:ilvl="5" w:tplc="1409001B" w:tentative="1">
      <w:start w:val="1"/>
      <w:numFmt w:val="lowerRoman"/>
      <w:lvlText w:val="%6."/>
      <w:lvlJc w:val="right"/>
      <w:pPr>
        <w:ind w:left="4797" w:hanging="180"/>
      </w:pPr>
    </w:lvl>
    <w:lvl w:ilvl="6" w:tplc="1409000F" w:tentative="1">
      <w:start w:val="1"/>
      <w:numFmt w:val="decimal"/>
      <w:lvlText w:val="%7."/>
      <w:lvlJc w:val="left"/>
      <w:pPr>
        <w:ind w:left="5517" w:hanging="360"/>
      </w:pPr>
    </w:lvl>
    <w:lvl w:ilvl="7" w:tplc="14090019" w:tentative="1">
      <w:start w:val="1"/>
      <w:numFmt w:val="lowerLetter"/>
      <w:lvlText w:val="%8."/>
      <w:lvlJc w:val="left"/>
      <w:pPr>
        <w:ind w:left="6237" w:hanging="360"/>
      </w:pPr>
    </w:lvl>
    <w:lvl w:ilvl="8" w:tplc="1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5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6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8" w15:restartNumberingAfterBreak="0">
    <w:nsid w:val="777216F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746DE0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8"/>
  </w:num>
  <w:num w:numId="8">
    <w:abstractNumId w:val="16"/>
  </w:num>
  <w:num w:numId="9">
    <w:abstractNumId w:val="7"/>
  </w:num>
  <w:num w:numId="10">
    <w:abstractNumId w:val="10"/>
  </w:num>
  <w:num w:numId="11">
    <w:abstractNumId w:val="27"/>
  </w:num>
  <w:num w:numId="12">
    <w:abstractNumId w:val="11"/>
  </w:num>
  <w:num w:numId="13">
    <w:abstractNumId w:val="6"/>
  </w:num>
  <w:num w:numId="14">
    <w:abstractNumId w:val="9"/>
  </w:num>
  <w:num w:numId="15">
    <w:abstractNumId w:val="5"/>
  </w:num>
  <w:num w:numId="16">
    <w:abstractNumId w:val="25"/>
  </w:num>
  <w:num w:numId="17">
    <w:abstractNumId w:val="17"/>
  </w:num>
  <w:num w:numId="18">
    <w:abstractNumId w:val="26"/>
  </w:num>
  <w:num w:numId="19">
    <w:abstractNumId w:val="14"/>
  </w:num>
  <w:num w:numId="20">
    <w:abstractNumId w:val="3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"/>
  </w:num>
  <w:num w:numId="24">
    <w:abstractNumId w:val="13"/>
  </w:num>
  <w:num w:numId="25">
    <w:abstractNumId w:val="15"/>
  </w:num>
  <w:num w:numId="26">
    <w:abstractNumId w:val="6"/>
  </w:num>
  <w:num w:numId="27">
    <w:abstractNumId w:val="9"/>
  </w:num>
  <w:num w:numId="28">
    <w:abstractNumId w:val="20"/>
  </w:num>
  <w:num w:numId="29">
    <w:abstractNumId w:val="18"/>
  </w:num>
  <w:num w:numId="30">
    <w:abstractNumId w:val="24"/>
  </w:num>
  <w:num w:numId="31">
    <w:abstractNumId w:val="21"/>
  </w:num>
  <w:num w:numId="32">
    <w:abstractNumId w:val="0"/>
  </w:num>
  <w:num w:numId="3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n-NZ" w:vendorID="64" w:dllVersion="131078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ShortText" w:val="Case note W46821 |"/>
    <w:docVar w:name="dvShortTextFrm" w:val="Case note W46821"/>
    <w:docVar w:name="IsfirstTb" w:val="False"/>
    <w:docVar w:name="IsInTable" w:val="False"/>
    <w:docVar w:name="OOTOTemplate" w:val="OOTO General\Case note.dotm"/>
  </w:docVars>
  <w:rsids>
    <w:rsidRoot w:val="00051017"/>
    <w:rsid w:val="000054D7"/>
    <w:rsid w:val="00051017"/>
    <w:rsid w:val="00133380"/>
    <w:rsid w:val="00152A27"/>
    <w:rsid w:val="00161FA9"/>
    <w:rsid w:val="00175E33"/>
    <w:rsid w:val="001B0AEB"/>
    <w:rsid w:val="001C1C8F"/>
    <w:rsid w:val="001C2D91"/>
    <w:rsid w:val="00212827"/>
    <w:rsid w:val="00297A14"/>
    <w:rsid w:val="00311F55"/>
    <w:rsid w:val="00343B77"/>
    <w:rsid w:val="00391E4B"/>
    <w:rsid w:val="00403044"/>
    <w:rsid w:val="004275BC"/>
    <w:rsid w:val="00485BB3"/>
    <w:rsid w:val="004F22A2"/>
    <w:rsid w:val="004F393F"/>
    <w:rsid w:val="00502D89"/>
    <w:rsid w:val="00562870"/>
    <w:rsid w:val="00581858"/>
    <w:rsid w:val="005E3B9B"/>
    <w:rsid w:val="0060106C"/>
    <w:rsid w:val="00636E07"/>
    <w:rsid w:val="00665FBB"/>
    <w:rsid w:val="006F57EC"/>
    <w:rsid w:val="0073358B"/>
    <w:rsid w:val="007A2EA9"/>
    <w:rsid w:val="007D336D"/>
    <w:rsid w:val="007E531C"/>
    <w:rsid w:val="00830A8D"/>
    <w:rsid w:val="00842DD6"/>
    <w:rsid w:val="0086252B"/>
    <w:rsid w:val="0089058E"/>
    <w:rsid w:val="008A6715"/>
    <w:rsid w:val="009A61CE"/>
    <w:rsid w:val="00A85538"/>
    <w:rsid w:val="00AF1120"/>
    <w:rsid w:val="00DD3808"/>
    <w:rsid w:val="00DE48AC"/>
    <w:rsid w:val="00E03087"/>
    <w:rsid w:val="00E11A0D"/>
    <w:rsid w:val="00E84351"/>
    <w:rsid w:val="00E9396C"/>
    <w:rsid w:val="00E93C7F"/>
    <w:rsid w:val="00EB186F"/>
    <w:rsid w:val="00EF7876"/>
    <w:rsid w:val="00F15F51"/>
    <w:rsid w:val="00FA70FE"/>
    <w:rsid w:val="00FB1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iPriority="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iPriority="97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2"/>
    <w:lsdException w:name="Strong" w:uiPriority="22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semiHidden/>
    <w:qFormat/>
    <w:rsid w:val="00E3581D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995755"/>
    <w:pPr>
      <w:keepNext/>
      <w:keepLines/>
      <w:numPr>
        <w:numId w:val="25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63B2F"/>
    <w:pPr>
      <w:keepNext/>
      <w:keepLines/>
      <w:numPr>
        <w:ilvl w:val="1"/>
        <w:numId w:val="25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EB50CB"/>
    <w:pPr>
      <w:keepNext/>
      <w:keepLines/>
      <w:numPr>
        <w:ilvl w:val="2"/>
        <w:numId w:val="25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CB"/>
    <w:pPr>
      <w:keepNext/>
      <w:keepLines/>
      <w:numPr>
        <w:ilvl w:val="3"/>
        <w:numId w:val="25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EB50CB"/>
    <w:pPr>
      <w:keepNext/>
      <w:keepLines/>
      <w:numPr>
        <w:ilvl w:val="4"/>
        <w:numId w:val="25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70DD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70DD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70DD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70DD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B13DC3"/>
    <w:rPr>
      <w:color w:val="4D4D4D"/>
      <w:sz w:val="24"/>
      <w:vertAlign w:val="superscript"/>
    </w:rPr>
  </w:style>
  <w:style w:type="paragraph" w:styleId="ListBullet">
    <w:name w:val="List Bullet"/>
    <w:basedOn w:val="Normal"/>
    <w:uiPriority w:val="3"/>
    <w:semiHidden/>
    <w:rsid w:val="00EC70DD"/>
    <w:pPr>
      <w:numPr>
        <w:numId w:val="2"/>
      </w:numPr>
    </w:pPr>
  </w:style>
  <w:style w:type="paragraph" w:styleId="ListNumber">
    <w:name w:val="List Number"/>
    <w:basedOn w:val="Normal"/>
    <w:uiPriority w:val="5"/>
    <w:semiHidden/>
    <w:rsid w:val="00EC70D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8"/>
    <w:semiHidden/>
    <w:unhideWhenUsed/>
    <w:rsid w:val="00971D0C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D933EF"/>
    <w:rPr>
      <w:rFonts w:ascii="Calibri" w:hAnsi="Calibri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95755"/>
    <w:rPr>
      <w:rFonts w:ascii="Calibri" w:eastAsiaTheme="majorEastAsia" w:hAnsi="Calibri" w:cstheme="majorBidi"/>
      <w:bCs/>
      <w:color w:val="939905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63B2F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C7F7D"/>
    <w:rPr>
      <w:rFonts w:ascii="Calibri" w:eastAsiaTheme="majorEastAsia" w:hAnsi="Calibri" w:cstheme="majorBidi"/>
      <w:bCs/>
      <w:color w:val="1E1E1E"/>
      <w:sz w:val="29"/>
    </w:rPr>
  </w:style>
  <w:style w:type="character" w:customStyle="1" w:styleId="Heading4Char">
    <w:name w:val="Heading 4 Char"/>
    <w:basedOn w:val="DefaultParagraphFont"/>
    <w:link w:val="Heading4"/>
    <w:uiPriority w:val="1"/>
    <w:rsid w:val="00DC47AB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E72DD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6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Quotationseparateparagraph">
    <w:name w:val="Quotation (separate paragraph)"/>
    <w:basedOn w:val="Normal"/>
    <w:uiPriority w:val="6"/>
    <w:rsid w:val="00F922BB"/>
    <w:pPr>
      <w:ind w:left="567" w:right="567"/>
    </w:pPr>
    <w:rPr>
      <w:i/>
      <w:color w:val="4D4D4D"/>
    </w:rPr>
  </w:style>
  <w:style w:type="paragraph" w:styleId="Caption">
    <w:name w:val="caption"/>
    <w:basedOn w:val="Normal"/>
    <w:next w:val="BodyText"/>
    <w:uiPriority w:val="2"/>
    <w:rsid w:val="004F143B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semiHidden/>
    <w:rsid w:val="00971D0C"/>
  </w:style>
  <w:style w:type="paragraph" w:styleId="TOC1">
    <w:name w:val="toc 1"/>
    <w:basedOn w:val="Normalcolour"/>
    <w:next w:val="Normal"/>
    <w:uiPriority w:val="39"/>
    <w:rsid w:val="00EB50CB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left="567" w:right="425"/>
    </w:pPr>
    <w:rPr>
      <w:sz w:val="22"/>
    </w:rPr>
  </w:style>
  <w:style w:type="paragraph" w:styleId="TOC5">
    <w:name w:val="toc 5"/>
    <w:basedOn w:val="Normal"/>
    <w:next w:val="Normal"/>
    <w:autoRedefine/>
    <w:uiPriority w:val="8"/>
    <w:rsid w:val="00EB50CB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EC70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C70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C70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C70DD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E83E7F"/>
    <w:pPr>
      <w:spacing w:before="0"/>
      <w:outlineLvl w:val="9"/>
    </w:pPr>
  </w:style>
  <w:style w:type="paragraph" w:styleId="BodyText">
    <w:name w:val="Body Text"/>
    <w:basedOn w:val="Normal"/>
    <w:link w:val="BodyTextChar"/>
    <w:uiPriority w:val="2"/>
    <w:rsid w:val="009A7D32"/>
  </w:style>
  <w:style w:type="character" w:customStyle="1" w:styleId="BodyTextChar">
    <w:name w:val="Body Text Char"/>
    <w:basedOn w:val="DefaultParagraphFont"/>
    <w:link w:val="BodyText"/>
    <w:uiPriority w:val="2"/>
    <w:rsid w:val="00CD5F4F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12"/>
    <w:semiHidden/>
    <w:rsid w:val="00002E2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semiHidden/>
    <w:rsid w:val="00002E2B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2"/>
    <w:semiHidden/>
    <w:rsid w:val="00EC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2"/>
    <w:semiHidden/>
    <w:rsid w:val="00D933EF"/>
    <w:rPr>
      <w:rFonts w:ascii="Calibri" w:hAnsi="Calibri"/>
      <w:b/>
      <w:bCs/>
      <w:color w:val="1E1E1E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C70DD"/>
  </w:style>
  <w:style w:type="character" w:customStyle="1" w:styleId="DateChar">
    <w:name w:val="Date Char"/>
    <w:basedOn w:val="DefaultParagraphFont"/>
    <w:link w:val="Date"/>
    <w:uiPriority w:val="99"/>
    <w:semiHidden/>
    <w:rsid w:val="00971D0C"/>
    <w:rPr>
      <w:rFonts w:ascii="Calibri" w:hAnsi="Calibri"/>
      <w:color w:val="1E1E1E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0268"/>
    <w:rPr>
      <w:lang w:val="en-US"/>
    </w:rPr>
  </w:style>
  <w:style w:type="paragraph" w:styleId="EndnoteText">
    <w:name w:val="endnote text"/>
    <w:basedOn w:val="Normal"/>
    <w:link w:val="EndnoteTextChar"/>
    <w:uiPriority w:val="7"/>
    <w:rsid w:val="00191044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9954CB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9D6259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9D6259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191044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175AA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307592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687159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87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7"/>
    <w:semiHidden/>
    <w:rsid w:val="00D933EF"/>
    <w:rPr>
      <w:rFonts w:ascii="Calibri" w:hAnsi="Calibri"/>
      <w:i/>
      <w:iCs/>
      <w:color w:val="1E1E1E"/>
    </w:rPr>
  </w:style>
  <w:style w:type="paragraph" w:styleId="HTMLPreformatted">
    <w:name w:val="HTML Preformatted"/>
    <w:basedOn w:val="Normal"/>
    <w:link w:val="HTMLPreformattedChar"/>
    <w:uiPriority w:val="87"/>
    <w:semiHidden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87"/>
    <w:semiHidden/>
    <w:rsid w:val="00D933EF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semiHidden/>
    <w:rsid w:val="002F210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semiHidden/>
    <w:rsid w:val="002F210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semiHidden/>
    <w:rsid w:val="002F2103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semiHidden/>
    <w:rsid w:val="002F210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semiHidden/>
    <w:rsid w:val="002F210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semiHidden/>
    <w:rsid w:val="002F210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semiHidden/>
    <w:rsid w:val="002F210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semiHidden/>
    <w:rsid w:val="002F210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semiHidden/>
    <w:rsid w:val="002F210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"/>
    <w:next w:val="Index1"/>
    <w:uiPriority w:val="1"/>
    <w:semiHidden/>
    <w:rsid w:val="002F2103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color w:val="2BB673"/>
      <w:sz w:val="26"/>
    </w:rPr>
  </w:style>
  <w:style w:type="paragraph" w:styleId="ListBullet2">
    <w:name w:val="List Bullet 2"/>
    <w:basedOn w:val="Normal"/>
    <w:uiPriority w:val="3"/>
    <w:semiHidden/>
    <w:rsid w:val="00EC70DD"/>
    <w:pPr>
      <w:numPr>
        <w:ilvl w:val="1"/>
        <w:numId w:val="2"/>
      </w:numPr>
    </w:pPr>
  </w:style>
  <w:style w:type="paragraph" w:styleId="ListBullet3">
    <w:name w:val="List Bullet 3"/>
    <w:basedOn w:val="Normal"/>
    <w:uiPriority w:val="3"/>
    <w:semiHidden/>
    <w:rsid w:val="00EC70DD"/>
    <w:pPr>
      <w:numPr>
        <w:ilvl w:val="2"/>
        <w:numId w:val="2"/>
      </w:numPr>
    </w:pPr>
  </w:style>
  <w:style w:type="paragraph" w:styleId="ListBullet4">
    <w:name w:val="List Bullet 4"/>
    <w:basedOn w:val="Normal"/>
    <w:uiPriority w:val="3"/>
    <w:semiHidden/>
    <w:rsid w:val="00EC70DD"/>
    <w:pPr>
      <w:numPr>
        <w:ilvl w:val="3"/>
        <w:numId w:val="2"/>
      </w:numPr>
    </w:pPr>
  </w:style>
  <w:style w:type="paragraph" w:styleId="ListContinue">
    <w:name w:val="List Continue"/>
    <w:basedOn w:val="Normal"/>
    <w:uiPriority w:val="4"/>
    <w:semiHidden/>
    <w:rsid w:val="00EC70DD"/>
    <w:pPr>
      <w:ind w:left="567"/>
    </w:pPr>
  </w:style>
  <w:style w:type="paragraph" w:styleId="ListContinue2">
    <w:name w:val="List Continue 2"/>
    <w:basedOn w:val="Normal"/>
    <w:uiPriority w:val="4"/>
    <w:semiHidden/>
    <w:rsid w:val="00EC70DD"/>
    <w:pPr>
      <w:ind w:left="1134"/>
    </w:pPr>
  </w:style>
  <w:style w:type="paragraph" w:styleId="ListContinue3">
    <w:name w:val="List Continue 3"/>
    <w:basedOn w:val="Normal"/>
    <w:uiPriority w:val="4"/>
    <w:semiHidden/>
    <w:rsid w:val="00EC70DD"/>
    <w:pPr>
      <w:ind w:left="1701"/>
    </w:pPr>
  </w:style>
  <w:style w:type="paragraph" w:styleId="ListContinue4">
    <w:name w:val="List Continue 4"/>
    <w:basedOn w:val="Normal"/>
    <w:uiPriority w:val="4"/>
    <w:semiHidden/>
    <w:rsid w:val="00EC70DD"/>
    <w:pPr>
      <w:ind w:left="2268"/>
    </w:pPr>
  </w:style>
  <w:style w:type="paragraph" w:styleId="ListContinue5">
    <w:name w:val="List Continue 5"/>
    <w:basedOn w:val="Normal"/>
    <w:uiPriority w:val="99"/>
    <w:semiHidden/>
    <w:rsid w:val="00EC70D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5"/>
    <w:semiHidden/>
    <w:rsid w:val="00EC70DD"/>
    <w:pPr>
      <w:numPr>
        <w:ilvl w:val="1"/>
        <w:numId w:val="1"/>
      </w:numPr>
    </w:pPr>
  </w:style>
  <w:style w:type="paragraph" w:styleId="ListNumber3">
    <w:name w:val="List Number 3"/>
    <w:basedOn w:val="Normal"/>
    <w:uiPriority w:val="5"/>
    <w:semiHidden/>
    <w:rsid w:val="00E9499F"/>
    <w:pPr>
      <w:numPr>
        <w:ilvl w:val="2"/>
        <w:numId w:val="1"/>
      </w:numPr>
    </w:pPr>
  </w:style>
  <w:style w:type="paragraph" w:styleId="NormalWeb">
    <w:name w:val="Normal (Web)"/>
    <w:basedOn w:val="Normal"/>
    <w:uiPriority w:val="99"/>
    <w:semiHidden/>
    <w:rsid w:val="00B52654"/>
    <w:rPr>
      <w:rFonts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semiHidden/>
    <w:rsid w:val="00D75233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2"/>
    <w:rsid w:val="00F63084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semiHidden/>
    <w:rsid w:val="005777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semiHidden/>
    <w:qFormat/>
    <w:rsid w:val="00E3581D"/>
    <w:rPr>
      <w:color w:val="9561CC"/>
    </w:rPr>
  </w:style>
  <w:style w:type="character" w:styleId="PageNumber">
    <w:name w:val="page number"/>
    <w:basedOn w:val="DefaultParagraphFont"/>
    <w:rsid w:val="00EB50CB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EB50CB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E43E20"/>
    <w:pPr>
      <w:spacing w:line="240" w:lineRule="atLeast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D75233"/>
    <w:pPr>
      <w:keepNext/>
      <w:spacing w:before="60" w:after="60" w:line="240" w:lineRule="auto"/>
    </w:pPr>
    <w:rPr>
      <w:color w:val="FFFFFF" w:themeColor="background1"/>
    </w:rPr>
  </w:style>
  <w:style w:type="paragraph" w:customStyle="1" w:styleId="Listoutline1-1">
    <w:name w:val="List outline 1 - 1."/>
    <w:basedOn w:val="BodyText"/>
    <w:uiPriority w:val="5"/>
    <w:semiHidden/>
    <w:rsid w:val="00E43E20"/>
    <w:pPr>
      <w:numPr>
        <w:numId w:val="3"/>
      </w:numPr>
    </w:pPr>
  </w:style>
  <w:style w:type="paragraph" w:customStyle="1" w:styleId="Listoutline2-11">
    <w:name w:val="List outline 2 - 1.1"/>
    <w:basedOn w:val="Normal"/>
    <w:uiPriority w:val="5"/>
    <w:semiHidden/>
    <w:rsid w:val="00EC70DD"/>
    <w:pPr>
      <w:numPr>
        <w:ilvl w:val="1"/>
        <w:numId w:val="3"/>
      </w:numPr>
    </w:pPr>
  </w:style>
  <w:style w:type="paragraph" w:customStyle="1" w:styleId="Listoutline3-111">
    <w:name w:val="List outline 3 - 1.1.1"/>
    <w:basedOn w:val="Normal"/>
    <w:uiPriority w:val="5"/>
    <w:semiHidden/>
    <w:rsid w:val="00EC70DD"/>
    <w:pPr>
      <w:numPr>
        <w:ilvl w:val="2"/>
        <w:numId w:val="3"/>
      </w:numPr>
    </w:pPr>
  </w:style>
  <w:style w:type="paragraph" w:customStyle="1" w:styleId="Listoutline4-a">
    <w:name w:val="List outline 4 - a."/>
    <w:basedOn w:val="Normal"/>
    <w:uiPriority w:val="5"/>
    <w:semiHidden/>
    <w:rsid w:val="00EC70DD"/>
    <w:pPr>
      <w:numPr>
        <w:ilvl w:val="3"/>
        <w:numId w:val="3"/>
      </w:numPr>
    </w:pPr>
  </w:style>
  <w:style w:type="character" w:styleId="Hyperlink">
    <w:name w:val="Hyperlink"/>
    <w:basedOn w:val="DefaultParagraphFont"/>
    <w:uiPriority w:val="99"/>
    <w:rsid w:val="00EB50CB"/>
    <w:rPr>
      <w:color w:val="0D6AB8"/>
      <w:u w:val="single"/>
    </w:rPr>
  </w:style>
  <w:style w:type="paragraph" w:customStyle="1" w:styleId="Heading2-Start">
    <w:name w:val="Heading 2 - Start"/>
    <w:basedOn w:val="Heading2"/>
    <w:next w:val="BodyText"/>
    <w:uiPriority w:val="1"/>
    <w:rsid w:val="00EB50CB"/>
    <w:pPr>
      <w:spacing w:before="200"/>
    </w:p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922BB"/>
    <w:pPr>
      <w:spacing w:after="120"/>
    </w:pPr>
  </w:style>
  <w:style w:type="character" w:styleId="Emphasis">
    <w:name w:val="Emphasis"/>
    <w:uiPriority w:val="2"/>
    <w:rsid w:val="002F2103"/>
    <w:rPr>
      <w:rFonts w:ascii="Calibri" w:hAnsi="Calibri"/>
      <w:b/>
      <w:bCs/>
      <w:iCs/>
      <w:spacing w:val="0"/>
      <w:lang w:val="en-NZ"/>
    </w:rPr>
  </w:style>
  <w:style w:type="paragraph" w:customStyle="1" w:styleId="Listcheckbox">
    <w:name w:val="List check box"/>
    <w:basedOn w:val="BodyText"/>
    <w:uiPriority w:val="3"/>
    <w:semiHidden/>
    <w:rsid w:val="00DE17A1"/>
  </w:style>
  <w:style w:type="paragraph" w:customStyle="1" w:styleId="Boxsmalltext">
    <w:name w:val="Box small text"/>
    <w:basedOn w:val="Normalcolour"/>
    <w:uiPriority w:val="2"/>
    <w:qFormat/>
    <w:rsid w:val="00EB50CB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F510A"/>
    <w:pPr>
      <w:spacing w:line="320" w:lineRule="atLeast"/>
    </w:pPr>
    <w:rPr>
      <w:sz w:val="26"/>
    </w:rPr>
  </w:style>
  <w:style w:type="paragraph" w:customStyle="1" w:styleId="Listoutline5-i">
    <w:name w:val="List outline 5 - i."/>
    <w:basedOn w:val="Normal"/>
    <w:uiPriority w:val="5"/>
    <w:semiHidden/>
    <w:rsid w:val="00411A78"/>
    <w:pPr>
      <w:numPr>
        <w:ilvl w:val="4"/>
        <w:numId w:val="3"/>
      </w:numPr>
    </w:pPr>
  </w:style>
  <w:style w:type="character" w:styleId="EndnoteReference">
    <w:name w:val="endnote reference"/>
    <w:basedOn w:val="DefaultParagraphFont"/>
    <w:uiPriority w:val="7"/>
    <w:rsid w:val="00B13DC3"/>
    <w:rPr>
      <w:color w:val="4D4D4D"/>
      <w:sz w:val="24"/>
      <w:vertAlign w:val="superscript"/>
    </w:rPr>
  </w:style>
  <w:style w:type="paragraph" w:customStyle="1" w:styleId="HeadingAppendix">
    <w:name w:val="Heading Appendix"/>
    <w:basedOn w:val="Heading1"/>
    <w:next w:val="BodyText"/>
    <w:uiPriority w:val="1"/>
    <w:rsid w:val="002F2103"/>
    <w:pPr>
      <w:pageBreakBefore/>
      <w:numPr>
        <w:numId w:val="4"/>
      </w:numPr>
      <w:spacing w:before="0"/>
    </w:pPr>
  </w:style>
  <w:style w:type="table" w:customStyle="1" w:styleId="TableGridnoborders">
    <w:name w:val="Table Grid (no borders)"/>
    <w:basedOn w:val="TableNormal"/>
    <w:uiPriority w:val="99"/>
    <w:rsid w:val="00EB50CB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FFFFFF" w:themeFill="background1"/>
    </w:tcPr>
  </w:style>
  <w:style w:type="character" w:customStyle="1" w:styleId="Heading1-Sub">
    <w:name w:val="Heading 1 - Sub"/>
    <w:basedOn w:val="DefaultParagraphFont"/>
    <w:uiPriority w:val="1"/>
    <w:rsid w:val="002F2103"/>
    <w:rPr>
      <w:b/>
    </w:rPr>
  </w:style>
  <w:style w:type="paragraph" w:customStyle="1" w:styleId="Whitespace">
    <w:name w:val="White space"/>
    <w:basedOn w:val="BodyText"/>
    <w:uiPriority w:val="2"/>
    <w:rsid w:val="00644B46"/>
    <w:pPr>
      <w:spacing w:after="0" w:line="240" w:lineRule="auto"/>
    </w:pPr>
    <w:rPr>
      <w:sz w:val="16"/>
    </w:rPr>
  </w:style>
  <w:style w:type="character" w:customStyle="1" w:styleId="Quotationwithinthesentence">
    <w:name w:val="Quotation (within the sentence)"/>
    <w:basedOn w:val="DefaultParagraphFont"/>
    <w:uiPriority w:val="6"/>
    <w:rsid w:val="00F922BB"/>
    <w:rPr>
      <w:i/>
    </w:rPr>
  </w:style>
  <w:style w:type="paragraph" w:customStyle="1" w:styleId="Heading1-Subnonboldtext">
    <w:name w:val="Heading 1 - Sub (non bold text)"/>
    <w:basedOn w:val="BodyText"/>
    <w:uiPriority w:val="1"/>
    <w:rsid w:val="002F2103"/>
    <w:pPr>
      <w:tabs>
        <w:tab w:val="left" w:pos="2552"/>
      </w:tabs>
      <w:spacing w:after="0"/>
      <w:ind w:left="2552" w:hanging="2552"/>
    </w:pPr>
  </w:style>
  <w:style w:type="paragraph" w:customStyle="1" w:styleId="Tablebodytext">
    <w:name w:val="Table body text"/>
    <w:basedOn w:val="BodyText"/>
    <w:uiPriority w:val="2"/>
    <w:rsid w:val="00D75233"/>
    <w:pPr>
      <w:spacing w:before="120"/>
    </w:pPr>
  </w:style>
  <w:style w:type="paragraph" w:customStyle="1" w:styleId="Tablebodytextnospaceafter">
    <w:name w:val="Table body text (no space after)"/>
    <w:basedOn w:val="BodyText"/>
    <w:uiPriority w:val="2"/>
    <w:rsid w:val="00D75233"/>
    <w:pPr>
      <w:spacing w:after="0"/>
    </w:pPr>
  </w:style>
  <w:style w:type="table" w:customStyle="1" w:styleId="TableBox">
    <w:name w:val="Table Box"/>
    <w:basedOn w:val="TableNormal"/>
    <w:uiPriority w:val="99"/>
    <w:rsid w:val="00561DA3"/>
    <w:pPr>
      <w:spacing w:line="240" w:lineRule="atLeast"/>
    </w:pPr>
    <w:rPr>
      <w:rFonts w:ascii="Calibri" w:hAnsi="Calibri"/>
      <w:sz w:val="24"/>
    </w:rPr>
    <w:tblPr>
      <w:tblInd w:w="284" w:type="dxa"/>
      <w:tblCellMar>
        <w:top w:w="142" w:type="dxa"/>
        <w:left w:w="284" w:type="dxa"/>
        <w:right w:w="284" w:type="dxa"/>
      </w:tblCellMar>
    </w:tblPr>
    <w:tcPr>
      <w:shd w:val="clear" w:color="auto" w:fill="D3D3D3"/>
    </w:tcPr>
  </w:style>
  <w:style w:type="character" w:styleId="FollowedHyperlink">
    <w:name w:val="FollowedHyperlink"/>
    <w:basedOn w:val="DefaultParagraphFont"/>
    <w:uiPriority w:val="2"/>
    <w:rsid w:val="00C91EA8"/>
    <w:rPr>
      <w:color w:val="3C98E7"/>
      <w:u w:val="single"/>
    </w:rPr>
  </w:style>
  <w:style w:type="paragraph" w:customStyle="1" w:styleId="Headingboxtextinbody">
    <w:name w:val="Heading box text (in body)"/>
    <w:basedOn w:val="Normalcolour"/>
    <w:uiPriority w:val="1"/>
    <w:rsid w:val="00EB50CB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EB50CB"/>
    <w:pPr>
      <w:spacing w:after="60" w:line="320" w:lineRule="atLeast"/>
    </w:pPr>
    <w:rPr>
      <w:b/>
      <w:sz w:val="26"/>
    </w:rPr>
  </w:style>
  <w:style w:type="paragraph" w:customStyle="1" w:styleId="Singlespacedparagraph">
    <w:name w:val="Single spaced paragraph"/>
    <w:basedOn w:val="BodyText"/>
    <w:uiPriority w:val="2"/>
    <w:rsid w:val="00191044"/>
    <w:pPr>
      <w:spacing w:after="0"/>
    </w:pPr>
  </w:style>
  <w:style w:type="paragraph" w:customStyle="1" w:styleId="Footerline">
    <w:name w:val="Footer line"/>
    <w:basedOn w:val="Footer"/>
    <w:next w:val="Footer"/>
    <w:uiPriority w:val="10"/>
    <w:rsid w:val="00272307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272307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QLegindent1">
    <w:name w:val="QLeg indent 1"/>
    <w:basedOn w:val="Normal"/>
    <w:uiPriority w:val="2"/>
    <w:semiHidden/>
    <w:rsid w:val="00064CFD"/>
    <w:pPr>
      <w:ind w:left="1985" w:right="567"/>
    </w:pPr>
    <w:rPr>
      <w:i/>
      <w:color w:val="4D4D4D"/>
    </w:rPr>
  </w:style>
  <w:style w:type="paragraph" w:customStyle="1" w:styleId="QLegindent2">
    <w:name w:val="QLeg indent 2"/>
    <w:basedOn w:val="Normal"/>
    <w:uiPriority w:val="2"/>
    <w:semiHidden/>
    <w:rsid w:val="00064CFD"/>
    <w:pPr>
      <w:ind w:left="2693" w:right="567"/>
    </w:pPr>
    <w:rPr>
      <w:i/>
      <w:color w:val="4D4D4D"/>
    </w:rPr>
  </w:style>
  <w:style w:type="paragraph" w:customStyle="1" w:styleId="QLegindent3">
    <w:name w:val="QLeg indent 3"/>
    <w:basedOn w:val="Normal"/>
    <w:uiPriority w:val="2"/>
    <w:semiHidden/>
    <w:rsid w:val="00064CFD"/>
    <w:pPr>
      <w:ind w:left="3402" w:right="567"/>
    </w:pPr>
    <w:rPr>
      <w:i/>
      <w:color w:val="4D4D4D"/>
    </w:rPr>
  </w:style>
  <w:style w:type="paragraph" w:customStyle="1" w:styleId="QLegstyle-1">
    <w:name w:val="QLeg style - (1)"/>
    <w:basedOn w:val="Normal"/>
    <w:uiPriority w:val="2"/>
    <w:semiHidden/>
    <w:rsid w:val="00064CFD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QLegstyle-a">
    <w:name w:val="QLeg style - (a)"/>
    <w:basedOn w:val="Normal"/>
    <w:uiPriority w:val="2"/>
    <w:semiHidden/>
    <w:rsid w:val="00064CFD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QLegstyle-i">
    <w:name w:val="QLeg style - (i)"/>
    <w:basedOn w:val="Normal"/>
    <w:uiPriority w:val="2"/>
    <w:semiHidden/>
    <w:rsid w:val="00064CFD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QLegstyle-10">
    <w:name w:val="QLeg style - 1"/>
    <w:basedOn w:val="Normal"/>
    <w:uiPriority w:val="2"/>
    <w:semiHidden/>
    <w:rsid w:val="00064CFD"/>
    <w:pPr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Legindent1">
    <w:name w:val="Leg indent 1"/>
    <w:basedOn w:val="Normal"/>
    <w:uiPriority w:val="9"/>
    <w:semiHidden/>
    <w:rsid w:val="00064CFD"/>
    <w:pPr>
      <w:ind w:left="851"/>
    </w:pPr>
  </w:style>
  <w:style w:type="paragraph" w:customStyle="1" w:styleId="Legindent2">
    <w:name w:val="Leg indent 2"/>
    <w:basedOn w:val="Normal"/>
    <w:uiPriority w:val="9"/>
    <w:semiHidden/>
    <w:rsid w:val="00064CFD"/>
    <w:pPr>
      <w:ind w:left="1559"/>
    </w:pPr>
  </w:style>
  <w:style w:type="paragraph" w:customStyle="1" w:styleId="Legindent3">
    <w:name w:val="Leg indent 3"/>
    <w:basedOn w:val="Normal"/>
    <w:uiPriority w:val="9"/>
    <w:semiHidden/>
    <w:rsid w:val="00064CFD"/>
    <w:pPr>
      <w:ind w:left="2268"/>
    </w:pPr>
  </w:style>
  <w:style w:type="paragraph" w:customStyle="1" w:styleId="Legstyle-1">
    <w:name w:val="Leg style - (1)"/>
    <w:basedOn w:val="Normal"/>
    <w:uiPriority w:val="9"/>
    <w:semiHidden/>
    <w:rsid w:val="00064CFD"/>
    <w:pPr>
      <w:tabs>
        <w:tab w:val="left" w:pos="851"/>
      </w:tabs>
      <w:ind w:left="851" w:hanging="851"/>
    </w:pPr>
  </w:style>
  <w:style w:type="paragraph" w:customStyle="1" w:styleId="Legstyle-a">
    <w:name w:val="Leg style - (a)"/>
    <w:basedOn w:val="Normal"/>
    <w:uiPriority w:val="9"/>
    <w:semiHidden/>
    <w:rsid w:val="00064CFD"/>
    <w:pPr>
      <w:tabs>
        <w:tab w:val="left" w:pos="1559"/>
      </w:tabs>
      <w:ind w:left="1560" w:hanging="709"/>
    </w:pPr>
  </w:style>
  <w:style w:type="paragraph" w:customStyle="1" w:styleId="Legstyle-i">
    <w:name w:val="Leg style - (i)"/>
    <w:basedOn w:val="Normal"/>
    <w:uiPriority w:val="9"/>
    <w:semiHidden/>
    <w:rsid w:val="00064CFD"/>
    <w:pPr>
      <w:tabs>
        <w:tab w:val="left" w:pos="2268"/>
      </w:tabs>
      <w:ind w:left="2268" w:hanging="709"/>
    </w:pPr>
  </w:style>
  <w:style w:type="paragraph" w:customStyle="1" w:styleId="Legstyle-10">
    <w:name w:val="Leg style - 1"/>
    <w:basedOn w:val="Normal"/>
    <w:uiPriority w:val="9"/>
    <w:semiHidden/>
    <w:rsid w:val="00064CFD"/>
    <w:pPr>
      <w:tabs>
        <w:tab w:val="left" w:pos="851"/>
      </w:tabs>
      <w:ind w:left="851" w:hanging="851"/>
    </w:pPr>
    <w:rPr>
      <w:b/>
    </w:rPr>
  </w:style>
  <w:style w:type="paragraph" w:customStyle="1" w:styleId="Guidelines">
    <w:name w:val="Guidelines"/>
    <w:basedOn w:val="Normal"/>
    <w:next w:val="BodyText"/>
    <w:uiPriority w:val="2"/>
    <w:rsid w:val="00561DA3"/>
    <w:rPr>
      <w:color w:val="00B050"/>
    </w:rPr>
  </w:style>
  <w:style w:type="paragraph" w:customStyle="1" w:styleId="Heading1-Start">
    <w:name w:val="Heading 1 - Start"/>
    <w:basedOn w:val="Heading1"/>
    <w:next w:val="BodyText"/>
    <w:uiPriority w:val="1"/>
    <w:rsid w:val="00EB50CB"/>
    <w:pPr>
      <w:spacing w:before="200"/>
    </w:pPr>
  </w:style>
  <w:style w:type="paragraph" w:styleId="Title">
    <w:name w:val="Title"/>
    <w:basedOn w:val="Normalcolour"/>
    <w:next w:val="BodyText"/>
    <w:link w:val="TitleChar"/>
    <w:uiPriority w:val="1"/>
    <w:rsid w:val="00E83E7F"/>
    <w:pPr>
      <w:spacing w:after="24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83E7F"/>
    <w:rPr>
      <w:rFonts w:ascii="Calibri" w:eastAsiaTheme="majorEastAsia" w:hAnsi="Calibri" w:cstheme="majorBidi"/>
      <w:color w:val="939905"/>
      <w:spacing w:val="5"/>
      <w:kern w:val="28"/>
      <w:sz w:val="48"/>
      <w:szCs w:val="52"/>
    </w:rPr>
  </w:style>
  <w:style w:type="paragraph" w:customStyle="1" w:styleId="QIndent1">
    <w:name w:val="QIndent 1"/>
    <w:basedOn w:val="Normal"/>
    <w:uiPriority w:val="6"/>
    <w:rsid w:val="002F2103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F2103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2F2103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2F2103"/>
    <w:pPr>
      <w:numPr>
        <w:numId w:val="18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2F2103"/>
    <w:pPr>
      <w:numPr>
        <w:numId w:val="19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2F2103"/>
    <w:pPr>
      <w:numPr>
        <w:numId w:val="20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2F2103"/>
    <w:pPr>
      <w:numPr>
        <w:numId w:val="21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2F2103"/>
    <w:pPr>
      <w:numPr>
        <w:numId w:val="11"/>
      </w:numPr>
    </w:pPr>
  </w:style>
  <w:style w:type="paragraph" w:customStyle="1" w:styleId="Bullet2">
    <w:name w:val="Bullet 2"/>
    <w:basedOn w:val="Normal"/>
    <w:uiPriority w:val="2"/>
    <w:rsid w:val="002F2103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rsid w:val="002F2103"/>
    <w:pPr>
      <w:numPr>
        <w:ilvl w:val="2"/>
        <w:numId w:val="11"/>
      </w:numPr>
    </w:pPr>
  </w:style>
  <w:style w:type="paragraph" w:customStyle="1" w:styleId="Bullet4">
    <w:name w:val="Bullet 4"/>
    <w:basedOn w:val="Normal"/>
    <w:uiPriority w:val="2"/>
    <w:rsid w:val="002F2103"/>
    <w:pPr>
      <w:numPr>
        <w:ilvl w:val="3"/>
        <w:numId w:val="11"/>
      </w:numPr>
    </w:pPr>
  </w:style>
  <w:style w:type="paragraph" w:customStyle="1" w:styleId="InsertPictureLeft">
    <w:name w:val="InsertPictureLeft"/>
    <w:semiHidden/>
    <w:rsid w:val="009D6259"/>
    <w:pPr>
      <w:numPr>
        <w:ilvl w:val="3"/>
        <w:numId w:val="5"/>
      </w:numPr>
      <w:tabs>
        <w:tab w:val="clear" w:pos="2880"/>
        <w:tab w:val="num" w:pos="2268"/>
      </w:tabs>
      <w:spacing w:after="160" w:line="300" w:lineRule="atLeast"/>
      <w:ind w:left="2268" w:hanging="567"/>
    </w:pPr>
    <w:rPr>
      <w:rFonts w:ascii="Calibri" w:hAnsi="Calibri"/>
      <w:color w:val="1E1E1E"/>
      <w:sz w:val="24"/>
    </w:rPr>
  </w:style>
  <w:style w:type="paragraph" w:customStyle="1" w:styleId="Indent1">
    <w:name w:val="Indent 1"/>
    <w:basedOn w:val="Normal"/>
    <w:uiPriority w:val="4"/>
    <w:rsid w:val="002F2103"/>
    <w:pPr>
      <w:ind w:left="567"/>
    </w:pPr>
  </w:style>
  <w:style w:type="paragraph" w:customStyle="1" w:styleId="Indent2">
    <w:name w:val="Indent 2"/>
    <w:basedOn w:val="Normal"/>
    <w:uiPriority w:val="4"/>
    <w:rsid w:val="002F2103"/>
    <w:pPr>
      <w:ind w:left="1134"/>
    </w:pPr>
  </w:style>
  <w:style w:type="paragraph" w:customStyle="1" w:styleId="Indent3">
    <w:name w:val="Indent 3"/>
    <w:basedOn w:val="Normal"/>
    <w:uiPriority w:val="4"/>
    <w:rsid w:val="002F2103"/>
    <w:pPr>
      <w:ind w:left="1701"/>
    </w:pPr>
  </w:style>
  <w:style w:type="paragraph" w:customStyle="1" w:styleId="Indent4">
    <w:name w:val="Indent 4"/>
    <w:basedOn w:val="Normal"/>
    <w:uiPriority w:val="4"/>
    <w:rsid w:val="002F2103"/>
    <w:pPr>
      <w:ind w:left="2268"/>
    </w:pPr>
  </w:style>
  <w:style w:type="paragraph" w:customStyle="1" w:styleId="Number-1">
    <w:name w:val="Number - 1."/>
    <w:basedOn w:val="BodyText"/>
    <w:uiPriority w:val="5"/>
    <w:rsid w:val="002F2103"/>
    <w:pPr>
      <w:numPr>
        <w:numId w:val="15"/>
      </w:numPr>
    </w:pPr>
  </w:style>
  <w:style w:type="paragraph" w:customStyle="1" w:styleId="Number-11">
    <w:name w:val="Number - 1.1"/>
    <w:basedOn w:val="Normal"/>
    <w:uiPriority w:val="5"/>
    <w:rsid w:val="002F2103"/>
    <w:pPr>
      <w:numPr>
        <w:ilvl w:val="1"/>
        <w:numId w:val="15"/>
      </w:numPr>
    </w:pPr>
  </w:style>
  <w:style w:type="paragraph" w:customStyle="1" w:styleId="Number-111">
    <w:name w:val="Number - 1.1.1"/>
    <w:basedOn w:val="Normal"/>
    <w:uiPriority w:val="5"/>
    <w:rsid w:val="002F2103"/>
    <w:pPr>
      <w:numPr>
        <w:ilvl w:val="2"/>
        <w:numId w:val="15"/>
      </w:numPr>
    </w:pPr>
  </w:style>
  <w:style w:type="paragraph" w:customStyle="1" w:styleId="Number-a">
    <w:name w:val="Number - a."/>
    <w:basedOn w:val="Normal"/>
    <w:uiPriority w:val="5"/>
    <w:rsid w:val="002F2103"/>
    <w:pPr>
      <w:numPr>
        <w:numId w:val="16"/>
      </w:numPr>
    </w:pPr>
  </w:style>
  <w:style w:type="paragraph" w:customStyle="1" w:styleId="Number-i">
    <w:name w:val="Number - i."/>
    <w:basedOn w:val="Normal"/>
    <w:uiPriority w:val="5"/>
    <w:rsid w:val="002F2103"/>
    <w:pPr>
      <w:numPr>
        <w:ilvl w:val="1"/>
        <w:numId w:val="16"/>
      </w:numPr>
    </w:pPr>
  </w:style>
  <w:style w:type="paragraph" w:customStyle="1" w:styleId="Number1">
    <w:name w:val="Number 1"/>
    <w:basedOn w:val="Normal"/>
    <w:uiPriority w:val="5"/>
    <w:rsid w:val="002F2103"/>
    <w:pPr>
      <w:numPr>
        <w:numId w:val="17"/>
      </w:numPr>
    </w:pPr>
  </w:style>
  <w:style w:type="paragraph" w:customStyle="1" w:styleId="Number2">
    <w:name w:val="Number 2"/>
    <w:basedOn w:val="Normal"/>
    <w:uiPriority w:val="5"/>
    <w:rsid w:val="002F2103"/>
    <w:pPr>
      <w:numPr>
        <w:ilvl w:val="1"/>
        <w:numId w:val="17"/>
      </w:numPr>
    </w:pPr>
  </w:style>
  <w:style w:type="paragraph" w:customStyle="1" w:styleId="Number3">
    <w:name w:val="Number 3"/>
    <w:basedOn w:val="Normal"/>
    <w:uiPriority w:val="5"/>
    <w:rsid w:val="002F2103"/>
    <w:pPr>
      <w:numPr>
        <w:ilvl w:val="2"/>
        <w:numId w:val="17"/>
      </w:numPr>
    </w:pPr>
  </w:style>
  <w:style w:type="paragraph" w:customStyle="1" w:styleId="TableBullet1">
    <w:name w:val="Table Bullet 1"/>
    <w:basedOn w:val="Normal"/>
    <w:uiPriority w:val="2"/>
    <w:rsid w:val="002F2103"/>
    <w:pPr>
      <w:numPr>
        <w:numId w:val="22"/>
      </w:numPr>
      <w:spacing w:before="120" w:after="120"/>
    </w:pPr>
    <w:rPr>
      <w:sz w:val="22"/>
    </w:rPr>
  </w:style>
  <w:style w:type="paragraph" w:customStyle="1" w:styleId="TableBullet2">
    <w:name w:val="Table Bullet 2"/>
    <w:basedOn w:val="Normal"/>
    <w:uiPriority w:val="2"/>
    <w:rsid w:val="002F2103"/>
    <w:pPr>
      <w:numPr>
        <w:ilvl w:val="1"/>
        <w:numId w:val="22"/>
      </w:numPr>
      <w:spacing w:before="120" w:after="120"/>
    </w:pPr>
    <w:rPr>
      <w:sz w:val="22"/>
    </w:rPr>
  </w:style>
  <w:style w:type="paragraph" w:customStyle="1" w:styleId="TableBullet3">
    <w:name w:val="Table Bullet 3"/>
    <w:basedOn w:val="Normal"/>
    <w:uiPriority w:val="2"/>
    <w:rsid w:val="002F2103"/>
    <w:pPr>
      <w:numPr>
        <w:ilvl w:val="2"/>
        <w:numId w:val="22"/>
      </w:numPr>
      <w:spacing w:before="120" w:after="120"/>
    </w:pPr>
    <w:rPr>
      <w:sz w:val="22"/>
    </w:rPr>
  </w:style>
  <w:style w:type="paragraph" w:customStyle="1" w:styleId="Tableheading">
    <w:name w:val="Table heading"/>
    <w:basedOn w:val="Tablebodytext"/>
    <w:next w:val="Tablebodytext"/>
    <w:uiPriority w:val="2"/>
    <w:rsid w:val="000D3B26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2F2103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2F2103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2F2103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Normal"/>
    <w:uiPriority w:val="2"/>
    <w:rsid w:val="002F2103"/>
    <w:pPr>
      <w:numPr>
        <w:numId w:val="24"/>
      </w:numPr>
      <w:spacing w:before="120" w:after="120"/>
    </w:pPr>
    <w:rPr>
      <w:sz w:val="22"/>
    </w:rPr>
  </w:style>
  <w:style w:type="paragraph" w:customStyle="1" w:styleId="TableNumbera">
    <w:name w:val="Table Number a."/>
    <w:basedOn w:val="Normal"/>
    <w:uiPriority w:val="2"/>
    <w:rsid w:val="002F2103"/>
    <w:pPr>
      <w:numPr>
        <w:ilvl w:val="1"/>
        <w:numId w:val="24"/>
      </w:numPr>
      <w:spacing w:before="120" w:after="120"/>
    </w:pPr>
    <w:rPr>
      <w:sz w:val="22"/>
    </w:rPr>
  </w:style>
  <w:style w:type="paragraph" w:customStyle="1" w:styleId="TableNumberi">
    <w:name w:val="Table Number i."/>
    <w:basedOn w:val="Normal"/>
    <w:uiPriority w:val="2"/>
    <w:rsid w:val="002F2103"/>
    <w:pPr>
      <w:numPr>
        <w:ilvl w:val="2"/>
        <w:numId w:val="24"/>
      </w:numPr>
      <w:spacing w:before="120" w:after="120"/>
    </w:pPr>
    <w:rPr>
      <w:sz w:val="22"/>
    </w:rPr>
  </w:style>
  <w:style w:type="paragraph" w:customStyle="1" w:styleId="TableQuotationseparateparagraph">
    <w:name w:val="Table Quotation (separate paragraph)"/>
    <w:basedOn w:val="Quotationseparateparagraph"/>
    <w:uiPriority w:val="2"/>
    <w:rsid w:val="00D75233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D75233"/>
    <w:pPr>
      <w:spacing w:before="60" w:after="60"/>
    </w:pPr>
  </w:style>
  <w:style w:type="paragraph" w:customStyle="1" w:styleId="Tablesinglespacedparagraphlast">
    <w:name w:val="Table single spaced paragraph (last)"/>
    <w:basedOn w:val="Tablesinglespacedparagraph"/>
    <w:uiPriority w:val="2"/>
    <w:rsid w:val="00D75233"/>
  </w:style>
  <w:style w:type="character" w:styleId="CommentReference">
    <w:name w:val="annotation reference"/>
    <w:basedOn w:val="DefaultParagraphFont"/>
    <w:uiPriority w:val="99"/>
    <w:semiHidden/>
    <w:unhideWhenUsed/>
    <w:rsid w:val="008841B5"/>
    <w:rPr>
      <w:sz w:val="16"/>
      <w:szCs w:val="16"/>
    </w:rPr>
  </w:style>
  <w:style w:type="paragraph" w:customStyle="1" w:styleId="Tablecaption">
    <w:name w:val="Table caption"/>
    <w:basedOn w:val="Normal"/>
    <w:next w:val="BodyText"/>
    <w:uiPriority w:val="98"/>
    <w:rsid w:val="002F2103"/>
    <w:pPr>
      <w:keepNext/>
      <w:spacing w:before="360" w:after="60" w:line="260" w:lineRule="atLeast"/>
    </w:pPr>
    <w:rPr>
      <w:b/>
      <w:sz w:val="26"/>
    </w:rPr>
  </w:style>
  <w:style w:type="paragraph" w:customStyle="1" w:styleId="Footerlandscape">
    <w:name w:val="Footer landscape"/>
    <w:basedOn w:val="Footer"/>
    <w:uiPriority w:val="10"/>
    <w:rsid w:val="009D6259"/>
  </w:style>
  <w:style w:type="paragraph" w:customStyle="1" w:styleId="Headerlandscape">
    <w:name w:val="Header landscape"/>
    <w:basedOn w:val="Header"/>
    <w:rsid w:val="00307592"/>
    <w:pPr>
      <w:tabs>
        <w:tab w:val="clear" w:pos="9299"/>
        <w:tab w:val="right" w:pos="14232"/>
      </w:tabs>
    </w:pPr>
  </w:style>
  <w:style w:type="paragraph" w:customStyle="1" w:styleId="FigureCaption">
    <w:name w:val="Figure Caption"/>
    <w:basedOn w:val="Normal"/>
    <w:next w:val="BodyText"/>
    <w:uiPriority w:val="2"/>
    <w:rsid w:val="00D75233"/>
    <w:pPr>
      <w:spacing w:line="240" w:lineRule="auto"/>
    </w:pPr>
    <w:rPr>
      <w:i/>
    </w:rPr>
  </w:style>
  <w:style w:type="character" w:customStyle="1" w:styleId="Italics">
    <w:name w:val="Italics"/>
    <w:basedOn w:val="DefaultParagraphFont"/>
    <w:uiPriority w:val="2"/>
    <w:rsid w:val="009909DF"/>
    <w:rPr>
      <w:i/>
    </w:rPr>
  </w:style>
  <w:style w:type="character" w:customStyle="1" w:styleId="Bluetext">
    <w:name w:val="Blue text"/>
    <w:basedOn w:val="DefaultParagraphFont"/>
    <w:uiPriority w:val="2"/>
    <w:rsid w:val="000A4639"/>
    <w:rPr>
      <w:color w:val="0070C0"/>
    </w:rPr>
  </w:style>
  <w:style w:type="paragraph" w:customStyle="1" w:styleId="Boxsmallbullet1">
    <w:name w:val="Box small bullet 1"/>
    <w:basedOn w:val="Normal"/>
    <w:uiPriority w:val="2"/>
    <w:rsid w:val="002F2103"/>
    <w:pPr>
      <w:numPr>
        <w:numId w:val="9"/>
      </w:numPr>
    </w:pPr>
  </w:style>
  <w:style w:type="paragraph" w:customStyle="1" w:styleId="Boxsmallbullet2">
    <w:name w:val="Box small bullet 2"/>
    <w:basedOn w:val="Normal"/>
    <w:uiPriority w:val="2"/>
    <w:rsid w:val="002F2103"/>
    <w:pPr>
      <w:numPr>
        <w:ilvl w:val="1"/>
        <w:numId w:val="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100392"/>
    <w:rPr>
      <w:color w:val="0D6AB8"/>
      <w:u w:val="single"/>
    </w:rPr>
  </w:style>
  <w:style w:type="paragraph" w:customStyle="1" w:styleId="Pictureindent">
    <w:name w:val="Picture indent"/>
    <w:basedOn w:val="Indent1"/>
    <w:uiPriority w:val="98"/>
    <w:rsid w:val="002539A9"/>
    <w:pPr>
      <w:ind w:left="-28"/>
    </w:pPr>
  </w:style>
  <w:style w:type="numbering" w:styleId="111111">
    <w:name w:val="Outline List 2"/>
    <w:basedOn w:val="NoList"/>
    <w:uiPriority w:val="99"/>
    <w:semiHidden/>
    <w:unhideWhenUsed/>
    <w:rsid w:val="002F2103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2F2103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rsid w:val="002F2103"/>
    <w:pPr>
      <w:numPr>
        <w:numId w:val="8"/>
      </w:numPr>
    </w:pPr>
  </w:style>
  <w:style w:type="paragraph" w:customStyle="1" w:styleId="Boxsmallnumber-1">
    <w:name w:val="Box small number - 1."/>
    <w:basedOn w:val="Normal"/>
    <w:uiPriority w:val="2"/>
    <w:rsid w:val="002F2103"/>
    <w:pPr>
      <w:numPr>
        <w:numId w:val="10"/>
      </w:numPr>
    </w:pPr>
  </w:style>
  <w:style w:type="paragraph" w:customStyle="1" w:styleId="Boxsmallnumber-a">
    <w:name w:val="Box small number - a."/>
    <w:basedOn w:val="Normal"/>
    <w:uiPriority w:val="2"/>
    <w:rsid w:val="002F2103"/>
    <w:pPr>
      <w:numPr>
        <w:ilvl w:val="1"/>
        <w:numId w:val="10"/>
      </w:numPr>
    </w:pPr>
  </w:style>
  <w:style w:type="paragraph" w:customStyle="1" w:styleId="Boxsmallnumber-i">
    <w:name w:val="Box small number - i."/>
    <w:basedOn w:val="Normal"/>
    <w:uiPriority w:val="2"/>
    <w:rsid w:val="002F2103"/>
    <w:pPr>
      <w:numPr>
        <w:ilvl w:val="2"/>
        <w:numId w:val="10"/>
      </w:numPr>
    </w:pPr>
  </w:style>
  <w:style w:type="paragraph" w:customStyle="1" w:styleId="FootnoteBullet">
    <w:name w:val="Footnote Bullet"/>
    <w:basedOn w:val="FootnoteText"/>
    <w:uiPriority w:val="7"/>
    <w:rsid w:val="001643FB"/>
    <w:pPr>
      <w:numPr>
        <w:numId w:val="27"/>
      </w:numPr>
      <w:tabs>
        <w:tab w:val="clear" w:pos="284"/>
      </w:tabs>
    </w:pPr>
  </w:style>
  <w:style w:type="paragraph" w:customStyle="1" w:styleId="Introduction">
    <w:name w:val="Introduction"/>
    <w:basedOn w:val="Normal"/>
    <w:uiPriority w:val="98"/>
    <w:rsid w:val="002F2103"/>
    <w:rPr>
      <w:color w:val="4D4D4D"/>
      <w:sz w:val="28"/>
    </w:rPr>
  </w:style>
  <w:style w:type="paragraph" w:customStyle="1" w:styleId="Checkbox1">
    <w:name w:val="Check box 1"/>
    <w:basedOn w:val="BodyText"/>
    <w:uiPriority w:val="3"/>
    <w:rsid w:val="002F2103"/>
    <w:pPr>
      <w:numPr>
        <w:numId w:val="12"/>
      </w:numPr>
    </w:pPr>
  </w:style>
  <w:style w:type="paragraph" w:customStyle="1" w:styleId="Checkbox2">
    <w:name w:val="Check box 2"/>
    <w:basedOn w:val="Checkbox1"/>
    <w:uiPriority w:val="3"/>
    <w:rsid w:val="002F2103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2F2103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2F2103"/>
    <w:pPr>
      <w:numPr>
        <w:ilvl w:val="3"/>
      </w:numPr>
    </w:pPr>
  </w:style>
  <w:style w:type="paragraph" w:customStyle="1" w:styleId="Tablecheckbox1">
    <w:name w:val="Table check box 1"/>
    <w:basedOn w:val="Normal"/>
    <w:uiPriority w:val="2"/>
    <w:rsid w:val="002F2103"/>
    <w:pPr>
      <w:numPr>
        <w:numId w:val="23"/>
      </w:numPr>
      <w:spacing w:before="120" w:after="120"/>
    </w:pPr>
    <w:rPr>
      <w:sz w:val="22"/>
    </w:rPr>
  </w:style>
  <w:style w:type="paragraph" w:customStyle="1" w:styleId="Tablecheckbox2">
    <w:name w:val="Table check box 2"/>
    <w:basedOn w:val="Tablecheckbox1"/>
    <w:uiPriority w:val="2"/>
    <w:rsid w:val="002F2103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2F2103"/>
    <w:pPr>
      <w:numPr>
        <w:ilvl w:val="2"/>
      </w:numPr>
    </w:pPr>
  </w:style>
  <w:style w:type="paragraph" w:customStyle="1" w:styleId="EndnoteBullet">
    <w:name w:val="Endnote Bullet"/>
    <w:uiPriority w:val="7"/>
    <w:rsid w:val="003E5BC8"/>
    <w:pPr>
      <w:numPr>
        <w:numId w:val="26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2F2103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2F2103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2F2103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2F2103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2F2103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2F2103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1B2F94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2F2103"/>
    <w:pPr>
      <w:ind w:left="851"/>
    </w:pPr>
  </w:style>
  <w:style w:type="paragraph" w:customStyle="1" w:styleId="ALegindent2">
    <w:name w:val="ALeg indent 2"/>
    <w:basedOn w:val="Normal"/>
    <w:uiPriority w:val="6"/>
    <w:rsid w:val="002F2103"/>
    <w:pPr>
      <w:ind w:left="1559"/>
    </w:pPr>
  </w:style>
  <w:style w:type="paragraph" w:customStyle="1" w:styleId="ALegindent3">
    <w:name w:val="ALeg indent 3"/>
    <w:basedOn w:val="Normal"/>
    <w:uiPriority w:val="6"/>
    <w:rsid w:val="002F2103"/>
    <w:pPr>
      <w:ind w:left="2268"/>
    </w:pPr>
  </w:style>
  <w:style w:type="paragraph" w:customStyle="1" w:styleId="ALegstyle-1">
    <w:name w:val="ALeg style - (1)"/>
    <w:basedOn w:val="Normal"/>
    <w:uiPriority w:val="6"/>
    <w:rsid w:val="002F2103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2F2103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2F2103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1B2F94"/>
    <w:pPr>
      <w:keepNext/>
      <w:tabs>
        <w:tab w:val="left" w:pos="851"/>
      </w:tabs>
      <w:ind w:left="851" w:hanging="851"/>
    </w:pPr>
    <w:rPr>
      <w:b/>
    </w:rPr>
  </w:style>
  <w:style w:type="paragraph" w:customStyle="1" w:styleId="BQLegindent1">
    <w:name w:val="BQLeg indent 1"/>
    <w:basedOn w:val="Normal"/>
    <w:uiPriority w:val="6"/>
    <w:rsid w:val="00780D07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80D07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80D07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80D07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80D07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80D07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80D07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SQLegindent1">
    <w:name w:val="SQLeg indent 1"/>
    <w:basedOn w:val="Normal"/>
    <w:uiPriority w:val="6"/>
    <w:rsid w:val="002F2103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2F2103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2F2103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2F2103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2F2103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2F2103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1B2F94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Subheading">
    <w:name w:val="Subheading"/>
    <w:basedOn w:val="Normal"/>
    <w:uiPriority w:val="1"/>
    <w:rsid w:val="00E83E7F"/>
    <w:pPr>
      <w:spacing w:after="0" w:line="240" w:lineRule="auto"/>
    </w:pPr>
    <w:rPr>
      <w:sz w:val="32"/>
    </w:rPr>
  </w:style>
  <w:style w:type="paragraph" w:customStyle="1" w:styleId="BodyText1">
    <w:name w:val="Body Text1"/>
    <w:basedOn w:val="Normal"/>
    <w:uiPriority w:val="2"/>
    <w:rsid w:val="00263B2F"/>
  </w:style>
  <w:style w:type="paragraph" w:customStyle="1" w:styleId="Tableoffiguresheading">
    <w:name w:val="Table of figures heading"/>
    <w:basedOn w:val="Heading4"/>
    <w:next w:val="TableofFigures"/>
    <w:uiPriority w:val="1"/>
    <w:rsid w:val="002F2103"/>
    <w:pPr>
      <w:numPr>
        <w:ilvl w:val="0"/>
        <w:numId w:val="0"/>
      </w:num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4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37CE"/>
    <w:rPr>
      <w:rFonts w:ascii="Tahoma" w:hAnsi="Tahoma" w:cs="Tahoma"/>
      <w:color w:val="1E1E1E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E4B"/>
    <w:pPr>
      <w:ind w:left="720"/>
      <w:contextualSpacing/>
    </w:pPr>
  </w:style>
  <w:style w:type="paragraph" w:styleId="ListNumber4">
    <w:name w:val="List Number 4"/>
    <w:basedOn w:val="Normal"/>
    <w:uiPriority w:val="97"/>
    <w:semiHidden/>
    <w:unhideWhenUsed/>
    <w:rsid w:val="007A2EA9"/>
    <w:pPr>
      <w:numPr>
        <w:numId w:val="32"/>
      </w:numPr>
      <w:contextualSpacing/>
    </w:pPr>
  </w:style>
  <w:style w:type="paragraph" w:customStyle="1" w:styleId="BodyText2">
    <w:name w:val="Body Text2"/>
    <w:basedOn w:val="Normal"/>
    <w:uiPriority w:val="2"/>
    <w:rsid w:val="007A2EA9"/>
    <w:pPr>
      <w:spacing w:after="200" w:line="240" w:lineRule="atLeast"/>
      <w:jc w:val="both"/>
    </w:pPr>
    <w:rPr>
      <w:rFonts w:cs="Calibri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egislation.govt.nz/regulation/public/1989/0064/latest/DLM129834.html?src=q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2022-02-24T22:16:00Z</dcterms:created>
  <dcterms:modified xsi:type="dcterms:W3CDTF">2022-02-24T22:16:00Z</dcterms:modified>
</cp:coreProperties>
</file>