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24" w:rsidRDefault="00E96424" w:rsidP="00283F3B">
      <w:pPr>
        <w:pStyle w:val="BodyText1"/>
      </w:pPr>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rsidTr="00970234">
        <w:trPr>
          <w:trHeight w:hRule="exact" w:val="3172"/>
        </w:trPr>
        <w:tc>
          <w:tcPr>
            <w:tcW w:w="9576" w:type="dxa"/>
            <w:tcMar>
              <w:top w:w="794" w:type="dxa"/>
            </w:tcMar>
            <w:vAlign w:val="bottom"/>
          </w:tcPr>
          <w:p w:rsidR="00166C30" w:rsidRPr="000E36A8" w:rsidRDefault="00970234" w:rsidP="003534BF">
            <w:pPr>
              <w:pStyle w:val="Title"/>
            </w:pPr>
            <w:bookmarkStart w:id="0" w:name="_GoBack"/>
            <w:r>
              <w:t>Request for n</w:t>
            </w:r>
            <w:r w:rsidRPr="00970234">
              <w:t xml:space="preserve">ames of submitters who opposed </w:t>
            </w:r>
            <w:r w:rsidR="003534BF">
              <w:t>an</w:t>
            </w:r>
            <w:r w:rsidRPr="00970234">
              <w:t xml:space="preserve"> application by the Ban1080 party to register its name and logo</w:t>
            </w:r>
            <w:bookmarkEnd w:id="0"/>
          </w:p>
        </w:tc>
      </w:tr>
      <w:tr w:rsidR="00C87D78" w:rsidTr="00094D1D">
        <w:trPr>
          <w:trHeight w:hRule="exact" w:val="340"/>
        </w:trPr>
        <w:tc>
          <w:tcPr>
            <w:tcW w:w="9576" w:type="dxa"/>
            <w:vAlign w:val="bottom"/>
          </w:tcPr>
          <w:p w:rsidR="00C87D78" w:rsidRDefault="00C87D78" w:rsidP="00C731DE"/>
        </w:tc>
      </w:tr>
      <w:tr w:rsidR="00F417FD" w:rsidTr="00094D1D">
        <w:trPr>
          <w:trHeight w:val="2098"/>
        </w:trPr>
        <w:tc>
          <w:tcPr>
            <w:tcW w:w="9576" w:type="dxa"/>
          </w:tcPr>
          <w:p w:rsidR="00F417FD" w:rsidRPr="00971749" w:rsidRDefault="00F417FD" w:rsidP="00971749">
            <w:pPr>
              <w:pStyle w:val="Heading1-Subnonboldtext"/>
            </w:pPr>
            <w:r w:rsidRPr="00971749">
              <w:rPr>
                <w:rStyle w:val="Heading1-Sub"/>
              </w:rPr>
              <w:t>Legislation</w:t>
            </w:r>
            <w:r w:rsidRPr="00971749">
              <w:tab/>
            </w:r>
            <w:r w:rsidR="00970234">
              <w:t xml:space="preserve">Official Information Act 1982, s 9(2)(a) </w:t>
            </w:r>
          </w:p>
          <w:p w:rsidR="00F417FD" w:rsidRPr="00971749" w:rsidRDefault="00F417FD" w:rsidP="00971749">
            <w:pPr>
              <w:pStyle w:val="Heading1-Subnonboldtext"/>
            </w:pPr>
            <w:r w:rsidRPr="00971749">
              <w:rPr>
                <w:rStyle w:val="Heading1-Sub"/>
              </w:rPr>
              <w:t>Agency</w:t>
            </w:r>
            <w:r w:rsidRPr="00971749">
              <w:tab/>
            </w:r>
            <w:r w:rsidR="00B503D7">
              <w:t>Electoral Commission</w:t>
            </w:r>
          </w:p>
          <w:p w:rsidR="00F417FD" w:rsidRPr="00971749" w:rsidRDefault="00F417FD" w:rsidP="00971749">
            <w:pPr>
              <w:pStyle w:val="Heading1-Subnonboldtext"/>
            </w:pPr>
            <w:r w:rsidRPr="00971749">
              <w:rPr>
                <w:rStyle w:val="Heading1-Sub"/>
              </w:rPr>
              <w:t>Ombudsman</w:t>
            </w:r>
            <w:r w:rsidRPr="00971749">
              <w:tab/>
            </w:r>
            <w:r w:rsidR="00EF298D">
              <w:t>Dame Beverley A Wakem</w:t>
            </w:r>
          </w:p>
          <w:p w:rsidR="00F417FD" w:rsidRPr="00971749" w:rsidRDefault="00F417FD" w:rsidP="00971749">
            <w:pPr>
              <w:pStyle w:val="Heading1-Subnonboldtext"/>
            </w:pPr>
            <w:r w:rsidRPr="00971749">
              <w:rPr>
                <w:rStyle w:val="Heading1-Sub"/>
              </w:rPr>
              <w:t>Case number(s)</w:t>
            </w:r>
            <w:r w:rsidRPr="00971749">
              <w:tab/>
            </w:r>
            <w:r w:rsidR="00970234" w:rsidRPr="00970234">
              <w:t>387054</w:t>
            </w:r>
          </w:p>
          <w:p w:rsidR="00F417FD" w:rsidRPr="00F417FD" w:rsidRDefault="00F417FD" w:rsidP="00EF298D">
            <w:pPr>
              <w:pStyle w:val="Heading1-Subnonboldtext"/>
            </w:pPr>
            <w:r w:rsidRPr="00971749">
              <w:rPr>
                <w:rStyle w:val="Heading1-Sub"/>
              </w:rPr>
              <w:t>Date</w:t>
            </w:r>
            <w:r w:rsidRPr="00971749">
              <w:tab/>
            </w:r>
            <w:r w:rsidR="00EF298D">
              <w:t>29 May 2015</w:t>
            </w:r>
          </w:p>
        </w:tc>
      </w:tr>
    </w:tbl>
    <w:p w:rsidR="00094D1D" w:rsidRPr="00094D1D" w:rsidRDefault="00094D1D" w:rsidP="00094D1D">
      <w:pPr>
        <w:pStyle w:val="Guidelines"/>
        <w:rPr>
          <w:color w:val="auto"/>
        </w:rPr>
      </w:pPr>
    </w:p>
    <w:p w:rsidR="00FA48B0" w:rsidRPr="00970234" w:rsidRDefault="00970234" w:rsidP="00E77A82">
      <w:pPr>
        <w:pStyle w:val="BodyText"/>
        <w:rPr>
          <w:i/>
        </w:rPr>
      </w:pPr>
      <w:r w:rsidRPr="00970234">
        <w:rPr>
          <w:i/>
        </w:rPr>
        <w:t xml:space="preserve">Section 9(2)(a) OIA applied—withholding necessary to protect the privacy of submitters who were individual members of the public—potential consequences of disclosure included harassment and threats to safety—in view of these consequences the public interest in disclosure did not outweigh the need to withhold—compare with case </w:t>
      </w:r>
      <w:hyperlink r:id="rId7" w:history="1">
        <w:r w:rsidRPr="00B503D7">
          <w:rPr>
            <w:rStyle w:val="Hyperlink"/>
            <w:i/>
          </w:rPr>
          <w:t>320402</w:t>
        </w:r>
      </w:hyperlink>
    </w:p>
    <w:p w:rsidR="00E77A82" w:rsidRDefault="00E77A82" w:rsidP="00E77A82">
      <w:pPr>
        <w:pStyle w:val="Heading1"/>
      </w:pPr>
      <w:r>
        <w:t>Background</w:t>
      </w:r>
    </w:p>
    <w:p w:rsidR="00EF298D" w:rsidRDefault="00EF298D" w:rsidP="00EF298D">
      <w:pPr>
        <w:pStyle w:val="BodyText"/>
      </w:pPr>
      <w:r>
        <w:t>A journalist asked the Electoral Commission for copies of submissions received on the ‘Ban1080’ party’s application to register its name and logo. The Commission released the submissions, but withheld the names and contact details of the submitters in order to protect their privacy. The journalist complained to the Ombudsman.</w:t>
      </w:r>
    </w:p>
    <w:p w:rsidR="0094045F" w:rsidRDefault="0094045F" w:rsidP="00EF298D">
      <w:pPr>
        <w:pStyle w:val="Heading1"/>
      </w:pPr>
      <w:r>
        <w:t>Investigation</w:t>
      </w:r>
    </w:p>
    <w:p w:rsidR="0094045F" w:rsidRDefault="0094045F" w:rsidP="0094045F">
      <w:pPr>
        <w:pStyle w:val="BodyText"/>
      </w:pPr>
      <w:r>
        <w:t xml:space="preserve">The Chief Ombudsman requested a copy of the information at issue and an explanation of the reasons for withholding. </w:t>
      </w:r>
    </w:p>
    <w:p w:rsidR="00EF298D" w:rsidRDefault="00EF298D" w:rsidP="00F118E2">
      <w:pPr>
        <w:pStyle w:val="Heading2"/>
      </w:pPr>
      <w:r>
        <w:t>Privacy</w:t>
      </w:r>
    </w:p>
    <w:p w:rsidR="00EF298D" w:rsidRPr="00EF298D" w:rsidRDefault="00BD5C18" w:rsidP="00EF298D">
      <w:pPr>
        <w:pStyle w:val="BodyText"/>
      </w:pPr>
      <w:r w:rsidRPr="00BD5C18">
        <w:t xml:space="preserve">Section 9(2)(a) of the </w:t>
      </w:r>
      <w:r w:rsidR="001F384A">
        <w:t>Official Information Act (OIA)</w:t>
      </w:r>
      <w:r w:rsidRPr="00BD5C18">
        <w:t xml:space="preserve"> applies where withholding is</w:t>
      </w:r>
      <w:r w:rsidRPr="00BD5C18">
        <w:rPr>
          <w:i/>
          <w:iCs/>
        </w:rPr>
        <w:t xml:space="preserve"> ‘necessary to protect the privacy of natural persons’</w:t>
      </w:r>
      <w:r w:rsidRPr="00BD5C18">
        <w:t>.</w:t>
      </w:r>
    </w:p>
    <w:p w:rsidR="00EF298D" w:rsidRDefault="00EF298D" w:rsidP="00EF298D">
      <w:pPr>
        <w:pStyle w:val="BodyText"/>
      </w:pPr>
      <w:r>
        <w:lastRenderedPageBreak/>
        <w:t>The submitters in this case were individual members of the public who had not been forewarned that their names might be disclosed in connection with their submission.</w:t>
      </w:r>
    </w:p>
    <w:p w:rsidR="00EF298D" w:rsidRDefault="00EF298D" w:rsidP="00EF298D">
      <w:pPr>
        <w:pStyle w:val="BodyText"/>
      </w:pPr>
      <w:r>
        <w:t xml:space="preserve">The </w:t>
      </w:r>
      <w:r w:rsidR="006B3B89">
        <w:t xml:space="preserve">Chief </w:t>
      </w:r>
      <w:r>
        <w:t>Ombudsman consulted them to ascertain their concerns about disclosure of their identities in this context. The submitters all opposed release of their identities. They expressed strong concerns for their safety, and the safety of their families, and said they would not have made submissions if they had been aware their identities might be made public.</w:t>
      </w:r>
    </w:p>
    <w:p w:rsidR="00EF298D" w:rsidRPr="00276D96" w:rsidRDefault="00EF298D" w:rsidP="00EF298D">
      <w:pPr>
        <w:pStyle w:val="BodyText"/>
      </w:pPr>
      <w:r>
        <w:t xml:space="preserve">The Chief Ombudsman noted that the use of 1080 poison is a highly emotive and contentious topic. There had been a number of well-publicised occasions where some of those opposed to the use of 1080 had resorted to threats of violence and sabotage against those they perceived to be supporting its use. Two of the submitters had previously received threats or had negative interactions with anti-1080 campaigners. In this context, </w:t>
      </w:r>
      <w:r w:rsidRPr="00303BC2">
        <w:t xml:space="preserve">the individuals who made submissions </w:t>
      </w:r>
      <w:r>
        <w:t>on the Ban1080 party’s app</w:t>
      </w:r>
      <w:r w:rsidRPr="00B560A3">
        <w:t>l</w:t>
      </w:r>
      <w:r>
        <w:t>ication had</w:t>
      </w:r>
      <w:r w:rsidRPr="00303BC2">
        <w:t xml:space="preserve"> </w:t>
      </w:r>
      <w:r w:rsidRPr="005A756B">
        <w:rPr>
          <w:i/>
        </w:rPr>
        <w:t>‘legitimate and well-founded privacy concerns about the</w:t>
      </w:r>
      <w:r w:rsidRPr="005A756B">
        <w:rPr>
          <w:i/>
          <w:color w:val="000080"/>
          <w:sz w:val="23"/>
          <w:lang w:val="en-AU"/>
        </w:rPr>
        <w:t xml:space="preserve"> </w:t>
      </w:r>
      <w:r w:rsidRPr="005A756B">
        <w:rPr>
          <w:i/>
        </w:rPr>
        <w:t>opinions expressed in their submissions being publicly attributed to them’</w:t>
      </w:r>
      <w:r>
        <w:t>.</w:t>
      </w:r>
      <w:r w:rsidRPr="00276D96">
        <w:t xml:space="preserve">  </w:t>
      </w:r>
    </w:p>
    <w:p w:rsidR="00EF298D" w:rsidRDefault="00EF298D" w:rsidP="00EF298D">
      <w:pPr>
        <w:pStyle w:val="BodyText"/>
        <w:rPr>
          <w:lang w:val="en"/>
        </w:rPr>
      </w:pPr>
      <w:r>
        <w:t xml:space="preserve">The Chief Ombudsman distinguished the </w:t>
      </w:r>
      <w:hyperlink r:id="rId8" w:history="1">
        <w:r w:rsidRPr="002D1904">
          <w:rPr>
            <w:rStyle w:val="Hyperlink"/>
          </w:rPr>
          <w:t>PHARMAC case</w:t>
        </w:r>
      </w:hyperlink>
      <w:r w:rsidR="00141532" w:rsidRPr="00141532">
        <w:t xml:space="preserve"> (320402)</w:t>
      </w:r>
      <w:r>
        <w:t xml:space="preserve"> because </w:t>
      </w:r>
      <w:r>
        <w:rPr>
          <w:lang w:val="en"/>
        </w:rPr>
        <w:t xml:space="preserve">the individuals there comprised a group of clinicians expressing their opinions in a professional capacity. As the Ombudsman noted in that case, they were </w:t>
      </w:r>
      <w:r>
        <w:rPr>
          <w:i/>
          <w:lang w:val="en"/>
        </w:rPr>
        <w:t xml:space="preserve">‘in a different category from individual lay members of the public who might claim anonymity’. </w:t>
      </w:r>
      <w:r>
        <w:rPr>
          <w:lang w:val="en"/>
        </w:rPr>
        <w:t>The Chief Ombudsman agreed that individuals making submissions in a professional capacity could be expected to be aware that their submissions and identities might be disclosed. However, the individual members of the public in this case could not, in the absence of express advice, reasonably have expected this. She concluded there was a privacy interest in the identities of the submitters, and that it was necessary to withhold this information in order to protect their privacy.</w:t>
      </w:r>
    </w:p>
    <w:p w:rsidR="00334AFA" w:rsidRDefault="00334AFA" w:rsidP="00F118E2">
      <w:pPr>
        <w:pStyle w:val="Heading2"/>
        <w:rPr>
          <w:lang w:val="en"/>
        </w:rPr>
      </w:pPr>
      <w:r>
        <w:rPr>
          <w:lang w:val="en"/>
        </w:rPr>
        <w:t>Public interest</w:t>
      </w:r>
    </w:p>
    <w:p w:rsidR="00334AFA" w:rsidRPr="00334AFA" w:rsidRDefault="00334AFA" w:rsidP="00EF298D">
      <w:pPr>
        <w:pStyle w:val="BodyText"/>
      </w:pPr>
      <w:r w:rsidRPr="00334AFA">
        <w:t>Section 9(2)(a) is subject to a public interest test. This means the need to withhold must be balanced against the countervailing public interest in release. If the countervailing public interest weighs more heavily, the information must be released. If not, it can be withheld.</w:t>
      </w:r>
    </w:p>
    <w:p w:rsidR="00334AFA" w:rsidRDefault="00EF298D" w:rsidP="00EF298D">
      <w:pPr>
        <w:pStyle w:val="BodyText"/>
      </w:pPr>
      <w:r>
        <w:rPr>
          <w:lang w:val="en"/>
        </w:rPr>
        <w:t xml:space="preserve">The Chief Ombudsman agreed with the view expressed in the </w:t>
      </w:r>
      <w:hyperlink r:id="rId9" w:history="1">
        <w:r w:rsidRPr="002D1904">
          <w:rPr>
            <w:rStyle w:val="Hyperlink"/>
          </w:rPr>
          <w:t>PHARMAC case</w:t>
        </w:r>
      </w:hyperlink>
      <w:r>
        <w:t xml:space="preserve"> </w:t>
      </w:r>
      <w:r>
        <w:rPr>
          <w:lang w:val="en"/>
        </w:rPr>
        <w:t xml:space="preserve">that there is </w:t>
      </w:r>
      <w:r w:rsidRPr="00734A35">
        <w:rPr>
          <w:i/>
          <w:lang w:val="en"/>
        </w:rPr>
        <w:t>‘</w:t>
      </w:r>
      <w:r w:rsidRPr="00734A35">
        <w:rPr>
          <w:i/>
        </w:rPr>
        <w:t>a general expectation of openness and transparency associated with this type of submission process’</w:t>
      </w:r>
      <w:r>
        <w:t xml:space="preserve">. </w:t>
      </w:r>
      <w:r w:rsidR="00334AFA">
        <w:t>She acknowledged</w:t>
      </w:r>
      <w:r>
        <w:t xml:space="preserve"> </w:t>
      </w:r>
      <w:r w:rsidRPr="00734A35">
        <w:rPr>
          <w:i/>
        </w:rPr>
        <w:t>‘a public interest in knowing the source of submissions opposing the Ban1080 party’s application and the reasons for that opposition’</w:t>
      </w:r>
      <w:r>
        <w:t xml:space="preserve">. </w:t>
      </w:r>
    </w:p>
    <w:p w:rsidR="00EF298D" w:rsidRDefault="00EF298D" w:rsidP="00EF298D">
      <w:pPr>
        <w:pStyle w:val="BodyText"/>
      </w:pPr>
      <w:r>
        <w:t xml:space="preserve">However, given the potential consequences of release for the individuals in this context, the public interest in disclosure did not outweigh the need to withhold. It was sufficient in this instance for the Commission to have disclosed the content of the submissions. </w:t>
      </w:r>
    </w:p>
    <w:p w:rsidR="00E77A82" w:rsidRDefault="00334AFA" w:rsidP="00334AFA">
      <w:pPr>
        <w:pStyle w:val="Heading1"/>
      </w:pPr>
      <w:r>
        <w:t>Outcome</w:t>
      </w:r>
    </w:p>
    <w:p w:rsidR="00334AFA" w:rsidRDefault="00334AFA" w:rsidP="00E77A82">
      <w:pPr>
        <w:pStyle w:val="BodyText"/>
      </w:pPr>
      <w:r>
        <w:t>The Ombudsman formed the opinion that section 9(2)(a) of the OIA provided good reason to withhold the names.</w:t>
      </w:r>
    </w:p>
    <w:p w:rsidR="003160E5" w:rsidRPr="003160E5" w:rsidRDefault="003160E5" w:rsidP="003160E5">
      <w:pPr>
        <w:pStyle w:val="BodyText"/>
        <w:rPr>
          <w:rStyle w:val="Italics"/>
        </w:rPr>
      </w:pPr>
      <w:r w:rsidRPr="003160E5">
        <w:rPr>
          <w:rStyle w:val="Italics"/>
        </w:rPr>
        <w:t xml:space="preserve">This case note is published under the authority of the </w:t>
      </w:r>
      <w:hyperlink r:id="rId10"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08" w:rsidRPr="00D45126" w:rsidRDefault="00A05908" w:rsidP="00554FCD">
      <w:pPr>
        <w:spacing w:after="0" w:line="240" w:lineRule="auto"/>
        <w:rPr>
          <w:color w:val="4D4D4D"/>
        </w:rPr>
      </w:pPr>
      <w:r w:rsidRPr="00D45126">
        <w:rPr>
          <w:color w:val="4D4D4D"/>
        </w:rPr>
        <w:separator/>
      </w:r>
    </w:p>
  </w:endnote>
  <w:endnote w:type="continuationSeparator" w:id="0">
    <w:p w:rsidR="00A05908" w:rsidRPr="00D45126" w:rsidRDefault="00A05908" w:rsidP="00554FCD">
      <w:pPr>
        <w:spacing w:after="0" w:line="240" w:lineRule="auto"/>
        <w:rPr>
          <w:color w:val="4D4D4D"/>
        </w:rPr>
      </w:pPr>
      <w:r w:rsidRPr="00D45126">
        <w:rPr>
          <w:color w:val="4D4D4D"/>
        </w:rPr>
        <w:continuationSeparator/>
      </w:r>
    </w:p>
  </w:endnote>
  <w:endnote w:type="continuationNotice" w:id="1">
    <w:p w:rsidR="00A05908" w:rsidRDefault="00A0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3D" w:rsidRDefault="001D7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B81F45">
    <w:pPr>
      <w:pStyle w:val="Footerline"/>
    </w:pPr>
  </w:p>
  <w:p w:rsidR="008A593E" w:rsidRPr="0059155D" w:rsidRDefault="008A593E" w:rsidP="00B81F45">
    <w:pPr>
      <w:pStyle w:val="Footerline"/>
    </w:pPr>
  </w:p>
  <w:p w:rsidR="008A593E" w:rsidRPr="005533D8" w:rsidRDefault="00D96881" w:rsidP="00B81F45">
    <w:pPr>
      <w:pStyle w:val="Footer"/>
    </w:pPr>
    <w:fldSimple w:instr=" DOCVARIABLE  dvShortText ">
      <w:r w:rsidR="001D723D">
        <w:t>Case note: 387054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1E3761">
      <w:rPr>
        <w:rStyle w:val="PageNumber"/>
        <w:noProof/>
      </w:rPr>
      <w:t>3</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Pr="0059155D" w:rsidRDefault="008A593E" w:rsidP="00AA3322">
    <w:pPr>
      <w:pStyle w:val="Footerline"/>
    </w:pPr>
  </w:p>
  <w:p w:rsidR="008A593E" w:rsidRPr="0059155D" w:rsidRDefault="008A593E" w:rsidP="00AA3322">
    <w:pPr>
      <w:pStyle w:val="Footerline"/>
    </w:pPr>
  </w:p>
  <w:p w:rsidR="008A593E" w:rsidRPr="005533D8" w:rsidRDefault="00D96881" w:rsidP="00AA3322">
    <w:pPr>
      <w:pStyle w:val="Footer"/>
    </w:pPr>
    <w:fldSimple w:instr=" DOCVARIABLE  dvShortText ">
      <w:r w:rsidR="001D723D">
        <w:t>Case note: 387054 |</w:t>
      </w:r>
    </w:fldSimple>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sidR="00A05908">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08" w:rsidRPr="00D45126" w:rsidRDefault="00A05908" w:rsidP="00257DA0">
      <w:pPr>
        <w:spacing w:after="0" w:line="240" w:lineRule="auto"/>
        <w:rPr>
          <w:color w:val="4D4D4D"/>
        </w:rPr>
      </w:pPr>
      <w:r w:rsidRPr="00D45126">
        <w:rPr>
          <w:color w:val="4D4D4D"/>
        </w:rPr>
        <w:separator/>
      </w:r>
    </w:p>
  </w:footnote>
  <w:footnote w:type="continuationSeparator" w:id="0">
    <w:p w:rsidR="00A05908" w:rsidRPr="00C14083" w:rsidRDefault="00A05908" w:rsidP="00554FCD">
      <w:pPr>
        <w:spacing w:after="0" w:line="240" w:lineRule="auto"/>
        <w:rPr>
          <w:color w:val="4D4D4D"/>
        </w:rPr>
      </w:pPr>
      <w:r w:rsidRPr="00C14083">
        <w:rPr>
          <w:color w:val="4D4D4D"/>
        </w:rPr>
        <w:continuationSeparator/>
      </w:r>
    </w:p>
  </w:footnote>
  <w:footnote w:type="continuationNotice" w:id="1">
    <w:p w:rsidR="00A05908" w:rsidRDefault="00A05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3D" w:rsidRDefault="001D7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93E" w:rsidRDefault="008A593E">
    <w:pPr>
      <w:pStyle w:val="Header"/>
    </w:pPr>
    <w:r w:rsidRPr="00F417FD">
      <w:rPr>
        <w:noProof/>
        <w:lang w:eastAsia="en-NZ"/>
      </w:rPr>
      <w:drawing>
        <wp:anchor distT="0" distB="0" distL="114300" distR="114300" simplePos="0" relativeHeight="251659264" behindDoc="0" locked="0" layoutInCell="1" allowOverlap="1">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7"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9"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9"/>
  </w:num>
  <w:num w:numId="2">
    <w:abstractNumId w:val="5"/>
  </w:num>
  <w:num w:numId="3">
    <w:abstractNumId w:val="13"/>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5"/>
  </w:num>
  <w:num w:numId="8">
    <w:abstractNumId w:val="17"/>
  </w:num>
  <w:num w:numId="9">
    <w:abstractNumId w:val="8"/>
  </w:num>
  <w:num w:numId="10">
    <w:abstractNumId w:val="11"/>
  </w:num>
  <w:num w:numId="11">
    <w:abstractNumId w:val="24"/>
  </w:num>
  <w:num w:numId="12">
    <w:abstractNumId w:val="12"/>
  </w:num>
  <w:num w:numId="13">
    <w:abstractNumId w:val="7"/>
  </w:num>
  <w:num w:numId="14">
    <w:abstractNumId w:val="10"/>
  </w:num>
  <w:num w:numId="15">
    <w:abstractNumId w:val="6"/>
  </w:num>
  <w:num w:numId="16">
    <w:abstractNumId w:val="22"/>
  </w:num>
  <w:num w:numId="17">
    <w:abstractNumId w:val="18"/>
  </w:num>
  <w:num w:numId="18">
    <w:abstractNumId w:val="23"/>
  </w:num>
  <w:num w:numId="19">
    <w:abstractNumId w:val="15"/>
  </w:num>
  <w:num w:numId="20">
    <w:abstractNumId w:val="2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14"/>
  </w:num>
  <w:num w:numId="25">
    <w:abstractNumId w:val="16"/>
  </w:num>
  <w:num w:numId="26">
    <w:abstractNumId w:val="7"/>
  </w:num>
  <w:num w:numId="27">
    <w:abstractNumId w:val="10"/>
  </w:num>
  <w:num w:numId="28">
    <w:abstractNumId w:val="2"/>
  </w:num>
  <w:num w:numId="29">
    <w:abstractNumId w:val="1"/>
  </w:num>
  <w:num w:numId="30">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87054 |"/>
    <w:docVar w:name="dvShortTextFrm" w:val="Case note: 387054"/>
    <w:docVar w:name="IsfirstTb" w:val="True"/>
    <w:docVar w:name="IsInTable" w:val="False"/>
    <w:docVar w:name="OOTOTemplate" w:val="OOTO General\Case note.dotm"/>
  </w:docVars>
  <w:rsids>
    <w:rsidRoot w:val="00970234"/>
    <w:rsid w:val="00000AEE"/>
    <w:rsid w:val="0000164C"/>
    <w:rsid w:val="00002E2B"/>
    <w:rsid w:val="000048D2"/>
    <w:rsid w:val="0000771B"/>
    <w:rsid w:val="00011074"/>
    <w:rsid w:val="00013791"/>
    <w:rsid w:val="00021382"/>
    <w:rsid w:val="00024F53"/>
    <w:rsid w:val="00026A3B"/>
    <w:rsid w:val="000273F0"/>
    <w:rsid w:val="000328E9"/>
    <w:rsid w:val="00032A75"/>
    <w:rsid w:val="00035821"/>
    <w:rsid w:val="00040F52"/>
    <w:rsid w:val="00041615"/>
    <w:rsid w:val="000419C3"/>
    <w:rsid w:val="00045FD7"/>
    <w:rsid w:val="00046B63"/>
    <w:rsid w:val="00050123"/>
    <w:rsid w:val="00053114"/>
    <w:rsid w:val="00057C4D"/>
    <w:rsid w:val="00064CFD"/>
    <w:rsid w:val="00065881"/>
    <w:rsid w:val="000822C8"/>
    <w:rsid w:val="00084FC2"/>
    <w:rsid w:val="000929F9"/>
    <w:rsid w:val="00093C9D"/>
    <w:rsid w:val="00094D1D"/>
    <w:rsid w:val="0009569A"/>
    <w:rsid w:val="000965D2"/>
    <w:rsid w:val="00097211"/>
    <w:rsid w:val="00097E3A"/>
    <w:rsid w:val="000A084B"/>
    <w:rsid w:val="000A18DA"/>
    <w:rsid w:val="000A39DB"/>
    <w:rsid w:val="000A4639"/>
    <w:rsid w:val="000A56A9"/>
    <w:rsid w:val="000B43C3"/>
    <w:rsid w:val="000B60ED"/>
    <w:rsid w:val="000C2A01"/>
    <w:rsid w:val="000C487C"/>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40996"/>
    <w:rsid w:val="00140DAC"/>
    <w:rsid w:val="00141532"/>
    <w:rsid w:val="00144C1B"/>
    <w:rsid w:val="00150AD4"/>
    <w:rsid w:val="00151F5B"/>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7401"/>
    <w:rsid w:val="001A265F"/>
    <w:rsid w:val="001A415D"/>
    <w:rsid w:val="001A4C19"/>
    <w:rsid w:val="001B1DCE"/>
    <w:rsid w:val="001B2F94"/>
    <w:rsid w:val="001B31CF"/>
    <w:rsid w:val="001B688C"/>
    <w:rsid w:val="001B7EC1"/>
    <w:rsid w:val="001C12AF"/>
    <w:rsid w:val="001C7F14"/>
    <w:rsid w:val="001D723D"/>
    <w:rsid w:val="001E067E"/>
    <w:rsid w:val="001E16D0"/>
    <w:rsid w:val="001E3761"/>
    <w:rsid w:val="001E795E"/>
    <w:rsid w:val="001F08E5"/>
    <w:rsid w:val="001F0C1C"/>
    <w:rsid w:val="001F0E26"/>
    <w:rsid w:val="001F14C5"/>
    <w:rsid w:val="001F20AE"/>
    <w:rsid w:val="001F384A"/>
    <w:rsid w:val="001F6FC1"/>
    <w:rsid w:val="00200C37"/>
    <w:rsid w:val="00204247"/>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67F4"/>
    <w:rsid w:val="002A7B22"/>
    <w:rsid w:val="002B0E1C"/>
    <w:rsid w:val="002B319F"/>
    <w:rsid w:val="002B48BA"/>
    <w:rsid w:val="002B5274"/>
    <w:rsid w:val="002B5D4E"/>
    <w:rsid w:val="002B6A20"/>
    <w:rsid w:val="002B6A6C"/>
    <w:rsid w:val="002B7379"/>
    <w:rsid w:val="002C0241"/>
    <w:rsid w:val="002C03DC"/>
    <w:rsid w:val="002C4624"/>
    <w:rsid w:val="002C54BA"/>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0E5"/>
    <w:rsid w:val="00316CF6"/>
    <w:rsid w:val="00317D8B"/>
    <w:rsid w:val="00320E2B"/>
    <w:rsid w:val="00321801"/>
    <w:rsid w:val="00321D36"/>
    <w:rsid w:val="00334AFA"/>
    <w:rsid w:val="003374ED"/>
    <w:rsid w:val="00342CEE"/>
    <w:rsid w:val="003516B6"/>
    <w:rsid w:val="003534BF"/>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4539"/>
    <w:rsid w:val="003A4EB3"/>
    <w:rsid w:val="003B46E7"/>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213E5"/>
    <w:rsid w:val="00424DBC"/>
    <w:rsid w:val="004302DE"/>
    <w:rsid w:val="00431860"/>
    <w:rsid w:val="00433038"/>
    <w:rsid w:val="00433F89"/>
    <w:rsid w:val="00442610"/>
    <w:rsid w:val="004426B5"/>
    <w:rsid w:val="00444754"/>
    <w:rsid w:val="00452CEF"/>
    <w:rsid w:val="00462213"/>
    <w:rsid w:val="00464DEF"/>
    <w:rsid w:val="00465438"/>
    <w:rsid w:val="00467645"/>
    <w:rsid w:val="004752AF"/>
    <w:rsid w:val="00485E2C"/>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143B"/>
    <w:rsid w:val="004F5787"/>
    <w:rsid w:val="0050347A"/>
    <w:rsid w:val="00503E51"/>
    <w:rsid w:val="005054E0"/>
    <w:rsid w:val="005102D8"/>
    <w:rsid w:val="00512CAE"/>
    <w:rsid w:val="00512D27"/>
    <w:rsid w:val="00515585"/>
    <w:rsid w:val="00515C43"/>
    <w:rsid w:val="00517AD4"/>
    <w:rsid w:val="00520431"/>
    <w:rsid w:val="0052262C"/>
    <w:rsid w:val="0053285B"/>
    <w:rsid w:val="0053394E"/>
    <w:rsid w:val="005409E7"/>
    <w:rsid w:val="00541023"/>
    <w:rsid w:val="00546792"/>
    <w:rsid w:val="00554E50"/>
    <w:rsid w:val="00554FCD"/>
    <w:rsid w:val="00561DA3"/>
    <w:rsid w:val="005661BE"/>
    <w:rsid w:val="005671A5"/>
    <w:rsid w:val="00570439"/>
    <w:rsid w:val="00570CA3"/>
    <w:rsid w:val="005719C4"/>
    <w:rsid w:val="00573D48"/>
    <w:rsid w:val="005758E8"/>
    <w:rsid w:val="005772F4"/>
    <w:rsid w:val="005777E2"/>
    <w:rsid w:val="005804D9"/>
    <w:rsid w:val="005805BA"/>
    <w:rsid w:val="005820EE"/>
    <w:rsid w:val="005830DE"/>
    <w:rsid w:val="00585B6A"/>
    <w:rsid w:val="00590C6E"/>
    <w:rsid w:val="005910D7"/>
    <w:rsid w:val="005935A5"/>
    <w:rsid w:val="00595347"/>
    <w:rsid w:val="00596025"/>
    <w:rsid w:val="005975D0"/>
    <w:rsid w:val="005A1D8F"/>
    <w:rsid w:val="005A2E1B"/>
    <w:rsid w:val="005B1169"/>
    <w:rsid w:val="005B6E2F"/>
    <w:rsid w:val="005B7F25"/>
    <w:rsid w:val="005C4DB4"/>
    <w:rsid w:val="005C76DD"/>
    <w:rsid w:val="005C7BA2"/>
    <w:rsid w:val="005D03D0"/>
    <w:rsid w:val="005D053D"/>
    <w:rsid w:val="005D525E"/>
    <w:rsid w:val="005E1DEC"/>
    <w:rsid w:val="005E1F34"/>
    <w:rsid w:val="005E2932"/>
    <w:rsid w:val="005E4F3A"/>
    <w:rsid w:val="005E50C7"/>
    <w:rsid w:val="005E5999"/>
    <w:rsid w:val="005F1945"/>
    <w:rsid w:val="005F3344"/>
    <w:rsid w:val="005F4281"/>
    <w:rsid w:val="005F43B4"/>
    <w:rsid w:val="005F70F0"/>
    <w:rsid w:val="00604BDC"/>
    <w:rsid w:val="00606871"/>
    <w:rsid w:val="006077BF"/>
    <w:rsid w:val="00607EC0"/>
    <w:rsid w:val="0061020F"/>
    <w:rsid w:val="00610FD3"/>
    <w:rsid w:val="00611625"/>
    <w:rsid w:val="006120A8"/>
    <w:rsid w:val="00615CE0"/>
    <w:rsid w:val="00616CEE"/>
    <w:rsid w:val="00617F04"/>
    <w:rsid w:val="00621FD1"/>
    <w:rsid w:val="0062506B"/>
    <w:rsid w:val="006279D4"/>
    <w:rsid w:val="00627E11"/>
    <w:rsid w:val="00631B80"/>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7F10"/>
    <w:rsid w:val="006A05F7"/>
    <w:rsid w:val="006A12AA"/>
    <w:rsid w:val="006A5545"/>
    <w:rsid w:val="006A5CB2"/>
    <w:rsid w:val="006B2725"/>
    <w:rsid w:val="006B3B89"/>
    <w:rsid w:val="006B4123"/>
    <w:rsid w:val="006B72A6"/>
    <w:rsid w:val="006C3811"/>
    <w:rsid w:val="006C3851"/>
    <w:rsid w:val="006C3FF6"/>
    <w:rsid w:val="006D1417"/>
    <w:rsid w:val="006D1717"/>
    <w:rsid w:val="006D17A0"/>
    <w:rsid w:val="006D2120"/>
    <w:rsid w:val="006D78E8"/>
    <w:rsid w:val="006E05C4"/>
    <w:rsid w:val="006E190D"/>
    <w:rsid w:val="006E1BFE"/>
    <w:rsid w:val="006E5E11"/>
    <w:rsid w:val="006F1C9F"/>
    <w:rsid w:val="006F2DED"/>
    <w:rsid w:val="006F51DC"/>
    <w:rsid w:val="007012C8"/>
    <w:rsid w:val="00703C65"/>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3E91"/>
    <w:rsid w:val="00753648"/>
    <w:rsid w:val="007539DA"/>
    <w:rsid w:val="00760461"/>
    <w:rsid w:val="00760AA4"/>
    <w:rsid w:val="00763D2B"/>
    <w:rsid w:val="00764619"/>
    <w:rsid w:val="00773694"/>
    <w:rsid w:val="0077590F"/>
    <w:rsid w:val="00776236"/>
    <w:rsid w:val="00776A46"/>
    <w:rsid w:val="00777829"/>
    <w:rsid w:val="0078036A"/>
    <w:rsid w:val="00780970"/>
    <w:rsid w:val="00780D07"/>
    <w:rsid w:val="007842BB"/>
    <w:rsid w:val="0079659E"/>
    <w:rsid w:val="007A0E41"/>
    <w:rsid w:val="007A395C"/>
    <w:rsid w:val="007A6586"/>
    <w:rsid w:val="007A6F0A"/>
    <w:rsid w:val="007A7020"/>
    <w:rsid w:val="007A74A0"/>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3CA9"/>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924"/>
    <w:rsid w:val="008841B5"/>
    <w:rsid w:val="00884716"/>
    <w:rsid w:val="00887AA8"/>
    <w:rsid w:val="0089080C"/>
    <w:rsid w:val="00892DF8"/>
    <w:rsid w:val="00893A27"/>
    <w:rsid w:val="00896D19"/>
    <w:rsid w:val="008A593E"/>
    <w:rsid w:val="008B0D20"/>
    <w:rsid w:val="008B0F15"/>
    <w:rsid w:val="008B1687"/>
    <w:rsid w:val="008B1A1F"/>
    <w:rsid w:val="008B3D95"/>
    <w:rsid w:val="008B3DAA"/>
    <w:rsid w:val="008B4AAA"/>
    <w:rsid w:val="008B76D2"/>
    <w:rsid w:val="008C3437"/>
    <w:rsid w:val="008C7455"/>
    <w:rsid w:val="008D2D01"/>
    <w:rsid w:val="008D2E7D"/>
    <w:rsid w:val="008D349D"/>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9DE"/>
    <w:rsid w:val="00934224"/>
    <w:rsid w:val="00934443"/>
    <w:rsid w:val="0093534C"/>
    <w:rsid w:val="00935540"/>
    <w:rsid w:val="00936C1D"/>
    <w:rsid w:val="009401E4"/>
    <w:rsid w:val="0094045F"/>
    <w:rsid w:val="00942420"/>
    <w:rsid w:val="009438B5"/>
    <w:rsid w:val="0094461F"/>
    <w:rsid w:val="00944B48"/>
    <w:rsid w:val="00946D1C"/>
    <w:rsid w:val="009639D4"/>
    <w:rsid w:val="009673FC"/>
    <w:rsid w:val="00967D11"/>
    <w:rsid w:val="00970234"/>
    <w:rsid w:val="00970955"/>
    <w:rsid w:val="00971749"/>
    <w:rsid w:val="00971D0C"/>
    <w:rsid w:val="00974ABE"/>
    <w:rsid w:val="009779D9"/>
    <w:rsid w:val="00981DFE"/>
    <w:rsid w:val="009826E4"/>
    <w:rsid w:val="009909DF"/>
    <w:rsid w:val="0099196C"/>
    <w:rsid w:val="0099197D"/>
    <w:rsid w:val="00991F34"/>
    <w:rsid w:val="00994CBB"/>
    <w:rsid w:val="009954CB"/>
    <w:rsid w:val="00995755"/>
    <w:rsid w:val="009A66D4"/>
    <w:rsid w:val="009B47B9"/>
    <w:rsid w:val="009C1083"/>
    <w:rsid w:val="009C1890"/>
    <w:rsid w:val="009C3499"/>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05908"/>
    <w:rsid w:val="00A1091A"/>
    <w:rsid w:val="00A13DA1"/>
    <w:rsid w:val="00A14DEB"/>
    <w:rsid w:val="00A23242"/>
    <w:rsid w:val="00A30994"/>
    <w:rsid w:val="00A31D26"/>
    <w:rsid w:val="00A333DF"/>
    <w:rsid w:val="00A34057"/>
    <w:rsid w:val="00A34706"/>
    <w:rsid w:val="00A366ED"/>
    <w:rsid w:val="00A4087E"/>
    <w:rsid w:val="00A442D7"/>
    <w:rsid w:val="00A47F79"/>
    <w:rsid w:val="00A511A1"/>
    <w:rsid w:val="00A52EBD"/>
    <w:rsid w:val="00A5469F"/>
    <w:rsid w:val="00A60F61"/>
    <w:rsid w:val="00A6506D"/>
    <w:rsid w:val="00A6655D"/>
    <w:rsid w:val="00A66569"/>
    <w:rsid w:val="00A7093F"/>
    <w:rsid w:val="00A76E5D"/>
    <w:rsid w:val="00A7744A"/>
    <w:rsid w:val="00A800F7"/>
    <w:rsid w:val="00A80669"/>
    <w:rsid w:val="00A818A6"/>
    <w:rsid w:val="00A83F11"/>
    <w:rsid w:val="00A86138"/>
    <w:rsid w:val="00A86F4E"/>
    <w:rsid w:val="00A92148"/>
    <w:rsid w:val="00A92165"/>
    <w:rsid w:val="00AA188D"/>
    <w:rsid w:val="00AA3322"/>
    <w:rsid w:val="00AA4FC3"/>
    <w:rsid w:val="00AA6D42"/>
    <w:rsid w:val="00AA7176"/>
    <w:rsid w:val="00AA73B6"/>
    <w:rsid w:val="00AB2618"/>
    <w:rsid w:val="00AB3608"/>
    <w:rsid w:val="00AB5978"/>
    <w:rsid w:val="00AB6894"/>
    <w:rsid w:val="00AC0259"/>
    <w:rsid w:val="00AC5726"/>
    <w:rsid w:val="00AC7F7D"/>
    <w:rsid w:val="00AD07C5"/>
    <w:rsid w:val="00AD230F"/>
    <w:rsid w:val="00AD27AE"/>
    <w:rsid w:val="00AD2CF5"/>
    <w:rsid w:val="00AD6A30"/>
    <w:rsid w:val="00AE4AA9"/>
    <w:rsid w:val="00AE4F25"/>
    <w:rsid w:val="00AF00EA"/>
    <w:rsid w:val="00B0060F"/>
    <w:rsid w:val="00B03939"/>
    <w:rsid w:val="00B07607"/>
    <w:rsid w:val="00B11D76"/>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509C"/>
    <w:rsid w:val="00B35C03"/>
    <w:rsid w:val="00B40B34"/>
    <w:rsid w:val="00B40E8C"/>
    <w:rsid w:val="00B41235"/>
    <w:rsid w:val="00B47034"/>
    <w:rsid w:val="00B47E06"/>
    <w:rsid w:val="00B503D7"/>
    <w:rsid w:val="00B52654"/>
    <w:rsid w:val="00B52EA2"/>
    <w:rsid w:val="00B54EDA"/>
    <w:rsid w:val="00B55CBE"/>
    <w:rsid w:val="00B57902"/>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4178"/>
    <w:rsid w:val="00B923C1"/>
    <w:rsid w:val="00B92D10"/>
    <w:rsid w:val="00B943B4"/>
    <w:rsid w:val="00B9569C"/>
    <w:rsid w:val="00B96F41"/>
    <w:rsid w:val="00BA1724"/>
    <w:rsid w:val="00BA1A63"/>
    <w:rsid w:val="00BA755A"/>
    <w:rsid w:val="00BB0529"/>
    <w:rsid w:val="00BB1A2F"/>
    <w:rsid w:val="00BB2E43"/>
    <w:rsid w:val="00BB31A4"/>
    <w:rsid w:val="00BB5F7D"/>
    <w:rsid w:val="00BB7C00"/>
    <w:rsid w:val="00BC1291"/>
    <w:rsid w:val="00BC467C"/>
    <w:rsid w:val="00BD191C"/>
    <w:rsid w:val="00BD58DE"/>
    <w:rsid w:val="00BD5C18"/>
    <w:rsid w:val="00BD5CAD"/>
    <w:rsid w:val="00BD777E"/>
    <w:rsid w:val="00BE1C17"/>
    <w:rsid w:val="00BE3150"/>
    <w:rsid w:val="00BE35FD"/>
    <w:rsid w:val="00BE6576"/>
    <w:rsid w:val="00BE7B8B"/>
    <w:rsid w:val="00BE7E64"/>
    <w:rsid w:val="00BF11EB"/>
    <w:rsid w:val="00BF1B2F"/>
    <w:rsid w:val="00BF2754"/>
    <w:rsid w:val="00C01F2E"/>
    <w:rsid w:val="00C12032"/>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7D9E"/>
    <w:rsid w:val="00C60934"/>
    <w:rsid w:val="00C617E9"/>
    <w:rsid w:val="00C635CF"/>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EDA"/>
    <w:rsid w:val="00CC2157"/>
    <w:rsid w:val="00CC2369"/>
    <w:rsid w:val="00CC642D"/>
    <w:rsid w:val="00CC6CF0"/>
    <w:rsid w:val="00CC6CFD"/>
    <w:rsid w:val="00CC712E"/>
    <w:rsid w:val="00CD04FF"/>
    <w:rsid w:val="00CD23A0"/>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61F80"/>
    <w:rsid w:val="00D663CA"/>
    <w:rsid w:val="00D674E8"/>
    <w:rsid w:val="00D73B0A"/>
    <w:rsid w:val="00D75233"/>
    <w:rsid w:val="00D82A56"/>
    <w:rsid w:val="00D82DAE"/>
    <w:rsid w:val="00D855F4"/>
    <w:rsid w:val="00D877DB"/>
    <w:rsid w:val="00D9081A"/>
    <w:rsid w:val="00D91F07"/>
    <w:rsid w:val="00D933EF"/>
    <w:rsid w:val="00D94920"/>
    <w:rsid w:val="00D96881"/>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E17A1"/>
    <w:rsid w:val="00DE1F5C"/>
    <w:rsid w:val="00DE28BA"/>
    <w:rsid w:val="00DF3F06"/>
    <w:rsid w:val="00DF430D"/>
    <w:rsid w:val="00E03428"/>
    <w:rsid w:val="00E06DD9"/>
    <w:rsid w:val="00E11C35"/>
    <w:rsid w:val="00E16FC1"/>
    <w:rsid w:val="00E30785"/>
    <w:rsid w:val="00E324A7"/>
    <w:rsid w:val="00E34AE0"/>
    <w:rsid w:val="00E3581D"/>
    <w:rsid w:val="00E378A9"/>
    <w:rsid w:val="00E43E20"/>
    <w:rsid w:val="00E552A8"/>
    <w:rsid w:val="00E55601"/>
    <w:rsid w:val="00E70C42"/>
    <w:rsid w:val="00E71F94"/>
    <w:rsid w:val="00E7384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832"/>
    <w:rsid w:val="00EB50CB"/>
    <w:rsid w:val="00EC0268"/>
    <w:rsid w:val="00EC2BAC"/>
    <w:rsid w:val="00EC622D"/>
    <w:rsid w:val="00EC70DD"/>
    <w:rsid w:val="00ED0181"/>
    <w:rsid w:val="00ED06D1"/>
    <w:rsid w:val="00EE15A1"/>
    <w:rsid w:val="00EE5FF3"/>
    <w:rsid w:val="00EF0BE7"/>
    <w:rsid w:val="00EF13A7"/>
    <w:rsid w:val="00EF1DF3"/>
    <w:rsid w:val="00EF298D"/>
    <w:rsid w:val="00EF446F"/>
    <w:rsid w:val="00EF4786"/>
    <w:rsid w:val="00EF4E61"/>
    <w:rsid w:val="00F03E2F"/>
    <w:rsid w:val="00F04A11"/>
    <w:rsid w:val="00F05438"/>
    <w:rsid w:val="00F11373"/>
    <w:rsid w:val="00F118E2"/>
    <w:rsid w:val="00F12913"/>
    <w:rsid w:val="00F14418"/>
    <w:rsid w:val="00F148B2"/>
    <w:rsid w:val="00F15F18"/>
    <w:rsid w:val="00F16C09"/>
    <w:rsid w:val="00F247BC"/>
    <w:rsid w:val="00F315AB"/>
    <w:rsid w:val="00F3226B"/>
    <w:rsid w:val="00F331AC"/>
    <w:rsid w:val="00F342C7"/>
    <w:rsid w:val="00F35C53"/>
    <w:rsid w:val="00F36627"/>
    <w:rsid w:val="00F417FD"/>
    <w:rsid w:val="00F45C25"/>
    <w:rsid w:val="00F4637E"/>
    <w:rsid w:val="00F46FF8"/>
    <w:rsid w:val="00F47A93"/>
    <w:rsid w:val="00F51502"/>
    <w:rsid w:val="00F55965"/>
    <w:rsid w:val="00F56FAE"/>
    <w:rsid w:val="00F57DBF"/>
    <w:rsid w:val="00F63084"/>
    <w:rsid w:val="00F720D6"/>
    <w:rsid w:val="00F75E07"/>
    <w:rsid w:val="00F77137"/>
    <w:rsid w:val="00F777C7"/>
    <w:rsid w:val="00F8132B"/>
    <w:rsid w:val="00F90E72"/>
    <w:rsid w:val="00F922BB"/>
    <w:rsid w:val="00F93B23"/>
    <w:rsid w:val="00F95E8E"/>
    <w:rsid w:val="00F96393"/>
    <w:rsid w:val="00F96FEC"/>
    <w:rsid w:val="00FA206A"/>
    <w:rsid w:val="00FA3979"/>
    <w:rsid w:val="00FA48B0"/>
    <w:rsid w:val="00FA59D2"/>
    <w:rsid w:val="00FB1F52"/>
    <w:rsid w:val="00FB23DD"/>
    <w:rsid w:val="00FB37A9"/>
    <w:rsid w:val="00FB41D2"/>
    <w:rsid w:val="00FC07DB"/>
    <w:rsid w:val="00FC1CB7"/>
    <w:rsid w:val="00FC61E0"/>
    <w:rsid w:val="00FC7E58"/>
    <w:rsid w:val="00FD3DA7"/>
    <w:rsid w:val="00FD662A"/>
    <w:rsid w:val="00FE0312"/>
    <w:rsid w:val="00FE4B3F"/>
    <w:rsid w:val="00FE72DD"/>
    <w:rsid w:val="00FE788D"/>
    <w:rsid w:val="00FE7F31"/>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879">
      <w:bodyDiv w:val="1"/>
      <w:marLeft w:val="0"/>
      <w:marRight w:val="0"/>
      <w:marTop w:val="0"/>
      <w:marBottom w:val="0"/>
      <w:divBdr>
        <w:top w:val="none" w:sz="0" w:space="0" w:color="auto"/>
        <w:left w:val="none" w:sz="0" w:space="0" w:color="auto"/>
        <w:bottom w:val="none" w:sz="0" w:space="0" w:color="auto"/>
        <w:right w:val="none" w:sz="0" w:space="0" w:color="auto"/>
      </w:divBdr>
    </w:div>
    <w:div w:id="426929891">
      <w:bodyDiv w:val="1"/>
      <w:marLeft w:val="0"/>
      <w:marRight w:val="0"/>
      <w:marTop w:val="0"/>
      <w:marBottom w:val="0"/>
      <w:divBdr>
        <w:top w:val="none" w:sz="0" w:space="0" w:color="auto"/>
        <w:left w:val="none" w:sz="0" w:space="0" w:color="auto"/>
        <w:bottom w:val="none" w:sz="0" w:space="0" w:color="auto"/>
        <w:right w:val="none" w:sz="0" w:space="0" w:color="auto"/>
      </w:divBdr>
    </w:div>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parliament.nz/resources/request-identities-members-public-making-submissions-and-pharmac-staff-involved-decis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mbudsman.parliament.nz/resources/request-identities-members-public-making-submissions-and-pharmac-staff-involved-decis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legislation.govt.nz/regulation/public/1989/0064/latest/DLM129834.html?src=qs" TargetMode="External"/><Relationship Id="rId4" Type="http://schemas.openxmlformats.org/officeDocument/2006/relationships/webSettings" Target="webSettings.xml"/><Relationship Id="rId9" Type="http://schemas.openxmlformats.org/officeDocument/2006/relationships/hyperlink" Target="https://www.ombudsman.parliament.nz/resources/request-identities-members-public-making-submissions-and-pharmac-staff-involved-decisio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4260</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Background</vt:lpstr>
      <vt:lpstr>Investigation</vt:lpstr>
      <vt:lpstr>    Privacy</vt:lpstr>
      <vt:lpstr>    Public interest</vt:lpstr>
      <vt:lpstr>Outcome</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2022-01-20T20:14:00Z</dcterms:created>
  <dcterms:modified xsi:type="dcterms:W3CDTF">2022-01-20T20:14:00Z</dcterms:modified>
  <cp:contentStatus/>
</cp:coreProperties>
</file>