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2A" w:rsidRDefault="008C7E2A" w:rsidP="008C7E2A">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8C7E2A" w:rsidRPr="000E36A8" w:rsidRDefault="00D14FC6" w:rsidP="00D2438B">
            <w:pPr>
              <w:pStyle w:val="Title"/>
            </w:pPr>
            <w:bookmarkStart w:id="1" w:name="_GoBack"/>
            <w:r>
              <w:t xml:space="preserve">Request for </w:t>
            </w:r>
            <w:r w:rsidR="00BC471F">
              <w:t>information about employment investigation</w:t>
            </w:r>
            <w:r w:rsidR="00EE7AF2">
              <w:t xml:space="preserve"> </w:t>
            </w:r>
            <w:r w:rsidR="006E239A">
              <w:t>involving</w:t>
            </w:r>
            <w:r w:rsidR="00EE7AF2">
              <w:t xml:space="preserve"> officer</w:t>
            </w:r>
            <w:r w:rsidR="00D2438B">
              <w:t>’s behaviour at a Police event</w:t>
            </w:r>
            <w:bookmarkEnd w:id="1"/>
          </w:p>
        </w:tc>
      </w:tr>
      <w:tr w:rsidR="00051017" w:rsidTr="004F393F">
        <w:trPr>
          <w:trHeight w:hRule="exact" w:val="340"/>
        </w:trPr>
        <w:tc>
          <w:tcPr>
            <w:tcW w:w="9441" w:type="dxa"/>
            <w:shd w:val="clear" w:color="auto" w:fill="auto"/>
            <w:vAlign w:val="bottom"/>
          </w:tcPr>
          <w:p w:rsidR="008C7E2A" w:rsidRDefault="008C7E2A" w:rsidP="008C7E2A"/>
        </w:tc>
      </w:tr>
      <w:tr w:rsidR="00051017" w:rsidTr="004F393F">
        <w:trPr>
          <w:trHeight w:val="2098"/>
        </w:trPr>
        <w:tc>
          <w:tcPr>
            <w:tcW w:w="9441" w:type="dxa"/>
            <w:shd w:val="clear" w:color="auto" w:fill="auto"/>
          </w:tcPr>
          <w:p w:rsidR="004A6E84" w:rsidRDefault="00D14FC6" w:rsidP="00D14FC6">
            <w:pPr>
              <w:pStyle w:val="Heading1-Subnonboldtext"/>
            </w:pPr>
            <w:r w:rsidRPr="00F417FD">
              <w:rPr>
                <w:rStyle w:val="Heading1-Sub"/>
              </w:rPr>
              <w:t>Legislation</w:t>
            </w:r>
            <w:r>
              <w:tab/>
            </w:r>
            <w:r w:rsidR="00231B34">
              <w:t>Official Information Act 1982, s</w:t>
            </w:r>
            <w:r w:rsidR="00BC471F">
              <w:t>s 9(2)(a), 9(2)(ba)</w:t>
            </w:r>
            <w:r w:rsidR="006E68AD">
              <w:t>(i) and (ii)</w:t>
            </w:r>
            <w:r w:rsidR="00BC471F">
              <w:t>, 9(1)</w:t>
            </w:r>
          </w:p>
          <w:p w:rsidR="00D14FC6" w:rsidRPr="009A61CE" w:rsidRDefault="00D14FC6" w:rsidP="00D14FC6">
            <w:pPr>
              <w:pStyle w:val="Heading1-Subnonboldtext"/>
              <w:rPr>
                <w:b/>
              </w:rPr>
            </w:pPr>
            <w:r>
              <w:rPr>
                <w:rStyle w:val="Heading1-Sub"/>
              </w:rPr>
              <w:t>Agency</w:t>
            </w:r>
            <w:r>
              <w:t xml:space="preserve">                                  </w:t>
            </w:r>
            <w:r w:rsidR="00BC471F">
              <w:t>New Zealand Police</w:t>
            </w:r>
          </w:p>
          <w:p w:rsidR="00D14FC6" w:rsidRDefault="00D14FC6" w:rsidP="00D14FC6">
            <w:pPr>
              <w:pStyle w:val="Heading1-Subnonboldtext"/>
            </w:pPr>
            <w:r w:rsidRPr="00F417FD">
              <w:rPr>
                <w:rStyle w:val="Heading1-Sub"/>
              </w:rPr>
              <w:t>Ombudsman</w:t>
            </w:r>
            <w:r>
              <w:tab/>
            </w:r>
            <w:r w:rsidR="00BC471F">
              <w:t>Professor Ron Paterson</w:t>
            </w:r>
          </w:p>
          <w:p w:rsidR="00056139" w:rsidRDefault="00D14FC6" w:rsidP="00056139">
            <w:pPr>
              <w:pStyle w:val="Heading1-Subnonboldtext"/>
            </w:pPr>
            <w:r w:rsidRPr="00F417FD">
              <w:rPr>
                <w:rStyle w:val="Heading1-Sub"/>
              </w:rPr>
              <w:t>Case number(s)</w:t>
            </w:r>
            <w:r>
              <w:tab/>
            </w:r>
            <w:r w:rsidR="00BC471F">
              <w:t>180058</w:t>
            </w:r>
          </w:p>
          <w:p w:rsidR="008C7E2A" w:rsidRPr="00F417FD" w:rsidRDefault="00D14FC6" w:rsidP="004A6E84">
            <w:pPr>
              <w:pStyle w:val="Heading1-Subnonboldtext"/>
            </w:pPr>
            <w:r w:rsidRPr="00F417FD">
              <w:rPr>
                <w:rStyle w:val="Heading1-Sub"/>
              </w:rPr>
              <w:t>Date</w:t>
            </w:r>
            <w:r>
              <w:tab/>
            </w:r>
            <w:r w:rsidR="008869A1">
              <w:t xml:space="preserve">13 </w:t>
            </w:r>
            <w:r w:rsidR="00BC471F">
              <w:t>June 2014</w:t>
            </w:r>
          </w:p>
        </w:tc>
      </w:tr>
    </w:tbl>
    <w:p w:rsidR="00DD3808" w:rsidRDefault="00DD3808" w:rsidP="009A61CE">
      <w:pPr>
        <w:pStyle w:val="BodyText"/>
        <w:rPr>
          <w:lang w:eastAsia="en-NZ"/>
        </w:rPr>
      </w:pPr>
    </w:p>
    <w:p w:rsidR="00E55500" w:rsidRPr="00E55500" w:rsidRDefault="00F6100C" w:rsidP="00E55500">
      <w:pPr>
        <w:pStyle w:val="BodyText"/>
        <w:rPr>
          <w:i/>
        </w:rPr>
      </w:pPr>
      <w:r>
        <w:rPr>
          <w:i/>
        </w:rPr>
        <w:t>Sections 9(2)(a) and 9(2)(ba)(i)</w:t>
      </w:r>
      <w:r w:rsidR="00AC602E">
        <w:rPr>
          <w:i/>
        </w:rPr>
        <w:t xml:space="preserve"> OIA</w:t>
      </w:r>
      <w:r>
        <w:rPr>
          <w:i/>
        </w:rPr>
        <w:t xml:space="preserve"> applied to information about and supplied by witnesses—implied obligation of confidence—release would be likely to</w:t>
      </w:r>
      <w:r w:rsidRPr="00F6100C">
        <w:t xml:space="preserve"> </w:t>
      </w:r>
      <w:r w:rsidRPr="00F6100C">
        <w:rPr>
          <w:i/>
        </w:rPr>
        <w:t xml:space="preserve">prejudice the future supply of information from witnesses to </w:t>
      </w:r>
      <w:r w:rsidR="00AD7458">
        <w:rPr>
          <w:i/>
        </w:rPr>
        <w:t>alleged</w:t>
      </w:r>
      <w:r w:rsidRPr="00F6100C">
        <w:rPr>
          <w:i/>
        </w:rPr>
        <w:t xml:space="preserve"> </w:t>
      </w:r>
      <w:r w:rsidR="00AD7458">
        <w:rPr>
          <w:i/>
        </w:rPr>
        <w:t xml:space="preserve">staff </w:t>
      </w:r>
      <w:r w:rsidRPr="00F6100C">
        <w:rPr>
          <w:i/>
        </w:rPr>
        <w:t>misconduct</w:t>
      </w:r>
      <w:r>
        <w:rPr>
          <w:i/>
        </w:rPr>
        <w:t>—i</w:t>
      </w:r>
      <w:r w:rsidRPr="00F6100C">
        <w:rPr>
          <w:i/>
        </w:rPr>
        <w:t>t is in the public interest for the Police to continue to receive information that enables them to inquire</w:t>
      </w:r>
      <w:r>
        <w:rPr>
          <w:i/>
        </w:rPr>
        <w:t xml:space="preserve"> into alleged </w:t>
      </w:r>
      <w:r w:rsidR="00AD7458">
        <w:rPr>
          <w:i/>
        </w:rPr>
        <w:t xml:space="preserve">staff </w:t>
      </w:r>
      <w:r>
        <w:rPr>
          <w:i/>
        </w:rPr>
        <w:t>misconduct—</w:t>
      </w:r>
      <w:r w:rsidR="006E68AD">
        <w:rPr>
          <w:i/>
        </w:rPr>
        <w:t>ss</w:t>
      </w:r>
      <w:r>
        <w:rPr>
          <w:i/>
        </w:rPr>
        <w:t xml:space="preserve"> 9(2)(a) and 9(2)(ba)(i) and (ii) applied to information about and supplied by the officer—</w:t>
      </w:r>
      <w:r w:rsidR="00CE4DF3">
        <w:rPr>
          <w:i/>
        </w:rPr>
        <w:t xml:space="preserve">implied obligation of confidence in the </w:t>
      </w:r>
      <w:r w:rsidR="006E68AD">
        <w:rPr>
          <w:i/>
        </w:rPr>
        <w:t xml:space="preserve">employment </w:t>
      </w:r>
      <w:r w:rsidR="00CE4DF3">
        <w:rPr>
          <w:i/>
        </w:rPr>
        <w:t>context—release</w:t>
      </w:r>
      <w:r w:rsidR="00CE4DF3" w:rsidRPr="00CE4DF3">
        <w:t xml:space="preserve"> </w:t>
      </w:r>
      <w:r w:rsidR="00CE4DF3" w:rsidRPr="00CE4DF3">
        <w:rPr>
          <w:i/>
        </w:rPr>
        <w:t>would be likely to prejudice the future supply of information from staff who are subject to disciplinary processes, and otherwise damage the public interest in maintaining good working relationships between the Police and their staff</w:t>
      </w:r>
      <w:r w:rsidR="00CE4DF3">
        <w:rPr>
          <w:i/>
        </w:rPr>
        <w:t>—</w:t>
      </w:r>
      <w:r>
        <w:rPr>
          <w:i/>
        </w:rPr>
        <w:t>public interest in</w:t>
      </w:r>
      <w:r w:rsidR="00E55500" w:rsidRPr="00E55500">
        <w:rPr>
          <w:i/>
        </w:rPr>
        <w:t xml:space="preserve"> accountability </w:t>
      </w:r>
      <w:r>
        <w:rPr>
          <w:i/>
        </w:rPr>
        <w:t xml:space="preserve">required release of summary </w:t>
      </w:r>
    </w:p>
    <w:p w:rsidR="008869A1" w:rsidRDefault="008869A1" w:rsidP="008869A1">
      <w:pPr>
        <w:pStyle w:val="Heading1"/>
      </w:pPr>
      <w:r>
        <w:t xml:space="preserve">Background </w:t>
      </w:r>
    </w:p>
    <w:p w:rsidR="00833338" w:rsidRDefault="00BC471F" w:rsidP="00833338">
      <w:pPr>
        <w:pStyle w:val="BodyText"/>
      </w:pPr>
      <w:r>
        <w:t xml:space="preserve">A </w:t>
      </w:r>
      <w:r w:rsidR="00F31CB1">
        <w:t>journalist</w:t>
      </w:r>
      <w:r>
        <w:t xml:space="preserve"> </w:t>
      </w:r>
      <w:r w:rsidR="009D20FE">
        <w:t>sought</w:t>
      </w:r>
      <w:r>
        <w:t xml:space="preserve"> information about an employment investigation into a Police officer who was known to have been demoted</w:t>
      </w:r>
      <w:r w:rsidR="00334E2B">
        <w:t xml:space="preserve"> following concerns about their behaviour at a Police event</w:t>
      </w:r>
      <w:r>
        <w:t xml:space="preserve">. </w:t>
      </w:r>
      <w:r w:rsidR="00833338">
        <w:t>Specifically, they sought:</w:t>
      </w:r>
    </w:p>
    <w:p w:rsidR="00833338" w:rsidRDefault="00833338" w:rsidP="00833338">
      <w:pPr>
        <w:pStyle w:val="Bullet1"/>
      </w:pPr>
      <w:r>
        <w:t>details of the incident that sparked the investigation;</w:t>
      </w:r>
    </w:p>
    <w:p w:rsidR="00833338" w:rsidRDefault="00833338" w:rsidP="00833338">
      <w:pPr>
        <w:pStyle w:val="Bullet1"/>
      </w:pPr>
      <w:r>
        <w:t xml:space="preserve">details of subsequent disciplinary proceedings; </w:t>
      </w:r>
    </w:p>
    <w:p w:rsidR="00833338" w:rsidRDefault="00833338" w:rsidP="00833338">
      <w:pPr>
        <w:pStyle w:val="Bullet1"/>
      </w:pPr>
      <w:r>
        <w:t xml:space="preserve">why criminal charges were not pursued; </w:t>
      </w:r>
    </w:p>
    <w:p w:rsidR="008D1E68" w:rsidRDefault="008D1E68" w:rsidP="00833338">
      <w:pPr>
        <w:pStyle w:val="Bullet1"/>
      </w:pPr>
      <w:r>
        <w:t xml:space="preserve">the length of time the officer was on paid leave, and </w:t>
      </w:r>
      <w:r w:rsidR="00454F44">
        <w:t>their</w:t>
      </w:r>
      <w:r>
        <w:t xml:space="preserve"> total pay during that time;</w:t>
      </w:r>
    </w:p>
    <w:p w:rsidR="00833338" w:rsidRPr="005819D0" w:rsidRDefault="008D1E68" w:rsidP="008D1E68">
      <w:pPr>
        <w:pStyle w:val="Bullet1"/>
        <w:rPr>
          <w:i/>
          <w:sz w:val="21"/>
          <w:szCs w:val="21"/>
        </w:rPr>
      </w:pPr>
      <w:r>
        <w:lastRenderedPageBreak/>
        <w:t xml:space="preserve">whether </w:t>
      </w:r>
      <w:r w:rsidR="00454F44">
        <w:t>their</w:t>
      </w:r>
      <w:r>
        <w:t xml:space="preserve"> remuneration had been adjusted following the demotion.</w:t>
      </w:r>
    </w:p>
    <w:p w:rsidR="007978E1" w:rsidRDefault="00BC471F" w:rsidP="00833338">
      <w:pPr>
        <w:pStyle w:val="BodyText"/>
      </w:pPr>
      <w:r>
        <w:t xml:space="preserve">The Police refused the request in order to protect the officer’s privacy and the requester complained to the Ombudsman. </w:t>
      </w:r>
    </w:p>
    <w:p w:rsidR="008D1E68" w:rsidRDefault="008D1E68" w:rsidP="008D1E68">
      <w:pPr>
        <w:pStyle w:val="Heading1"/>
      </w:pPr>
      <w:r>
        <w:t>Investigation</w:t>
      </w:r>
    </w:p>
    <w:p w:rsidR="008D1E68" w:rsidRPr="008D1E68" w:rsidRDefault="008D1E68" w:rsidP="008D1E68">
      <w:pPr>
        <w:pStyle w:val="BodyText"/>
      </w:pPr>
      <w:r>
        <w:t>The Ombudsman requested a copy of the information at issue and an explanation of the reasons for withholding.</w:t>
      </w:r>
    </w:p>
    <w:p w:rsidR="008D1E68" w:rsidRDefault="008D1E68" w:rsidP="008D1E68">
      <w:pPr>
        <w:pStyle w:val="BodyText"/>
      </w:pPr>
      <w:r>
        <w:t xml:space="preserve">The Police provided the full employment investigation </w:t>
      </w:r>
      <w:r w:rsidR="00FE576C">
        <w:t xml:space="preserve">file </w:t>
      </w:r>
      <w:r>
        <w:t>including job sheets, preliminary reports, witness interview notes, witness statements, witness photos, medical reports, the investigation report and findings, the officer’s submissions, the findings of the disciplinary hearing, administrative documentation around the investigation and disciplinary processes, and internal correspondence.</w:t>
      </w:r>
    </w:p>
    <w:p w:rsidR="009E7CC8" w:rsidRDefault="00D05901" w:rsidP="008D1E68">
      <w:pPr>
        <w:pStyle w:val="BodyText"/>
      </w:pPr>
      <w:r>
        <w:t xml:space="preserve">The Police </w:t>
      </w:r>
      <w:r w:rsidR="00F3653B">
        <w:t xml:space="preserve">maintained that section 9(2)(a) of the </w:t>
      </w:r>
      <w:r w:rsidR="007950E5">
        <w:t>Official Information Act (OIA)</w:t>
      </w:r>
      <w:r w:rsidR="00F3653B">
        <w:t xml:space="preserve"> provided good reason to withhold the information, which it described as being</w:t>
      </w:r>
      <w:r w:rsidR="009E7CC8">
        <w:t xml:space="preserve"> </w:t>
      </w:r>
      <w:r w:rsidR="00334E2B">
        <w:t>of a very personal nature. The P</w:t>
      </w:r>
      <w:r w:rsidR="009E7CC8">
        <w:t xml:space="preserve">olice also said the information related to </w:t>
      </w:r>
      <w:r w:rsidR="009E7CC8" w:rsidRPr="009E7CC8">
        <w:rPr>
          <w:i/>
        </w:rPr>
        <w:t>‘</w:t>
      </w:r>
      <w:r w:rsidRPr="009E7CC8">
        <w:rPr>
          <w:i/>
        </w:rPr>
        <w:t xml:space="preserve">a confidential agreement and on-going employment relationship </w:t>
      </w:r>
      <w:r w:rsidR="00F3653B" w:rsidRPr="009E7CC8">
        <w:rPr>
          <w:i/>
        </w:rPr>
        <w:t>with the</w:t>
      </w:r>
      <w:r w:rsidRPr="009E7CC8">
        <w:rPr>
          <w:i/>
        </w:rPr>
        <w:t xml:space="preserve"> officer</w:t>
      </w:r>
      <w:r w:rsidR="009E7CC8" w:rsidRPr="009E7CC8">
        <w:rPr>
          <w:i/>
        </w:rPr>
        <w:t>’</w:t>
      </w:r>
      <w:r w:rsidR="009E7CC8">
        <w:t>, which the Ombudsman noted was relevant to the application of section 9(2)(ba) of the OIA</w:t>
      </w:r>
      <w:r>
        <w:t>.</w:t>
      </w:r>
      <w:r w:rsidR="009E7CC8">
        <w:t xml:space="preserve"> </w:t>
      </w:r>
    </w:p>
    <w:p w:rsidR="00D05901" w:rsidRDefault="00D05901" w:rsidP="00D05901">
      <w:pPr>
        <w:pStyle w:val="Heading2"/>
      </w:pPr>
      <w:r>
        <w:t>Privacy</w:t>
      </w:r>
      <w:r w:rsidR="00A86199">
        <w:t xml:space="preserve"> and confidentiality</w:t>
      </w:r>
    </w:p>
    <w:p w:rsidR="00F3653B" w:rsidRDefault="00F3653B" w:rsidP="00A86199">
      <w:pPr>
        <w:pStyle w:val="BodyText"/>
      </w:pPr>
      <w:r w:rsidRPr="00621B14">
        <w:t>Section 9(2)(a) applies where withholding is</w:t>
      </w:r>
      <w:r w:rsidRPr="00621B14">
        <w:rPr>
          <w:i/>
          <w:iCs/>
        </w:rPr>
        <w:t xml:space="preserve"> ‘necessary to protect the privacy of natural persons’</w:t>
      </w:r>
      <w:r w:rsidRPr="00621B14">
        <w:t>.</w:t>
      </w:r>
    </w:p>
    <w:p w:rsidR="00F31CB1" w:rsidRDefault="00F31CB1" w:rsidP="00F31CB1">
      <w:pPr>
        <w:pStyle w:val="BodyText"/>
      </w:pPr>
      <w:r>
        <w:t xml:space="preserve">Section 9(2)(ba) applies when releasing information that is </w:t>
      </w:r>
      <w:r w:rsidRPr="00BB7739">
        <w:rPr>
          <w:i/>
        </w:rPr>
        <w:t>‘subject to an obligation of confidence’</w:t>
      </w:r>
      <w:r>
        <w:t xml:space="preserve"> would be likely to:</w:t>
      </w:r>
    </w:p>
    <w:p w:rsidR="00F31CB1" w:rsidRDefault="00F31CB1" w:rsidP="00F31CB1">
      <w:pPr>
        <w:pStyle w:val="BodyText"/>
        <w:ind w:left="567" w:hanging="567"/>
      </w:pPr>
      <w:r>
        <w:t>(i)</w:t>
      </w:r>
      <w:r>
        <w:tab/>
      </w:r>
      <w:r w:rsidR="00B13E78" w:rsidRPr="001A6D99">
        <w:t>prejudice the supply of similar information, or information from the same source, and it is in the public interest that such information sh</w:t>
      </w:r>
      <w:r w:rsidR="00B13E78">
        <w:t>ould continue to be supplied</w:t>
      </w:r>
      <w:r w:rsidR="00CC1C04">
        <w:t xml:space="preserve"> (section 9(2)(ba)(i))</w:t>
      </w:r>
      <w:r>
        <w:t>; or</w:t>
      </w:r>
    </w:p>
    <w:p w:rsidR="00F31CB1" w:rsidRDefault="00F31CB1" w:rsidP="00F31CB1">
      <w:pPr>
        <w:pStyle w:val="BodyText"/>
      </w:pPr>
      <w:r>
        <w:t>(ii)</w:t>
      </w:r>
      <w:r>
        <w:tab/>
        <w:t>otherwise damage the public interest</w:t>
      </w:r>
      <w:r w:rsidR="00CC1C04">
        <w:t xml:space="preserve"> (section 9(2)(ba)(ii))</w:t>
      </w:r>
      <w:r>
        <w:t>.</w:t>
      </w:r>
    </w:p>
    <w:p w:rsidR="0060406B" w:rsidRDefault="00A43985" w:rsidP="00243905">
      <w:pPr>
        <w:pStyle w:val="BodyText"/>
      </w:pPr>
      <w:r>
        <w:t>The Ombudsman considered that s</w:t>
      </w:r>
      <w:r w:rsidR="00B852D7">
        <w:t xml:space="preserve">ections 9(2)(a) and 9(2)(ba)(i) </w:t>
      </w:r>
      <w:r w:rsidR="00C96AFF">
        <w:t>applied</w:t>
      </w:r>
      <w:r w:rsidR="00B852D7">
        <w:t xml:space="preserve"> to information</w:t>
      </w:r>
      <w:r w:rsidR="00BC42E0">
        <w:t xml:space="preserve"> about or</w:t>
      </w:r>
      <w:r w:rsidR="008F655D">
        <w:t xml:space="preserve"> supplied by witnesses</w:t>
      </w:r>
      <w:r w:rsidR="00B852D7">
        <w:t>.</w:t>
      </w:r>
      <w:r w:rsidR="00243905">
        <w:t xml:space="preserve"> </w:t>
      </w:r>
      <w:r w:rsidR="0060406B">
        <w:t xml:space="preserve">This information was contained in their statements, in Police reports, in medical and photographic evidence, and in both the investigation and disciplinary findings. </w:t>
      </w:r>
      <w:r w:rsidR="00625246">
        <w:t xml:space="preserve">The information was personal and subject to an implied obligation of confidence. Release </w:t>
      </w:r>
      <w:r w:rsidR="0060406B">
        <w:t xml:space="preserve">would be likely to prejudice the future supply of information from witnesses to </w:t>
      </w:r>
      <w:r w:rsidR="00334E2B">
        <w:t>alleged</w:t>
      </w:r>
      <w:r w:rsidR="0060406B">
        <w:t xml:space="preserve"> </w:t>
      </w:r>
      <w:r w:rsidR="00334E2B">
        <w:t>staff</w:t>
      </w:r>
      <w:r w:rsidR="0060406B">
        <w:t xml:space="preserve"> misconduct. It </w:t>
      </w:r>
      <w:r w:rsidR="0038337C">
        <w:t>is</w:t>
      </w:r>
      <w:r w:rsidR="0060406B">
        <w:t xml:space="preserve"> in the public interest for the Police to continue to receive information that enables them to inquire into alleged </w:t>
      </w:r>
      <w:r w:rsidR="00334E2B">
        <w:t>staff</w:t>
      </w:r>
      <w:r w:rsidR="0060406B">
        <w:t xml:space="preserve"> misconduct.</w:t>
      </w:r>
    </w:p>
    <w:p w:rsidR="00625246" w:rsidRDefault="00A43985" w:rsidP="00243905">
      <w:pPr>
        <w:pStyle w:val="BodyText"/>
      </w:pPr>
      <w:r>
        <w:t>The Ombudsman considered that s</w:t>
      </w:r>
      <w:r w:rsidR="00793D53">
        <w:t xml:space="preserve">ections 9(2)(a) and </w:t>
      </w:r>
      <w:r w:rsidR="0060406B">
        <w:t>9(2)(ba)(i) and (ii</w:t>
      </w:r>
      <w:r w:rsidR="00793D53">
        <w:t xml:space="preserve">) </w:t>
      </w:r>
      <w:r w:rsidR="00243905">
        <w:t xml:space="preserve">of the OIA </w:t>
      </w:r>
      <w:r w:rsidR="00C96AFF">
        <w:t>applied</w:t>
      </w:r>
      <w:r w:rsidR="00243905">
        <w:t xml:space="preserve"> </w:t>
      </w:r>
      <w:r w:rsidR="00CC1C04">
        <w:t xml:space="preserve">to </w:t>
      </w:r>
      <w:r w:rsidR="00243905">
        <w:t>information</w:t>
      </w:r>
      <w:r w:rsidR="00BC42E0">
        <w:t xml:space="preserve"> about or supplied by </w:t>
      </w:r>
      <w:r w:rsidR="0060406B">
        <w:t xml:space="preserve">the officer. </w:t>
      </w:r>
      <w:r w:rsidR="00243905">
        <w:t xml:space="preserve">This information </w:t>
      </w:r>
      <w:r w:rsidR="00757C11">
        <w:t>was</w:t>
      </w:r>
      <w:r w:rsidR="00A86199">
        <w:t xml:space="preserve"> generated in the context of </w:t>
      </w:r>
      <w:r w:rsidR="00454F44">
        <w:t>their</w:t>
      </w:r>
      <w:r w:rsidR="00A86199">
        <w:t xml:space="preserve"> employment</w:t>
      </w:r>
      <w:r w:rsidR="00243905">
        <w:t xml:space="preserve"> relationship with the Police, in order to judge</w:t>
      </w:r>
      <w:r w:rsidR="00757C11">
        <w:t xml:space="preserve"> and potentially correct </w:t>
      </w:r>
      <w:r w:rsidR="00454F44">
        <w:t>their</w:t>
      </w:r>
      <w:r w:rsidR="00243905">
        <w:t xml:space="preserve"> conduct as an employee. </w:t>
      </w:r>
      <w:r w:rsidR="00625246">
        <w:t xml:space="preserve">The </w:t>
      </w:r>
      <w:r w:rsidR="00A86199">
        <w:t>employment relationship is one which carries with it a high expectation of privacy</w:t>
      </w:r>
      <w:r w:rsidR="00757C11">
        <w:t>,</w:t>
      </w:r>
      <w:r w:rsidR="00A86199">
        <w:t xml:space="preserve"> and information about complaints made against an employee will commonly raise significant issues around confidentiality and privacy.</w:t>
      </w:r>
      <w:r w:rsidR="00757C11">
        <w:t xml:space="preserve"> </w:t>
      </w:r>
      <w:r w:rsidR="00D63C54">
        <w:t xml:space="preserve">If some degree of confidentiality could not be preserved in this context, this would be likely to prejudice the future supply of information from </w:t>
      </w:r>
      <w:r w:rsidR="00223C41">
        <w:t>staff</w:t>
      </w:r>
      <w:r w:rsidR="00D63C54">
        <w:t xml:space="preserve"> who are subject to disciplinary processes, and otherwise </w:t>
      </w:r>
      <w:r w:rsidR="00D63C54" w:rsidRPr="00D63C54">
        <w:t xml:space="preserve">damage the public interest in maintaining good working relationships between the </w:t>
      </w:r>
      <w:r w:rsidR="00D63C54">
        <w:t xml:space="preserve">Police and </w:t>
      </w:r>
      <w:r w:rsidR="00223C41">
        <w:t>their staff</w:t>
      </w:r>
      <w:r w:rsidR="00D63C54">
        <w:t>.</w:t>
      </w:r>
    </w:p>
    <w:p w:rsidR="00C96AFF" w:rsidRDefault="00C96AFF" w:rsidP="00C96AFF">
      <w:pPr>
        <w:pStyle w:val="BodyText"/>
      </w:pPr>
      <w:r>
        <w:t xml:space="preserve">Against this, the Ombudsman also noted that some information was already known to the requester or publicly ascertainable (for example, the fact that the officer had been demoted).  </w:t>
      </w:r>
    </w:p>
    <w:p w:rsidR="00D05901" w:rsidRDefault="00D05901" w:rsidP="00C96AFF">
      <w:pPr>
        <w:pStyle w:val="Heading2"/>
      </w:pPr>
      <w:r>
        <w:t>Public interest</w:t>
      </w:r>
    </w:p>
    <w:p w:rsidR="00910ECC" w:rsidRPr="00621B14" w:rsidRDefault="00910ECC" w:rsidP="00910ECC">
      <w:pPr>
        <w:pStyle w:val="BodyText"/>
      </w:pPr>
      <w:r w:rsidRPr="00621B14">
        <w:t>Section</w:t>
      </w:r>
      <w:r>
        <w:t>s</w:t>
      </w:r>
      <w:r w:rsidRPr="00621B14">
        <w:t xml:space="preserve"> 9(2)(a) </w:t>
      </w:r>
      <w:r>
        <w:t>and 9(2)(ba) are</w:t>
      </w:r>
      <w:r w:rsidRPr="00621B14">
        <w:t xml:space="preserve"> subject to a public interest test. This means the need to withhold must be balanced against the countervailing public interest in release. If the countervailing public interest weighs more heavily, the information must be released. If not, it can be withheld.</w:t>
      </w:r>
    </w:p>
    <w:p w:rsidR="00BC471F" w:rsidRDefault="00BC471F" w:rsidP="00BC471F">
      <w:pPr>
        <w:pStyle w:val="BodyText"/>
      </w:pPr>
      <w:r>
        <w:t xml:space="preserve">The Ombudsman considered that </w:t>
      </w:r>
      <w:r>
        <w:rPr>
          <w:rStyle w:val="Quotationwithinthesentence"/>
        </w:rPr>
        <w:t>‘there is a high level of public interest in how the Police deal with complaints against Police officers’</w:t>
      </w:r>
      <w:r>
        <w:t xml:space="preserve">. The Commission of Inquiry into Police Conduct highlighted public unease around issues of confidence and accountability in this area. In addition, recent cases involving the Police (drunk driving) and the military indicated a growing public concern to expose and condemn inappropriate intoxication-related behaviour in authority figures funded by the public purse to enforce the law and provide safety and security. </w:t>
      </w:r>
    </w:p>
    <w:p w:rsidR="007978E1" w:rsidRDefault="00BC471F" w:rsidP="007978E1">
      <w:pPr>
        <w:pStyle w:val="BodyText"/>
      </w:pPr>
      <w:r>
        <w:t>The Ombudsman took into account the following factors in assessing the weight of the public interest in accountability:</w:t>
      </w:r>
    </w:p>
    <w:p w:rsidR="00BC471F" w:rsidRDefault="00BC471F" w:rsidP="007978E1">
      <w:pPr>
        <w:pStyle w:val="Bullet1"/>
      </w:pPr>
      <w:r>
        <w:t>the behaviour at issue did not justify criminal charges being laid;</w:t>
      </w:r>
    </w:p>
    <w:p w:rsidR="00BC471F" w:rsidRDefault="00BC471F" w:rsidP="007978E1">
      <w:pPr>
        <w:pStyle w:val="Bullet1"/>
      </w:pPr>
      <w:r>
        <w:t>the behaviour at issue occurred at a Police event and did not affect any member of the public; and</w:t>
      </w:r>
    </w:p>
    <w:p w:rsidR="00BC471F" w:rsidRDefault="00BC471F" w:rsidP="007978E1">
      <w:pPr>
        <w:pStyle w:val="Bullet1"/>
      </w:pPr>
      <w:r>
        <w:t>the officer was not of the most senior rank and therefore did not have the attendant highest level of accountability.</w:t>
      </w:r>
    </w:p>
    <w:p w:rsidR="00BC471F" w:rsidRDefault="00BC471F" w:rsidP="00BC471F">
      <w:pPr>
        <w:pStyle w:val="BodyText"/>
      </w:pPr>
      <w:r>
        <w:t xml:space="preserve">The Ombudsman </w:t>
      </w:r>
      <w:r w:rsidR="00C96AFF">
        <w:t xml:space="preserve">considered that the public interest required </w:t>
      </w:r>
      <w:r>
        <w:t xml:space="preserve">the release of summary information to establish that: </w:t>
      </w:r>
    </w:p>
    <w:p w:rsidR="00BC471F" w:rsidRDefault="00BC471F" w:rsidP="006E4F84">
      <w:pPr>
        <w:pStyle w:val="Bullet1"/>
      </w:pPr>
      <w:r>
        <w:t xml:space="preserve">the Police took all relevant steps to ensure that concerns about an officer’s conduct were thoroughly investigated; and </w:t>
      </w:r>
    </w:p>
    <w:p w:rsidR="00214BDF" w:rsidRDefault="00BC471F" w:rsidP="00214BDF">
      <w:pPr>
        <w:pStyle w:val="Bullet1"/>
      </w:pPr>
      <w:r>
        <w:t>appropriate disciplinary action was taken as a result of the investigation.</w:t>
      </w:r>
    </w:p>
    <w:p w:rsidR="00304D3D" w:rsidRDefault="00304D3D" w:rsidP="001A319B">
      <w:pPr>
        <w:pStyle w:val="BodyText"/>
      </w:pPr>
      <w:r>
        <w:t>The Ombudsman prepared a draft summary</w:t>
      </w:r>
      <w:r w:rsidR="001A319B">
        <w:t xml:space="preserve"> </w:t>
      </w:r>
      <w:r w:rsidR="00A43985">
        <w:t>which included</w:t>
      </w:r>
      <w:r w:rsidR="001A319B">
        <w:t xml:space="preserve"> the nature of the allegations, the steps taken to investigate them, the outcome of the investigation, the disciplinary action taken, the length of time the officer was suspended on full pay, and why criminal charges where not pursued.</w:t>
      </w:r>
    </w:p>
    <w:p w:rsidR="00C96AFF" w:rsidRDefault="00C96AFF" w:rsidP="00C96AFF">
      <w:pPr>
        <w:pStyle w:val="Heading1"/>
      </w:pPr>
      <w:r>
        <w:t>Outcome</w:t>
      </w:r>
    </w:p>
    <w:p w:rsidR="00304D3D" w:rsidRDefault="00C96AFF" w:rsidP="00C96AFF">
      <w:pPr>
        <w:pStyle w:val="BodyText"/>
      </w:pPr>
      <w:r>
        <w:t xml:space="preserve">The Ombudsman provided the </w:t>
      </w:r>
      <w:r w:rsidR="00304D3D">
        <w:t xml:space="preserve">Police and the </w:t>
      </w:r>
      <w:r>
        <w:t>officer with an opportunity to comment on his opinion</w:t>
      </w:r>
      <w:r w:rsidR="00304D3D">
        <w:t xml:space="preserve"> and the proposed summary</w:t>
      </w:r>
      <w:r>
        <w:t xml:space="preserve">. </w:t>
      </w:r>
    </w:p>
    <w:p w:rsidR="003E0308" w:rsidRDefault="00304D3D" w:rsidP="00C96AFF">
      <w:pPr>
        <w:pStyle w:val="BodyText"/>
      </w:pPr>
      <w:r>
        <w:t xml:space="preserve">The Ombudsman also consulted the Privacy Commissioner, who agreed the </w:t>
      </w:r>
      <w:r w:rsidR="009807A9">
        <w:t>proposed</w:t>
      </w:r>
      <w:r>
        <w:t xml:space="preserve"> summary addressed the</w:t>
      </w:r>
      <w:r w:rsidRPr="00304D3D">
        <w:t xml:space="preserve"> public interest without </w:t>
      </w:r>
      <w:r w:rsidR="009807A9" w:rsidRPr="009807A9">
        <w:rPr>
          <w:i/>
        </w:rPr>
        <w:t>‘</w:t>
      </w:r>
      <w:r w:rsidRPr="009807A9">
        <w:rPr>
          <w:i/>
        </w:rPr>
        <w:t>unduly disturbing the officer’s privacy interests</w:t>
      </w:r>
      <w:r w:rsidR="009807A9" w:rsidRPr="009807A9">
        <w:rPr>
          <w:i/>
        </w:rPr>
        <w:t>’</w:t>
      </w:r>
      <w:r w:rsidRPr="009807A9">
        <w:rPr>
          <w:i/>
        </w:rPr>
        <w:t>.</w:t>
      </w:r>
    </w:p>
    <w:p w:rsidR="00100E17" w:rsidRDefault="00100E17" w:rsidP="00100E17">
      <w:pPr>
        <w:pStyle w:val="BodyText"/>
      </w:pPr>
      <w:r>
        <w:t xml:space="preserve">The Ombudsman formed the opinion that sections 9(2)(a) and 9(2)(ba)(i) and (ii) of the OIA provided good reason to withhold the full investigation file, but the public interest required disclosure of summary information. </w:t>
      </w:r>
    </w:p>
    <w:p w:rsidR="00100E17" w:rsidRDefault="00100E17" w:rsidP="00100E17">
      <w:pPr>
        <w:pStyle w:val="BodyText"/>
      </w:pPr>
      <w:r>
        <w:t xml:space="preserve">The Police complied with the Ombudsman’s recommendation to release the proposed summary. </w:t>
      </w:r>
    </w:p>
    <w:p w:rsidR="00BC471F" w:rsidRDefault="007978E1" w:rsidP="003E0308">
      <w:pPr>
        <w:pStyle w:val="Boxsmallbullet1"/>
        <w:numPr>
          <w:ilvl w:val="0"/>
          <w:numId w:val="0"/>
        </w:numPr>
        <w:rPr>
          <w:lang w:eastAsia="en-NZ"/>
        </w:rPr>
      </w:pPr>
      <w:r w:rsidRPr="007978E1">
        <w:rPr>
          <w:i/>
          <w:iCs/>
        </w:rPr>
        <w:t xml:space="preserve">This case note is published under the authority of the </w:t>
      </w:r>
      <w:hyperlink r:id="rId7" w:history="1">
        <w:r w:rsidRPr="007978E1">
          <w:rPr>
            <w:rStyle w:val="Hyperlink"/>
            <w:i/>
            <w:iCs/>
          </w:rPr>
          <w:t>Ombudsmen Rules 1989</w:t>
        </w:r>
      </w:hyperlink>
      <w:r w:rsidRPr="007978E1">
        <w:rPr>
          <w:i/>
          <w:iCs/>
        </w:rPr>
        <w:t>. It sets out an Ombudsman’s view on the facts of a particular case. It should not be taken as establishing any legal precedent that would bind an Ombudsman in future.</w:t>
      </w:r>
    </w:p>
    <w:sectPr w:rsidR="00BC471F" w:rsidSect="008C7E2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31" w:rsidRDefault="00B62931">
      <w:pPr>
        <w:spacing w:after="0" w:line="240" w:lineRule="auto"/>
      </w:pPr>
      <w:r>
        <w:separator/>
      </w:r>
    </w:p>
  </w:endnote>
  <w:endnote w:type="continuationSeparator" w:id="0">
    <w:p w:rsidR="00B62931" w:rsidRDefault="00B6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0" w:rsidRDefault="00ED0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A" w:rsidRPr="0059155D" w:rsidRDefault="008C7E2A" w:rsidP="008C7E2A">
    <w:pPr>
      <w:pStyle w:val="Footerline"/>
    </w:pPr>
  </w:p>
  <w:p w:rsidR="008C7E2A" w:rsidRPr="0059155D" w:rsidRDefault="008C7E2A" w:rsidP="008C7E2A">
    <w:pPr>
      <w:pStyle w:val="Footerline"/>
    </w:pPr>
  </w:p>
  <w:p w:rsidR="008C7E2A" w:rsidRPr="005533D8" w:rsidRDefault="00B62931" w:rsidP="008C7E2A">
    <w:pPr>
      <w:pStyle w:val="Footer"/>
    </w:pPr>
    <w:r>
      <w:fldChar w:fldCharType="begin"/>
    </w:r>
    <w:r>
      <w:instrText xml:space="preserve"> DOCVARIABLE  dvShortText </w:instrText>
    </w:r>
    <w:r>
      <w:fldChar w:fldCharType="separate"/>
    </w:r>
    <w:r w:rsidR="000E7376">
      <w:t>Case note 180058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7660A">
      <w:rPr>
        <w:rStyle w:val="PageNumber"/>
        <w:noProof/>
      </w:rPr>
      <w:t>4</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A" w:rsidRPr="0059155D" w:rsidRDefault="008C7E2A" w:rsidP="008C7E2A">
    <w:pPr>
      <w:pStyle w:val="Footerline"/>
    </w:pPr>
  </w:p>
  <w:p w:rsidR="008C7E2A" w:rsidRPr="0059155D" w:rsidRDefault="008C7E2A" w:rsidP="008C7E2A">
    <w:pPr>
      <w:pStyle w:val="Footerline"/>
    </w:pPr>
  </w:p>
  <w:p w:rsidR="008C7E2A" w:rsidRPr="005533D8" w:rsidRDefault="00B62931" w:rsidP="008C7E2A">
    <w:pPr>
      <w:pStyle w:val="Footer"/>
    </w:pPr>
    <w:r>
      <w:fldChar w:fldCharType="begin"/>
    </w:r>
    <w:r>
      <w:instrText xml:space="preserve"> DOCVARIABLE  dvShortText </w:instrText>
    </w:r>
    <w:r>
      <w:fldChar w:fldCharType="separate"/>
    </w:r>
    <w:r w:rsidR="000E7376">
      <w:t>Case note 180058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31" w:rsidRDefault="00B62931">
      <w:pPr>
        <w:spacing w:after="0" w:line="240" w:lineRule="auto"/>
      </w:pPr>
      <w:r>
        <w:separator/>
      </w:r>
    </w:p>
  </w:footnote>
  <w:footnote w:type="continuationSeparator" w:id="0">
    <w:p w:rsidR="00B62931" w:rsidRDefault="00B62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0" w:rsidRDefault="00ED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A" w:rsidRDefault="00830A8D" w:rsidP="008C7E2A">
    <w:pPr>
      <w:pStyle w:val="Header"/>
      <w:tabs>
        <w:tab w:val="clear" w:pos="9299"/>
        <w:tab w:val="right" w:pos="9321"/>
      </w:tabs>
      <w:rPr>
        <w:rStyle w:val="PageNumber"/>
      </w:rPr>
    </w:pPr>
    <w:r>
      <w:t xml:space="preserve">Office of the Ombudsman | </w:t>
    </w:r>
    <w:r w:rsidRPr="00DD54DF">
      <w:t>Tari o te Kaitiaki Mana Tangata</w:t>
    </w:r>
  </w:p>
  <w:p w:rsidR="008C7E2A" w:rsidRPr="00661EC9" w:rsidRDefault="008C7E2A" w:rsidP="008C7E2A">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A"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180058 |"/>
    <w:docVar w:name="dvShortTextFrm" w:val="Case note 180058"/>
    <w:docVar w:name="IsfirstTb" w:val="True"/>
    <w:docVar w:name="IsInTable" w:val="False"/>
    <w:docVar w:name="OOTOTemplate" w:val="OOTO General\Case note.dotm"/>
  </w:docVars>
  <w:rsids>
    <w:rsidRoot w:val="00051017"/>
    <w:rsid w:val="000054D7"/>
    <w:rsid w:val="00047482"/>
    <w:rsid w:val="00051017"/>
    <w:rsid w:val="00056139"/>
    <w:rsid w:val="000B2218"/>
    <w:rsid w:val="000E7376"/>
    <w:rsid w:val="00100E17"/>
    <w:rsid w:val="00136D4D"/>
    <w:rsid w:val="00152A27"/>
    <w:rsid w:val="00175E33"/>
    <w:rsid w:val="00195E14"/>
    <w:rsid w:val="001966D8"/>
    <w:rsid w:val="001A319B"/>
    <w:rsid w:val="001C1C8F"/>
    <w:rsid w:val="001C2D91"/>
    <w:rsid w:val="001D6A09"/>
    <w:rsid w:val="00212827"/>
    <w:rsid w:val="00214BDF"/>
    <w:rsid w:val="00223C41"/>
    <w:rsid w:val="00231B34"/>
    <w:rsid w:val="00242F25"/>
    <w:rsid w:val="00243905"/>
    <w:rsid w:val="00304D3D"/>
    <w:rsid w:val="00311F55"/>
    <w:rsid w:val="00334E2B"/>
    <w:rsid w:val="00343B77"/>
    <w:rsid w:val="0036443C"/>
    <w:rsid w:val="00366D29"/>
    <w:rsid w:val="0038337C"/>
    <w:rsid w:val="003E0308"/>
    <w:rsid w:val="00403044"/>
    <w:rsid w:val="004065F4"/>
    <w:rsid w:val="00417972"/>
    <w:rsid w:val="00424137"/>
    <w:rsid w:val="004275BC"/>
    <w:rsid w:val="00454F44"/>
    <w:rsid w:val="0047660A"/>
    <w:rsid w:val="00485BB3"/>
    <w:rsid w:val="004A6E84"/>
    <w:rsid w:val="004F393F"/>
    <w:rsid w:val="00502D89"/>
    <w:rsid w:val="00562870"/>
    <w:rsid w:val="0060106C"/>
    <w:rsid w:val="0060406B"/>
    <w:rsid w:val="00625246"/>
    <w:rsid w:val="00665FBB"/>
    <w:rsid w:val="006E239A"/>
    <w:rsid w:val="006E4F84"/>
    <w:rsid w:val="006E68AD"/>
    <w:rsid w:val="006F57EC"/>
    <w:rsid w:val="00757C11"/>
    <w:rsid w:val="00793D53"/>
    <w:rsid w:val="007950E5"/>
    <w:rsid w:val="007978E1"/>
    <w:rsid w:val="007D336D"/>
    <w:rsid w:val="007E531C"/>
    <w:rsid w:val="00830A8D"/>
    <w:rsid w:val="00833338"/>
    <w:rsid w:val="008869A1"/>
    <w:rsid w:val="0089058E"/>
    <w:rsid w:val="008A6715"/>
    <w:rsid w:val="008C7E2A"/>
    <w:rsid w:val="008D1C52"/>
    <w:rsid w:val="008D1E68"/>
    <w:rsid w:val="008F655D"/>
    <w:rsid w:val="00910ECC"/>
    <w:rsid w:val="00951DAD"/>
    <w:rsid w:val="009807A9"/>
    <w:rsid w:val="009A61CE"/>
    <w:rsid w:val="009D20FE"/>
    <w:rsid w:val="009E7CC8"/>
    <w:rsid w:val="00A43985"/>
    <w:rsid w:val="00A85538"/>
    <w:rsid w:val="00A86199"/>
    <w:rsid w:val="00AC602E"/>
    <w:rsid w:val="00AD7458"/>
    <w:rsid w:val="00B13E78"/>
    <w:rsid w:val="00B21E34"/>
    <w:rsid w:val="00B62931"/>
    <w:rsid w:val="00B852D7"/>
    <w:rsid w:val="00B87E0E"/>
    <w:rsid w:val="00BC42E0"/>
    <w:rsid w:val="00BC471F"/>
    <w:rsid w:val="00C221C6"/>
    <w:rsid w:val="00C96AFF"/>
    <w:rsid w:val="00CC1C04"/>
    <w:rsid w:val="00CE4DF3"/>
    <w:rsid w:val="00D05901"/>
    <w:rsid w:val="00D14FC6"/>
    <w:rsid w:val="00D15949"/>
    <w:rsid w:val="00D2438B"/>
    <w:rsid w:val="00D63C54"/>
    <w:rsid w:val="00D85451"/>
    <w:rsid w:val="00DA77D8"/>
    <w:rsid w:val="00DD3808"/>
    <w:rsid w:val="00DE48AC"/>
    <w:rsid w:val="00E03087"/>
    <w:rsid w:val="00E11A0D"/>
    <w:rsid w:val="00E14F7A"/>
    <w:rsid w:val="00E3253D"/>
    <w:rsid w:val="00E55500"/>
    <w:rsid w:val="00E7308D"/>
    <w:rsid w:val="00E9396C"/>
    <w:rsid w:val="00EB186F"/>
    <w:rsid w:val="00ED0D10"/>
    <w:rsid w:val="00EE7AF2"/>
    <w:rsid w:val="00EF7876"/>
    <w:rsid w:val="00F02F8F"/>
    <w:rsid w:val="00F15F51"/>
    <w:rsid w:val="00F31CB1"/>
    <w:rsid w:val="00F3653B"/>
    <w:rsid w:val="00F6100C"/>
    <w:rsid w:val="00FB640E"/>
    <w:rsid w:val="00FE576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Default">
    <w:name w:val="Default"/>
    <w:rsid w:val="00E55500"/>
    <w:pPr>
      <w:autoSpaceDE w:val="0"/>
      <w:autoSpaceDN w:val="0"/>
      <w:adjustRightInd w:val="0"/>
      <w:spacing w:after="0" w:line="240" w:lineRule="auto"/>
    </w:pPr>
    <w:rPr>
      <w:rFonts w:ascii="Calibri" w:hAnsi="Calibri" w:cs="Calibri"/>
      <w:color w:val="000000"/>
      <w:sz w:val="24"/>
      <w:szCs w:val="24"/>
    </w:rPr>
  </w:style>
  <w:style w:type="paragraph" w:customStyle="1" w:styleId="BodyText2">
    <w:name w:val="Body Text2"/>
    <w:basedOn w:val="Normal"/>
    <w:uiPriority w:val="2"/>
    <w:rsid w:val="007978E1"/>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227">
      <w:bodyDiv w:val="1"/>
      <w:marLeft w:val="0"/>
      <w:marRight w:val="0"/>
      <w:marTop w:val="0"/>
      <w:marBottom w:val="0"/>
      <w:divBdr>
        <w:top w:val="none" w:sz="0" w:space="0" w:color="auto"/>
        <w:left w:val="none" w:sz="0" w:space="0" w:color="auto"/>
        <w:bottom w:val="none" w:sz="0" w:space="0" w:color="auto"/>
        <w:right w:val="none" w:sz="0" w:space="0" w:color="auto"/>
      </w:divBdr>
    </w:div>
    <w:div w:id="61775571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19050847">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902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Background </vt:lpstr>
      <vt:lpstr>Investigation</vt:lpstr>
      <vt:lpstr>    Privacy and confidentiality</vt:lpstr>
      <vt:lpstr>    Public interest</vt:lpstr>
      <vt:lpstr>Outcome</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2022-01-20T01:47:00Z</dcterms:created>
  <dcterms:modified xsi:type="dcterms:W3CDTF">2022-01-20T01:47:00Z</dcterms:modified>
</cp:coreProperties>
</file>