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1745C5" w:rsidP="00283F3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EC5A69" w:rsidTr="00DC30F2">
        <w:trPr>
          <w:trHeight w:hRule="exact" w:val="2551"/>
        </w:trPr>
        <w:tc>
          <w:tcPr>
            <w:tcW w:w="9299" w:type="dxa"/>
            <w:shd w:val="clear" w:color="auto" w:fill="auto"/>
            <w:tcMar>
              <w:top w:w="794" w:type="dxa"/>
            </w:tcMar>
            <w:vAlign w:val="bottom"/>
          </w:tcPr>
          <w:p w:rsidR="00166C30" w:rsidRPr="000E36A8" w:rsidRDefault="001745C5" w:rsidP="004F7F09">
            <w:pPr>
              <w:pStyle w:val="Title"/>
            </w:pPr>
            <w:bookmarkStart w:id="1" w:name="_GoBack"/>
            <w:r>
              <w:t>Report of Inquiry into Spring Hill Prison riot - no good reason to withhold; strong public interest in release</w:t>
            </w:r>
            <w:bookmarkEnd w:id="1"/>
          </w:p>
        </w:tc>
      </w:tr>
      <w:tr w:rsidR="00EC5A69" w:rsidTr="004B6DF7">
        <w:trPr>
          <w:trHeight w:hRule="exact" w:val="340"/>
        </w:trPr>
        <w:tc>
          <w:tcPr>
            <w:tcW w:w="9299" w:type="dxa"/>
            <w:shd w:val="clear" w:color="auto" w:fill="auto"/>
            <w:vAlign w:val="bottom"/>
          </w:tcPr>
          <w:p w:rsidR="00C87D78" w:rsidRDefault="001745C5" w:rsidP="00C731DE"/>
        </w:tc>
      </w:tr>
      <w:tr w:rsidR="00EC5A69" w:rsidTr="004B6DF7">
        <w:trPr>
          <w:trHeight w:val="2098"/>
        </w:trPr>
        <w:tc>
          <w:tcPr>
            <w:tcW w:w="9299" w:type="dxa"/>
            <w:shd w:val="clear" w:color="auto" w:fill="auto"/>
          </w:tcPr>
          <w:p w:rsidR="00F417FD" w:rsidRPr="00971749" w:rsidRDefault="001745C5" w:rsidP="00971749">
            <w:pPr>
              <w:pStyle w:val="Heading1-Subnonboldtext"/>
            </w:pPr>
            <w:r w:rsidRPr="00971749">
              <w:rPr>
                <w:rStyle w:val="Heading1-Sub"/>
              </w:rPr>
              <w:t>Legislation</w:t>
            </w:r>
            <w:r w:rsidRPr="00971749">
              <w:tab/>
            </w:r>
            <w:r>
              <w:t>Official Information Act, ss 6(c), 9(2)(ba)(i), 9(2)(g)(i)</w:t>
            </w:r>
          </w:p>
          <w:p w:rsidR="00F417FD" w:rsidRPr="00971749" w:rsidRDefault="001745C5" w:rsidP="00971749">
            <w:pPr>
              <w:pStyle w:val="Heading1-Subnonboldtext"/>
            </w:pPr>
            <w:r w:rsidRPr="00971749">
              <w:rPr>
                <w:rStyle w:val="Heading1-Sub"/>
              </w:rPr>
              <w:t>Agency</w:t>
            </w:r>
            <w:r w:rsidRPr="00971749">
              <w:tab/>
            </w:r>
            <w:r>
              <w:t xml:space="preserve">Department of Corrections </w:t>
            </w:r>
          </w:p>
          <w:p w:rsidR="00F417FD" w:rsidRPr="00971749" w:rsidRDefault="001745C5" w:rsidP="00971749">
            <w:pPr>
              <w:pStyle w:val="Heading1-Subnonboldtext"/>
            </w:pPr>
            <w:r w:rsidRPr="00971749">
              <w:rPr>
                <w:rStyle w:val="Heading1-Sub"/>
              </w:rPr>
              <w:t>Ombudsman</w:t>
            </w:r>
            <w:r w:rsidRPr="00971749">
              <w:tab/>
            </w:r>
            <w:r>
              <w:t xml:space="preserve">Chief Ombudsman Peter Boshier </w:t>
            </w:r>
          </w:p>
          <w:p w:rsidR="00F417FD" w:rsidRPr="00971749" w:rsidRDefault="001745C5" w:rsidP="00971749">
            <w:pPr>
              <w:pStyle w:val="Heading1-Subnonboldtext"/>
            </w:pPr>
            <w:r w:rsidRPr="00971749">
              <w:rPr>
                <w:rStyle w:val="Heading1-Sub"/>
              </w:rPr>
              <w:t>Case number(s)</w:t>
            </w:r>
            <w:r w:rsidRPr="00971749">
              <w:tab/>
            </w:r>
            <w:r>
              <w:t>437269</w:t>
            </w:r>
          </w:p>
          <w:p w:rsidR="00F417FD" w:rsidRPr="00F417FD" w:rsidRDefault="001745C5" w:rsidP="00164467">
            <w:pPr>
              <w:pStyle w:val="Heading1-Subnonboldtext"/>
            </w:pPr>
            <w:r w:rsidRPr="00971749">
              <w:rPr>
                <w:rStyle w:val="Heading1-Sub"/>
              </w:rPr>
              <w:t>Date</w:t>
            </w:r>
            <w:r w:rsidRPr="00971749">
              <w:tab/>
            </w:r>
            <w:r>
              <w:t xml:space="preserve">May 2017 </w:t>
            </w:r>
          </w:p>
        </w:tc>
      </w:tr>
    </w:tbl>
    <w:p w:rsidR="00E77A82" w:rsidRDefault="001745C5" w:rsidP="00E77A82">
      <w:pPr>
        <w:pStyle w:val="Heading1"/>
      </w:pPr>
      <w:r>
        <w:t>Summary</w:t>
      </w:r>
    </w:p>
    <w:p w:rsidR="008A7B93" w:rsidRDefault="001745C5" w:rsidP="00CA5B86">
      <w:pPr>
        <w:pStyle w:val="BodyText1"/>
      </w:pPr>
      <w:r>
        <w:t>In June 2016, a</w:t>
      </w:r>
      <w:r w:rsidRPr="003479F5">
        <w:t xml:space="preserve"> requester sought a copy of the Department of Corrections</w:t>
      </w:r>
      <w:r>
        <w:t>’</w:t>
      </w:r>
      <w:r w:rsidRPr="003479F5">
        <w:t xml:space="preserve"> report into the Spring Hill prisoner riot of 2013. He complained to the Chief Ombudsman when the Departme</w:t>
      </w:r>
      <w:r w:rsidRPr="003479F5">
        <w:t xml:space="preserve">nt released summary information and withheld the full report under sections 6(c) and 9(2)(ba)(i) of the OIA. </w:t>
      </w:r>
    </w:p>
    <w:p w:rsidR="00CA5B86" w:rsidRDefault="001745C5" w:rsidP="00CA5B86">
      <w:pPr>
        <w:pStyle w:val="BodyText1"/>
      </w:pPr>
      <w:r w:rsidRPr="003479F5">
        <w:t>Because the Department</w:t>
      </w:r>
      <w:r>
        <w:t>’</w:t>
      </w:r>
      <w:r w:rsidRPr="003479F5">
        <w:t xml:space="preserve">s concerns related to the need to preserve the flow of </w:t>
      </w:r>
      <w:r w:rsidRPr="002343EA">
        <w:rPr>
          <w:i/>
        </w:rPr>
        <w:t xml:space="preserve">‘free and frank’ </w:t>
      </w:r>
      <w:r w:rsidRPr="003479F5">
        <w:t xml:space="preserve">information during internal audits and operational </w:t>
      </w:r>
      <w:r w:rsidRPr="003479F5">
        <w:t>reviews, the application of section 9(2)(g</w:t>
      </w:r>
      <w:r>
        <w:t xml:space="preserve">)(i) was considered. The Chief Ombudsman was not persuaded that section 9(2)(g)(i) applied, but considered that even if it did, </w:t>
      </w:r>
      <w:r w:rsidRPr="003479F5">
        <w:t>there was a</w:t>
      </w:r>
      <w:r>
        <w:t xml:space="preserve"> </w:t>
      </w:r>
      <w:r w:rsidRPr="003479F5">
        <w:t>strong public interest in release of information that set out the Departme</w:t>
      </w:r>
      <w:r w:rsidRPr="003479F5">
        <w:t>nt</w:t>
      </w:r>
      <w:r>
        <w:t>’</w:t>
      </w:r>
      <w:r w:rsidRPr="003479F5">
        <w:t xml:space="preserve">s analysis of how the riot occurred, the quality of the response, and the lessons learned from the operational review. That public interest had not been addressed by the release of summary information. </w:t>
      </w:r>
      <w:r>
        <w:t>As such, the Chief Ombudsman was not persuaded that</w:t>
      </w:r>
      <w:r>
        <w:t xml:space="preserve"> good reason existed under the OIA to refuse all of the report.</w:t>
      </w:r>
    </w:p>
    <w:p w:rsidR="00BC2E5A" w:rsidRPr="003479F5" w:rsidRDefault="001745C5" w:rsidP="00CA5B86">
      <w:pPr>
        <w:pStyle w:val="BodyText1"/>
      </w:pPr>
      <w:r>
        <w:t>However, the Chief Ombudsman did consider that certain limited information would, if released, prejudice the maintenance of the law as it would prejudice undermine operational security.</w:t>
      </w:r>
    </w:p>
    <w:p w:rsidR="00CA5B86" w:rsidRPr="003479F5" w:rsidRDefault="001745C5" w:rsidP="00CA5B86">
      <w:pPr>
        <w:pStyle w:val="BodyText1"/>
      </w:pPr>
      <w:r w:rsidRPr="003479F5">
        <w:t>The De</w:t>
      </w:r>
      <w:r w:rsidRPr="003479F5">
        <w:t xml:space="preserve">partment </w:t>
      </w:r>
      <w:r>
        <w:t>published</w:t>
      </w:r>
      <w:r w:rsidRPr="003479F5">
        <w:t xml:space="preserve"> the </w:t>
      </w:r>
      <w:r>
        <w:t xml:space="preserve">full </w:t>
      </w:r>
      <w:r w:rsidRPr="003479F5">
        <w:t xml:space="preserve">report </w:t>
      </w:r>
      <w:r>
        <w:t xml:space="preserve">on its website, subject to </w:t>
      </w:r>
      <w:r w:rsidRPr="003479F5">
        <w:t xml:space="preserve">some redactions under section 6(c) of the OIA in order to maintain operational security. </w:t>
      </w:r>
    </w:p>
    <w:p w:rsidR="00E77A82" w:rsidRDefault="001745C5" w:rsidP="00C93B71">
      <w:pPr>
        <w:pStyle w:val="Heading1"/>
        <w:spacing w:after="240"/>
      </w:pPr>
      <w:r>
        <w:lastRenderedPageBreak/>
        <w:t>Background</w:t>
      </w:r>
    </w:p>
    <w:p w:rsidR="00C93B71" w:rsidRPr="00C93B71" w:rsidRDefault="001745C5" w:rsidP="00C93B71">
      <w:pPr>
        <w:pStyle w:val="Heading2"/>
        <w:spacing w:before="240"/>
      </w:pPr>
      <w:r>
        <w:t>The event</w:t>
      </w:r>
    </w:p>
    <w:p w:rsidR="00A96CDE" w:rsidRDefault="001745C5" w:rsidP="00C7243D">
      <w:pPr>
        <w:pStyle w:val="Number1"/>
      </w:pPr>
      <w:r>
        <w:t>On 1 June 2013, a riot broke out in a particular unit at Spring Hill prison. During</w:t>
      </w:r>
      <w:r>
        <w:t xml:space="preserve"> the riot, which involved over 20 inmates, property was damaged and a number of fires were lit. The Department’s Advanced Control and Restraint (ACR) teams were mobilised. The progression of the fires meant that the lives of inmates still locked in their c</w:t>
      </w:r>
      <w:r>
        <w:t>ells were at risk. The New Zealand Fire Service Commander directed immediate intervention. The ACR teams implemented an extraction plan, the riot was brought under control and the unit was evacuated. Some ACR team members and some prisoners sustained injur</w:t>
      </w:r>
      <w:r>
        <w:t xml:space="preserve">ies. </w:t>
      </w:r>
    </w:p>
    <w:p w:rsidR="00884E75" w:rsidRDefault="001745C5" w:rsidP="00884E75">
      <w:pPr>
        <w:pStyle w:val="Heading2"/>
      </w:pPr>
      <w:r>
        <w:t>The Inquiry</w:t>
      </w:r>
    </w:p>
    <w:p w:rsidR="00884E75" w:rsidRDefault="001745C5" w:rsidP="00DB5687">
      <w:pPr>
        <w:pStyle w:val="Number1"/>
      </w:pPr>
      <w:r>
        <w:t xml:space="preserve">Following the riot, the Department conducted an Inquiry </w:t>
      </w:r>
      <w:r w:rsidRPr="00A73088">
        <w:t>to establish the reasons and causes of t</w:t>
      </w:r>
      <w:r>
        <w:t xml:space="preserve">he riot and to assess how it was managed. </w:t>
      </w:r>
      <w:r w:rsidRPr="00D961CC">
        <w:t>The Inquiry examined the</w:t>
      </w:r>
      <w:r>
        <w:t xml:space="preserve"> </w:t>
      </w:r>
      <w:r w:rsidRPr="00D961CC">
        <w:t>events immediately bef</w:t>
      </w:r>
      <w:r>
        <w:t xml:space="preserve">ore, during and after the riot, </w:t>
      </w:r>
      <w:r w:rsidRPr="00D961CC">
        <w:t xml:space="preserve">including the </w:t>
      </w:r>
      <w:r w:rsidRPr="00D961CC">
        <w:t>Department</w:t>
      </w:r>
      <w:r>
        <w:t>’</w:t>
      </w:r>
      <w:r w:rsidRPr="00D961CC">
        <w:t>s</w:t>
      </w:r>
      <w:r>
        <w:t xml:space="preserve"> </w:t>
      </w:r>
      <w:r w:rsidRPr="00D961CC">
        <w:t xml:space="preserve">incident response and the operating context at </w:t>
      </w:r>
      <w:r>
        <w:t>Spring Hill prison</w:t>
      </w:r>
      <w:r w:rsidRPr="00D961CC">
        <w:t xml:space="preserve"> at the time of the riot.</w:t>
      </w:r>
      <w:r>
        <w:t xml:space="preserve"> </w:t>
      </w:r>
    </w:p>
    <w:p w:rsidR="008F3A58" w:rsidRDefault="001745C5" w:rsidP="00DB5687">
      <w:pPr>
        <w:pStyle w:val="Number1"/>
      </w:pPr>
      <w:r>
        <w:t>The Inquiry findings were presented in a report (the Inquiry report) in March 2014. The Department published a summary of the Inquiry report on its web</w:t>
      </w:r>
      <w:r>
        <w:t>site in May 2014.</w:t>
      </w:r>
    </w:p>
    <w:p w:rsidR="00C93B71" w:rsidRDefault="001745C5" w:rsidP="00C93B71">
      <w:pPr>
        <w:pStyle w:val="Heading2"/>
      </w:pPr>
      <w:r>
        <w:t xml:space="preserve">Previous complaint on refusal of the full Inquiry report </w:t>
      </w:r>
    </w:p>
    <w:p w:rsidR="00A96CDE" w:rsidRDefault="001745C5" w:rsidP="00D00AFA">
      <w:pPr>
        <w:pStyle w:val="Number1"/>
      </w:pPr>
      <w:r>
        <w:t>In June 2014, former Chief Ombudsman, Dame Beverley Wakem received a complaint regarding the Department’s refusal of a copy of the full Inquiry report under sections 6(c) and 9(2)(</w:t>
      </w:r>
      <w:r>
        <w:t>ba)(i) of the OIA. The reasons given for refusing the request were :</w:t>
      </w:r>
    </w:p>
    <w:p w:rsidR="00A96CDE" w:rsidRDefault="001745C5" w:rsidP="00A96CDE">
      <w:pPr>
        <w:pStyle w:val="Quotationseparateparagraph"/>
        <w:ind w:left="1134"/>
      </w:pPr>
      <w:r>
        <w:t>....</w:t>
      </w:r>
      <w:r w:rsidRPr="007E40E8">
        <w:t>The full report cannot be released as it contains security information relating to the prison infrastructure and tactics used by the Department when responding to emergency situations</w:t>
      </w:r>
      <w:r w:rsidRPr="007E40E8">
        <w:t xml:space="preserve">. We are also concerned that release of these types of reports would hinder the flow of information for future inquiries. It is important that such investigations are conducted in a way that encourages frank examination of all aspects of an incident. </w:t>
      </w:r>
    </w:p>
    <w:p w:rsidR="00C13ACE" w:rsidRDefault="001745C5" w:rsidP="00C13ACE">
      <w:pPr>
        <w:pStyle w:val="Number1"/>
      </w:pPr>
      <w:r>
        <w:t>Dame</w:t>
      </w:r>
      <w:r>
        <w:t xml:space="preserve"> Beverley commenced an investigation into this complaint. At the time of her investigation, a number of prisoners involved in the riot were facing court proceedings relating to the event. It was understood that i</w:t>
      </w:r>
      <w:r w:rsidRPr="00704786">
        <w:rPr>
          <w:rFonts w:eastAsia="Calibri" w:cs="Times New Roman"/>
        </w:rPr>
        <w:t xml:space="preserve">nformation </w:t>
      </w:r>
      <w:r>
        <w:t xml:space="preserve">referred to in </w:t>
      </w:r>
      <w:r w:rsidRPr="00704786">
        <w:rPr>
          <w:rFonts w:eastAsia="Calibri" w:cs="Times New Roman"/>
        </w:rPr>
        <w:t>the Inquiry</w:t>
      </w:r>
      <w:r>
        <w:t xml:space="preserve"> report</w:t>
      </w:r>
      <w:r>
        <w:t xml:space="preserve"> was </w:t>
      </w:r>
      <w:r w:rsidRPr="00704786">
        <w:rPr>
          <w:rFonts w:eastAsia="Calibri" w:cs="Times New Roman"/>
        </w:rPr>
        <w:t>likely to form part of the evidence submitted in those proceedings</w:t>
      </w:r>
      <w:r>
        <w:t xml:space="preserve">. </w:t>
      </w:r>
    </w:p>
    <w:p w:rsidR="00FA5D95" w:rsidRDefault="001745C5" w:rsidP="00C13ACE">
      <w:pPr>
        <w:pStyle w:val="Number1"/>
      </w:pPr>
      <w:r>
        <w:t xml:space="preserve">Dame Beverley </w:t>
      </w:r>
      <w:r w:rsidRPr="00704786">
        <w:rPr>
          <w:rFonts w:eastAsia="Calibri" w:cs="Times New Roman"/>
        </w:rPr>
        <w:t>consider</w:t>
      </w:r>
      <w:r>
        <w:t>ed that there wa</w:t>
      </w:r>
      <w:r w:rsidRPr="00704786">
        <w:rPr>
          <w:rFonts w:eastAsia="Calibri" w:cs="Times New Roman"/>
        </w:rPr>
        <w:t xml:space="preserve">s a significant risk that disclosure of </w:t>
      </w:r>
      <w:r>
        <w:t xml:space="preserve">the </w:t>
      </w:r>
      <w:r w:rsidRPr="00704786">
        <w:rPr>
          <w:rFonts w:eastAsia="Calibri" w:cs="Times New Roman"/>
        </w:rPr>
        <w:t xml:space="preserve">Inquiry </w:t>
      </w:r>
      <w:r>
        <w:t xml:space="preserve">report </w:t>
      </w:r>
      <w:r w:rsidRPr="00704786">
        <w:rPr>
          <w:rFonts w:eastAsia="Calibri" w:cs="Times New Roman"/>
        </w:rPr>
        <w:t xml:space="preserve">would prejudice the legal proceedings </w:t>
      </w:r>
      <w:r>
        <w:rPr>
          <w:rFonts w:eastAsia="Calibri" w:cs="Times New Roman"/>
        </w:rPr>
        <w:t>then</w:t>
      </w:r>
      <w:r w:rsidRPr="00704786">
        <w:rPr>
          <w:rFonts w:eastAsia="Calibri" w:cs="Times New Roman"/>
        </w:rPr>
        <w:t xml:space="preserve"> underway, which in turn, would prejudice t</w:t>
      </w:r>
      <w:r w:rsidRPr="00704786">
        <w:rPr>
          <w:rFonts w:eastAsia="Calibri" w:cs="Times New Roman"/>
        </w:rPr>
        <w:t xml:space="preserve">he maintenance of the law. </w:t>
      </w:r>
      <w:r>
        <w:t xml:space="preserve">Disclosure at that time might </w:t>
      </w:r>
      <w:r w:rsidRPr="00704786">
        <w:rPr>
          <w:rFonts w:eastAsia="Calibri" w:cs="Times New Roman"/>
        </w:rPr>
        <w:t xml:space="preserve">also </w:t>
      </w:r>
      <w:r>
        <w:rPr>
          <w:rFonts w:eastAsia="Calibri" w:cs="Times New Roman"/>
        </w:rPr>
        <w:t xml:space="preserve">have </w:t>
      </w:r>
      <w:r w:rsidRPr="00704786">
        <w:rPr>
          <w:rFonts w:eastAsia="Calibri" w:cs="Times New Roman"/>
        </w:rPr>
        <w:t>prejudice</w:t>
      </w:r>
      <w:r>
        <w:rPr>
          <w:rFonts w:eastAsia="Calibri" w:cs="Times New Roman"/>
        </w:rPr>
        <w:t>d</w:t>
      </w:r>
      <w:r w:rsidRPr="00704786">
        <w:rPr>
          <w:rFonts w:eastAsia="Calibri" w:cs="Times New Roman"/>
        </w:rPr>
        <w:t xml:space="preserve"> the prisoners</w:t>
      </w:r>
      <w:r>
        <w:t>’</w:t>
      </w:r>
      <w:r w:rsidRPr="00704786">
        <w:rPr>
          <w:rFonts w:eastAsia="Calibri" w:cs="Times New Roman"/>
        </w:rPr>
        <w:t xml:space="preserve"> right to a fair trial</w:t>
      </w:r>
      <w:r>
        <w:t>. On this basis, Dame Beverley had indicated to the requester that she was likely to accept that section 6(c) could be relied on to refuse the</w:t>
      </w:r>
      <w:r>
        <w:t xml:space="preserve"> full report. </w:t>
      </w:r>
    </w:p>
    <w:p w:rsidR="00E73171" w:rsidRDefault="001745C5" w:rsidP="00E73171">
      <w:pPr>
        <w:pStyle w:val="Number1"/>
      </w:pPr>
      <w:r>
        <w:t>Dame Beverley did not form a final opinion in this case prior to her departure from the role of Chief Ombudsman in December 2015 and the investigation was subsequently discontinued when a fresh complaint on the same matter was received in 20</w:t>
      </w:r>
      <w:r>
        <w:t xml:space="preserve">16. </w:t>
      </w:r>
    </w:p>
    <w:p w:rsidR="00FA5D95" w:rsidRDefault="001745C5" w:rsidP="00E73171">
      <w:pPr>
        <w:pStyle w:val="Heading2"/>
      </w:pPr>
      <w:r>
        <w:t>Subsequent complaint</w:t>
      </w:r>
    </w:p>
    <w:p w:rsidR="005C4739" w:rsidRDefault="001745C5" w:rsidP="00AE5FC1">
      <w:pPr>
        <w:pStyle w:val="Number1"/>
      </w:pPr>
      <w:r>
        <w:t>On 28 June 2016, a different requester asked for a copy of the Inquiry report through the FYI.org.nz website. Although matters had moved on, the Department refused this request for identical reasons to its 2014 decision, directing</w:t>
      </w:r>
      <w:r>
        <w:t xml:space="preserve"> the requester to the summary of the report available on its website. </w:t>
      </w:r>
    </w:p>
    <w:p w:rsidR="00A475C4" w:rsidRDefault="001745C5">
      <w:pPr>
        <w:pStyle w:val="Number1"/>
      </w:pPr>
      <w:r>
        <w:t>The requester complained to Chief Ombudsman Peter Boshier. An investigation of the fresh complaint allowed the Chief Ombudsman to consider the circumstances at the time of the 2016 refu</w:t>
      </w:r>
      <w:r>
        <w:t xml:space="preserve">sal, rather than being limited to consideration of the circumstances in 2014. </w:t>
      </w:r>
    </w:p>
    <w:p w:rsidR="00E77A82" w:rsidRDefault="001745C5" w:rsidP="00E77A82">
      <w:pPr>
        <w:pStyle w:val="Heading1"/>
      </w:pPr>
      <w:r>
        <w:t>Investigation</w:t>
      </w:r>
    </w:p>
    <w:p w:rsidR="00E94521" w:rsidRDefault="001745C5" w:rsidP="0008126A">
      <w:pPr>
        <w:pStyle w:val="Number1"/>
      </w:pPr>
      <w:r>
        <w:t>The Department was notified that a new complaint had been received about the refusal of the Inquiry report and of the Chief Ombudsman’s intention to investigate th</w:t>
      </w:r>
      <w:r>
        <w:t xml:space="preserve">is decision. </w:t>
      </w:r>
    </w:p>
    <w:p w:rsidR="004612D4" w:rsidRDefault="001745C5" w:rsidP="001A715E">
      <w:pPr>
        <w:pStyle w:val="Number1"/>
      </w:pPr>
      <w:r>
        <w:t>The Chief Ombudsman observed that the events at Spring Hill had occurred three years ago, and court proceedings in train at the time of Dame Beverley’s investigation had finished. Further, the Department had advised that all recommendations f</w:t>
      </w:r>
      <w:r>
        <w:t>rom the report had been enacted and robust procedures had been put in place to prevent another incident of this nature. The Chief Ombudsman surmised that, if so, then presumably at least some of the vulnerabilities identified in the operational review were</w:t>
      </w:r>
      <w:r>
        <w:t xml:space="preserve"> no longer an issue.</w:t>
      </w:r>
    </w:p>
    <w:p w:rsidR="005C4739" w:rsidRDefault="001745C5" w:rsidP="005C4739">
      <w:pPr>
        <w:pStyle w:val="Number1"/>
      </w:pPr>
      <w:r>
        <w:t xml:space="preserve">While the reasons for withholding the full Inquiry report in June </w:t>
      </w:r>
      <w:r w:rsidRPr="004F34FB">
        <w:t>2014</w:t>
      </w:r>
      <w:r w:rsidRPr="002343EA">
        <w:rPr>
          <w:b/>
        </w:rPr>
        <w:t xml:space="preserve"> </w:t>
      </w:r>
      <w:r>
        <w:t xml:space="preserve">may have been sound, the Chief Ombudsman noted that his investigation related to the Department’s refusal of the Inquiry report in June </w:t>
      </w:r>
      <w:r w:rsidRPr="004F34FB">
        <w:t>2016</w:t>
      </w:r>
      <w:r w:rsidRPr="002343EA">
        <w:rPr>
          <w:b/>
        </w:rPr>
        <w:t>.</w:t>
      </w:r>
      <w:r>
        <w:t xml:space="preserve"> It was therefore incumbent upon the Department to consider the circumstances as they applied at the time of the request, rather than relying on its earlier position. </w:t>
      </w:r>
    </w:p>
    <w:p w:rsidR="00CF0A08" w:rsidRDefault="001745C5" w:rsidP="00C96674">
      <w:pPr>
        <w:pStyle w:val="Number1"/>
      </w:pPr>
      <w:r>
        <w:t>However, the Department remained concerned at the prospect of releasing any further info</w:t>
      </w:r>
      <w:r>
        <w:t xml:space="preserve">rmation, not only for security reasons but also to ensure the flow of free and frank information during future operational reviews. </w:t>
      </w:r>
    </w:p>
    <w:p w:rsidR="00180EBB" w:rsidRDefault="001745C5" w:rsidP="00C96674">
      <w:pPr>
        <w:pStyle w:val="Number1"/>
      </w:pPr>
      <w:r>
        <w:t>The Chief Ombudsman formed a provisional opinion on the complaint which was provided to the Department for comment. The Dep</w:t>
      </w:r>
      <w:r>
        <w:t xml:space="preserve">artment accepted the provisional opinion and </w:t>
      </w:r>
      <w:r w:rsidRPr="003479F5">
        <w:t xml:space="preserve">agreed to publish the </w:t>
      </w:r>
      <w:r>
        <w:t xml:space="preserve">full </w:t>
      </w:r>
      <w:r w:rsidRPr="003479F5">
        <w:t xml:space="preserve">report </w:t>
      </w:r>
      <w:r>
        <w:t xml:space="preserve">on its website </w:t>
      </w:r>
      <w:r w:rsidRPr="003479F5">
        <w:t xml:space="preserve">with some redactions under section 6(c) of the OIA in order to maintain operational security. </w:t>
      </w:r>
    </w:p>
    <w:p w:rsidR="00180EBB" w:rsidRDefault="001745C5" w:rsidP="00180EBB">
      <w:pPr>
        <w:pStyle w:val="Number1"/>
      </w:pPr>
      <w:r>
        <w:t>The Chief Ombudsmen then provided a provisional opinion to the requ</w:t>
      </w:r>
      <w:r>
        <w:t xml:space="preserve">ester in relation to the redactions made by the Department under section 6(c) and invited comments. </w:t>
      </w:r>
    </w:p>
    <w:p w:rsidR="00180EBB" w:rsidRDefault="001745C5" w:rsidP="00180EBB">
      <w:pPr>
        <w:pStyle w:val="Number1"/>
      </w:pPr>
      <w:r>
        <w:t xml:space="preserve">On receipt of the requester’s comments, the Chief Ombudsman formed a final opinion on the complaint. </w:t>
      </w:r>
    </w:p>
    <w:p w:rsidR="00517B1A" w:rsidRPr="004612D4" w:rsidRDefault="001745C5" w:rsidP="00517B1A">
      <w:pPr>
        <w:pStyle w:val="Heading1"/>
      </w:pPr>
      <w:r>
        <w:t>Analysis</w:t>
      </w:r>
    </w:p>
    <w:p w:rsidR="00D05C30" w:rsidRDefault="001745C5" w:rsidP="00D05C30">
      <w:pPr>
        <w:pStyle w:val="Heading2"/>
      </w:pPr>
      <w:r>
        <w:t xml:space="preserve">Confidentiality and an atmosphere of frankness </w:t>
      </w:r>
    </w:p>
    <w:p w:rsidR="004165F3" w:rsidRDefault="001745C5" w:rsidP="0027320A">
      <w:pPr>
        <w:pStyle w:val="Number1"/>
      </w:pPr>
      <w:r>
        <w:t>The Department relied on section 9(2)(ba)(i), which is aimed at protecting the confidential supply of information, in order to refuse the full Inquiry report. However, given the Department’s concern to protec</w:t>
      </w:r>
      <w:r>
        <w:t xml:space="preserve">t the flow of free and frank information during internal audit exercises, section 9(2)(g)(i) was considered the more relevant ground.  </w:t>
      </w:r>
    </w:p>
    <w:p w:rsidR="00610BE0" w:rsidRDefault="001745C5" w:rsidP="0027320A">
      <w:pPr>
        <w:pStyle w:val="Number1"/>
      </w:pPr>
      <w:r w:rsidRPr="00E25E4B">
        <w:t xml:space="preserve">Section 9(2)(g)(i) </w:t>
      </w:r>
      <w:r>
        <w:t xml:space="preserve">may be relied on </w:t>
      </w:r>
      <w:r w:rsidRPr="00E25E4B">
        <w:t xml:space="preserve">to </w:t>
      </w:r>
      <w:r w:rsidRPr="00A55FDC">
        <w:t>avoid prejudice to the generation and expression of free and frank opinions which</w:t>
      </w:r>
      <w:r w:rsidRPr="00A55FDC">
        <w:t xml:space="preserve"> are necessary </w:t>
      </w:r>
      <w:r>
        <w:t>for</w:t>
      </w:r>
      <w:r w:rsidRPr="00A55FDC">
        <w:t xml:space="preserve"> the effective conduct of public affairs. </w:t>
      </w:r>
      <w:r>
        <w:t xml:space="preserve">Officers or employees of any department </w:t>
      </w:r>
      <w:r w:rsidRPr="00A55FDC">
        <w:t>must</w:t>
      </w:r>
      <w:r>
        <w:t>, in the course of their duty,</w:t>
      </w:r>
      <w:r w:rsidRPr="00A55FDC">
        <w:t xml:space="preserve"> be able to express their opinions on relevant issues without inhibition. </w:t>
      </w:r>
    </w:p>
    <w:p w:rsidR="00D05C30" w:rsidRPr="003479F5" w:rsidRDefault="001745C5" w:rsidP="0027320A">
      <w:pPr>
        <w:pStyle w:val="Number1"/>
      </w:pPr>
      <w:r w:rsidRPr="003479F5">
        <w:t>The Department</w:t>
      </w:r>
      <w:r>
        <w:t xml:space="preserve"> submitted </w:t>
      </w:r>
      <w:r w:rsidRPr="003479F5">
        <w:t>that release of the fu</w:t>
      </w:r>
      <w:r w:rsidRPr="003479F5">
        <w:t>ll report would have a chilling effect on the willingness of individuals involved in an operational review to be forthcoming about what might have gone wrong. The purpose of an operational review is to learn from what happened in order to improve responses</w:t>
      </w:r>
      <w:r w:rsidRPr="003479F5">
        <w:t xml:space="preserve"> to similar incidents in the future</w:t>
      </w:r>
      <w:r>
        <w:t>.</w:t>
      </w:r>
      <w:r w:rsidRPr="003479F5">
        <w:t xml:space="preserve"> </w:t>
      </w:r>
      <w:r>
        <w:t>I</w:t>
      </w:r>
      <w:r w:rsidRPr="003479F5">
        <w:t xml:space="preserve">t is in the public interest that this process is as robust as possible. </w:t>
      </w:r>
    </w:p>
    <w:p w:rsidR="00D05C30" w:rsidRPr="003479F5" w:rsidRDefault="001745C5" w:rsidP="0027320A">
      <w:pPr>
        <w:pStyle w:val="Number1"/>
      </w:pPr>
      <w:r>
        <w:t>The Chief Ombudsman</w:t>
      </w:r>
      <w:r w:rsidRPr="003479F5">
        <w:t xml:space="preserve"> accepted that if</w:t>
      </w:r>
      <w:r>
        <w:t xml:space="preserve"> release of information were likely to inhibit individuals from expressing their free and frank opinions, or </w:t>
      </w:r>
      <w:r>
        <w:t>imparting crucial information, then this</w:t>
      </w:r>
      <w:r w:rsidRPr="003479F5">
        <w:t xml:space="preserve"> would be detrimental to the effectiveness of an operational review process.</w:t>
      </w:r>
      <w:r>
        <w:t xml:space="preserve"> However, the Chief Ombudsman considered this</w:t>
      </w:r>
      <w:r w:rsidRPr="003479F5">
        <w:t xml:space="preserve"> would be more likely to occur if the information disclosed included copies of working material</w:t>
      </w:r>
      <w:r w:rsidRPr="003479F5">
        <w:t xml:space="preserve"> and source information</w:t>
      </w:r>
      <w:r>
        <w:t>. In this case, the information was</w:t>
      </w:r>
      <w:r w:rsidRPr="003479F5">
        <w:t xml:space="preserve"> a final report which summarised an internal review process</w:t>
      </w:r>
      <w:r>
        <w:t>.</w:t>
      </w:r>
      <w:r w:rsidRPr="003479F5">
        <w:t xml:space="preserve"> </w:t>
      </w:r>
      <w:r>
        <w:t>T</w:t>
      </w:r>
      <w:r w:rsidRPr="003479F5">
        <w:t xml:space="preserve">he information was not generally attributable to particular individuals, </w:t>
      </w:r>
      <w:r>
        <w:t>but rather</w:t>
      </w:r>
      <w:r w:rsidRPr="003479F5">
        <w:t xml:space="preserve"> represented the considered conclusions and advice of</w:t>
      </w:r>
      <w:r w:rsidRPr="003479F5">
        <w:t xml:space="preserve"> the authors of the review. </w:t>
      </w:r>
    </w:p>
    <w:p w:rsidR="00D05C30" w:rsidRPr="003479F5" w:rsidRDefault="001745C5" w:rsidP="0027320A">
      <w:pPr>
        <w:pStyle w:val="Number1"/>
      </w:pPr>
      <w:r w:rsidRPr="003479F5">
        <w:t>The Chief Ombudsman stated:</w:t>
      </w:r>
    </w:p>
    <w:p w:rsidR="00D05C30" w:rsidRPr="003479F5" w:rsidRDefault="001745C5" w:rsidP="0027320A">
      <w:pPr>
        <w:pStyle w:val="Quotationseparateparagraph"/>
        <w:ind w:left="1134"/>
      </w:pPr>
      <w:r w:rsidRPr="003479F5">
        <w:t xml:space="preserve">Participants in an operational review exercise should be aware that they are working in an environment where the OIA applies. In that environment there are no absolute guarantees of confidentiality. </w:t>
      </w:r>
      <w:r w:rsidRPr="003479F5">
        <w:t xml:space="preserve">Moreover, where the incident in question is as serious as a prison riot, they should be aware that the public interest may nevertheless require the release of information. </w:t>
      </w:r>
    </w:p>
    <w:p w:rsidR="00D05C30" w:rsidRDefault="001745C5" w:rsidP="0027320A">
      <w:pPr>
        <w:pStyle w:val="Number1"/>
      </w:pPr>
      <w:r w:rsidRPr="003479F5">
        <w:t>The</w:t>
      </w:r>
      <w:r>
        <w:t xml:space="preserve"> Inquiry</w:t>
      </w:r>
      <w:r w:rsidRPr="003479F5">
        <w:t xml:space="preserve"> report identified a number of organisational and systemic issues. There</w:t>
      </w:r>
      <w:r w:rsidRPr="003479F5">
        <w:t xml:space="preserve"> was nothing in the report that singled out any individual for blame, nor was it possible to identify any particular individual as a source of information for the review. </w:t>
      </w:r>
      <w:r>
        <w:t xml:space="preserve">The Chief Ombudsman </w:t>
      </w:r>
      <w:r w:rsidRPr="003479F5">
        <w:t xml:space="preserve">was therefore not persuaded that disclosure of the report would </w:t>
      </w:r>
      <w:r>
        <w:t>b</w:t>
      </w:r>
      <w:r>
        <w:t xml:space="preserve">e prejudicial to </w:t>
      </w:r>
      <w:r w:rsidRPr="003479F5">
        <w:t xml:space="preserve">the efficacy of future operational reviews. </w:t>
      </w:r>
    </w:p>
    <w:p w:rsidR="00F77B94" w:rsidRPr="003479F5" w:rsidRDefault="001745C5" w:rsidP="00D05C30">
      <w:pPr>
        <w:pStyle w:val="Heading2"/>
      </w:pPr>
      <w:r>
        <w:t>Public interest</w:t>
      </w:r>
    </w:p>
    <w:p w:rsidR="00BF4042" w:rsidRPr="003479F5" w:rsidRDefault="001745C5" w:rsidP="0027320A">
      <w:pPr>
        <w:pStyle w:val="Number1"/>
      </w:pPr>
      <w:r w:rsidRPr="003479F5">
        <w:t xml:space="preserve">Even if section 9(2)(g)(i) </w:t>
      </w:r>
      <w:r>
        <w:t xml:space="preserve">did </w:t>
      </w:r>
      <w:r w:rsidRPr="003479F5">
        <w:t>appl</w:t>
      </w:r>
      <w:r>
        <w:t xml:space="preserve">y </w:t>
      </w:r>
      <w:r w:rsidRPr="003479F5">
        <w:t xml:space="preserve">the </w:t>
      </w:r>
      <w:r>
        <w:t xml:space="preserve">Chief Ombudsman considered the </w:t>
      </w:r>
      <w:r w:rsidRPr="003479F5">
        <w:t>need to withhold the full report w</w:t>
      </w:r>
      <w:r>
        <w:t>ould be</w:t>
      </w:r>
      <w:r w:rsidRPr="003479F5">
        <w:t xml:space="preserve"> outweighed by the public interest in release</w:t>
      </w:r>
      <w:r>
        <w:t xml:space="preserve"> of much of the information</w:t>
      </w:r>
      <w:r w:rsidRPr="003479F5">
        <w:t xml:space="preserve">. The Chief Ombudsman </w:t>
      </w:r>
      <w:r>
        <w:t>disagreed with t</w:t>
      </w:r>
      <w:r w:rsidRPr="003479F5">
        <w:t xml:space="preserve">he </w:t>
      </w:r>
      <w:r>
        <w:t xml:space="preserve">Department’s </w:t>
      </w:r>
      <w:r w:rsidRPr="003479F5">
        <w:t>suggestion that the public interest in release had diminished because the riot occurred three years ago. He also rejected the argument that the small number of OIA requests re</w:t>
      </w:r>
      <w:r w:rsidRPr="003479F5">
        <w:t>ceived for the report was indicative of the low level of public interest in release. He commented:</w:t>
      </w:r>
    </w:p>
    <w:p w:rsidR="00BF4042" w:rsidRPr="003479F5" w:rsidRDefault="001745C5" w:rsidP="0027320A">
      <w:pPr>
        <w:pStyle w:val="Quotationseparateparagraph"/>
        <w:ind w:left="1134"/>
      </w:pPr>
      <w:r w:rsidRPr="003479F5">
        <w:t>A prison riot is one of the most serious events that can occur in any custodial system. It indicates a breakdown in the core responsibilities to manage offen</w:t>
      </w:r>
      <w:r w:rsidRPr="003479F5">
        <w:t>ders safely and humanely. The potential for harm to prison staff, emergency services and inmates cannot be understated. In this case, a number of staff and prisoners were injured, some seriously, and there was clearly a potential for loss of life, especial</w:t>
      </w:r>
      <w:r w:rsidRPr="003479F5">
        <w:t xml:space="preserve">ly once the fires took hold. </w:t>
      </w:r>
    </w:p>
    <w:p w:rsidR="00BF4042" w:rsidRDefault="001745C5" w:rsidP="0027320A">
      <w:pPr>
        <w:pStyle w:val="Number1"/>
      </w:pPr>
      <w:r w:rsidRPr="00D75724">
        <w:t>In his provisional opinion, there was a strong public interest in release of information that set out the Department’s analysis of how the riot occurred, the quality of the response, and the lessons learned from the operationa</w:t>
      </w:r>
      <w:r w:rsidRPr="00D75724">
        <w:t>l review. That public interest had not been addressed by the release of summary information.</w:t>
      </w:r>
      <w:r w:rsidRPr="003479F5">
        <w:t xml:space="preserve"> </w:t>
      </w:r>
    </w:p>
    <w:p w:rsidR="00D75724" w:rsidRDefault="001745C5" w:rsidP="00D75724">
      <w:pPr>
        <w:pStyle w:val="Heading2"/>
      </w:pPr>
      <w:r>
        <w:t xml:space="preserve">Security concerns </w:t>
      </w:r>
    </w:p>
    <w:p w:rsidR="00D75724" w:rsidRPr="005C3D60" w:rsidRDefault="001745C5" w:rsidP="00D75724">
      <w:pPr>
        <w:pStyle w:val="Number1"/>
        <w:rPr>
          <w:rFonts w:eastAsia="Calibri" w:cs="Times New Roman"/>
        </w:rPr>
      </w:pPr>
      <w:r>
        <w:t>The Department accepted the Chief Ombudsman’s opinion and published a copy of the report on its website. However it relied on s</w:t>
      </w:r>
      <w:r w:rsidRPr="00CC3185">
        <w:t xml:space="preserve">ection 6(c) </w:t>
      </w:r>
      <w:r>
        <w:t>to r</w:t>
      </w:r>
      <w:r>
        <w:t xml:space="preserve">edact some of the information from the published report. Section 6(c) </w:t>
      </w:r>
      <w:r w:rsidRPr="00CC3185">
        <w:t>provide</w:t>
      </w:r>
      <w:r>
        <w:t>s</w:t>
      </w:r>
      <w:r w:rsidRPr="00CC3185">
        <w:t xml:space="preserve"> </w:t>
      </w:r>
      <w:r>
        <w:t>a conclusive reason</w:t>
      </w:r>
      <w:r w:rsidRPr="00CC3185">
        <w:t xml:space="preserve"> for withholding information if release of the information would be likely</w:t>
      </w:r>
      <w:r w:rsidRPr="00BF7477">
        <w:rPr>
          <w:rStyle w:val="Quotationwithinthesentence"/>
        </w:rPr>
        <w:t xml:space="preserve"> ‘to prejudice the maintenance of the law, including the prevention, investigation, </w:t>
      </w:r>
      <w:r w:rsidRPr="00BF7477">
        <w:rPr>
          <w:rStyle w:val="Quotationwithinthesentence"/>
        </w:rPr>
        <w:t>and detection of offences, and the right to a fair trial’.</w:t>
      </w:r>
      <w:r>
        <w:rPr>
          <w:rStyle w:val="Quotationwithinthesentence"/>
        </w:rPr>
        <w:t xml:space="preserve"> </w:t>
      </w:r>
    </w:p>
    <w:p w:rsidR="00BF4143" w:rsidRDefault="001745C5" w:rsidP="00D75724">
      <w:pPr>
        <w:pStyle w:val="Number1"/>
      </w:pPr>
      <w:r>
        <w:t>The requester advised that this version of the report did not resolve matters and that he still sought unrestricted access to a full copy of the report.</w:t>
      </w:r>
    </w:p>
    <w:p w:rsidR="00D75724" w:rsidRDefault="001745C5" w:rsidP="00D75724">
      <w:pPr>
        <w:pStyle w:val="Number1"/>
      </w:pPr>
      <w:r>
        <w:t>The Chief Ombudsman carefully considered th</w:t>
      </w:r>
      <w:r>
        <w:t>e redactions made and formed the provisional opinion that release of some of the detailed information from the Inquiry report would pose a risk to security by exposing vulnerabilities that could be exploited.</w:t>
      </w:r>
    </w:p>
    <w:p w:rsidR="00D75724" w:rsidRDefault="001745C5" w:rsidP="00D75724">
      <w:pPr>
        <w:pStyle w:val="Number1"/>
      </w:pPr>
      <w:r>
        <w:t>Release of this information would make it harde</w:t>
      </w:r>
      <w:r>
        <w:t>r for Corrections staff to implement the necessary controls to address fighting or rioting within a prison. It might also enable prisoners to evade security measures in place for the protection of staff and inmates against violence and assaults. Finally, s</w:t>
      </w:r>
      <w:r>
        <w:t xml:space="preserve">ome of the redacted information could potentially be used to plan an escape. </w:t>
      </w:r>
    </w:p>
    <w:p w:rsidR="00D75724" w:rsidRDefault="001745C5" w:rsidP="00D75724">
      <w:pPr>
        <w:pStyle w:val="Number1"/>
      </w:pPr>
      <w:r>
        <w:t>The requester expressed concern that some of the redactions may be contrary to the principles of open and transparent government in that they may contain information unflattering</w:t>
      </w:r>
      <w:r>
        <w:t xml:space="preserve"> to the Department and damaging to its reputation. The Chief Ombudsman responded on this point as follows: </w:t>
      </w:r>
    </w:p>
    <w:p w:rsidR="00D75724" w:rsidRDefault="001745C5" w:rsidP="00D75724">
      <w:pPr>
        <w:pStyle w:val="Quotationseparateparagraph"/>
        <w:ind w:left="1134"/>
      </w:pPr>
      <w:r>
        <w:rPr>
          <w:rFonts w:eastAsia="Calibri" w:cs="Times New Roman"/>
        </w:rPr>
        <w:t xml:space="preserve">Neither I, nor previous Ombudsmen have accepted </w:t>
      </w:r>
      <w:r w:rsidRPr="00E90349">
        <w:t>t</w:t>
      </w:r>
      <w:r>
        <w:t xml:space="preserve">hat section 6(c) can be invoked purely on the basis </w:t>
      </w:r>
      <w:r w:rsidRPr="00E90349">
        <w:t>that disclosure has the potential to damage the</w:t>
      </w:r>
      <w:r w:rsidRPr="00E90349">
        <w:t xml:space="preserve"> reputation of an agency</w:t>
      </w:r>
      <w:r>
        <w:t xml:space="preserve"> and thereby undermine its ability to maintain the law. Such arguments are essentially self-serving </w:t>
      </w:r>
      <w:r w:rsidRPr="00E90349">
        <w:t>and at odds with the OIA itself</w:t>
      </w:r>
      <w:r>
        <w:t xml:space="preserve">. Section 6(c) is not a shield behind which to hide incompetence or administrative failure. </w:t>
      </w:r>
    </w:p>
    <w:p w:rsidR="00D75724" w:rsidRDefault="001745C5" w:rsidP="00D75724">
      <w:pPr>
        <w:pStyle w:val="Number1"/>
      </w:pPr>
      <w:r>
        <w:t>The Chie</w:t>
      </w:r>
      <w:r>
        <w:t xml:space="preserve">f Ombudsman acknowledged the requester’s comments and agreed that, in his opinion, any information that shed light on how the operation was handled (whether positive or not) ought to be released unless its release would clearly pose a security risk. </w:t>
      </w:r>
    </w:p>
    <w:p w:rsidR="00D75724" w:rsidRDefault="001745C5" w:rsidP="001A715E">
      <w:pPr>
        <w:pStyle w:val="Number1"/>
      </w:pPr>
      <w:r>
        <w:t>In re</w:t>
      </w:r>
      <w:r>
        <w:t>aching the final opinion that section 6(c) justified the redaction of some information, the Chief Ombudsman noted that the threshold for concluding that section 6(c) applies is not lightly met. He explained that where information that might pose a security</w:t>
      </w:r>
      <w:r>
        <w:t xml:space="preserve"> risk, but might also provide some further information about the Department’s management, he had considered whether the security risk was such that the information could be justifiably withheld. In some cases a balance was struck by release of information </w:t>
      </w:r>
      <w:r>
        <w:t xml:space="preserve">that described the issue in general terms but not the detail. </w:t>
      </w:r>
    </w:p>
    <w:p w:rsidR="00E77A82" w:rsidRDefault="001745C5" w:rsidP="00E77A82">
      <w:pPr>
        <w:pStyle w:val="Heading1"/>
      </w:pPr>
      <w:r>
        <w:t>Outcome</w:t>
      </w:r>
    </w:p>
    <w:p w:rsidR="00F1253F" w:rsidRDefault="001745C5" w:rsidP="00F1253F">
      <w:pPr>
        <w:pStyle w:val="BodyText1"/>
      </w:pPr>
      <w:r w:rsidRPr="001A715E">
        <w:t>The Department accepted the Chief Ombudsman’s provisional opinion in relation to section 9(2)(g)(i). It agreed to publish the report with some redactions under section 6(c) of the OIA i</w:t>
      </w:r>
      <w:r w:rsidRPr="001A715E">
        <w:t>n order to maintain operational security. The Chief Ombudsman formed the final opinion that the redactions were justified under that provision.</w:t>
      </w:r>
    </w:p>
    <w:p w:rsidR="00E77A82" w:rsidRDefault="001745C5" w:rsidP="00E77A82">
      <w:pPr>
        <w:pStyle w:val="BodyText"/>
      </w:pPr>
    </w:p>
    <w:sectPr w:rsidR="00E77A82" w:rsidSect="00F417F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5C5" w:rsidRDefault="001745C5">
      <w:pPr>
        <w:spacing w:after="0" w:line="240" w:lineRule="auto"/>
      </w:pPr>
      <w:r>
        <w:separator/>
      </w:r>
    </w:p>
  </w:endnote>
  <w:endnote w:type="continuationSeparator" w:id="0">
    <w:p w:rsidR="001745C5" w:rsidRDefault="0017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7C" w:rsidRDefault="00B81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A9" w:rsidRPr="0059155D" w:rsidRDefault="001745C5" w:rsidP="00B81F45">
    <w:pPr>
      <w:pStyle w:val="Footerline"/>
    </w:pPr>
  </w:p>
  <w:p w:rsidR="001B27A9" w:rsidRPr="0059155D" w:rsidRDefault="001745C5" w:rsidP="00B81F45">
    <w:pPr>
      <w:pStyle w:val="Footerline"/>
    </w:pPr>
  </w:p>
  <w:p w:rsidR="001B27A9" w:rsidRPr="005533D8" w:rsidRDefault="001745C5" w:rsidP="00B81F45">
    <w:pPr>
      <w:pStyle w:val="Footer"/>
    </w:pPr>
    <w:r>
      <w:fldChar w:fldCharType="begin"/>
    </w:r>
    <w:r>
      <w:instrText xml:space="preserve"> DOCVARIABLE  dvShortText </w:instrText>
    </w:r>
    <w:r>
      <w:fldChar w:fldCharType="separate"/>
    </w:r>
    <w:r>
      <w:t>Case note |</w:t>
    </w:r>
    <w:r>
      <w:fldChar w:fldCharType="end"/>
    </w:r>
    <w:r>
      <w:t xml:space="preserve"> Page </w:t>
    </w:r>
    <w:r w:rsidRPr="00A32286">
      <w:rPr>
        <w:rStyle w:val="PageNumber"/>
      </w:rPr>
      <w:fldChar w:fldCharType="begin"/>
    </w:r>
    <w:r w:rsidRPr="00A32286">
      <w:rPr>
        <w:rStyle w:val="PageNumber"/>
      </w:rPr>
      <w:instrText xml:space="preserve"> PAGE   \* MERGEFORMAT </w:instrText>
    </w:r>
    <w:r w:rsidRPr="00A32286">
      <w:rPr>
        <w:rStyle w:val="PageNumber"/>
      </w:rPr>
      <w:fldChar w:fldCharType="separate"/>
    </w:r>
    <w:r w:rsidR="00B8157C">
      <w:rPr>
        <w:rStyle w:val="PageNumber"/>
        <w:noProof/>
      </w:rPr>
      <w:t>6</w:t>
    </w:r>
    <w:r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A9" w:rsidRPr="0059155D" w:rsidRDefault="001745C5" w:rsidP="00AA3322">
    <w:pPr>
      <w:pStyle w:val="Footerline"/>
    </w:pPr>
  </w:p>
  <w:p w:rsidR="001B27A9" w:rsidRPr="0059155D" w:rsidRDefault="001745C5" w:rsidP="00AA3322">
    <w:pPr>
      <w:pStyle w:val="Footerline"/>
    </w:pPr>
  </w:p>
  <w:p w:rsidR="001B27A9" w:rsidRPr="005533D8" w:rsidRDefault="001745C5" w:rsidP="00AA3322">
    <w:pPr>
      <w:pStyle w:val="Footer"/>
    </w:pPr>
    <w:r>
      <w:fldChar w:fldCharType="begin"/>
    </w:r>
    <w:r>
      <w:instrText xml:space="preserve"> DOCVARIABLE  dvShortText </w:instrText>
    </w:r>
    <w:r>
      <w:fldChar w:fldCharType="separate"/>
    </w:r>
    <w:r>
      <w:t>Case note |</w:t>
    </w:r>
    <w:r>
      <w:fldChar w:fldCharType="end"/>
    </w:r>
    <w:r>
      <w:t xml:space="preserve"> Page </w:t>
    </w:r>
    <w:r w:rsidRPr="00A32286">
      <w:rPr>
        <w:rStyle w:val="PageNumber"/>
      </w:rPr>
      <w:fldChar w:fldCharType="begin"/>
    </w:r>
    <w:r w:rsidRPr="00A32286">
      <w:rPr>
        <w:rStyle w:val="PageNumber"/>
      </w:rPr>
      <w:instrText xml:space="preserve"> PAGE   \* MERGEFORMAT </w:instrText>
    </w:r>
    <w:r w:rsidRPr="00A32286">
      <w:rPr>
        <w:rStyle w:val="PageNumber"/>
      </w:rPr>
      <w:fldChar w:fldCharType="separate"/>
    </w:r>
    <w:r>
      <w:rPr>
        <w:rStyle w:val="PageNumber"/>
        <w:noProof/>
      </w:rPr>
      <w:t>1</w:t>
    </w:r>
    <w:r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5C5" w:rsidRDefault="001745C5">
      <w:pPr>
        <w:spacing w:after="0" w:line="240" w:lineRule="auto"/>
      </w:pPr>
      <w:r>
        <w:separator/>
      </w:r>
    </w:p>
  </w:footnote>
  <w:footnote w:type="continuationSeparator" w:id="0">
    <w:p w:rsidR="001745C5" w:rsidRDefault="00174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7C" w:rsidRDefault="00B81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A9" w:rsidRDefault="001745C5" w:rsidP="00B81F45">
    <w:pPr>
      <w:pStyle w:val="Header"/>
      <w:tabs>
        <w:tab w:val="clear" w:pos="9299"/>
        <w:tab w:val="right" w:pos="9321"/>
      </w:tabs>
      <w:rPr>
        <w:rStyle w:val="PageNumber"/>
      </w:rPr>
    </w:pPr>
    <w:r>
      <w:t xml:space="preserve">Office of the Ombudsman | </w:t>
    </w:r>
    <w:r w:rsidRPr="00DD54DF">
      <w:t xml:space="preserve">Tari o te </w:t>
    </w:r>
    <w:r w:rsidRPr="00DD54DF">
      <w:t>Kaitiaki Mana Tangata</w:t>
    </w:r>
  </w:p>
  <w:p w:rsidR="001B27A9" w:rsidRPr="00661EC9" w:rsidRDefault="001745C5"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A9" w:rsidRDefault="001745C5">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62623"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DCF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8056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0FE892C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3BBD0D8D"/>
    <w:multiLevelType w:val="multilevel"/>
    <w:tmpl w:val="07FEE126"/>
    <w:lvl w:ilvl="0">
      <w:start w:val="1"/>
      <w:numFmt w:val="none"/>
      <w:suff w:val="nothing"/>
      <w:lvlText w:val=""/>
      <w:lvlJc w:val="left"/>
      <w:pPr>
        <w:ind w:left="357" w:firstLine="0"/>
      </w:pPr>
      <w:rPr>
        <w:rFonts w:hint="default"/>
      </w:rPr>
    </w:lvl>
    <w:lvl w:ilvl="1">
      <w:start w:val="1"/>
      <w:numFmt w:val="none"/>
      <w:suff w:val="nothing"/>
      <w:lvlText w:val=""/>
      <w:lvlJc w:val="left"/>
      <w:pPr>
        <w:ind w:left="714" w:firstLine="0"/>
      </w:pPr>
      <w:rPr>
        <w:rFonts w:hint="default"/>
      </w:rPr>
    </w:lvl>
    <w:lvl w:ilvl="2">
      <w:start w:val="1"/>
      <w:numFmt w:val="none"/>
      <w:suff w:val="nothing"/>
      <w:lvlText w:val=""/>
      <w:lvlJc w:val="left"/>
      <w:pPr>
        <w:ind w:left="1072" w:firstLine="0"/>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7"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8"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0"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2"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4"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6"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20"/>
  </w:num>
  <w:num w:numId="2">
    <w:abstractNumId w:val="5"/>
  </w:num>
  <w:num w:numId="3">
    <w:abstractNumId w:val="13"/>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6"/>
  </w:num>
  <w:num w:numId="8">
    <w:abstractNumId w:val="18"/>
  </w:num>
  <w:num w:numId="9">
    <w:abstractNumId w:val="8"/>
  </w:num>
  <w:num w:numId="10">
    <w:abstractNumId w:val="11"/>
  </w:num>
  <w:num w:numId="11">
    <w:abstractNumId w:val="25"/>
  </w:num>
  <w:num w:numId="12">
    <w:abstractNumId w:val="12"/>
  </w:num>
  <w:num w:numId="13">
    <w:abstractNumId w:val="7"/>
  </w:num>
  <w:num w:numId="14">
    <w:abstractNumId w:val="10"/>
  </w:num>
  <w:num w:numId="15">
    <w:abstractNumId w:val="6"/>
  </w:num>
  <w:num w:numId="16">
    <w:abstractNumId w:val="23"/>
  </w:num>
  <w:num w:numId="17">
    <w:abstractNumId w:val="19"/>
  </w:num>
  <w:num w:numId="18">
    <w:abstractNumId w:val="24"/>
  </w:num>
  <w:num w:numId="19">
    <w:abstractNumId w:val="15"/>
  </w:num>
  <w:num w:numId="20">
    <w:abstractNumId w:val="2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
  </w:num>
  <w:num w:numId="24">
    <w:abstractNumId w:val="14"/>
  </w:num>
  <w:num w:numId="25">
    <w:abstractNumId w:val="17"/>
  </w:num>
  <w:num w:numId="26">
    <w:abstractNumId w:val="7"/>
  </w:num>
  <w:num w:numId="27">
    <w:abstractNumId w:val="10"/>
  </w:num>
  <w:num w:numId="28">
    <w:abstractNumId w:val="2"/>
  </w:num>
  <w:num w:numId="29">
    <w:abstractNumId w:val="1"/>
  </w:num>
  <w:num w:numId="30">
    <w:abstractNumId w:val="0"/>
  </w:num>
  <w:num w:numId="3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
    <w:docVar w:name="dvShortTextFrm" w:val="Case note"/>
    <w:docVar w:name="IsfirstTb" w:val="False"/>
    <w:docVar w:name="IsInTable" w:val="False"/>
    <w:docVar w:name="OOTOTemplate" w:val="OOTO General\Case note.dotm"/>
  </w:docVars>
  <w:rsids>
    <w:rsidRoot w:val="00EC5A69"/>
    <w:rsid w:val="001745C5"/>
    <w:rsid w:val="00B8157C"/>
    <w:rsid w:val="00EC5A69"/>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13"/>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next w:val="Introduction"/>
    <w:link w:val="BodyTextChar"/>
    <w:uiPriority w:val="2"/>
    <w:unhideWhenUsed/>
    <w:rsid w:val="00263B2F"/>
    <w:pPr>
      <w:spacing w:after="120"/>
    </w:pPr>
  </w:style>
  <w:style w:type="character" w:customStyle="1" w:styleId="BodyTextChar">
    <w:name w:val="Body Text Char"/>
    <w:basedOn w:val="DefaultParagraphFont"/>
    <w:link w:val="BodyText"/>
    <w:uiPriority w:val="2"/>
    <w:rsid w:val="00CD5F4F"/>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99"/>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line="300" w:lineRule="atLeast"/>
      <w:ind w:left="2552" w:hanging="2552"/>
    </w:pPr>
    <w:rPr>
      <w:rFonts w:ascii="Calibri" w:hAnsi="Calibri"/>
      <w:color w:val="1E1E1E"/>
      <w:sz w:val="24"/>
    </w:r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B92D10"/>
    <w:pPr>
      <w:spacing w:line="240" w:lineRule="atLeast"/>
    </w:pPr>
    <w:rPr>
      <w:rFonts w:ascii="Calibri" w:hAnsi="Calibri"/>
      <w:sz w:val="24"/>
    </w:rPr>
    <w:tblPr>
      <w:tblInd w:w="284" w:type="dxa"/>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line="300" w:lineRule="atLeast"/>
    </w:pPr>
    <w:rPr>
      <w:rFonts w:ascii="Calibri" w:hAnsi="Calibri"/>
      <w:color w:val="1E1E1E"/>
      <w:sz w:val="24"/>
    </w:r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spacing w:after="160" w:line="300" w:lineRule="atLeast"/>
    </w:pPr>
    <w:rPr>
      <w:rFonts w:ascii="Calibri" w:hAnsi="Calibri"/>
      <w:color w:val="1E1E1E"/>
      <w:sz w:val="24"/>
    </w:r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spacing w:after="160" w:line="300" w:lineRule="atLeast"/>
    </w:pPr>
    <w:rPr>
      <w:rFonts w:ascii="Calibri" w:hAnsi="Calibri"/>
      <w:color w:val="1E1E1E"/>
      <w:sz w:val="24"/>
    </w:r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BlockText">
    <w:name w:val="Block Text"/>
    <w:basedOn w:val="Normal"/>
    <w:uiPriority w:val="99"/>
    <w:semiHidden/>
    <w:unhideWhenUsed/>
    <w:rsid w:val="00BF404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BF4042"/>
    <w:pPr>
      <w:spacing w:after="120" w:line="480" w:lineRule="auto"/>
    </w:pPr>
  </w:style>
  <w:style w:type="character" w:customStyle="1" w:styleId="BodyText2Char">
    <w:name w:val="Body Text 2 Char"/>
    <w:basedOn w:val="DefaultParagraphFont"/>
    <w:link w:val="BodyText2"/>
    <w:uiPriority w:val="99"/>
    <w:semiHidden/>
    <w:rsid w:val="00BF4042"/>
    <w:rPr>
      <w:rFonts w:ascii="Calibri" w:hAnsi="Calibri"/>
      <w:color w:val="1E1E1E"/>
      <w:sz w:val="24"/>
    </w:rPr>
  </w:style>
  <w:style w:type="paragraph" w:styleId="BodyText3">
    <w:name w:val="Body Text 3"/>
    <w:basedOn w:val="Normal"/>
    <w:link w:val="BodyText3Char"/>
    <w:uiPriority w:val="99"/>
    <w:semiHidden/>
    <w:unhideWhenUsed/>
    <w:rsid w:val="00BF4042"/>
    <w:pPr>
      <w:spacing w:after="120"/>
    </w:pPr>
    <w:rPr>
      <w:sz w:val="16"/>
      <w:szCs w:val="16"/>
    </w:rPr>
  </w:style>
  <w:style w:type="character" w:customStyle="1" w:styleId="BodyText3Char">
    <w:name w:val="Body Text 3 Char"/>
    <w:basedOn w:val="DefaultParagraphFont"/>
    <w:link w:val="BodyText3"/>
    <w:uiPriority w:val="99"/>
    <w:semiHidden/>
    <w:rsid w:val="00BF4042"/>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BF4042"/>
    <w:pPr>
      <w:spacing w:after="160" w:line="300" w:lineRule="atLeast"/>
      <w:ind w:firstLine="360"/>
    </w:pPr>
    <w:rPr>
      <w:rFonts w:ascii="Calibri" w:hAnsi="Calibri"/>
      <w:color w:val="1E1E1E"/>
      <w:sz w:val="24"/>
    </w:rPr>
  </w:style>
  <w:style w:type="character" w:customStyle="1" w:styleId="BodyTextFirstIndentChar">
    <w:name w:val="Body Text First Indent Char"/>
    <w:basedOn w:val="BodyTextChar"/>
    <w:link w:val="BodyTextFirstIndent"/>
    <w:uiPriority w:val="99"/>
    <w:semiHidden/>
    <w:rsid w:val="00BF4042"/>
    <w:rPr>
      <w:rFonts w:ascii="Calibri" w:hAnsi="Calibri"/>
      <w:color w:val="1E1E1E"/>
      <w:sz w:val="24"/>
    </w:rPr>
  </w:style>
  <w:style w:type="paragraph" w:styleId="BodyTextIndent">
    <w:name w:val="Body Text Indent"/>
    <w:basedOn w:val="Normal"/>
    <w:link w:val="BodyTextIndentChar"/>
    <w:uiPriority w:val="99"/>
    <w:semiHidden/>
    <w:unhideWhenUsed/>
    <w:rsid w:val="00BF4042"/>
    <w:pPr>
      <w:spacing w:after="120"/>
      <w:ind w:left="283"/>
    </w:pPr>
  </w:style>
  <w:style w:type="character" w:customStyle="1" w:styleId="BodyTextIndentChar">
    <w:name w:val="Body Text Indent Char"/>
    <w:basedOn w:val="DefaultParagraphFont"/>
    <w:link w:val="BodyTextIndent"/>
    <w:uiPriority w:val="99"/>
    <w:semiHidden/>
    <w:rsid w:val="00BF4042"/>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BF404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BF4042"/>
    <w:rPr>
      <w:rFonts w:ascii="Calibri" w:hAnsi="Calibri"/>
      <w:color w:val="1E1E1E"/>
      <w:sz w:val="24"/>
    </w:rPr>
  </w:style>
  <w:style w:type="paragraph" w:styleId="BodyTextIndent2">
    <w:name w:val="Body Text Indent 2"/>
    <w:basedOn w:val="Normal"/>
    <w:link w:val="BodyTextIndent2Char"/>
    <w:uiPriority w:val="99"/>
    <w:semiHidden/>
    <w:unhideWhenUsed/>
    <w:rsid w:val="00BF4042"/>
    <w:pPr>
      <w:spacing w:after="120" w:line="480" w:lineRule="auto"/>
      <w:ind w:left="283"/>
    </w:pPr>
  </w:style>
  <w:style w:type="character" w:customStyle="1" w:styleId="BodyTextIndent2Char">
    <w:name w:val="Body Text Indent 2 Char"/>
    <w:basedOn w:val="DefaultParagraphFont"/>
    <w:link w:val="BodyTextIndent2"/>
    <w:uiPriority w:val="99"/>
    <w:semiHidden/>
    <w:rsid w:val="00BF4042"/>
    <w:rPr>
      <w:rFonts w:ascii="Calibri" w:hAnsi="Calibri"/>
      <w:color w:val="1E1E1E"/>
      <w:sz w:val="24"/>
    </w:rPr>
  </w:style>
  <w:style w:type="paragraph" w:styleId="BodyTextIndent3">
    <w:name w:val="Body Text Indent 3"/>
    <w:basedOn w:val="Normal"/>
    <w:link w:val="BodyTextIndent3Char"/>
    <w:uiPriority w:val="99"/>
    <w:semiHidden/>
    <w:unhideWhenUsed/>
    <w:rsid w:val="00BF40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4042"/>
    <w:rPr>
      <w:rFonts w:ascii="Calibri" w:hAnsi="Calibri"/>
      <w:color w:val="1E1E1E"/>
      <w:sz w:val="16"/>
      <w:szCs w:val="16"/>
    </w:rPr>
  </w:style>
  <w:style w:type="character" w:styleId="BookTitle">
    <w:name w:val="Book Title"/>
    <w:basedOn w:val="DefaultParagraphFont"/>
    <w:uiPriority w:val="33"/>
    <w:semiHidden/>
    <w:rsid w:val="00BF4042"/>
    <w:rPr>
      <w:b/>
      <w:bCs/>
      <w:smallCaps/>
      <w:spacing w:val="5"/>
    </w:rPr>
  </w:style>
  <w:style w:type="paragraph" w:styleId="Closing">
    <w:name w:val="Closing"/>
    <w:basedOn w:val="Normal"/>
    <w:link w:val="ClosingChar"/>
    <w:uiPriority w:val="99"/>
    <w:semiHidden/>
    <w:unhideWhenUsed/>
    <w:rsid w:val="00BF4042"/>
    <w:pPr>
      <w:spacing w:after="0" w:line="240" w:lineRule="auto"/>
      <w:ind w:left="4252"/>
    </w:pPr>
  </w:style>
  <w:style w:type="character" w:customStyle="1" w:styleId="ClosingChar">
    <w:name w:val="Closing Char"/>
    <w:basedOn w:val="DefaultParagraphFont"/>
    <w:link w:val="Closing"/>
    <w:uiPriority w:val="99"/>
    <w:semiHidden/>
    <w:rsid w:val="00BF4042"/>
    <w:rPr>
      <w:rFonts w:ascii="Calibri" w:hAnsi="Calibri"/>
      <w:color w:val="1E1E1E"/>
      <w:sz w:val="24"/>
    </w:rPr>
  </w:style>
  <w:style w:type="table" w:customStyle="1" w:styleId="ColorfulGrid1">
    <w:name w:val="Colorful Grid1"/>
    <w:basedOn w:val="TableNormal"/>
    <w:uiPriority w:val="73"/>
    <w:rsid w:val="00BF40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F40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F40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F40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F40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F40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F40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BF40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F404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F404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F404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F404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F404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F404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BF404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F404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F404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F404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F404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F404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F404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BF40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F404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F404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F404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F404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F404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F404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BF40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4042"/>
    <w:rPr>
      <w:rFonts w:ascii="Tahoma" w:hAnsi="Tahoma" w:cs="Tahoma"/>
      <w:color w:val="1E1E1E"/>
      <w:sz w:val="16"/>
      <w:szCs w:val="16"/>
    </w:rPr>
  </w:style>
  <w:style w:type="character" w:styleId="HTMLAcronym">
    <w:name w:val="HTML Acronym"/>
    <w:basedOn w:val="DefaultParagraphFont"/>
    <w:uiPriority w:val="99"/>
    <w:semiHidden/>
    <w:unhideWhenUsed/>
    <w:rsid w:val="00BF4042"/>
  </w:style>
  <w:style w:type="character" w:styleId="HTMLCite">
    <w:name w:val="HTML Cite"/>
    <w:basedOn w:val="DefaultParagraphFont"/>
    <w:uiPriority w:val="99"/>
    <w:semiHidden/>
    <w:unhideWhenUsed/>
    <w:rsid w:val="00BF4042"/>
    <w:rPr>
      <w:i/>
      <w:iCs/>
    </w:rPr>
  </w:style>
  <w:style w:type="character" w:styleId="HTMLCode">
    <w:name w:val="HTML Code"/>
    <w:basedOn w:val="DefaultParagraphFont"/>
    <w:uiPriority w:val="99"/>
    <w:semiHidden/>
    <w:unhideWhenUsed/>
    <w:rsid w:val="00BF4042"/>
    <w:rPr>
      <w:rFonts w:ascii="Consolas" w:hAnsi="Consolas" w:cs="Consolas"/>
      <w:sz w:val="20"/>
      <w:szCs w:val="20"/>
    </w:rPr>
  </w:style>
  <w:style w:type="character" w:styleId="HTMLDefinition">
    <w:name w:val="HTML Definition"/>
    <w:basedOn w:val="DefaultParagraphFont"/>
    <w:uiPriority w:val="99"/>
    <w:semiHidden/>
    <w:unhideWhenUsed/>
    <w:rsid w:val="00BF4042"/>
    <w:rPr>
      <w:i/>
      <w:iCs/>
    </w:rPr>
  </w:style>
  <w:style w:type="character" w:styleId="HTMLKeyboard">
    <w:name w:val="HTML Keyboard"/>
    <w:basedOn w:val="DefaultParagraphFont"/>
    <w:uiPriority w:val="99"/>
    <w:semiHidden/>
    <w:unhideWhenUsed/>
    <w:rsid w:val="00BF4042"/>
    <w:rPr>
      <w:rFonts w:ascii="Consolas" w:hAnsi="Consolas" w:cs="Consolas"/>
      <w:sz w:val="20"/>
      <w:szCs w:val="20"/>
    </w:rPr>
  </w:style>
  <w:style w:type="character" w:styleId="HTMLSample">
    <w:name w:val="HTML Sample"/>
    <w:basedOn w:val="DefaultParagraphFont"/>
    <w:uiPriority w:val="99"/>
    <w:semiHidden/>
    <w:unhideWhenUsed/>
    <w:rsid w:val="00BF4042"/>
    <w:rPr>
      <w:rFonts w:ascii="Consolas" w:hAnsi="Consolas" w:cs="Consolas"/>
      <w:sz w:val="24"/>
      <w:szCs w:val="24"/>
    </w:rPr>
  </w:style>
  <w:style w:type="character" w:styleId="HTMLTypewriter">
    <w:name w:val="HTML Typewriter"/>
    <w:basedOn w:val="DefaultParagraphFont"/>
    <w:uiPriority w:val="99"/>
    <w:semiHidden/>
    <w:unhideWhenUsed/>
    <w:rsid w:val="00BF4042"/>
    <w:rPr>
      <w:rFonts w:ascii="Consolas" w:hAnsi="Consolas" w:cs="Consolas"/>
      <w:sz w:val="20"/>
      <w:szCs w:val="20"/>
    </w:rPr>
  </w:style>
  <w:style w:type="character" w:styleId="HTMLVariable">
    <w:name w:val="HTML Variable"/>
    <w:basedOn w:val="DefaultParagraphFont"/>
    <w:uiPriority w:val="99"/>
    <w:semiHidden/>
    <w:unhideWhenUsed/>
    <w:rsid w:val="00BF4042"/>
    <w:rPr>
      <w:i/>
      <w:iCs/>
    </w:rPr>
  </w:style>
  <w:style w:type="character" w:styleId="IntenseEmphasis">
    <w:name w:val="Intense Emphasis"/>
    <w:basedOn w:val="DefaultParagraphFont"/>
    <w:uiPriority w:val="21"/>
    <w:semiHidden/>
    <w:rsid w:val="00BF4042"/>
    <w:rPr>
      <w:b/>
      <w:bCs/>
      <w:i/>
      <w:iCs/>
      <w:color w:val="4F81BD" w:themeColor="accent1"/>
    </w:rPr>
  </w:style>
  <w:style w:type="paragraph" w:styleId="IntenseQuote">
    <w:name w:val="Intense Quote"/>
    <w:basedOn w:val="Normal"/>
    <w:next w:val="Normal"/>
    <w:link w:val="IntenseQuoteChar"/>
    <w:uiPriority w:val="30"/>
    <w:semiHidden/>
    <w:rsid w:val="00BF404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F4042"/>
    <w:rPr>
      <w:rFonts w:ascii="Calibri" w:hAnsi="Calibri"/>
      <w:b/>
      <w:bCs/>
      <w:i/>
      <w:iCs/>
      <w:color w:val="4F81BD" w:themeColor="accent1"/>
      <w:sz w:val="24"/>
    </w:rPr>
  </w:style>
  <w:style w:type="character" w:styleId="IntenseReference">
    <w:name w:val="Intense Reference"/>
    <w:basedOn w:val="DefaultParagraphFont"/>
    <w:uiPriority w:val="32"/>
    <w:semiHidden/>
    <w:rsid w:val="00BF4042"/>
    <w:rPr>
      <w:b/>
      <w:bCs/>
      <w:smallCaps/>
      <w:color w:val="C0504D" w:themeColor="accent2"/>
      <w:spacing w:val="5"/>
      <w:u w:val="single"/>
    </w:rPr>
  </w:style>
  <w:style w:type="table" w:customStyle="1" w:styleId="LightGrid1">
    <w:name w:val="Light Grid1"/>
    <w:basedOn w:val="TableNormal"/>
    <w:uiPriority w:val="62"/>
    <w:rsid w:val="00BF40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BF40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F40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F404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F40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F404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F404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BF40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F40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F40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F404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F40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F404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F404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BF40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F40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F404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F40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F404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F40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F404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BF4042"/>
  </w:style>
  <w:style w:type="paragraph" w:styleId="List">
    <w:name w:val="List"/>
    <w:basedOn w:val="Normal"/>
    <w:uiPriority w:val="99"/>
    <w:semiHidden/>
    <w:unhideWhenUsed/>
    <w:rsid w:val="00BF4042"/>
    <w:pPr>
      <w:ind w:left="283" w:hanging="283"/>
      <w:contextualSpacing/>
    </w:pPr>
  </w:style>
  <w:style w:type="paragraph" w:styleId="List2">
    <w:name w:val="List 2"/>
    <w:basedOn w:val="Normal"/>
    <w:uiPriority w:val="99"/>
    <w:semiHidden/>
    <w:unhideWhenUsed/>
    <w:rsid w:val="00BF4042"/>
    <w:pPr>
      <w:ind w:left="566" w:hanging="283"/>
      <w:contextualSpacing/>
    </w:pPr>
  </w:style>
  <w:style w:type="paragraph" w:styleId="List3">
    <w:name w:val="List 3"/>
    <w:basedOn w:val="Normal"/>
    <w:uiPriority w:val="99"/>
    <w:semiHidden/>
    <w:unhideWhenUsed/>
    <w:rsid w:val="00BF4042"/>
    <w:pPr>
      <w:ind w:left="849" w:hanging="283"/>
      <w:contextualSpacing/>
    </w:pPr>
  </w:style>
  <w:style w:type="paragraph" w:styleId="List4">
    <w:name w:val="List 4"/>
    <w:basedOn w:val="Normal"/>
    <w:uiPriority w:val="99"/>
    <w:semiHidden/>
    <w:unhideWhenUsed/>
    <w:rsid w:val="00BF4042"/>
    <w:pPr>
      <w:ind w:left="1132" w:hanging="283"/>
      <w:contextualSpacing/>
    </w:pPr>
  </w:style>
  <w:style w:type="paragraph" w:styleId="List5">
    <w:name w:val="List 5"/>
    <w:basedOn w:val="Normal"/>
    <w:uiPriority w:val="99"/>
    <w:semiHidden/>
    <w:unhideWhenUsed/>
    <w:rsid w:val="00BF4042"/>
    <w:pPr>
      <w:ind w:left="1415" w:hanging="283"/>
      <w:contextualSpacing/>
    </w:pPr>
  </w:style>
  <w:style w:type="paragraph" w:styleId="ListBullet5">
    <w:name w:val="List Bullet 5"/>
    <w:basedOn w:val="Normal"/>
    <w:uiPriority w:val="99"/>
    <w:semiHidden/>
    <w:rsid w:val="00BF4042"/>
    <w:pPr>
      <w:numPr>
        <w:numId w:val="28"/>
      </w:numPr>
      <w:contextualSpacing/>
    </w:pPr>
  </w:style>
  <w:style w:type="paragraph" w:styleId="ListNumber4">
    <w:name w:val="List Number 4"/>
    <w:basedOn w:val="Normal"/>
    <w:uiPriority w:val="99"/>
    <w:semiHidden/>
    <w:unhideWhenUsed/>
    <w:rsid w:val="00BF4042"/>
    <w:pPr>
      <w:numPr>
        <w:numId w:val="29"/>
      </w:numPr>
      <w:contextualSpacing/>
    </w:pPr>
  </w:style>
  <w:style w:type="paragraph" w:styleId="ListNumber5">
    <w:name w:val="List Number 5"/>
    <w:basedOn w:val="Normal"/>
    <w:uiPriority w:val="99"/>
    <w:semiHidden/>
    <w:rsid w:val="00BF4042"/>
    <w:pPr>
      <w:numPr>
        <w:numId w:val="30"/>
      </w:numPr>
      <w:contextualSpacing/>
    </w:pPr>
  </w:style>
  <w:style w:type="paragraph" w:styleId="ListParagraph">
    <w:name w:val="List Paragraph"/>
    <w:basedOn w:val="Normal"/>
    <w:uiPriority w:val="34"/>
    <w:semiHidden/>
    <w:qFormat/>
    <w:rsid w:val="00BF4042"/>
    <w:pPr>
      <w:ind w:left="720"/>
      <w:contextualSpacing/>
    </w:pPr>
  </w:style>
  <w:style w:type="paragraph" w:styleId="MacroText">
    <w:name w:val="macro"/>
    <w:link w:val="MacroTextChar"/>
    <w:uiPriority w:val="99"/>
    <w:semiHidden/>
    <w:unhideWhenUsed/>
    <w:rsid w:val="00BF4042"/>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BF4042"/>
    <w:rPr>
      <w:rFonts w:ascii="Consolas" w:hAnsi="Consolas" w:cs="Consolas"/>
      <w:color w:val="1E1E1E"/>
      <w:sz w:val="20"/>
      <w:szCs w:val="20"/>
    </w:rPr>
  </w:style>
  <w:style w:type="table" w:customStyle="1" w:styleId="MediumGrid11">
    <w:name w:val="Medium Grid 11"/>
    <w:basedOn w:val="TableNormal"/>
    <w:uiPriority w:val="67"/>
    <w:rsid w:val="00BF40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F40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F40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F404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F404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F404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F404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BF40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F40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F40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F40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F40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F40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F40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BF40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BF404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F404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F404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F404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F404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404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F40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BF40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F40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F40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404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404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404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404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F40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F40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40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40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40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F40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F40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F40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042"/>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BF4042"/>
    <w:pPr>
      <w:spacing w:after="0" w:line="240" w:lineRule="auto"/>
    </w:pPr>
    <w:rPr>
      <w:rFonts w:ascii="Calibri" w:hAnsi="Calibri"/>
      <w:color w:val="1E1E1E"/>
      <w:sz w:val="24"/>
    </w:rPr>
  </w:style>
  <w:style w:type="paragraph" w:styleId="NormalIndent">
    <w:name w:val="Normal Indent"/>
    <w:basedOn w:val="Normal"/>
    <w:uiPriority w:val="99"/>
    <w:semiHidden/>
    <w:unhideWhenUsed/>
    <w:rsid w:val="00BF4042"/>
    <w:pPr>
      <w:ind w:left="720"/>
    </w:pPr>
  </w:style>
  <w:style w:type="paragraph" w:customStyle="1" w:styleId="NoteHeading1">
    <w:name w:val="Note Heading1"/>
    <w:basedOn w:val="Normal"/>
    <w:next w:val="Normal"/>
    <w:link w:val="NoteHeadingChar"/>
    <w:uiPriority w:val="99"/>
    <w:semiHidden/>
    <w:unhideWhenUsed/>
    <w:rsid w:val="00BF4042"/>
    <w:pPr>
      <w:spacing w:after="0" w:line="240" w:lineRule="auto"/>
    </w:pPr>
  </w:style>
  <w:style w:type="character" w:customStyle="1" w:styleId="NoteHeadingChar">
    <w:name w:val="Note Heading Char"/>
    <w:basedOn w:val="DefaultParagraphFont"/>
    <w:link w:val="NoteHeading1"/>
    <w:uiPriority w:val="99"/>
    <w:semiHidden/>
    <w:rsid w:val="00BF4042"/>
    <w:rPr>
      <w:rFonts w:ascii="Calibri" w:hAnsi="Calibri"/>
      <w:color w:val="1E1E1E"/>
      <w:sz w:val="24"/>
    </w:rPr>
  </w:style>
  <w:style w:type="character" w:styleId="PlaceholderText">
    <w:name w:val="Placeholder Text"/>
    <w:basedOn w:val="DefaultParagraphFont"/>
    <w:uiPriority w:val="99"/>
    <w:semiHidden/>
    <w:rsid w:val="00BF4042"/>
    <w:rPr>
      <w:color w:val="808080"/>
    </w:rPr>
  </w:style>
  <w:style w:type="paragraph" w:styleId="PlainText">
    <w:name w:val="Plain Text"/>
    <w:basedOn w:val="Normal"/>
    <w:link w:val="PlainTextChar"/>
    <w:uiPriority w:val="99"/>
    <w:semiHidden/>
    <w:unhideWhenUsed/>
    <w:rsid w:val="00BF404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F4042"/>
    <w:rPr>
      <w:rFonts w:ascii="Consolas" w:hAnsi="Consolas" w:cs="Consolas"/>
      <w:color w:val="1E1E1E"/>
      <w:sz w:val="21"/>
      <w:szCs w:val="21"/>
    </w:rPr>
  </w:style>
  <w:style w:type="paragraph" w:styleId="Quote">
    <w:name w:val="Quote"/>
    <w:basedOn w:val="Normal"/>
    <w:next w:val="Normal"/>
    <w:link w:val="QuoteChar"/>
    <w:uiPriority w:val="29"/>
    <w:semiHidden/>
    <w:qFormat/>
    <w:rsid w:val="00BF4042"/>
    <w:rPr>
      <w:i/>
      <w:iCs/>
      <w:color w:val="000000" w:themeColor="text1"/>
    </w:rPr>
  </w:style>
  <w:style w:type="character" w:customStyle="1" w:styleId="QuoteChar">
    <w:name w:val="Quote Char"/>
    <w:basedOn w:val="DefaultParagraphFont"/>
    <w:link w:val="Quote"/>
    <w:uiPriority w:val="29"/>
    <w:semiHidden/>
    <w:rsid w:val="00BF4042"/>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BF4042"/>
  </w:style>
  <w:style w:type="character" w:customStyle="1" w:styleId="SalutationChar">
    <w:name w:val="Salutation Char"/>
    <w:basedOn w:val="DefaultParagraphFont"/>
    <w:link w:val="Salutation"/>
    <w:uiPriority w:val="99"/>
    <w:semiHidden/>
    <w:rsid w:val="00BF4042"/>
    <w:rPr>
      <w:rFonts w:ascii="Calibri" w:hAnsi="Calibri"/>
      <w:color w:val="1E1E1E"/>
      <w:sz w:val="24"/>
    </w:rPr>
  </w:style>
  <w:style w:type="paragraph" w:styleId="Signature">
    <w:name w:val="Signature"/>
    <w:basedOn w:val="Normal"/>
    <w:link w:val="SignatureChar"/>
    <w:uiPriority w:val="99"/>
    <w:semiHidden/>
    <w:unhideWhenUsed/>
    <w:rsid w:val="00BF4042"/>
    <w:pPr>
      <w:spacing w:after="0" w:line="240" w:lineRule="auto"/>
      <w:ind w:left="4252"/>
    </w:pPr>
  </w:style>
  <w:style w:type="character" w:customStyle="1" w:styleId="SignatureChar">
    <w:name w:val="Signature Char"/>
    <w:basedOn w:val="DefaultParagraphFont"/>
    <w:link w:val="Signature"/>
    <w:uiPriority w:val="99"/>
    <w:semiHidden/>
    <w:rsid w:val="00BF4042"/>
    <w:rPr>
      <w:rFonts w:ascii="Calibri" w:hAnsi="Calibri"/>
      <w:color w:val="1E1E1E"/>
      <w:sz w:val="24"/>
    </w:rPr>
  </w:style>
  <w:style w:type="character" w:styleId="Strong">
    <w:name w:val="Strong"/>
    <w:basedOn w:val="DefaultParagraphFont"/>
    <w:uiPriority w:val="22"/>
    <w:semiHidden/>
    <w:qFormat/>
    <w:rsid w:val="00BF4042"/>
    <w:rPr>
      <w:b/>
      <w:bCs/>
    </w:rPr>
  </w:style>
  <w:style w:type="paragraph" w:styleId="Subtitle">
    <w:name w:val="Subtitle"/>
    <w:basedOn w:val="Normal"/>
    <w:next w:val="Normal"/>
    <w:link w:val="SubtitleChar"/>
    <w:uiPriority w:val="11"/>
    <w:semiHidden/>
    <w:qFormat/>
    <w:rsid w:val="00BF404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semiHidden/>
    <w:rsid w:val="00BF404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rsid w:val="00BF4042"/>
    <w:rPr>
      <w:i/>
      <w:iCs/>
      <w:color w:val="808080" w:themeColor="text1" w:themeTint="7F"/>
    </w:rPr>
  </w:style>
  <w:style w:type="character" w:styleId="SubtleReference">
    <w:name w:val="Subtle Reference"/>
    <w:basedOn w:val="DefaultParagraphFont"/>
    <w:uiPriority w:val="31"/>
    <w:semiHidden/>
    <w:rsid w:val="00BF4042"/>
    <w:rPr>
      <w:smallCaps/>
      <w:color w:val="C0504D" w:themeColor="accent2"/>
      <w:u w:val="single"/>
    </w:rPr>
  </w:style>
  <w:style w:type="table" w:styleId="Table3Deffects1">
    <w:name w:val="Table 3D effects 1"/>
    <w:basedOn w:val="TableNormal"/>
    <w:uiPriority w:val="99"/>
    <w:semiHidden/>
    <w:unhideWhenUsed/>
    <w:rsid w:val="00BF4042"/>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F4042"/>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F4042"/>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F4042"/>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F4042"/>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F4042"/>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F4042"/>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F4042"/>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F4042"/>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F4042"/>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F4042"/>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F4042"/>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F4042"/>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F4042"/>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4042"/>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F4042"/>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F4042"/>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F4042"/>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F4042"/>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F4042"/>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F4042"/>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F4042"/>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F4042"/>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F4042"/>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F4042"/>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F4042"/>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F4042"/>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F4042"/>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F4042"/>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F4042"/>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F4042"/>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F4042"/>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F4042"/>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F4042"/>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F4042"/>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F4042"/>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F4042"/>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F4042"/>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F4042"/>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F4042"/>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F4042"/>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F4042"/>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F4042"/>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olorfulGrid">
    <w:name w:val="Colorful Grid"/>
    <w:basedOn w:val="TableNormal"/>
    <w:uiPriority w:val="73"/>
    <w:rsid w:val="008F3A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8F3A5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8F3A5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8F3A5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8F3A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8F3A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8F3A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5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8F3A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F3A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8F3A5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5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8F3A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5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2022-01-25T20:06:00Z</dcterms:created>
  <dcterms:modified xsi:type="dcterms:W3CDTF">2022-01-25T20:06:00Z</dcterms:modified>
</cp:coreProperties>
</file>