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0F289A"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7F5112">
        <w:trPr>
          <w:trHeight w:hRule="exact" w:val="3172"/>
        </w:trPr>
        <w:tc>
          <w:tcPr>
            <w:tcW w:w="9299" w:type="dxa"/>
            <w:shd w:val="clear" w:color="auto" w:fill="auto"/>
            <w:tcMar>
              <w:top w:w="794" w:type="dxa"/>
            </w:tcMar>
            <w:vAlign w:val="bottom"/>
          </w:tcPr>
          <w:p w:rsidR="00B841FB" w:rsidRPr="000E36A8" w:rsidRDefault="00945FCD" w:rsidP="00987ABA">
            <w:pPr>
              <w:pStyle w:val="Title"/>
            </w:pPr>
            <w:bookmarkStart w:id="1" w:name="_GoBack"/>
            <w:r>
              <w:t>Earthquake Commission</w:t>
            </w:r>
            <w:r w:rsidR="001C370F">
              <w:t>’</w:t>
            </w:r>
            <w:r w:rsidR="007F5112">
              <w:t>s interpretation of the Earthquake Commission Act 1993 regarding swimming pool building</w:t>
            </w:r>
            <w:r w:rsidR="00987ABA">
              <w:t xml:space="preserve"> not</w:t>
            </w:r>
            <w:r w:rsidR="007F5112">
              <w:t xml:space="preserve"> </w:t>
            </w:r>
            <w:r w:rsidR="00987ABA">
              <w:t>un</w:t>
            </w:r>
            <w:r w:rsidR="007F5112">
              <w:t>reasonable</w:t>
            </w:r>
            <w:bookmarkEnd w:id="1"/>
            <w:r w:rsidR="007F5112">
              <w:t xml:space="preserve">  </w:t>
            </w:r>
          </w:p>
        </w:tc>
      </w:tr>
      <w:tr w:rsidR="00051017" w:rsidTr="00B841FB">
        <w:trPr>
          <w:trHeight w:hRule="exact" w:val="340"/>
        </w:trPr>
        <w:tc>
          <w:tcPr>
            <w:tcW w:w="9299" w:type="dxa"/>
            <w:shd w:val="clear" w:color="auto" w:fill="auto"/>
            <w:vAlign w:val="bottom"/>
          </w:tcPr>
          <w:p w:rsidR="00B841FB" w:rsidRDefault="000F289A"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945FCD">
              <w:t>Ombudsmen Act 1975</w:t>
            </w:r>
            <w:r w:rsidR="00A5094E">
              <w:t>, Earthquake Commission Act 1993</w:t>
            </w:r>
            <w:r>
              <w:t xml:space="preserve"> </w:t>
            </w:r>
          </w:p>
          <w:p w:rsidR="00B841FB" w:rsidRDefault="00830A8D" w:rsidP="00B841FB">
            <w:pPr>
              <w:pStyle w:val="Heading1-Subnonboldtext"/>
            </w:pPr>
            <w:r w:rsidRPr="00F417FD">
              <w:rPr>
                <w:rStyle w:val="Heading1-Sub"/>
              </w:rPr>
              <w:t>Agency</w:t>
            </w:r>
            <w:r>
              <w:tab/>
            </w:r>
            <w:r w:rsidR="00945FCD">
              <w:t xml:space="preserve">Earthquake Commission </w:t>
            </w:r>
          </w:p>
          <w:p w:rsidR="00B841FB" w:rsidRDefault="00830A8D" w:rsidP="00B841FB">
            <w:pPr>
              <w:pStyle w:val="Heading1-Subnonboldtext"/>
            </w:pPr>
            <w:r w:rsidRPr="00F417FD">
              <w:rPr>
                <w:rStyle w:val="Heading1-Sub"/>
              </w:rPr>
              <w:t>Ombudsman</w:t>
            </w:r>
            <w:r>
              <w:tab/>
            </w:r>
            <w:r w:rsidR="00945FCD">
              <w:t>Chief Ombudsman Peter Boshier</w:t>
            </w:r>
          </w:p>
          <w:p w:rsidR="00B841FB" w:rsidRDefault="00830A8D" w:rsidP="00B841FB">
            <w:pPr>
              <w:pStyle w:val="Heading1-Subnonboldtext"/>
            </w:pPr>
            <w:r w:rsidRPr="00F417FD">
              <w:rPr>
                <w:rStyle w:val="Heading1-Sub"/>
              </w:rPr>
              <w:t>Case number(s)</w:t>
            </w:r>
            <w:r>
              <w:tab/>
            </w:r>
            <w:r w:rsidR="00945FCD">
              <w:t>452713</w:t>
            </w:r>
          </w:p>
          <w:p w:rsidR="00B841FB" w:rsidRPr="00F417FD" w:rsidRDefault="00830A8D" w:rsidP="00A559A7">
            <w:pPr>
              <w:pStyle w:val="Heading1-Subnonboldtext"/>
            </w:pPr>
            <w:r w:rsidRPr="00F417FD">
              <w:rPr>
                <w:rStyle w:val="Heading1-Sub"/>
              </w:rPr>
              <w:t>Date</w:t>
            </w:r>
            <w:r>
              <w:tab/>
            </w:r>
            <w:r w:rsidR="00945FCD">
              <w:t>June 2018</w:t>
            </w:r>
          </w:p>
        </w:tc>
      </w:tr>
    </w:tbl>
    <w:p w:rsidR="001C370F" w:rsidRDefault="001C370F" w:rsidP="00A5094E">
      <w:pPr>
        <w:pStyle w:val="BodyText1"/>
        <w:spacing w:line="240" w:lineRule="auto"/>
        <w:rPr>
          <w:i/>
          <w:iCs/>
        </w:rPr>
      </w:pPr>
    </w:p>
    <w:p w:rsidR="00A5094E" w:rsidRPr="001C370F" w:rsidRDefault="00945FCD" w:rsidP="001C370F">
      <w:pPr>
        <w:pStyle w:val="BodyText"/>
        <w:rPr>
          <w:i/>
        </w:rPr>
      </w:pPr>
      <w:r w:rsidRPr="001C370F">
        <w:rPr>
          <w:i/>
          <w:iCs/>
        </w:rPr>
        <w:t xml:space="preserve">Whether </w:t>
      </w:r>
      <w:r w:rsidR="00A5094E" w:rsidRPr="001C370F">
        <w:rPr>
          <w:i/>
          <w:iCs/>
        </w:rPr>
        <w:t xml:space="preserve">the </w:t>
      </w:r>
      <w:r w:rsidR="00987ABA">
        <w:rPr>
          <w:i/>
          <w:iCs/>
        </w:rPr>
        <w:t xml:space="preserve">Earthquake Commission </w:t>
      </w:r>
      <w:r w:rsidRPr="001C370F">
        <w:rPr>
          <w:i/>
          <w:iCs/>
        </w:rPr>
        <w:t xml:space="preserve"> </w:t>
      </w:r>
      <w:r w:rsidR="00A5094E" w:rsidRPr="001C370F">
        <w:rPr>
          <w:i/>
          <w:iCs/>
        </w:rPr>
        <w:t xml:space="preserve">was </w:t>
      </w:r>
      <w:r w:rsidR="00987ABA">
        <w:rPr>
          <w:i/>
          <w:iCs/>
        </w:rPr>
        <w:t>un</w:t>
      </w:r>
      <w:r w:rsidR="00A5094E" w:rsidRPr="001C370F">
        <w:rPr>
          <w:i/>
          <w:iCs/>
        </w:rPr>
        <w:t xml:space="preserve">reasonable to decline </w:t>
      </w:r>
      <w:r w:rsidR="00987ABA">
        <w:rPr>
          <w:i/>
          <w:iCs/>
        </w:rPr>
        <w:t>compensation</w:t>
      </w:r>
      <w:r w:rsidR="00A5094E" w:rsidRPr="001C370F">
        <w:rPr>
          <w:i/>
          <w:iCs/>
        </w:rPr>
        <w:t xml:space="preserve"> for </w:t>
      </w:r>
      <w:r w:rsidRPr="001C370F">
        <w:rPr>
          <w:i/>
        </w:rPr>
        <w:t xml:space="preserve">damage to the pool house enclosing </w:t>
      </w:r>
      <w:r w:rsidR="00A5094E" w:rsidRPr="001C370F">
        <w:rPr>
          <w:i/>
        </w:rPr>
        <w:t xml:space="preserve">a </w:t>
      </w:r>
      <w:r w:rsidRPr="001C370F">
        <w:rPr>
          <w:i/>
        </w:rPr>
        <w:t xml:space="preserve">swimming pool at </w:t>
      </w:r>
      <w:r w:rsidR="00A5094E" w:rsidRPr="001C370F">
        <w:rPr>
          <w:i/>
        </w:rPr>
        <w:t xml:space="preserve">a Christchurch </w:t>
      </w:r>
      <w:r w:rsidRPr="001C370F">
        <w:rPr>
          <w:i/>
        </w:rPr>
        <w:t>property</w:t>
      </w:r>
      <w:r w:rsidR="001C370F" w:rsidRPr="001C370F">
        <w:rPr>
          <w:i/>
        </w:rPr>
        <w:t>—</w:t>
      </w:r>
      <w:r w:rsidR="00B244C8" w:rsidRPr="001C370F">
        <w:rPr>
          <w:i/>
        </w:rPr>
        <w:t>Ombudsman concluded EQC</w:t>
      </w:r>
      <w:r w:rsidR="001C370F">
        <w:rPr>
          <w:i/>
        </w:rPr>
        <w:t>’</w:t>
      </w:r>
      <w:r w:rsidR="00B244C8" w:rsidRPr="001C370F">
        <w:rPr>
          <w:i/>
        </w:rPr>
        <w:t xml:space="preserve">s decision was </w:t>
      </w:r>
      <w:r w:rsidR="00987ABA">
        <w:rPr>
          <w:i/>
        </w:rPr>
        <w:t>not un</w:t>
      </w:r>
      <w:r w:rsidR="00B244C8" w:rsidRPr="001C370F">
        <w:rPr>
          <w:i/>
        </w:rPr>
        <w:t>reasonable</w:t>
      </w:r>
    </w:p>
    <w:p w:rsidR="00945FCD" w:rsidRDefault="00987ABA" w:rsidP="001C370F">
      <w:pPr>
        <w:pStyle w:val="BodyText"/>
      </w:pPr>
      <w:r>
        <w:t>The Earthquake Commission (EQC)</w:t>
      </w:r>
      <w:r w:rsidR="00945FCD">
        <w:t xml:space="preserve"> </w:t>
      </w:r>
      <w:r w:rsidR="00A5094E">
        <w:t xml:space="preserve">had </w:t>
      </w:r>
      <w:r w:rsidR="00945FCD">
        <w:t xml:space="preserve">determined that damage </w:t>
      </w:r>
      <w:r w:rsidR="00B244C8">
        <w:t xml:space="preserve">to the </w:t>
      </w:r>
      <w:r>
        <w:t xml:space="preserve">complainant’s </w:t>
      </w:r>
      <w:r w:rsidR="00B244C8">
        <w:t xml:space="preserve">pool house </w:t>
      </w:r>
      <w:r>
        <w:t>fell</w:t>
      </w:r>
      <w:r w:rsidR="00945FCD">
        <w:t xml:space="preserve"> outside the scope of cover under the Earthquake Commission Act 1993 (the Act). </w:t>
      </w:r>
      <w:r w:rsidR="00A5094E">
        <w:t xml:space="preserve">The complainant considered this decision was </w:t>
      </w:r>
      <w:r w:rsidR="00945FCD">
        <w:t>unreasonable given that in the first instance, EQC</w:t>
      </w:r>
      <w:r>
        <w:t xml:space="preserve"> had</w:t>
      </w:r>
      <w:r w:rsidR="00945FCD">
        <w:t xml:space="preserve"> accepted that the pool house and surrounds were covered</w:t>
      </w:r>
      <w:r>
        <w:t>,</w:t>
      </w:r>
      <w:r w:rsidR="00945FCD">
        <w:t xml:space="preserve"> and gave approval for repairs to be carried out under the Canterbury Home Repair Programme. </w:t>
      </w:r>
      <w:r>
        <w:t>The complainant made a complaint to the Ombudsman on this basis.</w:t>
      </w:r>
    </w:p>
    <w:p w:rsidR="00945FCD" w:rsidRDefault="00A5094E" w:rsidP="001C370F">
      <w:pPr>
        <w:pStyle w:val="BodyText"/>
      </w:pPr>
      <w:r>
        <w:t xml:space="preserve">During the investigation, it was apparent that </w:t>
      </w:r>
      <w:r w:rsidR="00945FCD">
        <w:t>EQC</w:t>
      </w:r>
      <w:r w:rsidR="00987ABA">
        <w:t xml:space="preserve"> had</w:t>
      </w:r>
      <w:r w:rsidR="00945FCD">
        <w:t xml:space="preserve"> informed </w:t>
      </w:r>
      <w:r>
        <w:t xml:space="preserve">the complainant </w:t>
      </w:r>
      <w:r w:rsidR="00945FCD">
        <w:t xml:space="preserve">that a mistake had been made in the original decision when the pool house was assessed as being covered by the Act, and it no longer had responsibility to carry out the repairs. </w:t>
      </w:r>
      <w:r>
        <w:t xml:space="preserve">The complainant was </w:t>
      </w:r>
      <w:r w:rsidR="00945FCD">
        <w:t xml:space="preserve">advised to talk to </w:t>
      </w:r>
      <w:r w:rsidR="00B244C8">
        <w:t>his</w:t>
      </w:r>
      <w:r w:rsidR="00945FCD">
        <w:t xml:space="preserve"> insurer. </w:t>
      </w:r>
      <w:r w:rsidR="00987ABA">
        <w:t>T</w:t>
      </w:r>
      <w:r w:rsidR="00B244C8">
        <w:t xml:space="preserve">he insurer </w:t>
      </w:r>
      <w:r w:rsidR="00945FCD">
        <w:t>refuted EQC</w:t>
      </w:r>
      <w:r w:rsidR="001C370F">
        <w:t>’</w:t>
      </w:r>
      <w:r w:rsidR="00945FCD">
        <w:t xml:space="preserve">s position, taking the view that </w:t>
      </w:r>
      <w:r w:rsidR="00B244C8">
        <w:t xml:space="preserve">the complainant was </w:t>
      </w:r>
      <w:r w:rsidR="00945FCD">
        <w:t xml:space="preserve">entitled to have the pool house repaired and as </w:t>
      </w:r>
      <w:r w:rsidR="00B244C8">
        <w:t xml:space="preserve">the </w:t>
      </w:r>
      <w:r w:rsidR="00945FCD">
        <w:t xml:space="preserve">claim was under cap, EQC should arrange for this work. </w:t>
      </w:r>
      <w:r w:rsidR="00B244C8">
        <w:t xml:space="preserve">The argument was that as </w:t>
      </w:r>
      <w:r w:rsidR="00945FCD">
        <w:t xml:space="preserve">EQC initially agreed that the damage to the pool house was covered and started work to repair it, it was under an obligation to complete the work. </w:t>
      </w:r>
      <w:r w:rsidR="00B244C8">
        <w:t xml:space="preserve">The complainant believed that </w:t>
      </w:r>
      <w:r w:rsidR="00945FCD">
        <w:t xml:space="preserve">EQC </w:t>
      </w:r>
      <w:r w:rsidR="00B244C8">
        <w:t xml:space="preserve">had a </w:t>
      </w:r>
      <w:r w:rsidR="00945FCD">
        <w:t xml:space="preserve">moral responsibility to do so. </w:t>
      </w:r>
    </w:p>
    <w:p w:rsidR="00945FCD" w:rsidRDefault="00B244C8" w:rsidP="001C370F">
      <w:pPr>
        <w:pStyle w:val="BodyText"/>
      </w:pPr>
      <w:r>
        <w:t>The Chief Ombudsman concluded that a</w:t>
      </w:r>
      <w:r w:rsidR="00945FCD">
        <w:t xml:space="preserve">lthough </w:t>
      </w:r>
      <w:r>
        <w:t xml:space="preserve">the </w:t>
      </w:r>
      <w:r w:rsidR="00945FCD">
        <w:t xml:space="preserve">complaint </w:t>
      </w:r>
      <w:r w:rsidR="00987ABA">
        <w:t>was</w:t>
      </w:r>
      <w:r w:rsidR="00945FCD">
        <w:t xml:space="preserve"> not directed at EQC</w:t>
      </w:r>
      <w:r w:rsidR="001C370F">
        <w:t>’</w:t>
      </w:r>
      <w:r w:rsidR="00945FCD">
        <w:t xml:space="preserve">s interpretation of the Act, it </w:t>
      </w:r>
      <w:r w:rsidR="00987ABA">
        <w:t>was</w:t>
      </w:r>
      <w:r w:rsidR="00945FCD">
        <w:t xml:space="preserve"> apparent that </w:t>
      </w:r>
      <w:r w:rsidR="00987ABA">
        <w:t>was</w:t>
      </w:r>
      <w:r w:rsidR="00945FCD">
        <w:t xml:space="preserve"> central to </w:t>
      </w:r>
      <w:r w:rsidR="00987ABA">
        <w:t>the</w:t>
      </w:r>
      <w:r w:rsidR="00945FCD">
        <w:t xml:space="preserve"> decision on </w:t>
      </w:r>
      <w:r>
        <w:t xml:space="preserve">the </w:t>
      </w:r>
      <w:r w:rsidR="00945FCD">
        <w:t xml:space="preserve">claim for damage to the pool house and surrounds. </w:t>
      </w:r>
      <w:r>
        <w:t xml:space="preserve">The complainant was advised that an Ombudsman </w:t>
      </w:r>
      <w:r>
        <w:lastRenderedPageBreak/>
        <w:t xml:space="preserve">cannot </w:t>
      </w:r>
      <w:r w:rsidR="00945FCD">
        <w:t xml:space="preserve">determine the correct interpretation of the law. Ultimately, that is the role of the Courts. However an Ombudsman is empowered to form a view on whether the decision at issue </w:t>
      </w:r>
      <w:r w:rsidR="001C370F">
        <w:t>‘</w:t>
      </w:r>
      <w:r w:rsidR="00945FCD" w:rsidRPr="006B6802">
        <w:rPr>
          <w:rStyle w:val="Italics"/>
        </w:rPr>
        <w:t>appears</w:t>
      </w:r>
      <w:r w:rsidR="001C370F">
        <w:rPr>
          <w:rStyle w:val="Italics"/>
        </w:rPr>
        <w:t>’</w:t>
      </w:r>
      <w:r w:rsidR="00945FCD">
        <w:t xml:space="preserve"> to be contrary to law. </w:t>
      </w:r>
    </w:p>
    <w:p w:rsidR="00945FCD" w:rsidRDefault="00B244C8" w:rsidP="001C370F">
      <w:pPr>
        <w:pStyle w:val="BodyText"/>
        <w:rPr>
          <w:rStyle w:val="Italics"/>
        </w:rPr>
      </w:pPr>
      <w:r>
        <w:t xml:space="preserve">The Chief Ombudsman </w:t>
      </w:r>
      <w:r w:rsidR="00945FCD">
        <w:t>considered EQC</w:t>
      </w:r>
      <w:r w:rsidR="001C370F">
        <w:t>’</w:t>
      </w:r>
      <w:r w:rsidR="00945FCD">
        <w:t xml:space="preserve">s interpretation of the law </w:t>
      </w:r>
      <w:r w:rsidR="00987ABA">
        <w:t>regarding</w:t>
      </w:r>
      <w:r w:rsidR="00945FCD">
        <w:t xml:space="preserve"> its liability to repair </w:t>
      </w:r>
      <w:r>
        <w:t>the</w:t>
      </w:r>
      <w:r w:rsidR="00945FCD">
        <w:t xml:space="preserve"> pool house</w:t>
      </w:r>
      <w:r>
        <w:t xml:space="preserve"> and concluded that i</w:t>
      </w:r>
      <w:r w:rsidR="00945FCD">
        <w:t xml:space="preserve">t was reasonably open to EQC to interpret the Act in the manner </w:t>
      </w:r>
      <w:r>
        <w:t>it did. The Chief Ombudsman concluded that f</w:t>
      </w:r>
      <w:r w:rsidR="00945FCD">
        <w:t xml:space="preserve">rom </w:t>
      </w:r>
      <w:r>
        <w:t xml:space="preserve">his </w:t>
      </w:r>
      <w:r w:rsidR="00987ABA">
        <w:t>reading of the Act, it seemed</w:t>
      </w:r>
      <w:r w:rsidR="00945FCD">
        <w:t xml:space="preserve"> that the default position </w:t>
      </w:r>
      <w:r w:rsidR="00987ABA">
        <w:t>was</w:t>
      </w:r>
      <w:r w:rsidR="00945FCD">
        <w:t xml:space="preserve"> that swimming pools are not covered, </w:t>
      </w:r>
      <w:r w:rsidR="00987ABA">
        <w:t>with</w:t>
      </w:r>
      <w:r w:rsidR="00945FCD">
        <w:t xml:space="preserve"> an exception for a swimming pool that </w:t>
      </w:r>
      <w:r w:rsidR="001C370F">
        <w:t>‘</w:t>
      </w:r>
      <w:r w:rsidR="00945FCD" w:rsidRPr="007D7C43">
        <w:rPr>
          <w:rStyle w:val="Italics"/>
        </w:rPr>
        <w:t>constitutes an integral part of, and that is within, a residential building.</w:t>
      </w:r>
      <w:r w:rsidR="001C370F">
        <w:rPr>
          <w:rStyle w:val="Italics"/>
        </w:rPr>
        <w:t>’</w:t>
      </w:r>
      <w:r w:rsidR="00945FCD" w:rsidRPr="007D7C43">
        <w:rPr>
          <w:rStyle w:val="Italics"/>
        </w:rPr>
        <w:t xml:space="preserve"> </w:t>
      </w:r>
    </w:p>
    <w:p w:rsidR="00945FCD" w:rsidRDefault="00945FCD" w:rsidP="001C370F">
      <w:pPr>
        <w:pStyle w:val="BodyText"/>
      </w:pPr>
      <w:r>
        <w:t xml:space="preserve">While the definition of residential building </w:t>
      </w:r>
      <w:r w:rsidR="00987ABA">
        <w:t>had</w:t>
      </w:r>
      <w:r>
        <w:t xml:space="preserve"> an extended meaning </w:t>
      </w:r>
      <w:r w:rsidR="00987ABA">
        <w:t xml:space="preserve">including structures </w:t>
      </w:r>
      <w:r w:rsidR="001C370F">
        <w:t>‘</w:t>
      </w:r>
      <w:r w:rsidRPr="003256FE">
        <w:rPr>
          <w:rStyle w:val="Italics"/>
        </w:rPr>
        <w:t>appurtenant</w:t>
      </w:r>
      <w:r w:rsidR="001C370F">
        <w:t>’</w:t>
      </w:r>
      <w:r>
        <w:t xml:space="preserve"> to the primary definition of residential building, provided they are used for </w:t>
      </w:r>
      <w:r w:rsidR="001C370F">
        <w:t>‘</w:t>
      </w:r>
      <w:r w:rsidRPr="003256FE">
        <w:rPr>
          <w:rStyle w:val="Italics"/>
        </w:rPr>
        <w:t>the purposes of the household of the occupier of the dwelling</w:t>
      </w:r>
      <w:r w:rsidR="001C370F">
        <w:rPr>
          <w:rStyle w:val="Italics"/>
        </w:rPr>
        <w:t>’</w:t>
      </w:r>
      <w:r>
        <w:rPr>
          <w:rStyle w:val="Italics"/>
        </w:rPr>
        <w:t xml:space="preserve">, </w:t>
      </w:r>
      <w:r>
        <w:t xml:space="preserve">there </w:t>
      </w:r>
      <w:r w:rsidR="00987ABA">
        <w:t>was</w:t>
      </w:r>
      <w:r>
        <w:t xml:space="preserve"> no provision for cover </w:t>
      </w:r>
      <w:r w:rsidR="00987ABA">
        <w:t>of</w:t>
      </w:r>
      <w:r>
        <w:t xml:space="preserve"> a swimming pool dependant on whether or not it has protection from the elements. Had that been the case, this may have allowed property owners with swimming pools to take advantage of the extended meaning of </w:t>
      </w:r>
      <w:r w:rsidR="001C370F">
        <w:t>‘</w:t>
      </w:r>
      <w:r w:rsidRPr="00111C56">
        <w:rPr>
          <w:rStyle w:val="Italics"/>
        </w:rPr>
        <w:t>residential building</w:t>
      </w:r>
      <w:r w:rsidR="001C370F">
        <w:rPr>
          <w:rStyle w:val="Italics"/>
        </w:rPr>
        <w:t>’</w:t>
      </w:r>
      <w:r>
        <w:t xml:space="preserve">. However no such cover </w:t>
      </w:r>
      <w:r w:rsidR="00987ABA">
        <w:t>was provided for, and would have be</w:t>
      </w:r>
      <w:r>
        <w:t xml:space="preserve"> contrary to the apparent purpose of the exclusion in relation to swimming pools</w:t>
      </w:r>
      <w:r w:rsidR="00987ABA">
        <w:t>.</w:t>
      </w:r>
      <w:r>
        <w:t xml:space="preserve"> </w:t>
      </w:r>
      <w:r w:rsidR="00987ABA">
        <w:t>It seemed</w:t>
      </w:r>
      <w:r>
        <w:t xml:space="preserve"> to have been intended not to recognise the leisure activity of swimming as one of the purposes of a household, while recognising that sometimes a pool </w:t>
      </w:r>
      <w:r w:rsidR="00987ABA">
        <w:t>will form</w:t>
      </w:r>
      <w:r>
        <w:t xml:space="preserve"> an integral part of the building containing the dwelling</w:t>
      </w:r>
      <w:r w:rsidR="00987ABA">
        <w:t>,</w:t>
      </w:r>
      <w:r>
        <w:t xml:space="preserve"> </w:t>
      </w:r>
      <w:r w:rsidR="00987ABA">
        <w:t>and</w:t>
      </w:r>
      <w:r>
        <w:t xml:space="preserve"> cannot readily be distinguished from the rest of the building. </w:t>
      </w:r>
    </w:p>
    <w:p w:rsidR="00945FCD" w:rsidRDefault="00945FCD" w:rsidP="001C370F">
      <w:pPr>
        <w:pStyle w:val="BodyText"/>
      </w:pPr>
      <w:r>
        <w:t>It seem</w:t>
      </w:r>
      <w:r w:rsidR="00B244C8">
        <w:t xml:space="preserve">ed to the Chief Ombudsman </w:t>
      </w:r>
      <w:r>
        <w:t xml:space="preserve">that the pool house </w:t>
      </w:r>
      <w:r w:rsidR="00987ABA">
        <w:t>was</w:t>
      </w:r>
      <w:r>
        <w:t xml:space="preserve"> appurtenant to the pool </w:t>
      </w:r>
      <w:r w:rsidR="00987ABA">
        <w:t>and</w:t>
      </w:r>
      <w:r>
        <w:t xml:space="preserve"> excluded from EQC cover, rather than appurten</w:t>
      </w:r>
      <w:r w:rsidR="00987ABA">
        <w:t>ant to the residential building, which was covered</w:t>
      </w:r>
      <w:r>
        <w:t xml:space="preserve">. </w:t>
      </w:r>
    </w:p>
    <w:p w:rsidR="00945FCD" w:rsidRDefault="00987ABA" w:rsidP="001C370F">
      <w:pPr>
        <w:pStyle w:val="BodyText"/>
      </w:pPr>
      <w:r>
        <w:t xml:space="preserve">The </w:t>
      </w:r>
      <w:r w:rsidR="00B244C8">
        <w:t xml:space="preserve">Chief Ombudsman did not </w:t>
      </w:r>
      <w:r w:rsidR="00945FCD">
        <w:t>consider that EQC had a moral obligation to make payment for the repairs or to arrange for them to be carried out. EQC is required to handle claims in accordance with the law and having discovered that an error had been made, it was obliged to amend its decision accordingly. To the extent that EQC made a payment to cover the cost of rectifying the unsatisfactory repairs, it seem</w:t>
      </w:r>
      <w:r w:rsidR="007F5112">
        <w:t>ed</w:t>
      </w:r>
      <w:r w:rsidR="00945FCD">
        <w:t xml:space="preserve"> to </w:t>
      </w:r>
      <w:r w:rsidR="007F5112">
        <w:t xml:space="preserve">the Chief Ombudsman that </w:t>
      </w:r>
      <w:r w:rsidR="00945FCD">
        <w:t xml:space="preserve">EQC met its obligation, moral or otherwise. </w:t>
      </w:r>
      <w:r w:rsidR="007F5112">
        <w:t xml:space="preserve">Overall, the Chief Ombudsman considered that </w:t>
      </w:r>
      <w:r w:rsidR="00945FCD">
        <w:t>EQC ha</w:t>
      </w:r>
      <w:r w:rsidR="007F5112">
        <w:t>d</w:t>
      </w:r>
      <w:r w:rsidR="00945FCD">
        <w:t xml:space="preserve"> not acted unreasonably in this matter. It was reasonably open to EQC to interpret the relevant provisions of the Act in the manner in which it did and on that basis determine that </w:t>
      </w:r>
      <w:r w:rsidR="007F5112">
        <w:t>the complainant</w:t>
      </w:r>
      <w:r w:rsidR="001C370F">
        <w:t>’</w:t>
      </w:r>
      <w:r w:rsidR="007F5112">
        <w:t xml:space="preserve">s </w:t>
      </w:r>
      <w:r w:rsidR="00945FCD">
        <w:t xml:space="preserve">swimming pool and pool house was outside the scope of cover under the Act. </w:t>
      </w:r>
    </w:p>
    <w:p w:rsidR="00B841FB" w:rsidRPr="009A7D32" w:rsidRDefault="001C370F" w:rsidP="00B841FB">
      <w:pPr>
        <w:pStyle w:val="BodyText"/>
      </w:pPr>
      <w:r w:rsidRPr="001C370F">
        <w:rPr>
          <w:i/>
          <w:iCs/>
        </w:rPr>
        <w:t xml:space="preserve">This case note is published under the authority of the </w:t>
      </w:r>
      <w:hyperlink r:id="rId7" w:history="1">
        <w:r w:rsidRPr="001C370F">
          <w:rPr>
            <w:rStyle w:val="Hyperlink"/>
            <w:i/>
            <w:iCs/>
          </w:rPr>
          <w:t>Ombudsmen Rules 1989</w:t>
        </w:r>
      </w:hyperlink>
      <w:r w:rsidRPr="001C370F">
        <w:rPr>
          <w:i/>
          <w:iCs/>
        </w:rPr>
        <w:t>. It sets out an Ombudsman</w:t>
      </w:r>
      <w:r>
        <w:rPr>
          <w:i/>
          <w:iCs/>
        </w:rPr>
        <w:t>’</w:t>
      </w:r>
      <w:r w:rsidRPr="001C370F">
        <w:rPr>
          <w:i/>
          <w:iCs/>
        </w:rPr>
        <w:t>s view on the facts of a particular case. It should not be taken as establishing any legal precedent that would bind an Ombudsman in future.</w:t>
      </w:r>
    </w:p>
    <w:sectPr w:rsidR="00B841FB" w:rsidRPr="009A7D32"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89A" w:rsidRDefault="000F289A">
      <w:pPr>
        <w:spacing w:after="0" w:line="240" w:lineRule="auto"/>
      </w:pPr>
      <w:r>
        <w:separator/>
      </w:r>
    </w:p>
  </w:endnote>
  <w:endnote w:type="continuationSeparator" w:id="0">
    <w:p w:rsidR="000F289A" w:rsidRDefault="000F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1" w:rsidRDefault="004E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0F289A" w:rsidP="00B841FB">
    <w:pPr>
      <w:pStyle w:val="Footerline"/>
    </w:pPr>
  </w:p>
  <w:p w:rsidR="00F200AB" w:rsidRPr="0059155D" w:rsidRDefault="000F289A" w:rsidP="00B841FB">
    <w:pPr>
      <w:pStyle w:val="Footerline"/>
    </w:pPr>
  </w:p>
  <w:p w:rsidR="00F200AB" w:rsidRPr="005533D8" w:rsidRDefault="000F289A" w:rsidP="00B841FB">
    <w:pPr>
      <w:pStyle w:val="Footer"/>
    </w:pPr>
    <w:r>
      <w:fldChar w:fldCharType="begin"/>
    </w:r>
    <w:r>
      <w:instrText xml:space="preserve"> DOCVARIABLE  dvShortText </w:instrText>
    </w:r>
    <w:r>
      <w:fldChar w:fldCharType="separate"/>
    </w:r>
    <w:r w:rsidR="001C370F">
      <w:t>Case note 452713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E5A11">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0F289A" w:rsidP="00B841FB">
    <w:pPr>
      <w:pStyle w:val="Footerline"/>
    </w:pPr>
  </w:p>
  <w:p w:rsidR="00F200AB" w:rsidRPr="0059155D" w:rsidRDefault="000F289A" w:rsidP="00B841FB">
    <w:pPr>
      <w:pStyle w:val="Footerline"/>
    </w:pPr>
  </w:p>
  <w:p w:rsidR="00F200AB" w:rsidRPr="005533D8" w:rsidRDefault="000F289A" w:rsidP="00B841FB">
    <w:pPr>
      <w:pStyle w:val="Footer"/>
    </w:pPr>
    <w:r>
      <w:fldChar w:fldCharType="begin"/>
    </w:r>
    <w:r>
      <w:instrText xml:space="preserve"> DOCVARIABLE  dvShortText </w:instrText>
    </w:r>
    <w:r>
      <w:fldChar w:fldCharType="separate"/>
    </w:r>
    <w:r w:rsidR="001C370F">
      <w:t>Case note 452713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89A" w:rsidRDefault="000F289A">
      <w:pPr>
        <w:spacing w:after="0" w:line="240" w:lineRule="auto"/>
      </w:pPr>
      <w:r>
        <w:separator/>
      </w:r>
    </w:p>
  </w:footnote>
  <w:footnote w:type="continuationSeparator" w:id="0">
    <w:p w:rsidR="000F289A" w:rsidRDefault="000F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1" w:rsidRDefault="004E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0F289A"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452713 |"/>
    <w:docVar w:name="dvShortTextFrm" w:val="Case note 452713"/>
    <w:docVar w:name="IsfirstTb" w:val="False"/>
    <w:docVar w:name="IsInTable" w:val="False"/>
    <w:docVar w:name="OOTOTemplate" w:val="OOTO General\Case note.dotm"/>
  </w:docVars>
  <w:rsids>
    <w:rsidRoot w:val="00051017"/>
    <w:rsid w:val="00051017"/>
    <w:rsid w:val="000C09A6"/>
    <w:rsid w:val="000F289A"/>
    <w:rsid w:val="00152A27"/>
    <w:rsid w:val="001C2D91"/>
    <w:rsid w:val="001C370F"/>
    <w:rsid w:val="004275BC"/>
    <w:rsid w:val="00453B40"/>
    <w:rsid w:val="00485BB3"/>
    <w:rsid w:val="004E5A11"/>
    <w:rsid w:val="00502D89"/>
    <w:rsid w:val="00562870"/>
    <w:rsid w:val="00665FBB"/>
    <w:rsid w:val="007F5112"/>
    <w:rsid w:val="00830A8D"/>
    <w:rsid w:val="0089335A"/>
    <w:rsid w:val="008A6715"/>
    <w:rsid w:val="00945FCD"/>
    <w:rsid w:val="00987ABA"/>
    <w:rsid w:val="009A409A"/>
    <w:rsid w:val="00A5094E"/>
    <w:rsid w:val="00A559A7"/>
    <w:rsid w:val="00B244C8"/>
    <w:rsid w:val="00C94327"/>
    <w:rsid w:val="00D15BFC"/>
    <w:rsid w:val="00DE48AC"/>
    <w:rsid w:val="00E7171A"/>
    <w:rsid w:val="00EB186F"/>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2022-01-21T02:00:00Z</dcterms:created>
  <dcterms:modified xsi:type="dcterms:W3CDTF">2022-01-21T02:00:00Z</dcterms:modified>
</cp:coreProperties>
</file>