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853767"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A64E1E" w:rsidP="004F393F">
            <w:pPr>
              <w:pStyle w:val="Title"/>
            </w:pPr>
            <w:bookmarkStart w:id="1" w:name="_GoBack"/>
            <w:r>
              <w:t>Earthquake Commission</w:t>
            </w:r>
            <w:r w:rsidR="002553E3">
              <w:t xml:space="preserve"> must follow legislation on claim lodgement </w:t>
            </w:r>
            <w:r w:rsidR="00FE7F06">
              <w:t xml:space="preserve">time </w:t>
            </w:r>
            <w:r w:rsidR="002553E3">
              <w:t>but Ombudsman considers law harsh</w:t>
            </w:r>
            <w:bookmarkEnd w:id="1"/>
            <w:r>
              <w:t xml:space="preserve"> </w:t>
            </w:r>
          </w:p>
        </w:tc>
      </w:tr>
      <w:tr w:rsidR="00051017" w:rsidTr="004F393F">
        <w:trPr>
          <w:trHeight w:hRule="exact" w:val="340"/>
        </w:trPr>
        <w:tc>
          <w:tcPr>
            <w:tcW w:w="9441" w:type="dxa"/>
            <w:shd w:val="clear" w:color="auto" w:fill="auto"/>
            <w:vAlign w:val="bottom"/>
          </w:tcPr>
          <w:p w:rsidR="00B841FB" w:rsidRDefault="00853767" w:rsidP="00B841FB"/>
        </w:tc>
      </w:tr>
      <w:tr w:rsidR="00051017" w:rsidTr="004F393F">
        <w:trPr>
          <w:trHeight w:val="2098"/>
        </w:trPr>
        <w:tc>
          <w:tcPr>
            <w:tcW w:w="9441" w:type="dxa"/>
            <w:shd w:val="clear" w:color="auto" w:fill="auto"/>
          </w:tcPr>
          <w:p w:rsidR="00B841FB" w:rsidRPr="009A61CE" w:rsidRDefault="00830A8D" w:rsidP="009A61CE">
            <w:pPr>
              <w:pStyle w:val="Heading1-Subnonboldtext"/>
              <w:rPr>
                <w:b/>
              </w:rPr>
            </w:pPr>
            <w:r w:rsidRPr="00F417FD">
              <w:rPr>
                <w:rStyle w:val="Heading1-Sub"/>
              </w:rPr>
              <w:t>Legislation</w:t>
            </w:r>
            <w:r>
              <w:tab/>
            </w:r>
            <w:r w:rsidR="004F393F">
              <w:t>Ombudsmen Act 1975</w:t>
            </w:r>
            <w:r w:rsidR="002553E3">
              <w:t>, Earthquake Commission Act 1993</w:t>
            </w:r>
            <w:r w:rsidR="004F393F">
              <w:t xml:space="preserve"> </w:t>
            </w:r>
          </w:p>
          <w:p w:rsidR="0089058E" w:rsidRDefault="00830A8D" w:rsidP="00B841FB">
            <w:pPr>
              <w:pStyle w:val="Heading1-Subnonboldtext"/>
            </w:pPr>
            <w:r w:rsidRPr="00F417FD">
              <w:rPr>
                <w:rStyle w:val="Heading1-Sub"/>
              </w:rPr>
              <w:t>Ombudsman</w:t>
            </w:r>
            <w:r>
              <w:tab/>
            </w:r>
            <w:r w:rsidR="00A64E1E">
              <w:t>Peter Boshier</w:t>
            </w:r>
          </w:p>
          <w:p w:rsidR="000054D7" w:rsidRDefault="00830A8D" w:rsidP="000054D7">
            <w:pPr>
              <w:pStyle w:val="Heading1-Subnonboldtext"/>
            </w:pPr>
            <w:r w:rsidRPr="00F417FD">
              <w:rPr>
                <w:rStyle w:val="Heading1-Sub"/>
              </w:rPr>
              <w:t>Case number(s)</w:t>
            </w:r>
            <w:r>
              <w:tab/>
            </w:r>
            <w:r w:rsidR="00A64E1E">
              <w:t>340961 (previously unpublished)</w:t>
            </w:r>
          </w:p>
          <w:p w:rsidR="00B841FB" w:rsidRPr="00F417FD" w:rsidRDefault="00830A8D" w:rsidP="000054D7">
            <w:pPr>
              <w:pStyle w:val="Heading1-Subnonboldtext"/>
            </w:pPr>
            <w:r w:rsidRPr="00F417FD">
              <w:rPr>
                <w:rStyle w:val="Heading1-Sub"/>
              </w:rPr>
              <w:t>Date</w:t>
            </w:r>
            <w:r>
              <w:tab/>
            </w:r>
            <w:r w:rsidR="00A64E1E">
              <w:t>2017</w:t>
            </w:r>
          </w:p>
        </w:tc>
      </w:tr>
    </w:tbl>
    <w:p w:rsidR="00DD3808" w:rsidRDefault="00DD3808" w:rsidP="00F11D67">
      <w:pPr>
        <w:pStyle w:val="BodyText"/>
        <w:rPr>
          <w:lang w:eastAsia="en-NZ"/>
        </w:rPr>
      </w:pPr>
    </w:p>
    <w:p w:rsidR="0089058E" w:rsidRPr="00F11D67" w:rsidRDefault="00A64E1E" w:rsidP="00F11D67">
      <w:pPr>
        <w:pStyle w:val="BodyText"/>
        <w:rPr>
          <w:i/>
        </w:rPr>
      </w:pPr>
      <w:r w:rsidRPr="00F11D67">
        <w:rPr>
          <w:i/>
        </w:rPr>
        <w:t xml:space="preserve">Earthquake Commission </w:t>
      </w:r>
      <w:r w:rsidR="002553E3" w:rsidRPr="00F11D67">
        <w:rPr>
          <w:i/>
        </w:rPr>
        <w:t>(EQC)</w:t>
      </w:r>
      <w:r w:rsidR="0049787D">
        <w:rPr>
          <w:i/>
        </w:rPr>
        <w:t xml:space="preserve"> not</w:t>
      </w:r>
      <w:r w:rsidR="002553E3" w:rsidRPr="00F11D67">
        <w:rPr>
          <w:i/>
        </w:rPr>
        <w:t xml:space="preserve"> </w:t>
      </w:r>
      <w:r w:rsidR="0049787D">
        <w:rPr>
          <w:i/>
        </w:rPr>
        <w:t>un</w:t>
      </w:r>
      <w:r w:rsidR="002553E3" w:rsidRPr="00F11D67">
        <w:rPr>
          <w:i/>
        </w:rPr>
        <w:t>r</w:t>
      </w:r>
      <w:r w:rsidR="0026236E">
        <w:rPr>
          <w:i/>
        </w:rPr>
        <w:t>easonable to decline a claim</w:t>
      </w:r>
      <w:r w:rsidR="002553E3" w:rsidRPr="00F11D67">
        <w:rPr>
          <w:i/>
        </w:rPr>
        <w:t xml:space="preserve"> lodged</w:t>
      </w:r>
      <w:r w:rsidR="0026236E">
        <w:rPr>
          <w:i/>
        </w:rPr>
        <w:t xml:space="preserve"> out</w:t>
      </w:r>
      <w:r w:rsidR="002553E3" w:rsidRPr="00F11D67">
        <w:rPr>
          <w:i/>
        </w:rPr>
        <w:t xml:space="preserve"> of time because this is required under the legislation</w:t>
      </w:r>
      <w:r w:rsidR="00F11D67" w:rsidRPr="00F11D67">
        <w:rPr>
          <w:i/>
        </w:rPr>
        <w:t>—</w:t>
      </w:r>
      <w:r w:rsidR="002553E3" w:rsidRPr="00F11D67">
        <w:rPr>
          <w:i/>
        </w:rPr>
        <w:t>Ombudsman considers the law unreasonably harsh and it should be changed</w:t>
      </w:r>
      <w:r w:rsidR="00F11D67" w:rsidRPr="00F11D67">
        <w:rPr>
          <w:i/>
        </w:rPr>
        <w:t>—</w:t>
      </w:r>
      <w:r w:rsidR="002553E3" w:rsidRPr="00F11D67">
        <w:rPr>
          <w:i/>
        </w:rPr>
        <w:t xml:space="preserve">EQC advised it will look into amending the law </w:t>
      </w:r>
      <w:r w:rsidR="0089058E" w:rsidRPr="00F11D67">
        <w:rPr>
          <w:i/>
        </w:rPr>
        <w:t xml:space="preserve">      </w:t>
      </w:r>
    </w:p>
    <w:p w:rsidR="00725B8A" w:rsidRDefault="0049787D" w:rsidP="00F11D67">
      <w:pPr>
        <w:pStyle w:val="BodyText"/>
        <w:rPr>
          <w:szCs w:val="24"/>
        </w:rPr>
      </w:pPr>
      <w:r>
        <w:rPr>
          <w:szCs w:val="24"/>
        </w:rPr>
        <w:t>This</w:t>
      </w:r>
      <w:r w:rsidR="002553E3">
        <w:rPr>
          <w:szCs w:val="24"/>
        </w:rPr>
        <w:t xml:space="preserve"> complaint </w:t>
      </w:r>
      <w:r w:rsidR="00FE7F06">
        <w:rPr>
          <w:szCs w:val="24"/>
        </w:rPr>
        <w:t>was</w:t>
      </w:r>
      <w:r w:rsidR="002553E3">
        <w:rPr>
          <w:szCs w:val="24"/>
        </w:rPr>
        <w:t xml:space="preserve"> one of several </w:t>
      </w:r>
      <w:r>
        <w:rPr>
          <w:szCs w:val="24"/>
        </w:rPr>
        <w:t xml:space="preserve">made </w:t>
      </w:r>
      <w:r w:rsidR="002553E3">
        <w:rPr>
          <w:szCs w:val="24"/>
        </w:rPr>
        <w:t xml:space="preserve">to </w:t>
      </w:r>
      <w:r>
        <w:rPr>
          <w:szCs w:val="24"/>
        </w:rPr>
        <w:t>the Ombudsman, where</w:t>
      </w:r>
      <w:r w:rsidR="00FE7F06">
        <w:rPr>
          <w:szCs w:val="24"/>
        </w:rPr>
        <w:t xml:space="preserve"> complainants </w:t>
      </w:r>
      <w:r>
        <w:rPr>
          <w:szCs w:val="24"/>
        </w:rPr>
        <w:t>believed</w:t>
      </w:r>
      <w:r w:rsidR="00FE7F06">
        <w:rPr>
          <w:szCs w:val="24"/>
        </w:rPr>
        <w:t xml:space="preserve"> that </w:t>
      </w:r>
      <w:r>
        <w:rPr>
          <w:szCs w:val="24"/>
        </w:rPr>
        <w:t>the Earthquake Commission’s (EQC)</w:t>
      </w:r>
      <w:r w:rsidR="00FE7F06">
        <w:rPr>
          <w:szCs w:val="24"/>
        </w:rPr>
        <w:t xml:space="preserve"> </w:t>
      </w:r>
      <w:r>
        <w:rPr>
          <w:szCs w:val="24"/>
        </w:rPr>
        <w:t xml:space="preserve">decision to </w:t>
      </w:r>
      <w:r w:rsidR="00FE7F06">
        <w:rPr>
          <w:szCs w:val="24"/>
        </w:rPr>
        <w:t xml:space="preserve">decline to accept out of time claims was unreasonable. </w:t>
      </w:r>
      <w:r>
        <w:rPr>
          <w:szCs w:val="24"/>
        </w:rPr>
        <w:t>Successive Ombudsmen had</w:t>
      </w:r>
      <w:r w:rsidR="00A64E1E" w:rsidRPr="00E53802">
        <w:rPr>
          <w:szCs w:val="24"/>
        </w:rPr>
        <w:t xml:space="preserve"> been concerned about the adequacy of th</w:t>
      </w:r>
      <w:r w:rsidR="00FE7F06">
        <w:rPr>
          <w:szCs w:val="24"/>
        </w:rPr>
        <w:t xml:space="preserve">e three-month lodgement </w:t>
      </w:r>
      <w:r w:rsidRPr="00E53802">
        <w:rPr>
          <w:szCs w:val="24"/>
        </w:rPr>
        <w:t>period</w:t>
      </w:r>
      <w:r w:rsidR="00A64E1E" w:rsidRPr="00E53802">
        <w:rPr>
          <w:szCs w:val="24"/>
        </w:rPr>
        <w:t xml:space="preserve"> and </w:t>
      </w:r>
      <w:r>
        <w:rPr>
          <w:szCs w:val="24"/>
        </w:rPr>
        <w:t>had</w:t>
      </w:r>
      <w:r w:rsidR="00A64E1E" w:rsidRPr="00E53802">
        <w:rPr>
          <w:szCs w:val="24"/>
        </w:rPr>
        <w:t xml:space="preserve"> suggested to Parliament through their Annual Reports that </w:t>
      </w:r>
      <w:r w:rsidR="00A64E1E">
        <w:rPr>
          <w:szCs w:val="24"/>
        </w:rPr>
        <w:t xml:space="preserve">it </w:t>
      </w:r>
      <w:r w:rsidR="00A64E1E" w:rsidRPr="00E53802">
        <w:rPr>
          <w:szCs w:val="24"/>
        </w:rPr>
        <w:t>be extended</w:t>
      </w:r>
      <w:r w:rsidR="00A64E1E">
        <w:rPr>
          <w:szCs w:val="24"/>
        </w:rPr>
        <w:t xml:space="preserve"> to </w:t>
      </w:r>
      <w:r>
        <w:rPr>
          <w:szCs w:val="24"/>
        </w:rPr>
        <w:t>some</w:t>
      </w:r>
      <w:r w:rsidR="00A64E1E">
        <w:rPr>
          <w:szCs w:val="24"/>
        </w:rPr>
        <w:t xml:space="preserve"> circumstances </w:t>
      </w:r>
      <w:r w:rsidR="002553E3">
        <w:rPr>
          <w:szCs w:val="24"/>
        </w:rPr>
        <w:t xml:space="preserve">where there is a justifiable delay to lodge the claim. </w:t>
      </w:r>
    </w:p>
    <w:p w:rsidR="00A64E1E" w:rsidRDefault="00725B8A" w:rsidP="00F11D67">
      <w:pPr>
        <w:pStyle w:val="BodyText"/>
      </w:pPr>
      <w:r>
        <w:rPr>
          <w:szCs w:val="24"/>
        </w:rPr>
        <w:t xml:space="preserve">The complainant had lodged the claim </w:t>
      </w:r>
      <w:r w:rsidR="00A64E1E" w:rsidRPr="00BF68F3">
        <w:t xml:space="preserve">only one working day </w:t>
      </w:r>
      <w:r w:rsidR="0049787D">
        <w:t>after</w:t>
      </w:r>
      <w:r w:rsidR="00A64E1E" w:rsidRPr="00BF68F3">
        <w:t xml:space="preserve"> t</w:t>
      </w:r>
      <w:r w:rsidR="00A64E1E">
        <w:t>he required three month period</w:t>
      </w:r>
      <w:r>
        <w:t xml:space="preserve">. The complainant claimed that </w:t>
      </w:r>
      <w:r w:rsidR="00A64E1E" w:rsidRPr="00BF68F3">
        <w:t>EQC</w:t>
      </w:r>
      <w:r>
        <w:t xml:space="preserve"> </w:t>
      </w:r>
      <w:r w:rsidR="00A64E1E" w:rsidRPr="00BF68F3">
        <w:t xml:space="preserve">failed to take into account </w:t>
      </w:r>
      <w:r w:rsidR="0049787D">
        <w:t xml:space="preserve">her </w:t>
      </w:r>
      <w:r w:rsidR="0049787D" w:rsidRPr="00BF68F3">
        <w:t>particular</w:t>
      </w:r>
      <w:r w:rsidR="00A64E1E" w:rsidRPr="00BF68F3">
        <w:t xml:space="preserve"> circumstances at the </w:t>
      </w:r>
      <w:r w:rsidR="0049787D" w:rsidRPr="00BF68F3">
        <w:t>time</w:t>
      </w:r>
      <w:r w:rsidR="0049787D">
        <w:t xml:space="preserve"> (</w:t>
      </w:r>
      <w:r>
        <w:t>recently widowed and suffering from ill health)</w:t>
      </w:r>
      <w:r w:rsidR="00A64E1E">
        <w:t xml:space="preserve">. </w:t>
      </w:r>
    </w:p>
    <w:p w:rsidR="00A64E1E" w:rsidRDefault="0049787D" w:rsidP="00F11D67">
      <w:pPr>
        <w:pStyle w:val="BodyText"/>
      </w:pPr>
      <w:r>
        <w:rPr>
          <w:szCs w:val="24"/>
        </w:rPr>
        <w:t xml:space="preserve">The Ombudsman could not sustain the complaint because </w:t>
      </w:r>
      <w:r w:rsidRPr="00E53802">
        <w:rPr>
          <w:szCs w:val="24"/>
        </w:rPr>
        <w:t xml:space="preserve">EQC </w:t>
      </w:r>
      <w:r>
        <w:rPr>
          <w:szCs w:val="24"/>
        </w:rPr>
        <w:t xml:space="preserve">was </w:t>
      </w:r>
      <w:r w:rsidRPr="00E53802">
        <w:rPr>
          <w:szCs w:val="24"/>
        </w:rPr>
        <w:t>confined to administering claims under the present law.</w:t>
      </w:r>
      <w:r>
        <w:t xml:space="preserve"> </w:t>
      </w:r>
      <w:r w:rsidR="00725B8A">
        <w:t xml:space="preserve">As EQC noted </w:t>
      </w:r>
      <w:r w:rsidR="00FE7F06">
        <w:t xml:space="preserve">in its report to the Ombudsman, </w:t>
      </w:r>
      <w:r>
        <w:t>there wa</w:t>
      </w:r>
      <w:r w:rsidR="00A64E1E" w:rsidRPr="00BF68F3">
        <w:t xml:space="preserve">s no discretion </w:t>
      </w:r>
      <w:r w:rsidR="00A954F8">
        <w:t xml:space="preserve">to allow for a claim to be lodged out of time. </w:t>
      </w:r>
      <w:r>
        <w:t>The Earthquake Commission Act 1993</w:t>
      </w:r>
      <w:r w:rsidR="00A954F8">
        <w:t xml:space="preserve"> </w:t>
      </w:r>
      <w:r>
        <w:t>specified</w:t>
      </w:r>
      <w:r w:rsidR="00A64E1E" w:rsidRPr="00BF68F3">
        <w:t xml:space="preserve"> the time requirements </w:t>
      </w:r>
      <w:r>
        <w:t>for</w:t>
      </w:r>
      <w:r w:rsidR="00A64E1E" w:rsidRPr="00BF68F3">
        <w:t xml:space="preserve"> reporting a claim</w:t>
      </w:r>
      <w:r>
        <w:t xml:space="preserve"> as</w:t>
      </w:r>
      <w:r w:rsidR="00A64E1E" w:rsidRPr="00BF68F3">
        <w:t>:</w:t>
      </w:r>
    </w:p>
    <w:p w:rsidR="00A64E1E" w:rsidRPr="00F11D67" w:rsidRDefault="00A64E1E" w:rsidP="0049787D">
      <w:pPr>
        <w:pStyle w:val="BQLegstyle-1"/>
      </w:pPr>
      <w:r w:rsidRPr="00F11D67">
        <w:t>(1)</w:t>
      </w:r>
      <w:r w:rsidRPr="00F11D67">
        <w:tab/>
      </w:r>
      <w:r w:rsidRPr="00F11D67">
        <w:rPr>
          <w:rStyle w:val="Italics"/>
          <w:i/>
        </w:rPr>
        <w:t>On the occurrence of any natural disaster damage to any property insured under this Act, the insured person shall at his or her own expense—</w:t>
      </w:r>
    </w:p>
    <w:p w:rsidR="00A64E1E" w:rsidRPr="00F11D67" w:rsidRDefault="00A64E1E" w:rsidP="0049787D">
      <w:pPr>
        <w:pStyle w:val="BQLegstyle-a"/>
        <w:rPr>
          <w:rStyle w:val="Italics"/>
          <w:i/>
        </w:rPr>
      </w:pPr>
      <w:r w:rsidRPr="00F11D67">
        <w:rPr>
          <w:rStyle w:val="Italics"/>
          <w:i/>
        </w:rPr>
        <w:lastRenderedPageBreak/>
        <w:t>(a)</w:t>
      </w:r>
      <w:r w:rsidRPr="00F11D67">
        <w:rPr>
          <w:rStyle w:val="Italics"/>
          <w:i/>
        </w:rPr>
        <w:tab/>
        <w:t>within 30 days (or such longer time as may be prescribed by regulations made under this Act) give notice thereof, either orally or in writing, to the Commission; and</w:t>
      </w:r>
    </w:p>
    <w:p w:rsidR="00A64E1E" w:rsidRPr="0049787D" w:rsidRDefault="00A64E1E" w:rsidP="0049787D">
      <w:pPr>
        <w:pStyle w:val="BQLegstyle-a"/>
        <w:rPr>
          <w:rStyle w:val="Italics"/>
          <w:i/>
        </w:rPr>
      </w:pPr>
      <w:r w:rsidRPr="0049787D">
        <w:rPr>
          <w:rStyle w:val="Italics"/>
          <w:i/>
        </w:rPr>
        <w:t>(b)</w:t>
      </w:r>
      <w:r w:rsidRPr="0049787D">
        <w:rPr>
          <w:rStyle w:val="Italics"/>
          <w:i/>
        </w:rPr>
        <w:tab/>
        <w:t>as soon as practicable deliver to the Commission—</w:t>
      </w:r>
    </w:p>
    <w:p w:rsidR="00F11D67" w:rsidRPr="00F11D67" w:rsidRDefault="00A64E1E" w:rsidP="0049787D">
      <w:pPr>
        <w:pStyle w:val="BQLegstyle-i"/>
        <w:rPr>
          <w:rStyle w:val="Italics"/>
          <w:i/>
        </w:rPr>
      </w:pPr>
      <w:r w:rsidRPr="00F11D67">
        <w:rPr>
          <w:rStyle w:val="Italics"/>
          <w:i/>
        </w:rPr>
        <w:t>(i)</w:t>
      </w:r>
      <w:r w:rsidRPr="00F11D67">
        <w:rPr>
          <w:rStyle w:val="Italics"/>
          <w:i/>
        </w:rPr>
        <w:tab/>
        <w:t>a claim in writing for the natural disaster damage, including, in particular, such account as is reasonably practicable of all property lost or damaged, and of the respective amounts claimed in respect of each such item of property, having regard to their value at the time of the natural disaster damage; and</w:t>
      </w:r>
      <w:r w:rsidR="00F11D67" w:rsidRPr="00F11D67">
        <w:rPr>
          <w:rStyle w:val="Italics"/>
          <w:i/>
        </w:rPr>
        <w:t xml:space="preserve"> </w:t>
      </w:r>
    </w:p>
    <w:p w:rsidR="00A64E1E" w:rsidRPr="00F11D67" w:rsidRDefault="00A64E1E" w:rsidP="0049787D">
      <w:pPr>
        <w:pStyle w:val="BQLegstyle-i"/>
        <w:rPr>
          <w:rStyle w:val="Italics"/>
          <w:i/>
        </w:rPr>
      </w:pPr>
      <w:r w:rsidRPr="00F11D67">
        <w:rPr>
          <w:rStyle w:val="Italics"/>
          <w:i/>
        </w:rPr>
        <w:t>(ii)</w:t>
      </w:r>
      <w:r w:rsidR="00F11D67" w:rsidRPr="00F11D67">
        <w:rPr>
          <w:rStyle w:val="Italics"/>
          <w:i/>
        </w:rPr>
        <w:t xml:space="preserve"> </w:t>
      </w:r>
      <w:r w:rsidR="0049787D">
        <w:rPr>
          <w:rStyle w:val="Italics"/>
          <w:i/>
        </w:rPr>
        <w:tab/>
      </w:r>
      <w:r w:rsidRPr="00F11D67">
        <w:rPr>
          <w:rStyle w:val="Italics"/>
          <w:i/>
        </w:rPr>
        <w:t>particulars in writing of all other insurances covering that property (if any).</w:t>
      </w:r>
    </w:p>
    <w:p w:rsidR="00A64E1E" w:rsidRPr="00F11D67" w:rsidRDefault="00A64E1E" w:rsidP="0049787D">
      <w:pPr>
        <w:pStyle w:val="BQLegstyle-1"/>
        <w:rPr>
          <w:rStyle w:val="Italics"/>
          <w:i/>
        </w:rPr>
      </w:pPr>
      <w:r w:rsidRPr="00F11D67">
        <w:rPr>
          <w:rStyle w:val="Italics"/>
          <w:i/>
        </w:rPr>
        <w:t>(2)</w:t>
      </w:r>
      <w:r w:rsidRPr="00F11D67">
        <w:rPr>
          <w:rStyle w:val="Italics"/>
          <w:i/>
        </w:rPr>
        <w:tab/>
        <w:t>Notwithstanding subclause (1), if natural disaster damage is not immediately apparent, or if the insured person is unable by his or her absence or incapacity, or by other disability suffered by him or her and proved to the satisfaction of the Commission, to give notice, or deliver a claim to the Commission, at or within the required time, it shall be sufficient compliance with this clause for notice to be given to the Commission as soon as the natural disaster damage is apparent or the insured person is able to do so, so long as the notice is given within 3 months (or such longer time as may be prescribed by regulations made under this Act) after the natural disaster damage has taken place, and the Commission is not prejudiced by the lapse of time.</w:t>
      </w:r>
    </w:p>
    <w:p w:rsidR="00A64E1E" w:rsidRDefault="00A64E1E" w:rsidP="00F11D67">
      <w:pPr>
        <w:pStyle w:val="BodyText"/>
      </w:pPr>
      <w:r w:rsidRPr="00BF68F3">
        <w:t xml:space="preserve">The period of 30 days </w:t>
      </w:r>
      <w:r w:rsidR="0049787D">
        <w:t>has since been extended by r</w:t>
      </w:r>
      <w:r w:rsidRPr="00BF68F3">
        <w:t>egulation</w:t>
      </w:r>
      <w:r w:rsidR="0049787D">
        <w:t>s</w:t>
      </w:r>
      <w:r w:rsidRPr="00BF68F3">
        <w:t xml:space="preserve"> to a period of 3 months.</w:t>
      </w:r>
    </w:p>
    <w:p w:rsidR="00A64E1E" w:rsidRDefault="0049787D" w:rsidP="00F11D67">
      <w:pPr>
        <w:pStyle w:val="BodyText"/>
      </w:pPr>
      <w:r>
        <w:t>Although the legislation</w:t>
      </w:r>
      <w:r w:rsidR="00A64E1E" w:rsidRPr="00BF68F3">
        <w:t xml:space="preserve"> refer</w:t>
      </w:r>
      <w:r>
        <w:t>red</w:t>
      </w:r>
      <w:r w:rsidR="00A64E1E" w:rsidRPr="00BF68F3">
        <w:t xml:space="preserve"> to a claimant suffering from incapacity or disability</w:t>
      </w:r>
      <w:r>
        <w:t>, and</w:t>
      </w:r>
      <w:r w:rsidR="00A64E1E" w:rsidRPr="00BF68F3">
        <w:t xml:space="preserve"> this seem</w:t>
      </w:r>
      <w:r w:rsidR="00A954F8">
        <w:t>ed</w:t>
      </w:r>
      <w:r w:rsidR="00A64E1E" w:rsidRPr="00BF68F3">
        <w:t xml:space="preserve"> applicable to </w:t>
      </w:r>
      <w:r w:rsidR="00A954F8">
        <w:t>the complainant</w:t>
      </w:r>
      <w:r w:rsidR="00F11D67">
        <w:t>’</w:t>
      </w:r>
      <w:r w:rsidR="00A954F8">
        <w:t xml:space="preserve">s </w:t>
      </w:r>
      <w:r w:rsidR="00A64E1E" w:rsidRPr="00BF68F3">
        <w:t>situation</w:t>
      </w:r>
      <w:r>
        <w:t>,</w:t>
      </w:r>
      <w:r w:rsidR="00A64E1E" w:rsidRPr="00BF68F3">
        <w:t xml:space="preserve"> it still require</w:t>
      </w:r>
      <w:r>
        <w:t>d</w:t>
      </w:r>
      <w:r w:rsidR="00A64E1E" w:rsidRPr="00BF68F3">
        <w:t xml:space="preserve"> notice of the claim to be given within three months</w:t>
      </w:r>
      <w:r>
        <w:t>. This period of time had not been extended when the general limit of 30 days was extended.</w:t>
      </w:r>
      <w:r w:rsidR="00A64E1E">
        <w:t xml:space="preserve"> </w:t>
      </w:r>
    </w:p>
    <w:p w:rsidR="00A954F8" w:rsidRDefault="00FE7F06" w:rsidP="00F11D67">
      <w:pPr>
        <w:pStyle w:val="BodyText"/>
      </w:pPr>
      <w:r>
        <w:t xml:space="preserve">The Ombudsman concluded that although EQC must base its decisions on </w:t>
      </w:r>
      <w:r w:rsidR="00A64E1E">
        <w:t>the legislation which governs its conduct</w:t>
      </w:r>
      <w:r>
        <w:t xml:space="preserve">, he was </w:t>
      </w:r>
      <w:r w:rsidR="00A954F8">
        <w:t xml:space="preserve">concerned </w:t>
      </w:r>
      <w:r w:rsidR="00A64E1E">
        <w:t xml:space="preserve">that in the particular circumstances of </w:t>
      </w:r>
      <w:r w:rsidR="00A954F8">
        <w:t xml:space="preserve">this </w:t>
      </w:r>
      <w:r w:rsidR="00A64E1E">
        <w:t xml:space="preserve">case, the legislation </w:t>
      </w:r>
      <w:r w:rsidR="0049787D">
        <w:t>left</w:t>
      </w:r>
      <w:r w:rsidR="00A64E1E">
        <w:t xml:space="preserve"> no room for discretion</w:t>
      </w:r>
      <w:r w:rsidR="0049787D">
        <w:t>, and the result wa</w:t>
      </w:r>
      <w:r w:rsidR="00A954F8">
        <w:t xml:space="preserve">s </w:t>
      </w:r>
      <w:r w:rsidR="00F11D67">
        <w:t>‘</w:t>
      </w:r>
      <w:r w:rsidR="00A64E1E" w:rsidRPr="004548C4">
        <w:rPr>
          <w:rStyle w:val="Italics"/>
        </w:rPr>
        <w:t>harsh and morally reprehensible</w:t>
      </w:r>
      <w:r w:rsidR="00F11D67">
        <w:rPr>
          <w:rStyle w:val="Italics"/>
        </w:rPr>
        <w:t>’</w:t>
      </w:r>
      <w:r w:rsidR="00A64E1E">
        <w:t xml:space="preserve">. </w:t>
      </w:r>
    </w:p>
    <w:p w:rsidR="00A64E1E" w:rsidRDefault="00FE7F06" w:rsidP="00F11D67">
      <w:pPr>
        <w:pStyle w:val="BodyText"/>
      </w:pPr>
      <w:r>
        <w:t xml:space="preserve">While the complaint could not be sustained, </w:t>
      </w:r>
      <w:r w:rsidR="00A64E1E">
        <w:t xml:space="preserve">EQC advised </w:t>
      </w:r>
      <w:r>
        <w:t>in response to the Ombudsman</w:t>
      </w:r>
      <w:r w:rsidR="00F11D67">
        <w:t>’</w:t>
      </w:r>
      <w:r>
        <w:t xml:space="preserve">s comments, </w:t>
      </w:r>
      <w:r w:rsidR="00A64E1E">
        <w:t xml:space="preserve">that </w:t>
      </w:r>
      <w:r w:rsidR="00A954F8">
        <w:t xml:space="preserve">the Act </w:t>
      </w:r>
      <w:r w:rsidR="0049787D">
        <w:t>was</w:t>
      </w:r>
      <w:r w:rsidR="00A954F8">
        <w:t xml:space="preserve"> being </w:t>
      </w:r>
      <w:r w:rsidR="00A64E1E">
        <w:t>reviewed and the matter of a</w:t>
      </w:r>
      <w:r w:rsidR="0049787D">
        <w:t>n</w:t>
      </w:r>
      <w:r w:rsidR="00A64E1E">
        <w:t xml:space="preserve"> extended peri</w:t>
      </w:r>
      <w:r w:rsidR="0049787D">
        <w:t>od of time for lodging claims was</w:t>
      </w:r>
      <w:r w:rsidR="00A64E1E">
        <w:t xml:space="preserve"> among the issues under consideration. </w:t>
      </w:r>
    </w:p>
    <w:p w:rsidR="000054D7" w:rsidRDefault="00F11D67" w:rsidP="00F11D67">
      <w:pPr>
        <w:pStyle w:val="BodyText"/>
      </w:pPr>
      <w:r w:rsidRPr="00EB1399">
        <w:rPr>
          <w:i/>
          <w:iCs/>
        </w:rPr>
        <w:t xml:space="preserve">This case note is published under the authority of the </w:t>
      </w:r>
      <w:hyperlink r:id="rId7" w:history="1">
        <w:r w:rsidRPr="00EB1399">
          <w:rPr>
            <w:rStyle w:val="Hyperlink"/>
            <w:i/>
            <w:iCs/>
          </w:rPr>
          <w:t>Ombudsmen Rules 1989</w:t>
        </w:r>
      </w:hyperlink>
      <w:r w:rsidRPr="00EB1399">
        <w:rPr>
          <w:i/>
          <w:iCs/>
        </w:rPr>
        <w:t>. It sets out an Ombudsman</w:t>
      </w:r>
      <w:r>
        <w:rPr>
          <w:i/>
          <w:iCs/>
        </w:rPr>
        <w:t>’</w:t>
      </w:r>
      <w:r w:rsidRPr="00EB1399">
        <w:rPr>
          <w:i/>
          <w:iCs/>
        </w:rPr>
        <w:t>s view on the facts of a particular case. It should not be taken as establishing any legal precedent that would bind an Ombudsman in future.</w:t>
      </w:r>
    </w:p>
    <w:sectPr w:rsidR="000054D7"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767" w:rsidRDefault="00853767">
      <w:pPr>
        <w:spacing w:after="0" w:line="240" w:lineRule="auto"/>
      </w:pPr>
      <w:r>
        <w:separator/>
      </w:r>
    </w:p>
  </w:endnote>
  <w:endnote w:type="continuationSeparator" w:id="0">
    <w:p w:rsidR="00853767" w:rsidRDefault="0085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625" w:rsidRDefault="003E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853767" w:rsidP="00B841FB">
    <w:pPr>
      <w:pStyle w:val="Footerline"/>
    </w:pPr>
  </w:p>
  <w:p w:rsidR="00F200AB" w:rsidRPr="0059155D" w:rsidRDefault="00853767" w:rsidP="00B841FB">
    <w:pPr>
      <w:pStyle w:val="Footerline"/>
    </w:pPr>
  </w:p>
  <w:p w:rsidR="00F200AB" w:rsidRPr="005533D8" w:rsidRDefault="0026236E" w:rsidP="00B841FB">
    <w:pPr>
      <w:pStyle w:val="Footer"/>
    </w:pPr>
    <w:fldSimple w:instr=" DOCVARIABLE  dvShortText ">
      <w:r w:rsidR="00F11D67">
        <w:t>Case note 340961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3E1625">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853767" w:rsidP="00B841FB">
    <w:pPr>
      <w:pStyle w:val="Footerline"/>
    </w:pPr>
  </w:p>
  <w:p w:rsidR="00F200AB" w:rsidRPr="0059155D" w:rsidRDefault="00853767" w:rsidP="00B841FB">
    <w:pPr>
      <w:pStyle w:val="Footerline"/>
    </w:pPr>
  </w:p>
  <w:p w:rsidR="00F200AB" w:rsidRPr="005533D8" w:rsidRDefault="0026236E" w:rsidP="00B841FB">
    <w:pPr>
      <w:pStyle w:val="Footer"/>
    </w:pPr>
    <w:fldSimple w:instr=" DOCVARIABLE  dvShortText ">
      <w:r w:rsidR="00F11D67">
        <w:t>Case note 340961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853767">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767" w:rsidRDefault="00853767">
      <w:pPr>
        <w:spacing w:after="0" w:line="240" w:lineRule="auto"/>
      </w:pPr>
      <w:r>
        <w:separator/>
      </w:r>
    </w:p>
  </w:footnote>
  <w:footnote w:type="continuationSeparator" w:id="0">
    <w:p w:rsidR="00853767" w:rsidRDefault="00853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625" w:rsidRDefault="003E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853767"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340961 |"/>
    <w:docVar w:name="dvShortTextFrm" w:val="Case note 340961"/>
    <w:docVar w:name="IsfirstTb" w:val="False"/>
    <w:docVar w:name="IsInTable" w:val="False"/>
    <w:docVar w:name="OOTOTemplate" w:val="OOTO General\Case note.dotm"/>
  </w:docVars>
  <w:rsids>
    <w:rsidRoot w:val="00051017"/>
    <w:rsid w:val="000054D7"/>
    <w:rsid w:val="00051017"/>
    <w:rsid w:val="00152A27"/>
    <w:rsid w:val="00175E33"/>
    <w:rsid w:val="001C1C8F"/>
    <w:rsid w:val="001C2D91"/>
    <w:rsid w:val="00212827"/>
    <w:rsid w:val="002553E3"/>
    <w:rsid w:val="0026236E"/>
    <w:rsid w:val="00311F55"/>
    <w:rsid w:val="00343B77"/>
    <w:rsid w:val="003E1625"/>
    <w:rsid w:val="00403044"/>
    <w:rsid w:val="004275BC"/>
    <w:rsid w:val="00485BB3"/>
    <w:rsid w:val="0049787D"/>
    <w:rsid w:val="004F393F"/>
    <w:rsid w:val="00502D89"/>
    <w:rsid w:val="00562870"/>
    <w:rsid w:val="0060106C"/>
    <w:rsid w:val="00665FBB"/>
    <w:rsid w:val="006F57EC"/>
    <w:rsid w:val="00725B8A"/>
    <w:rsid w:val="007C47D7"/>
    <w:rsid w:val="007D336D"/>
    <w:rsid w:val="007E531C"/>
    <w:rsid w:val="00830A8D"/>
    <w:rsid w:val="00853767"/>
    <w:rsid w:val="0089058E"/>
    <w:rsid w:val="008A6715"/>
    <w:rsid w:val="00915DBD"/>
    <w:rsid w:val="009A61CE"/>
    <w:rsid w:val="00A64E1E"/>
    <w:rsid w:val="00A85538"/>
    <w:rsid w:val="00A954F8"/>
    <w:rsid w:val="00DD3808"/>
    <w:rsid w:val="00DE48AC"/>
    <w:rsid w:val="00E03087"/>
    <w:rsid w:val="00E11A0D"/>
    <w:rsid w:val="00E9396C"/>
    <w:rsid w:val="00EB186F"/>
    <w:rsid w:val="00EF7876"/>
    <w:rsid w:val="00F11D67"/>
    <w:rsid w:val="00F15F51"/>
    <w:rsid w:val="00FE7F06"/>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qFormat/>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13"/>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3"/>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3"/>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3"/>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2022-01-25T21:49:00Z</dcterms:created>
  <dcterms:modified xsi:type="dcterms:W3CDTF">2022-01-25T21:49:00Z</dcterms:modified>
</cp:coreProperties>
</file>