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9A1AE" w14:textId="77777777" w:rsidR="00E96424" w:rsidRDefault="00E96424" w:rsidP="00283F3B">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14:paraId="770651D4" w14:textId="77777777" w:rsidTr="00094D1D">
        <w:trPr>
          <w:trHeight w:hRule="exact" w:val="2268"/>
        </w:trPr>
        <w:tc>
          <w:tcPr>
            <w:tcW w:w="9576" w:type="dxa"/>
            <w:tcMar>
              <w:top w:w="794" w:type="dxa"/>
            </w:tcMar>
            <w:vAlign w:val="bottom"/>
          </w:tcPr>
          <w:p w14:paraId="36BC75F7" w14:textId="77777777" w:rsidR="00166C30" w:rsidRPr="000E36A8" w:rsidRDefault="006C3191" w:rsidP="00F96393">
            <w:pPr>
              <w:pStyle w:val="Title"/>
            </w:pPr>
            <w:bookmarkStart w:id="0" w:name="_GoBack"/>
            <w:r>
              <w:t>Decision to release tender information in response to Official Information Act request</w:t>
            </w:r>
            <w:bookmarkEnd w:id="0"/>
          </w:p>
        </w:tc>
      </w:tr>
      <w:tr w:rsidR="00C87D78" w14:paraId="2BD24618" w14:textId="77777777" w:rsidTr="00094D1D">
        <w:trPr>
          <w:trHeight w:hRule="exact" w:val="340"/>
        </w:trPr>
        <w:tc>
          <w:tcPr>
            <w:tcW w:w="9576" w:type="dxa"/>
            <w:vAlign w:val="bottom"/>
          </w:tcPr>
          <w:p w14:paraId="487E2EB2" w14:textId="77777777" w:rsidR="00C87D78" w:rsidRDefault="00C87D78" w:rsidP="00C731DE"/>
        </w:tc>
      </w:tr>
      <w:tr w:rsidR="00F417FD" w14:paraId="09E8E015" w14:textId="77777777" w:rsidTr="00094D1D">
        <w:trPr>
          <w:trHeight w:val="2098"/>
        </w:trPr>
        <w:tc>
          <w:tcPr>
            <w:tcW w:w="9576" w:type="dxa"/>
          </w:tcPr>
          <w:p w14:paraId="3CD7E1FB" w14:textId="7CEA8A6B" w:rsidR="00F417FD" w:rsidRPr="00971749" w:rsidRDefault="00F417FD" w:rsidP="00971749">
            <w:pPr>
              <w:pStyle w:val="Heading1-Subnonboldtext"/>
            </w:pPr>
            <w:r w:rsidRPr="00971749">
              <w:rPr>
                <w:rStyle w:val="Heading1-Sub"/>
              </w:rPr>
              <w:t>Legislation</w:t>
            </w:r>
            <w:r w:rsidRPr="00971749">
              <w:tab/>
            </w:r>
            <w:r w:rsidR="006C3191">
              <w:t>Ombudsmen Act 1975</w:t>
            </w:r>
            <w:r w:rsidR="004D376E">
              <w:t>, ss 13, 22; Official Information Act 1982</w:t>
            </w:r>
            <w:r w:rsidR="008660DC">
              <w:t xml:space="preserve">, ss 9(2)(a), 9(2)(ba)(i), 9(2)(b)(ii) </w:t>
            </w:r>
          </w:p>
          <w:p w14:paraId="41053D2A" w14:textId="77777777" w:rsidR="00F417FD" w:rsidRPr="00971749" w:rsidRDefault="00F417FD" w:rsidP="00971749">
            <w:pPr>
              <w:pStyle w:val="Heading1-Subnonboldtext"/>
            </w:pPr>
            <w:r w:rsidRPr="00971749">
              <w:rPr>
                <w:rStyle w:val="Heading1-Sub"/>
              </w:rPr>
              <w:t>Agency</w:t>
            </w:r>
            <w:r w:rsidRPr="00971749">
              <w:tab/>
            </w:r>
            <w:r w:rsidR="00B50E78">
              <w:t>Ministry of Business, Innovation and Employment</w:t>
            </w:r>
          </w:p>
          <w:p w14:paraId="01084C14" w14:textId="77777777" w:rsidR="00F417FD" w:rsidRPr="00971749" w:rsidRDefault="00F417FD" w:rsidP="00971749">
            <w:pPr>
              <w:pStyle w:val="Heading1-Subnonboldtext"/>
            </w:pPr>
            <w:r w:rsidRPr="00971749">
              <w:rPr>
                <w:rStyle w:val="Heading1-Sub"/>
              </w:rPr>
              <w:t>Ombudsman</w:t>
            </w:r>
            <w:r w:rsidRPr="00971749">
              <w:tab/>
            </w:r>
            <w:r w:rsidR="00B50E78">
              <w:t>Peter Boshier</w:t>
            </w:r>
          </w:p>
          <w:p w14:paraId="365B4A3F" w14:textId="77777777" w:rsidR="00F417FD" w:rsidRPr="00971749" w:rsidRDefault="00F417FD" w:rsidP="00971749">
            <w:pPr>
              <w:pStyle w:val="Heading1-Subnonboldtext"/>
            </w:pPr>
            <w:r w:rsidRPr="00971749">
              <w:rPr>
                <w:rStyle w:val="Heading1-Sub"/>
              </w:rPr>
              <w:t>Case number(s)</w:t>
            </w:r>
            <w:r w:rsidRPr="00971749">
              <w:tab/>
            </w:r>
            <w:r w:rsidR="00B50E78">
              <w:t>490995</w:t>
            </w:r>
          </w:p>
          <w:p w14:paraId="673C2874" w14:textId="04604675" w:rsidR="00F417FD" w:rsidRPr="00F417FD" w:rsidRDefault="00F417FD" w:rsidP="004D73AC">
            <w:pPr>
              <w:pStyle w:val="Heading1-Subnonboldtext"/>
            </w:pPr>
            <w:r w:rsidRPr="00971749">
              <w:rPr>
                <w:rStyle w:val="Heading1-Sub"/>
              </w:rPr>
              <w:t>Date</w:t>
            </w:r>
            <w:r w:rsidRPr="00971749">
              <w:tab/>
            </w:r>
            <w:r w:rsidR="003536F0">
              <w:t>25 March</w:t>
            </w:r>
            <w:r w:rsidR="004D73AC" w:rsidRPr="00945BE0">
              <w:t xml:space="preserve"> 2020</w:t>
            </w:r>
          </w:p>
        </w:tc>
      </w:tr>
    </w:tbl>
    <w:p w14:paraId="45E9355C" w14:textId="77777777" w:rsidR="00094D1D" w:rsidRPr="00094D1D" w:rsidRDefault="00094D1D" w:rsidP="00094D1D">
      <w:pPr>
        <w:pStyle w:val="Guidelines"/>
        <w:rPr>
          <w:color w:val="auto"/>
        </w:rPr>
      </w:pPr>
    </w:p>
    <w:p w14:paraId="1EB0D8F3" w14:textId="198D7DA7" w:rsidR="00FA48B0" w:rsidRPr="005F05FA" w:rsidRDefault="00997B94" w:rsidP="00E77A82">
      <w:pPr>
        <w:pStyle w:val="BodyText"/>
        <w:rPr>
          <w:rStyle w:val="Italics"/>
        </w:rPr>
      </w:pPr>
      <w:r w:rsidRPr="005F05FA">
        <w:rPr>
          <w:rStyle w:val="Italics"/>
        </w:rPr>
        <w:t>Complaint about a decision to release information und</w:t>
      </w:r>
      <w:r w:rsidR="004D376E">
        <w:rPr>
          <w:rStyle w:val="Italics"/>
        </w:rPr>
        <w:t>er the Official Information Act</w:t>
      </w:r>
      <w:r w:rsidR="005F05FA">
        <w:rPr>
          <w:rStyle w:val="Italics"/>
        </w:rPr>
        <w:t>—</w:t>
      </w:r>
      <w:r w:rsidR="005F05FA" w:rsidRPr="005F05FA">
        <w:rPr>
          <w:rStyle w:val="Italics"/>
        </w:rPr>
        <w:t>Ministry consulted</w:t>
      </w:r>
      <w:r w:rsidR="00B440EB">
        <w:rPr>
          <w:rStyle w:val="Italics"/>
        </w:rPr>
        <w:t xml:space="preserve"> adequately with affected party—Ministry</w:t>
      </w:r>
      <w:r w:rsidR="005F05FA" w:rsidRPr="005F05FA">
        <w:rPr>
          <w:rStyle w:val="Italics"/>
        </w:rPr>
        <w:t xml:space="preserve"> took into account affected party’s submissions, all relevant considerations, principle of availability, legislative requirements,</w:t>
      </w:r>
      <w:r w:rsidR="00B440EB">
        <w:rPr>
          <w:rStyle w:val="Italics"/>
        </w:rPr>
        <w:t xml:space="preserve"> and Ombudsman’s guidance—</w:t>
      </w:r>
      <w:r w:rsidR="005F05FA" w:rsidRPr="005F05FA">
        <w:rPr>
          <w:rStyle w:val="Italics"/>
        </w:rPr>
        <w:t xml:space="preserve">decision to release </w:t>
      </w:r>
      <w:r w:rsidR="00EA5D43">
        <w:rPr>
          <w:rStyle w:val="Italics"/>
        </w:rPr>
        <w:t xml:space="preserve">was </w:t>
      </w:r>
      <w:r w:rsidR="005F05FA" w:rsidRPr="005F05FA">
        <w:rPr>
          <w:rStyle w:val="Italics"/>
        </w:rPr>
        <w:t xml:space="preserve">reasonably open to </w:t>
      </w:r>
      <w:r w:rsidR="00B440EB">
        <w:rPr>
          <w:rStyle w:val="Italics"/>
        </w:rPr>
        <w:t>the Ministry</w:t>
      </w:r>
    </w:p>
    <w:p w14:paraId="017FA38B" w14:textId="77777777" w:rsidR="00E77A82" w:rsidRDefault="00E77A82" w:rsidP="00E77A82">
      <w:pPr>
        <w:pStyle w:val="Heading1"/>
      </w:pPr>
      <w:r>
        <w:t>Background</w:t>
      </w:r>
    </w:p>
    <w:p w14:paraId="18B1C6FE" w14:textId="0ECA46B6" w:rsidR="00517CBC" w:rsidRDefault="00717E3D" w:rsidP="00E77A82">
      <w:pPr>
        <w:pStyle w:val="BodyText"/>
      </w:pPr>
      <w:r>
        <w:t xml:space="preserve">A requester asked the Ministry of Business, Innovation and Employment </w:t>
      </w:r>
      <w:r w:rsidR="00B440EB">
        <w:t xml:space="preserve">(the Ministry) </w:t>
      </w:r>
      <w:r>
        <w:t xml:space="preserve">for information provided by </w:t>
      </w:r>
      <w:r w:rsidR="00FC2FBC">
        <w:t>a contractor</w:t>
      </w:r>
      <w:r w:rsidR="0060131E">
        <w:t xml:space="preserve"> as part of a </w:t>
      </w:r>
      <w:r>
        <w:t xml:space="preserve">tender process. </w:t>
      </w:r>
      <w:r w:rsidR="009C18AF">
        <w:t xml:space="preserve">The request was made under the Official Information Act 1982 (OIA). </w:t>
      </w:r>
      <w:r w:rsidR="00517CBC">
        <w:t xml:space="preserve">The Ministry granted the request, and released the information with some redactions.  </w:t>
      </w:r>
    </w:p>
    <w:p w14:paraId="772BBA4A" w14:textId="6D058F8C" w:rsidR="00517CBC" w:rsidRDefault="00F12F5F" w:rsidP="00E77A82">
      <w:pPr>
        <w:pStyle w:val="BodyText"/>
      </w:pPr>
      <w:r>
        <w:t xml:space="preserve">During the decision </w:t>
      </w:r>
      <w:r w:rsidR="00517CBC">
        <w:t xml:space="preserve">making process, the Ministry consulted with </w:t>
      </w:r>
      <w:r w:rsidR="00A71F52">
        <w:t>the contractor</w:t>
      </w:r>
      <w:r w:rsidR="00517CBC">
        <w:t xml:space="preserve"> about the information it propos</w:t>
      </w:r>
      <w:r w:rsidR="005D12ED">
        <w:t>ed to release and withhold. The contractor</w:t>
      </w:r>
      <w:r w:rsidR="00517CBC">
        <w:t xml:space="preserve"> asked the Ministry to make further redactions under section</w:t>
      </w:r>
      <w:r>
        <w:t>s</w:t>
      </w:r>
      <w:r w:rsidR="00517CBC">
        <w:t xml:space="preserve"> 9(2)(a), </w:t>
      </w:r>
      <w:r w:rsidR="008660DC">
        <w:t>9(2)</w:t>
      </w:r>
      <w:r w:rsidR="00517CBC">
        <w:t xml:space="preserve">(ba)(i) and </w:t>
      </w:r>
      <w:r w:rsidR="008660DC">
        <w:t>9(2)</w:t>
      </w:r>
      <w:r w:rsidR="00517CBC">
        <w:t xml:space="preserve">(b)(ii) of the OIA. The Ministry did not make </w:t>
      </w:r>
      <w:r w:rsidR="00515F9B">
        <w:t>the</w:t>
      </w:r>
      <w:r w:rsidR="00517CBC">
        <w:t xml:space="preserve"> redactions </w:t>
      </w:r>
      <w:r w:rsidR="00A71F52">
        <w:t>requested by the contractor</w:t>
      </w:r>
      <w:r w:rsidR="00515F9B">
        <w:t xml:space="preserve">. </w:t>
      </w:r>
    </w:p>
    <w:p w14:paraId="6396A12E" w14:textId="1F6D1BD1" w:rsidR="009C18AF" w:rsidRDefault="00A71F52" w:rsidP="00E77A82">
      <w:pPr>
        <w:pStyle w:val="BodyText"/>
      </w:pPr>
      <w:r>
        <w:t>The contractor</w:t>
      </w:r>
      <w:r w:rsidR="009C18AF">
        <w:t xml:space="preserve"> complained to the Ombudsman about:</w:t>
      </w:r>
    </w:p>
    <w:p w14:paraId="24B24059" w14:textId="77777777" w:rsidR="009C18AF" w:rsidRDefault="00760A2D" w:rsidP="009C18AF">
      <w:pPr>
        <w:pStyle w:val="Bullet1"/>
      </w:pPr>
      <w:r>
        <w:t xml:space="preserve">the </w:t>
      </w:r>
      <w:r w:rsidR="009C18AF">
        <w:t xml:space="preserve">adequacy of the Ministry’s </w:t>
      </w:r>
      <w:r w:rsidR="00E7434C">
        <w:t>consultation</w:t>
      </w:r>
      <w:r w:rsidR="009C18AF">
        <w:t>; and</w:t>
      </w:r>
    </w:p>
    <w:p w14:paraId="655B599E" w14:textId="634F3779" w:rsidR="009C18AF" w:rsidRDefault="009C18AF" w:rsidP="009C18AF">
      <w:pPr>
        <w:pStyle w:val="Bullet1"/>
      </w:pPr>
      <w:r>
        <w:t xml:space="preserve">the </w:t>
      </w:r>
      <w:r w:rsidR="0077254A">
        <w:t xml:space="preserve">Ministry’s </w:t>
      </w:r>
      <w:r>
        <w:t>decision to release some of the information</w:t>
      </w:r>
      <w:r w:rsidR="009C14D2">
        <w:t xml:space="preserve"> despite its opposition</w:t>
      </w:r>
      <w:r w:rsidR="0017657B">
        <w:t>, on the grounds that the Ministry’s analysis o</w:t>
      </w:r>
      <w:r w:rsidR="00A71F52">
        <w:t>f the level of prejudice to the contractor</w:t>
      </w:r>
      <w:r w:rsidR="0017657B">
        <w:t xml:space="preserve"> and the public interest was flawed</w:t>
      </w:r>
      <w:r>
        <w:t xml:space="preserve">. </w:t>
      </w:r>
    </w:p>
    <w:p w14:paraId="7C89E094" w14:textId="77777777" w:rsidR="00E77A82" w:rsidRDefault="00E77A82" w:rsidP="00E77A82">
      <w:pPr>
        <w:pStyle w:val="Heading1"/>
      </w:pPr>
      <w:r>
        <w:lastRenderedPageBreak/>
        <w:t>Investigation</w:t>
      </w:r>
    </w:p>
    <w:p w14:paraId="50799A55" w14:textId="77777777" w:rsidR="0077254A" w:rsidRDefault="0077254A" w:rsidP="00E77A82">
      <w:pPr>
        <w:pStyle w:val="BodyText"/>
      </w:pPr>
      <w:r>
        <w:t xml:space="preserve">The OIA provides no role for an Ombudsman to investigate and review a decision to </w:t>
      </w:r>
      <w:r w:rsidRPr="00F12F5F">
        <w:rPr>
          <w:rStyle w:val="Emphasis"/>
          <w:b w:val="0"/>
        </w:rPr>
        <w:t>release</w:t>
      </w:r>
      <w:r>
        <w:t xml:space="preserve"> information. Complaints about decisions to release information under the OIA are investigated under the Ombudsmen Act 1975 (OA). </w:t>
      </w:r>
    </w:p>
    <w:p w14:paraId="64227F6D" w14:textId="05D157DF" w:rsidR="0077254A" w:rsidRDefault="0077254A" w:rsidP="00E77A82">
      <w:pPr>
        <w:pStyle w:val="BodyText"/>
      </w:pPr>
      <w:r>
        <w:t>The Chief Ombudsmen’s investigative role under the OA is different to an investigation and review under the OIA. The OA permits an Ombudsman to investigate a complaint about a decision</w:t>
      </w:r>
      <w:r w:rsidR="00F74B2F">
        <w:t xml:space="preserve"> to release</w:t>
      </w:r>
      <w:r>
        <w:t xml:space="preserve">, and to form an opinion on whether that decision was taken in an administratively sound manner and was reasonably open to the agency in the circumstances of the case. </w:t>
      </w:r>
      <w:r w:rsidR="002A158D">
        <w:t xml:space="preserve">However, </w:t>
      </w:r>
      <w:r w:rsidR="001F41F7">
        <w:t>an Ombudsman is not an appeal body</w:t>
      </w:r>
      <w:r w:rsidR="00903680">
        <w:t xml:space="preserve"> under the OA</w:t>
      </w:r>
      <w:r w:rsidR="001F41F7">
        <w:t>, and would not normally substitute their judgment for that of the statutory decision maker, particularly in this context, where section</w:t>
      </w:r>
      <w:r w:rsidR="001F41F7" w:rsidRPr="001F41F7">
        <w:t xml:space="preserve"> </w:t>
      </w:r>
      <w:r w:rsidR="001F41F7">
        <w:t>48 of the OIA affords a wide immunity to agencies when releasing information in response to an OIA request in good faith.</w:t>
      </w:r>
      <w:r w:rsidR="002A158D">
        <w:t xml:space="preserve"> </w:t>
      </w:r>
    </w:p>
    <w:p w14:paraId="1A7F5C8E" w14:textId="77777777" w:rsidR="00D53473" w:rsidRDefault="00D53473" w:rsidP="00E77A82">
      <w:pPr>
        <w:pStyle w:val="BodyText"/>
      </w:pPr>
      <w:r>
        <w:t>The issue for the Chief Ombudsman to determine was whether the Ministry followed a robust process for assessing and then releasing the information, including allowing for consultations as appropriate.</w:t>
      </w:r>
    </w:p>
    <w:p w14:paraId="230E72E7" w14:textId="77777777" w:rsidR="00E33827" w:rsidRDefault="00E33827" w:rsidP="00E33827">
      <w:pPr>
        <w:pStyle w:val="Heading2"/>
      </w:pPr>
      <w:r>
        <w:t>Consultation process</w:t>
      </w:r>
    </w:p>
    <w:p w14:paraId="7C5ACE0C" w14:textId="77777777" w:rsidR="00E33827" w:rsidRDefault="00E33827" w:rsidP="00E33827">
      <w:pPr>
        <w:pStyle w:val="BodyText"/>
      </w:pPr>
      <w:r>
        <w:t>The Ombudsman</w:t>
      </w:r>
      <w:r w:rsidRPr="000E51E6">
        <w:t xml:space="preserve"> has published guidance material on consulting third parties before making a decision on an OIA request.</w:t>
      </w:r>
      <w:r w:rsidRPr="000E51E6">
        <w:rPr>
          <w:rStyle w:val="FootnoteReference"/>
        </w:rPr>
        <w:footnoteReference w:id="2"/>
      </w:r>
      <w:r>
        <w:t xml:space="preserve"> </w:t>
      </w:r>
      <w:r w:rsidRPr="000E51E6">
        <w:t>The Guide notes that third party consultation needs to be handled ‘</w:t>
      </w:r>
      <w:r w:rsidRPr="000E51E6">
        <w:rPr>
          <w:rStyle w:val="Quotationwithinthesentence"/>
        </w:rPr>
        <w:t>fairly and efficiently</w:t>
      </w:r>
      <w:r w:rsidRPr="000E51E6">
        <w:t xml:space="preserve">’. However, the process of consultation does not give the third party an ability to veto the release of information. It is for the agency to reach its own decision on the proper application of the withholding grounds, and (where relevant) the countervailing public interest in release. </w:t>
      </w:r>
    </w:p>
    <w:p w14:paraId="429FA329" w14:textId="77777777" w:rsidR="00E33827" w:rsidRDefault="00D257C5" w:rsidP="00E33827">
      <w:pPr>
        <w:pStyle w:val="BodyText"/>
      </w:pPr>
      <w:r>
        <w:t>T</w:t>
      </w:r>
      <w:r w:rsidR="00E33827">
        <w:t>he</w:t>
      </w:r>
      <w:r w:rsidR="007802CE">
        <w:t xml:space="preserve"> Chief</w:t>
      </w:r>
      <w:r w:rsidR="00E33827">
        <w:t xml:space="preserve"> Ombudsman consider</w:t>
      </w:r>
      <w:r w:rsidR="007802CE">
        <w:t>ed</w:t>
      </w:r>
      <w:r w:rsidR="00E33827">
        <w:t xml:space="preserve"> whether the consultation undertaken demonstrated a genuine and meaningful attempt by the Ministry to elicit the kind of information that is necessary to make a decision on the OIA request.  </w:t>
      </w:r>
    </w:p>
    <w:p w14:paraId="01433F07" w14:textId="33D8B702" w:rsidR="00E33827" w:rsidRDefault="00D53473" w:rsidP="00E33827">
      <w:pPr>
        <w:pStyle w:val="BodyText"/>
      </w:pPr>
      <w:r>
        <w:t xml:space="preserve">The Chief Ombudsman </w:t>
      </w:r>
      <w:r w:rsidR="001E5B06">
        <w:t>stated</w:t>
      </w:r>
      <w:r w:rsidR="00D257C5">
        <w:t xml:space="preserve"> that </w:t>
      </w:r>
      <w:r w:rsidR="00E33827" w:rsidRPr="00F93A32">
        <w:t>the Ministry provided adequate information in its consultation e</w:t>
      </w:r>
      <w:r w:rsidR="00A71F52">
        <w:t>mail for the contractor</w:t>
      </w:r>
      <w:r w:rsidR="00E33827" w:rsidRPr="00F93A32">
        <w:t xml:space="preserve"> to make</w:t>
      </w:r>
      <w:r w:rsidR="00E33827">
        <w:t xml:space="preserve"> an informed decision. T</w:t>
      </w:r>
      <w:r w:rsidR="00E33827" w:rsidRPr="00F93A32">
        <w:t>he Ministry had clearly marked the sections it proposed to release and to redact from the documents at issue. The Ministry also provided a brief explanation of its obligations under the OIA and noted</w:t>
      </w:r>
      <w:r w:rsidR="00E33827">
        <w:t xml:space="preserve"> that,</w:t>
      </w:r>
      <w:r w:rsidR="00E33827" w:rsidRPr="00F93A32">
        <w:t xml:space="preserve"> </w:t>
      </w:r>
      <w:r w:rsidR="00E33827" w:rsidRPr="00F93A32">
        <w:rPr>
          <w:rStyle w:val="Quotationwithinthesentence"/>
        </w:rPr>
        <w:t xml:space="preserve">‘[while] any comments you </w:t>
      </w:r>
      <w:r w:rsidR="00E33827" w:rsidRPr="00172E42">
        <w:rPr>
          <w:rStyle w:val="Quotationwithinthesentence"/>
        </w:rPr>
        <w:t>make will be taken into account, they may not necessarily be applied to the released material’</w:t>
      </w:r>
      <w:r w:rsidR="00E33827" w:rsidRPr="00172E42">
        <w:t xml:space="preserve">.  </w:t>
      </w:r>
    </w:p>
    <w:p w14:paraId="0BD5AEF0" w14:textId="2329B728" w:rsidR="00A72BAE" w:rsidRDefault="00A71F52" w:rsidP="00E33827">
      <w:pPr>
        <w:pStyle w:val="BodyText"/>
      </w:pPr>
      <w:r>
        <w:t>The Ministry gave the contractor</w:t>
      </w:r>
      <w:r w:rsidR="00A65BEE">
        <w:t xml:space="preserve"> four and a half</w:t>
      </w:r>
      <w:r w:rsidR="00A72BAE">
        <w:t xml:space="preserve"> days to provide comments. </w:t>
      </w:r>
      <w:r w:rsidR="00815DB7">
        <w:t>During the investigation</w:t>
      </w:r>
      <w:r w:rsidR="00A72BAE">
        <w:t>, the Ministry</w:t>
      </w:r>
      <w:r w:rsidR="000648AF">
        <w:t xml:space="preserve"> acknowledged that more time would have been preferable, but also explained </w:t>
      </w:r>
      <w:r w:rsidR="00A72BAE">
        <w:t>that ‘</w:t>
      </w:r>
      <w:r w:rsidR="00A72BAE" w:rsidRPr="00A72BAE">
        <w:rPr>
          <w:rStyle w:val="Quotationwithinthesentence"/>
        </w:rPr>
        <w:t xml:space="preserve">a significant portion of the material had already been consulted on with </w:t>
      </w:r>
      <w:r w:rsidR="005D12ED">
        <w:rPr>
          <w:rStyle w:val="Quotationwithinthesentence"/>
        </w:rPr>
        <w:t>[the contractor]</w:t>
      </w:r>
      <w:r w:rsidR="00A72BAE" w:rsidRPr="00A72BAE">
        <w:rPr>
          <w:rStyle w:val="Quotationwithinthesentence"/>
        </w:rPr>
        <w:t xml:space="preserve"> when r</w:t>
      </w:r>
      <w:r w:rsidR="000648AF">
        <w:rPr>
          <w:rStyle w:val="Quotationwithinthesentence"/>
        </w:rPr>
        <w:t>e</w:t>
      </w:r>
      <w:r w:rsidR="00A72BAE" w:rsidRPr="00A72BAE">
        <w:rPr>
          <w:rStyle w:val="Quotationwithinthesentence"/>
        </w:rPr>
        <w:t>sponding to previous requests</w:t>
      </w:r>
      <w:r w:rsidR="00A72BAE">
        <w:t xml:space="preserve">’. </w:t>
      </w:r>
    </w:p>
    <w:p w14:paraId="1FA4D3EE" w14:textId="6485CB37" w:rsidR="00E33827" w:rsidRDefault="000648AF" w:rsidP="00E33827">
      <w:pPr>
        <w:pStyle w:val="BodyText"/>
      </w:pPr>
      <w:r>
        <w:t>The</w:t>
      </w:r>
      <w:r w:rsidR="00A71F52">
        <w:t xml:space="preserve"> Chief Ombudsman noted that the contractor</w:t>
      </w:r>
      <w:r>
        <w:t xml:space="preserve"> did not request an extension and provided a comprehensive response a full day before the deadline. In light of this</w:t>
      </w:r>
      <w:r w:rsidR="00A65BEE">
        <w:t>,</w:t>
      </w:r>
      <w:r w:rsidR="00A71F52">
        <w:t xml:space="preserve"> and given that the contractor</w:t>
      </w:r>
      <w:r>
        <w:t xml:space="preserve"> had </w:t>
      </w:r>
      <w:r w:rsidR="001E5B06">
        <w:t>been previously consulted on similar</w:t>
      </w:r>
      <w:r w:rsidR="00E33827">
        <w:t xml:space="preserve"> material</w:t>
      </w:r>
      <w:r>
        <w:t>, the Chief Ombudsman found that its</w:t>
      </w:r>
      <w:r w:rsidR="00E33827">
        <w:t xml:space="preserve"> ability to respond was not adversely affected by the timeframe. </w:t>
      </w:r>
    </w:p>
    <w:p w14:paraId="11630CEB" w14:textId="3B73A22D" w:rsidR="00E33827" w:rsidRDefault="00A71F52" w:rsidP="00E33827">
      <w:pPr>
        <w:pStyle w:val="BodyText"/>
      </w:pPr>
      <w:r>
        <w:t>Upon receipt of the contractor</w:t>
      </w:r>
      <w:r w:rsidR="00815DB7">
        <w:t>’s</w:t>
      </w:r>
      <w:r w:rsidR="00E33827">
        <w:t xml:space="preserve"> comments, the Ministry team responsibl</w:t>
      </w:r>
      <w:r w:rsidR="00815DB7">
        <w:t>e for preparing the OIA</w:t>
      </w:r>
      <w:r w:rsidR="00E33827">
        <w:t xml:space="preserve"> response convened a meeting to discuss the specific information </w:t>
      </w:r>
      <w:r w:rsidR="00815DB7">
        <w:t xml:space="preserve">raised </w:t>
      </w:r>
      <w:r w:rsidR="00E33827">
        <w:t>against the relevant OIA withholding grounds. However, the Ministry decided that it was not necessary under the OIA to withhold the information identified</w:t>
      </w:r>
      <w:r>
        <w:t xml:space="preserve"> by the contractor</w:t>
      </w:r>
      <w:r w:rsidR="00E33827">
        <w:t xml:space="preserve">. Two senior Ministry staff then peer reviewed the proposed response. </w:t>
      </w:r>
    </w:p>
    <w:p w14:paraId="1FF35F17" w14:textId="7B17C7F4" w:rsidR="00D6494C" w:rsidRDefault="00D6494C" w:rsidP="00E33827">
      <w:pPr>
        <w:pStyle w:val="BodyText"/>
      </w:pPr>
      <w:r>
        <w:t>Following this review, the Mi</w:t>
      </w:r>
      <w:r w:rsidR="00A71F52">
        <w:t>nistry informed the contractor</w:t>
      </w:r>
      <w:r>
        <w:t xml:space="preserve"> of its intention to release the information without</w:t>
      </w:r>
      <w:r w:rsidR="00A71F52">
        <w:t xml:space="preserve"> the redactions proposed by the contractor</w:t>
      </w:r>
      <w:r>
        <w:t>. While this email was brief and did not contain detailed reasons for the decision, the Ministry resp</w:t>
      </w:r>
      <w:r w:rsidR="00A71F52">
        <w:t>onded to a further query by the contractor</w:t>
      </w:r>
      <w:r w:rsidR="00184EC1">
        <w:t>,</w:t>
      </w:r>
      <w:r>
        <w:t xml:space="preserve"> setting out the reasons for its decision and the process followed. </w:t>
      </w:r>
    </w:p>
    <w:p w14:paraId="5693AAAA" w14:textId="739D83B8" w:rsidR="003B29EF" w:rsidRDefault="003B29EF" w:rsidP="00E33827">
      <w:pPr>
        <w:pStyle w:val="BodyText"/>
      </w:pPr>
      <w:r>
        <w:t>The Chief Ombudsman found that, in the circums</w:t>
      </w:r>
      <w:r w:rsidR="00A26FF9">
        <w:t xml:space="preserve">tances, the Ministry’s decision </w:t>
      </w:r>
      <w:r>
        <w:t xml:space="preserve">making process was not administratively unreasonable. </w:t>
      </w:r>
    </w:p>
    <w:p w14:paraId="7A0731E1" w14:textId="77777777" w:rsidR="00E33827" w:rsidRDefault="003B29EF" w:rsidP="003B29EF">
      <w:pPr>
        <w:pStyle w:val="Heading2"/>
      </w:pPr>
      <w:r>
        <w:t>The Ministry’s decision to release the information at issue</w:t>
      </w:r>
    </w:p>
    <w:p w14:paraId="01117F7A" w14:textId="21B2440C" w:rsidR="00C8289F" w:rsidRDefault="00C8289F" w:rsidP="00BB17CA">
      <w:pPr>
        <w:pStyle w:val="BodyText"/>
      </w:pPr>
      <w:r>
        <w:t xml:space="preserve">The </w:t>
      </w:r>
      <w:r w:rsidR="00903680">
        <w:t xml:space="preserve">second </w:t>
      </w:r>
      <w:r>
        <w:t xml:space="preserve">issue for the Chief Ombudsman to determine was whether the decision to release the information was reasonably open </w:t>
      </w:r>
      <w:r w:rsidR="007B59C6">
        <w:t>to</w:t>
      </w:r>
      <w:r>
        <w:t xml:space="preserve"> the Ministry to make. This was based on how the Ministry approached its assessment as to whether there was good reason under the OIA to withhold the particular information. </w:t>
      </w:r>
      <w:r w:rsidR="003245A8">
        <w:t xml:space="preserve">The Chief Ombudsman emphasised that this did not entail a review or reconsideration of the Ministry’s decision.  </w:t>
      </w:r>
    </w:p>
    <w:p w14:paraId="17540CD1" w14:textId="77777777" w:rsidR="002F2E66" w:rsidRDefault="002F2E66" w:rsidP="002F2E66">
      <w:pPr>
        <w:pStyle w:val="BodyText"/>
      </w:pPr>
      <w:r>
        <w:t>On investigation, the Ministry advised that it took into account the following considerations when making its decision:</w:t>
      </w:r>
    </w:p>
    <w:p w14:paraId="0E7C68D3" w14:textId="51BB5D38" w:rsidR="002F2E66" w:rsidRDefault="002F2E66" w:rsidP="002F2E66">
      <w:pPr>
        <w:pStyle w:val="Bullet1"/>
      </w:pPr>
      <w:r>
        <w:t>the purposes of the OIA as set out in section 4, particularly to promote accountability in respect</w:t>
      </w:r>
      <w:r w:rsidR="00A71F52">
        <w:t xml:space="preserve"> of the decision to approve the contractor</w:t>
      </w:r>
      <w:r>
        <w:t xml:space="preserve">’s tender; </w:t>
      </w:r>
    </w:p>
    <w:p w14:paraId="55CE1CC9" w14:textId="77777777" w:rsidR="002F2E66" w:rsidRDefault="002F2E66" w:rsidP="002F2E66">
      <w:pPr>
        <w:pStyle w:val="Bullet1"/>
      </w:pPr>
      <w:r>
        <w:t xml:space="preserve">the principle of availability in section 5 of the OIA; and </w:t>
      </w:r>
    </w:p>
    <w:p w14:paraId="5F334111" w14:textId="77777777" w:rsidR="002F2E66" w:rsidRDefault="002F2E66" w:rsidP="002F2E66">
      <w:pPr>
        <w:pStyle w:val="Bullet1"/>
      </w:pPr>
      <w:r>
        <w:t xml:space="preserve">guidance published by the Ombudsman on the respective withholding grounds and the weighing of the public interest. </w:t>
      </w:r>
    </w:p>
    <w:p w14:paraId="4C541CDD" w14:textId="3803C213" w:rsidR="002F2E66" w:rsidRDefault="00CD037F" w:rsidP="002F2E66">
      <w:pPr>
        <w:pStyle w:val="BodyText"/>
      </w:pPr>
      <w:r>
        <w:t>T</w:t>
      </w:r>
      <w:r w:rsidR="002F2E66">
        <w:t>he Ministry came to the conclusion that the relevant withholding grounds in section 9 of the OIA did not apply to the additional informatio</w:t>
      </w:r>
      <w:r w:rsidR="00A71F52">
        <w:t>n the contractor</w:t>
      </w:r>
      <w:r w:rsidR="002F2E66">
        <w:t xml:space="preserve"> sought to withhold. The Ministry further considered that even if the section 9 grounds did apply, this would have been outweighed by other considerations which render</w:t>
      </w:r>
      <w:r w:rsidR="005406D7">
        <w:t>ed</w:t>
      </w:r>
      <w:r w:rsidR="002F2E66">
        <w:t xml:space="preserve"> it desirable, in the public interest</w:t>
      </w:r>
      <w:r w:rsidR="005406D7">
        <w:t>,</w:t>
      </w:r>
      <w:r w:rsidR="002F2E66">
        <w:t xml:space="preserve"> to make the information available (section 9(1) of the OIA). </w:t>
      </w:r>
    </w:p>
    <w:p w14:paraId="51E43582" w14:textId="1CD3E89B" w:rsidR="00026924" w:rsidRDefault="00026924" w:rsidP="002F2E66">
      <w:pPr>
        <w:pStyle w:val="BodyText"/>
      </w:pPr>
      <w:r>
        <w:t xml:space="preserve">The Chief Ombudsman looked at the </w:t>
      </w:r>
      <w:r w:rsidR="005F2CDA">
        <w:t xml:space="preserve">specific </w:t>
      </w:r>
      <w:r>
        <w:t>wi</w:t>
      </w:r>
      <w:r w:rsidR="00A71F52">
        <w:t>thholding grounds raised by the contractor</w:t>
      </w:r>
      <w:r>
        <w:t xml:space="preserve">, against the factors the Ministry took into account </w:t>
      </w:r>
      <w:r w:rsidR="00A9472A">
        <w:t xml:space="preserve">before </w:t>
      </w:r>
      <w:r w:rsidR="007B59C6">
        <w:t>it came</w:t>
      </w:r>
      <w:r w:rsidR="00A9472A">
        <w:t xml:space="preserve"> to the conclusion that they did not apply</w:t>
      </w:r>
      <w:r w:rsidR="00470BBA">
        <w:t>.</w:t>
      </w:r>
    </w:p>
    <w:p w14:paraId="3AE5934B" w14:textId="46B6FA31" w:rsidR="00470BBA" w:rsidRDefault="00026924" w:rsidP="00470BBA">
      <w:pPr>
        <w:pStyle w:val="Bullet1"/>
        <w:numPr>
          <w:ilvl w:val="0"/>
          <w:numId w:val="0"/>
        </w:numPr>
      </w:pPr>
      <w:r>
        <w:t xml:space="preserve">Section 9(2)(a) </w:t>
      </w:r>
      <w:r w:rsidR="00470BBA">
        <w:t xml:space="preserve">applies </w:t>
      </w:r>
      <w:r w:rsidR="002156EE">
        <w:t xml:space="preserve">where </w:t>
      </w:r>
      <w:r w:rsidR="00470BBA">
        <w:t>withholding is necessary to ‘</w:t>
      </w:r>
      <w:r w:rsidR="00470BBA" w:rsidRPr="00470BBA">
        <w:rPr>
          <w:rStyle w:val="Quotationwithinthesentence"/>
        </w:rPr>
        <w:t>protect the privacy of natural persons</w:t>
      </w:r>
      <w:r w:rsidR="00470BBA">
        <w:t xml:space="preserve">’. </w:t>
      </w:r>
      <w:r w:rsidR="00A71F52">
        <w:t>The contractor</w:t>
      </w:r>
      <w:r w:rsidR="00340362">
        <w:t xml:space="preserve"> raised this provision in </w:t>
      </w:r>
      <w:r w:rsidR="001263D6">
        <w:t>relation</w:t>
      </w:r>
      <w:r w:rsidR="00340362">
        <w:t xml:space="preserve"> to the name of one of its directors and </w:t>
      </w:r>
      <w:r w:rsidR="008A5FFF">
        <w:t>the backgrounds of some of its staff</w:t>
      </w:r>
      <w:r w:rsidR="00340362">
        <w:t>.</w:t>
      </w:r>
      <w:r w:rsidR="008A5FFF">
        <w:t xml:space="preserve"> The Ministry explained that it considered the fact that the director’s name was already in the public domain, and noted how it had taken steps t</w:t>
      </w:r>
      <w:r w:rsidR="00A71F52">
        <w:t>o preserve the anonymity of the contractor</w:t>
      </w:r>
      <w:r w:rsidR="00935C89">
        <w:t>’s</w:t>
      </w:r>
      <w:r w:rsidR="008A5FFF">
        <w:t xml:space="preserve"> staff by withholding their personal information. </w:t>
      </w:r>
      <w:r w:rsidR="00340362">
        <w:t xml:space="preserve"> </w:t>
      </w:r>
    </w:p>
    <w:p w14:paraId="145080A3" w14:textId="338EB834" w:rsidR="007C2CFC" w:rsidRDefault="006B52B4" w:rsidP="00470BBA">
      <w:pPr>
        <w:pStyle w:val="Bullet1"/>
        <w:numPr>
          <w:ilvl w:val="0"/>
          <w:numId w:val="0"/>
        </w:numPr>
      </w:pPr>
      <w:r>
        <w:t xml:space="preserve">Section 9(2)(ba)(i) </w:t>
      </w:r>
      <w:r w:rsidR="005406D7">
        <w:t>app</w:t>
      </w:r>
      <w:r w:rsidR="00653823">
        <w:t>l</w:t>
      </w:r>
      <w:r w:rsidR="005406D7">
        <w:t xml:space="preserve">ies </w:t>
      </w:r>
      <w:r w:rsidR="00221946">
        <w:t xml:space="preserve">where withholding </w:t>
      </w:r>
      <w:r>
        <w:t>is necessary to ‘</w:t>
      </w:r>
      <w:r w:rsidRPr="006B52B4">
        <w:rPr>
          <w:rStyle w:val="Quotationwithinthesentence"/>
        </w:rPr>
        <w:t>protect information which is subject to an obligation of confidence … where the making available of the information … would be likely to prejudice the supply of similar information, or information from the same source, and it is in the public interest that such information should continue to be supplied</w:t>
      </w:r>
      <w:r w:rsidR="00186B71">
        <w:t>’. The contractor</w:t>
      </w:r>
      <w:r>
        <w:t xml:space="preserve"> stated that it had provided information to the Ministry with the expectation that it would not be made public, as part of its tender application. </w:t>
      </w:r>
    </w:p>
    <w:p w14:paraId="6F639F44" w14:textId="2A4136C8" w:rsidR="006B52B4" w:rsidRDefault="007C2CFC" w:rsidP="00470BBA">
      <w:pPr>
        <w:pStyle w:val="Bullet1"/>
        <w:numPr>
          <w:ilvl w:val="0"/>
          <w:numId w:val="0"/>
        </w:numPr>
      </w:pPr>
      <w:r>
        <w:t xml:space="preserve">The Ministry observed that the tender documentation included a statement on its obligations under the OIA and considered this an effective signal that </w:t>
      </w:r>
      <w:r w:rsidR="00653823">
        <w:t>confidentiality could not be assured</w:t>
      </w:r>
      <w:r>
        <w:t>. It also considered that the making available of the information at issue would not prejudice the future supply of</w:t>
      </w:r>
      <w:r w:rsidR="00B70DAC">
        <w:t xml:space="preserve"> similar</w:t>
      </w:r>
      <w:r>
        <w:t xml:space="preserve"> information, as tend</w:t>
      </w:r>
      <w:r w:rsidR="00B70DAC">
        <w:t xml:space="preserve">erers </w:t>
      </w:r>
      <w:r>
        <w:t>will understand that</w:t>
      </w:r>
      <w:r w:rsidR="0028459A">
        <w:t xml:space="preserve"> compliance with</w:t>
      </w:r>
      <w:r>
        <w:t xml:space="preserve"> the OIA is a condition of doing business with the Government. </w:t>
      </w:r>
      <w:r w:rsidR="006B52B4">
        <w:t xml:space="preserve"> </w:t>
      </w:r>
    </w:p>
    <w:p w14:paraId="5BE1DA6E" w14:textId="612A714F" w:rsidR="008D4B50" w:rsidRDefault="008D4B50" w:rsidP="00470BBA">
      <w:pPr>
        <w:pStyle w:val="Bullet1"/>
        <w:numPr>
          <w:ilvl w:val="0"/>
          <w:numId w:val="0"/>
        </w:numPr>
      </w:pPr>
      <w:r>
        <w:t xml:space="preserve">Section 9(2)(b)(ii) applies </w:t>
      </w:r>
      <w:r w:rsidR="00221946">
        <w:t xml:space="preserve">where </w:t>
      </w:r>
      <w:r>
        <w:t>withholding is necessary to ‘</w:t>
      </w:r>
      <w:r w:rsidRPr="008D4B50">
        <w:rPr>
          <w:rStyle w:val="Quotationwithinthesentence"/>
        </w:rPr>
        <w:t>protect information where the making available of the information … would be likely unreasonably to prejudice the commercial position of the person who supplied or who is the subject of the information</w:t>
      </w:r>
      <w:r>
        <w:t xml:space="preserve">’. </w:t>
      </w:r>
      <w:r w:rsidR="00935C89">
        <w:t>The contractor</w:t>
      </w:r>
      <w:r w:rsidR="00A8218F">
        <w:t xml:space="preserve"> stated that the release of proprietary information (such as its methodology) would prejudice its commercial posi</w:t>
      </w:r>
      <w:r w:rsidR="003F20E9">
        <w:t xml:space="preserve">tion as it would be used by </w:t>
      </w:r>
      <w:r w:rsidR="00A8218F">
        <w:t>competito</w:t>
      </w:r>
      <w:r w:rsidR="00935C89">
        <w:t>rs to undermine its business. The contractor</w:t>
      </w:r>
      <w:r w:rsidR="00A8218F">
        <w:t xml:space="preserve"> also opposed the release of information such as client names and information. </w:t>
      </w:r>
    </w:p>
    <w:p w14:paraId="02858901" w14:textId="53C195DF" w:rsidR="00A8218F" w:rsidRDefault="00A8218F" w:rsidP="00470BBA">
      <w:pPr>
        <w:pStyle w:val="Bullet1"/>
        <w:numPr>
          <w:ilvl w:val="0"/>
          <w:numId w:val="0"/>
        </w:numPr>
      </w:pPr>
      <w:r>
        <w:t>The Ministry considered that release of the information at issue wou</w:t>
      </w:r>
      <w:r w:rsidR="00935C89">
        <w:t>ld be unlikely to prejudice the contractor</w:t>
      </w:r>
      <w:r>
        <w:t>’s commercial position. It t</w:t>
      </w:r>
      <w:r w:rsidR="00935C89">
        <w:t>ook into account the fact that the contractor</w:t>
      </w:r>
      <w:r w:rsidR="00376AF8">
        <w:t xml:space="preserve"> did not specify any part of its </w:t>
      </w:r>
      <w:r>
        <w:t>tender as commercially sensitive at the time it was submitted. It concluded that this indicated that the information did not reveal commercial practices or strat</w:t>
      </w:r>
      <w:r w:rsidR="00935C89">
        <w:t>egies that were specific to the contractor</w:t>
      </w:r>
      <w:r>
        <w:t xml:space="preserve"> compare</w:t>
      </w:r>
      <w:r w:rsidR="00935C89">
        <w:t>d to its competitors. While the contractor</w:t>
      </w:r>
      <w:r>
        <w:t xml:space="preserve"> subsequently stated that the information was commercially sensitive during the OIA consultation process, the Ministry took the view that this was a direct result of public scrutiny at the time and did not think this context would be sufficient to increase the perceived harm. The Ministry advised that it had consulted all third parties named in the documents and only one had concerns about release. </w:t>
      </w:r>
    </w:p>
    <w:p w14:paraId="57E59313" w14:textId="0D4BB738" w:rsidR="00E77A82" w:rsidRDefault="00821AE1" w:rsidP="00997B94">
      <w:pPr>
        <w:pStyle w:val="Bullet1"/>
        <w:numPr>
          <w:ilvl w:val="0"/>
          <w:numId w:val="0"/>
        </w:numPr>
      </w:pPr>
      <w:r>
        <w:t xml:space="preserve">Finally, if any of the section 9(2) provisions applied, section 9(1) required the Ministry to consider whether there were any countervailing public interest considerations which favoured the release of the information. </w:t>
      </w:r>
      <w:r w:rsidR="00BB4D26">
        <w:t>The Ministry identified a strong public interest in accountability and transparency. The OIA request came at a time when allegations were being levelled against the public sec</w:t>
      </w:r>
      <w:r w:rsidR="00935C89">
        <w:t>tor about its engagement of the contractor</w:t>
      </w:r>
      <w:r w:rsidR="00BB4D26">
        <w:t>. The Ministry considered that the public interest in being ‘</w:t>
      </w:r>
      <w:r w:rsidR="00BB4D26" w:rsidRPr="009014DE">
        <w:rPr>
          <w:rStyle w:val="Quotationwithinthesentence"/>
        </w:rPr>
        <w:t>open and transparent about the</w:t>
      </w:r>
      <w:r w:rsidR="00935C89">
        <w:rPr>
          <w:rStyle w:val="Quotationwithinthesentence"/>
        </w:rPr>
        <w:t xml:space="preserve"> Ministry’s engagement with [the contractor]</w:t>
      </w:r>
      <w:r w:rsidR="00BB4D26" w:rsidRPr="009014DE">
        <w:rPr>
          <w:rStyle w:val="Quotationwithinthesentence"/>
        </w:rPr>
        <w:t xml:space="preserve"> and, in doing so, to demonstrate that the Ministry had applied a robust process and acted prudently in appointing </w:t>
      </w:r>
      <w:r w:rsidR="00935C89">
        <w:rPr>
          <w:rStyle w:val="Quotationwithinthesentence"/>
        </w:rPr>
        <w:t>[the contractor]</w:t>
      </w:r>
      <w:r w:rsidR="00BB4D26">
        <w:t xml:space="preserve">’ was sufficient to outweigh the need, if any, to withhold the relevant information. </w:t>
      </w:r>
    </w:p>
    <w:p w14:paraId="1D482416" w14:textId="1860138D" w:rsidR="00997B94" w:rsidRDefault="00997B94" w:rsidP="00997B94">
      <w:pPr>
        <w:pStyle w:val="Bullet1"/>
        <w:numPr>
          <w:ilvl w:val="0"/>
          <w:numId w:val="0"/>
        </w:numPr>
      </w:pPr>
      <w:r>
        <w:t>The Chief Ombudsman found that the Ministry had factored</w:t>
      </w:r>
      <w:r w:rsidR="00935C89">
        <w:t xml:space="preserve"> the contractor</w:t>
      </w:r>
      <w:r w:rsidR="00E723F7">
        <w:t xml:space="preserve">’s views into its decision </w:t>
      </w:r>
      <w:r>
        <w:t>making, identified all relevant considerations, and considered these matters against the principle of availability, legislative requirements</w:t>
      </w:r>
      <w:r w:rsidR="00E64F46">
        <w:t xml:space="preserve"> and Ombudsman guidance on best </w:t>
      </w:r>
      <w:r>
        <w:t xml:space="preserve">practice. He concluded that the decision to release the information was reasonably open to the Ministry to make.  </w:t>
      </w:r>
    </w:p>
    <w:p w14:paraId="739D24D9" w14:textId="77777777" w:rsidR="00E77A82" w:rsidRDefault="00E77A82" w:rsidP="00E77A82">
      <w:pPr>
        <w:pStyle w:val="Heading1"/>
      </w:pPr>
      <w:r>
        <w:t>Outcome</w:t>
      </w:r>
    </w:p>
    <w:p w14:paraId="61E064E0" w14:textId="304372B2" w:rsidR="00997B94" w:rsidRDefault="002F2E66" w:rsidP="00E77A82">
      <w:pPr>
        <w:pStyle w:val="BodyText"/>
      </w:pPr>
      <w:r>
        <w:t xml:space="preserve">The Chief Ombudsman formed the opinion that the Ministry had not acted unreasonably by deciding to release the information at issue under the OIA. </w:t>
      </w:r>
      <w:r w:rsidR="001F41F7">
        <w:t xml:space="preserve">He </w:t>
      </w:r>
      <w:r>
        <w:t>also noted, for completeness</w:t>
      </w:r>
      <w:r w:rsidR="001F41F7">
        <w:t>,</w:t>
      </w:r>
      <w:r>
        <w:t xml:space="preserve"> that </w:t>
      </w:r>
      <w:r w:rsidR="001323A1">
        <w:t xml:space="preserve">there was no evidence </w:t>
      </w:r>
      <w:r>
        <w:t>to suggest that the Ministry’s decisi</w:t>
      </w:r>
      <w:r w:rsidR="00997B94">
        <w:t xml:space="preserve">on was not made in good faith. </w:t>
      </w:r>
    </w:p>
    <w:p w14:paraId="788ACBCD" w14:textId="77777777" w:rsidR="003160E5" w:rsidRPr="003160E5" w:rsidRDefault="003160E5" w:rsidP="003160E5">
      <w:pPr>
        <w:pStyle w:val="BodyText"/>
        <w:rPr>
          <w:rStyle w:val="Italics"/>
        </w:rPr>
      </w:pPr>
      <w:r w:rsidRPr="003160E5">
        <w:rPr>
          <w:rStyle w:val="Italics"/>
        </w:rPr>
        <w:t xml:space="preserve">This case note is published under the authority of the </w:t>
      </w:r>
      <w:hyperlink r:id="rId7"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3160E5" w:rsidRPr="003160E5" w:rsidSect="00F417F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09BB8" w14:textId="77777777" w:rsidR="003258B0" w:rsidRPr="00D45126" w:rsidRDefault="003258B0" w:rsidP="00554FCD">
      <w:pPr>
        <w:spacing w:after="0" w:line="240" w:lineRule="auto"/>
        <w:rPr>
          <w:color w:val="4D4D4D"/>
        </w:rPr>
      </w:pPr>
      <w:r w:rsidRPr="00D45126">
        <w:rPr>
          <w:color w:val="4D4D4D"/>
        </w:rPr>
        <w:separator/>
      </w:r>
    </w:p>
  </w:endnote>
  <w:endnote w:type="continuationSeparator" w:id="0">
    <w:p w14:paraId="43B3CFA9" w14:textId="77777777" w:rsidR="003258B0" w:rsidRPr="00D45126" w:rsidRDefault="003258B0" w:rsidP="00554FCD">
      <w:pPr>
        <w:spacing w:after="0" w:line="240" w:lineRule="auto"/>
        <w:rPr>
          <w:color w:val="4D4D4D"/>
        </w:rPr>
      </w:pPr>
      <w:r w:rsidRPr="00D45126">
        <w:rPr>
          <w:color w:val="4D4D4D"/>
        </w:rPr>
        <w:continuationSeparator/>
      </w:r>
    </w:p>
  </w:endnote>
  <w:endnote w:type="continuationNotice" w:id="1">
    <w:p w14:paraId="7B5DB292" w14:textId="77777777" w:rsidR="003258B0" w:rsidRDefault="003258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AA01A" w14:textId="77777777" w:rsidR="00F75FD1" w:rsidRDefault="00F75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0157" w14:textId="77777777" w:rsidR="00997B94" w:rsidRPr="0059155D" w:rsidRDefault="00997B94" w:rsidP="00B81F45">
    <w:pPr>
      <w:pStyle w:val="Footerline"/>
    </w:pPr>
  </w:p>
  <w:p w14:paraId="0B4269A9" w14:textId="77777777" w:rsidR="00997B94" w:rsidRPr="0059155D" w:rsidRDefault="00997B94" w:rsidP="00B81F45">
    <w:pPr>
      <w:pStyle w:val="Footerline"/>
    </w:pPr>
  </w:p>
  <w:p w14:paraId="0DDC2009" w14:textId="3F2CF81A" w:rsidR="00997B94" w:rsidRPr="005533D8" w:rsidRDefault="004D7BF7" w:rsidP="00B81F45">
    <w:pPr>
      <w:pStyle w:val="Footer"/>
    </w:pPr>
    <w:fldSimple w:instr=" DOCVARIABLE  dvShortText ">
      <w:r w:rsidR="00F03F29">
        <w:t>Case note: 490995 |</w:t>
      </w:r>
    </w:fldSimple>
    <w:r w:rsidR="00997B94">
      <w:t xml:space="preserve"> Page </w:t>
    </w:r>
    <w:r w:rsidR="00997B94" w:rsidRPr="00A32286">
      <w:rPr>
        <w:rStyle w:val="PageNumber"/>
      </w:rPr>
      <w:fldChar w:fldCharType="begin"/>
    </w:r>
    <w:r w:rsidR="00997B94" w:rsidRPr="00A32286">
      <w:rPr>
        <w:rStyle w:val="PageNumber"/>
      </w:rPr>
      <w:instrText xml:space="preserve"> PAGE   \* MERGEFORMAT </w:instrText>
    </w:r>
    <w:r w:rsidR="00997B94" w:rsidRPr="00A32286">
      <w:rPr>
        <w:rStyle w:val="PageNumber"/>
      </w:rPr>
      <w:fldChar w:fldCharType="separate"/>
    </w:r>
    <w:r w:rsidR="0019616D">
      <w:rPr>
        <w:rStyle w:val="PageNumber"/>
        <w:noProof/>
      </w:rPr>
      <w:t>5</w:t>
    </w:r>
    <w:r w:rsidR="00997B94"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5EC75" w14:textId="77777777" w:rsidR="00997B94" w:rsidRPr="0059155D" w:rsidRDefault="00997B94" w:rsidP="00AA3322">
    <w:pPr>
      <w:pStyle w:val="Footerline"/>
    </w:pPr>
  </w:p>
  <w:p w14:paraId="23DD0B3D" w14:textId="77777777" w:rsidR="00997B94" w:rsidRPr="0059155D" w:rsidRDefault="00997B94" w:rsidP="00AA3322">
    <w:pPr>
      <w:pStyle w:val="Footerline"/>
    </w:pPr>
  </w:p>
  <w:p w14:paraId="7204E89E" w14:textId="2C3549E4" w:rsidR="00997B94" w:rsidRPr="005533D8" w:rsidRDefault="004D7BF7" w:rsidP="00AA3322">
    <w:pPr>
      <w:pStyle w:val="Footer"/>
    </w:pPr>
    <w:fldSimple w:instr=" DOCVARIABLE  dvShortText ">
      <w:r w:rsidR="00F03F29">
        <w:t>Case note: 490995 |</w:t>
      </w:r>
    </w:fldSimple>
    <w:r w:rsidR="00997B94">
      <w:t xml:space="preserve"> Page </w:t>
    </w:r>
    <w:r w:rsidR="00997B94" w:rsidRPr="00A32286">
      <w:rPr>
        <w:rStyle w:val="PageNumber"/>
      </w:rPr>
      <w:fldChar w:fldCharType="begin"/>
    </w:r>
    <w:r w:rsidR="00997B94" w:rsidRPr="00A32286">
      <w:rPr>
        <w:rStyle w:val="PageNumber"/>
      </w:rPr>
      <w:instrText xml:space="preserve"> PAGE   \* MERGEFORMAT </w:instrText>
    </w:r>
    <w:r w:rsidR="00997B94" w:rsidRPr="00A32286">
      <w:rPr>
        <w:rStyle w:val="PageNumber"/>
      </w:rPr>
      <w:fldChar w:fldCharType="separate"/>
    </w:r>
    <w:r w:rsidR="003258B0">
      <w:rPr>
        <w:rStyle w:val="PageNumber"/>
        <w:noProof/>
      </w:rPr>
      <w:t>1</w:t>
    </w:r>
    <w:r w:rsidR="00997B94"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C118F" w14:textId="77777777" w:rsidR="003258B0" w:rsidRPr="00D45126" w:rsidRDefault="003258B0" w:rsidP="00257DA0">
      <w:pPr>
        <w:spacing w:after="0" w:line="240" w:lineRule="auto"/>
        <w:rPr>
          <w:color w:val="4D4D4D"/>
        </w:rPr>
      </w:pPr>
      <w:r w:rsidRPr="00D45126">
        <w:rPr>
          <w:color w:val="4D4D4D"/>
        </w:rPr>
        <w:separator/>
      </w:r>
    </w:p>
  </w:footnote>
  <w:footnote w:type="continuationSeparator" w:id="0">
    <w:p w14:paraId="3A70401E" w14:textId="77777777" w:rsidR="003258B0" w:rsidRPr="00C14083" w:rsidRDefault="003258B0" w:rsidP="00554FCD">
      <w:pPr>
        <w:spacing w:after="0" w:line="240" w:lineRule="auto"/>
        <w:rPr>
          <w:color w:val="4D4D4D"/>
        </w:rPr>
      </w:pPr>
      <w:r w:rsidRPr="00C14083">
        <w:rPr>
          <w:color w:val="4D4D4D"/>
        </w:rPr>
        <w:continuationSeparator/>
      </w:r>
    </w:p>
  </w:footnote>
  <w:footnote w:type="continuationNotice" w:id="1">
    <w:p w14:paraId="012E0746" w14:textId="77777777" w:rsidR="003258B0" w:rsidRDefault="003258B0">
      <w:pPr>
        <w:spacing w:after="0" w:line="240" w:lineRule="auto"/>
      </w:pPr>
    </w:p>
  </w:footnote>
  <w:footnote w:id="2">
    <w:p w14:paraId="25B7B7EF" w14:textId="280271E3" w:rsidR="00997B94" w:rsidRDefault="00997B94" w:rsidP="00E33827">
      <w:pPr>
        <w:pStyle w:val="FootnoteText"/>
      </w:pPr>
      <w:r>
        <w:rPr>
          <w:rStyle w:val="FootnoteReference"/>
        </w:rPr>
        <w:footnoteRef/>
      </w:r>
      <w:r>
        <w:t xml:space="preserve"> </w:t>
      </w:r>
      <w:r>
        <w:tab/>
      </w:r>
      <w:r w:rsidR="008F2D06">
        <w:t xml:space="preserve">See </w:t>
      </w:r>
      <w:hyperlink r:id="rId1" w:history="1">
        <w:r w:rsidRPr="008F2D06">
          <w:rPr>
            <w:rStyle w:val="Hyperlink"/>
            <w:i/>
            <w:iCs/>
          </w:rPr>
          <w:t>Consulting third parties</w:t>
        </w:r>
      </w:hyperlink>
      <w:r w:rsidR="008F2D06">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F47BC" w14:textId="77777777" w:rsidR="00F75FD1" w:rsidRDefault="00F75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CE815" w14:textId="77777777" w:rsidR="00997B94" w:rsidRDefault="00997B94" w:rsidP="00B81F45">
    <w:pPr>
      <w:pStyle w:val="Header"/>
      <w:tabs>
        <w:tab w:val="clear" w:pos="9299"/>
        <w:tab w:val="right" w:pos="9321"/>
      </w:tabs>
      <w:rPr>
        <w:rStyle w:val="PageNumber"/>
      </w:rPr>
    </w:pPr>
    <w:r>
      <w:t xml:space="preserve">Office of the Ombudsman | </w:t>
    </w:r>
    <w:r w:rsidRPr="00DD54DF">
      <w:t>Tari o te Kaitiaki Mana Tangata</w:t>
    </w:r>
  </w:p>
  <w:p w14:paraId="36C052DC" w14:textId="77777777" w:rsidR="00997B94" w:rsidRPr="00661EC9" w:rsidRDefault="00997B94"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473D" w14:textId="77777777" w:rsidR="00997B94" w:rsidRDefault="00997B94">
    <w:pPr>
      <w:pStyle w:val="Header"/>
    </w:pPr>
    <w:r w:rsidRPr="00F417FD">
      <w:rPr>
        <w:noProof/>
        <w:lang w:eastAsia="en-NZ"/>
      </w:rPr>
      <w:drawing>
        <wp:anchor distT="0" distB="0" distL="114300" distR="114300" simplePos="0" relativeHeight="251659264" behindDoc="0" locked="0" layoutInCell="1" allowOverlap="1" wp14:anchorId="7BDEB530" wp14:editId="29D9DB1D">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90995 |"/>
    <w:docVar w:name="dvShortTextFrm" w:val="Case note: 490995"/>
    <w:docVar w:name="IsfirstTb" w:val="True"/>
    <w:docVar w:name="IsInTable" w:val="False"/>
    <w:docVar w:name="OOTOTemplate" w:val="OOTO General\Case note.dotm"/>
  </w:docVars>
  <w:rsids>
    <w:rsidRoot w:val="006C3191"/>
    <w:rsid w:val="00000AEE"/>
    <w:rsid w:val="0000164C"/>
    <w:rsid w:val="00001F94"/>
    <w:rsid w:val="00002E2B"/>
    <w:rsid w:val="000048D2"/>
    <w:rsid w:val="0000771B"/>
    <w:rsid w:val="00011074"/>
    <w:rsid w:val="00013791"/>
    <w:rsid w:val="00021382"/>
    <w:rsid w:val="00024F53"/>
    <w:rsid w:val="00026924"/>
    <w:rsid w:val="00026A3B"/>
    <w:rsid w:val="000273F0"/>
    <w:rsid w:val="000328E9"/>
    <w:rsid w:val="00032A75"/>
    <w:rsid w:val="00035821"/>
    <w:rsid w:val="00040F52"/>
    <w:rsid w:val="00041615"/>
    <w:rsid w:val="000419C3"/>
    <w:rsid w:val="00045FD7"/>
    <w:rsid w:val="00046B63"/>
    <w:rsid w:val="00050123"/>
    <w:rsid w:val="00053114"/>
    <w:rsid w:val="00057C4D"/>
    <w:rsid w:val="000648AF"/>
    <w:rsid w:val="00064CFD"/>
    <w:rsid w:val="00065881"/>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263D6"/>
    <w:rsid w:val="001323A1"/>
    <w:rsid w:val="00134987"/>
    <w:rsid w:val="0013761E"/>
    <w:rsid w:val="00137654"/>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657B"/>
    <w:rsid w:val="00177807"/>
    <w:rsid w:val="001822E3"/>
    <w:rsid w:val="00184B58"/>
    <w:rsid w:val="00184EC1"/>
    <w:rsid w:val="00186A52"/>
    <w:rsid w:val="00186B71"/>
    <w:rsid w:val="001872A2"/>
    <w:rsid w:val="00187D74"/>
    <w:rsid w:val="00190A34"/>
    <w:rsid w:val="00191044"/>
    <w:rsid w:val="001922D6"/>
    <w:rsid w:val="00193B7F"/>
    <w:rsid w:val="00194237"/>
    <w:rsid w:val="00194280"/>
    <w:rsid w:val="001944D8"/>
    <w:rsid w:val="001954BF"/>
    <w:rsid w:val="0019616D"/>
    <w:rsid w:val="001968B6"/>
    <w:rsid w:val="00197401"/>
    <w:rsid w:val="001A265F"/>
    <w:rsid w:val="001A415D"/>
    <w:rsid w:val="001A4C19"/>
    <w:rsid w:val="001B1DCE"/>
    <w:rsid w:val="001B2F94"/>
    <w:rsid w:val="001B31CF"/>
    <w:rsid w:val="001B688C"/>
    <w:rsid w:val="001B7EC1"/>
    <w:rsid w:val="001C12AF"/>
    <w:rsid w:val="001C7F14"/>
    <w:rsid w:val="001E067E"/>
    <w:rsid w:val="001E16D0"/>
    <w:rsid w:val="001E5B06"/>
    <w:rsid w:val="001E795E"/>
    <w:rsid w:val="001F08E5"/>
    <w:rsid w:val="001F0C1C"/>
    <w:rsid w:val="001F0E26"/>
    <w:rsid w:val="001F14C5"/>
    <w:rsid w:val="001F20AE"/>
    <w:rsid w:val="001F41F7"/>
    <w:rsid w:val="001F6FC1"/>
    <w:rsid w:val="00200C37"/>
    <w:rsid w:val="00203D74"/>
    <w:rsid w:val="00204247"/>
    <w:rsid w:val="00210377"/>
    <w:rsid w:val="0021064F"/>
    <w:rsid w:val="002151BC"/>
    <w:rsid w:val="002156EE"/>
    <w:rsid w:val="0021716A"/>
    <w:rsid w:val="00217F95"/>
    <w:rsid w:val="00220309"/>
    <w:rsid w:val="00221110"/>
    <w:rsid w:val="00221946"/>
    <w:rsid w:val="00221D0F"/>
    <w:rsid w:val="00222EA0"/>
    <w:rsid w:val="00224421"/>
    <w:rsid w:val="0023071A"/>
    <w:rsid w:val="00230FF4"/>
    <w:rsid w:val="00237679"/>
    <w:rsid w:val="00245ACC"/>
    <w:rsid w:val="00251056"/>
    <w:rsid w:val="00251456"/>
    <w:rsid w:val="00253466"/>
    <w:rsid w:val="002539A9"/>
    <w:rsid w:val="00257DA0"/>
    <w:rsid w:val="00260698"/>
    <w:rsid w:val="00262294"/>
    <w:rsid w:val="00263B2F"/>
    <w:rsid w:val="00270EC8"/>
    <w:rsid w:val="0027214C"/>
    <w:rsid w:val="00272307"/>
    <w:rsid w:val="00272886"/>
    <w:rsid w:val="00272EB5"/>
    <w:rsid w:val="00274E49"/>
    <w:rsid w:val="002819FD"/>
    <w:rsid w:val="0028327A"/>
    <w:rsid w:val="00283493"/>
    <w:rsid w:val="00283CAD"/>
    <w:rsid w:val="00283D4E"/>
    <w:rsid w:val="00283F3B"/>
    <w:rsid w:val="002841A8"/>
    <w:rsid w:val="0028459A"/>
    <w:rsid w:val="00284C51"/>
    <w:rsid w:val="002917E8"/>
    <w:rsid w:val="00292161"/>
    <w:rsid w:val="00295101"/>
    <w:rsid w:val="002A158D"/>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2E66"/>
    <w:rsid w:val="002F510A"/>
    <w:rsid w:val="002F7D54"/>
    <w:rsid w:val="003002CA"/>
    <w:rsid w:val="0030460D"/>
    <w:rsid w:val="00307592"/>
    <w:rsid w:val="00313ABD"/>
    <w:rsid w:val="003160E5"/>
    <w:rsid w:val="00316CF6"/>
    <w:rsid w:val="00317D8B"/>
    <w:rsid w:val="00320E2B"/>
    <w:rsid w:val="00321801"/>
    <w:rsid w:val="00321D36"/>
    <w:rsid w:val="003245A8"/>
    <w:rsid w:val="003258B0"/>
    <w:rsid w:val="003374ED"/>
    <w:rsid w:val="00340362"/>
    <w:rsid w:val="00342CEE"/>
    <w:rsid w:val="00344116"/>
    <w:rsid w:val="003516B6"/>
    <w:rsid w:val="003536F0"/>
    <w:rsid w:val="0035756E"/>
    <w:rsid w:val="0036078D"/>
    <w:rsid w:val="003612FC"/>
    <w:rsid w:val="00363187"/>
    <w:rsid w:val="003636DB"/>
    <w:rsid w:val="00367A88"/>
    <w:rsid w:val="00371B5E"/>
    <w:rsid w:val="003723B3"/>
    <w:rsid w:val="00373DCE"/>
    <w:rsid w:val="00376AF8"/>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29EF"/>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20E9"/>
    <w:rsid w:val="003F3280"/>
    <w:rsid w:val="003F7B31"/>
    <w:rsid w:val="00400410"/>
    <w:rsid w:val="00404C91"/>
    <w:rsid w:val="00405E1E"/>
    <w:rsid w:val="00406000"/>
    <w:rsid w:val="004061BA"/>
    <w:rsid w:val="00410181"/>
    <w:rsid w:val="00410639"/>
    <w:rsid w:val="004118FD"/>
    <w:rsid w:val="00411A78"/>
    <w:rsid w:val="004213E5"/>
    <w:rsid w:val="00424DBC"/>
    <w:rsid w:val="004302DE"/>
    <w:rsid w:val="00431860"/>
    <w:rsid w:val="00433038"/>
    <w:rsid w:val="00433F89"/>
    <w:rsid w:val="00442610"/>
    <w:rsid w:val="004426B5"/>
    <w:rsid w:val="00444754"/>
    <w:rsid w:val="00452CEF"/>
    <w:rsid w:val="00462213"/>
    <w:rsid w:val="00464DEF"/>
    <w:rsid w:val="00465438"/>
    <w:rsid w:val="00467645"/>
    <w:rsid w:val="00470BBA"/>
    <w:rsid w:val="004752AF"/>
    <w:rsid w:val="00485E2C"/>
    <w:rsid w:val="004873B4"/>
    <w:rsid w:val="004903E8"/>
    <w:rsid w:val="00491852"/>
    <w:rsid w:val="0049294C"/>
    <w:rsid w:val="004938CA"/>
    <w:rsid w:val="00493EE8"/>
    <w:rsid w:val="00494124"/>
    <w:rsid w:val="004978CE"/>
    <w:rsid w:val="004A2B8E"/>
    <w:rsid w:val="004A3DD0"/>
    <w:rsid w:val="004A5E3E"/>
    <w:rsid w:val="004A60D8"/>
    <w:rsid w:val="004A717A"/>
    <w:rsid w:val="004B1A91"/>
    <w:rsid w:val="004B1CFB"/>
    <w:rsid w:val="004B3108"/>
    <w:rsid w:val="004B5B00"/>
    <w:rsid w:val="004B6762"/>
    <w:rsid w:val="004B6DF7"/>
    <w:rsid w:val="004C4C71"/>
    <w:rsid w:val="004C748E"/>
    <w:rsid w:val="004D1B36"/>
    <w:rsid w:val="004D376E"/>
    <w:rsid w:val="004D3A9D"/>
    <w:rsid w:val="004D4947"/>
    <w:rsid w:val="004D4CCB"/>
    <w:rsid w:val="004D6360"/>
    <w:rsid w:val="004D73AC"/>
    <w:rsid w:val="004D7BF7"/>
    <w:rsid w:val="004E37DF"/>
    <w:rsid w:val="004E4498"/>
    <w:rsid w:val="004F143B"/>
    <w:rsid w:val="004F5787"/>
    <w:rsid w:val="0050347A"/>
    <w:rsid w:val="00503E51"/>
    <w:rsid w:val="005054E0"/>
    <w:rsid w:val="005102D8"/>
    <w:rsid w:val="00512CAE"/>
    <w:rsid w:val="00512D27"/>
    <w:rsid w:val="00515585"/>
    <w:rsid w:val="00515C43"/>
    <w:rsid w:val="00515F9B"/>
    <w:rsid w:val="00517AD4"/>
    <w:rsid w:val="00517CBC"/>
    <w:rsid w:val="00520431"/>
    <w:rsid w:val="0052262C"/>
    <w:rsid w:val="0053285B"/>
    <w:rsid w:val="0053394E"/>
    <w:rsid w:val="005406D7"/>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A4D66"/>
    <w:rsid w:val="005B1169"/>
    <w:rsid w:val="005B6E2F"/>
    <w:rsid w:val="005B7F25"/>
    <w:rsid w:val="005C4DB4"/>
    <w:rsid w:val="005C76DD"/>
    <w:rsid w:val="005C7BA2"/>
    <w:rsid w:val="005D03D0"/>
    <w:rsid w:val="005D053D"/>
    <w:rsid w:val="005D12ED"/>
    <w:rsid w:val="005D525E"/>
    <w:rsid w:val="005E1DEC"/>
    <w:rsid w:val="005E1F34"/>
    <w:rsid w:val="005E2932"/>
    <w:rsid w:val="005E4F3A"/>
    <w:rsid w:val="005E50C7"/>
    <w:rsid w:val="005F05FA"/>
    <w:rsid w:val="005F1945"/>
    <w:rsid w:val="005F2CDA"/>
    <w:rsid w:val="005F3344"/>
    <w:rsid w:val="005F4281"/>
    <w:rsid w:val="005F43B4"/>
    <w:rsid w:val="005F70F0"/>
    <w:rsid w:val="0060131E"/>
    <w:rsid w:val="00604BDC"/>
    <w:rsid w:val="00606871"/>
    <w:rsid w:val="006077BF"/>
    <w:rsid w:val="00607EC0"/>
    <w:rsid w:val="0061020F"/>
    <w:rsid w:val="00610FD3"/>
    <w:rsid w:val="00611625"/>
    <w:rsid w:val="006120A8"/>
    <w:rsid w:val="00615CE0"/>
    <w:rsid w:val="00616CEE"/>
    <w:rsid w:val="00617F04"/>
    <w:rsid w:val="00621FD1"/>
    <w:rsid w:val="0062506B"/>
    <w:rsid w:val="00625390"/>
    <w:rsid w:val="006279D4"/>
    <w:rsid w:val="00627E11"/>
    <w:rsid w:val="00631B80"/>
    <w:rsid w:val="00640FA7"/>
    <w:rsid w:val="00644A97"/>
    <w:rsid w:val="00644B46"/>
    <w:rsid w:val="0064708D"/>
    <w:rsid w:val="006473DE"/>
    <w:rsid w:val="00653823"/>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0DA4"/>
    <w:rsid w:val="006A12AA"/>
    <w:rsid w:val="006A5545"/>
    <w:rsid w:val="006A5CB2"/>
    <w:rsid w:val="006B2725"/>
    <w:rsid w:val="006B4123"/>
    <w:rsid w:val="006B52B4"/>
    <w:rsid w:val="006B72A6"/>
    <w:rsid w:val="006C3191"/>
    <w:rsid w:val="006C3811"/>
    <w:rsid w:val="006C3851"/>
    <w:rsid w:val="006C3FF6"/>
    <w:rsid w:val="006D1417"/>
    <w:rsid w:val="006D1717"/>
    <w:rsid w:val="006D17A0"/>
    <w:rsid w:val="006D2120"/>
    <w:rsid w:val="006D78E8"/>
    <w:rsid w:val="006E05C4"/>
    <w:rsid w:val="006E1239"/>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17E3D"/>
    <w:rsid w:val="0072077B"/>
    <w:rsid w:val="007251D7"/>
    <w:rsid w:val="0072665E"/>
    <w:rsid w:val="0073150C"/>
    <w:rsid w:val="0073197D"/>
    <w:rsid w:val="00733DAC"/>
    <w:rsid w:val="00734E9C"/>
    <w:rsid w:val="007370C8"/>
    <w:rsid w:val="0073772C"/>
    <w:rsid w:val="00743E91"/>
    <w:rsid w:val="00751893"/>
    <w:rsid w:val="00752922"/>
    <w:rsid w:val="00753648"/>
    <w:rsid w:val="007539DA"/>
    <w:rsid w:val="00760461"/>
    <w:rsid w:val="00760A2D"/>
    <w:rsid w:val="00763D2B"/>
    <w:rsid w:val="00764619"/>
    <w:rsid w:val="0077254A"/>
    <w:rsid w:val="00773694"/>
    <w:rsid w:val="0077590F"/>
    <w:rsid w:val="00776236"/>
    <w:rsid w:val="00776A46"/>
    <w:rsid w:val="00777829"/>
    <w:rsid w:val="007802CE"/>
    <w:rsid w:val="0078036A"/>
    <w:rsid w:val="00780970"/>
    <w:rsid w:val="00780D07"/>
    <w:rsid w:val="007842BB"/>
    <w:rsid w:val="0079659E"/>
    <w:rsid w:val="007A0E41"/>
    <w:rsid w:val="007A395C"/>
    <w:rsid w:val="007A6586"/>
    <w:rsid w:val="007A6F0A"/>
    <w:rsid w:val="007A7020"/>
    <w:rsid w:val="007A74A0"/>
    <w:rsid w:val="007B4F3B"/>
    <w:rsid w:val="007B59C6"/>
    <w:rsid w:val="007B755F"/>
    <w:rsid w:val="007C2CFC"/>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14EC8"/>
    <w:rsid w:val="00815DB7"/>
    <w:rsid w:val="00820C9C"/>
    <w:rsid w:val="00821AE1"/>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660DC"/>
    <w:rsid w:val="00872924"/>
    <w:rsid w:val="00874F05"/>
    <w:rsid w:val="008841B5"/>
    <w:rsid w:val="00884716"/>
    <w:rsid w:val="00887AA8"/>
    <w:rsid w:val="0089080C"/>
    <w:rsid w:val="00890C5D"/>
    <w:rsid w:val="00892DF8"/>
    <w:rsid w:val="00893A27"/>
    <w:rsid w:val="00896D19"/>
    <w:rsid w:val="008A593E"/>
    <w:rsid w:val="008A5FFF"/>
    <w:rsid w:val="008B0D20"/>
    <w:rsid w:val="008B0F15"/>
    <w:rsid w:val="008B1687"/>
    <w:rsid w:val="008B1A1F"/>
    <w:rsid w:val="008B3D95"/>
    <w:rsid w:val="008B3DAA"/>
    <w:rsid w:val="008B4AAA"/>
    <w:rsid w:val="008B76D2"/>
    <w:rsid w:val="008C3437"/>
    <w:rsid w:val="008C7455"/>
    <w:rsid w:val="008D2D01"/>
    <w:rsid w:val="008D349D"/>
    <w:rsid w:val="008D4B50"/>
    <w:rsid w:val="008D7744"/>
    <w:rsid w:val="008E0636"/>
    <w:rsid w:val="008E0999"/>
    <w:rsid w:val="008E186D"/>
    <w:rsid w:val="008E1EF0"/>
    <w:rsid w:val="008E53DF"/>
    <w:rsid w:val="008E6C86"/>
    <w:rsid w:val="008F17E0"/>
    <w:rsid w:val="008F2893"/>
    <w:rsid w:val="008F2D06"/>
    <w:rsid w:val="008F614F"/>
    <w:rsid w:val="008F746D"/>
    <w:rsid w:val="00903680"/>
    <w:rsid w:val="00903FCC"/>
    <w:rsid w:val="009135B5"/>
    <w:rsid w:val="0092033B"/>
    <w:rsid w:val="009203C6"/>
    <w:rsid w:val="00923ED7"/>
    <w:rsid w:val="0092445C"/>
    <w:rsid w:val="009300E6"/>
    <w:rsid w:val="009319DE"/>
    <w:rsid w:val="00934224"/>
    <w:rsid w:val="00934443"/>
    <w:rsid w:val="0093534C"/>
    <w:rsid w:val="00935540"/>
    <w:rsid w:val="00935C89"/>
    <w:rsid w:val="00936C1D"/>
    <w:rsid w:val="009401E4"/>
    <w:rsid w:val="00942420"/>
    <w:rsid w:val="009438B5"/>
    <w:rsid w:val="0094461F"/>
    <w:rsid w:val="00944B48"/>
    <w:rsid w:val="00945BE0"/>
    <w:rsid w:val="00946D1C"/>
    <w:rsid w:val="009639D4"/>
    <w:rsid w:val="009673FC"/>
    <w:rsid w:val="00967D11"/>
    <w:rsid w:val="00970955"/>
    <w:rsid w:val="00971749"/>
    <w:rsid w:val="00971D0C"/>
    <w:rsid w:val="00974ABE"/>
    <w:rsid w:val="009779D9"/>
    <w:rsid w:val="00981DFE"/>
    <w:rsid w:val="009826E4"/>
    <w:rsid w:val="009909DF"/>
    <w:rsid w:val="0099196C"/>
    <w:rsid w:val="0099197D"/>
    <w:rsid w:val="00991F34"/>
    <w:rsid w:val="00994CBB"/>
    <w:rsid w:val="009954CB"/>
    <w:rsid w:val="00995755"/>
    <w:rsid w:val="00997B94"/>
    <w:rsid w:val="009A66D4"/>
    <w:rsid w:val="009B47B9"/>
    <w:rsid w:val="009C1083"/>
    <w:rsid w:val="009C14D2"/>
    <w:rsid w:val="009C1890"/>
    <w:rsid w:val="009C18AF"/>
    <w:rsid w:val="009C3499"/>
    <w:rsid w:val="009C375B"/>
    <w:rsid w:val="009C4723"/>
    <w:rsid w:val="009D561A"/>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26FF9"/>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5BEE"/>
    <w:rsid w:val="00A6655D"/>
    <w:rsid w:val="00A66569"/>
    <w:rsid w:val="00A7093F"/>
    <w:rsid w:val="00A71F52"/>
    <w:rsid w:val="00A72BAE"/>
    <w:rsid w:val="00A76E5D"/>
    <w:rsid w:val="00A800F7"/>
    <w:rsid w:val="00A80669"/>
    <w:rsid w:val="00A818A6"/>
    <w:rsid w:val="00A8218F"/>
    <w:rsid w:val="00A83F11"/>
    <w:rsid w:val="00A86138"/>
    <w:rsid w:val="00A86F4E"/>
    <w:rsid w:val="00A92148"/>
    <w:rsid w:val="00A92165"/>
    <w:rsid w:val="00A9472A"/>
    <w:rsid w:val="00AA188D"/>
    <w:rsid w:val="00AA3322"/>
    <w:rsid w:val="00AA4FC3"/>
    <w:rsid w:val="00AA6D42"/>
    <w:rsid w:val="00AA7176"/>
    <w:rsid w:val="00AA73B6"/>
    <w:rsid w:val="00AB2618"/>
    <w:rsid w:val="00AB3608"/>
    <w:rsid w:val="00AB5978"/>
    <w:rsid w:val="00AB6894"/>
    <w:rsid w:val="00AB6FF8"/>
    <w:rsid w:val="00AC0259"/>
    <w:rsid w:val="00AC5726"/>
    <w:rsid w:val="00AC7F7D"/>
    <w:rsid w:val="00AD230F"/>
    <w:rsid w:val="00AD27AE"/>
    <w:rsid w:val="00AD2CF5"/>
    <w:rsid w:val="00AD6A30"/>
    <w:rsid w:val="00AE4AA9"/>
    <w:rsid w:val="00AE4F25"/>
    <w:rsid w:val="00AF00EA"/>
    <w:rsid w:val="00AF3641"/>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36D16"/>
    <w:rsid w:val="00B40B34"/>
    <w:rsid w:val="00B40E8C"/>
    <w:rsid w:val="00B41235"/>
    <w:rsid w:val="00B440EB"/>
    <w:rsid w:val="00B47034"/>
    <w:rsid w:val="00B47E06"/>
    <w:rsid w:val="00B50E78"/>
    <w:rsid w:val="00B52654"/>
    <w:rsid w:val="00B52EA2"/>
    <w:rsid w:val="00B54EDA"/>
    <w:rsid w:val="00B55CBE"/>
    <w:rsid w:val="00B57902"/>
    <w:rsid w:val="00B62B24"/>
    <w:rsid w:val="00B634ED"/>
    <w:rsid w:val="00B641D2"/>
    <w:rsid w:val="00B66DA1"/>
    <w:rsid w:val="00B66DB1"/>
    <w:rsid w:val="00B7053B"/>
    <w:rsid w:val="00B70DAC"/>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7CA"/>
    <w:rsid w:val="00BB1A2F"/>
    <w:rsid w:val="00BB2E43"/>
    <w:rsid w:val="00BB31A4"/>
    <w:rsid w:val="00BB4D26"/>
    <w:rsid w:val="00BB5F7D"/>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1D14"/>
    <w:rsid w:val="00C8289F"/>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37F"/>
    <w:rsid w:val="00CD04FF"/>
    <w:rsid w:val="00CD23A0"/>
    <w:rsid w:val="00CD5BC4"/>
    <w:rsid w:val="00CD5F4F"/>
    <w:rsid w:val="00CD6DCF"/>
    <w:rsid w:val="00CD7106"/>
    <w:rsid w:val="00CD7F6E"/>
    <w:rsid w:val="00CE2FFB"/>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57C5"/>
    <w:rsid w:val="00D266C4"/>
    <w:rsid w:val="00D268E7"/>
    <w:rsid w:val="00D271D3"/>
    <w:rsid w:val="00D31D2A"/>
    <w:rsid w:val="00D37EAB"/>
    <w:rsid w:val="00D41127"/>
    <w:rsid w:val="00D41EBB"/>
    <w:rsid w:val="00D44537"/>
    <w:rsid w:val="00D44CB1"/>
    <w:rsid w:val="00D45126"/>
    <w:rsid w:val="00D53473"/>
    <w:rsid w:val="00D54F06"/>
    <w:rsid w:val="00D5554C"/>
    <w:rsid w:val="00D61F80"/>
    <w:rsid w:val="00D6494C"/>
    <w:rsid w:val="00D663CA"/>
    <w:rsid w:val="00D674E8"/>
    <w:rsid w:val="00D73B0A"/>
    <w:rsid w:val="00D751E1"/>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0564"/>
    <w:rsid w:val="00E06DD9"/>
    <w:rsid w:val="00E11C35"/>
    <w:rsid w:val="00E16FC1"/>
    <w:rsid w:val="00E20FB3"/>
    <w:rsid w:val="00E30785"/>
    <w:rsid w:val="00E324A7"/>
    <w:rsid w:val="00E33827"/>
    <w:rsid w:val="00E34AE0"/>
    <w:rsid w:val="00E3581D"/>
    <w:rsid w:val="00E378A9"/>
    <w:rsid w:val="00E43E20"/>
    <w:rsid w:val="00E552A8"/>
    <w:rsid w:val="00E55601"/>
    <w:rsid w:val="00E64F46"/>
    <w:rsid w:val="00E70C42"/>
    <w:rsid w:val="00E71F94"/>
    <w:rsid w:val="00E723F7"/>
    <w:rsid w:val="00E7384F"/>
    <w:rsid w:val="00E738E9"/>
    <w:rsid w:val="00E7434C"/>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5D43"/>
    <w:rsid w:val="00EA67E8"/>
    <w:rsid w:val="00EA6F27"/>
    <w:rsid w:val="00EB4832"/>
    <w:rsid w:val="00EB50CB"/>
    <w:rsid w:val="00EC0268"/>
    <w:rsid w:val="00EC2BAC"/>
    <w:rsid w:val="00EC31EA"/>
    <w:rsid w:val="00EC622D"/>
    <w:rsid w:val="00EC70DD"/>
    <w:rsid w:val="00ED0181"/>
    <w:rsid w:val="00ED06D1"/>
    <w:rsid w:val="00EE15A1"/>
    <w:rsid w:val="00EE5FF3"/>
    <w:rsid w:val="00EF0BE7"/>
    <w:rsid w:val="00EF13A7"/>
    <w:rsid w:val="00EF1DF3"/>
    <w:rsid w:val="00EF446F"/>
    <w:rsid w:val="00EF4786"/>
    <w:rsid w:val="00EF4E61"/>
    <w:rsid w:val="00EF51CC"/>
    <w:rsid w:val="00F03E2F"/>
    <w:rsid w:val="00F03F29"/>
    <w:rsid w:val="00F04A11"/>
    <w:rsid w:val="00F05438"/>
    <w:rsid w:val="00F11373"/>
    <w:rsid w:val="00F12913"/>
    <w:rsid w:val="00F12F5F"/>
    <w:rsid w:val="00F14418"/>
    <w:rsid w:val="00F148B2"/>
    <w:rsid w:val="00F15F18"/>
    <w:rsid w:val="00F16C09"/>
    <w:rsid w:val="00F247BC"/>
    <w:rsid w:val="00F315AB"/>
    <w:rsid w:val="00F3226B"/>
    <w:rsid w:val="00F331AC"/>
    <w:rsid w:val="00F342C7"/>
    <w:rsid w:val="00F35C53"/>
    <w:rsid w:val="00F36385"/>
    <w:rsid w:val="00F36627"/>
    <w:rsid w:val="00F417FD"/>
    <w:rsid w:val="00F45C25"/>
    <w:rsid w:val="00F4637E"/>
    <w:rsid w:val="00F46FF8"/>
    <w:rsid w:val="00F47A93"/>
    <w:rsid w:val="00F51502"/>
    <w:rsid w:val="00F55965"/>
    <w:rsid w:val="00F56FAE"/>
    <w:rsid w:val="00F57DBF"/>
    <w:rsid w:val="00F63084"/>
    <w:rsid w:val="00F66B76"/>
    <w:rsid w:val="00F720D6"/>
    <w:rsid w:val="00F74B2F"/>
    <w:rsid w:val="00F75E07"/>
    <w:rsid w:val="00F75FD1"/>
    <w:rsid w:val="00F77137"/>
    <w:rsid w:val="00F777C7"/>
    <w:rsid w:val="00F8132B"/>
    <w:rsid w:val="00F81866"/>
    <w:rsid w:val="00F90E72"/>
    <w:rsid w:val="00F922BB"/>
    <w:rsid w:val="00F93B23"/>
    <w:rsid w:val="00F95E8E"/>
    <w:rsid w:val="00F96393"/>
    <w:rsid w:val="00F96FEC"/>
    <w:rsid w:val="00FA206A"/>
    <w:rsid w:val="00FA3979"/>
    <w:rsid w:val="00FA48B0"/>
    <w:rsid w:val="00FA59D2"/>
    <w:rsid w:val="00FB1F52"/>
    <w:rsid w:val="00FB23DD"/>
    <w:rsid w:val="00FB37A9"/>
    <w:rsid w:val="00FB41D2"/>
    <w:rsid w:val="00FC07DB"/>
    <w:rsid w:val="00FC2FBC"/>
    <w:rsid w:val="00FC61E0"/>
    <w:rsid w:val="00FC7E58"/>
    <w:rsid w:val="00FD3DA7"/>
    <w:rsid w:val="00FD662A"/>
    <w:rsid w:val="00FE0312"/>
    <w:rsid w:val="00FE4B3F"/>
    <w:rsid w:val="00FE6FCC"/>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D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2"/>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137654"/>
    <w:pPr>
      <w:spacing w:after="0" w:line="240" w:lineRule="auto"/>
    </w:pPr>
    <w:rPr>
      <w:rFonts w:ascii="Calibri" w:hAnsi="Calibri"/>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tion.govt.nz/regulation/public/1989/0064/latest/DLM129834.html?src=q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mbudsman.parliament.nz/resources/consulting-third-part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10009</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Background</vt:lpstr>
      <vt:lpstr>Investigation</vt:lpstr>
      <vt:lpstr>    Consultation process</vt:lpstr>
      <vt:lpstr>    The Ministry’s decision to release the information at issue</vt:lpstr>
      <vt:lpstr>Outcome</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2022-01-19T01:26:00Z</dcterms:created>
  <dcterms:modified xsi:type="dcterms:W3CDTF">2022-01-19T01:26:00Z</dcterms:modified>
  <cp:contentStatus/>
</cp:coreProperties>
</file>